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6"/>
        <w:rPr>
          <w:sz w:val="3"/>
        </w:rPr>
      </w:pPr>
    </w:p>
    <w:p>
      <w:pPr>
        <w:tabs>
          <w:tab w:pos="2774" w:val="left" w:leader="none"/>
        </w:tabs>
        <w:spacing w:line="240" w:lineRule="auto"/>
        <w:ind w:left="105" w:right="0" w:firstLine="0"/>
        <w:rPr>
          <w:sz w:val="20"/>
        </w:rPr>
      </w:pPr>
      <w:r>
        <w:rPr>
          <w:sz w:val="20"/>
        </w:rPr>
        <w:pict>
          <v:group style="width:121.45pt;height:82.8pt;mso-position-horizontal-relative:char;mso-position-vertical-relative:line" coordorigin="0,0" coordsize="2429,1656">
            <v:shape style="position:absolute;left:0;top:0;width:2429;height:1656" type="#_x0000_t75" stroked="false">
              <v:imagedata r:id="rId5" o:title=""/>
            </v:shape>
            <v:shape style="position:absolute;left:175;top:0;width:1975;height:1654" type="#_x0000_t75" stroked="false">
              <v:imagedata r:id="rId6" o:title=""/>
            </v:shape>
          </v:group>
        </w:pict>
      </w:r>
      <w:r>
        <w:rPr>
          <w:sz w:val="20"/>
        </w:rPr>
      </w:r>
      <w:r>
        <w:rPr>
          <w:sz w:val="20"/>
        </w:rPr>
        <w:tab/>
      </w:r>
      <w:r>
        <w:rPr>
          <w:position w:val="11"/>
          <w:sz w:val="20"/>
        </w:rPr>
        <w:pict>
          <v:group style="width:333.4pt;height:55.2pt;mso-position-horizontal-relative:char;mso-position-vertical-relative:line" coordorigin="0,0" coordsize="6668,1104">
            <v:shape style="position:absolute;left:0;top:0;width:6667;height:1104" type="#_x0000_t75" stroked="false">
              <v:imagedata r:id="rId7" o:title=""/>
            </v:shape>
            <v:shapetype id="_x0000_t202" o:spt="202" coordsize="21600,21600" path="m,l,21600r21600,l21600,xe">
              <v:stroke joinstyle="miter"/>
              <v:path gradientshapeok="t" o:connecttype="rect"/>
            </v:shapetype>
            <v:shape style="position:absolute;left:0;top:0;width:6668;height:1104" type="#_x0000_t202" filled="false" stroked="false">
              <v:textbox inset="0,0,0,0">
                <w:txbxContent>
                  <w:p>
                    <w:pPr>
                      <w:spacing w:line="363" w:lineRule="exact" w:before="0"/>
                      <w:ind w:left="144" w:right="0" w:firstLine="0"/>
                      <w:jc w:val="left"/>
                      <w:rPr>
                        <w:b/>
                        <w:sz w:val="32"/>
                      </w:rPr>
                    </w:pPr>
                    <w:r>
                      <w:rPr>
                        <w:b/>
                        <w:sz w:val="32"/>
                      </w:rPr>
                      <w:t>Universidad Autónoma del Estado de México</w:t>
                    </w:r>
                  </w:p>
                  <w:p>
                    <w:pPr>
                      <w:spacing w:line="364" w:lineRule="exact" w:before="0"/>
                      <w:ind w:left="144" w:right="0" w:firstLine="0"/>
                      <w:jc w:val="left"/>
                      <w:rPr>
                        <w:sz w:val="32"/>
                      </w:rPr>
                    </w:pPr>
                    <w:r>
                      <w:rPr>
                        <w:sz w:val="32"/>
                      </w:rPr>
                      <w:t>Facultad de Economía</w:t>
                    </w:r>
                  </w:p>
                  <w:p>
                    <w:pPr>
                      <w:spacing w:line="368" w:lineRule="exact" w:before="0"/>
                      <w:ind w:left="144" w:right="0" w:firstLine="0"/>
                      <w:jc w:val="left"/>
                      <w:rPr>
                        <w:sz w:val="32"/>
                      </w:rPr>
                    </w:pPr>
                    <w:r>
                      <w:rPr>
                        <w:sz w:val="32"/>
                      </w:rPr>
                      <w:t>Facultad de Contaduría y Administración</w:t>
                    </w:r>
                  </w:p>
                </w:txbxContent>
              </v:textbox>
              <w10:wrap type="none"/>
            </v:shape>
          </v:group>
        </w:pict>
      </w:r>
      <w:r>
        <w:rPr>
          <w:position w:val="11"/>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line="360" w:lineRule="auto" w:before="191"/>
        <w:ind w:left="1003" w:right="462" w:firstLine="0"/>
        <w:jc w:val="center"/>
        <w:rPr>
          <w:sz w:val="24"/>
        </w:rPr>
      </w:pPr>
      <w:r>
        <w:rPr>
          <w:sz w:val="24"/>
        </w:rPr>
        <w:t>C</w:t>
      </w:r>
      <w:r>
        <w:rPr>
          <w:sz w:val="19"/>
        </w:rPr>
        <w:t>HOQUES DE PRECIOS DEL GAS NATURAL Y ASIGNACIÓN DE INGRESOS FISCALES EN LA POSICIÓN FISCAL DE </w:t>
      </w:r>
      <w:r>
        <w:rPr>
          <w:sz w:val="24"/>
        </w:rPr>
        <w:t>B</w:t>
      </w:r>
      <w:r>
        <w:rPr>
          <w:sz w:val="19"/>
        </w:rPr>
        <w:t>OLIVIA</w:t>
      </w:r>
      <w:r>
        <w:rPr>
          <w:sz w:val="24"/>
        </w:rPr>
        <w:t>, 2003-2011:</w:t>
      </w:r>
    </w:p>
    <w:p>
      <w:pPr>
        <w:spacing w:before="6"/>
        <w:ind w:left="1001" w:right="462" w:firstLine="0"/>
        <w:jc w:val="center"/>
        <w:rPr>
          <w:sz w:val="19"/>
        </w:rPr>
      </w:pPr>
      <w:r>
        <w:rPr>
          <w:sz w:val="24"/>
        </w:rPr>
        <w:t>E</w:t>
      </w:r>
      <w:r>
        <w:rPr>
          <w:sz w:val="19"/>
        </w:rPr>
        <w:t>SCENARIOS DE </w:t>
      </w:r>
      <w:r>
        <w:rPr>
          <w:sz w:val="24"/>
        </w:rPr>
        <w:t>R</w:t>
      </w:r>
      <w:r>
        <w:rPr>
          <w:sz w:val="19"/>
        </w:rPr>
        <w:t>EGLAS </w:t>
      </w:r>
      <w:r>
        <w:rPr>
          <w:sz w:val="24"/>
        </w:rPr>
        <w:t>F</w:t>
      </w:r>
      <w:r>
        <w:rPr>
          <w:sz w:val="19"/>
        </w:rPr>
        <w:t>ISCALES</w:t>
      </w:r>
    </w:p>
    <w:p>
      <w:pPr>
        <w:pStyle w:val="BodyText"/>
      </w:pPr>
    </w:p>
    <w:p>
      <w:pPr>
        <w:pStyle w:val="BodyText"/>
        <w:spacing w:before="3"/>
      </w:pPr>
    </w:p>
    <w:p>
      <w:pPr>
        <w:spacing w:before="0"/>
        <w:ind w:left="1003" w:right="459" w:firstLine="0"/>
        <w:jc w:val="center"/>
        <w:rPr>
          <w:b/>
          <w:sz w:val="22"/>
        </w:rPr>
      </w:pPr>
      <w:r>
        <w:rPr>
          <w:b/>
          <w:sz w:val="28"/>
        </w:rPr>
        <w:t>T</w:t>
      </w:r>
      <w:r>
        <w:rPr>
          <w:b/>
          <w:sz w:val="22"/>
        </w:rPr>
        <w:t>ESIS </w:t>
      </w:r>
      <w:r>
        <w:rPr>
          <w:b/>
          <w:sz w:val="28"/>
        </w:rPr>
        <w:t>D</w:t>
      </w:r>
      <w:r>
        <w:rPr>
          <w:b/>
          <w:sz w:val="22"/>
        </w:rPr>
        <w:t>OCTORAL</w:t>
      </w:r>
    </w:p>
    <w:p>
      <w:pPr>
        <w:pStyle w:val="BodyText"/>
        <w:spacing w:before="157"/>
        <w:ind w:left="1003" w:right="462"/>
        <w:jc w:val="center"/>
      </w:pPr>
      <w:r>
        <w:rPr/>
        <w:t>que para obtener el grado de</w:t>
      </w:r>
    </w:p>
    <w:p>
      <w:pPr>
        <w:pStyle w:val="BodyText"/>
        <w:spacing w:line="720" w:lineRule="auto" w:before="137"/>
        <w:ind w:left="2748" w:right="2206"/>
        <w:jc w:val="center"/>
      </w:pPr>
      <w:r>
        <w:rPr/>
        <w:drawing>
          <wp:anchor distT="0" distB="0" distL="0" distR="0" allowOverlap="1" layoutInCell="1" locked="0" behindDoc="0" simplePos="0" relativeHeight="1096">
            <wp:simplePos x="0" y="0"/>
            <wp:positionH relativeFrom="page">
              <wp:posOffset>1171486</wp:posOffset>
            </wp:positionH>
            <wp:positionV relativeFrom="paragraph">
              <wp:posOffset>1130614</wp:posOffset>
            </wp:positionV>
            <wp:extent cx="1000317" cy="1162232"/>
            <wp:effectExtent l="0" t="0" r="0" b="0"/>
            <wp:wrapNone/>
            <wp:docPr id="1" name="image4.png" descr=""/>
            <wp:cNvGraphicFramePr>
              <a:graphicFrameLocks noChangeAspect="1"/>
            </wp:cNvGraphicFramePr>
            <a:graphic>
              <a:graphicData uri="http://schemas.openxmlformats.org/drawingml/2006/picture">
                <pic:pic>
                  <pic:nvPicPr>
                    <pic:cNvPr id="2" name="image4.png"/>
                    <pic:cNvPicPr/>
                  </pic:nvPicPr>
                  <pic:blipFill>
                    <a:blip r:embed="rId8" cstate="print"/>
                    <a:stretch>
                      <a:fillRect/>
                    </a:stretch>
                  </pic:blipFill>
                  <pic:spPr>
                    <a:xfrm>
                      <a:off x="0" y="0"/>
                      <a:ext cx="1000317" cy="1162232"/>
                    </a:xfrm>
                    <a:prstGeom prst="rect">
                      <a:avLst/>
                    </a:prstGeom>
                  </pic:spPr>
                </pic:pic>
              </a:graphicData>
            </a:graphic>
          </wp:anchor>
        </w:drawing>
      </w:r>
      <w:r>
        <w:rPr/>
        <w:t>Doctor en Ciencias Económico Administrativas Presenta:</w:t>
      </w:r>
    </w:p>
    <w:p>
      <w:pPr>
        <w:pStyle w:val="Heading4"/>
        <w:spacing w:before="25"/>
        <w:ind w:left="998" w:right="462" w:firstLine="0"/>
        <w:jc w:val="center"/>
      </w:pPr>
      <w:r>
        <w:rPr/>
        <w:t>Roger Alejandro Banegas Rivero</w:t>
      </w:r>
    </w:p>
    <w:p>
      <w:pPr>
        <w:pStyle w:val="BodyText"/>
        <w:rPr>
          <w:b/>
        </w:rPr>
      </w:pPr>
    </w:p>
    <w:p>
      <w:pPr>
        <w:pStyle w:val="BodyText"/>
        <w:rPr>
          <w:b/>
        </w:rPr>
      </w:pPr>
    </w:p>
    <w:p>
      <w:pPr>
        <w:pStyle w:val="BodyText"/>
        <w:spacing w:before="8"/>
        <w:rPr>
          <w:b/>
          <w:sz w:val="35"/>
        </w:rPr>
      </w:pPr>
    </w:p>
    <w:p>
      <w:pPr>
        <w:pStyle w:val="BodyText"/>
        <w:ind w:left="1003" w:right="460"/>
        <w:jc w:val="center"/>
      </w:pPr>
      <w:r>
        <w:rPr/>
        <w:t>Comité Tutorial:</w:t>
      </w:r>
    </w:p>
    <w:p>
      <w:pPr>
        <w:pStyle w:val="BodyText"/>
        <w:spacing w:line="362" w:lineRule="auto" w:before="137"/>
        <w:ind w:left="3509" w:right="2965"/>
        <w:jc w:val="center"/>
      </w:pPr>
      <w:r>
        <w:rPr/>
        <w:drawing>
          <wp:anchor distT="0" distB="0" distL="0" distR="0" allowOverlap="1" layoutInCell="1" locked="0" behindDoc="0" simplePos="0" relativeHeight="1120">
            <wp:simplePos x="0" y="0"/>
            <wp:positionH relativeFrom="page">
              <wp:posOffset>1104900</wp:posOffset>
            </wp:positionH>
            <wp:positionV relativeFrom="paragraph">
              <wp:posOffset>494069</wp:posOffset>
            </wp:positionV>
            <wp:extent cx="1152525" cy="1066800"/>
            <wp:effectExtent l="0" t="0" r="0" b="0"/>
            <wp:wrapNone/>
            <wp:docPr id="3" name="image5.png" descr=""/>
            <wp:cNvGraphicFramePr>
              <a:graphicFrameLocks noChangeAspect="1"/>
            </wp:cNvGraphicFramePr>
            <a:graphic>
              <a:graphicData uri="http://schemas.openxmlformats.org/drawingml/2006/picture">
                <pic:pic>
                  <pic:nvPicPr>
                    <pic:cNvPr id="4" name="image5.png"/>
                    <pic:cNvPicPr/>
                  </pic:nvPicPr>
                  <pic:blipFill>
                    <a:blip r:embed="rId9" cstate="print"/>
                    <a:stretch>
                      <a:fillRect/>
                    </a:stretch>
                  </pic:blipFill>
                  <pic:spPr>
                    <a:xfrm>
                      <a:off x="0" y="0"/>
                      <a:ext cx="1152525" cy="1066800"/>
                    </a:xfrm>
                    <a:prstGeom prst="rect">
                      <a:avLst/>
                    </a:prstGeom>
                  </pic:spPr>
                </pic:pic>
              </a:graphicData>
            </a:graphic>
          </wp:anchor>
        </w:drawing>
      </w:r>
      <w:r>
        <w:rPr/>
        <w:t>Dra. Reyna Vergara González Tutora</w:t>
      </w:r>
    </w:p>
    <w:p>
      <w:pPr>
        <w:pStyle w:val="BodyText"/>
        <w:spacing w:line="360" w:lineRule="auto" w:before="1"/>
        <w:ind w:left="3509" w:right="2968"/>
        <w:jc w:val="center"/>
      </w:pPr>
      <w:r>
        <w:rPr/>
        <w:t>Dr. Ma. Esther Morales Fajardo Lectora externa</w:t>
      </w:r>
    </w:p>
    <w:p>
      <w:pPr>
        <w:pStyle w:val="BodyText"/>
        <w:spacing w:line="360" w:lineRule="auto" w:before="4"/>
        <w:ind w:left="3509" w:right="2968"/>
        <w:jc w:val="center"/>
      </w:pPr>
      <w:r>
        <w:rPr/>
        <w:t>Dr. Miguel A. Díaz Carreño Lector interno</w:t>
      </w:r>
    </w:p>
    <w:p>
      <w:pPr>
        <w:pStyle w:val="BodyText"/>
      </w:pPr>
    </w:p>
    <w:p>
      <w:pPr>
        <w:pStyle w:val="BodyText"/>
      </w:pPr>
    </w:p>
    <w:p>
      <w:pPr>
        <w:pStyle w:val="BodyText"/>
        <w:spacing w:before="3"/>
      </w:pPr>
    </w:p>
    <w:p>
      <w:pPr>
        <w:pStyle w:val="BodyText"/>
        <w:spacing w:before="1"/>
        <w:ind w:left="1003" w:right="461"/>
        <w:jc w:val="center"/>
      </w:pPr>
      <w:r>
        <w:rPr/>
        <w:t>Toluca, México, octubre de 2014</w:t>
      </w:r>
    </w:p>
    <w:p>
      <w:pPr>
        <w:spacing w:after="0"/>
        <w:jc w:val="center"/>
        <w:sectPr>
          <w:type w:val="continuous"/>
          <w:pgSz w:w="12250" w:h="15850"/>
          <w:pgMar w:top="1500" w:bottom="280" w:left="1080" w:right="1620"/>
        </w:sectPr>
      </w:pPr>
    </w:p>
    <w:p>
      <w:pPr>
        <w:pStyle w:val="Heading4"/>
        <w:spacing w:before="53"/>
        <w:ind w:left="0" w:right="19" w:firstLine="0"/>
        <w:jc w:val="center"/>
      </w:pPr>
      <w:r>
        <w:rPr/>
        <w:t>Resumen</w:t>
      </w:r>
    </w:p>
    <w:p>
      <w:pPr>
        <w:pStyle w:val="BodyText"/>
        <w:spacing w:line="360" w:lineRule="auto" w:before="134"/>
        <w:ind w:left="102" w:right="115" w:firstLine="707"/>
        <w:jc w:val="both"/>
      </w:pPr>
      <w:r>
        <w:rPr/>
        <w:t>La posición fiscal de un país corresponde al análisis del estado contable de corto y mediano plazo del resultado fiscal y de la deuda pública. Para países dependientes de un recurso natural se suele analizar el resultado fiscal con y sin petróleo; sin embargo,   en </w:t>
      </w:r>
      <w:r>
        <w:rPr>
          <w:w w:val="177"/>
        </w:rPr>
        <w:t> </w:t>
      </w:r>
      <w:r>
        <w:rPr>
          <w:w w:val="148"/>
        </w:rPr>
        <w:t>   </w:t>
      </w:r>
    </w:p>
    <w:p>
      <w:pPr>
        <w:pStyle w:val="BodyText"/>
        <w:spacing w:line="360" w:lineRule="auto" w:before="4"/>
        <w:ind w:left="102" w:right="127"/>
      </w:pPr>
      <w:r>
        <w:rPr>
          <w:w w:val="142"/>
        </w:rPr>
        <w:t>     </w:t>
      </w:r>
      <w:r>
        <w:rPr/>
        <w:t>  </w:t>
      </w:r>
      <w:r>
        <w:rPr>
          <w:spacing w:val="-29"/>
        </w:rPr>
        <w:t> </w:t>
      </w:r>
      <w:r>
        <w:rPr>
          <w:w w:val="1"/>
        </w:rPr>
        <w:t> </w:t>
      </w:r>
      <w:r>
        <w:rPr/>
        <w:t> </w:t>
      </w:r>
      <w:r>
        <w:rPr>
          <w:spacing w:val="-30"/>
        </w:rPr>
        <w:t> </w:t>
      </w:r>
      <w:r>
        <w:rPr>
          <w:spacing w:val="-1"/>
          <w:w w:val="177"/>
        </w:rPr>
        <w:t> </w:t>
      </w:r>
      <w:r>
        <w:rPr>
          <w:w w:val="140"/>
        </w:rPr>
        <w:t>   </w:t>
      </w:r>
      <w:r>
        <w:rPr>
          <w:spacing w:val="-1"/>
          <w:w w:val="177"/>
        </w:rPr>
        <w:t>  </w:t>
      </w:r>
      <w:r>
        <w:rPr>
          <w:spacing w:val="3"/>
          <w:w w:val="200"/>
        </w:rPr>
        <w:t> </w:t>
      </w:r>
      <w:r>
        <w:rPr>
          <w:w w:val="177"/>
        </w:rPr>
        <w:t> </w:t>
      </w:r>
      <w:r>
        <w:rPr/>
        <w:t> </w:t>
      </w:r>
      <w:r>
        <w:rPr>
          <w:spacing w:val="-30"/>
        </w:rPr>
        <w:t> </w:t>
      </w:r>
      <w:r>
        <w:rPr>
          <w:w w:val="188"/>
        </w:rPr>
        <w:t> </w:t>
      </w:r>
      <w:r>
        <w:rPr>
          <w:spacing w:val="1"/>
          <w:w w:val="188"/>
        </w:rPr>
        <w:t> </w:t>
      </w:r>
      <w:r>
        <w:rPr>
          <w:w w:val="155"/>
        </w:rPr>
        <w:t>  </w:t>
      </w:r>
      <w:r>
        <w:rPr/>
        <w:t> </w:t>
      </w:r>
      <w:r>
        <w:rPr>
          <w:spacing w:val="-29"/>
        </w:rPr>
        <w:t> </w:t>
      </w:r>
      <w:r>
        <w:rPr>
          <w:spacing w:val="-1"/>
          <w:w w:val="177"/>
        </w:rPr>
        <w:t> </w:t>
      </w:r>
      <w:r>
        <w:rPr>
          <w:w w:val="111"/>
        </w:rPr>
        <w:t> </w:t>
      </w:r>
      <w:r>
        <w:rPr/>
        <w:t> </w:t>
      </w:r>
      <w:r>
        <w:rPr>
          <w:spacing w:val="-29"/>
        </w:rPr>
        <w:t> </w:t>
      </w:r>
      <w:r>
        <w:rPr>
          <w:spacing w:val="1"/>
          <w:w w:val="177"/>
        </w:rPr>
        <w:t> </w:t>
      </w:r>
      <w:r>
        <w:rPr>
          <w:spacing w:val="-1"/>
          <w:w w:val="177"/>
        </w:rPr>
        <w:t> </w:t>
      </w:r>
      <w:r>
        <w:rPr>
          <w:w w:val="177"/>
        </w:rPr>
        <w:t>  </w:t>
      </w:r>
      <w:r>
        <w:rPr/>
        <w:t> </w:t>
      </w:r>
      <w:r>
        <w:rPr>
          <w:spacing w:val="-29"/>
        </w:rPr>
        <w:t> </w:t>
      </w:r>
      <w:r>
        <w:rPr>
          <w:w w:val="188"/>
        </w:rPr>
        <w:t>  </w:t>
      </w:r>
      <w:r>
        <w:rPr/>
        <w:t> </w:t>
      </w:r>
      <w:r>
        <w:rPr>
          <w:spacing w:val="-28"/>
        </w:rPr>
        <w:t> </w:t>
      </w:r>
      <w:r>
        <w:rPr>
          <w:spacing w:val="-2"/>
          <w:w w:val="266"/>
        </w:rPr>
        <w:t> </w:t>
      </w:r>
      <w:r>
        <w:rPr>
          <w:w w:val="140"/>
        </w:rPr>
        <w:t>   </w:t>
      </w:r>
      <w:r>
        <w:rPr>
          <w:w w:val="162"/>
        </w:rPr>
        <w:t>   </w:t>
      </w:r>
      <w:r>
        <w:rPr/>
        <w:t> </w:t>
      </w:r>
      <w:r>
        <w:rPr>
          <w:w w:val="1"/>
        </w:rPr>
        <w:t> </w:t>
      </w:r>
      <w:r>
        <w:rPr/>
        <w:t>  </w:t>
      </w:r>
      <w:r>
        <w:rPr>
          <w:spacing w:val="1"/>
        </w:rPr>
        <w:t> </w:t>
      </w:r>
      <w:r>
        <w:rPr>
          <w:spacing w:val="2"/>
          <w:w w:val="155"/>
        </w:rPr>
        <w:t> </w:t>
      </w:r>
      <w:r>
        <w:rPr>
          <w:w w:val="177"/>
        </w:rPr>
        <w:t> </w:t>
      </w:r>
      <w:r>
        <w:rPr/>
        <w:t> </w:t>
      </w:r>
      <w:r>
        <w:rPr>
          <w:spacing w:val="-30"/>
        </w:rPr>
        <w:t> </w:t>
      </w:r>
      <w:r>
        <w:rPr>
          <w:spacing w:val="-1"/>
          <w:w w:val="177"/>
        </w:rPr>
        <w:t> </w:t>
      </w:r>
      <w:r>
        <w:rPr>
          <w:spacing w:val="2"/>
          <w:w w:val="200"/>
        </w:rPr>
        <w:t> </w:t>
      </w:r>
      <w:r>
        <w:rPr>
          <w:spacing w:val="1"/>
          <w:w w:val="177"/>
        </w:rPr>
        <w:t> </w:t>
      </w:r>
      <w:r>
        <w:rPr>
          <w:w w:val="211"/>
        </w:rPr>
        <w:t>  </w:t>
      </w:r>
      <w:r>
        <w:rPr>
          <w:w w:val="188"/>
        </w:rPr>
        <w:t>  </w:t>
      </w:r>
      <w:r>
        <w:rPr/>
        <w:t> </w:t>
      </w:r>
      <w:r>
        <w:rPr>
          <w:spacing w:val="-30"/>
        </w:rPr>
        <w:t> </w:t>
      </w:r>
      <w:r>
        <w:rPr>
          <w:spacing w:val="-1"/>
          <w:w w:val="177"/>
        </w:rPr>
        <w:t> </w:t>
      </w:r>
      <w:r>
        <w:rPr>
          <w:w w:val="111"/>
        </w:rPr>
        <w:t> </w:t>
      </w:r>
      <w:r>
        <w:rPr/>
        <w:t> </w:t>
      </w:r>
      <w:r>
        <w:rPr>
          <w:spacing w:val="-29"/>
        </w:rPr>
        <w:t> </w:t>
      </w:r>
      <w:r>
        <w:rPr>
          <w:w w:val="188"/>
        </w:rPr>
        <w:t> </w:t>
      </w:r>
      <w:r>
        <w:rPr>
          <w:spacing w:val="-1"/>
          <w:w w:val="188"/>
        </w:rPr>
        <w:t> </w:t>
      </w:r>
      <w:r>
        <w:rPr>
          <w:w w:val="162"/>
        </w:rPr>
        <w:t>  </w:t>
      </w:r>
      <w:r>
        <w:rPr>
          <w:spacing w:val="1"/>
          <w:w w:val="162"/>
        </w:rPr>
        <w:t> </w:t>
      </w:r>
      <w:r>
        <w:rPr>
          <w:spacing w:val="-1"/>
          <w:w w:val="177"/>
        </w:rPr>
        <w:t> </w:t>
      </w:r>
      <w:r>
        <w:rPr>
          <w:w w:val="177"/>
        </w:rPr>
        <w:t> </w:t>
      </w:r>
      <w:r>
        <w:rPr/>
        <w:t> </w:t>
      </w:r>
      <w:r>
        <w:rPr>
          <w:spacing w:val="-28"/>
        </w:rPr>
        <w:t> </w:t>
      </w:r>
      <w:r>
        <w:rPr>
          <w:w w:val="144"/>
        </w:rPr>
        <w:t>   </w:t>
      </w:r>
      <w:r>
        <w:rPr>
          <w:spacing w:val="-1"/>
          <w:w w:val="144"/>
        </w:rPr>
        <w:t> </w:t>
      </w:r>
      <w:r>
        <w:rPr>
          <w:spacing w:val="-1"/>
          <w:w w:val="177"/>
        </w:rPr>
        <w:t> </w:t>
      </w:r>
      <w:r>
        <w:rPr>
          <w:w w:val="111"/>
        </w:rPr>
        <w:t> </w:t>
      </w:r>
      <w:r>
        <w:rPr/>
        <w:t> </w:t>
      </w:r>
      <w:r>
        <w:rPr>
          <w:spacing w:val="-27"/>
        </w:rPr>
        <w:t> </w:t>
      </w:r>
      <w:r>
        <w:rPr>
          <w:spacing w:val="1"/>
          <w:w w:val="177"/>
        </w:rPr>
        <w:t> </w:t>
      </w:r>
      <w:r>
        <w:rPr>
          <w:w w:val="200"/>
        </w:rPr>
        <w:t>  </w:t>
      </w:r>
      <w:r>
        <w:rPr/>
        <w:t> </w:t>
      </w:r>
      <w:r>
        <w:rPr>
          <w:spacing w:val="-27"/>
        </w:rPr>
        <w:t> </w:t>
      </w:r>
      <w:r>
        <w:rPr>
          <w:w w:val="200"/>
        </w:rPr>
        <w:t> </w:t>
      </w:r>
      <w:r>
        <w:rPr>
          <w:spacing w:val="28"/>
        </w:rPr>
        <w:t> </w:t>
      </w:r>
      <w:r>
        <w:rPr>
          <w:w w:val="155"/>
        </w:rPr>
        <w:t>   </w:t>
      </w:r>
      <w:r>
        <w:rPr/>
        <w:t> </w:t>
      </w:r>
      <w:r>
        <w:rPr>
          <w:spacing w:val="-29"/>
        </w:rPr>
        <w:t> </w:t>
      </w:r>
      <w:r>
        <w:rPr>
          <w:w w:val="164"/>
        </w:rPr>
        <w:t>    </w:t>
      </w:r>
      <w:r>
        <w:rPr>
          <w:spacing w:val="-2"/>
          <w:w w:val="164"/>
        </w:rPr>
        <w:t> </w:t>
      </w:r>
      <w:r>
        <w:rPr>
          <w:w w:val="170"/>
        </w:rPr>
        <w:t>   </w:t>
      </w:r>
      <w:r>
        <w:rPr>
          <w:w w:val="99"/>
        </w:rPr>
        <w:t>fis</w:t>
      </w:r>
      <w:r>
        <w:rPr>
          <w:spacing w:val="-1"/>
          <w:w w:val="99"/>
        </w:rPr>
        <w:t>c</w:t>
      </w:r>
      <w:r>
        <w:rPr>
          <w:spacing w:val="-1"/>
        </w:rPr>
        <w:t>a</w:t>
      </w:r>
      <w:r>
        <w:rPr>
          <w:w w:val="99"/>
        </w:rPr>
        <w:t>les</w:t>
      </w:r>
      <w:r>
        <w:rPr/>
        <w:t> p</w:t>
      </w:r>
      <w:r>
        <w:rPr>
          <w:spacing w:val="-1"/>
        </w:rPr>
        <w:t>r</w:t>
      </w:r>
      <w:r>
        <w:rPr/>
        <w:t>o</w:t>
      </w:r>
      <w:r>
        <w:rPr>
          <w:spacing w:val="2"/>
        </w:rPr>
        <w:t>v</w:t>
      </w:r>
      <w:r>
        <w:rPr>
          <w:spacing w:val="-1"/>
        </w:rPr>
        <w:t>e</w:t>
      </w:r>
      <w:r>
        <w:rPr/>
        <w:t>nient</w:t>
      </w:r>
      <w:r>
        <w:rPr>
          <w:spacing w:val="-1"/>
        </w:rPr>
        <w:t>e</w:t>
      </w:r>
      <w:r>
        <w:rPr>
          <w:w w:val="99"/>
        </w:rPr>
        <w:t>s</w:t>
      </w:r>
      <w:r>
        <w:rPr/>
        <w:t> del</w:t>
      </w:r>
      <w:r>
        <w:rPr>
          <w:spacing w:val="2"/>
        </w:rPr>
        <w:t> </w:t>
      </w:r>
      <w:r>
        <w:rPr>
          <w:spacing w:val="-3"/>
        </w:rPr>
        <w:t>g</w:t>
      </w:r>
      <w:r>
        <w:rPr>
          <w:spacing w:val="-1"/>
        </w:rPr>
        <w:t>a</w:t>
      </w:r>
      <w:r>
        <w:rPr>
          <w:w w:val="99"/>
        </w:rPr>
        <w:t>s</w:t>
      </w:r>
      <w:r>
        <w:rPr/>
        <w:t> </w:t>
      </w:r>
      <w:r>
        <w:rPr>
          <w:spacing w:val="2"/>
        </w:rPr>
        <w:t>n</w:t>
      </w:r>
      <w:r>
        <w:rPr>
          <w:spacing w:val="-1"/>
        </w:rPr>
        <w:t>a</w:t>
      </w:r>
      <w:r>
        <w:rPr/>
        <w:t>tur</w:t>
      </w:r>
      <w:r>
        <w:rPr>
          <w:spacing w:val="-2"/>
        </w:rPr>
        <w:t>a</w:t>
      </w:r>
      <w:r>
        <w:rPr/>
        <w:t>l (i</w:t>
      </w:r>
      <w:r>
        <w:rPr>
          <w:spacing w:val="2"/>
        </w:rPr>
        <w:t>n</w:t>
      </w:r>
      <w:r>
        <w:rPr>
          <w:spacing w:val="-3"/>
        </w:rPr>
        <w:t>g</w:t>
      </w:r>
      <w:r>
        <w:rPr>
          <w:spacing w:val="1"/>
        </w:rPr>
        <w:t>r</w:t>
      </w:r>
      <w:r>
        <w:rPr>
          <w:spacing w:val="-1"/>
        </w:rPr>
        <w:t>e</w:t>
      </w:r>
      <w:r>
        <w:rPr>
          <w:w w:val="99"/>
        </w:rPr>
        <w:t>sos</w:t>
      </w:r>
      <w:r>
        <w:rPr>
          <w:spacing w:val="2"/>
        </w:rPr>
        <w:t> </w:t>
      </w:r>
      <w:r>
        <w:rPr>
          <w:spacing w:val="-3"/>
        </w:rPr>
        <w:t>g</w:t>
      </w:r>
      <w:r>
        <w:rPr>
          <w:spacing w:val="-1"/>
        </w:rPr>
        <w:t>a</w:t>
      </w:r>
      <w:r>
        <w:rPr>
          <w:w w:val="99"/>
        </w:rPr>
        <w:t>s</w:t>
      </w:r>
      <w:r>
        <w:rPr>
          <w:spacing w:val="2"/>
          <w:w w:val="99"/>
        </w:rPr>
        <w:t>í</w:t>
      </w:r>
      <w:r>
        <w:rPr>
          <w:w w:val="99"/>
        </w:rPr>
        <w:t>f</w:t>
      </w:r>
      <w:r>
        <w:rPr>
          <w:spacing w:val="-2"/>
          <w:w w:val="99"/>
        </w:rPr>
        <w:t>e</w:t>
      </w:r>
      <w:r>
        <w:rPr>
          <w:w w:val="99"/>
        </w:rPr>
        <w:t>ros</w:t>
      </w:r>
      <w:r>
        <w:rPr>
          <w:spacing w:val="4"/>
        </w:rPr>
        <w:t> </w:t>
      </w:r>
      <w:r>
        <w:rPr/>
        <w:t>y</w:t>
      </w:r>
      <w:r>
        <w:rPr>
          <w:spacing w:val="-5"/>
        </w:rPr>
        <w:t> </w:t>
      </w:r>
      <w:r>
        <w:rPr/>
        <w:t>no</w:t>
      </w:r>
      <w:r>
        <w:rPr>
          <w:spacing w:val="2"/>
        </w:rPr>
        <w:t> </w:t>
      </w:r>
      <w:r>
        <w:rPr>
          <w:spacing w:val="-3"/>
        </w:rPr>
        <w:t>g</w:t>
      </w:r>
      <w:r>
        <w:rPr>
          <w:spacing w:val="-1"/>
        </w:rPr>
        <w:t>a</w:t>
      </w:r>
      <w:r>
        <w:rPr>
          <w:w w:val="99"/>
        </w:rPr>
        <w:t>sí</w:t>
      </w:r>
      <w:r>
        <w:rPr>
          <w:spacing w:val="2"/>
          <w:w w:val="99"/>
        </w:rPr>
        <w:t>f</w:t>
      </w:r>
      <w:r>
        <w:rPr>
          <w:spacing w:val="-1"/>
        </w:rPr>
        <w:t>e</w:t>
      </w:r>
      <w:r>
        <w:rPr>
          <w:w w:val="99"/>
        </w:rPr>
        <w:t>ros</w:t>
      </w:r>
      <w:r>
        <w:rPr>
          <w:spacing w:val="2"/>
          <w:w w:val="99"/>
        </w:rPr>
        <w:t>)</w:t>
      </w:r>
      <w:r>
        <w:rPr/>
        <w:t>.</w:t>
      </w:r>
    </w:p>
    <w:p>
      <w:pPr>
        <w:pStyle w:val="BodyText"/>
        <w:spacing w:line="360" w:lineRule="auto" w:before="4"/>
        <w:ind w:left="102" w:right="117" w:firstLine="707"/>
        <w:jc w:val="both"/>
      </w:pPr>
      <w:r>
        <w:rPr/>
        <w:t>El problema de investigación surge en dos ámbitos: i) la ausencia de una regla fiscal para Bolivia (problema práctico); ii) el rol que ejercen los choques de precios del gas  natural y la asignación de los ingresos fiscales al gasto público con determinaciones sobre  la posición fiscal (problema teórico). Finalmente, se plantean reglas fiscales comparativas en función de diferentes alternativas de canalización de ingresos del recurso natural hacia el gasto de capital. El propósito de los diversos escenarios planteados es evidenciar una  mejora en la trayectoria  de la deuda pública en el corto y mediano</w:t>
      </w:r>
      <w:r>
        <w:rPr>
          <w:spacing w:val="-9"/>
        </w:rPr>
        <w:t> </w:t>
      </w:r>
      <w:r>
        <w:rPr/>
        <w:t>plazo.</w:t>
      </w:r>
    </w:p>
    <w:p>
      <w:pPr>
        <w:pStyle w:val="BodyText"/>
        <w:spacing w:line="360" w:lineRule="auto" w:before="6"/>
        <w:ind w:left="102" w:right="117" w:firstLine="707"/>
        <w:jc w:val="both"/>
      </w:pPr>
      <w:r>
        <w:rPr/>
        <w:t>Bajo el contexto de finanzas públicas dependientes de recursos naturales existen dos confrontaciones teóricas: ahorrar los ingresos fiscales del recurso natural acorde a la teoría del ingreso permanente (postura neoclásica) o canalizarlos a la inversión pública desde la teoría modificada del ingreso permanente (postura Keynesiana). En esta investigación, se parte de la premisa que economías en vías de desarrollo necesitan de inversión pública para el desarrollo y necesidades sociales.</w:t>
      </w:r>
    </w:p>
    <w:p>
      <w:pPr>
        <w:pStyle w:val="BodyText"/>
        <w:spacing w:line="360" w:lineRule="auto" w:before="6"/>
        <w:ind w:left="102" w:right="116" w:firstLine="707"/>
        <w:jc w:val="both"/>
      </w:pPr>
      <w:r>
        <w:rPr/>
        <w:t>La tesis ofrece dos elementos de análisis para la posición fiscal de Bolivia: i) demostrar que en los resultados fiscales (con y sin recurso natural), los choques en la asignación de los ingresos fiscales al gasto público ejercen un rol más relevante que los choques de precios del gas natural; ii) los choques de precios del gas natural son  el elemento más significativo para la deuda pública con un manejo contracíclico. De forma adicional, se realiza un aporte práctico  propuesta                    al considerar la inexistencia de una regla fiscal para este</w:t>
      </w:r>
      <w:r>
        <w:rPr>
          <w:spacing w:val="-8"/>
        </w:rPr>
        <w:t> </w:t>
      </w:r>
      <w:r>
        <w:rPr/>
        <w:t>país.</w:t>
      </w:r>
    </w:p>
    <w:p>
      <w:pPr>
        <w:pStyle w:val="BodyText"/>
        <w:spacing w:line="360" w:lineRule="auto" w:before="4"/>
        <w:ind w:left="102" w:right="119" w:firstLine="707"/>
        <w:jc w:val="both"/>
      </w:pPr>
      <w:r>
        <w:rPr/>
        <w:t>Para ello, se toma el caso particular de Bolivia, cuyas finanzas públicas dependen del gas natural, con base en información trimestral: 2003-2011, al emplear la metodología de vectores autoregresivos estructural (SVAR) y pronóstico de la posición fiscal en cinco años en adelante (2012-2016) con diversas reglas fiscales en comparación con un escenario base sin regla</w:t>
      </w:r>
      <w:r>
        <w:rPr>
          <w:spacing w:val="-5"/>
        </w:rPr>
        <w:t> </w:t>
      </w:r>
      <w:r>
        <w:rPr/>
        <w:t>fiscal.</w:t>
      </w:r>
    </w:p>
    <w:p>
      <w:pPr>
        <w:spacing w:after="0" w:line="360" w:lineRule="auto"/>
        <w:jc w:val="both"/>
        <w:sectPr>
          <w:pgSz w:w="12250" w:h="15850"/>
          <w:pgMar w:top="1360" w:bottom="280" w:left="1600" w:right="1580"/>
        </w:sectPr>
      </w:pPr>
    </w:p>
    <w:p>
      <w:pPr>
        <w:pStyle w:val="BodyText"/>
        <w:spacing w:before="48"/>
        <w:ind w:left="810" w:right="127"/>
      </w:pPr>
      <w:r>
        <w:rPr/>
        <w:t>Los resultados de la investigación revelaron los siguientes puntos principales:</w:t>
      </w:r>
    </w:p>
    <w:p>
      <w:pPr>
        <w:pStyle w:val="BodyText"/>
        <w:spacing w:line="360" w:lineRule="auto" w:before="139"/>
        <w:ind w:left="102" w:right="113" w:firstLine="707"/>
        <w:jc w:val="both"/>
      </w:pPr>
      <w:r>
        <w:rPr/>
        <w:t>Al contemplar los ingresos del gas natural, un choque positivo en los precios del gas natural derivó en menor gasto de capital con relación a los ingresos fiscales del recurso natural; efecto positivo sobre los resultados fiscales (generación de superávits); y disminución de la deuda pública.</w:t>
      </w:r>
    </w:p>
    <w:p>
      <w:pPr>
        <w:pStyle w:val="BodyText"/>
        <w:spacing w:line="360" w:lineRule="auto" w:before="6"/>
        <w:ind w:left="102" w:right="118" w:firstLine="707"/>
        <w:jc w:val="both"/>
      </w:pPr>
      <w:r>
        <w:rPr/>
        <w:t>Al omitir los ingresos del gas natural, un choque positivo en los precios del gas natural resultó en mayor gasto corriente con relación a los ingresos fiscales no gasíferos, cuyo mecanismo deterioró el balance fiscal sin recurso natural. Los choques de precios no influyeron unidireccionalmente sobre el resultado fiscal sin recurso natural; por tanto, la asignación de ingresos fiscales al gasto público fue el canal de transmisión.</w:t>
      </w:r>
    </w:p>
    <w:p>
      <w:pPr>
        <w:pStyle w:val="BodyText"/>
        <w:spacing w:line="360" w:lineRule="auto" w:before="4"/>
        <w:ind w:left="102" w:right="119" w:firstLine="707"/>
        <w:jc w:val="both"/>
      </w:pPr>
      <w:r>
        <w:rPr/>
        <w:t>Para el período abordado, 2003-2011, la posición fiscal de Bolivia fue insostenible dada la presencia de niveles progresivos en el déficit primario sin recurso natural, cuya insostenibilidad se profundizó a partir de la nacionalización de los hidrocarburos (2006).</w:t>
      </w:r>
    </w:p>
    <w:p>
      <w:pPr>
        <w:pStyle w:val="BodyText"/>
        <w:spacing w:line="360" w:lineRule="auto" w:before="6"/>
        <w:ind w:left="102" w:right="121" w:firstLine="707"/>
        <w:jc w:val="both"/>
      </w:pPr>
      <w:r>
        <w:rPr/>
        <w:t>Para el mediano plazo (hasta el 2016) se reduce la volatilidad de la deuda pública cuando se introduce una regla fiscal al eliminar el comportamiento estocástico de la asignación de ingresos fiscales (con y sin recurso natural) al gasto de capital y gasto corriente con valores objetivos de convergencia sobre los resultados fiscales.</w:t>
      </w:r>
    </w:p>
    <w:p>
      <w:pPr>
        <w:pStyle w:val="BodyText"/>
        <w:spacing w:line="360" w:lineRule="auto" w:before="6"/>
        <w:ind w:left="102" w:right="118" w:firstLine="707"/>
        <w:jc w:val="both"/>
      </w:pPr>
      <w:r>
        <w:rPr/>
        <w:t>El impacto de introducir una regla fiscal recae sobre </w:t>
      </w:r>
      <w:r>
        <w:rPr>
          <w:spacing w:val="3"/>
        </w:rPr>
        <w:t>la </w:t>
      </w:r>
      <w:r>
        <w:rPr/>
        <w:t>deuda pública a PIB  máxima, que se determina en función de distintas magnitudes de ingresos fiscales canalizados hacia el gasto de capital (ej. baja, intermedia o alta), además de financiar parte del gasto corriente, cuyos mecanismos señalan una mejor trayectoria del endeudamiento público en comparación del escenario base (sin regla</w:t>
      </w:r>
      <w:r>
        <w:rPr>
          <w:spacing w:val="-10"/>
        </w:rPr>
        <w:t> </w:t>
      </w:r>
      <w:r>
        <w:rPr/>
        <w:t>fiscal).</w:t>
      </w:r>
    </w:p>
    <w:p>
      <w:pPr>
        <w:pStyle w:val="BodyText"/>
        <w:spacing w:line="360" w:lineRule="auto" w:before="4"/>
        <w:ind w:left="102" w:right="120" w:firstLine="707"/>
        <w:jc w:val="both"/>
      </w:pPr>
      <w:r>
        <w:rPr/>
        <w:t>Para el caso de Bolivia, la sugerencia principal es una orientación fiscal basada en la generación de superávits fiscales en épocas de auges de precios externos para ser  empleados de forma contracíclica durante tiempos de</w:t>
      </w:r>
      <w:r>
        <w:rPr>
          <w:spacing w:val="-11"/>
        </w:rPr>
        <w:t> </w:t>
      </w:r>
      <w:r>
        <w:rPr/>
        <w:t>recesión.</w:t>
      </w:r>
    </w:p>
    <w:p>
      <w:pPr>
        <w:pStyle w:val="Heading4"/>
        <w:spacing w:before="11"/>
        <w:ind w:left="102" w:right="127" w:firstLine="0"/>
      </w:pPr>
      <w:r>
        <w:rPr/>
        <w:t>Palabras claves:</w:t>
      </w:r>
    </w:p>
    <w:p>
      <w:pPr>
        <w:pStyle w:val="BodyText"/>
        <w:spacing w:line="360" w:lineRule="auto" w:before="132"/>
        <w:ind w:left="102" w:right="127"/>
      </w:pPr>
      <w:r>
        <w:rPr/>
        <w:t>Posición fiscal, choques de precios del gas natural, asignación de ingresos fiscales, escenarios de reglas fiscales.</w:t>
      </w:r>
    </w:p>
    <w:p>
      <w:pPr>
        <w:spacing w:after="0" w:line="360" w:lineRule="auto"/>
        <w:sectPr>
          <w:pgSz w:w="12250" w:h="15850"/>
          <w:pgMar w:top="1360" w:bottom="280" w:left="1600" w:right="1580"/>
        </w:sectPr>
      </w:pPr>
    </w:p>
    <w:p>
      <w:pPr>
        <w:pStyle w:val="Heading4"/>
        <w:spacing w:before="53"/>
        <w:ind w:left="0" w:right="20" w:firstLine="0"/>
        <w:jc w:val="center"/>
      </w:pPr>
      <w:r>
        <w:rPr/>
        <w:t>Abstract</w:t>
      </w:r>
    </w:p>
    <w:p>
      <w:pPr>
        <w:pStyle w:val="BodyText"/>
        <w:rPr>
          <w:b/>
          <w:sz w:val="29"/>
        </w:rPr>
      </w:pPr>
    </w:p>
    <w:p>
      <w:pPr>
        <w:pStyle w:val="BodyText"/>
        <w:spacing w:line="360" w:lineRule="auto"/>
        <w:ind w:left="102" w:right="116" w:firstLine="719"/>
        <w:jc w:val="both"/>
      </w:pPr>
      <w:r>
        <w:rPr/>
        <w:t>Fiscal stance of government corresponds to analysis of accounting statement of  short and medium-term in relation to fiscal balance and public debt. For countries dependent on natural resources, it is usually to examine fiscal revenues with and without oil revenues;         however,         in         this                                 to         the         Bolivian  with and without revenues that come from natural gas</w:t>
      </w:r>
      <w:r>
        <w:rPr>
          <w:spacing w:val="-13"/>
        </w:rPr>
        <w:t> </w:t>
      </w:r>
      <w:r>
        <w:rPr/>
        <w:t>resources.</w:t>
      </w:r>
    </w:p>
    <w:p>
      <w:pPr>
        <w:pStyle w:val="BodyText"/>
        <w:spacing w:line="360" w:lineRule="auto" w:before="205"/>
        <w:ind w:left="102" w:right="116" w:firstLine="719"/>
        <w:jc w:val="both"/>
      </w:pPr>
      <w:r>
        <w:rPr/>
        <w:t>The research problem arises in two areas: i) the absence of fiscal rule for Bolivia (practical problem), ii) the role that natural gas prices shocks and the assignment of fiscal revenues to public spending play on fiscal stance (theoretical problem). Finally, there are presented comparative fiscal rules depending on different alternatives by channeling natural resource revenues to capital spending. The purpose of the various scenarios presented is to improve the prospect of public debt in the short and medium term.</w:t>
      </w:r>
    </w:p>
    <w:p>
      <w:pPr>
        <w:pStyle w:val="BodyText"/>
        <w:spacing w:line="360" w:lineRule="auto" w:before="205"/>
        <w:ind w:left="102" w:right="117" w:firstLine="719"/>
        <w:jc w:val="both"/>
      </w:pPr>
      <w:r>
        <w:rPr/>
        <w:t>Under context of dependency of public finance related to natural resources there are two theoretical confrontations: saving oil fiscal revenues according to permanent income theory (Neoclassical stance) or channeling these resources to public investment based on modified theory of permanent income (Keynesian stance). This research is based on the premise that developing economies need public investment for development and social needs.</w:t>
      </w:r>
    </w:p>
    <w:p>
      <w:pPr>
        <w:pStyle w:val="BodyText"/>
        <w:spacing w:line="360" w:lineRule="auto" w:before="203"/>
        <w:ind w:left="102" w:right="114" w:firstLine="719"/>
        <w:jc w:val="both"/>
      </w:pPr>
      <w:r>
        <w:rPr/>
        <w:t>The thesis offers two elements of considerations for the fiscal stance of Bolivia: i) demonstrating for fiscal balances (with and without oil) that assignment shocks of oil and non-oil fiscal revenues to public spending are more significant than natural gas  price shocks, ii) showing that natural gas price shocks are the most relevant to the public debt under a countercyclical mechanism. Additionally, it offers a practical contribution for the Bolivian case when considering that this country does not have an official fiscal rule.</w:t>
      </w:r>
    </w:p>
    <w:p>
      <w:pPr>
        <w:pStyle w:val="BodyText"/>
        <w:spacing w:before="205"/>
        <w:ind w:left="821" w:right="127"/>
      </w:pPr>
      <w:r>
        <w:rPr/>
        <w:t>To do this, the case of Bolivia is taken, whose  </w:t>
      </w:r>
      <w:r>
        <w:rPr>
          <w:w w:val="164"/>
        </w:rPr>
        <w:t>     </w:t>
      </w:r>
      <w:r>
        <w:rPr>
          <w:w w:val="177"/>
        </w:rPr>
        <w:t> </w:t>
      </w:r>
      <w:r>
        <w:rPr/>
        <w:t> </w:t>
      </w:r>
      <w:r>
        <w:rPr>
          <w:w w:val="155"/>
        </w:rPr>
        <w:t>    </w:t>
      </w:r>
      <w:r>
        <w:rPr>
          <w:w w:val="188"/>
        </w:rPr>
        <w:t>  </w:t>
      </w:r>
      <w:r>
        <w:rPr>
          <w:w w:val="177"/>
        </w:rPr>
        <w:t> </w:t>
      </w:r>
      <w:r>
        <w:rPr>
          <w:w w:val="155"/>
        </w:rPr>
        <w:t> </w:t>
      </w:r>
      <w:r>
        <w:rPr/>
        <w:t> </w:t>
      </w:r>
      <w:r>
        <w:rPr>
          <w:w w:val="188"/>
        </w:rPr>
        <w:t>  </w:t>
      </w:r>
      <w:r>
        <w:rPr>
          <w:w w:val="200"/>
        </w:rPr>
        <w:t> </w:t>
      </w:r>
      <w:r>
        <w:rPr>
          <w:w w:val="177"/>
        </w:rPr>
        <w:t> </w:t>
      </w:r>
      <w:r>
        <w:rPr>
          <w:w w:val="200"/>
        </w:rPr>
        <w:t>  </w:t>
      </w:r>
      <w:r>
        <w:rPr/>
        <w:t>  </w:t>
      </w:r>
      <w:r>
        <w:rPr>
          <w:w w:val="200"/>
        </w:rPr>
        <w:t>  </w:t>
      </w:r>
      <w:r>
        <w:rPr/>
        <w:t> </w:t>
      </w:r>
      <w:r>
        <w:rPr>
          <w:w w:val="188"/>
        </w:rPr>
        <w:t>  </w:t>
      </w:r>
      <w:r>
        <w:rPr>
          <w:w w:val="155"/>
        </w:rPr>
        <w:t>    </w:t>
      </w:r>
      <w:r>
        <w:rPr>
          <w:w w:val="111"/>
        </w:rPr>
        <w:t> </w:t>
      </w:r>
    </w:p>
    <w:p>
      <w:pPr>
        <w:pStyle w:val="BodyText"/>
        <w:spacing w:before="137"/>
        <w:ind w:right="19"/>
        <w:jc w:val="center"/>
      </w:pPr>
      <w:r>
        <w:rPr>
          <w:w w:val="200"/>
        </w:rPr>
        <w:t> </w:t>
      </w:r>
      <w:r>
        <w:rPr>
          <w:w w:val="177"/>
        </w:rPr>
        <w:t> </w:t>
      </w:r>
      <w:r>
        <w:rPr>
          <w:w w:val="127"/>
        </w:rPr>
        <w:t>  </w:t>
      </w:r>
      <w:r>
        <w:rPr/>
        <w:t>  </w:t>
      </w:r>
      <w:r>
        <w:rPr>
          <w:w w:val="200"/>
        </w:rPr>
        <w:t> </w:t>
      </w:r>
      <w:r>
        <w:rPr>
          <w:w w:val="177"/>
        </w:rPr>
        <w:t> </w:t>
      </w:r>
      <w:r>
        <w:rPr>
          <w:w w:val="166"/>
        </w:rPr>
        <w:t>  </w:t>
      </w:r>
      <w:r>
        <w:rPr>
          <w:w w:val="200"/>
        </w:rPr>
        <w:t> </w:t>
      </w:r>
      <w:r>
        <w:rPr/>
        <w:t>  </w:t>
      </w:r>
      <w:r>
        <w:rPr>
          <w:w w:val="200"/>
        </w:rPr>
        <w:t>  </w:t>
      </w:r>
      <w:r>
        <w:rPr/>
        <w:t>  </w:t>
      </w:r>
      <w:r>
        <w:rPr>
          <w:w w:val="192"/>
        </w:rPr>
        <w:t>   </w:t>
      </w:r>
      <w:r>
        <w:rPr>
          <w:w w:val="140"/>
        </w:rPr>
        <w:t>   </w:t>
      </w:r>
      <w:r>
        <w:rPr>
          <w:w w:val="122"/>
        </w:rPr>
        <w:t>  </w:t>
      </w:r>
      <w:r>
        <w:rPr>
          <w:w w:val="200"/>
        </w:rPr>
        <w:t> </w:t>
      </w:r>
      <w:r>
        <w:rPr/>
        <w:t>  </w:t>
      </w:r>
      <w:r>
        <w:rPr>
          <w:w w:val="155"/>
        </w:rPr>
        <w:t>     </w:t>
      </w:r>
      <w:r>
        <w:rPr>
          <w:w w:val="171"/>
        </w:rPr>
        <w:t>      </w:t>
      </w:r>
      <w:r>
        <w:rPr>
          <w:w w:val="155"/>
        </w:rPr>
        <w:t>:      </w:t>
      </w:r>
      <w:r>
        <w:rPr>
          <w:w w:val="120"/>
        </w:rPr>
        <w:t>-</w:t>
      </w:r>
      <w:r>
        <w:rPr>
          <w:w w:val="180"/>
        </w:rPr>
        <w:t>     </w:t>
      </w:r>
      <w:r>
        <w:rPr/>
        <w:t>  </w:t>
      </w:r>
      <w:r>
        <w:rPr>
          <w:w w:val="200"/>
        </w:rPr>
        <w:t>  </w:t>
      </w:r>
      <w:r>
        <w:rPr/>
        <w:t>  </w:t>
      </w:r>
      <w:r>
        <w:rPr>
          <w:w w:val="166"/>
        </w:rPr>
        <w:t>    </w:t>
      </w:r>
      <w:r>
        <w:rPr>
          <w:w w:val="200"/>
        </w:rPr>
        <w:t> </w:t>
      </w:r>
      <w:r>
        <w:rPr/>
        <w:t>  </w:t>
      </w:r>
      <w:r>
        <w:rPr>
          <w:w w:val="162"/>
        </w:rPr>
        <w:t>   </w:t>
      </w:r>
      <w:r>
        <w:rPr/>
        <w:t>  </w:t>
      </w:r>
      <w:r>
        <w:rPr>
          <w:w w:val="188"/>
        </w:rPr>
        <w:t>        </w:t>
      </w:r>
      <w:r>
        <w:rPr>
          <w:w w:val="200"/>
        </w:rPr>
        <w:t>   </w:t>
      </w:r>
      <w:r>
        <w:rPr/>
        <w:t>  </w:t>
      </w:r>
      <w:r>
        <w:rPr>
          <w:w w:val="166"/>
        </w:rPr>
        <w:t>  </w:t>
      </w:r>
      <w:r>
        <w:rPr/>
        <w:t>  </w:t>
      </w:r>
      <w:r>
        <w:rPr>
          <w:w w:val="150"/>
        </w:rPr>
        <w:t>    </w:t>
      </w:r>
      <w:r>
        <w:rPr>
          <w:w w:val="177"/>
        </w:rPr>
        <w:t> </w:t>
      </w:r>
      <w:r>
        <w:rPr>
          <w:w w:val="155"/>
        </w:rPr>
        <w:t>    </w:t>
      </w:r>
      <w:r>
        <w:rPr>
          <w:w w:val="111"/>
        </w:rPr>
        <w:t> </w:t>
      </w:r>
    </w:p>
    <w:p>
      <w:pPr>
        <w:pStyle w:val="BodyText"/>
        <w:spacing w:before="139"/>
        <w:ind w:right="22"/>
        <w:jc w:val="center"/>
      </w:pPr>
      <w:r>
        <w:rPr>
          <w:w w:val="188"/>
        </w:rPr>
        <w:t> </w:t>
      </w:r>
      <w:r>
        <w:rPr>
          <w:spacing w:val="-1"/>
          <w:w w:val="188"/>
        </w:rPr>
        <w:t> </w:t>
      </w:r>
      <w:r>
        <w:rPr>
          <w:spacing w:val="-1"/>
          <w:w w:val="177"/>
        </w:rPr>
        <w:t> </w:t>
      </w:r>
      <w:r>
        <w:rPr>
          <w:w w:val="148"/>
        </w:rPr>
        <w:t>   </w:t>
      </w:r>
      <w:r>
        <w:rPr/>
        <w:t> </w:t>
      </w:r>
      <w:r>
        <w:rPr>
          <w:spacing w:val="-23"/>
        </w:rPr>
        <w:t> </w:t>
      </w:r>
      <w:r>
        <w:rPr>
          <w:spacing w:val="-1"/>
          <w:w w:val="177"/>
        </w:rPr>
        <w:t> </w:t>
      </w:r>
      <w:r>
        <w:rPr>
          <w:w w:val="164"/>
        </w:rPr>
        <w:t>     </w:t>
      </w:r>
      <w:r>
        <w:rPr>
          <w:spacing w:val="-3"/>
          <w:w w:val="200"/>
        </w:rPr>
        <w:t> </w:t>
      </w:r>
      <w:r>
        <w:rPr>
          <w:spacing w:val="1"/>
          <w:w w:val="133"/>
        </w:rPr>
        <w:t> </w:t>
      </w:r>
      <w:r>
        <w:rPr>
          <w:spacing w:val="-1"/>
          <w:w w:val="177"/>
        </w:rPr>
        <w:t> </w:t>
      </w:r>
      <w:r>
        <w:rPr>
          <w:w w:val="140"/>
        </w:rPr>
        <w:t>   </w:t>
      </w:r>
      <w:r>
        <w:rPr>
          <w:w w:val="200"/>
        </w:rPr>
        <w:t>  </w:t>
      </w:r>
      <w:r>
        <w:rPr/>
        <w:t> </w:t>
      </w:r>
      <w:r>
        <w:rPr>
          <w:spacing w:val="-25"/>
        </w:rPr>
        <w:t> </w:t>
      </w:r>
      <w:r>
        <w:rPr>
          <w:w w:val="177"/>
        </w:rPr>
        <w:t> </w:t>
      </w:r>
      <w:r>
        <w:rPr>
          <w:spacing w:val="2"/>
          <w:w w:val="177"/>
        </w:rPr>
        <w:t> </w:t>
      </w:r>
      <w:r>
        <w:rPr>
          <w:w w:val="288"/>
        </w:rPr>
        <w:t> </w:t>
      </w:r>
      <w:r>
        <w:rPr>
          <w:spacing w:val="-1"/>
          <w:w w:val="288"/>
        </w:rPr>
        <w:t> </w:t>
      </w:r>
      <w:r>
        <w:rPr>
          <w:w w:val="266"/>
        </w:rPr>
        <w:t> </w:t>
      </w:r>
      <w:r>
        <w:rPr>
          <w:w w:val="133"/>
        </w:rPr>
        <w:t> </w:t>
      </w:r>
      <w:r>
        <w:rPr/>
        <w:t> </w:t>
      </w:r>
      <w:r>
        <w:rPr>
          <w:spacing w:val="-25"/>
        </w:rPr>
        <w:t> </w:t>
      </w:r>
      <w:r>
        <w:rPr>
          <w:spacing w:val="-1"/>
          <w:w w:val="177"/>
        </w:rPr>
        <w:t> </w:t>
      </w:r>
      <w:r>
        <w:rPr>
          <w:w w:val="200"/>
        </w:rPr>
        <w:t>  </w:t>
      </w:r>
      <w:r>
        <w:rPr/>
        <w:t> </w:t>
      </w:r>
      <w:r>
        <w:rPr>
          <w:spacing w:val="-25"/>
        </w:rPr>
        <w:t> </w:t>
      </w:r>
      <w:r>
        <w:rPr>
          <w:w w:val="200"/>
        </w:rPr>
        <w:t>  </w:t>
      </w:r>
      <w:r>
        <w:rPr>
          <w:spacing w:val="2"/>
          <w:w w:val="200"/>
        </w:rPr>
        <w:t> </w:t>
      </w:r>
      <w:r>
        <w:rPr>
          <w:spacing w:val="-1"/>
          <w:w w:val="177"/>
        </w:rPr>
        <w:t> </w:t>
      </w:r>
      <w:r>
        <w:rPr>
          <w:w w:val="133"/>
        </w:rPr>
        <w:t> </w:t>
      </w:r>
      <w:r>
        <w:rPr/>
        <w:t> </w:t>
      </w:r>
      <w:r>
        <w:rPr>
          <w:spacing w:val="-23"/>
        </w:rPr>
        <w:t> </w:t>
      </w:r>
      <w:r>
        <w:rPr>
          <w:w w:val="177"/>
        </w:rPr>
        <w:t> </w:t>
      </w:r>
      <w:r>
        <w:rPr/>
        <w:t> </w:t>
      </w:r>
      <w:r>
        <w:rPr>
          <w:spacing w:val="-26"/>
        </w:rPr>
        <w:t> </w:t>
      </w:r>
      <w:r>
        <w:rPr>
          <w:w w:val="166"/>
        </w:rPr>
        <w:t> </w:t>
      </w:r>
      <w:r>
        <w:rPr>
          <w:spacing w:val="-1"/>
          <w:w w:val="166"/>
        </w:rPr>
        <w:t> </w:t>
      </w:r>
      <w:r>
        <w:rPr>
          <w:w w:val="177"/>
        </w:rPr>
        <w:t> </w:t>
      </w:r>
      <w:r>
        <w:rPr>
          <w:spacing w:val="2"/>
          <w:w w:val="177"/>
        </w:rPr>
        <w:t> </w:t>
      </w:r>
      <w:r>
        <w:rPr>
          <w:w w:val="188"/>
        </w:rPr>
        <w:t> </w:t>
      </w:r>
      <w:r>
        <w:rPr>
          <w:spacing w:val="-1"/>
          <w:w w:val="188"/>
        </w:rPr>
        <w:t> </w:t>
      </w:r>
      <w:r>
        <w:rPr>
          <w:spacing w:val="-1"/>
          <w:w w:val="177"/>
        </w:rPr>
        <w:t> </w:t>
      </w:r>
      <w:r>
        <w:rPr>
          <w:w w:val="111"/>
        </w:rPr>
        <w:t>  </w:t>
      </w:r>
      <w:r>
        <w:rPr>
          <w:w w:val="188"/>
        </w:rPr>
        <w:t>  </w:t>
      </w:r>
      <w:r>
        <w:rPr/>
        <w:t> </w:t>
      </w:r>
      <w:r>
        <w:rPr>
          <w:spacing w:val="-26"/>
        </w:rPr>
        <w:t> </w:t>
      </w:r>
      <w:r>
        <w:rPr>
          <w:w w:val="166"/>
        </w:rPr>
        <w:t>  </w:t>
      </w:r>
      <w:r>
        <w:rPr/>
        <w:t> </w:t>
      </w:r>
      <w:r>
        <w:rPr>
          <w:spacing w:val="-23"/>
        </w:rPr>
        <w:t> </w:t>
      </w:r>
      <w:r>
        <w:rPr>
          <w:w w:val="162"/>
        </w:rPr>
        <w:t>   </w:t>
      </w:r>
      <w:r>
        <w:rPr/>
        <w:t> </w:t>
      </w:r>
      <w:r>
        <w:rPr>
          <w:spacing w:val="-25"/>
        </w:rPr>
        <w:t> </w:t>
      </w:r>
      <w:r>
        <w:rPr>
          <w:w w:val="144"/>
        </w:rPr>
        <w:t>   </w:t>
      </w:r>
      <w:r>
        <w:rPr>
          <w:spacing w:val="1"/>
          <w:w w:val="144"/>
        </w:rPr>
        <w:t> </w:t>
      </w:r>
      <w:r>
        <w:rPr>
          <w:spacing w:val="-1"/>
          <w:w w:val="177"/>
        </w:rPr>
        <w:t> </w:t>
      </w:r>
      <w:r>
        <w:rPr>
          <w:w w:val="111"/>
        </w:rPr>
        <w:t> </w:t>
      </w:r>
      <w:r>
        <w:rPr/>
        <w:t> </w:t>
      </w:r>
      <w:r>
        <w:rPr>
          <w:spacing w:val="-24"/>
        </w:rPr>
        <w:t> </w:t>
      </w:r>
      <w:r>
        <w:rPr>
          <w:w w:val="148"/>
        </w:rPr>
        <w:t>  </w:t>
      </w:r>
      <w:r>
        <w:rPr>
          <w:spacing w:val="1"/>
          <w:w w:val="148"/>
        </w:rPr>
        <w:t> </w:t>
      </w:r>
      <w:r>
        <w:rPr>
          <w:w w:val="188"/>
        </w:rPr>
        <w:t> </w:t>
      </w:r>
      <w:r>
        <w:rPr>
          <w:spacing w:val="-1"/>
          <w:w w:val="188"/>
        </w:rPr>
        <w:t> </w:t>
      </w:r>
      <w:r>
        <w:rPr>
          <w:w w:val="177"/>
        </w:rPr>
        <w:t> </w:t>
      </w:r>
      <w:r>
        <w:rPr/>
        <w:t> </w:t>
      </w:r>
      <w:r>
        <w:rPr>
          <w:spacing w:val="-26"/>
        </w:rPr>
        <w:t> </w:t>
      </w:r>
      <w:r>
        <w:rPr>
          <w:w w:val="155"/>
        </w:rPr>
        <w:t>  </w:t>
      </w:r>
      <w:r>
        <w:rPr/>
        <w:t> </w:t>
      </w:r>
      <w:r>
        <w:rPr>
          <w:spacing w:val="-24"/>
        </w:rPr>
        <w:t> </w:t>
      </w:r>
      <w:r>
        <w:rPr>
          <w:w w:val="148"/>
        </w:rPr>
        <w:t>  </w:t>
      </w:r>
      <w:r>
        <w:rPr>
          <w:spacing w:val="1"/>
          <w:w w:val="148"/>
        </w:rPr>
        <w:t> </w:t>
      </w:r>
      <w:r>
        <w:rPr>
          <w:w w:val="177"/>
        </w:rPr>
        <w:t> </w:t>
      </w:r>
      <w:r>
        <w:rPr/>
        <w:t> </w:t>
      </w:r>
      <w:r>
        <w:rPr>
          <w:spacing w:val="-21"/>
        </w:rPr>
        <w:t> </w:t>
      </w:r>
      <w:r>
        <w:rPr>
          <w:spacing w:val="-5"/>
          <w:w w:val="200"/>
        </w:rPr>
        <w:t> </w:t>
      </w:r>
      <w:r>
        <w:rPr>
          <w:spacing w:val="1"/>
          <w:w w:val="177"/>
        </w:rPr>
        <w:t> </w:t>
      </w:r>
      <w:r>
        <w:rPr>
          <w:spacing w:val="-1"/>
          <w:w w:val="177"/>
        </w:rPr>
        <w:t> </w:t>
      </w:r>
      <w:r>
        <w:rPr>
          <w:w w:val="144"/>
        </w:rPr>
        <w:t>  </w:t>
      </w:r>
    </w:p>
    <w:p>
      <w:pPr>
        <w:pStyle w:val="BodyText"/>
        <w:spacing w:before="137"/>
        <w:ind w:left="102" w:right="127"/>
      </w:pPr>
      <w:r>
        <w:rPr>
          <w:w w:val="144"/>
        </w:rPr>
        <w:t>    </w:t>
      </w:r>
      <w:r>
        <w:rPr>
          <w:spacing w:val="-1"/>
          <w:w w:val="133"/>
        </w:rPr>
        <w:t> </w:t>
      </w:r>
      <w:r>
        <w:rPr>
          <w:spacing w:val="-1"/>
        </w:rPr>
        <w:t> </w:t>
      </w:r>
      <w:r>
        <w:rPr>
          <w:w w:val="133"/>
        </w:rPr>
        <w:t> </w:t>
      </w:r>
      <w:r>
        <w:rPr>
          <w:w w:val="200"/>
        </w:rPr>
        <w:t>    </w:t>
      </w:r>
      <w:r>
        <w:rPr>
          <w:w w:val="120"/>
        </w:rPr>
        <w:t>-  </w:t>
      </w:r>
      <w:r>
        <w:rPr>
          <w:spacing w:val="71"/>
          <w:w w:val="120"/>
        </w:rPr>
        <w:t> </w:t>
      </w:r>
      <w:r>
        <w:rPr>
          <w:w w:val="135"/>
        </w:rPr>
        <w:t>6 </w:t>
      </w:r>
      <w:r>
        <w:rPr>
          <w:spacing w:val="-1"/>
        </w:rPr>
        <w:t> </w:t>
      </w:r>
      <w:r>
        <w:rPr>
          <w:w w:val="1"/>
        </w:rPr>
        <w:t> </w:t>
      </w:r>
      <w:r>
        <w:rPr/>
        <w:t> </w:t>
      </w:r>
      <w:r>
        <w:rPr>
          <w:w w:val="222"/>
        </w:rPr>
        <w:t>  </w:t>
      </w:r>
      <w:r>
        <w:rPr>
          <w:spacing w:val="-2"/>
          <w:w w:val="222"/>
        </w:rPr>
        <w:t> </w:t>
      </w:r>
      <w:r>
        <w:rPr>
          <w:w w:val="200"/>
        </w:rPr>
        <w:t> </w:t>
      </w:r>
      <w:r>
        <w:rPr>
          <w:spacing w:val="2"/>
        </w:rPr>
        <w:t> </w:t>
      </w:r>
      <w:r>
        <w:rPr>
          <w:w w:val="173"/>
        </w:rPr>
        <w:t>     </w:t>
      </w:r>
      <w:r>
        <w:rPr>
          <w:spacing w:val="-2"/>
        </w:rPr>
        <w:t> </w:t>
      </w:r>
      <w:r>
        <w:rPr>
          <w:w w:val="144"/>
        </w:rPr>
        <w:t>   </w:t>
      </w:r>
      <w:r>
        <w:rPr>
          <w:spacing w:val="1"/>
          <w:w w:val="144"/>
        </w:rPr>
        <w:t> </w:t>
      </w:r>
      <w:r>
        <w:rPr>
          <w:spacing w:val="-1"/>
          <w:w w:val="177"/>
        </w:rPr>
        <w:t> </w:t>
      </w:r>
      <w:r>
        <w:rPr>
          <w:w w:val="155"/>
        </w:rPr>
        <w:t> </w:t>
      </w:r>
      <w:r>
        <w:rPr>
          <w:spacing w:val="-2"/>
          <w:w w:val="155"/>
        </w:rPr>
        <w:t> </w:t>
      </w:r>
      <w:r>
        <w:rPr>
          <w:w w:val="155"/>
        </w:rPr>
        <w:t>  </w:t>
      </w:r>
      <w:r>
        <w:rPr/>
        <w:t> </w:t>
      </w:r>
      <w:r>
        <w:rPr>
          <w:w w:val="144"/>
        </w:rPr>
        <w:t>   </w:t>
      </w:r>
      <w:r>
        <w:rPr>
          <w:spacing w:val="1"/>
          <w:w w:val="144"/>
        </w:rPr>
        <w:t> </w:t>
      </w:r>
      <w:r>
        <w:rPr>
          <w:spacing w:val="-1"/>
          <w:w w:val="177"/>
        </w:rPr>
        <w:t> </w:t>
      </w:r>
      <w:r>
        <w:rPr>
          <w:w w:val="111"/>
        </w:rPr>
        <w:t> </w:t>
      </w:r>
      <w:r>
        <w:rPr>
          <w:spacing w:val="1"/>
        </w:rPr>
        <w:t> </w:t>
      </w:r>
      <w:r>
        <w:rPr>
          <w:w w:val="155"/>
        </w:rPr>
        <w:t>    </w:t>
      </w:r>
      <w:r>
        <w:rPr>
          <w:w w:val="155"/>
        </w:rPr>
        <w:t> </w:t>
      </w:r>
      <w:r>
        <w:rPr/>
        <w:t> </w:t>
      </w:r>
      <w:r>
        <w:rPr>
          <w:w w:val="1"/>
        </w:rPr>
        <w:t> </w:t>
      </w:r>
      <w:r>
        <w:rPr/>
        <w:t> </w:t>
      </w:r>
      <w:r>
        <w:rPr>
          <w:w w:val="1"/>
        </w:rPr>
        <w:t> </w:t>
      </w:r>
      <w:r>
        <w:rPr/>
        <w:t> </w:t>
      </w:r>
      <w:r>
        <w:rPr>
          <w:w w:val="188"/>
        </w:rPr>
        <w:t> </w:t>
      </w:r>
      <w:r>
        <w:rPr>
          <w:spacing w:val="-1"/>
          <w:w w:val="188"/>
        </w:rPr>
        <w:t> </w:t>
      </w:r>
      <w:r>
        <w:rPr>
          <w:w w:val="205"/>
        </w:rPr>
        <w:t>   </w:t>
      </w:r>
      <w:r>
        <w:rPr>
          <w:spacing w:val="-2"/>
          <w:w w:val="205"/>
        </w:rPr>
        <w:t> </w:t>
      </w:r>
      <w:r>
        <w:rPr>
          <w:spacing w:val="-1"/>
          <w:w w:val="177"/>
        </w:rPr>
        <w:t> </w:t>
      </w:r>
      <w:r>
        <w:rPr>
          <w:w w:val="200"/>
        </w:rPr>
        <w:t> </w:t>
      </w:r>
      <w:r>
        <w:rPr/>
        <w:t> </w:t>
      </w:r>
      <w:r>
        <w:rPr>
          <w:w w:val="155"/>
        </w:rPr>
        <w:t>  </w:t>
      </w:r>
      <w:r>
        <w:rPr/>
        <w:t> </w:t>
      </w:r>
      <w:r>
        <w:rPr>
          <w:w w:val="177"/>
        </w:rPr>
        <w:t> </w:t>
      </w:r>
      <w:r>
        <w:rPr/>
        <w:t> </w:t>
      </w:r>
      <w:r>
        <w:rPr>
          <w:spacing w:val="1"/>
          <w:w w:val="200"/>
        </w:rPr>
        <w:t> </w:t>
      </w:r>
      <w:r>
        <w:rPr>
          <w:spacing w:val="-1"/>
          <w:w w:val="177"/>
        </w:rPr>
        <w:t> </w:t>
      </w:r>
      <w:r>
        <w:rPr>
          <w:w w:val="166"/>
        </w:rPr>
        <w:t> </w:t>
      </w:r>
      <w:r>
        <w:rPr>
          <w:spacing w:val="-1"/>
          <w:w w:val="166"/>
        </w:rPr>
        <w:t> </w:t>
      </w:r>
      <w:r>
        <w:rPr>
          <w:w w:val="111"/>
        </w:rPr>
        <w:t>  </w:t>
      </w:r>
      <w:r>
        <w:rPr>
          <w:spacing w:val="2"/>
          <w:w w:val="200"/>
        </w:rPr>
        <w:t> </w:t>
      </w:r>
      <w:r>
        <w:rPr>
          <w:w w:val="177"/>
        </w:rPr>
        <w:t> </w:t>
      </w:r>
      <w:r>
        <w:rPr>
          <w:spacing w:val="-1"/>
        </w:rPr>
        <w:t> </w:t>
      </w:r>
      <w:r>
        <w:rPr>
          <w:w w:val="170"/>
        </w:rPr>
        <w:t>  </w:t>
      </w:r>
      <w:r>
        <w:rPr>
          <w:spacing w:val="-2"/>
          <w:w w:val="170"/>
        </w:rPr>
        <w:t> </w:t>
      </w:r>
      <w:r>
        <w:rPr>
          <w:w w:val="188"/>
        </w:rPr>
        <w:t> </w:t>
      </w:r>
      <w:r>
        <w:rPr>
          <w:spacing w:val="1"/>
          <w:w w:val="188"/>
        </w:rPr>
        <w:t> </w:t>
      </w:r>
      <w:r>
        <w:rPr>
          <w:w w:val="136"/>
        </w:rPr>
        <w:t>    </w:t>
      </w:r>
    </w:p>
    <w:p>
      <w:pPr>
        <w:spacing w:after="0"/>
        <w:sectPr>
          <w:pgSz w:w="12250" w:h="15850"/>
          <w:pgMar w:top="1360" w:bottom="280" w:left="1600" w:right="1580"/>
        </w:sectPr>
      </w:pPr>
    </w:p>
    <w:p>
      <w:pPr>
        <w:pStyle w:val="BodyText"/>
        <w:spacing w:before="48"/>
        <w:ind w:left="821" w:right="127"/>
      </w:pPr>
      <w:r>
        <w:rPr/>
        <w:t>In this research, the following main points have been revealed:</w:t>
      </w:r>
    </w:p>
    <w:p>
      <w:pPr>
        <w:pStyle w:val="BodyText"/>
      </w:pPr>
    </w:p>
    <w:p>
      <w:pPr>
        <w:pStyle w:val="BodyText"/>
        <w:spacing w:line="360" w:lineRule="auto" w:before="144"/>
        <w:ind w:left="102" w:right="114" w:firstLine="719"/>
        <w:jc w:val="both"/>
      </w:pPr>
      <w:r>
        <w:rPr/>
        <w:t>When considering fiscal revenues of natural gas, a positive shock in natural gas prices led to lower capital expenditures in relation to natural resource revenues; positive effect on fiscal balances (surplus); and declining public debt.</w:t>
      </w:r>
    </w:p>
    <w:p>
      <w:pPr>
        <w:pStyle w:val="BodyText"/>
        <w:spacing w:before="8"/>
      </w:pPr>
    </w:p>
    <w:p>
      <w:pPr>
        <w:pStyle w:val="BodyText"/>
        <w:spacing w:line="360" w:lineRule="auto"/>
        <w:ind w:left="102" w:right="119" w:firstLine="719"/>
        <w:jc w:val="both"/>
      </w:pPr>
      <w:r>
        <w:rPr/>
        <w:t>When omitting fiscal revenues of natural gas, a positive shock in gas prices increased current spending: this way of assignment has deteriorated the non-oil fiscal balance. In addition, price shocks had no direct effect on non-oil fiscal balance; therefore, the assignment of fiscal revenues to public spending was the transition channel.</w:t>
      </w:r>
    </w:p>
    <w:p>
      <w:pPr>
        <w:pStyle w:val="BodyText"/>
        <w:spacing w:before="8"/>
      </w:pPr>
    </w:p>
    <w:p>
      <w:pPr>
        <w:pStyle w:val="BodyText"/>
        <w:spacing w:line="360" w:lineRule="auto"/>
        <w:ind w:left="102" w:right="118" w:firstLine="719"/>
        <w:jc w:val="both"/>
      </w:pPr>
      <w:r>
        <w:rPr/>
        <w:t>For the studied period (2003 – 2011), the fiscal stance of Bolivia was unsustainable based on progressive deficits of non –oil primary balance, this unsustainability began since nationalization of oil &amp; hydrocarbon industry (2006).</w:t>
      </w:r>
    </w:p>
    <w:p>
      <w:pPr>
        <w:pStyle w:val="BodyText"/>
        <w:spacing w:before="8"/>
      </w:pPr>
    </w:p>
    <w:p>
      <w:pPr>
        <w:pStyle w:val="BodyText"/>
        <w:spacing w:line="360" w:lineRule="auto"/>
        <w:ind w:left="102" w:right="114" w:firstLine="719"/>
        <w:jc w:val="both"/>
      </w:pPr>
      <w:r>
        <w:rPr/>
        <w:t>For the medium term (until 2016) the volatility of public debt is reduced by eliminating the stochastic behavior of the assignment of fiscal revenues (with and without natural resource) to capital and current spending when introducing target values on specific fiscal outcomes.</w:t>
      </w:r>
    </w:p>
    <w:p>
      <w:pPr>
        <w:pStyle w:val="BodyText"/>
        <w:spacing w:before="8"/>
      </w:pPr>
    </w:p>
    <w:p>
      <w:pPr>
        <w:pStyle w:val="BodyText"/>
        <w:spacing w:line="360" w:lineRule="auto"/>
        <w:ind w:left="102" w:right="115" w:firstLine="719"/>
        <w:jc w:val="both"/>
      </w:pPr>
      <w:r>
        <w:rPr/>
        <w:t>The impact of introducing a fiscal rule lies with maximum public debt to GDP determined according to different magnitudes of fiscal revenues channeled to capital expenditure (e.g. low, intermediate or high), besides financing part of current expenditure, which mechanisms show a better path of public debt to GDP compared with the baseline scenario (without fiscal rule).</w:t>
      </w:r>
    </w:p>
    <w:p>
      <w:pPr>
        <w:pStyle w:val="BodyText"/>
        <w:spacing w:before="9"/>
      </w:pPr>
    </w:p>
    <w:p>
      <w:pPr>
        <w:pStyle w:val="BodyText"/>
        <w:spacing w:line="360" w:lineRule="auto"/>
        <w:ind w:left="102" w:right="114" w:firstLine="719"/>
        <w:jc w:val="both"/>
      </w:pPr>
      <w:r>
        <w:rPr/>
        <w:t>For the Bolivian case, the main suggestion is a guidance based on the generation of fiscal surpluses during external price booms that are used as countercyclical role in times of recession.</w:t>
      </w:r>
    </w:p>
    <w:p>
      <w:pPr>
        <w:pStyle w:val="BodyText"/>
        <w:spacing w:before="2"/>
        <w:rPr>
          <w:sz w:val="25"/>
        </w:rPr>
      </w:pPr>
    </w:p>
    <w:p>
      <w:pPr>
        <w:pStyle w:val="Heading4"/>
        <w:ind w:left="102" w:right="127" w:firstLine="0"/>
      </w:pPr>
      <w:r>
        <w:rPr/>
        <w:t>Keywords:</w:t>
      </w:r>
    </w:p>
    <w:p>
      <w:pPr>
        <w:pStyle w:val="BodyText"/>
        <w:rPr>
          <w:b/>
          <w:sz w:val="29"/>
        </w:rPr>
      </w:pPr>
    </w:p>
    <w:p>
      <w:pPr>
        <w:pStyle w:val="BodyText"/>
        <w:ind w:left="102" w:right="127"/>
      </w:pPr>
      <w:r>
        <w:rPr/>
        <w:t>Fiscal stance, natural gas price shocks, assignment of fiscal revenues, fiscal rules scenarios.</w:t>
      </w:r>
    </w:p>
    <w:p>
      <w:pPr>
        <w:spacing w:after="0"/>
        <w:sectPr>
          <w:pgSz w:w="12250" w:h="15850"/>
          <w:pgMar w:top="1360" w:bottom="280" w:left="1600" w:right="1580"/>
        </w:sectPr>
      </w:pPr>
    </w:p>
    <w:p>
      <w:pPr>
        <w:spacing w:before="32"/>
        <w:ind w:left="0" w:right="14" w:firstLine="0"/>
        <w:jc w:val="center"/>
        <w:rPr>
          <w:b/>
          <w:sz w:val="40"/>
        </w:rPr>
      </w:pPr>
      <w:r>
        <w:rPr>
          <w:b/>
          <w:sz w:val="40"/>
        </w:rPr>
        <w:t>Índice temático</w:t>
      </w:r>
    </w:p>
    <w:p>
      <w:pPr>
        <w:tabs>
          <w:tab w:pos="8933" w:val="right" w:leader="dot"/>
        </w:tabs>
        <w:spacing w:before="349"/>
        <w:ind w:left="102" w:right="0" w:firstLine="0"/>
        <w:jc w:val="left"/>
        <w:rPr>
          <w:b/>
          <w:sz w:val="24"/>
        </w:rPr>
      </w:pPr>
      <w:hyperlink w:history="true" w:anchor="_bookmark0">
        <w:r>
          <w:rPr>
            <w:b/>
            <w:sz w:val="24"/>
          </w:rPr>
          <w:t>I</w:t>
        </w:r>
        <w:r>
          <w:rPr>
            <w:b/>
            <w:sz w:val="19"/>
          </w:rPr>
          <w:t>NTRODUCCIÓN</w:t>
        </w:r>
        <w:r>
          <w:rPr>
            <w:b/>
            <w:sz w:val="24"/>
          </w:rPr>
          <w:tab/>
          <w:t>1</w:t>
        </w:r>
      </w:hyperlink>
    </w:p>
    <w:p>
      <w:pPr>
        <w:tabs>
          <w:tab w:pos="8933" w:val="right" w:leader="dot"/>
        </w:tabs>
        <w:spacing w:before="120"/>
        <w:ind w:left="102" w:right="0" w:firstLine="0"/>
        <w:jc w:val="left"/>
        <w:rPr>
          <w:b/>
          <w:sz w:val="24"/>
        </w:rPr>
      </w:pPr>
      <w:hyperlink w:history="true" w:anchor="_bookmark1">
        <w:r>
          <w:rPr>
            <w:b/>
            <w:sz w:val="24"/>
          </w:rPr>
          <w:t>C</w:t>
        </w:r>
        <w:r>
          <w:rPr>
            <w:b/>
            <w:sz w:val="19"/>
          </w:rPr>
          <w:t>APÍTULO </w:t>
        </w:r>
        <w:r>
          <w:rPr>
            <w:b/>
            <w:sz w:val="24"/>
          </w:rPr>
          <w:t>I:  P</w:t>
        </w:r>
        <w:r>
          <w:rPr>
            <w:b/>
            <w:sz w:val="19"/>
          </w:rPr>
          <w:t>OSICIÓN FISCAL Y DEPENDENCIA DE</w:t>
        </w:r>
        <w:r>
          <w:rPr>
            <w:b/>
            <w:spacing w:val="18"/>
            <w:sz w:val="19"/>
          </w:rPr>
          <w:t> </w:t>
        </w:r>
        <w:r>
          <w:rPr>
            <w:b/>
            <w:sz w:val="19"/>
          </w:rPr>
          <w:t>RECURSOS</w:t>
        </w:r>
        <w:r>
          <w:rPr>
            <w:b/>
            <w:spacing w:val="1"/>
            <w:sz w:val="19"/>
          </w:rPr>
          <w:t> </w:t>
        </w:r>
        <w:r>
          <w:rPr>
            <w:b/>
            <w:sz w:val="19"/>
          </w:rPr>
          <w:t>NATURALES</w:t>
        </w:r>
        <w:r>
          <w:rPr>
            <w:b/>
            <w:sz w:val="24"/>
          </w:rPr>
          <w:tab/>
          <w:t>10</w:t>
        </w:r>
      </w:hyperlink>
    </w:p>
    <w:p>
      <w:pPr>
        <w:pStyle w:val="ListParagraph"/>
        <w:numPr>
          <w:ilvl w:val="1"/>
          <w:numId w:val="1"/>
        </w:numPr>
        <w:tabs>
          <w:tab w:pos="1061" w:val="left" w:leader="none"/>
          <w:tab w:pos="1062" w:val="left" w:leader="none"/>
          <w:tab w:pos="8933" w:val="right" w:leader="dot"/>
        </w:tabs>
        <w:spacing w:line="240" w:lineRule="auto" w:before="115" w:after="0"/>
        <w:ind w:left="342" w:right="0" w:firstLine="0"/>
        <w:jc w:val="left"/>
        <w:rPr>
          <w:sz w:val="24"/>
        </w:rPr>
      </w:pPr>
      <w:hyperlink w:history="true" w:anchor="_bookmark2">
        <w:r>
          <w:rPr>
            <w:sz w:val="24"/>
          </w:rPr>
          <w:t>E</w:t>
        </w:r>
        <w:r>
          <w:rPr>
            <w:sz w:val="19"/>
          </w:rPr>
          <w:t>L ANÁLISIS DE LA  POSICIÓN Y</w:t>
        </w:r>
        <w:r>
          <w:rPr>
            <w:spacing w:val="-4"/>
            <w:sz w:val="19"/>
          </w:rPr>
          <w:t> </w:t>
        </w:r>
        <w:r>
          <w:rPr>
            <w:sz w:val="19"/>
          </w:rPr>
          <w:t>SOSTENIBILIDAD</w:t>
        </w:r>
        <w:r>
          <w:rPr>
            <w:spacing w:val="1"/>
            <w:sz w:val="19"/>
          </w:rPr>
          <w:t> </w:t>
        </w:r>
        <w:r>
          <w:rPr>
            <w:sz w:val="19"/>
          </w:rPr>
          <w:t>FISCAL</w:t>
        </w:r>
        <w:r>
          <w:rPr>
            <w:sz w:val="24"/>
          </w:rPr>
          <w:tab/>
          <w:t>12</w:t>
        </w:r>
      </w:hyperlink>
    </w:p>
    <w:p>
      <w:pPr>
        <w:pStyle w:val="ListParagraph"/>
        <w:numPr>
          <w:ilvl w:val="2"/>
          <w:numId w:val="1"/>
        </w:numPr>
        <w:tabs>
          <w:tab w:pos="1301" w:val="left" w:leader="none"/>
          <w:tab w:pos="1302" w:val="left" w:leader="none"/>
          <w:tab w:pos="8933" w:val="right" w:leader="dot"/>
        </w:tabs>
        <w:spacing w:line="240" w:lineRule="auto" w:before="0" w:after="0"/>
        <w:ind w:left="1302" w:right="0" w:hanging="720"/>
        <w:jc w:val="left"/>
        <w:rPr>
          <w:sz w:val="24"/>
        </w:rPr>
      </w:pPr>
      <w:hyperlink w:history="true" w:anchor="_bookmark3">
        <w:r>
          <w:rPr>
            <w:sz w:val="24"/>
          </w:rPr>
          <w:t>Diferenciación entre la posición y</w:t>
        </w:r>
        <w:r>
          <w:rPr>
            <w:spacing w:val="55"/>
            <w:sz w:val="24"/>
          </w:rPr>
          <w:t> </w:t>
        </w:r>
        <w:r>
          <w:rPr>
            <w:sz w:val="24"/>
          </w:rPr>
          <w:t>sostenibilidad</w:t>
        </w:r>
        <w:r>
          <w:rPr>
            <w:spacing w:val="-1"/>
            <w:sz w:val="24"/>
          </w:rPr>
          <w:t> </w:t>
        </w:r>
        <w:r>
          <w:rPr>
            <w:sz w:val="24"/>
          </w:rPr>
          <w:t>Fiscal</w:t>
          <w:tab/>
          <w:t>15</w:t>
        </w:r>
      </w:hyperlink>
    </w:p>
    <w:p>
      <w:pPr>
        <w:pStyle w:val="ListParagraph"/>
        <w:numPr>
          <w:ilvl w:val="2"/>
          <w:numId w:val="1"/>
        </w:numPr>
        <w:tabs>
          <w:tab w:pos="1301" w:val="left" w:leader="none"/>
          <w:tab w:pos="1302" w:val="left" w:leader="none"/>
          <w:tab w:pos="8933" w:val="right" w:leader="dot"/>
        </w:tabs>
        <w:spacing w:line="240" w:lineRule="auto" w:before="0" w:after="0"/>
        <w:ind w:left="1302" w:right="0" w:hanging="720"/>
        <w:jc w:val="left"/>
        <w:rPr>
          <w:sz w:val="24"/>
        </w:rPr>
      </w:pPr>
      <w:hyperlink w:history="true" w:anchor="_bookmark4">
        <w:r>
          <w:rPr>
            <w:sz w:val="24"/>
          </w:rPr>
          <w:t>Mecanismos de evaluación de la</w:t>
        </w:r>
        <w:r>
          <w:rPr>
            <w:spacing w:val="-2"/>
            <w:sz w:val="24"/>
          </w:rPr>
          <w:t> </w:t>
        </w:r>
        <w:r>
          <w:rPr>
            <w:sz w:val="24"/>
          </w:rPr>
          <w:t>sostenibilidad</w:t>
        </w:r>
        <w:r>
          <w:rPr>
            <w:spacing w:val="-2"/>
            <w:sz w:val="24"/>
          </w:rPr>
          <w:t> </w:t>
        </w:r>
        <w:r>
          <w:rPr>
            <w:sz w:val="24"/>
          </w:rPr>
          <w:t>Fiscal</w:t>
          <w:tab/>
          <w:t>17</w:t>
        </w:r>
      </w:hyperlink>
    </w:p>
    <w:p>
      <w:pPr>
        <w:pStyle w:val="ListParagraph"/>
        <w:numPr>
          <w:ilvl w:val="2"/>
          <w:numId w:val="1"/>
        </w:numPr>
        <w:tabs>
          <w:tab w:pos="1301" w:val="left" w:leader="none"/>
          <w:tab w:pos="1302" w:val="left" w:leader="none"/>
          <w:tab w:pos="8933" w:val="right" w:leader="dot"/>
        </w:tabs>
        <w:spacing w:line="240" w:lineRule="auto" w:before="0" w:after="0"/>
        <w:ind w:left="1302" w:right="0" w:hanging="720"/>
        <w:jc w:val="left"/>
        <w:rPr>
          <w:sz w:val="24"/>
        </w:rPr>
      </w:pPr>
      <w:hyperlink w:history="true" w:anchor="_bookmark5">
        <w:r>
          <w:rPr>
            <w:sz w:val="24"/>
          </w:rPr>
          <w:t>Evaluación de posición fiscal en países exportadores</w:t>
        </w:r>
        <w:r>
          <w:rPr>
            <w:spacing w:val="-3"/>
            <w:sz w:val="24"/>
          </w:rPr>
          <w:t> </w:t>
        </w:r>
        <w:r>
          <w:rPr>
            <w:sz w:val="24"/>
          </w:rPr>
          <w:t>de</w:t>
        </w:r>
        <w:r>
          <w:rPr>
            <w:spacing w:val="-1"/>
            <w:sz w:val="24"/>
          </w:rPr>
          <w:t> </w:t>
        </w:r>
        <w:r>
          <w:rPr>
            <w:sz w:val="24"/>
          </w:rPr>
          <w:t>petróleo</w:t>
          <w:tab/>
          <w:t>22</w:t>
        </w:r>
      </w:hyperlink>
    </w:p>
    <w:p>
      <w:pPr>
        <w:pStyle w:val="ListParagraph"/>
        <w:numPr>
          <w:ilvl w:val="2"/>
          <w:numId w:val="1"/>
        </w:numPr>
        <w:tabs>
          <w:tab w:pos="1301" w:val="left" w:leader="none"/>
          <w:tab w:pos="1302" w:val="left" w:leader="none"/>
          <w:tab w:pos="8933" w:val="right" w:leader="dot"/>
        </w:tabs>
        <w:spacing w:line="240" w:lineRule="auto" w:before="0" w:after="0"/>
        <w:ind w:left="1302" w:right="0" w:hanging="720"/>
        <w:jc w:val="left"/>
        <w:rPr>
          <w:sz w:val="24"/>
        </w:rPr>
      </w:pPr>
      <w:hyperlink w:history="true" w:anchor="_bookmark10">
        <w:r>
          <w:rPr>
            <w:sz w:val="24"/>
          </w:rPr>
          <w:t>Evidencias empíricas de sostenibilidad</w:t>
        </w:r>
        <w:r>
          <w:rPr>
            <w:spacing w:val="-1"/>
            <w:sz w:val="24"/>
          </w:rPr>
          <w:t> </w:t>
        </w:r>
        <w:r>
          <w:rPr>
            <w:sz w:val="24"/>
          </w:rPr>
          <w:t>fiscal</w:t>
          <w:tab/>
          <w:t>31</w:t>
        </w:r>
      </w:hyperlink>
    </w:p>
    <w:p>
      <w:pPr>
        <w:pStyle w:val="ListParagraph"/>
        <w:numPr>
          <w:ilvl w:val="1"/>
          <w:numId w:val="1"/>
        </w:numPr>
        <w:tabs>
          <w:tab w:pos="1061" w:val="left" w:leader="none"/>
          <w:tab w:pos="1062" w:val="left" w:leader="none"/>
          <w:tab w:pos="8933" w:val="right" w:leader="dot"/>
        </w:tabs>
        <w:spacing w:line="240" w:lineRule="auto" w:before="120" w:after="0"/>
        <w:ind w:left="342" w:right="117" w:firstLine="0"/>
        <w:jc w:val="left"/>
        <w:rPr>
          <w:sz w:val="24"/>
        </w:rPr>
      </w:pPr>
      <w:hyperlink w:history="true" w:anchor="_bookmark11">
        <w:r>
          <w:rPr>
            <w:sz w:val="24"/>
          </w:rPr>
          <w:t>L</w:t>
        </w:r>
        <w:r>
          <w:rPr>
            <w:sz w:val="19"/>
          </w:rPr>
          <w:t>A ORIENTACIÓN DE LA POLÍTICA FISCAL EN PAÍSES DEPENDIENTES DE RECURSOS</w:t>
        </w:r>
      </w:hyperlink>
      <w:r>
        <w:rPr>
          <w:sz w:val="19"/>
        </w:rPr>
        <w:t> </w:t>
      </w:r>
      <w:hyperlink w:history="true" w:anchor="_bookmark11">
        <w:r>
          <w:rPr>
            <w:sz w:val="19"/>
          </w:rPr>
          <w:t>NATURALES</w:t>
        </w:r>
        <w:r>
          <w:rPr>
            <w:sz w:val="24"/>
          </w:rPr>
          <w:tab/>
          <w:t>34</w:t>
        </w:r>
      </w:hyperlink>
    </w:p>
    <w:p>
      <w:pPr>
        <w:pStyle w:val="ListParagraph"/>
        <w:numPr>
          <w:ilvl w:val="2"/>
          <w:numId w:val="1"/>
        </w:numPr>
        <w:tabs>
          <w:tab w:pos="1301" w:val="left" w:leader="none"/>
          <w:tab w:pos="1302" w:val="left" w:leader="none"/>
          <w:tab w:pos="8933" w:val="right" w:leader="dot"/>
        </w:tabs>
        <w:spacing w:line="240" w:lineRule="auto" w:before="0" w:after="0"/>
        <w:ind w:left="582" w:right="127" w:firstLine="0"/>
        <w:jc w:val="left"/>
        <w:rPr>
          <w:sz w:val="24"/>
        </w:rPr>
      </w:pPr>
      <w:hyperlink w:history="true" w:anchor="_bookmark12">
        <w:r>
          <w:rPr>
            <w:sz w:val="24"/>
          </w:rPr>
          <w:t>Movimientos cíclicos de la política fiscal en países dependientes de recursos</w:t>
        </w:r>
      </w:hyperlink>
      <w:r>
        <w:rPr>
          <w:sz w:val="24"/>
        </w:rPr>
        <w:t> </w:t>
      </w:r>
      <w:hyperlink w:history="true" w:anchor="_bookmark12">
        <w:r>
          <w:rPr>
            <w:sz w:val="24"/>
          </w:rPr>
          <w:t>naturales</w:t>
          <w:tab/>
          <w:t>34</w:t>
        </w:r>
      </w:hyperlink>
    </w:p>
    <w:p>
      <w:pPr>
        <w:pStyle w:val="ListParagraph"/>
        <w:numPr>
          <w:ilvl w:val="2"/>
          <w:numId w:val="1"/>
        </w:numPr>
        <w:tabs>
          <w:tab w:pos="1301" w:val="left" w:leader="none"/>
          <w:tab w:pos="1302" w:val="left" w:leader="none"/>
          <w:tab w:pos="8933" w:val="right" w:leader="dot"/>
        </w:tabs>
        <w:spacing w:line="240" w:lineRule="auto" w:before="0" w:after="0"/>
        <w:ind w:left="1302" w:right="0" w:hanging="720"/>
        <w:jc w:val="left"/>
        <w:rPr>
          <w:sz w:val="24"/>
        </w:rPr>
      </w:pPr>
      <w:hyperlink w:history="true" w:anchor="_bookmark13">
        <w:r>
          <w:rPr>
            <w:sz w:val="24"/>
          </w:rPr>
          <w:t>Cambios institucionales y sus implicaciones en la</w:t>
        </w:r>
        <w:r>
          <w:rPr>
            <w:spacing w:val="-7"/>
            <w:sz w:val="24"/>
          </w:rPr>
          <w:t> </w:t>
        </w:r>
        <w:r>
          <w:rPr>
            <w:sz w:val="24"/>
          </w:rPr>
          <w:t>política</w:t>
        </w:r>
        <w:r>
          <w:rPr>
            <w:spacing w:val="-2"/>
            <w:sz w:val="24"/>
          </w:rPr>
          <w:t> </w:t>
        </w:r>
        <w:r>
          <w:rPr>
            <w:sz w:val="24"/>
          </w:rPr>
          <w:t>fiscal</w:t>
          <w:tab/>
          <w:t>37</w:t>
        </w:r>
      </w:hyperlink>
    </w:p>
    <w:p>
      <w:pPr>
        <w:pStyle w:val="ListParagraph"/>
        <w:numPr>
          <w:ilvl w:val="1"/>
          <w:numId w:val="1"/>
        </w:numPr>
        <w:tabs>
          <w:tab w:pos="1061" w:val="left" w:leader="none"/>
          <w:tab w:pos="1062" w:val="left" w:leader="none"/>
          <w:tab w:pos="8933" w:val="right" w:leader="dot"/>
        </w:tabs>
        <w:spacing w:line="240" w:lineRule="auto" w:before="120" w:after="0"/>
        <w:ind w:left="1062" w:right="0" w:hanging="720"/>
        <w:jc w:val="left"/>
        <w:rPr>
          <w:sz w:val="24"/>
        </w:rPr>
      </w:pPr>
      <w:hyperlink w:history="true" w:anchor="_bookmark14">
        <w:r>
          <w:rPr>
            <w:sz w:val="24"/>
          </w:rPr>
          <w:t>E</w:t>
        </w:r>
        <w:r>
          <w:rPr>
            <w:sz w:val="19"/>
          </w:rPr>
          <w:t>STRUCTURA INSTITUCIONAL DE LOS MERCADOS DE</w:t>
        </w:r>
        <w:r>
          <w:rPr>
            <w:spacing w:val="-4"/>
            <w:sz w:val="19"/>
          </w:rPr>
          <w:t> </w:t>
        </w:r>
        <w:r>
          <w:rPr>
            <w:sz w:val="19"/>
          </w:rPr>
          <w:t>RECURSOS</w:t>
        </w:r>
        <w:r>
          <w:rPr>
            <w:spacing w:val="-2"/>
            <w:sz w:val="19"/>
          </w:rPr>
          <w:t> </w:t>
        </w:r>
        <w:r>
          <w:rPr>
            <w:sz w:val="19"/>
          </w:rPr>
          <w:t>NATURALES</w:t>
        </w:r>
        <w:r>
          <w:rPr>
            <w:sz w:val="24"/>
          </w:rPr>
          <w:tab/>
          <w:t>38</w:t>
        </w:r>
      </w:hyperlink>
    </w:p>
    <w:p>
      <w:pPr>
        <w:pStyle w:val="ListParagraph"/>
        <w:numPr>
          <w:ilvl w:val="2"/>
          <w:numId w:val="1"/>
        </w:numPr>
        <w:tabs>
          <w:tab w:pos="1301" w:val="left" w:leader="none"/>
          <w:tab w:pos="1302" w:val="left" w:leader="none"/>
          <w:tab w:pos="8933" w:val="right" w:leader="dot"/>
        </w:tabs>
        <w:spacing w:line="240" w:lineRule="auto" w:before="0" w:after="0"/>
        <w:ind w:left="1302" w:right="0" w:hanging="720"/>
        <w:jc w:val="left"/>
        <w:rPr>
          <w:sz w:val="24"/>
        </w:rPr>
      </w:pPr>
      <w:hyperlink w:history="true" w:anchor="_bookmark15">
        <w:r>
          <w:rPr>
            <w:sz w:val="24"/>
          </w:rPr>
          <w:t>Organización de mercados de</w:t>
        </w:r>
        <w:r>
          <w:rPr>
            <w:spacing w:val="-3"/>
            <w:sz w:val="24"/>
          </w:rPr>
          <w:t> </w:t>
        </w:r>
        <w:r>
          <w:rPr>
            <w:sz w:val="24"/>
          </w:rPr>
          <w:t>recursos</w:t>
        </w:r>
        <w:r>
          <w:rPr>
            <w:spacing w:val="-1"/>
            <w:sz w:val="24"/>
          </w:rPr>
          <w:t> </w:t>
        </w:r>
        <w:r>
          <w:rPr>
            <w:sz w:val="24"/>
          </w:rPr>
          <w:t>naturales</w:t>
          <w:tab/>
          <w:t>39</w:t>
        </w:r>
      </w:hyperlink>
    </w:p>
    <w:p>
      <w:pPr>
        <w:pStyle w:val="ListParagraph"/>
        <w:numPr>
          <w:ilvl w:val="2"/>
          <w:numId w:val="1"/>
        </w:numPr>
        <w:tabs>
          <w:tab w:pos="1301" w:val="left" w:leader="none"/>
          <w:tab w:pos="1302" w:val="left" w:leader="none"/>
          <w:tab w:pos="8933" w:val="right" w:leader="dot"/>
        </w:tabs>
        <w:spacing w:line="240" w:lineRule="auto" w:before="0" w:after="0"/>
        <w:ind w:left="1302" w:right="0" w:hanging="720"/>
        <w:jc w:val="left"/>
        <w:rPr>
          <w:sz w:val="24"/>
        </w:rPr>
      </w:pPr>
      <w:hyperlink w:history="true" w:anchor="_bookmark16">
        <w:r>
          <w:rPr>
            <w:sz w:val="24"/>
          </w:rPr>
          <w:t>Precios de los</w:t>
        </w:r>
        <w:r>
          <w:rPr>
            <w:spacing w:val="-3"/>
            <w:sz w:val="24"/>
          </w:rPr>
          <w:t> </w:t>
        </w:r>
        <w:r>
          <w:rPr>
            <w:sz w:val="24"/>
          </w:rPr>
          <w:t>recursos</w:t>
        </w:r>
        <w:r>
          <w:rPr>
            <w:spacing w:val="-1"/>
            <w:sz w:val="24"/>
          </w:rPr>
          <w:t> </w:t>
        </w:r>
        <w:r>
          <w:rPr>
            <w:sz w:val="24"/>
          </w:rPr>
          <w:t>naturales</w:t>
          <w:tab/>
          <w:t>42</w:t>
        </w:r>
      </w:hyperlink>
    </w:p>
    <w:p>
      <w:pPr>
        <w:pStyle w:val="ListParagraph"/>
        <w:numPr>
          <w:ilvl w:val="1"/>
          <w:numId w:val="1"/>
        </w:numPr>
        <w:tabs>
          <w:tab w:pos="1061" w:val="left" w:leader="none"/>
          <w:tab w:pos="1062" w:val="left" w:leader="none"/>
          <w:tab w:pos="8933" w:val="right" w:leader="dot"/>
        </w:tabs>
        <w:spacing w:line="240" w:lineRule="auto" w:before="120" w:after="0"/>
        <w:ind w:left="342" w:right="117" w:firstLine="0"/>
        <w:jc w:val="left"/>
        <w:rPr>
          <w:sz w:val="24"/>
        </w:rPr>
      </w:pPr>
      <w:hyperlink w:history="true" w:anchor="_bookmark17">
        <w:r>
          <w:rPr>
            <w:sz w:val="24"/>
          </w:rPr>
          <w:t>C</w:t>
        </w:r>
        <w:r>
          <w:rPr>
            <w:sz w:val="19"/>
          </w:rPr>
          <w:t>HOQUES DE PRECIOS INTERNACIONALES PARA PAÍSES EXPORTADORES DE</w:t>
        </w:r>
      </w:hyperlink>
      <w:r>
        <w:rPr>
          <w:sz w:val="19"/>
        </w:rPr>
        <w:t> </w:t>
      </w:r>
      <w:hyperlink w:history="true" w:anchor="_bookmark17">
        <w:r>
          <w:rPr>
            <w:sz w:val="19"/>
          </w:rPr>
          <w:t>RECURSOS</w:t>
        </w:r>
        <w:r>
          <w:rPr>
            <w:spacing w:val="-1"/>
            <w:sz w:val="19"/>
          </w:rPr>
          <w:t> </w:t>
        </w:r>
        <w:r>
          <w:rPr>
            <w:sz w:val="19"/>
          </w:rPr>
          <w:t>NATURALES</w:t>
        </w:r>
        <w:r>
          <w:rPr>
            <w:sz w:val="24"/>
          </w:rPr>
          <w:tab/>
          <w:t>43</w:t>
        </w:r>
      </w:hyperlink>
    </w:p>
    <w:p>
      <w:pPr>
        <w:pStyle w:val="ListParagraph"/>
        <w:numPr>
          <w:ilvl w:val="1"/>
          <w:numId w:val="1"/>
        </w:numPr>
        <w:tabs>
          <w:tab w:pos="1061" w:val="left" w:leader="none"/>
          <w:tab w:pos="1062" w:val="left" w:leader="none"/>
          <w:tab w:pos="8933" w:val="right" w:leader="dot"/>
        </w:tabs>
        <w:spacing w:line="240" w:lineRule="auto" w:before="120" w:after="0"/>
        <w:ind w:left="342" w:right="117" w:firstLine="0"/>
        <w:jc w:val="left"/>
        <w:rPr>
          <w:sz w:val="24"/>
        </w:rPr>
      </w:pPr>
      <w:hyperlink w:history="true" w:anchor="_bookmark18">
        <w:r>
          <w:rPr>
            <w:sz w:val="24"/>
          </w:rPr>
          <w:t>P</w:t>
        </w:r>
        <w:r>
          <w:rPr>
            <w:sz w:val="19"/>
          </w:rPr>
          <w:t>OLÍTICAS PÚBLICAS PARA LA MITIGACIÓN DE CHOQUES DE PRECIOS</w:t>
        </w:r>
      </w:hyperlink>
      <w:r>
        <w:rPr>
          <w:sz w:val="19"/>
        </w:rPr>
        <w:t> </w:t>
      </w:r>
      <w:hyperlink w:history="true" w:anchor="_bookmark18">
        <w:r>
          <w:rPr>
            <w:sz w:val="19"/>
          </w:rPr>
          <w:t>INTERNACIONALES</w:t>
        </w:r>
        <w:r>
          <w:rPr>
            <w:sz w:val="24"/>
          </w:rPr>
          <w:tab/>
          <w:t>47</w:t>
        </w:r>
      </w:hyperlink>
    </w:p>
    <w:p>
      <w:pPr>
        <w:pStyle w:val="ListParagraph"/>
        <w:numPr>
          <w:ilvl w:val="1"/>
          <w:numId w:val="1"/>
        </w:numPr>
        <w:tabs>
          <w:tab w:pos="1061" w:val="left" w:leader="none"/>
          <w:tab w:pos="1062" w:val="left" w:leader="none"/>
          <w:tab w:pos="8933" w:val="right" w:leader="dot"/>
        </w:tabs>
        <w:spacing w:line="240" w:lineRule="auto" w:before="120" w:after="0"/>
        <w:ind w:left="342" w:right="117" w:firstLine="0"/>
        <w:jc w:val="left"/>
        <w:rPr>
          <w:sz w:val="24"/>
        </w:rPr>
      </w:pPr>
      <w:hyperlink w:history="true" w:anchor="_bookmark19">
        <w:r>
          <w:rPr>
            <w:sz w:val="24"/>
          </w:rPr>
          <w:t>R</w:t>
        </w:r>
        <w:r>
          <w:rPr>
            <w:sz w:val="19"/>
          </w:rPr>
          <w:t>EGLAS FISCALES</w:t>
        </w:r>
        <w:r>
          <w:rPr>
            <w:sz w:val="24"/>
          </w:rPr>
          <w:t>: </w:t>
        </w:r>
        <w:r>
          <w:rPr>
            <w:sz w:val="19"/>
          </w:rPr>
          <w:t>ARREGLOS INSTITUCIONALES PARA PAÍSES DEPENDIENTES DE</w:t>
        </w:r>
      </w:hyperlink>
      <w:r>
        <w:rPr>
          <w:sz w:val="19"/>
        </w:rPr>
        <w:t> </w:t>
      </w:r>
      <w:hyperlink w:history="true" w:anchor="_bookmark19">
        <w:r>
          <w:rPr>
            <w:sz w:val="19"/>
          </w:rPr>
          <w:t>RECURSOS</w:t>
        </w:r>
        <w:r>
          <w:rPr>
            <w:spacing w:val="-1"/>
            <w:sz w:val="19"/>
          </w:rPr>
          <w:t> </w:t>
        </w:r>
        <w:r>
          <w:rPr>
            <w:sz w:val="19"/>
          </w:rPr>
          <w:t>NATURALES</w:t>
        </w:r>
        <w:r>
          <w:rPr>
            <w:sz w:val="24"/>
          </w:rPr>
          <w:tab/>
          <w:t>50</w:t>
        </w:r>
      </w:hyperlink>
    </w:p>
    <w:p>
      <w:pPr>
        <w:pStyle w:val="ListParagraph"/>
        <w:numPr>
          <w:ilvl w:val="2"/>
          <w:numId w:val="1"/>
        </w:numPr>
        <w:tabs>
          <w:tab w:pos="1301" w:val="left" w:leader="none"/>
          <w:tab w:pos="1302" w:val="left" w:leader="none"/>
          <w:tab w:pos="8933" w:val="right" w:leader="dot"/>
        </w:tabs>
        <w:spacing w:line="240" w:lineRule="auto" w:before="0" w:after="0"/>
        <w:ind w:left="1302" w:right="0" w:hanging="720"/>
        <w:jc w:val="left"/>
        <w:rPr>
          <w:sz w:val="24"/>
        </w:rPr>
      </w:pPr>
      <w:hyperlink w:history="true" w:anchor="_bookmark20">
        <w:r>
          <w:rPr>
            <w:sz w:val="24"/>
          </w:rPr>
          <w:t>El rol de las instituciones en la dirección de las</w:t>
        </w:r>
        <w:r>
          <w:rPr>
            <w:spacing w:val="-6"/>
            <w:sz w:val="24"/>
          </w:rPr>
          <w:t> </w:t>
        </w:r>
        <w:r>
          <w:rPr>
            <w:sz w:val="24"/>
          </w:rPr>
          <w:t>finanzas</w:t>
        </w:r>
        <w:r>
          <w:rPr>
            <w:spacing w:val="-1"/>
            <w:sz w:val="24"/>
          </w:rPr>
          <w:t> </w:t>
        </w:r>
        <w:r>
          <w:rPr>
            <w:sz w:val="24"/>
          </w:rPr>
          <w:t>públicas</w:t>
          <w:tab/>
          <w:t>50</w:t>
        </w:r>
      </w:hyperlink>
    </w:p>
    <w:p>
      <w:pPr>
        <w:pStyle w:val="ListParagraph"/>
        <w:numPr>
          <w:ilvl w:val="2"/>
          <w:numId w:val="1"/>
        </w:numPr>
        <w:tabs>
          <w:tab w:pos="1301" w:val="left" w:leader="none"/>
          <w:tab w:pos="1302" w:val="left" w:leader="none"/>
          <w:tab w:pos="8933" w:val="right" w:leader="dot"/>
        </w:tabs>
        <w:spacing w:line="240" w:lineRule="auto" w:before="0" w:after="0"/>
        <w:ind w:left="1302" w:right="0" w:hanging="720"/>
        <w:jc w:val="left"/>
        <w:rPr>
          <w:sz w:val="24"/>
        </w:rPr>
      </w:pPr>
      <w:hyperlink w:history="true" w:anchor="_bookmark21">
        <w:r>
          <w:rPr>
            <w:sz w:val="24"/>
          </w:rPr>
          <w:t>Justificación teórica: ¿por qué son importantes las</w:t>
        </w:r>
        <w:r>
          <w:rPr>
            <w:spacing w:val="-4"/>
            <w:sz w:val="24"/>
          </w:rPr>
          <w:t> </w:t>
        </w:r>
        <w:r>
          <w:rPr>
            <w:sz w:val="24"/>
          </w:rPr>
          <w:t>reglas</w:t>
        </w:r>
        <w:r>
          <w:rPr>
            <w:spacing w:val="-1"/>
            <w:sz w:val="24"/>
          </w:rPr>
          <w:t> </w:t>
        </w:r>
        <w:r>
          <w:rPr>
            <w:sz w:val="24"/>
          </w:rPr>
          <w:t>fiscales?</w:t>
          <w:tab/>
          <w:t>53</w:t>
        </w:r>
      </w:hyperlink>
    </w:p>
    <w:p>
      <w:pPr>
        <w:pStyle w:val="ListParagraph"/>
        <w:numPr>
          <w:ilvl w:val="2"/>
          <w:numId w:val="1"/>
        </w:numPr>
        <w:tabs>
          <w:tab w:pos="1301" w:val="left" w:leader="none"/>
          <w:tab w:pos="1302" w:val="left" w:leader="none"/>
          <w:tab w:pos="8933" w:val="right" w:leader="dot"/>
        </w:tabs>
        <w:spacing w:line="240" w:lineRule="auto" w:before="0" w:after="0"/>
        <w:ind w:left="1302" w:right="0" w:hanging="720"/>
        <w:jc w:val="left"/>
        <w:rPr>
          <w:sz w:val="24"/>
        </w:rPr>
      </w:pPr>
      <w:hyperlink w:history="true" w:anchor="_bookmark22">
        <w:r>
          <w:rPr>
            <w:sz w:val="24"/>
          </w:rPr>
          <w:t>Criterios generales de</w:t>
        </w:r>
        <w:r>
          <w:rPr>
            <w:spacing w:val="-2"/>
            <w:sz w:val="24"/>
          </w:rPr>
          <w:t> </w:t>
        </w:r>
        <w:r>
          <w:rPr>
            <w:sz w:val="24"/>
          </w:rPr>
          <w:t>reglas</w:t>
        </w:r>
        <w:r>
          <w:rPr>
            <w:spacing w:val="-1"/>
            <w:sz w:val="24"/>
          </w:rPr>
          <w:t> </w:t>
        </w:r>
        <w:r>
          <w:rPr>
            <w:sz w:val="24"/>
          </w:rPr>
          <w:t>fiscales</w:t>
          <w:tab/>
          <w:t>54</w:t>
        </w:r>
      </w:hyperlink>
    </w:p>
    <w:p>
      <w:pPr>
        <w:pStyle w:val="ListParagraph"/>
        <w:numPr>
          <w:ilvl w:val="2"/>
          <w:numId w:val="1"/>
        </w:numPr>
        <w:tabs>
          <w:tab w:pos="1301" w:val="left" w:leader="none"/>
          <w:tab w:pos="1302" w:val="left" w:leader="none"/>
          <w:tab w:pos="8933" w:val="right" w:leader="dot"/>
        </w:tabs>
        <w:spacing w:line="240" w:lineRule="auto" w:before="0" w:after="0"/>
        <w:ind w:left="1302" w:right="0" w:hanging="720"/>
        <w:jc w:val="left"/>
        <w:rPr>
          <w:sz w:val="24"/>
        </w:rPr>
      </w:pPr>
      <w:hyperlink w:history="true" w:anchor="_bookmark23">
        <w:r>
          <w:rPr>
            <w:sz w:val="24"/>
          </w:rPr>
          <w:t>Reglas fiscales para países dependientes de</w:t>
        </w:r>
        <w:r>
          <w:rPr>
            <w:spacing w:val="-4"/>
            <w:sz w:val="24"/>
          </w:rPr>
          <w:t> </w:t>
        </w:r>
        <w:r>
          <w:rPr>
            <w:sz w:val="24"/>
          </w:rPr>
          <w:t>recursos</w:t>
        </w:r>
        <w:r>
          <w:rPr>
            <w:spacing w:val="-1"/>
            <w:sz w:val="24"/>
          </w:rPr>
          <w:t> </w:t>
        </w:r>
        <w:r>
          <w:rPr>
            <w:sz w:val="24"/>
          </w:rPr>
          <w:t>naturales</w:t>
          <w:tab/>
          <w:t>56</w:t>
        </w:r>
      </w:hyperlink>
    </w:p>
    <w:p>
      <w:pPr>
        <w:tabs>
          <w:tab w:pos="8933" w:val="right" w:leader="dot"/>
        </w:tabs>
        <w:spacing w:before="120"/>
        <w:ind w:left="102" w:right="0" w:firstLine="0"/>
        <w:jc w:val="left"/>
        <w:rPr>
          <w:sz w:val="24"/>
        </w:rPr>
      </w:pPr>
      <w:hyperlink w:history="true" w:anchor="_bookmark24">
        <w:r>
          <w:rPr>
            <w:sz w:val="24"/>
          </w:rPr>
          <w:t>S</w:t>
        </w:r>
        <w:r>
          <w:rPr>
            <w:sz w:val="19"/>
          </w:rPr>
          <w:t>ÍNTESIS</w:t>
        </w:r>
        <w:r>
          <w:rPr>
            <w:sz w:val="24"/>
          </w:rPr>
          <w:tab/>
          <w:t>57</w:t>
        </w:r>
      </w:hyperlink>
    </w:p>
    <w:p>
      <w:pPr>
        <w:tabs>
          <w:tab w:pos="8933" w:val="right" w:leader="dot"/>
        </w:tabs>
        <w:spacing w:before="125"/>
        <w:ind w:left="102" w:right="127" w:firstLine="0"/>
        <w:jc w:val="left"/>
        <w:rPr>
          <w:b/>
          <w:sz w:val="24"/>
        </w:rPr>
      </w:pPr>
      <w:hyperlink w:history="true" w:anchor="_bookmark25">
        <w:r>
          <w:rPr>
            <w:b/>
            <w:sz w:val="24"/>
          </w:rPr>
          <w:t>C</w:t>
        </w:r>
        <w:r>
          <w:rPr>
            <w:b/>
            <w:sz w:val="19"/>
          </w:rPr>
          <w:t>APÍTULO </w:t>
        </w:r>
        <w:r>
          <w:rPr>
            <w:b/>
            <w:sz w:val="24"/>
          </w:rPr>
          <w:t>II: E</w:t>
        </w:r>
        <w:r>
          <w:rPr>
            <w:b/>
            <w:sz w:val="19"/>
          </w:rPr>
          <w:t>STRUCTURA DEL MERCADO INTERNACIONAL DEL GAS NATURAL Y SU</w:t>
        </w:r>
      </w:hyperlink>
      <w:r>
        <w:rPr>
          <w:b/>
          <w:sz w:val="19"/>
        </w:rPr>
        <w:t> </w:t>
      </w:r>
      <w:hyperlink w:history="true" w:anchor="_bookmark25">
        <w:r>
          <w:rPr>
            <w:b/>
            <w:sz w:val="19"/>
          </w:rPr>
          <w:t>IMPORTANCIA EN LA</w:t>
        </w:r>
        <w:r>
          <w:rPr>
            <w:b/>
            <w:spacing w:val="-3"/>
            <w:sz w:val="19"/>
          </w:rPr>
          <w:t> </w:t>
        </w:r>
        <w:r>
          <w:rPr>
            <w:b/>
            <w:sz w:val="19"/>
          </w:rPr>
          <w:t>ECONOMÍA</w:t>
        </w:r>
        <w:r>
          <w:rPr>
            <w:b/>
            <w:spacing w:val="-2"/>
            <w:sz w:val="19"/>
          </w:rPr>
          <w:t> </w:t>
        </w:r>
        <w:r>
          <w:rPr>
            <w:b/>
            <w:sz w:val="19"/>
          </w:rPr>
          <w:t>BOLIVIANA</w:t>
        </w:r>
        <w:r>
          <w:rPr>
            <w:b/>
            <w:sz w:val="24"/>
          </w:rPr>
          <w:tab/>
          <w:t>60</w:t>
        </w:r>
      </w:hyperlink>
    </w:p>
    <w:p>
      <w:pPr>
        <w:pStyle w:val="ListParagraph"/>
        <w:numPr>
          <w:ilvl w:val="1"/>
          <w:numId w:val="2"/>
        </w:numPr>
        <w:tabs>
          <w:tab w:pos="1061" w:val="left" w:leader="none"/>
          <w:tab w:pos="1062" w:val="left" w:leader="none"/>
          <w:tab w:pos="8933" w:val="right" w:leader="dot"/>
        </w:tabs>
        <w:spacing w:line="240" w:lineRule="auto" w:before="115" w:after="0"/>
        <w:ind w:left="342" w:right="0" w:firstLine="0"/>
        <w:jc w:val="left"/>
        <w:rPr>
          <w:sz w:val="24"/>
        </w:rPr>
      </w:pPr>
      <w:hyperlink w:history="true" w:anchor="_bookmark26">
        <w:r>
          <w:rPr>
            <w:sz w:val="24"/>
          </w:rPr>
          <w:t>E</w:t>
        </w:r>
        <w:r>
          <w:rPr>
            <w:sz w:val="19"/>
          </w:rPr>
          <w:t>STRUCTURA DEL MERCADO INTERNACIONAL DE</w:t>
        </w:r>
        <w:r>
          <w:rPr>
            <w:spacing w:val="-4"/>
            <w:sz w:val="19"/>
          </w:rPr>
          <w:t> </w:t>
        </w:r>
        <w:r>
          <w:rPr>
            <w:sz w:val="19"/>
          </w:rPr>
          <w:t>GAS</w:t>
        </w:r>
        <w:r>
          <w:rPr>
            <w:spacing w:val="-1"/>
            <w:sz w:val="19"/>
          </w:rPr>
          <w:t> </w:t>
        </w:r>
        <w:r>
          <w:rPr>
            <w:sz w:val="19"/>
          </w:rPr>
          <w:t>NATURAL</w:t>
        </w:r>
        <w:r>
          <w:rPr>
            <w:sz w:val="24"/>
          </w:rPr>
          <w:tab/>
          <w:t>62</w:t>
        </w:r>
      </w:hyperlink>
    </w:p>
    <w:p>
      <w:pPr>
        <w:pStyle w:val="ListParagraph"/>
        <w:numPr>
          <w:ilvl w:val="2"/>
          <w:numId w:val="2"/>
        </w:numPr>
        <w:tabs>
          <w:tab w:pos="1301" w:val="left" w:leader="none"/>
          <w:tab w:pos="1302" w:val="left" w:leader="none"/>
          <w:tab w:pos="8933" w:val="right" w:leader="dot"/>
        </w:tabs>
        <w:spacing w:line="240" w:lineRule="auto" w:before="0" w:after="0"/>
        <w:ind w:left="582" w:right="127" w:firstLine="0"/>
        <w:jc w:val="left"/>
        <w:rPr>
          <w:sz w:val="24"/>
        </w:rPr>
      </w:pPr>
      <w:hyperlink w:history="true" w:anchor="_bookmark29">
        <w:r>
          <w:rPr>
            <w:sz w:val="24"/>
          </w:rPr>
          <w:t>Organización del mercado internacional y mecanismos de fijación de precios</w:t>
        </w:r>
      </w:hyperlink>
      <w:r>
        <w:rPr>
          <w:sz w:val="24"/>
        </w:rPr>
        <w:t> </w:t>
      </w:r>
      <w:hyperlink w:history="true" w:anchor="_bookmark29">
        <w:r>
          <w:rPr>
            <w:sz w:val="24"/>
          </w:rPr>
          <w:t>del</w:t>
        </w:r>
        <w:r>
          <w:rPr>
            <w:spacing w:val="-1"/>
            <w:sz w:val="24"/>
          </w:rPr>
          <w:t> </w:t>
        </w:r>
        <w:r>
          <w:rPr>
            <w:sz w:val="24"/>
          </w:rPr>
          <w:t>gas</w:t>
        </w:r>
        <w:r>
          <w:rPr>
            <w:spacing w:val="-1"/>
            <w:sz w:val="24"/>
          </w:rPr>
          <w:t> </w:t>
        </w:r>
        <w:r>
          <w:rPr>
            <w:sz w:val="24"/>
          </w:rPr>
          <w:t>natural</w:t>
          <w:tab/>
          <w:t>65</w:t>
        </w:r>
      </w:hyperlink>
    </w:p>
    <w:p>
      <w:pPr>
        <w:pStyle w:val="ListParagraph"/>
        <w:numPr>
          <w:ilvl w:val="2"/>
          <w:numId w:val="2"/>
        </w:numPr>
        <w:tabs>
          <w:tab w:pos="1301" w:val="left" w:leader="none"/>
          <w:tab w:pos="1302" w:val="left" w:leader="none"/>
          <w:tab w:pos="8933" w:val="right" w:leader="dot"/>
        </w:tabs>
        <w:spacing w:line="240" w:lineRule="auto" w:before="0" w:after="0"/>
        <w:ind w:left="1302" w:right="0" w:hanging="720"/>
        <w:jc w:val="left"/>
        <w:rPr>
          <w:sz w:val="24"/>
        </w:rPr>
      </w:pPr>
      <w:hyperlink w:history="true" w:anchor="_bookmark30">
        <w:r>
          <w:rPr>
            <w:sz w:val="24"/>
          </w:rPr>
          <w:t>Perspectivas de largo plazo en mercados internacionales del</w:t>
        </w:r>
        <w:r>
          <w:rPr>
            <w:spacing w:val="-6"/>
            <w:sz w:val="24"/>
          </w:rPr>
          <w:t> </w:t>
        </w:r>
        <w:r>
          <w:rPr>
            <w:sz w:val="24"/>
          </w:rPr>
          <w:t>gas</w:t>
        </w:r>
        <w:r>
          <w:rPr>
            <w:spacing w:val="-1"/>
            <w:sz w:val="24"/>
          </w:rPr>
          <w:t> </w:t>
        </w:r>
        <w:r>
          <w:rPr>
            <w:sz w:val="24"/>
          </w:rPr>
          <w:t>natural</w:t>
          <w:tab/>
          <w:t>67</w:t>
        </w:r>
      </w:hyperlink>
    </w:p>
    <w:p>
      <w:pPr>
        <w:pStyle w:val="ListParagraph"/>
        <w:numPr>
          <w:ilvl w:val="1"/>
          <w:numId w:val="2"/>
        </w:numPr>
        <w:tabs>
          <w:tab w:pos="1061" w:val="left" w:leader="none"/>
          <w:tab w:pos="1062" w:val="left" w:leader="none"/>
        </w:tabs>
        <w:spacing w:line="240" w:lineRule="auto" w:before="120" w:after="0"/>
        <w:ind w:left="342" w:right="115" w:firstLine="0"/>
        <w:jc w:val="left"/>
        <w:rPr>
          <w:sz w:val="24"/>
        </w:rPr>
      </w:pPr>
      <w:hyperlink w:history="true" w:anchor="_bookmark36">
        <w:r>
          <w:rPr>
            <w:sz w:val="24"/>
          </w:rPr>
          <w:t>I</w:t>
        </w:r>
        <w:r>
          <w:rPr>
            <w:sz w:val="19"/>
          </w:rPr>
          <w:t>NFLUENCIA Y DIVERGENCIA DE LOS PRECIOS DEL PETRÓLEO EN LOS PRECIOS DEL</w:t>
        </w:r>
      </w:hyperlink>
      <w:r>
        <w:rPr>
          <w:sz w:val="19"/>
        </w:rPr>
        <w:t> </w:t>
      </w:r>
      <w:hyperlink w:history="true" w:anchor="_bookmark36">
        <w:r>
          <w:rPr>
            <w:sz w:val="19"/>
          </w:rPr>
          <w:t>GAS</w:t>
        </w:r>
        <w:r>
          <w:rPr>
            <w:spacing w:val="-3"/>
            <w:sz w:val="19"/>
          </w:rPr>
          <w:t> </w:t>
        </w:r>
        <w:r>
          <w:rPr>
            <w:sz w:val="19"/>
          </w:rPr>
          <w:t>NATURAL</w:t>
        </w:r>
        <w:r>
          <w:rPr>
            <w:sz w:val="24"/>
          </w:rPr>
          <w:t>:</w:t>
        </w:r>
        <w:r>
          <w:rPr>
            <w:spacing w:val="-15"/>
            <w:sz w:val="24"/>
          </w:rPr>
          <w:t> </w:t>
        </w:r>
        <w:r>
          <w:rPr>
            <w:sz w:val="24"/>
          </w:rPr>
          <w:t>¿</w:t>
        </w:r>
        <w:r>
          <w:rPr>
            <w:sz w:val="19"/>
          </w:rPr>
          <w:t>RELACIÓN</w:t>
        </w:r>
        <w:r>
          <w:rPr>
            <w:spacing w:val="-4"/>
            <w:sz w:val="19"/>
          </w:rPr>
          <w:t> </w:t>
        </w:r>
        <w:r>
          <w:rPr>
            <w:sz w:val="19"/>
          </w:rPr>
          <w:t>DIRECTA</w:t>
        </w:r>
        <w:r>
          <w:rPr>
            <w:spacing w:val="-4"/>
            <w:sz w:val="19"/>
          </w:rPr>
          <w:t> </w:t>
        </w:r>
        <w:r>
          <w:rPr>
            <w:sz w:val="19"/>
          </w:rPr>
          <w:t>O</w:t>
        </w:r>
        <w:r>
          <w:rPr>
            <w:spacing w:val="-3"/>
            <w:sz w:val="19"/>
          </w:rPr>
          <w:t> </w:t>
        </w:r>
        <w:r>
          <w:rPr>
            <w:sz w:val="19"/>
          </w:rPr>
          <w:t>MECANISMOS</w:t>
        </w:r>
        <w:r>
          <w:rPr>
            <w:spacing w:val="-3"/>
            <w:sz w:val="19"/>
          </w:rPr>
          <w:t> </w:t>
        </w:r>
        <w:r>
          <w:rPr>
            <w:sz w:val="19"/>
          </w:rPr>
          <w:t>ALTERNATIVOS</w:t>
        </w:r>
        <w:r>
          <w:rPr>
            <w:spacing w:val="-3"/>
            <w:sz w:val="19"/>
          </w:rPr>
          <w:t> </w:t>
        </w:r>
        <w:r>
          <w:rPr>
            <w:sz w:val="19"/>
          </w:rPr>
          <w:t>DE</w:t>
        </w:r>
        <w:r>
          <w:rPr>
            <w:spacing w:val="-4"/>
            <w:sz w:val="19"/>
          </w:rPr>
          <w:t> </w:t>
        </w:r>
        <w:r>
          <w:rPr>
            <w:sz w:val="19"/>
          </w:rPr>
          <w:t>EXPLICACIÓN</w:t>
        </w:r>
        <w:r>
          <w:rPr>
            <w:sz w:val="24"/>
          </w:rPr>
          <w:t>?</w:t>
        </w:r>
        <w:r>
          <w:rPr>
            <w:spacing w:val="-23"/>
            <w:sz w:val="24"/>
          </w:rPr>
          <w:t> </w:t>
        </w:r>
        <w:r>
          <w:rPr>
            <w:sz w:val="24"/>
          </w:rPr>
          <w:t>...</w:t>
        </w:r>
        <w:r>
          <w:rPr>
            <w:spacing w:val="-31"/>
            <w:sz w:val="24"/>
          </w:rPr>
          <w:t> </w:t>
        </w:r>
        <w:r>
          <w:rPr>
            <w:sz w:val="24"/>
          </w:rPr>
          <w:t>76</w:t>
        </w:r>
      </w:hyperlink>
    </w:p>
    <w:p>
      <w:pPr>
        <w:pStyle w:val="ListParagraph"/>
        <w:numPr>
          <w:ilvl w:val="1"/>
          <w:numId w:val="2"/>
        </w:numPr>
        <w:tabs>
          <w:tab w:pos="1061" w:val="left" w:leader="none"/>
          <w:tab w:pos="1062" w:val="left" w:leader="none"/>
          <w:tab w:pos="8933" w:val="right" w:leader="dot"/>
        </w:tabs>
        <w:spacing w:line="240" w:lineRule="auto" w:before="120" w:after="0"/>
        <w:ind w:left="1062" w:right="0" w:hanging="720"/>
        <w:jc w:val="left"/>
        <w:rPr>
          <w:sz w:val="24"/>
        </w:rPr>
      </w:pPr>
      <w:hyperlink w:history="true" w:anchor="_bookmark40">
        <w:r>
          <w:rPr>
            <w:sz w:val="24"/>
          </w:rPr>
          <w:t>I</w:t>
        </w:r>
        <w:r>
          <w:rPr>
            <w:sz w:val="19"/>
          </w:rPr>
          <w:t>MPORTANCIA DEL MERCADO DEL GAS NATURAL EN LA</w:t>
        </w:r>
        <w:r>
          <w:rPr>
            <w:spacing w:val="-12"/>
            <w:sz w:val="19"/>
          </w:rPr>
          <w:t> </w:t>
        </w:r>
        <w:r>
          <w:rPr>
            <w:sz w:val="19"/>
          </w:rPr>
          <w:t>ECONOMÍA</w:t>
        </w:r>
        <w:r>
          <w:rPr>
            <w:spacing w:val="-2"/>
            <w:sz w:val="19"/>
          </w:rPr>
          <w:t> </w:t>
        </w:r>
        <w:r>
          <w:rPr>
            <w:sz w:val="19"/>
          </w:rPr>
          <w:t>BOLIVIANA</w:t>
        </w:r>
        <w:r>
          <w:rPr>
            <w:sz w:val="24"/>
          </w:rPr>
          <w:tab/>
          <w:t>85</w:t>
        </w:r>
      </w:hyperlink>
    </w:p>
    <w:p>
      <w:pPr>
        <w:pStyle w:val="ListParagraph"/>
        <w:numPr>
          <w:ilvl w:val="2"/>
          <w:numId w:val="2"/>
        </w:numPr>
        <w:tabs>
          <w:tab w:pos="1301" w:val="left" w:leader="none"/>
          <w:tab w:pos="1302" w:val="left" w:leader="none"/>
          <w:tab w:pos="8933" w:val="right" w:leader="dot"/>
        </w:tabs>
        <w:spacing w:line="240" w:lineRule="auto" w:before="0" w:after="0"/>
        <w:ind w:left="582" w:right="127" w:firstLine="0"/>
        <w:jc w:val="left"/>
        <w:rPr>
          <w:sz w:val="24"/>
        </w:rPr>
      </w:pPr>
      <w:hyperlink w:history="true" w:anchor="_bookmark43">
        <w:r>
          <w:rPr>
            <w:sz w:val="24"/>
          </w:rPr>
          <w:t>Sendero de proyección para los precios de gas natural en Bolivia hacia el</w:t>
        </w:r>
      </w:hyperlink>
      <w:r>
        <w:rPr>
          <w:sz w:val="24"/>
        </w:rPr>
        <w:t> </w:t>
      </w:r>
      <w:hyperlink w:history="true" w:anchor="_bookmark43">
        <w:r>
          <w:rPr>
            <w:sz w:val="24"/>
          </w:rPr>
          <w:t>mediano plazo</w:t>
          <w:tab/>
          <w:t>87</w:t>
        </w:r>
      </w:hyperlink>
    </w:p>
    <w:p>
      <w:pPr>
        <w:pStyle w:val="ListParagraph"/>
        <w:numPr>
          <w:ilvl w:val="2"/>
          <w:numId w:val="2"/>
        </w:numPr>
        <w:tabs>
          <w:tab w:pos="1301" w:val="left" w:leader="none"/>
          <w:tab w:pos="1302" w:val="left" w:leader="none"/>
          <w:tab w:pos="8933" w:val="right" w:leader="dot"/>
        </w:tabs>
        <w:spacing w:line="240" w:lineRule="auto" w:before="0" w:after="0"/>
        <w:ind w:left="1302" w:right="0" w:hanging="720"/>
        <w:jc w:val="left"/>
        <w:rPr>
          <w:sz w:val="24"/>
        </w:rPr>
      </w:pPr>
      <w:hyperlink w:history="true" w:anchor="_bookmark45">
        <w:r>
          <w:rPr>
            <w:sz w:val="24"/>
          </w:rPr>
          <w:t>La industria  del gas</w:t>
        </w:r>
        <w:r>
          <w:rPr>
            <w:spacing w:val="-1"/>
            <w:sz w:val="24"/>
          </w:rPr>
          <w:t> </w:t>
        </w:r>
        <w:r>
          <w:rPr>
            <w:sz w:val="24"/>
          </w:rPr>
          <w:t>boliviano</w:t>
          <w:tab/>
          <w:t>88</w:t>
        </w:r>
      </w:hyperlink>
    </w:p>
    <w:p>
      <w:pPr>
        <w:spacing w:after="0" w:line="240" w:lineRule="auto"/>
        <w:jc w:val="left"/>
        <w:rPr>
          <w:sz w:val="24"/>
        </w:rPr>
        <w:sectPr>
          <w:footerReference w:type="default" r:id="rId10"/>
          <w:pgSz w:w="12250" w:h="15850"/>
          <w:pgMar w:footer="1035" w:header="0" w:top="1380" w:bottom="1220" w:left="1600" w:right="1580"/>
          <w:pgNumType w:start="1"/>
        </w:sectPr>
      </w:pPr>
    </w:p>
    <w:p>
      <w:pPr>
        <w:pStyle w:val="ListParagraph"/>
        <w:numPr>
          <w:ilvl w:val="2"/>
          <w:numId w:val="2"/>
        </w:numPr>
        <w:tabs>
          <w:tab w:pos="1301" w:val="left" w:leader="none"/>
          <w:tab w:pos="1302" w:val="left" w:leader="none"/>
          <w:tab w:pos="8933" w:val="right" w:leader="dot"/>
        </w:tabs>
        <w:spacing w:line="240" w:lineRule="auto" w:before="46" w:after="0"/>
        <w:ind w:left="1302" w:right="0" w:hanging="720"/>
        <w:jc w:val="left"/>
        <w:rPr>
          <w:sz w:val="24"/>
        </w:rPr>
      </w:pPr>
      <w:hyperlink w:history="true" w:anchor="_bookmark48">
        <w:r>
          <w:rPr>
            <w:sz w:val="24"/>
          </w:rPr>
          <w:t>Inversiones e infraestructura en la industria</w:t>
        </w:r>
        <w:r>
          <w:rPr>
            <w:spacing w:val="-4"/>
            <w:sz w:val="24"/>
          </w:rPr>
          <w:t> </w:t>
        </w:r>
        <w:r>
          <w:rPr>
            <w:sz w:val="24"/>
          </w:rPr>
          <w:t>del</w:t>
        </w:r>
        <w:r>
          <w:rPr>
            <w:spacing w:val="-1"/>
            <w:sz w:val="24"/>
          </w:rPr>
          <w:t> </w:t>
        </w:r>
        <w:r>
          <w:rPr>
            <w:sz w:val="24"/>
          </w:rPr>
          <w:t>gas</w:t>
          <w:tab/>
          <w:t>91</w:t>
        </w:r>
      </w:hyperlink>
    </w:p>
    <w:p>
      <w:pPr>
        <w:pStyle w:val="ListParagraph"/>
        <w:numPr>
          <w:ilvl w:val="2"/>
          <w:numId w:val="2"/>
        </w:numPr>
        <w:tabs>
          <w:tab w:pos="1301" w:val="left" w:leader="none"/>
          <w:tab w:pos="1302" w:val="left" w:leader="none"/>
          <w:tab w:pos="8933" w:val="right" w:leader="dot"/>
        </w:tabs>
        <w:spacing w:line="240" w:lineRule="auto" w:before="0" w:after="0"/>
        <w:ind w:left="1302" w:right="0" w:hanging="720"/>
        <w:jc w:val="left"/>
        <w:rPr>
          <w:sz w:val="24"/>
        </w:rPr>
      </w:pPr>
      <w:hyperlink w:history="true" w:anchor="_bookmark51">
        <w:r>
          <w:rPr>
            <w:sz w:val="24"/>
          </w:rPr>
          <w:t>Mercados de exportación del gas</w:t>
        </w:r>
        <w:r>
          <w:rPr>
            <w:spacing w:val="-1"/>
            <w:sz w:val="24"/>
          </w:rPr>
          <w:t> </w:t>
        </w:r>
        <w:r>
          <w:rPr>
            <w:sz w:val="24"/>
          </w:rPr>
          <w:t>boliviano</w:t>
          <w:tab/>
          <w:t>94</w:t>
        </w:r>
      </w:hyperlink>
    </w:p>
    <w:p>
      <w:pPr>
        <w:pStyle w:val="ListParagraph"/>
        <w:numPr>
          <w:ilvl w:val="2"/>
          <w:numId w:val="2"/>
        </w:numPr>
        <w:tabs>
          <w:tab w:pos="1301" w:val="left" w:leader="none"/>
          <w:tab w:pos="1302" w:val="left" w:leader="none"/>
          <w:tab w:pos="8933" w:val="right" w:leader="dot"/>
        </w:tabs>
        <w:spacing w:line="240" w:lineRule="auto" w:before="0" w:after="0"/>
        <w:ind w:left="1302" w:right="0" w:hanging="720"/>
        <w:jc w:val="left"/>
        <w:rPr>
          <w:sz w:val="24"/>
        </w:rPr>
      </w:pPr>
      <w:hyperlink w:history="true" w:anchor="_bookmark54">
        <w:r>
          <w:rPr>
            <w:sz w:val="24"/>
          </w:rPr>
          <w:t>Reservas,  producción y  consumo de gas natural en</w:t>
        </w:r>
        <w:r>
          <w:rPr>
            <w:spacing w:val="-1"/>
            <w:sz w:val="24"/>
          </w:rPr>
          <w:t> </w:t>
        </w:r>
        <w:r>
          <w:rPr>
            <w:sz w:val="24"/>
          </w:rPr>
          <w:t>Bolivia</w:t>
          <w:tab/>
          <w:t>95</w:t>
        </w:r>
      </w:hyperlink>
    </w:p>
    <w:p>
      <w:pPr>
        <w:pStyle w:val="ListParagraph"/>
        <w:numPr>
          <w:ilvl w:val="2"/>
          <w:numId w:val="2"/>
        </w:numPr>
        <w:tabs>
          <w:tab w:pos="1301" w:val="left" w:leader="none"/>
          <w:tab w:pos="1302" w:val="left" w:leader="none"/>
          <w:tab w:pos="8933" w:val="right" w:leader="dot"/>
        </w:tabs>
        <w:spacing w:line="240" w:lineRule="auto" w:before="0" w:after="0"/>
        <w:ind w:left="582" w:right="107" w:firstLine="0"/>
        <w:jc w:val="left"/>
        <w:rPr>
          <w:sz w:val="24"/>
        </w:rPr>
      </w:pPr>
      <w:hyperlink w:history="true" w:anchor="_bookmark57">
        <w:r>
          <w:rPr>
            <w:sz w:val="24"/>
          </w:rPr>
          <w:t>Sendero de crecimiento para la producción de gas natural en Bolivia hacia el</w:t>
        </w:r>
      </w:hyperlink>
      <w:r>
        <w:rPr>
          <w:sz w:val="24"/>
        </w:rPr>
        <w:t> </w:t>
      </w:r>
      <w:hyperlink w:history="true" w:anchor="_bookmark57">
        <w:r>
          <w:rPr>
            <w:sz w:val="24"/>
          </w:rPr>
          <w:t>mediano plazo (hasta</w:t>
        </w:r>
        <w:r>
          <w:rPr>
            <w:spacing w:val="-1"/>
            <w:sz w:val="24"/>
          </w:rPr>
          <w:t> </w:t>
        </w:r>
        <w:r>
          <w:rPr>
            <w:sz w:val="24"/>
          </w:rPr>
          <w:t>el</w:t>
        </w:r>
        <w:r>
          <w:rPr>
            <w:spacing w:val="-1"/>
            <w:sz w:val="24"/>
          </w:rPr>
          <w:t> </w:t>
        </w:r>
        <w:r>
          <w:rPr>
            <w:sz w:val="24"/>
          </w:rPr>
          <w:t>2016)</w:t>
          <w:tab/>
          <w:t>97</w:t>
        </w:r>
      </w:hyperlink>
    </w:p>
    <w:p>
      <w:pPr>
        <w:pStyle w:val="ListParagraph"/>
        <w:numPr>
          <w:ilvl w:val="2"/>
          <w:numId w:val="2"/>
        </w:numPr>
        <w:tabs>
          <w:tab w:pos="1301" w:val="left" w:leader="none"/>
          <w:tab w:pos="1302" w:val="left" w:leader="none"/>
          <w:tab w:pos="8933" w:val="right" w:leader="dot"/>
        </w:tabs>
        <w:spacing w:line="240" w:lineRule="auto" w:before="0" w:after="0"/>
        <w:ind w:left="1302" w:right="0" w:hanging="720"/>
        <w:jc w:val="left"/>
        <w:rPr>
          <w:sz w:val="24"/>
        </w:rPr>
      </w:pPr>
      <w:hyperlink w:history="true" w:anchor="_bookmark59">
        <w:r>
          <w:rPr>
            <w:sz w:val="24"/>
          </w:rPr>
          <w:t>Agotamiento del gas natural boliviano y su</w:t>
        </w:r>
        <w:r>
          <w:rPr>
            <w:spacing w:val="-5"/>
            <w:sz w:val="24"/>
          </w:rPr>
          <w:t> </w:t>
        </w:r>
        <w:r>
          <w:rPr>
            <w:sz w:val="24"/>
          </w:rPr>
          <w:t>importancia</w:t>
        </w:r>
        <w:r>
          <w:rPr>
            <w:spacing w:val="-1"/>
            <w:sz w:val="24"/>
          </w:rPr>
          <w:t> </w:t>
        </w:r>
        <w:r>
          <w:rPr>
            <w:sz w:val="24"/>
          </w:rPr>
          <w:t>fiscal</w:t>
          <w:tab/>
          <w:t>98</w:t>
        </w:r>
      </w:hyperlink>
    </w:p>
    <w:p>
      <w:pPr>
        <w:pStyle w:val="ListParagraph"/>
        <w:numPr>
          <w:ilvl w:val="2"/>
          <w:numId w:val="2"/>
        </w:numPr>
        <w:tabs>
          <w:tab w:pos="1301" w:val="left" w:leader="none"/>
          <w:tab w:pos="1302" w:val="left" w:leader="none"/>
        </w:tabs>
        <w:spacing w:line="240" w:lineRule="auto" w:before="0" w:after="0"/>
        <w:ind w:left="1302" w:right="394" w:hanging="720"/>
        <w:jc w:val="left"/>
        <w:rPr>
          <w:sz w:val="24"/>
        </w:rPr>
      </w:pPr>
      <w:hyperlink w:history="true" w:anchor="_bookmark62">
        <w:r>
          <w:rPr>
            <w:sz w:val="24"/>
          </w:rPr>
          <w:t>Régimen de asignación y distribución de ingresos del gas natural en Bolivia</w:t>
        </w:r>
      </w:hyperlink>
      <w:r>
        <w:rPr>
          <w:sz w:val="24"/>
        </w:rPr>
        <w:t> </w:t>
      </w:r>
      <w:hyperlink w:history="true" w:anchor="_bookmark62">
        <w:r>
          <w:rPr>
            <w:sz w:val="24"/>
          </w:rPr>
          <w:t>100</w:t>
        </w:r>
      </w:hyperlink>
    </w:p>
    <w:p>
      <w:pPr>
        <w:pStyle w:val="ListParagraph"/>
        <w:numPr>
          <w:ilvl w:val="2"/>
          <w:numId w:val="2"/>
        </w:numPr>
        <w:tabs>
          <w:tab w:pos="1301" w:val="left" w:leader="none"/>
          <w:tab w:pos="1302" w:val="left" w:leader="none"/>
          <w:tab w:pos="8933" w:val="right" w:leader="dot"/>
        </w:tabs>
        <w:spacing w:line="240" w:lineRule="auto" w:before="0" w:after="0"/>
        <w:ind w:left="1302" w:right="0" w:hanging="720"/>
        <w:jc w:val="left"/>
        <w:rPr>
          <w:sz w:val="24"/>
        </w:rPr>
      </w:pPr>
      <w:hyperlink w:history="true" w:anchor="_bookmark69">
        <w:r>
          <w:rPr>
            <w:sz w:val="24"/>
          </w:rPr>
          <w:t>Aplicación de la postura neoclásica en Bolivia: deterioro</w:t>
        </w:r>
        <w:r>
          <w:rPr>
            <w:spacing w:val="-5"/>
            <w:sz w:val="24"/>
          </w:rPr>
          <w:t> </w:t>
        </w:r>
        <w:r>
          <w:rPr>
            <w:sz w:val="24"/>
          </w:rPr>
          <w:t>del</w:t>
        </w:r>
        <w:r>
          <w:rPr>
            <w:spacing w:val="-1"/>
            <w:sz w:val="24"/>
          </w:rPr>
          <w:t> </w:t>
        </w:r>
        <w:r>
          <w:rPr>
            <w:sz w:val="24"/>
          </w:rPr>
          <w:t>bienestar</w:t>
          <w:tab/>
          <w:t>104</w:t>
        </w:r>
      </w:hyperlink>
    </w:p>
    <w:p>
      <w:pPr>
        <w:tabs>
          <w:tab w:pos="8933" w:val="right" w:leader="dot"/>
        </w:tabs>
        <w:spacing w:before="120"/>
        <w:ind w:left="102" w:right="0" w:firstLine="0"/>
        <w:jc w:val="left"/>
        <w:rPr>
          <w:b/>
          <w:sz w:val="24"/>
        </w:rPr>
      </w:pPr>
      <w:hyperlink w:history="true" w:anchor="_bookmark77">
        <w:r>
          <w:rPr>
            <w:sz w:val="24"/>
          </w:rPr>
          <w:t>S</w:t>
        </w:r>
        <w:r>
          <w:rPr>
            <w:sz w:val="19"/>
          </w:rPr>
          <w:t>ÍNTESIS</w:t>
        </w:r>
        <w:r>
          <w:rPr>
            <w:b/>
            <w:sz w:val="24"/>
          </w:rPr>
          <w:tab/>
          <w:t>111</w:t>
        </w:r>
      </w:hyperlink>
    </w:p>
    <w:p>
      <w:pPr>
        <w:tabs>
          <w:tab w:pos="8933" w:val="right" w:leader="dot"/>
        </w:tabs>
        <w:spacing w:before="125"/>
        <w:ind w:left="102" w:right="0" w:firstLine="0"/>
        <w:jc w:val="left"/>
        <w:rPr>
          <w:b/>
          <w:sz w:val="24"/>
        </w:rPr>
      </w:pPr>
      <w:hyperlink w:history="true" w:anchor="_bookmark78">
        <w:r>
          <w:rPr>
            <w:b/>
            <w:sz w:val="24"/>
          </w:rPr>
          <w:t>C</w:t>
        </w:r>
        <w:r>
          <w:rPr>
            <w:b/>
            <w:sz w:val="19"/>
          </w:rPr>
          <w:t>APÍTULO </w:t>
        </w:r>
        <w:r>
          <w:rPr>
            <w:b/>
            <w:sz w:val="24"/>
          </w:rPr>
          <w:t>III: F</w:t>
        </w:r>
        <w:r>
          <w:rPr>
            <w:b/>
            <w:sz w:val="19"/>
          </w:rPr>
          <w:t>ACTORES ASOCIADOS A LA</w:t>
        </w:r>
        <w:r>
          <w:rPr>
            <w:b/>
            <w:spacing w:val="-13"/>
            <w:sz w:val="19"/>
          </w:rPr>
          <w:t> </w:t>
        </w:r>
        <w:r>
          <w:rPr>
            <w:b/>
            <w:sz w:val="19"/>
          </w:rPr>
          <w:t>POSICIÓN</w:t>
        </w:r>
        <w:r>
          <w:rPr>
            <w:b/>
            <w:spacing w:val="-2"/>
            <w:sz w:val="19"/>
          </w:rPr>
          <w:t> </w:t>
        </w:r>
        <w:r>
          <w:rPr>
            <w:b/>
            <w:sz w:val="19"/>
          </w:rPr>
          <w:t>FISCAL</w:t>
        </w:r>
        <w:r>
          <w:rPr>
            <w:b/>
            <w:sz w:val="24"/>
          </w:rPr>
          <w:tab/>
          <w:t>114</w:t>
        </w:r>
      </w:hyperlink>
    </w:p>
    <w:p>
      <w:pPr>
        <w:pStyle w:val="ListParagraph"/>
        <w:numPr>
          <w:ilvl w:val="1"/>
          <w:numId w:val="3"/>
        </w:numPr>
        <w:tabs>
          <w:tab w:pos="1061" w:val="left" w:leader="none"/>
          <w:tab w:pos="1062" w:val="left" w:leader="none"/>
          <w:tab w:pos="8933" w:val="right" w:leader="dot"/>
        </w:tabs>
        <w:spacing w:line="240" w:lineRule="auto" w:before="116" w:after="0"/>
        <w:ind w:left="1062" w:right="0" w:hanging="720"/>
        <w:jc w:val="left"/>
        <w:rPr>
          <w:sz w:val="24"/>
        </w:rPr>
      </w:pPr>
      <w:hyperlink w:history="true" w:anchor="_bookmark79">
        <w:r>
          <w:rPr>
            <w:sz w:val="24"/>
          </w:rPr>
          <w:t>E</w:t>
        </w:r>
        <w:r>
          <w:rPr>
            <w:sz w:val="19"/>
          </w:rPr>
          <w:t>L PASADO RECIENTE DE LA POSICIÓN FISCAL</w:t>
        </w:r>
        <w:r>
          <w:rPr>
            <w:spacing w:val="-6"/>
            <w:sz w:val="19"/>
          </w:rPr>
          <w:t> </w:t>
        </w:r>
        <w:r>
          <w:rPr>
            <w:sz w:val="19"/>
          </w:rPr>
          <w:t>EN</w:t>
        </w:r>
        <w:r>
          <w:rPr>
            <w:spacing w:val="1"/>
            <w:sz w:val="19"/>
          </w:rPr>
          <w:t> </w:t>
        </w:r>
        <w:r>
          <w:rPr>
            <w:sz w:val="24"/>
          </w:rPr>
          <w:t>B</w:t>
        </w:r>
        <w:r>
          <w:rPr>
            <w:sz w:val="19"/>
          </w:rPr>
          <w:t>OLIVIA</w:t>
        </w:r>
        <w:r>
          <w:rPr>
            <w:sz w:val="24"/>
          </w:rPr>
          <w:tab/>
          <w:t>116</w:t>
        </w:r>
      </w:hyperlink>
    </w:p>
    <w:p>
      <w:pPr>
        <w:pStyle w:val="ListParagraph"/>
        <w:numPr>
          <w:ilvl w:val="1"/>
          <w:numId w:val="3"/>
        </w:numPr>
        <w:tabs>
          <w:tab w:pos="1061" w:val="left" w:leader="none"/>
          <w:tab w:pos="1062" w:val="left" w:leader="none"/>
          <w:tab w:pos="8933" w:val="right" w:leader="dot"/>
        </w:tabs>
        <w:spacing w:line="240" w:lineRule="auto" w:before="120" w:after="0"/>
        <w:ind w:left="1062" w:right="0" w:hanging="720"/>
        <w:jc w:val="left"/>
        <w:rPr>
          <w:sz w:val="24"/>
        </w:rPr>
      </w:pPr>
      <w:hyperlink w:history="true" w:anchor="_bookmark82">
        <w:r>
          <w:rPr>
            <w:sz w:val="24"/>
          </w:rPr>
          <w:t>D</w:t>
        </w:r>
        <w:r>
          <w:rPr>
            <w:sz w:val="19"/>
          </w:rPr>
          <w:t>ATOS</w:t>
        </w:r>
        <w:r>
          <w:rPr>
            <w:spacing w:val="-1"/>
            <w:sz w:val="19"/>
          </w:rPr>
          <w:t> </w:t>
        </w:r>
        <w:r>
          <w:rPr>
            <w:sz w:val="19"/>
          </w:rPr>
          <w:t>Y</w:t>
        </w:r>
        <w:r>
          <w:rPr>
            <w:spacing w:val="-1"/>
            <w:sz w:val="19"/>
          </w:rPr>
          <w:t> </w:t>
        </w:r>
        <w:r>
          <w:rPr>
            <w:sz w:val="24"/>
          </w:rPr>
          <w:t>M</w:t>
        </w:r>
        <w:r>
          <w:rPr>
            <w:sz w:val="19"/>
          </w:rPr>
          <w:t>ETODOLOGÍA</w:t>
        </w:r>
        <w:r>
          <w:rPr>
            <w:sz w:val="24"/>
          </w:rPr>
          <w:tab/>
          <w:t>118</w:t>
        </w:r>
      </w:hyperlink>
    </w:p>
    <w:p>
      <w:pPr>
        <w:pStyle w:val="ListParagraph"/>
        <w:numPr>
          <w:ilvl w:val="2"/>
          <w:numId w:val="3"/>
        </w:numPr>
        <w:tabs>
          <w:tab w:pos="1301" w:val="left" w:leader="none"/>
          <w:tab w:pos="1302" w:val="left" w:leader="none"/>
          <w:tab w:pos="8933" w:val="right" w:leader="dot"/>
        </w:tabs>
        <w:spacing w:line="240" w:lineRule="auto" w:before="0" w:after="0"/>
        <w:ind w:left="1302" w:right="0" w:hanging="720"/>
        <w:jc w:val="left"/>
        <w:rPr>
          <w:sz w:val="24"/>
        </w:rPr>
      </w:pPr>
      <w:hyperlink w:history="true" w:anchor="_bookmark83">
        <w:r>
          <w:rPr>
            <w:sz w:val="24"/>
          </w:rPr>
          <w:t>Datos</w:t>
        </w:r>
        <w:r>
          <w:rPr>
            <w:spacing w:val="-2"/>
            <w:sz w:val="24"/>
          </w:rPr>
          <w:t> </w:t>
        </w:r>
        <w:r>
          <w:rPr>
            <w:sz w:val="24"/>
          </w:rPr>
          <w:t>empleados</w:t>
          <w:tab/>
          <w:t>119</w:t>
        </w:r>
      </w:hyperlink>
    </w:p>
    <w:p>
      <w:pPr>
        <w:pStyle w:val="ListParagraph"/>
        <w:numPr>
          <w:ilvl w:val="2"/>
          <w:numId w:val="3"/>
        </w:numPr>
        <w:tabs>
          <w:tab w:pos="1301" w:val="left" w:leader="none"/>
          <w:tab w:pos="1302" w:val="left" w:leader="none"/>
          <w:tab w:pos="8933" w:val="right" w:leader="dot"/>
        </w:tabs>
        <w:spacing w:line="240" w:lineRule="auto" w:before="0" w:after="0"/>
        <w:ind w:left="1302" w:right="0" w:hanging="720"/>
        <w:jc w:val="left"/>
        <w:rPr>
          <w:sz w:val="24"/>
        </w:rPr>
      </w:pPr>
      <w:hyperlink w:history="true" w:anchor="_bookmark85">
        <w:r>
          <w:rPr>
            <w:sz w:val="24"/>
          </w:rPr>
          <w:t>Metodología</w:t>
          <w:tab/>
          <w:t>121</w:t>
        </w:r>
      </w:hyperlink>
    </w:p>
    <w:p>
      <w:pPr>
        <w:pStyle w:val="ListParagraph"/>
        <w:numPr>
          <w:ilvl w:val="1"/>
          <w:numId w:val="3"/>
        </w:numPr>
        <w:tabs>
          <w:tab w:pos="1061" w:val="left" w:leader="none"/>
          <w:tab w:pos="1062" w:val="left" w:leader="none"/>
          <w:tab w:pos="8933" w:val="right" w:leader="dot"/>
        </w:tabs>
        <w:spacing w:line="240" w:lineRule="auto" w:before="120" w:after="0"/>
        <w:ind w:left="1062" w:right="0" w:hanging="720"/>
        <w:jc w:val="left"/>
        <w:rPr>
          <w:sz w:val="24"/>
        </w:rPr>
      </w:pPr>
      <w:hyperlink w:history="true" w:anchor="_bookmark88">
        <w:r>
          <w:rPr>
            <w:sz w:val="24"/>
          </w:rPr>
          <w:t>R</w:t>
        </w:r>
        <w:r>
          <w:rPr>
            <w:sz w:val="19"/>
          </w:rPr>
          <w:t>ESULTADOS</w:t>
        </w:r>
        <w:r>
          <w:rPr>
            <w:sz w:val="24"/>
          </w:rPr>
          <w:tab/>
          <w:t>126</w:t>
        </w:r>
      </w:hyperlink>
    </w:p>
    <w:p>
      <w:pPr>
        <w:pStyle w:val="ListParagraph"/>
        <w:numPr>
          <w:ilvl w:val="2"/>
          <w:numId w:val="3"/>
        </w:numPr>
        <w:tabs>
          <w:tab w:pos="1301" w:val="left" w:leader="none"/>
          <w:tab w:pos="1302" w:val="left" w:leader="none"/>
          <w:tab w:pos="8933" w:val="right" w:leader="dot"/>
        </w:tabs>
        <w:spacing w:line="240" w:lineRule="auto" w:before="0" w:after="0"/>
        <w:ind w:left="1302" w:right="0" w:hanging="720"/>
        <w:jc w:val="left"/>
        <w:rPr>
          <w:sz w:val="24"/>
        </w:rPr>
      </w:pPr>
      <w:hyperlink w:history="true" w:anchor="_bookmark89">
        <w:r>
          <w:rPr>
            <w:sz w:val="24"/>
          </w:rPr>
          <w:t>Comparación</w:t>
        </w:r>
        <w:r>
          <w:rPr>
            <w:spacing w:val="-2"/>
            <w:sz w:val="24"/>
          </w:rPr>
          <w:t> </w:t>
        </w:r>
        <w:r>
          <w:rPr>
            <w:sz w:val="24"/>
          </w:rPr>
          <w:t>de</w:t>
        </w:r>
        <w:r>
          <w:rPr>
            <w:spacing w:val="-1"/>
            <w:sz w:val="24"/>
          </w:rPr>
          <w:t> </w:t>
        </w:r>
        <w:r>
          <w:rPr>
            <w:sz w:val="24"/>
          </w:rPr>
          <w:t>filtros</w:t>
          <w:tab/>
          <w:t>126</w:t>
        </w:r>
      </w:hyperlink>
    </w:p>
    <w:p>
      <w:pPr>
        <w:pStyle w:val="ListParagraph"/>
        <w:numPr>
          <w:ilvl w:val="2"/>
          <w:numId w:val="3"/>
        </w:numPr>
        <w:tabs>
          <w:tab w:pos="1301" w:val="left" w:leader="none"/>
          <w:tab w:pos="1302" w:val="left" w:leader="none"/>
          <w:tab w:pos="8933" w:val="right" w:leader="dot"/>
        </w:tabs>
        <w:spacing w:line="240" w:lineRule="auto" w:before="0" w:after="0"/>
        <w:ind w:left="1302" w:right="0" w:hanging="720"/>
        <w:jc w:val="left"/>
        <w:rPr>
          <w:sz w:val="24"/>
        </w:rPr>
      </w:pPr>
      <w:hyperlink w:history="true" w:anchor="_bookmark95">
        <w:r>
          <w:rPr>
            <w:sz w:val="24"/>
          </w:rPr>
          <w:t>Balance cíclicamente</w:t>
        </w:r>
        <w:r>
          <w:rPr>
            <w:spacing w:val="-1"/>
            <w:sz w:val="24"/>
          </w:rPr>
          <w:t> </w:t>
        </w:r>
        <w:r>
          <w:rPr>
            <w:sz w:val="24"/>
          </w:rPr>
          <w:t>ajustado</w:t>
        </w:r>
        <w:r>
          <w:rPr>
            <w:spacing w:val="-1"/>
            <w:sz w:val="24"/>
          </w:rPr>
          <w:t> </w:t>
        </w:r>
        <w:r>
          <w:rPr>
            <w:sz w:val="24"/>
          </w:rPr>
          <w:t>(estructural)</w:t>
          <w:tab/>
          <w:t>134</w:t>
        </w:r>
      </w:hyperlink>
    </w:p>
    <w:p>
      <w:pPr>
        <w:pStyle w:val="ListParagraph"/>
        <w:numPr>
          <w:ilvl w:val="2"/>
          <w:numId w:val="3"/>
        </w:numPr>
        <w:tabs>
          <w:tab w:pos="1301" w:val="left" w:leader="none"/>
          <w:tab w:pos="1302" w:val="left" w:leader="none"/>
          <w:tab w:pos="8933" w:val="right" w:leader="dot"/>
        </w:tabs>
        <w:spacing w:line="240" w:lineRule="auto" w:before="0" w:after="0"/>
        <w:ind w:left="1302" w:right="0" w:hanging="720"/>
        <w:jc w:val="left"/>
        <w:rPr>
          <w:sz w:val="24"/>
        </w:rPr>
      </w:pPr>
      <w:hyperlink w:history="true" w:anchor="_bookmark102">
        <w:r>
          <w:rPr>
            <w:sz w:val="24"/>
          </w:rPr>
          <w:t>Evaluación de la posición fiscal sostenible (PFS)</w:t>
        </w:r>
        <w:r>
          <w:rPr>
            <w:spacing w:val="53"/>
            <w:sz w:val="24"/>
          </w:rPr>
          <w:t> </w:t>
        </w:r>
        <w:r>
          <w:rPr>
            <w:sz w:val="24"/>
          </w:rPr>
          <w:t>para</w:t>
        </w:r>
        <w:r>
          <w:rPr>
            <w:spacing w:val="-1"/>
            <w:sz w:val="24"/>
          </w:rPr>
          <w:t> </w:t>
        </w:r>
        <w:r>
          <w:rPr>
            <w:sz w:val="24"/>
          </w:rPr>
          <w:t>Bolivia</w:t>
          <w:tab/>
          <w:t>138</w:t>
        </w:r>
      </w:hyperlink>
    </w:p>
    <w:p>
      <w:pPr>
        <w:pStyle w:val="ListParagraph"/>
        <w:numPr>
          <w:ilvl w:val="1"/>
          <w:numId w:val="3"/>
        </w:numPr>
        <w:tabs>
          <w:tab w:pos="1061" w:val="left" w:leader="none"/>
          <w:tab w:pos="1062" w:val="left" w:leader="none"/>
          <w:tab w:pos="8933" w:val="right" w:leader="dot"/>
        </w:tabs>
        <w:spacing w:line="240" w:lineRule="auto" w:before="120" w:after="0"/>
        <w:ind w:left="1062" w:right="0" w:hanging="720"/>
        <w:jc w:val="left"/>
        <w:rPr>
          <w:sz w:val="24"/>
        </w:rPr>
      </w:pPr>
      <w:hyperlink w:history="true" w:anchor="_bookmark107">
        <w:r>
          <w:rPr>
            <w:sz w:val="24"/>
          </w:rPr>
          <w:t>D</w:t>
        </w:r>
        <w:r>
          <w:rPr>
            <w:sz w:val="19"/>
          </w:rPr>
          <w:t>ISCUSIÓN</w:t>
        </w:r>
        <w:r>
          <w:rPr>
            <w:sz w:val="24"/>
          </w:rPr>
          <w:tab/>
          <w:t>141</w:t>
        </w:r>
      </w:hyperlink>
    </w:p>
    <w:p>
      <w:pPr>
        <w:tabs>
          <w:tab w:pos="8933" w:val="right" w:leader="dot"/>
        </w:tabs>
        <w:spacing w:before="120"/>
        <w:ind w:left="342" w:right="0" w:firstLine="0"/>
        <w:jc w:val="left"/>
        <w:rPr>
          <w:sz w:val="24"/>
        </w:rPr>
      </w:pPr>
      <w:hyperlink w:history="true" w:anchor="_bookmark108">
        <w:r>
          <w:rPr>
            <w:sz w:val="24"/>
          </w:rPr>
          <w:t>S</w:t>
        </w:r>
        <w:r>
          <w:rPr>
            <w:sz w:val="19"/>
          </w:rPr>
          <w:t>ÍNTESIS</w:t>
        </w:r>
        <w:r>
          <w:rPr>
            <w:sz w:val="24"/>
          </w:rPr>
          <w:tab/>
          <w:t>143</w:t>
        </w:r>
      </w:hyperlink>
    </w:p>
    <w:p>
      <w:pPr>
        <w:tabs>
          <w:tab w:pos="8933" w:val="right" w:leader="dot"/>
        </w:tabs>
        <w:spacing w:before="125"/>
        <w:ind w:left="102" w:right="107" w:firstLine="0"/>
        <w:jc w:val="left"/>
        <w:rPr>
          <w:b/>
          <w:sz w:val="24"/>
        </w:rPr>
      </w:pPr>
      <w:hyperlink w:history="true" w:anchor="_bookmark109">
        <w:r>
          <w:rPr>
            <w:b/>
            <w:sz w:val="24"/>
          </w:rPr>
          <w:t>C</w:t>
        </w:r>
        <w:r>
          <w:rPr>
            <w:b/>
            <w:sz w:val="19"/>
          </w:rPr>
          <w:t>APÍTULO </w:t>
        </w:r>
        <w:r>
          <w:rPr>
            <w:b/>
            <w:sz w:val="24"/>
          </w:rPr>
          <w:t>IV: C</w:t>
        </w:r>
        <w:r>
          <w:rPr>
            <w:b/>
            <w:sz w:val="19"/>
          </w:rPr>
          <w:t>HOQUES QUE INFLUYEN SOBRE LA POSICIÓN FISCAL DE </w:t>
        </w:r>
        <w:r>
          <w:rPr>
            <w:b/>
            <w:sz w:val="24"/>
          </w:rPr>
          <w:t>B</w:t>
        </w:r>
        <w:r>
          <w:rPr>
            <w:b/>
            <w:sz w:val="19"/>
          </w:rPr>
          <w:t>OLIVIA Y</w:t>
        </w:r>
      </w:hyperlink>
      <w:r>
        <w:rPr>
          <w:b/>
          <w:sz w:val="19"/>
        </w:rPr>
        <w:t> </w:t>
      </w:r>
      <w:hyperlink w:history="true" w:anchor="_bookmark109">
        <w:r>
          <w:rPr>
            <w:b/>
            <w:sz w:val="19"/>
          </w:rPr>
          <w:t>ESCENARIOS DE</w:t>
        </w:r>
        <w:r>
          <w:rPr>
            <w:b/>
            <w:spacing w:val="-1"/>
            <w:sz w:val="19"/>
          </w:rPr>
          <w:t> </w:t>
        </w:r>
        <w:r>
          <w:rPr>
            <w:b/>
            <w:sz w:val="19"/>
          </w:rPr>
          <w:t>REGLAS</w:t>
        </w:r>
        <w:r>
          <w:rPr>
            <w:b/>
            <w:spacing w:val="3"/>
            <w:sz w:val="19"/>
          </w:rPr>
          <w:t> </w:t>
        </w:r>
        <w:r>
          <w:rPr>
            <w:b/>
            <w:sz w:val="19"/>
          </w:rPr>
          <w:t>FISCALES</w:t>
        </w:r>
        <w:r>
          <w:rPr>
            <w:b/>
            <w:sz w:val="24"/>
          </w:rPr>
          <w:tab/>
          <w:t>145</w:t>
        </w:r>
      </w:hyperlink>
    </w:p>
    <w:p>
      <w:pPr>
        <w:pStyle w:val="ListParagraph"/>
        <w:numPr>
          <w:ilvl w:val="1"/>
          <w:numId w:val="4"/>
        </w:numPr>
        <w:tabs>
          <w:tab w:pos="1061" w:val="left" w:leader="none"/>
          <w:tab w:pos="1062" w:val="left" w:leader="none"/>
          <w:tab w:pos="8933" w:val="right" w:leader="dot"/>
        </w:tabs>
        <w:spacing w:line="240" w:lineRule="auto" w:before="115" w:after="0"/>
        <w:ind w:left="1062" w:right="0" w:hanging="720"/>
        <w:jc w:val="left"/>
        <w:rPr>
          <w:sz w:val="24"/>
        </w:rPr>
      </w:pPr>
      <w:hyperlink w:history="true" w:anchor="_bookmark110">
        <w:r>
          <w:rPr>
            <w:sz w:val="24"/>
          </w:rPr>
          <w:t>R</w:t>
        </w:r>
        <w:r>
          <w:rPr>
            <w:sz w:val="19"/>
          </w:rPr>
          <w:t>EVISIÓN DE LA</w:t>
        </w:r>
        <w:r>
          <w:rPr>
            <w:spacing w:val="2"/>
            <w:sz w:val="19"/>
          </w:rPr>
          <w:t> </w:t>
        </w:r>
        <w:r>
          <w:rPr>
            <w:sz w:val="19"/>
          </w:rPr>
          <w:t>LITERATURA</w:t>
        </w:r>
        <w:r>
          <w:rPr>
            <w:spacing w:val="-2"/>
            <w:sz w:val="19"/>
          </w:rPr>
          <w:t> </w:t>
        </w:r>
        <w:r>
          <w:rPr>
            <w:sz w:val="19"/>
          </w:rPr>
          <w:t>METODOLÓGICA</w:t>
        </w:r>
        <w:r>
          <w:rPr>
            <w:sz w:val="24"/>
          </w:rPr>
          <w:tab/>
          <w:t>146</w:t>
        </w:r>
      </w:hyperlink>
    </w:p>
    <w:p>
      <w:pPr>
        <w:pStyle w:val="ListParagraph"/>
        <w:numPr>
          <w:ilvl w:val="1"/>
          <w:numId w:val="4"/>
        </w:numPr>
        <w:tabs>
          <w:tab w:pos="1061" w:val="left" w:leader="none"/>
          <w:tab w:pos="1062" w:val="left" w:leader="none"/>
          <w:tab w:pos="8933" w:val="right" w:leader="dot"/>
        </w:tabs>
        <w:spacing w:line="240" w:lineRule="auto" w:before="120" w:after="0"/>
        <w:ind w:left="1062" w:right="0" w:hanging="720"/>
        <w:jc w:val="left"/>
        <w:rPr>
          <w:sz w:val="24"/>
        </w:rPr>
      </w:pPr>
      <w:hyperlink w:history="true" w:anchor="_bookmark111">
        <w:r>
          <w:rPr>
            <w:sz w:val="24"/>
          </w:rPr>
          <w:t>D</w:t>
        </w:r>
        <w:r>
          <w:rPr>
            <w:sz w:val="19"/>
          </w:rPr>
          <w:t>ATOS</w:t>
        </w:r>
        <w:r>
          <w:rPr>
            <w:spacing w:val="-1"/>
            <w:sz w:val="19"/>
          </w:rPr>
          <w:t> </w:t>
        </w:r>
        <w:r>
          <w:rPr>
            <w:sz w:val="19"/>
          </w:rPr>
          <w:t>Y</w:t>
        </w:r>
        <w:r>
          <w:rPr>
            <w:spacing w:val="-2"/>
            <w:sz w:val="19"/>
          </w:rPr>
          <w:t> </w:t>
        </w:r>
        <w:r>
          <w:rPr>
            <w:sz w:val="19"/>
          </w:rPr>
          <w:t>METODOLOGÍA</w:t>
        </w:r>
        <w:r>
          <w:rPr>
            <w:sz w:val="24"/>
          </w:rPr>
          <w:tab/>
          <w:t>147</w:t>
        </w:r>
      </w:hyperlink>
    </w:p>
    <w:p>
      <w:pPr>
        <w:pStyle w:val="ListParagraph"/>
        <w:numPr>
          <w:ilvl w:val="2"/>
          <w:numId w:val="4"/>
        </w:numPr>
        <w:tabs>
          <w:tab w:pos="1301" w:val="left" w:leader="none"/>
          <w:tab w:pos="1302" w:val="left" w:leader="none"/>
          <w:tab w:pos="8933" w:val="right" w:leader="dot"/>
        </w:tabs>
        <w:spacing w:line="240" w:lineRule="auto" w:before="0" w:after="0"/>
        <w:ind w:left="1302" w:right="0" w:hanging="720"/>
        <w:jc w:val="left"/>
        <w:rPr>
          <w:sz w:val="24"/>
        </w:rPr>
      </w:pPr>
      <w:hyperlink w:history="true" w:anchor="_bookmark112">
        <w:r>
          <w:rPr>
            <w:sz w:val="24"/>
          </w:rPr>
          <w:t>Datos</w:t>
        </w:r>
        <w:r>
          <w:rPr>
            <w:spacing w:val="-2"/>
            <w:sz w:val="24"/>
          </w:rPr>
          <w:t> </w:t>
        </w:r>
        <w:r>
          <w:rPr>
            <w:sz w:val="24"/>
          </w:rPr>
          <w:t>empleados</w:t>
          <w:tab/>
          <w:t>147</w:t>
        </w:r>
      </w:hyperlink>
    </w:p>
    <w:p>
      <w:pPr>
        <w:pStyle w:val="ListParagraph"/>
        <w:numPr>
          <w:ilvl w:val="2"/>
          <w:numId w:val="4"/>
        </w:numPr>
        <w:tabs>
          <w:tab w:pos="1301" w:val="left" w:leader="none"/>
          <w:tab w:pos="1302" w:val="left" w:leader="none"/>
          <w:tab w:pos="8933" w:val="right" w:leader="dot"/>
        </w:tabs>
        <w:spacing w:line="240" w:lineRule="auto" w:before="0" w:after="0"/>
        <w:ind w:left="1302" w:right="0" w:hanging="720"/>
        <w:jc w:val="left"/>
        <w:rPr>
          <w:sz w:val="24"/>
        </w:rPr>
      </w:pPr>
      <w:hyperlink w:history="true" w:anchor="_bookmark118">
        <w:r>
          <w:rPr>
            <w:sz w:val="24"/>
          </w:rPr>
          <w:t>Especificación del</w:t>
        </w:r>
        <w:r>
          <w:rPr>
            <w:spacing w:val="-2"/>
            <w:sz w:val="24"/>
          </w:rPr>
          <w:t> </w:t>
        </w:r>
        <w:r>
          <w:rPr>
            <w:sz w:val="24"/>
          </w:rPr>
          <w:t>modelo</w:t>
        </w:r>
        <w:r>
          <w:rPr>
            <w:spacing w:val="-1"/>
            <w:sz w:val="24"/>
          </w:rPr>
          <w:t> </w:t>
        </w:r>
        <w:r>
          <w:rPr>
            <w:sz w:val="24"/>
          </w:rPr>
          <w:t>SVAR</w:t>
          <w:tab/>
          <w:t>152</w:t>
        </w:r>
      </w:hyperlink>
    </w:p>
    <w:p>
      <w:pPr>
        <w:pStyle w:val="ListParagraph"/>
        <w:numPr>
          <w:ilvl w:val="2"/>
          <w:numId w:val="4"/>
        </w:numPr>
        <w:tabs>
          <w:tab w:pos="1301" w:val="left" w:leader="none"/>
          <w:tab w:pos="1302" w:val="left" w:leader="none"/>
          <w:tab w:pos="8933" w:val="right" w:leader="dot"/>
        </w:tabs>
        <w:spacing w:line="240" w:lineRule="auto" w:before="0" w:after="0"/>
        <w:ind w:left="1302" w:right="0" w:hanging="720"/>
        <w:jc w:val="left"/>
        <w:rPr>
          <w:sz w:val="24"/>
        </w:rPr>
      </w:pPr>
      <w:hyperlink w:history="true" w:anchor="_bookmark119">
        <w:r>
          <w:rPr>
            <w:sz w:val="24"/>
          </w:rPr>
          <w:t>Análisis probabilístico de la</w:t>
        </w:r>
        <w:r>
          <w:rPr>
            <w:spacing w:val="-3"/>
            <w:sz w:val="24"/>
          </w:rPr>
          <w:t> </w:t>
        </w:r>
        <w:r>
          <w:rPr>
            <w:sz w:val="24"/>
          </w:rPr>
          <w:t>deuda</w:t>
        </w:r>
        <w:r>
          <w:rPr>
            <w:spacing w:val="-2"/>
            <w:sz w:val="24"/>
          </w:rPr>
          <w:t> </w:t>
        </w:r>
        <w:r>
          <w:rPr>
            <w:sz w:val="24"/>
          </w:rPr>
          <w:t>pública</w:t>
          <w:tab/>
          <w:t>156</w:t>
        </w:r>
      </w:hyperlink>
    </w:p>
    <w:p>
      <w:pPr>
        <w:pStyle w:val="ListParagraph"/>
        <w:numPr>
          <w:ilvl w:val="2"/>
          <w:numId w:val="4"/>
        </w:numPr>
        <w:tabs>
          <w:tab w:pos="1301" w:val="left" w:leader="none"/>
          <w:tab w:pos="1302" w:val="left" w:leader="none"/>
          <w:tab w:pos="8933" w:val="right" w:leader="dot"/>
        </w:tabs>
        <w:spacing w:line="240" w:lineRule="auto" w:before="0" w:after="0"/>
        <w:ind w:left="1302" w:right="0" w:hanging="720"/>
        <w:jc w:val="left"/>
        <w:rPr>
          <w:sz w:val="24"/>
        </w:rPr>
      </w:pPr>
      <w:hyperlink w:history="true" w:anchor="_bookmark121">
        <w:r>
          <w:rPr>
            <w:sz w:val="24"/>
          </w:rPr>
          <w:t>Supuestos exógenos para la proyección de  la</w:t>
        </w:r>
        <w:r>
          <w:rPr>
            <w:spacing w:val="-5"/>
            <w:sz w:val="24"/>
          </w:rPr>
          <w:t> </w:t>
        </w:r>
        <w:r>
          <w:rPr>
            <w:sz w:val="24"/>
          </w:rPr>
          <w:t>deuda</w:t>
        </w:r>
        <w:r>
          <w:rPr>
            <w:spacing w:val="-2"/>
            <w:sz w:val="24"/>
          </w:rPr>
          <w:t> </w:t>
        </w:r>
        <w:r>
          <w:rPr>
            <w:sz w:val="24"/>
          </w:rPr>
          <w:t>pública</w:t>
          <w:tab/>
          <w:t>158</w:t>
        </w:r>
      </w:hyperlink>
    </w:p>
    <w:p>
      <w:pPr>
        <w:pStyle w:val="ListParagraph"/>
        <w:numPr>
          <w:ilvl w:val="1"/>
          <w:numId w:val="4"/>
        </w:numPr>
        <w:tabs>
          <w:tab w:pos="1061" w:val="left" w:leader="none"/>
          <w:tab w:pos="1062" w:val="left" w:leader="none"/>
          <w:tab w:pos="8933" w:val="right" w:leader="dot"/>
        </w:tabs>
        <w:spacing w:line="240" w:lineRule="auto" w:before="120" w:after="0"/>
        <w:ind w:left="1062" w:right="0" w:hanging="720"/>
        <w:jc w:val="left"/>
        <w:rPr>
          <w:sz w:val="24"/>
        </w:rPr>
      </w:pPr>
      <w:hyperlink w:history="true" w:anchor="_bookmark126">
        <w:r>
          <w:rPr>
            <w:sz w:val="24"/>
          </w:rPr>
          <w:t>H</w:t>
        </w:r>
        <w:r>
          <w:rPr>
            <w:sz w:val="19"/>
          </w:rPr>
          <w:t>ALLAZGOS</w:t>
        </w:r>
        <w:r>
          <w:rPr>
            <w:spacing w:val="-1"/>
            <w:sz w:val="19"/>
          </w:rPr>
          <w:t> </w:t>
        </w:r>
        <w:r>
          <w:rPr>
            <w:sz w:val="19"/>
          </w:rPr>
          <w:t>Y</w:t>
        </w:r>
        <w:r>
          <w:rPr>
            <w:spacing w:val="-2"/>
            <w:sz w:val="19"/>
          </w:rPr>
          <w:t> </w:t>
        </w:r>
        <w:r>
          <w:rPr>
            <w:sz w:val="19"/>
          </w:rPr>
          <w:t>RESULTADOS</w:t>
        </w:r>
        <w:r>
          <w:rPr>
            <w:sz w:val="24"/>
          </w:rPr>
          <w:tab/>
          <w:t>161</w:t>
        </w:r>
      </w:hyperlink>
    </w:p>
    <w:p>
      <w:pPr>
        <w:pStyle w:val="ListParagraph"/>
        <w:numPr>
          <w:ilvl w:val="2"/>
          <w:numId w:val="4"/>
        </w:numPr>
        <w:tabs>
          <w:tab w:pos="1301" w:val="left" w:leader="none"/>
          <w:tab w:pos="1302" w:val="left" w:leader="none"/>
          <w:tab w:pos="8933" w:val="right" w:leader="dot"/>
        </w:tabs>
        <w:spacing w:line="240" w:lineRule="auto" w:before="0" w:after="0"/>
        <w:ind w:left="582" w:right="0" w:firstLine="0"/>
        <w:jc w:val="left"/>
        <w:rPr>
          <w:sz w:val="24"/>
        </w:rPr>
      </w:pPr>
      <w:hyperlink w:history="true" w:anchor="_bookmark128">
        <w:r>
          <w:rPr>
            <w:sz w:val="24"/>
          </w:rPr>
          <w:t>Choques y sus efectos contemporáneos  sobre la</w:t>
        </w:r>
        <w:r>
          <w:rPr>
            <w:spacing w:val="-7"/>
            <w:sz w:val="24"/>
          </w:rPr>
          <w:t> </w:t>
        </w:r>
        <w:r>
          <w:rPr>
            <w:sz w:val="24"/>
          </w:rPr>
          <w:t>posición</w:t>
        </w:r>
        <w:r>
          <w:rPr>
            <w:spacing w:val="-1"/>
            <w:sz w:val="24"/>
          </w:rPr>
          <w:t> </w:t>
        </w:r>
        <w:r>
          <w:rPr>
            <w:sz w:val="24"/>
          </w:rPr>
          <w:t>fiscal</w:t>
          <w:tab/>
          <w:t>164</w:t>
        </w:r>
      </w:hyperlink>
    </w:p>
    <w:p>
      <w:pPr>
        <w:pStyle w:val="ListParagraph"/>
        <w:numPr>
          <w:ilvl w:val="2"/>
          <w:numId w:val="4"/>
        </w:numPr>
        <w:tabs>
          <w:tab w:pos="1301" w:val="left" w:leader="none"/>
          <w:tab w:pos="1302" w:val="left" w:leader="none"/>
          <w:tab w:pos="8933" w:val="right" w:leader="dot"/>
        </w:tabs>
        <w:spacing w:line="240" w:lineRule="auto" w:before="0" w:after="0"/>
        <w:ind w:left="1302" w:right="0" w:hanging="720"/>
        <w:jc w:val="left"/>
        <w:rPr>
          <w:sz w:val="24"/>
        </w:rPr>
      </w:pPr>
      <w:hyperlink w:history="true" w:anchor="_bookmark130">
        <w:r>
          <w:rPr>
            <w:sz w:val="24"/>
          </w:rPr>
          <w:t>Choques y sus efectos dinámicos sobre la</w:t>
        </w:r>
        <w:r>
          <w:rPr>
            <w:spacing w:val="-7"/>
            <w:sz w:val="24"/>
          </w:rPr>
          <w:t> </w:t>
        </w:r>
        <w:r>
          <w:rPr>
            <w:sz w:val="24"/>
          </w:rPr>
          <w:t>posición</w:t>
        </w:r>
        <w:r>
          <w:rPr>
            <w:spacing w:val="-1"/>
            <w:sz w:val="24"/>
          </w:rPr>
          <w:t> </w:t>
        </w:r>
        <w:r>
          <w:rPr>
            <w:sz w:val="24"/>
          </w:rPr>
          <w:t>fiscal</w:t>
          <w:tab/>
          <w:t>167</w:t>
        </w:r>
      </w:hyperlink>
    </w:p>
    <w:p>
      <w:pPr>
        <w:pStyle w:val="ListParagraph"/>
        <w:numPr>
          <w:ilvl w:val="2"/>
          <w:numId w:val="4"/>
        </w:numPr>
        <w:tabs>
          <w:tab w:pos="1301" w:val="left" w:leader="none"/>
          <w:tab w:pos="1302" w:val="left" w:leader="none"/>
          <w:tab w:pos="8933" w:val="right" w:leader="dot"/>
        </w:tabs>
        <w:spacing w:line="240" w:lineRule="auto" w:before="0" w:after="0"/>
        <w:ind w:left="582" w:right="107" w:firstLine="0"/>
        <w:jc w:val="left"/>
        <w:rPr>
          <w:sz w:val="24"/>
        </w:rPr>
      </w:pPr>
      <w:hyperlink w:history="true" w:anchor="_bookmark134">
        <w:r>
          <w:rPr>
            <w:sz w:val="24"/>
          </w:rPr>
          <w:t>Importancia relativa de los choques de precios y la asignación de ingresos</w:t>
        </w:r>
      </w:hyperlink>
      <w:r>
        <w:rPr>
          <w:sz w:val="24"/>
        </w:rPr>
        <w:t> </w:t>
      </w:r>
      <w:hyperlink w:history="true" w:anchor="_bookmark134">
        <w:r>
          <w:rPr>
            <w:sz w:val="24"/>
          </w:rPr>
          <w:t>fiscales sobre  la posición</w:t>
        </w:r>
        <w:r>
          <w:rPr>
            <w:spacing w:val="-1"/>
            <w:sz w:val="24"/>
          </w:rPr>
          <w:t> </w:t>
        </w:r>
        <w:r>
          <w:rPr>
            <w:sz w:val="24"/>
          </w:rPr>
          <w:t>fiscal</w:t>
          <w:tab/>
          <w:t>172</w:t>
        </w:r>
      </w:hyperlink>
    </w:p>
    <w:p>
      <w:pPr>
        <w:pStyle w:val="ListParagraph"/>
        <w:numPr>
          <w:ilvl w:val="2"/>
          <w:numId w:val="4"/>
        </w:numPr>
        <w:tabs>
          <w:tab w:pos="1301" w:val="left" w:leader="none"/>
          <w:tab w:pos="1302" w:val="left" w:leader="none"/>
          <w:tab w:pos="8933" w:val="right" w:leader="dot"/>
        </w:tabs>
        <w:spacing w:line="240" w:lineRule="auto" w:before="0" w:after="0"/>
        <w:ind w:left="1302" w:right="0" w:hanging="720"/>
        <w:jc w:val="left"/>
        <w:rPr>
          <w:sz w:val="24"/>
        </w:rPr>
      </w:pPr>
      <w:hyperlink w:history="true" w:anchor="_bookmark137">
        <w:r>
          <w:rPr>
            <w:sz w:val="24"/>
          </w:rPr>
          <w:t>Determinantes  dinámicos sobre  la</w:t>
        </w:r>
        <w:r>
          <w:rPr>
            <w:spacing w:val="-3"/>
            <w:sz w:val="24"/>
          </w:rPr>
          <w:t> </w:t>
        </w:r>
        <w:r>
          <w:rPr>
            <w:sz w:val="24"/>
          </w:rPr>
          <w:t>posición</w:t>
        </w:r>
        <w:r>
          <w:rPr>
            <w:spacing w:val="-1"/>
            <w:sz w:val="24"/>
          </w:rPr>
          <w:t> </w:t>
        </w:r>
        <w:r>
          <w:rPr>
            <w:sz w:val="24"/>
          </w:rPr>
          <w:t>fiscal</w:t>
          <w:tab/>
          <w:t>175</w:t>
        </w:r>
      </w:hyperlink>
    </w:p>
    <w:p>
      <w:pPr>
        <w:pStyle w:val="ListParagraph"/>
        <w:numPr>
          <w:ilvl w:val="2"/>
          <w:numId w:val="4"/>
        </w:numPr>
        <w:tabs>
          <w:tab w:pos="1301" w:val="left" w:leader="none"/>
          <w:tab w:pos="1302" w:val="left" w:leader="none"/>
          <w:tab w:pos="8933" w:val="right" w:leader="dot"/>
        </w:tabs>
        <w:spacing w:line="240" w:lineRule="auto" w:before="0" w:after="0"/>
        <w:ind w:left="582" w:right="107" w:firstLine="0"/>
        <w:jc w:val="left"/>
        <w:rPr>
          <w:sz w:val="24"/>
        </w:rPr>
      </w:pPr>
      <w:hyperlink w:history="true" w:anchor="_bookmark140">
        <w:r>
          <w:rPr>
            <w:sz w:val="24"/>
          </w:rPr>
          <w:t>Escenarios de reglas fiscales para Bolivia en función de la asignación de</w:t>
        </w:r>
      </w:hyperlink>
      <w:r>
        <w:rPr>
          <w:sz w:val="24"/>
        </w:rPr>
        <w:t> </w:t>
      </w:r>
      <w:hyperlink w:history="true" w:anchor="_bookmark140">
        <w:r>
          <w:rPr>
            <w:sz w:val="24"/>
          </w:rPr>
          <w:t>ingresos fiscales gasíferos y</w:t>
        </w:r>
        <w:r>
          <w:rPr>
            <w:spacing w:val="-1"/>
            <w:sz w:val="24"/>
          </w:rPr>
          <w:t> </w:t>
        </w:r>
        <w:r>
          <w:rPr>
            <w:sz w:val="24"/>
          </w:rPr>
          <w:t>no</w:t>
        </w:r>
        <w:r>
          <w:rPr>
            <w:spacing w:val="1"/>
            <w:sz w:val="24"/>
          </w:rPr>
          <w:t> </w:t>
        </w:r>
        <w:r>
          <w:rPr>
            <w:sz w:val="24"/>
          </w:rPr>
          <w:t>gasíferos</w:t>
          <w:tab/>
          <w:t>178</w:t>
        </w:r>
      </w:hyperlink>
    </w:p>
    <w:p>
      <w:pPr>
        <w:pStyle w:val="ListParagraph"/>
        <w:numPr>
          <w:ilvl w:val="2"/>
          <w:numId w:val="4"/>
        </w:numPr>
        <w:tabs>
          <w:tab w:pos="1301" w:val="left" w:leader="none"/>
          <w:tab w:pos="1302" w:val="left" w:leader="none"/>
          <w:tab w:pos="8933" w:val="right" w:leader="dot"/>
        </w:tabs>
        <w:spacing w:line="240" w:lineRule="auto" w:before="0" w:after="0"/>
        <w:ind w:left="1302" w:right="0" w:hanging="720"/>
        <w:jc w:val="left"/>
        <w:rPr>
          <w:sz w:val="24"/>
        </w:rPr>
      </w:pPr>
      <w:hyperlink w:history="true" w:anchor="_bookmark147">
        <w:r>
          <w:rPr>
            <w:sz w:val="24"/>
          </w:rPr>
          <w:t>Volatilidad de las</w:t>
        </w:r>
        <w:r>
          <w:rPr>
            <w:spacing w:val="-2"/>
            <w:sz w:val="24"/>
          </w:rPr>
          <w:t> </w:t>
        </w:r>
        <w:r>
          <w:rPr>
            <w:sz w:val="24"/>
          </w:rPr>
          <w:t>reglas fiscales</w:t>
          <w:tab/>
          <w:t>183</w:t>
        </w:r>
      </w:hyperlink>
    </w:p>
    <w:p>
      <w:pPr>
        <w:pStyle w:val="ListParagraph"/>
        <w:numPr>
          <w:ilvl w:val="2"/>
          <w:numId w:val="4"/>
        </w:numPr>
        <w:tabs>
          <w:tab w:pos="1301" w:val="left" w:leader="none"/>
          <w:tab w:pos="1302" w:val="left" w:leader="none"/>
          <w:tab w:pos="8933" w:val="right" w:leader="dot"/>
        </w:tabs>
        <w:spacing w:line="240" w:lineRule="auto" w:before="0" w:after="0"/>
        <w:ind w:left="1302" w:right="0" w:hanging="720"/>
        <w:jc w:val="left"/>
        <w:rPr>
          <w:sz w:val="24"/>
        </w:rPr>
      </w:pPr>
      <w:hyperlink w:history="true" w:anchor="_bookmark149">
        <w:r>
          <w:rPr>
            <w:sz w:val="24"/>
          </w:rPr>
          <w:t>Diseño de una política</w:t>
        </w:r>
        <w:r>
          <w:rPr>
            <w:spacing w:val="-4"/>
            <w:sz w:val="24"/>
          </w:rPr>
          <w:t> </w:t>
        </w:r>
        <w:r>
          <w:rPr>
            <w:sz w:val="24"/>
          </w:rPr>
          <w:t>fiscal</w:t>
        </w:r>
        <w:r>
          <w:rPr>
            <w:spacing w:val="-1"/>
            <w:sz w:val="24"/>
          </w:rPr>
          <w:t> </w:t>
        </w:r>
        <w:r>
          <w:rPr>
            <w:sz w:val="24"/>
          </w:rPr>
          <w:t>contracíclica</w:t>
          <w:tab/>
          <w:t>184</w:t>
        </w:r>
      </w:hyperlink>
    </w:p>
    <w:p>
      <w:pPr>
        <w:pStyle w:val="ListParagraph"/>
        <w:numPr>
          <w:ilvl w:val="2"/>
          <w:numId w:val="4"/>
        </w:numPr>
        <w:tabs>
          <w:tab w:pos="1301" w:val="left" w:leader="none"/>
          <w:tab w:pos="1302" w:val="left" w:leader="none"/>
          <w:tab w:pos="8933" w:val="right" w:leader="dot"/>
        </w:tabs>
        <w:spacing w:line="240" w:lineRule="auto" w:before="0" w:after="0"/>
        <w:ind w:left="1302" w:right="0" w:hanging="720"/>
        <w:jc w:val="left"/>
        <w:rPr>
          <w:sz w:val="24"/>
        </w:rPr>
      </w:pPr>
      <w:hyperlink w:history="true" w:anchor="_bookmark152">
        <w:r>
          <w:rPr>
            <w:sz w:val="24"/>
          </w:rPr>
          <w:t>Inclusión de cláusulas de escape para las reglas</w:t>
        </w:r>
        <w:r>
          <w:rPr>
            <w:spacing w:val="-7"/>
            <w:sz w:val="24"/>
          </w:rPr>
          <w:t> </w:t>
        </w:r>
        <w:r>
          <w:rPr>
            <w:sz w:val="24"/>
          </w:rPr>
          <w:t>fiscales</w:t>
        </w:r>
        <w:r>
          <w:rPr>
            <w:spacing w:val="-1"/>
            <w:sz w:val="24"/>
          </w:rPr>
          <w:t> </w:t>
        </w:r>
        <w:r>
          <w:rPr>
            <w:sz w:val="24"/>
          </w:rPr>
          <w:t>alternativas</w:t>
          <w:tab/>
          <w:t>186</w:t>
        </w:r>
      </w:hyperlink>
    </w:p>
    <w:p>
      <w:pPr>
        <w:tabs>
          <w:tab w:pos="8933" w:val="right" w:leader="dot"/>
        </w:tabs>
        <w:spacing w:before="120"/>
        <w:ind w:left="342" w:right="0" w:firstLine="0"/>
        <w:jc w:val="left"/>
        <w:rPr>
          <w:sz w:val="24"/>
        </w:rPr>
      </w:pPr>
      <w:hyperlink w:history="true" w:anchor="_bookmark155">
        <w:r>
          <w:rPr>
            <w:sz w:val="24"/>
          </w:rPr>
          <w:t>S</w:t>
        </w:r>
        <w:r>
          <w:rPr>
            <w:sz w:val="19"/>
          </w:rPr>
          <w:t>ÍNTESIS</w:t>
        </w:r>
        <w:r>
          <w:rPr>
            <w:sz w:val="24"/>
          </w:rPr>
          <w:tab/>
          <w:t>190</w:t>
        </w:r>
      </w:hyperlink>
    </w:p>
    <w:p>
      <w:pPr>
        <w:spacing w:after="0"/>
        <w:jc w:val="left"/>
        <w:rPr>
          <w:sz w:val="24"/>
        </w:rPr>
        <w:sectPr>
          <w:pgSz w:w="12250" w:h="15850"/>
          <w:pgMar w:header="0" w:footer="1035" w:top="1360" w:bottom="1220" w:left="1600" w:right="1600"/>
        </w:sectPr>
      </w:pPr>
    </w:p>
    <w:p>
      <w:pPr>
        <w:tabs>
          <w:tab w:pos="8933" w:val="right" w:leader="dot"/>
        </w:tabs>
        <w:spacing w:before="50"/>
        <w:ind w:left="102" w:right="0" w:firstLine="0"/>
        <w:jc w:val="left"/>
        <w:rPr>
          <w:b/>
          <w:sz w:val="24"/>
        </w:rPr>
      </w:pPr>
      <w:hyperlink w:history="true" w:anchor="_bookmark156">
        <w:r>
          <w:rPr>
            <w:b/>
            <w:sz w:val="24"/>
          </w:rPr>
          <w:t>C</w:t>
        </w:r>
        <w:r>
          <w:rPr>
            <w:b/>
            <w:sz w:val="19"/>
          </w:rPr>
          <w:t>ONCLUSIONES</w:t>
        </w:r>
        <w:r>
          <w:rPr>
            <w:b/>
            <w:spacing w:val="-1"/>
            <w:sz w:val="19"/>
          </w:rPr>
          <w:t> </w:t>
        </w:r>
        <w:r>
          <w:rPr>
            <w:b/>
            <w:sz w:val="19"/>
          </w:rPr>
          <w:t>GENERALES</w:t>
        </w:r>
        <w:r>
          <w:rPr>
            <w:b/>
            <w:sz w:val="24"/>
          </w:rPr>
          <w:tab/>
          <w:t>194</w:t>
        </w:r>
      </w:hyperlink>
    </w:p>
    <w:p>
      <w:pPr>
        <w:pStyle w:val="ListParagraph"/>
        <w:numPr>
          <w:ilvl w:val="0"/>
          <w:numId w:val="5"/>
        </w:numPr>
        <w:tabs>
          <w:tab w:pos="1061" w:val="left" w:leader="none"/>
          <w:tab w:pos="1062" w:val="left" w:leader="none"/>
          <w:tab w:pos="8933" w:val="right" w:leader="dot"/>
        </w:tabs>
        <w:spacing w:line="240" w:lineRule="auto" w:before="115" w:after="0"/>
        <w:ind w:left="342" w:right="0" w:firstLine="0"/>
        <w:jc w:val="left"/>
        <w:rPr>
          <w:sz w:val="24"/>
        </w:rPr>
      </w:pPr>
      <w:hyperlink w:history="true" w:anchor="_bookmark157">
        <w:r>
          <w:rPr>
            <w:sz w:val="24"/>
          </w:rPr>
          <w:t>R</w:t>
        </w:r>
        <w:r>
          <w:rPr>
            <w:sz w:val="19"/>
          </w:rPr>
          <w:t>ESULTADOS ENCONTRADOS EN</w:t>
        </w:r>
        <w:r>
          <w:rPr>
            <w:spacing w:val="1"/>
            <w:sz w:val="19"/>
          </w:rPr>
          <w:t> </w:t>
        </w:r>
        <w:r>
          <w:rPr>
            <w:sz w:val="19"/>
          </w:rPr>
          <w:t>LA</w:t>
        </w:r>
        <w:r>
          <w:rPr>
            <w:spacing w:val="1"/>
            <w:sz w:val="19"/>
          </w:rPr>
          <w:t> </w:t>
        </w:r>
        <w:r>
          <w:rPr>
            <w:sz w:val="19"/>
          </w:rPr>
          <w:t>INVESTIGACIÓN</w:t>
        </w:r>
        <w:r>
          <w:rPr>
            <w:sz w:val="24"/>
          </w:rPr>
          <w:tab/>
          <w:t>195</w:t>
        </w:r>
      </w:hyperlink>
    </w:p>
    <w:p>
      <w:pPr>
        <w:pStyle w:val="ListParagraph"/>
        <w:numPr>
          <w:ilvl w:val="0"/>
          <w:numId w:val="5"/>
        </w:numPr>
        <w:tabs>
          <w:tab w:pos="1061" w:val="left" w:leader="none"/>
          <w:tab w:pos="1062" w:val="left" w:leader="none"/>
          <w:tab w:pos="8933" w:val="right" w:leader="dot"/>
        </w:tabs>
        <w:spacing w:line="240" w:lineRule="auto" w:before="120" w:after="0"/>
        <w:ind w:left="1062" w:right="0" w:hanging="720"/>
        <w:jc w:val="left"/>
        <w:rPr>
          <w:sz w:val="24"/>
        </w:rPr>
      </w:pPr>
      <w:hyperlink w:history="true" w:anchor="_bookmark158">
        <w:r>
          <w:rPr>
            <w:sz w:val="24"/>
          </w:rPr>
          <w:t>D</w:t>
        </w:r>
        <w:r>
          <w:rPr>
            <w:sz w:val="19"/>
          </w:rPr>
          <w:t>ISCUSIÓN</w:t>
        </w:r>
        <w:r>
          <w:rPr>
            <w:spacing w:val="-2"/>
            <w:sz w:val="19"/>
          </w:rPr>
          <w:t> </w:t>
        </w:r>
        <w:r>
          <w:rPr>
            <w:sz w:val="19"/>
          </w:rPr>
          <w:t>DE</w:t>
        </w:r>
        <w:r>
          <w:rPr>
            <w:spacing w:val="-2"/>
            <w:sz w:val="19"/>
          </w:rPr>
          <w:t> </w:t>
        </w:r>
        <w:r>
          <w:rPr>
            <w:sz w:val="19"/>
          </w:rPr>
          <w:t>RESULTADOS</w:t>
        </w:r>
        <w:r>
          <w:rPr>
            <w:sz w:val="24"/>
          </w:rPr>
          <w:tab/>
          <w:t>200</w:t>
        </w:r>
      </w:hyperlink>
    </w:p>
    <w:p>
      <w:pPr>
        <w:pStyle w:val="ListParagraph"/>
        <w:numPr>
          <w:ilvl w:val="0"/>
          <w:numId w:val="5"/>
        </w:numPr>
        <w:tabs>
          <w:tab w:pos="1061" w:val="left" w:leader="none"/>
          <w:tab w:pos="1062" w:val="left" w:leader="none"/>
          <w:tab w:pos="2069" w:val="left" w:leader="none"/>
          <w:tab w:pos="2624" w:val="left" w:leader="none"/>
          <w:tab w:pos="8933" w:val="right" w:leader="dot"/>
        </w:tabs>
        <w:spacing w:line="240" w:lineRule="auto" w:before="120" w:after="0"/>
        <w:ind w:left="342" w:right="117" w:firstLine="0"/>
        <w:jc w:val="left"/>
        <w:rPr>
          <w:sz w:val="24"/>
        </w:rPr>
      </w:pPr>
      <w:hyperlink w:history="true" w:anchor="_bookmark159">
        <w:r>
          <w:rPr>
            <w:sz w:val="24"/>
          </w:rPr>
          <w:t>C</w:t>
        </w:r>
        <w:r>
          <w:rPr>
            <w:sz w:val="19"/>
          </w:rPr>
          <w:t>AMPO</w:t>
          <w:tab/>
          <w:t>DE</w:t>
          <w:tab/>
          <w:t>INTERSECCIÓN      ECONÓMICO</w:t>
        </w:r>
        <w:r>
          <w:rPr>
            <w:sz w:val="24"/>
          </w:rPr>
          <w:t>-</w:t>
        </w:r>
        <w:r>
          <w:rPr>
            <w:sz w:val="19"/>
          </w:rPr>
          <w:t>ADMINISTRATIVAS           </w:t>
        </w:r>
        <w:r>
          <w:rPr>
            <w:spacing w:val="36"/>
            <w:sz w:val="19"/>
          </w:rPr>
          <w:t> </w:t>
        </w:r>
        <w:r>
          <w:rPr>
            <w:sz w:val="19"/>
          </w:rPr>
          <w:t>PARA     </w:t>
        </w:r>
        <w:r>
          <w:rPr>
            <w:spacing w:val="12"/>
            <w:sz w:val="19"/>
          </w:rPr>
          <w:t> </w:t>
        </w:r>
        <w:r>
          <w:rPr>
            <w:sz w:val="19"/>
          </w:rPr>
          <w:t>LA</w:t>
        </w:r>
      </w:hyperlink>
      <w:r>
        <w:rPr>
          <w:w w:val="99"/>
          <w:sz w:val="19"/>
        </w:rPr>
        <w:t> </w:t>
      </w:r>
      <w:hyperlink w:history="true" w:anchor="_bookmark159">
        <w:r>
          <w:rPr>
            <w:sz w:val="19"/>
          </w:rPr>
          <w:t>INVESTIGACIÓN</w:t>
        </w:r>
        <w:r>
          <w:rPr>
            <w:spacing w:val="-2"/>
            <w:sz w:val="19"/>
          </w:rPr>
          <w:t> </w:t>
        </w:r>
        <w:r>
          <w:rPr>
            <w:sz w:val="19"/>
          </w:rPr>
          <w:t>DESARROLLADA</w:t>
        </w:r>
        <w:r>
          <w:rPr>
            <w:sz w:val="24"/>
          </w:rPr>
          <w:tab/>
          <w:t>204</w:t>
        </w:r>
      </w:hyperlink>
    </w:p>
    <w:p>
      <w:pPr>
        <w:pStyle w:val="ListParagraph"/>
        <w:numPr>
          <w:ilvl w:val="0"/>
          <w:numId w:val="5"/>
        </w:numPr>
        <w:tabs>
          <w:tab w:pos="1061" w:val="left" w:leader="none"/>
          <w:tab w:pos="1062" w:val="left" w:leader="none"/>
          <w:tab w:pos="8933" w:val="right" w:leader="dot"/>
        </w:tabs>
        <w:spacing w:line="240" w:lineRule="auto" w:before="120" w:after="0"/>
        <w:ind w:left="1062" w:right="0" w:hanging="720"/>
        <w:jc w:val="left"/>
        <w:rPr>
          <w:sz w:val="24"/>
        </w:rPr>
      </w:pPr>
      <w:hyperlink w:history="true" w:anchor="_bookmark160">
        <w:r>
          <w:rPr>
            <w:sz w:val="24"/>
          </w:rPr>
          <w:t>C</w:t>
        </w:r>
        <w:r>
          <w:rPr>
            <w:sz w:val="19"/>
          </w:rPr>
          <w:t>ONCLUSIONES DE</w:t>
        </w:r>
        <w:r>
          <w:rPr>
            <w:spacing w:val="1"/>
            <w:sz w:val="19"/>
          </w:rPr>
          <w:t> </w:t>
        </w:r>
        <w:r>
          <w:rPr>
            <w:sz w:val="19"/>
          </w:rPr>
          <w:t>LA</w:t>
        </w:r>
        <w:r>
          <w:rPr>
            <w:spacing w:val="1"/>
            <w:sz w:val="19"/>
          </w:rPr>
          <w:t> </w:t>
        </w:r>
        <w:r>
          <w:rPr>
            <w:sz w:val="19"/>
          </w:rPr>
          <w:t>INVESTIGACIÓN</w:t>
        </w:r>
        <w:r>
          <w:rPr>
            <w:sz w:val="24"/>
          </w:rPr>
          <w:tab/>
          <w:t>208</w:t>
        </w:r>
      </w:hyperlink>
    </w:p>
    <w:p>
      <w:pPr>
        <w:pStyle w:val="ListParagraph"/>
        <w:numPr>
          <w:ilvl w:val="0"/>
          <w:numId w:val="5"/>
        </w:numPr>
        <w:tabs>
          <w:tab w:pos="1061" w:val="left" w:leader="none"/>
          <w:tab w:pos="1062" w:val="left" w:leader="none"/>
          <w:tab w:pos="8933" w:val="right" w:leader="dot"/>
        </w:tabs>
        <w:spacing w:line="240" w:lineRule="auto" w:before="120" w:after="0"/>
        <w:ind w:left="1062" w:right="0" w:hanging="720"/>
        <w:jc w:val="left"/>
        <w:rPr>
          <w:sz w:val="24"/>
        </w:rPr>
      </w:pPr>
      <w:hyperlink w:history="true" w:anchor="_bookmark161">
        <w:r>
          <w:rPr>
            <w:sz w:val="24"/>
          </w:rPr>
          <w:t>I</w:t>
        </w:r>
        <w:r>
          <w:rPr>
            <w:sz w:val="19"/>
          </w:rPr>
          <w:t>MPLICACIONES PARA LAS</w:t>
        </w:r>
        <w:r>
          <w:rPr>
            <w:spacing w:val="3"/>
            <w:sz w:val="19"/>
          </w:rPr>
          <w:t> </w:t>
        </w:r>
        <w:r>
          <w:rPr>
            <w:sz w:val="19"/>
          </w:rPr>
          <w:t>POLÍTICAS</w:t>
        </w:r>
        <w:r>
          <w:rPr>
            <w:spacing w:val="-1"/>
            <w:sz w:val="19"/>
          </w:rPr>
          <w:t> </w:t>
        </w:r>
        <w:r>
          <w:rPr>
            <w:sz w:val="19"/>
          </w:rPr>
          <w:t>PÚBLICAS</w:t>
        </w:r>
        <w:r>
          <w:rPr>
            <w:sz w:val="24"/>
          </w:rPr>
          <w:tab/>
          <w:t>212</w:t>
        </w:r>
      </w:hyperlink>
    </w:p>
    <w:p>
      <w:pPr>
        <w:pStyle w:val="ListParagraph"/>
        <w:numPr>
          <w:ilvl w:val="1"/>
          <w:numId w:val="6"/>
        </w:numPr>
        <w:tabs>
          <w:tab w:pos="1128" w:val="left" w:leader="none"/>
          <w:tab w:pos="8933" w:val="right" w:leader="dot"/>
        </w:tabs>
        <w:spacing w:line="240" w:lineRule="auto" w:before="0" w:after="0"/>
        <w:ind w:left="1127" w:right="0" w:hanging="545"/>
        <w:jc w:val="left"/>
        <w:rPr>
          <w:sz w:val="24"/>
        </w:rPr>
      </w:pPr>
      <w:hyperlink w:history="true" w:anchor="_bookmark162">
        <w:r>
          <w:rPr>
            <w:sz w:val="24"/>
          </w:rPr>
          <w:t>Para países dependientes de un</w:t>
        </w:r>
        <w:r>
          <w:rPr>
            <w:spacing w:val="-3"/>
            <w:sz w:val="24"/>
          </w:rPr>
          <w:t> </w:t>
        </w:r>
        <w:r>
          <w:rPr>
            <w:sz w:val="24"/>
          </w:rPr>
          <w:t>recurso</w:t>
        </w:r>
        <w:r>
          <w:rPr>
            <w:spacing w:val="-1"/>
            <w:sz w:val="24"/>
          </w:rPr>
          <w:t> </w:t>
        </w:r>
        <w:r>
          <w:rPr>
            <w:sz w:val="24"/>
          </w:rPr>
          <w:t>natural</w:t>
          <w:tab/>
          <w:t>212</w:t>
        </w:r>
      </w:hyperlink>
    </w:p>
    <w:p>
      <w:pPr>
        <w:pStyle w:val="ListParagraph"/>
        <w:numPr>
          <w:ilvl w:val="1"/>
          <w:numId w:val="6"/>
        </w:numPr>
        <w:tabs>
          <w:tab w:pos="1128" w:val="left" w:leader="none"/>
          <w:tab w:pos="8933" w:val="right" w:leader="dot"/>
        </w:tabs>
        <w:spacing w:line="240" w:lineRule="auto" w:before="0" w:after="0"/>
        <w:ind w:left="1127" w:right="0" w:hanging="545"/>
        <w:jc w:val="left"/>
        <w:rPr>
          <w:sz w:val="24"/>
        </w:rPr>
      </w:pPr>
      <w:hyperlink w:history="true" w:anchor="_bookmark163">
        <w:r>
          <w:rPr>
            <w:sz w:val="24"/>
          </w:rPr>
          <w:t>Para Bolivia</w:t>
          <w:tab/>
          <w:t>215</w:t>
        </w:r>
      </w:hyperlink>
    </w:p>
    <w:p>
      <w:pPr>
        <w:pStyle w:val="ListParagraph"/>
        <w:numPr>
          <w:ilvl w:val="0"/>
          <w:numId w:val="5"/>
        </w:numPr>
        <w:tabs>
          <w:tab w:pos="1061" w:val="left" w:leader="none"/>
          <w:tab w:pos="1062" w:val="left" w:leader="none"/>
          <w:tab w:pos="8933" w:val="right" w:leader="dot"/>
        </w:tabs>
        <w:spacing w:line="240" w:lineRule="auto" w:before="120" w:after="0"/>
        <w:ind w:left="1062" w:right="0" w:hanging="720"/>
        <w:jc w:val="left"/>
        <w:rPr>
          <w:sz w:val="24"/>
        </w:rPr>
      </w:pPr>
      <w:hyperlink w:history="true" w:anchor="_bookmark164">
        <w:r>
          <w:rPr>
            <w:sz w:val="24"/>
          </w:rPr>
          <w:t>P</w:t>
        </w:r>
        <w:r>
          <w:rPr>
            <w:sz w:val="19"/>
          </w:rPr>
          <w:t>ARA</w:t>
        </w:r>
        <w:r>
          <w:rPr>
            <w:spacing w:val="-2"/>
            <w:sz w:val="19"/>
          </w:rPr>
          <w:t> </w:t>
        </w:r>
        <w:r>
          <w:rPr>
            <w:sz w:val="19"/>
          </w:rPr>
          <w:t>INVESTIGACIONES</w:t>
        </w:r>
        <w:r>
          <w:rPr>
            <w:spacing w:val="3"/>
            <w:sz w:val="19"/>
          </w:rPr>
          <w:t> </w:t>
        </w:r>
        <w:r>
          <w:rPr>
            <w:sz w:val="19"/>
          </w:rPr>
          <w:t>FUTURAS</w:t>
        </w:r>
        <w:r>
          <w:rPr>
            <w:sz w:val="24"/>
          </w:rPr>
          <w:tab/>
          <w:t>218</w:t>
        </w:r>
      </w:hyperlink>
    </w:p>
    <w:p>
      <w:pPr>
        <w:pStyle w:val="ListParagraph"/>
        <w:numPr>
          <w:ilvl w:val="1"/>
          <w:numId w:val="7"/>
        </w:numPr>
        <w:tabs>
          <w:tab w:pos="1103" w:val="left" w:leader="none"/>
          <w:tab w:pos="8933" w:val="right" w:leader="dot"/>
        </w:tabs>
        <w:spacing w:line="240" w:lineRule="auto" w:before="0" w:after="0"/>
        <w:ind w:left="1102" w:right="0" w:hanging="520"/>
        <w:jc w:val="left"/>
        <w:rPr>
          <w:sz w:val="24"/>
        </w:rPr>
      </w:pPr>
      <w:hyperlink w:history="true" w:anchor="_bookmark165">
        <w:r>
          <w:rPr>
            <w:sz w:val="24"/>
          </w:rPr>
          <w:t>Limitaciones de</w:t>
        </w:r>
        <w:r>
          <w:rPr>
            <w:spacing w:val="-4"/>
            <w:sz w:val="24"/>
          </w:rPr>
          <w:t> </w:t>
        </w:r>
        <w:r>
          <w:rPr>
            <w:sz w:val="24"/>
          </w:rPr>
          <w:t>la</w:t>
        </w:r>
        <w:r>
          <w:rPr>
            <w:spacing w:val="-1"/>
            <w:sz w:val="24"/>
          </w:rPr>
          <w:t> </w:t>
        </w:r>
        <w:r>
          <w:rPr>
            <w:sz w:val="24"/>
          </w:rPr>
          <w:t>investigación</w:t>
          <w:tab/>
          <w:t>218</w:t>
        </w:r>
      </w:hyperlink>
    </w:p>
    <w:p>
      <w:pPr>
        <w:pStyle w:val="ListParagraph"/>
        <w:numPr>
          <w:ilvl w:val="1"/>
          <w:numId w:val="7"/>
        </w:numPr>
        <w:tabs>
          <w:tab w:pos="1101" w:val="left" w:leader="none"/>
          <w:tab w:pos="8933" w:val="right" w:leader="dot"/>
        </w:tabs>
        <w:spacing w:line="240" w:lineRule="auto" w:before="0" w:after="0"/>
        <w:ind w:left="1100" w:right="0" w:hanging="518"/>
        <w:jc w:val="left"/>
        <w:rPr>
          <w:sz w:val="24"/>
        </w:rPr>
      </w:pPr>
      <w:hyperlink w:history="true" w:anchor="_bookmark166">
        <w:r>
          <w:rPr>
            <w:sz w:val="24"/>
          </w:rPr>
          <w:t>Agenda</w:t>
        </w:r>
        <w:r>
          <w:rPr>
            <w:spacing w:val="-1"/>
            <w:sz w:val="24"/>
          </w:rPr>
          <w:t> </w:t>
        </w:r>
        <w:r>
          <w:rPr>
            <w:sz w:val="24"/>
          </w:rPr>
          <w:t>de</w:t>
        </w:r>
        <w:r>
          <w:rPr>
            <w:spacing w:val="-1"/>
            <w:sz w:val="24"/>
          </w:rPr>
          <w:t> </w:t>
        </w:r>
        <w:r>
          <w:rPr>
            <w:sz w:val="24"/>
          </w:rPr>
          <w:t>investigación</w:t>
          <w:tab/>
          <w:t>219</w:t>
        </w:r>
      </w:hyperlink>
    </w:p>
    <w:p>
      <w:pPr>
        <w:tabs>
          <w:tab w:pos="8933" w:val="right" w:leader="dot"/>
        </w:tabs>
        <w:spacing w:before="125"/>
        <w:ind w:left="102" w:right="0" w:firstLine="0"/>
        <w:jc w:val="left"/>
        <w:rPr>
          <w:b/>
          <w:sz w:val="24"/>
        </w:rPr>
      </w:pPr>
      <w:hyperlink w:history="true" w:anchor="_bookmark167">
        <w:r>
          <w:rPr>
            <w:b/>
            <w:sz w:val="24"/>
          </w:rPr>
          <w:t>F</w:t>
        </w:r>
        <w:r>
          <w:rPr>
            <w:b/>
            <w:sz w:val="19"/>
          </w:rPr>
          <w:t>UENTES </w:t>
        </w:r>
        <w:r>
          <w:rPr>
            <w:b/>
            <w:sz w:val="24"/>
          </w:rPr>
          <w:t>B</w:t>
        </w:r>
        <w:r>
          <w:rPr>
            <w:b/>
            <w:sz w:val="19"/>
          </w:rPr>
          <w:t>IBLIOGRÁFICAS</w:t>
        </w:r>
        <w:r>
          <w:rPr>
            <w:b/>
            <w:sz w:val="24"/>
          </w:rPr>
          <w:tab/>
          <w:t>220</w:t>
        </w:r>
      </w:hyperlink>
    </w:p>
    <w:p>
      <w:pPr>
        <w:tabs>
          <w:tab w:pos="8933" w:val="right" w:leader="dot"/>
        </w:tabs>
        <w:spacing w:line="274" w:lineRule="exact" w:before="120"/>
        <w:ind w:left="342" w:right="0" w:firstLine="0"/>
        <w:jc w:val="left"/>
        <w:rPr>
          <w:b/>
          <w:sz w:val="24"/>
        </w:rPr>
      </w:pPr>
      <w:hyperlink w:history="true" w:anchor="_bookmark168">
        <w:r>
          <w:rPr>
            <w:b/>
            <w:sz w:val="24"/>
          </w:rPr>
          <w:t>L</w:t>
        </w:r>
        <w:r>
          <w:rPr>
            <w:b/>
            <w:sz w:val="19"/>
          </w:rPr>
          <w:t>ISTADO</w:t>
        </w:r>
        <w:r>
          <w:rPr>
            <w:b/>
            <w:spacing w:val="-2"/>
            <w:sz w:val="19"/>
          </w:rPr>
          <w:t> </w:t>
        </w:r>
        <w:r>
          <w:rPr>
            <w:b/>
            <w:sz w:val="19"/>
          </w:rPr>
          <w:t>DE</w:t>
        </w:r>
        <w:r>
          <w:rPr>
            <w:b/>
            <w:spacing w:val="-1"/>
            <w:sz w:val="19"/>
          </w:rPr>
          <w:t> </w:t>
        </w:r>
        <w:r>
          <w:rPr>
            <w:b/>
            <w:sz w:val="19"/>
          </w:rPr>
          <w:t>ANEXOS</w:t>
        </w:r>
        <w:r>
          <w:rPr>
            <w:b/>
            <w:sz w:val="24"/>
          </w:rPr>
          <w:tab/>
          <w:t>242</w:t>
        </w:r>
      </w:hyperlink>
    </w:p>
    <w:p>
      <w:pPr>
        <w:pStyle w:val="BodyText"/>
        <w:tabs>
          <w:tab w:pos="8933" w:val="right" w:leader="dot"/>
        </w:tabs>
        <w:spacing w:line="274" w:lineRule="exact"/>
        <w:ind w:left="581"/>
      </w:pPr>
      <w:hyperlink w:history="true" w:anchor="_bookmark169">
        <w:r>
          <w:rPr/>
          <w:t>Anexo 1.1  Nuevas reglas fiscales adoptadas</w:t>
        </w:r>
        <w:r>
          <w:rPr>
            <w:spacing w:val="-2"/>
          </w:rPr>
          <w:t> </w:t>
        </w:r>
        <w:r>
          <w:rPr/>
          <w:t>desde</w:t>
        </w:r>
        <w:r>
          <w:rPr>
            <w:spacing w:val="-2"/>
          </w:rPr>
          <w:t> </w:t>
        </w:r>
        <w:r>
          <w:rPr/>
          <w:t>2010</w:t>
          <w:tab/>
          <w:t>242</w:t>
        </w:r>
      </w:hyperlink>
    </w:p>
    <w:p>
      <w:pPr>
        <w:pStyle w:val="BodyText"/>
        <w:tabs>
          <w:tab w:pos="8933" w:val="right" w:leader="dot"/>
        </w:tabs>
        <w:ind w:left="581"/>
      </w:pPr>
      <w:hyperlink w:history="true" w:anchor="_bookmark170">
        <w:r>
          <w:rPr/>
          <w:t>Anexo 2.1.  Consumo del gas natural por regiones: 1992 -</w:t>
        </w:r>
        <w:r>
          <w:rPr>
            <w:spacing w:val="-2"/>
          </w:rPr>
          <w:t> </w:t>
        </w:r>
        <w:r>
          <w:rPr/>
          <w:t>2010</w:t>
          <w:tab/>
          <w:t>245</w:t>
        </w:r>
      </w:hyperlink>
    </w:p>
    <w:p>
      <w:pPr>
        <w:pStyle w:val="BodyText"/>
        <w:tabs>
          <w:tab w:pos="8933" w:val="right" w:leader="dot"/>
        </w:tabs>
        <w:ind w:left="581"/>
      </w:pPr>
      <w:hyperlink w:history="true" w:anchor="_bookmark171">
        <w:r>
          <w:rPr/>
          <w:t>Anexo 2.2.   Producción del gas natural por regiones: 1992</w:t>
        </w:r>
        <w:r>
          <w:rPr>
            <w:spacing w:val="-1"/>
          </w:rPr>
          <w:t> </w:t>
        </w:r>
        <w:r>
          <w:rPr/>
          <w:t>-</w:t>
        </w:r>
        <w:r>
          <w:rPr>
            <w:spacing w:val="-2"/>
          </w:rPr>
          <w:t> </w:t>
        </w:r>
        <w:r>
          <w:rPr/>
          <w:t>2012</w:t>
          <w:tab/>
          <w:t>246</w:t>
        </w:r>
      </w:hyperlink>
    </w:p>
    <w:p>
      <w:pPr>
        <w:pStyle w:val="BodyText"/>
        <w:tabs>
          <w:tab w:pos="8933" w:val="right" w:leader="dot"/>
        </w:tabs>
        <w:ind w:left="581"/>
      </w:pPr>
      <w:hyperlink w:history="true" w:anchor="_bookmark172">
        <w:r>
          <w:rPr/>
          <w:t>Anexo 2.3.  Reserva de gas natural por regiones: 1992</w:t>
        </w:r>
        <w:r>
          <w:rPr>
            <w:spacing w:val="59"/>
          </w:rPr>
          <w:t> </w:t>
        </w:r>
        <w:r>
          <w:rPr/>
          <w:t>-</w:t>
        </w:r>
        <w:r>
          <w:rPr>
            <w:spacing w:val="58"/>
          </w:rPr>
          <w:t> </w:t>
        </w:r>
        <w:r>
          <w:rPr/>
          <w:t>2010</w:t>
          <w:tab/>
          <w:t>247</w:t>
        </w:r>
      </w:hyperlink>
    </w:p>
    <w:p>
      <w:pPr>
        <w:pStyle w:val="BodyText"/>
        <w:tabs>
          <w:tab w:pos="8933" w:val="right" w:leader="dot"/>
        </w:tabs>
        <w:ind w:left="581" w:right="127"/>
      </w:pPr>
      <w:hyperlink w:history="true" w:anchor="_bookmark173">
        <w:r>
          <w:rPr/>
          <w:t>Anexo 2.4.  Bases de datos utilizadas para relaciones del índice de precio del gas</w:t>
        </w:r>
      </w:hyperlink>
      <w:r>
        <w:rPr/>
        <w:t> </w:t>
      </w:r>
      <w:hyperlink w:history="true" w:anchor="_bookmark173">
        <w:r>
          <w:rPr/>
          <w:t>natural</w:t>
          <w:tab/>
          <w:t>248</w:t>
        </w:r>
      </w:hyperlink>
    </w:p>
    <w:p>
      <w:pPr>
        <w:pStyle w:val="BodyText"/>
        <w:tabs>
          <w:tab w:pos="8933" w:val="right" w:leader="dot"/>
        </w:tabs>
        <w:ind w:left="581"/>
      </w:pPr>
      <w:hyperlink w:history="true" w:anchor="_bookmark174">
        <w:r>
          <w:rPr/>
          <w:t>Anexo 2.5.  Formulas para los precios de exportación del</w:t>
        </w:r>
        <w:r>
          <w:rPr>
            <w:spacing w:val="-7"/>
          </w:rPr>
          <w:t> </w:t>
        </w:r>
        <w:r>
          <w:rPr/>
          <w:t>gas</w:t>
        </w:r>
        <w:r>
          <w:rPr>
            <w:spacing w:val="-1"/>
          </w:rPr>
          <w:t> </w:t>
        </w:r>
        <w:r>
          <w:rPr/>
          <w:t>boliviano</w:t>
          <w:tab/>
          <w:t>249</w:t>
        </w:r>
      </w:hyperlink>
    </w:p>
    <w:p>
      <w:pPr>
        <w:pStyle w:val="BodyText"/>
        <w:tabs>
          <w:tab w:pos="8933" w:val="right" w:leader="dot"/>
        </w:tabs>
        <w:ind w:left="581"/>
      </w:pPr>
      <w:hyperlink w:history="true" w:anchor="_bookmark175">
        <w:r>
          <w:rPr/>
          <w:t>Anexo 2.6.  Estimaciones ARCH – GARCH sobre el precio del</w:t>
        </w:r>
        <w:r>
          <w:rPr>
            <w:spacing w:val="-3"/>
          </w:rPr>
          <w:t> </w:t>
        </w:r>
        <w:r>
          <w:rPr/>
          <w:t>gas</w:t>
        </w:r>
        <w:r>
          <w:rPr>
            <w:spacing w:val="-1"/>
          </w:rPr>
          <w:t> </w:t>
        </w:r>
        <w:r>
          <w:rPr/>
          <w:t>natural</w:t>
          <w:tab/>
          <w:t>250</w:t>
        </w:r>
      </w:hyperlink>
    </w:p>
    <w:p>
      <w:pPr>
        <w:pStyle w:val="BodyText"/>
        <w:tabs>
          <w:tab w:pos="8933" w:val="right" w:leader="dot"/>
        </w:tabs>
        <w:ind w:left="581"/>
      </w:pPr>
      <w:hyperlink w:history="true" w:anchor="_bookmark176">
        <w:r>
          <w:rPr/>
          <w:t>Anexo 3.1:</w:t>
        </w:r>
        <w:r>
          <w:rPr>
            <w:spacing w:val="-1"/>
          </w:rPr>
          <w:t> </w:t>
        </w:r>
        <w:r>
          <w:rPr/>
          <w:t>Filtros</w:t>
        </w:r>
        <w:r>
          <w:rPr>
            <w:spacing w:val="-2"/>
          </w:rPr>
          <w:t> </w:t>
        </w:r>
        <w:r>
          <w:rPr/>
          <w:t>utilizados</w:t>
          <w:tab/>
          <w:t>251</w:t>
        </w:r>
      </w:hyperlink>
    </w:p>
    <w:p>
      <w:pPr>
        <w:pStyle w:val="BodyText"/>
        <w:tabs>
          <w:tab w:pos="8933" w:val="right" w:leader="dot"/>
        </w:tabs>
        <w:ind w:left="581"/>
      </w:pPr>
      <w:hyperlink w:history="true" w:anchor="_bookmark177">
        <w:r>
          <w:rPr/>
          <w:t>Anexo 3.2: Cálculo de la tasa de interés real de la</w:t>
        </w:r>
        <w:r>
          <w:rPr>
            <w:spacing w:val="-5"/>
          </w:rPr>
          <w:t> </w:t>
        </w:r>
        <w:r>
          <w:rPr/>
          <w:t>deuda</w:t>
        </w:r>
        <w:r>
          <w:rPr>
            <w:spacing w:val="-2"/>
          </w:rPr>
          <w:t> </w:t>
        </w:r>
        <w:r>
          <w:rPr/>
          <w:t>pública</w:t>
          <w:tab/>
          <w:t>252</w:t>
        </w:r>
      </w:hyperlink>
    </w:p>
    <w:p>
      <w:pPr>
        <w:pStyle w:val="BodyText"/>
        <w:tabs>
          <w:tab w:pos="8933" w:val="right" w:leader="dot"/>
        </w:tabs>
        <w:ind w:left="581" w:right="127"/>
      </w:pPr>
      <w:hyperlink w:history="true" w:anchor="_bookmark178">
        <w:r>
          <w:rPr/>
          <w:t>Anexo 3.3: Movimientos cíclicos de la posición fiscal de Bolivia en torno a la</w:t>
        </w:r>
      </w:hyperlink>
      <w:r>
        <w:rPr/>
        <w:t> </w:t>
      </w:r>
      <w:hyperlink w:history="true" w:anchor="_bookmark178">
        <w:r>
          <w:rPr/>
          <w:t>producción de</w:t>
        </w:r>
        <w:r>
          <w:rPr>
            <w:spacing w:val="-1"/>
          </w:rPr>
          <w:t> </w:t>
        </w:r>
        <w:r>
          <w:rPr/>
          <w:t>gas</w:t>
        </w:r>
        <w:r>
          <w:rPr>
            <w:spacing w:val="-1"/>
          </w:rPr>
          <w:t> </w:t>
        </w:r>
        <w:r>
          <w:rPr/>
          <w:t>natural</w:t>
          <w:tab/>
          <w:t>253</w:t>
        </w:r>
      </w:hyperlink>
    </w:p>
    <w:p>
      <w:pPr>
        <w:pStyle w:val="BodyText"/>
        <w:tabs>
          <w:tab w:pos="8933" w:val="right" w:leader="dot"/>
        </w:tabs>
        <w:ind w:left="581" w:right="127"/>
      </w:pPr>
      <w:hyperlink w:history="true" w:anchor="_bookmark179">
        <w:r>
          <w:rPr/>
          <w:t>Anexo 3.4: Movimientos cíclicos de la posición fiscal de Bolivia en torno al ciclo</w:t>
        </w:r>
      </w:hyperlink>
      <w:r>
        <w:rPr/>
        <w:t> </w:t>
      </w:r>
      <w:hyperlink w:history="true" w:anchor="_bookmark179">
        <w:r>
          <w:rPr/>
          <w:t>económico (brecha</w:t>
        </w:r>
        <w:r>
          <w:rPr>
            <w:spacing w:val="-2"/>
          </w:rPr>
          <w:t> </w:t>
        </w:r>
        <w:r>
          <w:rPr/>
          <w:t>del</w:t>
        </w:r>
        <w:r>
          <w:rPr>
            <w:spacing w:val="-1"/>
          </w:rPr>
          <w:t> </w:t>
        </w:r>
        <w:r>
          <w:rPr/>
          <w:t>producto)</w:t>
          <w:tab/>
          <w:t>254</w:t>
        </w:r>
      </w:hyperlink>
    </w:p>
    <w:p>
      <w:pPr>
        <w:pStyle w:val="BodyText"/>
        <w:tabs>
          <w:tab w:pos="8933" w:val="right" w:leader="dot"/>
        </w:tabs>
        <w:ind w:left="581" w:right="127"/>
      </w:pPr>
      <w:hyperlink w:history="true" w:anchor="_bookmark180">
        <w:r>
          <w:rPr/>
          <w:t>Anexo 3. 5: Elasticidades calculadas para el cómputo del balance fiscal cíclicamente</w:t>
        </w:r>
      </w:hyperlink>
      <w:r>
        <w:rPr/>
        <w:t> </w:t>
      </w:r>
      <w:hyperlink w:history="true" w:anchor="_bookmark180">
        <w:r>
          <w:rPr/>
          <w:t>ajustado</w:t>
          <w:tab/>
          <w:t>254</w:t>
        </w:r>
      </w:hyperlink>
    </w:p>
    <w:p>
      <w:pPr>
        <w:pStyle w:val="BodyText"/>
        <w:tabs>
          <w:tab w:pos="8933" w:val="right" w:leader="dot"/>
        </w:tabs>
        <w:ind w:left="581" w:right="127"/>
      </w:pPr>
      <w:hyperlink w:history="true" w:anchor="_bookmark181">
        <w:r>
          <w:rPr/>
          <w:t>Anexo 4.1: Pruebas de raíz unitaria para determinar el orden de integración de las</w:t>
        </w:r>
      </w:hyperlink>
      <w:r>
        <w:rPr/>
        <w:t> </w:t>
      </w:r>
      <w:hyperlink w:history="true" w:anchor="_bookmark181">
        <w:r>
          <w:rPr/>
          <w:t>variables</w:t>
          <w:tab/>
          <w:t>257</w:t>
        </w:r>
      </w:hyperlink>
    </w:p>
    <w:p>
      <w:pPr>
        <w:pStyle w:val="BodyText"/>
        <w:tabs>
          <w:tab w:pos="8933" w:val="right" w:leader="dot"/>
        </w:tabs>
        <w:ind w:left="581"/>
      </w:pPr>
      <w:hyperlink w:history="true" w:anchor="_bookmark182">
        <w:r>
          <w:rPr/>
          <w:t>Anexo 4.2: Causalidad en el sentido de Granger</w:t>
        </w:r>
        <w:r>
          <w:rPr>
            <w:spacing w:val="57"/>
          </w:rPr>
          <w:t> </w:t>
        </w:r>
        <w:r>
          <w:rPr/>
          <w:t>[corto</w:t>
        </w:r>
        <w:r>
          <w:rPr>
            <w:spacing w:val="-1"/>
          </w:rPr>
          <w:t> </w:t>
        </w:r>
        <w:r>
          <w:rPr/>
          <w:t>plazo]</w:t>
          <w:tab/>
          <w:t>258</w:t>
        </w:r>
      </w:hyperlink>
    </w:p>
    <w:p>
      <w:pPr>
        <w:pStyle w:val="BodyText"/>
        <w:tabs>
          <w:tab w:pos="8933" w:val="right" w:leader="dot"/>
        </w:tabs>
        <w:ind w:left="581"/>
      </w:pPr>
      <w:hyperlink w:history="true" w:anchor="_bookmark183">
        <w:r>
          <w:rPr/>
          <w:t>Anexo 4.3: Causalidad en el sentido de Granger</w:t>
        </w:r>
        <w:r>
          <w:rPr>
            <w:spacing w:val="57"/>
          </w:rPr>
          <w:t> </w:t>
        </w:r>
        <w:r>
          <w:rPr/>
          <w:t>[largo</w:t>
        </w:r>
        <w:r>
          <w:rPr>
            <w:spacing w:val="-1"/>
          </w:rPr>
          <w:t> </w:t>
        </w:r>
        <w:r>
          <w:rPr/>
          <w:t>plazo]</w:t>
          <w:tab/>
          <w:t>259</w:t>
        </w:r>
      </w:hyperlink>
    </w:p>
    <w:p>
      <w:pPr>
        <w:pStyle w:val="BodyText"/>
        <w:tabs>
          <w:tab w:pos="8933" w:val="right" w:leader="dot"/>
        </w:tabs>
        <w:ind w:left="581" w:right="127"/>
      </w:pPr>
      <w:hyperlink w:history="true" w:anchor="_bookmark184">
        <w:r>
          <w:rPr/>
          <w:t>Anexo 4.4: Selección del rezago óptimo para el modelo VAR sin restricciones</w:t>
        </w:r>
      </w:hyperlink>
      <w:r>
        <w:rPr/>
        <w:t> </w:t>
      </w:r>
      <w:hyperlink w:history="true" w:anchor="_bookmark184">
        <w:r>
          <w:rPr/>
          <w:t>económicas</w:t>
          <w:tab/>
          <w:t>260</w:t>
        </w:r>
      </w:hyperlink>
    </w:p>
    <w:p>
      <w:pPr>
        <w:pStyle w:val="BodyText"/>
        <w:tabs>
          <w:tab w:pos="8933" w:val="right" w:leader="dot"/>
        </w:tabs>
        <w:ind w:left="581"/>
      </w:pPr>
      <w:hyperlink w:history="true" w:anchor="_bookmark185">
        <w:r>
          <w:rPr/>
          <w:t>Anexo 4.5: Estabilidad de la modelación con base en</w:t>
        </w:r>
        <w:r>
          <w:rPr>
            <w:spacing w:val="-6"/>
          </w:rPr>
          <w:t> </w:t>
        </w:r>
        <w:r>
          <w:rPr/>
          <w:t>cuatro rezagos</w:t>
          <w:tab/>
          <w:t>261</w:t>
        </w:r>
      </w:hyperlink>
    </w:p>
    <w:p>
      <w:pPr>
        <w:pStyle w:val="BodyText"/>
        <w:tabs>
          <w:tab w:pos="8933" w:val="right" w:leader="dot"/>
        </w:tabs>
        <w:ind w:left="581"/>
      </w:pPr>
      <w:hyperlink w:history="true" w:anchor="_bookmark186">
        <w:r>
          <w:rPr/>
          <w:t>Anexo 4.6: Estabilidad de la modelación con base en</w:t>
        </w:r>
        <w:r>
          <w:rPr>
            <w:spacing w:val="-5"/>
          </w:rPr>
          <w:t> </w:t>
        </w:r>
        <w:r>
          <w:rPr/>
          <w:t>un</w:t>
        </w:r>
        <w:r>
          <w:rPr>
            <w:spacing w:val="-1"/>
          </w:rPr>
          <w:t> </w:t>
        </w:r>
        <w:r>
          <w:rPr/>
          <w:t>rezago</w:t>
          <w:tab/>
          <w:t>261</w:t>
        </w:r>
      </w:hyperlink>
    </w:p>
    <w:p>
      <w:pPr>
        <w:pStyle w:val="BodyText"/>
        <w:tabs>
          <w:tab w:pos="8933" w:val="right" w:leader="dot"/>
        </w:tabs>
        <w:ind w:left="581"/>
      </w:pPr>
      <w:hyperlink w:history="true" w:anchor="_bookmark187">
        <w:r>
          <w:rPr/>
          <w:t>Anexo 4.7: Cumplimiento de</w:t>
        </w:r>
        <w:r>
          <w:rPr>
            <w:spacing w:val="-2"/>
          </w:rPr>
          <w:t> </w:t>
        </w:r>
        <w:r>
          <w:rPr/>
          <w:t>supuestos</w:t>
        </w:r>
        <w:r>
          <w:rPr>
            <w:spacing w:val="-1"/>
          </w:rPr>
          <w:t> </w:t>
        </w:r>
        <w:r>
          <w:rPr/>
          <w:t>econométricos</w:t>
          <w:tab/>
          <w:t>263</w:t>
        </w:r>
      </w:hyperlink>
    </w:p>
    <w:p>
      <w:pPr>
        <w:pStyle w:val="BodyText"/>
        <w:ind w:left="581" w:right="127"/>
      </w:pPr>
      <w:hyperlink w:history="true" w:anchor="_bookmark188">
        <w:r>
          <w:rPr/>
          <w:t>Anexo 4.8: Choques determinantes sobre las distintas mediciones del resultado fiscal</w:t>
        </w:r>
      </w:hyperlink>
    </w:p>
    <w:p>
      <w:pPr>
        <w:pStyle w:val="BodyText"/>
        <w:ind w:left="620"/>
      </w:pPr>
      <w:hyperlink w:history="true" w:anchor="_bookmark188">
        <w:r>
          <w:rPr/>
          <w:t>.................................................................................................................................... 265</w:t>
        </w:r>
      </w:hyperlink>
    </w:p>
    <w:p>
      <w:pPr>
        <w:pStyle w:val="BodyText"/>
        <w:tabs>
          <w:tab w:pos="8933" w:val="right" w:leader="dot"/>
        </w:tabs>
        <w:ind w:left="581"/>
      </w:pPr>
      <w:hyperlink w:history="true" w:anchor="_bookmark189">
        <w:r>
          <w:rPr/>
          <w:t>Anexo 4.9  Choques determinantes sobre la deuda</w:t>
        </w:r>
        <w:r>
          <w:rPr>
            <w:spacing w:val="-2"/>
          </w:rPr>
          <w:t> </w:t>
        </w:r>
        <w:r>
          <w:rPr/>
          <w:t>pública/</w:t>
        </w:r>
        <w:r>
          <w:rPr>
            <w:spacing w:val="-1"/>
          </w:rPr>
          <w:t> </w:t>
        </w:r>
        <w:r>
          <w:rPr/>
          <w:t>PIB</w:t>
          <w:tab/>
          <w:t>267</w:t>
        </w:r>
      </w:hyperlink>
    </w:p>
    <w:p>
      <w:pPr>
        <w:spacing w:after="0"/>
        <w:sectPr>
          <w:footerReference w:type="default" r:id="rId11"/>
          <w:pgSz w:w="12250" w:h="15850"/>
          <w:pgMar w:footer="1035" w:header="0" w:top="1360" w:bottom="1220" w:left="1600" w:right="1580"/>
          <w:pgNumType w:start="3"/>
        </w:sectPr>
      </w:pPr>
    </w:p>
    <w:p>
      <w:pPr>
        <w:pStyle w:val="BodyText"/>
        <w:tabs>
          <w:tab w:pos="8933" w:val="right" w:leader="dot"/>
        </w:tabs>
        <w:spacing w:before="46"/>
        <w:ind w:left="581"/>
      </w:pPr>
      <w:hyperlink w:history="true" w:anchor="_bookmark190">
        <w:r>
          <w:rPr/>
          <w:t>Anexo de publicaciones (un documento aceptado y publicado y</w:t>
        </w:r>
        <w:r>
          <w:rPr>
            <w:spacing w:val="-8"/>
          </w:rPr>
          <w:t> </w:t>
        </w:r>
        <w:r>
          <w:rPr/>
          <w:t>otro enviado)</w:t>
          <w:tab/>
          <w:t>268</w:t>
        </w:r>
      </w:hyperlink>
    </w:p>
    <w:p>
      <w:pPr>
        <w:spacing w:before="417"/>
        <w:ind w:left="2166" w:right="127" w:firstLine="0"/>
        <w:jc w:val="left"/>
        <w:rPr>
          <w:sz w:val="40"/>
        </w:rPr>
      </w:pPr>
      <w:r>
        <w:rPr>
          <w:sz w:val="40"/>
          <w:u w:val="single"/>
        </w:rPr>
        <w:t>Índice de figuras por capítulo</w:t>
      </w:r>
    </w:p>
    <w:p>
      <w:pPr>
        <w:pStyle w:val="BodyText"/>
        <w:rPr>
          <w:sz w:val="22"/>
        </w:rPr>
      </w:pPr>
    </w:p>
    <w:p>
      <w:pPr>
        <w:pStyle w:val="BodyText"/>
        <w:spacing w:before="10"/>
        <w:rPr>
          <w:sz w:val="17"/>
        </w:rPr>
      </w:pPr>
    </w:p>
    <w:p>
      <w:pPr>
        <w:tabs>
          <w:tab w:pos="8717" w:val="left" w:leader="dot"/>
        </w:tabs>
        <w:spacing w:before="1"/>
        <w:ind w:left="106" w:right="122" w:firstLine="74"/>
        <w:jc w:val="left"/>
        <w:rPr>
          <w:sz w:val="22"/>
        </w:rPr>
      </w:pPr>
      <w:hyperlink w:history="true" w:anchor="_bookmark6">
        <w:r>
          <w:rPr>
            <w:sz w:val="22"/>
          </w:rPr>
          <w:t>Figura 1. 1: Modelo hipotético, canales de transmisión entre los choques de precios y la posición</w:t>
        </w:r>
      </w:hyperlink>
      <w:r>
        <w:rPr>
          <w:sz w:val="22"/>
        </w:rPr>
        <w:t> </w:t>
      </w:r>
      <w:hyperlink w:history="true" w:anchor="_bookmark6">
        <w:r>
          <w:rPr>
            <w:sz w:val="22"/>
          </w:rPr>
          <w:t>fiscal</w:t>
          <w:tab/>
          <w:t>23</w:t>
        </w:r>
      </w:hyperlink>
    </w:p>
    <w:p>
      <w:pPr>
        <w:pStyle w:val="BodyText"/>
        <w:rPr>
          <w:sz w:val="22"/>
        </w:rPr>
      </w:pPr>
    </w:p>
    <w:p>
      <w:pPr>
        <w:pStyle w:val="BodyText"/>
        <w:spacing w:before="11"/>
        <w:rPr>
          <w:sz w:val="17"/>
        </w:rPr>
      </w:pPr>
    </w:p>
    <w:p>
      <w:pPr>
        <w:tabs>
          <w:tab w:pos="8712" w:val="left" w:leader="dot"/>
        </w:tabs>
        <w:spacing w:line="252" w:lineRule="exact" w:before="0"/>
        <w:ind w:left="102" w:right="0" w:firstLine="0"/>
        <w:jc w:val="left"/>
        <w:rPr>
          <w:sz w:val="22"/>
        </w:rPr>
      </w:pPr>
      <w:hyperlink w:history="true" w:anchor="_bookmark31">
        <w:r>
          <w:rPr>
            <w:sz w:val="22"/>
          </w:rPr>
          <w:t>Figura 2. 1: Volumen proyectado de consumo mundial  de</w:t>
        </w:r>
        <w:r>
          <w:rPr>
            <w:spacing w:val="-10"/>
            <w:sz w:val="22"/>
          </w:rPr>
          <w:t> </w:t>
        </w:r>
        <w:r>
          <w:rPr>
            <w:sz w:val="22"/>
          </w:rPr>
          <w:t>gas</w:t>
        </w:r>
        <w:r>
          <w:rPr>
            <w:spacing w:val="-1"/>
            <w:sz w:val="22"/>
          </w:rPr>
          <w:t> </w:t>
        </w:r>
        <w:r>
          <w:rPr>
            <w:sz w:val="22"/>
          </w:rPr>
          <w:t>natural</w:t>
          <w:tab/>
          <w:t>69</w:t>
        </w:r>
      </w:hyperlink>
    </w:p>
    <w:p>
      <w:pPr>
        <w:spacing w:line="252" w:lineRule="exact" w:before="0"/>
        <w:ind w:left="102" w:right="0" w:firstLine="0"/>
        <w:jc w:val="left"/>
        <w:rPr>
          <w:sz w:val="22"/>
        </w:rPr>
      </w:pPr>
      <w:hyperlink w:history="true" w:anchor="_bookmark32">
        <w:r>
          <w:rPr>
            <w:sz w:val="22"/>
          </w:rPr>
          <w:t>Figura 2. 2: Proyección del sendero de la producción de gas natural en diversas regiones del  mundo</w:t>
        </w:r>
      </w:hyperlink>
    </w:p>
    <w:p>
      <w:pPr>
        <w:spacing w:before="0"/>
        <w:ind w:left="111" w:right="0" w:firstLine="0"/>
        <w:jc w:val="left"/>
        <w:rPr>
          <w:sz w:val="22"/>
        </w:rPr>
      </w:pPr>
      <w:hyperlink w:history="true" w:anchor="_bookmark32">
        <w:r>
          <w:rPr>
            <w:sz w:val="22"/>
          </w:rPr>
          <w:t>........................................................................................................................................................... 69</w:t>
        </w:r>
      </w:hyperlink>
    </w:p>
    <w:p>
      <w:pPr>
        <w:tabs>
          <w:tab w:pos="8712" w:val="left" w:leader="dot"/>
        </w:tabs>
        <w:spacing w:line="252" w:lineRule="exact" w:before="1"/>
        <w:ind w:left="102" w:right="0" w:firstLine="0"/>
        <w:jc w:val="left"/>
        <w:rPr>
          <w:sz w:val="22"/>
        </w:rPr>
      </w:pPr>
      <w:hyperlink w:history="true" w:anchor="_bookmark33">
        <w:r>
          <w:rPr>
            <w:sz w:val="22"/>
          </w:rPr>
          <w:t>Figura 2. 3: Proyección de  precios del petróleo y del gas natural,</w:t>
        </w:r>
        <w:r>
          <w:rPr>
            <w:spacing w:val="-13"/>
            <w:sz w:val="22"/>
          </w:rPr>
          <w:t> </w:t>
        </w:r>
        <w:r>
          <w:rPr>
            <w:sz w:val="22"/>
          </w:rPr>
          <w:t>período</w:t>
        </w:r>
        <w:r>
          <w:rPr>
            <w:spacing w:val="-4"/>
            <w:sz w:val="22"/>
          </w:rPr>
          <w:t> </w:t>
        </w:r>
        <w:r>
          <w:rPr>
            <w:sz w:val="22"/>
          </w:rPr>
          <w:t>2012-2035</w:t>
          <w:tab/>
          <w:t>70</w:t>
        </w:r>
      </w:hyperlink>
    </w:p>
    <w:p>
      <w:pPr>
        <w:tabs>
          <w:tab w:pos="8712" w:val="left" w:leader="dot"/>
        </w:tabs>
        <w:spacing w:line="252" w:lineRule="exact" w:before="0"/>
        <w:ind w:left="102" w:right="0" w:firstLine="0"/>
        <w:jc w:val="left"/>
        <w:rPr>
          <w:sz w:val="22"/>
        </w:rPr>
      </w:pPr>
      <w:hyperlink w:history="true" w:anchor="_bookmark34">
        <w:r>
          <w:rPr>
            <w:sz w:val="22"/>
          </w:rPr>
          <w:t>Figura 2. 4: Proyección del consumo americano de gas natural: Países OECD - hasta</w:t>
        </w:r>
        <w:r>
          <w:rPr>
            <w:spacing w:val="-15"/>
            <w:sz w:val="22"/>
          </w:rPr>
          <w:t> </w:t>
        </w:r>
        <w:r>
          <w:rPr>
            <w:sz w:val="22"/>
          </w:rPr>
          <w:t>el 2035</w:t>
          <w:tab/>
          <w:t>73</w:t>
        </w:r>
      </w:hyperlink>
    </w:p>
    <w:p>
      <w:pPr>
        <w:spacing w:line="252" w:lineRule="exact" w:before="1"/>
        <w:ind w:left="102" w:right="127" w:firstLine="0"/>
        <w:jc w:val="left"/>
        <w:rPr>
          <w:sz w:val="22"/>
        </w:rPr>
      </w:pPr>
      <w:hyperlink w:history="true" w:anchor="_bookmark35">
        <w:r>
          <w:rPr>
            <w:sz w:val="22"/>
          </w:rPr>
          <w:t>Figura 2. 5: Proyección de la producción americana de gas natural: países No OECD - hasta el 2035</w:t>
        </w:r>
      </w:hyperlink>
    </w:p>
    <w:p>
      <w:pPr>
        <w:spacing w:line="252" w:lineRule="exact" w:before="0"/>
        <w:ind w:left="111" w:right="0" w:firstLine="0"/>
        <w:jc w:val="left"/>
        <w:rPr>
          <w:sz w:val="22"/>
        </w:rPr>
      </w:pPr>
      <w:hyperlink w:history="true" w:anchor="_bookmark35">
        <w:r>
          <w:rPr>
            <w:sz w:val="22"/>
          </w:rPr>
          <w:t>........................................................................................................................................................... 73</w:t>
        </w:r>
      </w:hyperlink>
    </w:p>
    <w:p>
      <w:pPr>
        <w:tabs>
          <w:tab w:pos="8712" w:val="left" w:leader="dot"/>
        </w:tabs>
        <w:spacing w:line="252" w:lineRule="exact" w:before="1"/>
        <w:ind w:left="102" w:right="0" w:firstLine="0"/>
        <w:jc w:val="left"/>
        <w:rPr>
          <w:sz w:val="22"/>
        </w:rPr>
      </w:pPr>
      <w:hyperlink w:history="true" w:anchor="_bookmark38">
        <w:r>
          <w:rPr>
            <w:sz w:val="22"/>
          </w:rPr>
          <w:t>Figura 2. 6: Series de tiempo trimestrales para 1992</w:t>
        </w:r>
        <w:r>
          <w:rPr>
            <w:spacing w:val="-7"/>
            <w:sz w:val="22"/>
          </w:rPr>
          <w:t> </w:t>
        </w:r>
        <w:r>
          <w:rPr>
            <w:sz w:val="22"/>
          </w:rPr>
          <w:t>-</w:t>
        </w:r>
        <w:r>
          <w:rPr>
            <w:spacing w:val="-5"/>
            <w:sz w:val="22"/>
          </w:rPr>
          <w:t> </w:t>
        </w:r>
        <w:r>
          <w:rPr>
            <w:sz w:val="22"/>
          </w:rPr>
          <w:t>2010</w:t>
          <w:tab/>
          <w:t>83</w:t>
        </w:r>
      </w:hyperlink>
    </w:p>
    <w:p>
      <w:pPr>
        <w:tabs>
          <w:tab w:pos="8712" w:val="left" w:leader="dot"/>
        </w:tabs>
        <w:spacing w:line="252" w:lineRule="exact" w:before="0"/>
        <w:ind w:left="102" w:right="0" w:firstLine="0"/>
        <w:jc w:val="left"/>
        <w:rPr>
          <w:sz w:val="22"/>
        </w:rPr>
      </w:pPr>
      <w:hyperlink w:history="true" w:anchor="_bookmark39">
        <w:r>
          <w:rPr>
            <w:sz w:val="22"/>
          </w:rPr>
          <w:t>Figura 2. 7: Diagramas</w:t>
        </w:r>
        <w:r>
          <w:rPr>
            <w:spacing w:val="-4"/>
            <w:sz w:val="22"/>
          </w:rPr>
          <w:t> </w:t>
        </w:r>
        <w:r>
          <w:rPr>
            <w:sz w:val="22"/>
          </w:rPr>
          <w:t>de</w:t>
        </w:r>
        <w:r>
          <w:rPr>
            <w:spacing w:val="-4"/>
            <w:sz w:val="22"/>
          </w:rPr>
          <w:t> </w:t>
        </w:r>
        <w:r>
          <w:rPr>
            <w:sz w:val="22"/>
          </w:rPr>
          <w:t>dispersión</w:t>
          <w:tab/>
          <w:t>84</w:t>
        </w:r>
      </w:hyperlink>
    </w:p>
    <w:p>
      <w:pPr>
        <w:tabs>
          <w:tab w:pos="8712" w:val="left" w:leader="dot"/>
        </w:tabs>
        <w:spacing w:line="252" w:lineRule="exact" w:before="0"/>
        <w:ind w:left="102" w:right="0" w:firstLine="0"/>
        <w:jc w:val="left"/>
        <w:rPr>
          <w:sz w:val="22"/>
        </w:rPr>
      </w:pPr>
      <w:hyperlink w:history="true" w:anchor="_bookmark41">
        <w:r>
          <w:rPr>
            <w:sz w:val="22"/>
          </w:rPr>
          <w:t>Figura 2. 8: Precios del petróleo y precios de exportación del gas natural</w:t>
        </w:r>
        <w:r>
          <w:rPr>
            <w:spacing w:val="-17"/>
            <w:sz w:val="22"/>
          </w:rPr>
          <w:t> </w:t>
        </w:r>
        <w:r>
          <w:rPr>
            <w:sz w:val="22"/>
          </w:rPr>
          <w:t>de</w:t>
        </w:r>
        <w:r>
          <w:rPr>
            <w:spacing w:val="-2"/>
            <w:sz w:val="22"/>
          </w:rPr>
          <w:t> </w:t>
        </w:r>
        <w:r>
          <w:rPr>
            <w:sz w:val="22"/>
          </w:rPr>
          <w:t>Bolivia</w:t>
          <w:tab/>
          <w:t>85</w:t>
        </w:r>
      </w:hyperlink>
    </w:p>
    <w:p>
      <w:pPr>
        <w:tabs>
          <w:tab w:pos="8712" w:val="left" w:leader="dot"/>
        </w:tabs>
        <w:spacing w:line="252" w:lineRule="exact" w:before="1"/>
        <w:ind w:left="102" w:right="0" w:firstLine="0"/>
        <w:jc w:val="left"/>
        <w:rPr>
          <w:sz w:val="22"/>
        </w:rPr>
      </w:pPr>
      <w:hyperlink w:history="true" w:anchor="_bookmark42">
        <w:r>
          <w:rPr>
            <w:sz w:val="22"/>
          </w:rPr>
          <w:t>Figura 2. 9: Volúmenes de exportación de</w:t>
        </w:r>
        <w:r>
          <w:rPr>
            <w:spacing w:val="-11"/>
            <w:sz w:val="22"/>
          </w:rPr>
          <w:t> </w:t>
        </w:r>
        <w:r>
          <w:rPr>
            <w:sz w:val="22"/>
          </w:rPr>
          <w:t>gas</w:t>
        </w:r>
        <w:r>
          <w:rPr>
            <w:spacing w:val="-1"/>
            <w:sz w:val="22"/>
          </w:rPr>
          <w:t> </w:t>
        </w:r>
        <w:r>
          <w:rPr>
            <w:sz w:val="22"/>
          </w:rPr>
          <w:t>natural</w:t>
          <w:tab/>
          <w:t>86</w:t>
        </w:r>
      </w:hyperlink>
    </w:p>
    <w:p>
      <w:pPr>
        <w:tabs>
          <w:tab w:pos="8712" w:val="left" w:leader="dot"/>
        </w:tabs>
        <w:spacing w:line="252" w:lineRule="exact" w:before="0"/>
        <w:ind w:left="102" w:right="0" w:firstLine="0"/>
        <w:jc w:val="left"/>
        <w:rPr>
          <w:sz w:val="22"/>
        </w:rPr>
      </w:pPr>
      <w:hyperlink w:history="true" w:anchor="_bookmark44">
        <w:r>
          <w:rPr>
            <w:sz w:val="22"/>
          </w:rPr>
          <w:t>Figura 2. 10: Proyección de los precios de gas natural</w:t>
        </w:r>
        <w:r>
          <w:rPr>
            <w:spacing w:val="-9"/>
            <w:sz w:val="22"/>
          </w:rPr>
          <w:t> </w:t>
        </w:r>
        <w:r>
          <w:rPr>
            <w:sz w:val="22"/>
          </w:rPr>
          <w:t>hasta</w:t>
        </w:r>
        <w:r>
          <w:rPr>
            <w:spacing w:val="-3"/>
            <w:sz w:val="22"/>
          </w:rPr>
          <w:t> </w:t>
        </w:r>
        <w:r>
          <w:rPr>
            <w:sz w:val="22"/>
          </w:rPr>
          <w:t>2017</w:t>
          <w:tab/>
          <w:t>87</w:t>
        </w:r>
      </w:hyperlink>
    </w:p>
    <w:p>
      <w:pPr>
        <w:spacing w:line="252" w:lineRule="exact" w:before="1"/>
        <w:ind w:left="102" w:right="0" w:firstLine="0"/>
        <w:jc w:val="left"/>
        <w:rPr>
          <w:sz w:val="22"/>
        </w:rPr>
      </w:pPr>
      <w:hyperlink w:history="true" w:anchor="_bookmark46">
        <w:r>
          <w:rPr>
            <w:sz w:val="22"/>
          </w:rPr>
          <w:t>Figura 2. 11: Niveles de producción y cambios de estructura en el mercado boliviano del gas natural</w:t>
        </w:r>
      </w:hyperlink>
    </w:p>
    <w:p>
      <w:pPr>
        <w:spacing w:line="252" w:lineRule="exact" w:before="0"/>
        <w:ind w:left="111" w:right="0" w:firstLine="0"/>
        <w:jc w:val="left"/>
        <w:rPr>
          <w:sz w:val="22"/>
        </w:rPr>
      </w:pPr>
      <w:hyperlink w:history="true" w:anchor="_bookmark46">
        <w:r>
          <w:rPr>
            <w:sz w:val="22"/>
          </w:rPr>
          <w:t>........................................................................................................................................................... 88</w:t>
        </w:r>
      </w:hyperlink>
    </w:p>
    <w:p>
      <w:pPr>
        <w:tabs>
          <w:tab w:pos="8712" w:val="left" w:leader="dot"/>
        </w:tabs>
        <w:spacing w:line="252" w:lineRule="exact" w:before="0"/>
        <w:ind w:left="102" w:right="0" w:firstLine="0"/>
        <w:jc w:val="left"/>
        <w:rPr>
          <w:sz w:val="22"/>
        </w:rPr>
      </w:pPr>
      <w:hyperlink w:history="true" w:anchor="_bookmark47">
        <w:r>
          <w:rPr>
            <w:sz w:val="22"/>
          </w:rPr>
          <w:t>Figura 2. 12: Proceso productivo de la industria del</w:t>
        </w:r>
        <w:r>
          <w:rPr>
            <w:spacing w:val="-12"/>
            <w:sz w:val="22"/>
          </w:rPr>
          <w:t> </w:t>
        </w:r>
        <w:r>
          <w:rPr>
            <w:sz w:val="22"/>
          </w:rPr>
          <w:t>gas</w:t>
        </w:r>
        <w:r>
          <w:rPr>
            <w:spacing w:val="-1"/>
            <w:sz w:val="22"/>
          </w:rPr>
          <w:t> </w:t>
        </w:r>
        <w:r>
          <w:rPr>
            <w:sz w:val="22"/>
          </w:rPr>
          <w:t>boliviano</w:t>
          <w:tab/>
          <w:t>90</w:t>
        </w:r>
      </w:hyperlink>
    </w:p>
    <w:p>
      <w:pPr>
        <w:tabs>
          <w:tab w:pos="8712" w:val="left" w:leader="dot"/>
        </w:tabs>
        <w:spacing w:line="252" w:lineRule="exact" w:before="2"/>
        <w:ind w:left="102" w:right="0" w:firstLine="0"/>
        <w:jc w:val="left"/>
        <w:rPr>
          <w:sz w:val="22"/>
        </w:rPr>
      </w:pPr>
      <w:hyperlink w:history="true" w:anchor="_bookmark49">
        <w:r>
          <w:rPr>
            <w:sz w:val="22"/>
          </w:rPr>
          <w:t>Figura 2. 13: Nivel de inversiones en la industria del Gas Natural</w:t>
        </w:r>
        <w:r>
          <w:rPr>
            <w:spacing w:val="-21"/>
            <w:sz w:val="22"/>
          </w:rPr>
          <w:t> </w:t>
        </w:r>
        <w:r>
          <w:rPr>
            <w:sz w:val="22"/>
          </w:rPr>
          <w:t>de</w:t>
        </w:r>
        <w:r>
          <w:rPr>
            <w:spacing w:val="-2"/>
            <w:sz w:val="22"/>
          </w:rPr>
          <w:t> </w:t>
        </w:r>
        <w:r>
          <w:rPr>
            <w:sz w:val="22"/>
          </w:rPr>
          <w:t>Bolivia</w:t>
          <w:tab/>
          <w:t>91</w:t>
        </w:r>
      </w:hyperlink>
    </w:p>
    <w:p>
      <w:pPr>
        <w:tabs>
          <w:tab w:pos="8712" w:val="left" w:leader="dot"/>
        </w:tabs>
        <w:spacing w:line="252" w:lineRule="exact" w:before="0"/>
        <w:ind w:left="102" w:right="0" w:firstLine="0"/>
        <w:jc w:val="left"/>
        <w:rPr>
          <w:sz w:val="22"/>
        </w:rPr>
      </w:pPr>
      <w:hyperlink w:history="true" w:anchor="_bookmark50">
        <w:r>
          <w:rPr>
            <w:sz w:val="22"/>
          </w:rPr>
          <w:t>Figura 2. 14: Red de tuberías de Gas Natural</w:t>
        </w:r>
        <w:r>
          <w:rPr>
            <w:spacing w:val="-7"/>
            <w:sz w:val="22"/>
          </w:rPr>
          <w:t> </w:t>
        </w:r>
        <w:r>
          <w:rPr>
            <w:sz w:val="22"/>
          </w:rPr>
          <w:t>en</w:t>
        </w:r>
        <w:r>
          <w:rPr>
            <w:spacing w:val="-3"/>
            <w:sz w:val="22"/>
          </w:rPr>
          <w:t> </w:t>
        </w:r>
        <w:r>
          <w:rPr>
            <w:sz w:val="22"/>
          </w:rPr>
          <w:t>Bolivia</w:t>
          <w:tab/>
          <w:t>93</w:t>
        </w:r>
      </w:hyperlink>
    </w:p>
    <w:p>
      <w:pPr>
        <w:tabs>
          <w:tab w:pos="8712" w:val="left" w:leader="dot"/>
        </w:tabs>
        <w:spacing w:line="252" w:lineRule="exact" w:before="1"/>
        <w:ind w:left="102" w:right="0" w:firstLine="0"/>
        <w:jc w:val="left"/>
        <w:rPr>
          <w:sz w:val="22"/>
        </w:rPr>
      </w:pPr>
      <w:hyperlink w:history="true" w:anchor="_bookmark52">
        <w:r>
          <w:rPr>
            <w:sz w:val="22"/>
          </w:rPr>
          <w:t>Figura 2. 15: Composición de las exportaciones bolivianas: Mercado argentino</w:t>
        </w:r>
        <w:r>
          <w:rPr>
            <w:spacing w:val="-17"/>
            <w:sz w:val="22"/>
          </w:rPr>
          <w:t> </w:t>
        </w:r>
        <w:r>
          <w:rPr>
            <w:sz w:val="22"/>
          </w:rPr>
          <w:t>y</w:t>
        </w:r>
        <w:r>
          <w:rPr>
            <w:spacing w:val="-5"/>
            <w:sz w:val="22"/>
          </w:rPr>
          <w:t> </w:t>
        </w:r>
        <w:r>
          <w:rPr>
            <w:sz w:val="22"/>
          </w:rPr>
          <w:t>brasileño</w:t>
          <w:tab/>
          <w:t>94</w:t>
        </w:r>
      </w:hyperlink>
    </w:p>
    <w:p>
      <w:pPr>
        <w:tabs>
          <w:tab w:pos="8712" w:val="left" w:leader="dot"/>
        </w:tabs>
        <w:spacing w:line="252" w:lineRule="exact" w:before="0"/>
        <w:ind w:left="102" w:right="0" w:firstLine="0"/>
        <w:jc w:val="left"/>
        <w:rPr>
          <w:sz w:val="22"/>
        </w:rPr>
      </w:pPr>
      <w:hyperlink w:history="true" w:anchor="_bookmark53">
        <w:r>
          <w:rPr>
            <w:sz w:val="22"/>
          </w:rPr>
          <w:t>Figura 2. 16: Exportaciones del  gas boliviano: Mercado argentino</w:t>
        </w:r>
        <w:r>
          <w:rPr>
            <w:spacing w:val="-15"/>
            <w:sz w:val="22"/>
          </w:rPr>
          <w:t> </w:t>
        </w:r>
        <w:r>
          <w:rPr>
            <w:sz w:val="22"/>
          </w:rPr>
          <w:t>y</w:t>
        </w:r>
        <w:r>
          <w:rPr>
            <w:spacing w:val="-5"/>
            <w:sz w:val="22"/>
          </w:rPr>
          <w:t> </w:t>
        </w:r>
        <w:r>
          <w:rPr>
            <w:sz w:val="22"/>
          </w:rPr>
          <w:t>brasileño</w:t>
          <w:tab/>
          <w:t>94</w:t>
        </w:r>
      </w:hyperlink>
    </w:p>
    <w:p>
      <w:pPr>
        <w:tabs>
          <w:tab w:pos="8712" w:val="left" w:leader="dot"/>
        </w:tabs>
        <w:spacing w:line="252" w:lineRule="exact" w:before="0"/>
        <w:ind w:left="102" w:right="0" w:firstLine="0"/>
        <w:jc w:val="left"/>
        <w:rPr>
          <w:sz w:val="22"/>
        </w:rPr>
      </w:pPr>
      <w:hyperlink w:history="true" w:anchor="_bookmark55">
        <w:r>
          <w:rPr>
            <w:sz w:val="22"/>
          </w:rPr>
          <w:t>Figura 2. 17: Reservas de Gas Natural</w:t>
        </w:r>
        <w:r>
          <w:rPr>
            <w:spacing w:val="-9"/>
            <w:sz w:val="22"/>
          </w:rPr>
          <w:t> </w:t>
        </w:r>
        <w:r>
          <w:rPr>
            <w:sz w:val="22"/>
          </w:rPr>
          <w:t>de</w:t>
        </w:r>
        <w:r>
          <w:rPr>
            <w:spacing w:val="-2"/>
            <w:sz w:val="22"/>
          </w:rPr>
          <w:t> </w:t>
        </w:r>
        <w:r>
          <w:rPr>
            <w:sz w:val="22"/>
          </w:rPr>
          <w:t>Bolivia</w:t>
          <w:tab/>
          <w:t>95</w:t>
        </w:r>
      </w:hyperlink>
    </w:p>
    <w:p>
      <w:pPr>
        <w:tabs>
          <w:tab w:pos="8712" w:val="left" w:leader="dot"/>
        </w:tabs>
        <w:spacing w:line="252" w:lineRule="exact" w:before="1"/>
        <w:ind w:left="102" w:right="0" w:firstLine="0"/>
        <w:jc w:val="left"/>
        <w:rPr>
          <w:sz w:val="22"/>
        </w:rPr>
      </w:pPr>
      <w:hyperlink w:history="true" w:anchor="_bookmark56">
        <w:r>
          <w:rPr>
            <w:sz w:val="22"/>
          </w:rPr>
          <w:t>Figura 2. 18:   Nivel de Consumo interno y Producción de gas natural</w:t>
        </w:r>
        <w:r>
          <w:rPr>
            <w:spacing w:val="38"/>
            <w:sz w:val="22"/>
          </w:rPr>
          <w:t> </w:t>
        </w:r>
        <w:r>
          <w:rPr>
            <w:sz w:val="22"/>
          </w:rPr>
          <w:t>en</w:t>
        </w:r>
        <w:r>
          <w:rPr>
            <w:spacing w:val="53"/>
            <w:sz w:val="22"/>
          </w:rPr>
          <w:t> </w:t>
        </w:r>
        <w:r>
          <w:rPr>
            <w:sz w:val="22"/>
          </w:rPr>
          <w:t>Bolivia</w:t>
          <w:tab/>
          <w:t>96</w:t>
        </w:r>
      </w:hyperlink>
    </w:p>
    <w:p>
      <w:pPr>
        <w:tabs>
          <w:tab w:pos="8712" w:val="left" w:leader="dot"/>
        </w:tabs>
        <w:spacing w:line="252" w:lineRule="exact" w:before="0"/>
        <w:ind w:left="102" w:right="0" w:firstLine="0"/>
        <w:jc w:val="left"/>
        <w:rPr>
          <w:sz w:val="22"/>
        </w:rPr>
      </w:pPr>
      <w:hyperlink w:history="true" w:anchor="_bookmark58">
        <w:r>
          <w:rPr>
            <w:sz w:val="22"/>
          </w:rPr>
          <w:t>Figura 2. 19: Proyección de la producción de gas natural (en Bpc) hasta</w:t>
        </w:r>
        <w:r>
          <w:rPr>
            <w:spacing w:val="-10"/>
            <w:sz w:val="22"/>
          </w:rPr>
          <w:t> </w:t>
        </w:r>
        <w:r>
          <w:rPr>
            <w:sz w:val="22"/>
          </w:rPr>
          <w:t>el</w:t>
        </w:r>
        <w:r>
          <w:rPr>
            <w:spacing w:val="-3"/>
            <w:sz w:val="22"/>
          </w:rPr>
          <w:t> </w:t>
        </w:r>
        <w:r>
          <w:rPr>
            <w:sz w:val="22"/>
          </w:rPr>
          <w:t>2016</w:t>
          <w:tab/>
          <w:t>97</w:t>
        </w:r>
      </w:hyperlink>
    </w:p>
    <w:p>
      <w:pPr>
        <w:tabs>
          <w:tab w:pos="8712" w:val="left" w:leader="dot"/>
        </w:tabs>
        <w:spacing w:line="252" w:lineRule="exact" w:before="1"/>
        <w:ind w:left="102" w:right="0" w:firstLine="0"/>
        <w:jc w:val="left"/>
        <w:rPr>
          <w:sz w:val="22"/>
        </w:rPr>
      </w:pPr>
      <w:hyperlink w:history="true" w:anchor="_bookmark60">
        <w:r>
          <w:rPr>
            <w:sz w:val="22"/>
          </w:rPr>
          <w:t>Figura 2. 20: Ratio de reservas probadas/ producción de gas natural, 1980</w:t>
        </w:r>
        <w:r>
          <w:rPr>
            <w:spacing w:val="-11"/>
            <w:sz w:val="22"/>
          </w:rPr>
          <w:t> </w:t>
        </w:r>
        <w:r>
          <w:rPr>
            <w:sz w:val="22"/>
          </w:rPr>
          <w:t>-</w:t>
        </w:r>
        <w:r>
          <w:rPr>
            <w:spacing w:val="-5"/>
            <w:sz w:val="22"/>
          </w:rPr>
          <w:t> </w:t>
        </w:r>
        <w:r>
          <w:rPr>
            <w:sz w:val="22"/>
          </w:rPr>
          <w:t>2010</w:t>
          <w:tab/>
          <w:t>98</w:t>
        </w:r>
      </w:hyperlink>
    </w:p>
    <w:p>
      <w:pPr>
        <w:tabs>
          <w:tab w:pos="8712" w:val="left" w:leader="dot"/>
        </w:tabs>
        <w:spacing w:line="252" w:lineRule="exact" w:before="0"/>
        <w:ind w:left="102" w:right="0" w:firstLine="0"/>
        <w:jc w:val="left"/>
        <w:rPr>
          <w:sz w:val="22"/>
        </w:rPr>
      </w:pPr>
      <w:hyperlink w:history="true" w:anchor="_bookmark61">
        <w:r>
          <w:rPr>
            <w:sz w:val="22"/>
          </w:rPr>
          <w:t>Figura 2. 21:   Participación de los ingresos del gas natural en los</w:t>
        </w:r>
        <w:r>
          <w:rPr>
            <w:spacing w:val="-22"/>
            <w:sz w:val="22"/>
          </w:rPr>
          <w:t> </w:t>
        </w:r>
        <w:r>
          <w:rPr>
            <w:sz w:val="22"/>
          </w:rPr>
          <w:t>ingresos</w:t>
        </w:r>
        <w:r>
          <w:rPr>
            <w:spacing w:val="-2"/>
            <w:sz w:val="22"/>
          </w:rPr>
          <w:t> </w:t>
        </w:r>
        <w:r>
          <w:rPr>
            <w:sz w:val="22"/>
          </w:rPr>
          <w:t>públicos</w:t>
          <w:tab/>
          <w:t>99</w:t>
        </w:r>
      </w:hyperlink>
    </w:p>
    <w:p>
      <w:pPr>
        <w:tabs>
          <w:tab w:pos="8601" w:val="left" w:leader="dot"/>
        </w:tabs>
        <w:spacing w:line="252" w:lineRule="exact" w:before="0"/>
        <w:ind w:left="102" w:right="0" w:firstLine="0"/>
        <w:jc w:val="left"/>
        <w:rPr>
          <w:sz w:val="22"/>
        </w:rPr>
      </w:pPr>
      <w:hyperlink w:history="true" w:anchor="_bookmark63">
        <w:r>
          <w:rPr>
            <w:sz w:val="22"/>
          </w:rPr>
          <w:t>Figura 2. 22: Relación entre precios del gas natural y el</w:t>
        </w:r>
        <w:r>
          <w:rPr>
            <w:spacing w:val="-14"/>
            <w:sz w:val="22"/>
          </w:rPr>
          <w:t> </w:t>
        </w:r>
        <w:r>
          <w:rPr>
            <w:sz w:val="22"/>
          </w:rPr>
          <w:t>gasto</w:t>
        </w:r>
        <w:r>
          <w:rPr>
            <w:spacing w:val="-2"/>
            <w:sz w:val="22"/>
          </w:rPr>
          <w:t> </w:t>
        </w:r>
        <w:r>
          <w:rPr>
            <w:sz w:val="22"/>
          </w:rPr>
          <w:t>público</w:t>
          <w:tab/>
          <w:t>100</w:t>
        </w:r>
      </w:hyperlink>
    </w:p>
    <w:p>
      <w:pPr>
        <w:tabs>
          <w:tab w:pos="8601" w:val="left" w:leader="dot"/>
        </w:tabs>
        <w:spacing w:before="1"/>
        <w:ind w:left="102" w:right="126" w:firstLine="0"/>
        <w:jc w:val="left"/>
        <w:rPr>
          <w:sz w:val="22"/>
        </w:rPr>
      </w:pPr>
      <w:hyperlink w:history="true" w:anchor="_bookmark64">
        <w:r>
          <w:rPr>
            <w:sz w:val="22"/>
          </w:rPr>
          <w:t>Figura 2. 23: Relación entre precios del gas natural y la asignación de ingresos fiscales al gasto</w:t>
        </w:r>
      </w:hyperlink>
      <w:r>
        <w:rPr>
          <w:sz w:val="22"/>
        </w:rPr>
        <w:t> </w:t>
      </w:r>
      <w:hyperlink w:history="true" w:anchor="_bookmark64">
        <w:r>
          <w:rPr>
            <w:sz w:val="22"/>
          </w:rPr>
          <w:t>público,</w:t>
        </w:r>
        <w:r>
          <w:rPr>
            <w:spacing w:val="-1"/>
            <w:sz w:val="22"/>
          </w:rPr>
          <w:t> </w:t>
        </w:r>
        <w:r>
          <w:rPr>
            <w:sz w:val="22"/>
          </w:rPr>
          <w:t>2003</w:t>
        </w:r>
        <w:r>
          <w:rPr>
            <w:spacing w:val="-1"/>
            <w:sz w:val="22"/>
          </w:rPr>
          <w:t> </w:t>
        </w:r>
        <w:r>
          <w:rPr>
            <w:sz w:val="22"/>
          </w:rPr>
          <w:t>-2011</w:t>
          <w:tab/>
          <w:t>101</w:t>
        </w:r>
      </w:hyperlink>
    </w:p>
    <w:p>
      <w:pPr>
        <w:tabs>
          <w:tab w:pos="8601" w:val="left" w:leader="dot"/>
        </w:tabs>
        <w:spacing w:line="252" w:lineRule="exact" w:before="2"/>
        <w:ind w:left="102" w:right="0" w:firstLine="0"/>
        <w:jc w:val="left"/>
        <w:rPr>
          <w:sz w:val="22"/>
        </w:rPr>
      </w:pPr>
      <w:hyperlink w:history="true" w:anchor="_bookmark68">
        <w:r>
          <w:rPr>
            <w:sz w:val="22"/>
          </w:rPr>
          <w:t>Figura 2. 24: Composición de  ingresos fiscales de hidrocarburos en</w:t>
        </w:r>
        <w:r>
          <w:rPr>
            <w:spacing w:val="-14"/>
            <w:sz w:val="22"/>
          </w:rPr>
          <w:t> </w:t>
        </w:r>
        <w:r>
          <w:rPr>
            <w:sz w:val="22"/>
          </w:rPr>
          <w:t>Bolivia,</w:t>
        </w:r>
        <w:r>
          <w:rPr>
            <w:spacing w:val="-3"/>
            <w:sz w:val="22"/>
          </w:rPr>
          <w:t> </w:t>
        </w:r>
        <w:r>
          <w:rPr>
            <w:sz w:val="22"/>
          </w:rPr>
          <w:t>2003-2011</w:t>
          <w:tab/>
          <w:t>104</w:t>
        </w:r>
      </w:hyperlink>
    </w:p>
    <w:p>
      <w:pPr>
        <w:tabs>
          <w:tab w:pos="8601" w:val="left" w:leader="dot"/>
        </w:tabs>
        <w:spacing w:line="252" w:lineRule="exact" w:before="0"/>
        <w:ind w:left="102" w:right="0" w:firstLine="0"/>
        <w:jc w:val="left"/>
        <w:rPr>
          <w:sz w:val="22"/>
        </w:rPr>
      </w:pPr>
      <w:hyperlink w:history="true" w:anchor="_bookmark70">
        <w:r>
          <w:rPr>
            <w:sz w:val="22"/>
          </w:rPr>
          <w:t>Figura 2. 25: Gasto de capital e Inversión pública</w:t>
        </w:r>
        <w:r>
          <w:rPr>
            <w:spacing w:val="-12"/>
            <w:sz w:val="22"/>
          </w:rPr>
          <w:t> </w:t>
        </w:r>
        <w:r>
          <w:rPr>
            <w:sz w:val="22"/>
          </w:rPr>
          <w:t>en</w:t>
        </w:r>
        <w:r>
          <w:rPr>
            <w:spacing w:val="-2"/>
            <w:sz w:val="22"/>
          </w:rPr>
          <w:t> </w:t>
        </w:r>
        <w:r>
          <w:rPr>
            <w:sz w:val="22"/>
          </w:rPr>
          <w:t>Bolivia,</w:t>
          <w:tab/>
          <w:t>105</w:t>
        </w:r>
      </w:hyperlink>
    </w:p>
    <w:p>
      <w:pPr>
        <w:tabs>
          <w:tab w:pos="8601" w:val="left" w:leader="dot"/>
        </w:tabs>
        <w:spacing w:before="0"/>
        <w:ind w:left="102" w:right="123" w:firstLine="0"/>
        <w:jc w:val="left"/>
        <w:rPr>
          <w:sz w:val="22"/>
        </w:rPr>
      </w:pPr>
      <w:hyperlink w:history="true" w:anchor="_bookmark71">
        <w:r>
          <w:rPr>
            <w:sz w:val="22"/>
          </w:rPr>
          <w:t>Figura 2. 26: Participación del consumo del gobierno y de la inversión pública en el PIB Período</w:t>
        </w:r>
      </w:hyperlink>
      <w:r>
        <w:rPr>
          <w:sz w:val="22"/>
        </w:rPr>
        <w:t> </w:t>
      </w:r>
      <w:hyperlink w:history="true" w:anchor="_bookmark71">
        <w:r>
          <w:rPr>
            <w:sz w:val="22"/>
          </w:rPr>
          <w:t>2003 -</w:t>
        </w:r>
        <w:r>
          <w:rPr>
            <w:spacing w:val="-4"/>
            <w:sz w:val="22"/>
          </w:rPr>
          <w:t> </w:t>
        </w:r>
        <w:r>
          <w:rPr>
            <w:sz w:val="22"/>
          </w:rPr>
          <w:t>2011</w:t>
          <w:tab/>
          <w:t>107</w:t>
        </w:r>
      </w:hyperlink>
    </w:p>
    <w:p>
      <w:pPr>
        <w:tabs>
          <w:tab w:pos="8601" w:val="left" w:leader="dot"/>
        </w:tabs>
        <w:spacing w:before="0"/>
        <w:ind w:left="102" w:right="121" w:firstLine="0"/>
        <w:jc w:val="left"/>
        <w:rPr>
          <w:sz w:val="22"/>
        </w:rPr>
      </w:pPr>
      <w:hyperlink w:history="true" w:anchor="_bookmark72">
        <w:r>
          <w:rPr>
            <w:sz w:val="22"/>
          </w:rPr>
          <w:t>Figura 2. 27: Porcentaje de contracción requerida del consumo del gobierno y de la inversión</w:t>
        </w:r>
      </w:hyperlink>
      <w:r>
        <w:rPr>
          <w:sz w:val="22"/>
        </w:rPr>
        <w:t> </w:t>
      </w:r>
      <w:hyperlink w:history="true" w:anchor="_bookmark72">
        <w:r>
          <w:rPr>
            <w:sz w:val="22"/>
          </w:rPr>
          <w:t>pública con los valores observados, 2003</w:t>
        </w:r>
        <w:r>
          <w:rPr>
            <w:spacing w:val="-4"/>
            <w:sz w:val="22"/>
          </w:rPr>
          <w:t> </w:t>
        </w:r>
        <w:r>
          <w:rPr>
            <w:sz w:val="22"/>
          </w:rPr>
          <w:t>-</w:t>
        </w:r>
        <w:r>
          <w:rPr>
            <w:spacing w:val="-4"/>
            <w:sz w:val="22"/>
          </w:rPr>
          <w:t> </w:t>
        </w:r>
        <w:r>
          <w:rPr>
            <w:sz w:val="22"/>
          </w:rPr>
          <w:t>2011</w:t>
          <w:tab/>
          <w:t>108</w:t>
        </w:r>
      </w:hyperlink>
    </w:p>
    <w:p>
      <w:pPr>
        <w:tabs>
          <w:tab w:pos="8601" w:val="left" w:leader="dot"/>
        </w:tabs>
        <w:spacing w:line="252" w:lineRule="exact" w:before="0"/>
        <w:ind w:left="102" w:right="0" w:firstLine="0"/>
        <w:jc w:val="left"/>
        <w:rPr>
          <w:sz w:val="22"/>
        </w:rPr>
      </w:pPr>
      <w:hyperlink w:history="true" w:anchor="_bookmark73">
        <w:r>
          <w:rPr>
            <w:sz w:val="22"/>
          </w:rPr>
          <w:t>Figura 2. 28: Contracción del PIB real bajo el régimen del</w:t>
        </w:r>
        <w:r>
          <w:rPr>
            <w:spacing w:val="-18"/>
            <w:sz w:val="22"/>
          </w:rPr>
          <w:t> </w:t>
        </w:r>
        <w:r>
          <w:rPr>
            <w:sz w:val="22"/>
          </w:rPr>
          <w:t>ingreso</w:t>
        </w:r>
        <w:r>
          <w:rPr>
            <w:spacing w:val="-2"/>
            <w:sz w:val="22"/>
          </w:rPr>
          <w:t> </w:t>
        </w:r>
        <w:r>
          <w:rPr>
            <w:sz w:val="22"/>
          </w:rPr>
          <w:t>permanente</w:t>
          <w:tab/>
          <w:t>108</w:t>
        </w:r>
      </w:hyperlink>
    </w:p>
    <w:p>
      <w:pPr>
        <w:tabs>
          <w:tab w:pos="8601" w:val="left" w:leader="dot"/>
        </w:tabs>
        <w:spacing w:before="1"/>
        <w:ind w:left="102" w:right="121" w:firstLine="0"/>
        <w:jc w:val="left"/>
        <w:rPr>
          <w:sz w:val="22"/>
        </w:rPr>
      </w:pPr>
      <w:hyperlink w:history="true" w:anchor="_bookmark74">
        <w:r>
          <w:rPr>
            <w:sz w:val="22"/>
          </w:rPr>
          <w:t>Figura 2. 29: Impacto sobre el balance primario no petrolero (bpnp) al ahorrar los ingresos fiscales</w:t>
        </w:r>
      </w:hyperlink>
      <w:r>
        <w:rPr>
          <w:sz w:val="22"/>
        </w:rPr>
        <w:t> </w:t>
      </w:r>
      <w:hyperlink w:history="true" w:anchor="_bookmark74">
        <w:r>
          <w:rPr>
            <w:sz w:val="22"/>
          </w:rPr>
          <w:t>del gas natural, 2003 -</w:t>
        </w:r>
        <w:r>
          <w:rPr>
            <w:spacing w:val="-5"/>
            <w:sz w:val="22"/>
          </w:rPr>
          <w:t> </w:t>
        </w:r>
        <w:r>
          <w:rPr>
            <w:sz w:val="22"/>
          </w:rPr>
          <w:t>2011</w:t>
          <w:tab/>
          <w:t>109</w:t>
        </w:r>
      </w:hyperlink>
    </w:p>
    <w:p>
      <w:pPr>
        <w:tabs>
          <w:tab w:pos="8601" w:val="left" w:leader="dot"/>
        </w:tabs>
        <w:spacing w:before="0"/>
        <w:ind w:left="102" w:right="120" w:firstLine="0"/>
        <w:jc w:val="left"/>
        <w:rPr>
          <w:sz w:val="22"/>
        </w:rPr>
      </w:pPr>
      <w:hyperlink w:history="true" w:anchor="_bookmark75">
        <w:r>
          <w:rPr>
            <w:sz w:val="22"/>
          </w:rPr>
          <w:t>Figura 2. 30: Impacto sobre la deuda pública (dp) al ahorrar los ingresos fiscales del gas natural,</w:t>
        </w:r>
      </w:hyperlink>
      <w:r>
        <w:rPr>
          <w:sz w:val="22"/>
        </w:rPr>
        <w:t> </w:t>
      </w:r>
      <w:hyperlink w:history="true" w:anchor="_bookmark75">
        <w:r>
          <w:rPr>
            <w:sz w:val="22"/>
          </w:rPr>
          <w:t>2003-</w:t>
        </w:r>
        <w:r>
          <w:rPr>
            <w:spacing w:val="-4"/>
            <w:sz w:val="22"/>
          </w:rPr>
          <w:t> </w:t>
        </w:r>
        <w:r>
          <w:rPr>
            <w:sz w:val="22"/>
          </w:rPr>
          <w:t>2011</w:t>
          <w:tab/>
          <w:t>109</w:t>
        </w:r>
      </w:hyperlink>
    </w:p>
    <w:p>
      <w:pPr>
        <w:tabs>
          <w:tab w:pos="8601" w:val="left" w:leader="dot"/>
        </w:tabs>
        <w:spacing w:line="252" w:lineRule="exact" w:before="0"/>
        <w:ind w:left="102" w:right="0" w:firstLine="0"/>
        <w:jc w:val="left"/>
        <w:rPr>
          <w:sz w:val="22"/>
        </w:rPr>
      </w:pPr>
      <w:hyperlink w:history="true" w:anchor="_bookmark76">
        <w:r>
          <w:rPr>
            <w:sz w:val="22"/>
          </w:rPr>
          <w:t>Figura 2. 31: Constitución del  Fondo de</w:t>
        </w:r>
        <w:r>
          <w:rPr>
            <w:spacing w:val="-9"/>
            <w:sz w:val="22"/>
          </w:rPr>
          <w:t> </w:t>
        </w:r>
        <w:r>
          <w:rPr>
            <w:sz w:val="22"/>
          </w:rPr>
          <w:t>ahorro</w:t>
        </w:r>
        <w:r>
          <w:rPr>
            <w:spacing w:val="-1"/>
            <w:sz w:val="22"/>
          </w:rPr>
          <w:t> </w:t>
        </w:r>
        <w:r>
          <w:rPr>
            <w:sz w:val="22"/>
          </w:rPr>
          <w:t>petrolero</w:t>
          <w:tab/>
          <w:t>110</w:t>
        </w:r>
      </w:hyperlink>
    </w:p>
    <w:p>
      <w:pPr>
        <w:spacing w:after="0" w:line="252" w:lineRule="exact"/>
        <w:jc w:val="left"/>
        <w:rPr>
          <w:sz w:val="22"/>
        </w:rPr>
        <w:sectPr>
          <w:pgSz w:w="12250" w:h="15850"/>
          <w:pgMar w:header="0" w:footer="1035" w:top="1360" w:bottom="1220" w:left="1600" w:right="1580"/>
        </w:sectPr>
      </w:pPr>
    </w:p>
    <w:p>
      <w:pPr>
        <w:pStyle w:val="BodyText"/>
        <w:spacing w:before="5"/>
        <w:rPr>
          <w:sz w:val="13"/>
        </w:rPr>
      </w:pPr>
    </w:p>
    <w:p>
      <w:pPr>
        <w:tabs>
          <w:tab w:pos="8933" w:val="right" w:leader="dot"/>
        </w:tabs>
        <w:spacing w:before="72"/>
        <w:ind w:left="102" w:right="0" w:firstLine="0"/>
        <w:jc w:val="left"/>
        <w:rPr>
          <w:sz w:val="22"/>
        </w:rPr>
      </w:pPr>
      <w:hyperlink w:history="true" w:anchor="_bookmark80">
        <w:r>
          <w:rPr>
            <w:sz w:val="22"/>
          </w:rPr>
          <w:t>Figura 3. 1: Posición fiscal después de la nacionalización del gas boliviano,</w:t>
        </w:r>
        <w:r>
          <w:rPr>
            <w:spacing w:val="-11"/>
            <w:sz w:val="22"/>
          </w:rPr>
          <w:t> </w:t>
        </w:r>
        <w:r>
          <w:rPr>
            <w:sz w:val="22"/>
          </w:rPr>
          <w:t>2006-</w:t>
        </w:r>
        <w:r>
          <w:rPr>
            <w:spacing w:val="-3"/>
            <w:sz w:val="22"/>
          </w:rPr>
          <w:t> </w:t>
        </w:r>
        <w:r>
          <w:rPr>
            <w:sz w:val="22"/>
          </w:rPr>
          <w:t>2011</w:t>
          <w:tab/>
          <w:t>117</w:t>
        </w:r>
      </w:hyperlink>
    </w:p>
    <w:p>
      <w:pPr>
        <w:tabs>
          <w:tab w:pos="8933" w:val="right" w:leader="dot"/>
        </w:tabs>
        <w:spacing w:before="37"/>
        <w:ind w:left="102" w:right="0" w:firstLine="0"/>
        <w:jc w:val="left"/>
        <w:rPr>
          <w:sz w:val="22"/>
        </w:rPr>
      </w:pPr>
      <w:hyperlink w:history="true" w:anchor="_bookmark81">
        <w:r>
          <w:rPr>
            <w:sz w:val="22"/>
          </w:rPr>
          <w:t>Figura 3. 2: Ahorro y  uso del ingreso gasífero, cociente de</w:t>
        </w:r>
        <w:r>
          <w:rPr>
            <w:spacing w:val="-15"/>
            <w:sz w:val="22"/>
          </w:rPr>
          <w:t> </w:t>
        </w:r>
        <w:r>
          <w:rPr>
            <w:sz w:val="22"/>
          </w:rPr>
          <w:t>sostenibilidad</w:t>
        </w:r>
        <w:r>
          <w:rPr>
            <w:spacing w:val="-3"/>
            <w:sz w:val="22"/>
          </w:rPr>
          <w:t> </w:t>
        </w:r>
        <w:r>
          <w:rPr>
            <w:sz w:val="22"/>
          </w:rPr>
          <w:t>fiscal</w:t>
          <w:tab/>
          <w:t>118</w:t>
        </w:r>
      </w:hyperlink>
    </w:p>
    <w:p>
      <w:pPr>
        <w:tabs>
          <w:tab w:pos="8933" w:val="right" w:leader="dot"/>
        </w:tabs>
        <w:spacing w:line="276" w:lineRule="auto" w:before="37"/>
        <w:ind w:left="102" w:right="106" w:firstLine="0"/>
        <w:jc w:val="left"/>
        <w:rPr>
          <w:sz w:val="22"/>
        </w:rPr>
      </w:pPr>
      <w:hyperlink w:history="true" w:anchor="_bookmark90">
        <w:r>
          <w:rPr>
            <w:sz w:val="22"/>
          </w:rPr>
          <w:t>Figura 3. 3: Comparación de filtros en series económicas: Christiano y Fitzgerald (CF) y Hodrick y</w:t>
        </w:r>
      </w:hyperlink>
      <w:r>
        <w:rPr>
          <w:sz w:val="22"/>
        </w:rPr>
        <w:t> </w:t>
      </w:r>
      <w:hyperlink w:history="true" w:anchor="_bookmark90">
        <w:r>
          <w:rPr>
            <w:sz w:val="22"/>
          </w:rPr>
          <w:t>Prescott</w:t>
        </w:r>
        <w:r>
          <w:rPr>
            <w:spacing w:val="1"/>
            <w:sz w:val="22"/>
          </w:rPr>
          <w:t> </w:t>
        </w:r>
        <w:r>
          <w:rPr>
            <w:sz w:val="22"/>
          </w:rPr>
          <w:t>(HP)</w:t>
          <w:tab/>
          <w:t>127</w:t>
        </w:r>
      </w:hyperlink>
    </w:p>
    <w:p>
      <w:pPr>
        <w:tabs>
          <w:tab w:pos="8933" w:val="right" w:leader="dot"/>
        </w:tabs>
        <w:spacing w:line="276" w:lineRule="auto" w:before="3"/>
        <w:ind w:left="102" w:right="105" w:firstLine="0"/>
        <w:jc w:val="left"/>
        <w:rPr>
          <w:sz w:val="22"/>
        </w:rPr>
      </w:pPr>
      <w:hyperlink w:history="true" w:anchor="_bookmark91">
        <w:r>
          <w:rPr>
            <w:sz w:val="22"/>
          </w:rPr>
          <w:t>Figura 3. 4: Fluctuaciones cíclicas de los precios del gas natural y de las finanzas públicas de</w:t>
        </w:r>
      </w:hyperlink>
      <w:r>
        <w:rPr>
          <w:sz w:val="22"/>
        </w:rPr>
        <w:t> </w:t>
      </w:r>
      <w:hyperlink w:history="true" w:anchor="_bookmark91">
        <w:r>
          <w:rPr>
            <w:sz w:val="22"/>
          </w:rPr>
          <w:t>Bolivia</w:t>
          <w:tab/>
          <w:t>129</w:t>
        </w:r>
      </w:hyperlink>
    </w:p>
    <w:p>
      <w:pPr>
        <w:tabs>
          <w:tab w:pos="8933" w:val="right" w:leader="dot"/>
        </w:tabs>
        <w:spacing w:before="1"/>
        <w:ind w:left="102" w:right="0" w:firstLine="0"/>
        <w:jc w:val="left"/>
        <w:rPr>
          <w:sz w:val="22"/>
        </w:rPr>
      </w:pPr>
      <w:hyperlink w:history="true" w:anchor="_bookmark97">
        <w:r>
          <w:rPr>
            <w:sz w:val="22"/>
          </w:rPr>
          <w:t>Figura 3. 5: Discrecionalidad de la política fiscal, 2003</w:t>
        </w:r>
        <w:r>
          <w:rPr>
            <w:spacing w:val="-4"/>
            <w:sz w:val="22"/>
          </w:rPr>
          <w:t> </w:t>
        </w:r>
        <w:r>
          <w:rPr>
            <w:sz w:val="22"/>
          </w:rPr>
          <w:t>-</w:t>
        </w:r>
        <w:r>
          <w:rPr>
            <w:spacing w:val="-5"/>
            <w:sz w:val="22"/>
          </w:rPr>
          <w:t> </w:t>
        </w:r>
        <w:r>
          <w:rPr>
            <w:sz w:val="22"/>
          </w:rPr>
          <w:t>2011</w:t>
          <w:tab/>
          <w:t>135</w:t>
        </w:r>
      </w:hyperlink>
    </w:p>
    <w:p>
      <w:pPr>
        <w:tabs>
          <w:tab w:pos="8933" w:val="right" w:leader="dot"/>
        </w:tabs>
        <w:spacing w:before="37"/>
        <w:ind w:left="102" w:right="0" w:firstLine="0"/>
        <w:jc w:val="left"/>
        <w:rPr>
          <w:sz w:val="22"/>
        </w:rPr>
      </w:pPr>
      <w:hyperlink w:history="true" w:anchor="_bookmark99">
        <w:r>
          <w:rPr>
            <w:sz w:val="22"/>
          </w:rPr>
          <w:t>Figura 3. 6: Balance global efectivo  Vs. Balance global cíclicamente ajustado,</w:t>
        </w:r>
        <w:r>
          <w:rPr>
            <w:spacing w:val="-10"/>
            <w:sz w:val="22"/>
          </w:rPr>
          <w:t> </w:t>
        </w:r>
        <w:r>
          <w:rPr>
            <w:sz w:val="22"/>
          </w:rPr>
          <w:t>2003-</w:t>
        </w:r>
        <w:r>
          <w:rPr>
            <w:spacing w:val="-5"/>
            <w:sz w:val="22"/>
          </w:rPr>
          <w:t> </w:t>
        </w:r>
        <w:r>
          <w:rPr>
            <w:sz w:val="22"/>
          </w:rPr>
          <w:t>2011</w:t>
          <w:tab/>
          <w:t>137</w:t>
        </w:r>
      </w:hyperlink>
    </w:p>
    <w:p>
      <w:pPr>
        <w:tabs>
          <w:tab w:pos="8933" w:val="right" w:leader="dot"/>
        </w:tabs>
        <w:spacing w:before="37"/>
        <w:ind w:left="102" w:right="0" w:firstLine="0"/>
        <w:jc w:val="left"/>
        <w:rPr>
          <w:sz w:val="22"/>
        </w:rPr>
      </w:pPr>
      <w:hyperlink w:history="true" w:anchor="_bookmark100">
        <w:r>
          <w:rPr>
            <w:sz w:val="22"/>
          </w:rPr>
          <w:t>Figura 3. 7: Descomposición del balance global: cíclico y estructural, 2003</w:t>
        </w:r>
        <w:r>
          <w:rPr>
            <w:spacing w:val="-6"/>
            <w:sz w:val="22"/>
          </w:rPr>
          <w:t> </w:t>
        </w:r>
        <w:r>
          <w:rPr>
            <w:sz w:val="22"/>
          </w:rPr>
          <w:t>-</w:t>
        </w:r>
        <w:r>
          <w:rPr>
            <w:spacing w:val="-5"/>
            <w:sz w:val="22"/>
          </w:rPr>
          <w:t> </w:t>
        </w:r>
        <w:r>
          <w:rPr>
            <w:sz w:val="22"/>
          </w:rPr>
          <w:t>2011</w:t>
          <w:tab/>
          <w:t>137</w:t>
        </w:r>
      </w:hyperlink>
    </w:p>
    <w:p>
      <w:pPr>
        <w:tabs>
          <w:tab w:pos="8933" w:val="right" w:leader="dot"/>
        </w:tabs>
        <w:spacing w:before="40"/>
        <w:ind w:left="102" w:right="0" w:firstLine="0"/>
        <w:jc w:val="left"/>
        <w:rPr>
          <w:sz w:val="22"/>
        </w:rPr>
      </w:pPr>
      <w:hyperlink w:history="true" w:anchor="_bookmark101">
        <w:r>
          <w:rPr>
            <w:sz w:val="22"/>
          </w:rPr>
          <w:t>Figura 3. 8:   Transición de cambio para los componentes cíclicos del</w:t>
        </w:r>
        <w:r>
          <w:rPr>
            <w:spacing w:val="-9"/>
            <w:sz w:val="22"/>
          </w:rPr>
          <w:t> </w:t>
        </w:r>
        <w:r>
          <w:rPr>
            <w:sz w:val="22"/>
          </w:rPr>
          <w:t>balance</w:t>
        </w:r>
        <w:r>
          <w:rPr>
            <w:spacing w:val="-3"/>
            <w:sz w:val="22"/>
          </w:rPr>
          <w:t> </w:t>
        </w:r>
        <w:r>
          <w:rPr>
            <w:sz w:val="22"/>
          </w:rPr>
          <w:t>fiscal</w:t>
          <w:tab/>
          <w:t>138</w:t>
        </w:r>
      </w:hyperlink>
    </w:p>
    <w:p>
      <w:pPr>
        <w:tabs>
          <w:tab w:pos="8933" w:val="right" w:leader="dot"/>
        </w:tabs>
        <w:spacing w:line="276" w:lineRule="auto" w:before="38"/>
        <w:ind w:left="102" w:right="105" w:firstLine="0"/>
        <w:jc w:val="left"/>
        <w:rPr>
          <w:sz w:val="22"/>
        </w:rPr>
      </w:pPr>
      <w:hyperlink w:history="true" w:anchor="_bookmark105">
        <w:r>
          <w:rPr>
            <w:sz w:val="22"/>
          </w:rPr>
          <w:t>Figura 3. 9: Posición fiscal sostenible para el balance primario y la deuda pública en términos del</w:t>
        </w:r>
      </w:hyperlink>
      <w:r>
        <w:rPr>
          <w:sz w:val="22"/>
        </w:rPr>
        <w:t> </w:t>
      </w:r>
      <w:hyperlink w:history="true" w:anchor="_bookmark105">
        <w:r>
          <w:rPr>
            <w:sz w:val="22"/>
          </w:rPr>
          <w:t>PIB</w:t>
        </w:r>
        <w:r>
          <w:rPr>
            <w:spacing w:val="-1"/>
            <w:sz w:val="22"/>
          </w:rPr>
          <w:t> </w:t>
        </w:r>
        <w:r>
          <w:rPr>
            <w:sz w:val="22"/>
          </w:rPr>
          <w:t>real</w:t>
          <w:tab/>
          <w:t>140</w:t>
        </w:r>
      </w:hyperlink>
    </w:p>
    <w:p>
      <w:pPr>
        <w:tabs>
          <w:tab w:pos="8933" w:val="right" w:leader="dot"/>
        </w:tabs>
        <w:spacing w:line="278" w:lineRule="auto" w:before="1"/>
        <w:ind w:left="102" w:right="104" w:firstLine="0"/>
        <w:jc w:val="left"/>
        <w:rPr>
          <w:sz w:val="22"/>
        </w:rPr>
      </w:pPr>
      <w:hyperlink w:history="true" w:anchor="_bookmark106">
        <w:r>
          <w:rPr>
            <w:sz w:val="22"/>
          </w:rPr>
          <w:t>Figura 3. 10: Posición fiscal sostenible para el balance primario no gasífero y la deuda pública en</w:t>
        </w:r>
      </w:hyperlink>
      <w:r>
        <w:rPr>
          <w:sz w:val="22"/>
        </w:rPr>
        <w:t> </w:t>
      </w:r>
      <w:hyperlink w:history="true" w:anchor="_bookmark106">
        <w:r>
          <w:rPr>
            <w:sz w:val="22"/>
          </w:rPr>
          <w:t>términos del PIB</w:t>
        </w:r>
        <w:r>
          <w:rPr>
            <w:spacing w:val="-1"/>
            <w:sz w:val="22"/>
          </w:rPr>
          <w:t> </w:t>
        </w:r>
        <w:r>
          <w:rPr>
            <w:sz w:val="22"/>
          </w:rPr>
          <w:t>real</w:t>
          <w:tab/>
          <w:t>140</w:t>
        </w:r>
      </w:hyperlink>
    </w:p>
    <w:p>
      <w:pPr>
        <w:tabs>
          <w:tab w:pos="8933" w:val="right" w:leader="dot"/>
        </w:tabs>
        <w:spacing w:before="315"/>
        <w:ind w:left="102" w:right="0" w:firstLine="0"/>
        <w:jc w:val="left"/>
        <w:rPr>
          <w:sz w:val="22"/>
        </w:rPr>
      </w:pPr>
      <w:hyperlink w:history="true" w:anchor="_bookmark113">
        <w:r>
          <w:rPr>
            <w:sz w:val="22"/>
          </w:rPr>
          <w:t>Figura 4. 1: Series de tiempo en niveles con ajuste estacional, 2003</w:t>
        </w:r>
        <w:r>
          <w:rPr>
            <w:spacing w:val="-3"/>
            <w:sz w:val="22"/>
          </w:rPr>
          <w:t> </w:t>
        </w:r>
        <w:r>
          <w:rPr>
            <w:sz w:val="22"/>
          </w:rPr>
          <w:t>-</w:t>
        </w:r>
        <w:r>
          <w:rPr>
            <w:spacing w:val="-5"/>
            <w:sz w:val="22"/>
          </w:rPr>
          <w:t> </w:t>
        </w:r>
        <w:r>
          <w:rPr>
            <w:sz w:val="22"/>
          </w:rPr>
          <w:t>2011</w:t>
          <w:tab/>
          <w:t>149</w:t>
        </w:r>
      </w:hyperlink>
    </w:p>
    <w:p>
      <w:pPr>
        <w:tabs>
          <w:tab w:pos="8933" w:val="right" w:leader="dot"/>
        </w:tabs>
        <w:spacing w:before="37"/>
        <w:ind w:left="102" w:right="0" w:firstLine="0"/>
        <w:jc w:val="left"/>
        <w:rPr>
          <w:sz w:val="22"/>
        </w:rPr>
      </w:pPr>
      <w:hyperlink w:history="true" w:anchor="_bookmark114">
        <w:r>
          <w:rPr>
            <w:sz w:val="22"/>
          </w:rPr>
          <w:t>Figura 4. 2: Especificaciones alternativas para la medición del resultado</w:t>
        </w:r>
        <w:r>
          <w:rPr>
            <w:spacing w:val="-13"/>
            <w:sz w:val="22"/>
          </w:rPr>
          <w:t> </w:t>
        </w:r>
        <w:r>
          <w:rPr>
            <w:sz w:val="22"/>
          </w:rPr>
          <w:t>fiscal (y4t*)</w:t>
          <w:tab/>
          <w:t>150</w:t>
        </w:r>
      </w:hyperlink>
    </w:p>
    <w:p>
      <w:pPr>
        <w:tabs>
          <w:tab w:pos="8933" w:val="right" w:leader="dot"/>
        </w:tabs>
        <w:spacing w:before="37"/>
        <w:ind w:left="102" w:right="0" w:firstLine="0"/>
        <w:jc w:val="left"/>
        <w:rPr>
          <w:sz w:val="22"/>
        </w:rPr>
      </w:pPr>
      <w:hyperlink w:history="true" w:anchor="_bookmark122">
        <w:r>
          <w:rPr>
            <w:sz w:val="22"/>
          </w:rPr>
          <w:t>Figura 4. 3: Proyección de los precios de gas natural</w:t>
        </w:r>
        <w:r>
          <w:rPr>
            <w:spacing w:val="-6"/>
            <w:sz w:val="22"/>
          </w:rPr>
          <w:t> </w:t>
        </w:r>
        <w:r>
          <w:rPr>
            <w:sz w:val="22"/>
          </w:rPr>
          <w:t>hasta</w:t>
        </w:r>
        <w:r>
          <w:rPr>
            <w:spacing w:val="-1"/>
            <w:sz w:val="22"/>
          </w:rPr>
          <w:t> </w:t>
        </w:r>
        <w:r>
          <w:rPr>
            <w:sz w:val="22"/>
          </w:rPr>
          <w:t>2017</w:t>
          <w:tab/>
          <w:t>159</w:t>
        </w:r>
      </w:hyperlink>
    </w:p>
    <w:p>
      <w:pPr>
        <w:tabs>
          <w:tab w:pos="8933" w:val="right" w:leader="dot"/>
        </w:tabs>
        <w:spacing w:before="40"/>
        <w:ind w:left="102" w:right="0" w:firstLine="0"/>
        <w:jc w:val="left"/>
        <w:rPr>
          <w:sz w:val="22"/>
        </w:rPr>
      </w:pPr>
      <w:hyperlink w:history="true" w:anchor="_bookmark123">
        <w:r>
          <w:rPr>
            <w:sz w:val="22"/>
          </w:rPr>
          <w:t>Figura 4. 4: Proyección de la producción de gas natural (en Bpc)</w:t>
        </w:r>
        <w:r>
          <w:rPr>
            <w:spacing w:val="-8"/>
            <w:sz w:val="22"/>
          </w:rPr>
          <w:t> </w:t>
        </w:r>
        <w:r>
          <w:rPr>
            <w:sz w:val="22"/>
          </w:rPr>
          <w:t>hasta</w:t>
        </w:r>
        <w:r>
          <w:rPr>
            <w:spacing w:val="-1"/>
            <w:sz w:val="22"/>
          </w:rPr>
          <w:t> </w:t>
        </w:r>
        <w:r>
          <w:rPr>
            <w:sz w:val="22"/>
          </w:rPr>
          <w:t>2016</w:t>
          <w:tab/>
          <w:t>160</w:t>
        </w:r>
      </w:hyperlink>
    </w:p>
    <w:p>
      <w:pPr>
        <w:tabs>
          <w:tab w:pos="8933" w:val="right" w:leader="dot"/>
        </w:tabs>
        <w:spacing w:before="37"/>
        <w:ind w:left="102" w:right="0" w:firstLine="0"/>
        <w:jc w:val="left"/>
        <w:rPr>
          <w:sz w:val="22"/>
        </w:rPr>
      </w:pPr>
      <w:hyperlink w:history="true" w:anchor="_bookmark124">
        <w:r>
          <w:rPr>
            <w:sz w:val="22"/>
          </w:rPr>
          <w:t>Figura 4. 5: Proyección de la brecha del producto</w:t>
        </w:r>
        <w:r>
          <w:rPr>
            <w:spacing w:val="-7"/>
            <w:sz w:val="22"/>
          </w:rPr>
          <w:t> </w:t>
        </w:r>
        <w:r>
          <w:rPr>
            <w:sz w:val="22"/>
          </w:rPr>
          <w:t>hasta</w:t>
        </w:r>
        <w:r>
          <w:rPr>
            <w:spacing w:val="-2"/>
            <w:sz w:val="22"/>
          </w:rPr>
          <w:t> </w:t>
        </w:r>
        <w:r>
          <w:rPr>
            <w:sz w:val="22"/>
          </w:rPr>
          <w:t>2017</w:t>
          <w:tab/>
          <w:t>160</w:t>
        </w:r>
      </w:hyperlink>
    </w:p>
    <w:p>
      <w:pPr>
        <w:tabs>
          <w:tab w:pos="8933" w:val="right" w:leader="dot"/>
        </w:tabs>
        <w:spacing w:before="37"/>
        <w:ind w:left="102" w:right="0" w:firstLine="0"/>
        <w:jc w:val="left"/>
        <w:rPr>
          <w:sz w:val="22"/>
        </w:rPr>
      </w:pPr>
      <w:hyperlink w:history="true" w:anchor="_bookmark125">
        <w:r>
          <w:rPr>
            <w:sz w:val="22"/>
          </w:rPr>
          <w:t>Figura 4. 6: Proyección del costo real de la</w:t>
        </w:r>
        <w:r>
          <w:rPr>
            <w:spacing w:val="-7"/>
            <w:sz w:val="22"/>
          </w:rPr>
          <w:t> </w:t>
        </w:r>
        <w:r>
          <w:rPr>
            <w:sz w:val="22"/>
          </w:rPr>
          <w:t>deuda</w:t>
        </w:r>
        <w:r>
          <w:rPr>
            <w:spacing w:val="-1"/>
            <w:sz w:val="22"/>
          </w:rPr>
          <w:t> </w:t>
        </w:r>
        <w:r>
          <w:rPr>
            <w:sz w:val="22"/>
          </w:rPr>
          <w:t>pública</w:t>
          <w:tab/>
          <w:t>161</w:t>
        </w:r>
      </w:hyperlink>
    </w:p>
    <w:p>
      <w:pPr>
        <w:tabs>
          <w:tab w:pos="8933" w:val="right" w:leader="dot"/>
        </w:tabs>
        <w:spacing w:before="38"/>
        <w:ind w:left="102" w:right="0" w:firstLine="0"/>
        <w:jc w:val="left"/>
        <w:rPr>
          <w:sz w:val="22"/>
        </w:rPr>
      </w:pPr>
      <w:hyperlink w:history="true" w:anchor="_bookmark131">
        <w:r>
          <w:rPr>
            <w:sz w:val="22"/>
          </w:rPr>
          <w:t>Figura 4. 7: Respuesta estructural de la Asignación de ingresos fiscales al</w:t>
        </w:r>
        <w:r>
          <w:rPr>
            <w:spacing w:val="-15"/>
            <w:sz w:val="22"/>
          </w:rPr>
          <w:t> </w:t>
        </w:r>
        <w:r>
          <w:rPr>
            <w:sz w:val="22"/>
          </w:rPr>
          <w:t>gasto</w:t>
        </w:r>
        <w:r>
          <w:rPr>
            <w:spacing w:val="-1"/>
            <w:sz w:val="22"/>
          </w:rPr>
          <w:t> </w:t>
        </w:r>
        <w:r>
          <w:rPr>
            <w:sz w:val="22"/>
          </w:rPr>
          <w:t>público</w:t>
          <w:tab/>
          <w:t>168</w:t>
        </w:r>
      </w:hyperlink>
    </w:p>
    <w:p>
      <w:pPr>
        <w:tabs>
          <w:tab w:pos="8933" w:val="right" w:leader="dot"/>
        </w:tabs>
        <w:spacing w:before="40"/>
        <w:ind w:left="102" w:right="0" w:firstLine="0"/>
        <w:jc w:val="left"/>
        <w:rPr>
          <w:sz w:val="22"/>
        </w:rPr>
      </w:pPr>
      <w:hyperlink w:history="true" w:anchor="_bookmark132">
        <w:r>
          <w:rPr>
            <w:sz w:val="22"/>
          </w:rPr>
          <w:t>Figura 4. 8: Respuesta estructural de los distintas mediciones de</w:t>
        </w:r>
        <w:r>
          <w:rPr>
            <w:spacing w:val="-13"/>
            <w:sz w:val="22"/>
          </w:rPr>
          <w:t> </w:t>
        </w:r>
        <w:r>
          <w:rPr>
            <w:sz w:val="22"/>
          </w:rPr>
          <w:t>resultado</w:t>
        </w:r>
        <w:r>
          <w:rPr>
            <w:spacing w:val="-3"/>
            <w:sz w:val="22"/>
          </w:rPr>
          <w:t> </w:t>
        </w:r>
        <w:r>
          <w:rPr>
            <w:sz w:val="22"/>
          </w:rPr>
          <w:t>fiscal</w:t>
          <w:tab/>
          <w:t>170</w:t>
        </w:r>
      </w:hyperlink>
    </w:p>
    <w:p>
      <w:pPr>
        <w:tabs>
          <w:tab w:pos="8933" w:val="right" w:leader="dot"/>
        </w:tabs>
        <w:spacing w:before="37"/>
        <w:ind w:left="102" w:right="0" w:firstLine="0"/>
        <w:jc w:val="left"/>
        <w:rPr>
          <w:sz w:val="22"/>
        </w:rPr>
      </w:pPr>
      <w:hyperlink w:history="true" w:anchor="_bookmark133">
        <w:r>
          <w:rPr>
            <w:sz w:val="22"/>
          </w:rPr>
          <w:t>Figura 4. 9: Respuesta de largo plazo de la</w:t>
        </w:r>
        <w:r>
          <w:rPr>
            <w:spacing w:val="-3"/>
            <w:sz w:val="22"/>
          </w:rPr>
          <w:t> </w:t>
        </w:r>
        <w:r>
          <w:rPr>
            <w:sz w:val="22"/>
          </w:rPr>
          <w:t>deuda</w:t>
        </w:r>
        <w:r>
          <w:rPr>
            <w:spacing w:val="-1"/>
            <w:sz w:val="22"/>
          </w:rPr>
          <w:t> </w:t>
        </w:r>
        <w:r>
          <w:rPr>
            <w:sz w:val="22"/>
          </w:rPr>
          <w:t>pública</w:t>
          <w:tab/>
          <w:t>171</w:t>
        </w:r>
      </w:hyperlink>
    </w:p>
    <w:p>
      <w:pPr>
        <w:tabs>
          <w:tab w:pos="8933" w:val="right" w:leader="dot"/>
        </w:tabs>
        <w:spacing w:before="37"/>
        <w:ind w:left="102" w:right="0" w:firstLine="0"/>
        <w:jc w:val="left"/>
        <w:rPr>
          <w:sz w:val="22"/>
        </w:rPr>
      </w:pPr>
      <w:hyperlink w:history="true" w:anchor="_bookmark144">
        <w:r>
          <w:rPr>
            <w:sz w:val="22"/>
          </w:rPr>
          <w:t>Figura 4. 10: Trayectoria probabilística de la deuda pública máxima</w:t>
        </w:r>
        <w:r>
          <w:rPr>
            <w:spacing w:val="-10"/>
            <w:sz w:val="22"/>
          </w:rPr>
          <w:t> </w:t>
        </w:r>
        <w:r>
          <w:rPr>
            <w:sz w:val="22"/>
          </w:rPr>
          <w:t>a</w:t>
        </w:r>
        <w:r>
          <w:rPr>
            <w:spacing w:val="-1"/>
            <w:sz w:val="22"/>
          </w:rPr>
          <w:t> </w:t>
        </w:r>
        <w:r>
          <w:rPr>
            <w:sz w:val="22"/>
          </w:rPr>
          <w:t>PIB</w:t>
          <w:tab/>
          <w:t>181</w:t>
        </w:r>
      </w:hyperlink>
    </w:p>
    <w:p>
      <w:pPr>
        <w:tabs>
          <w:tab w:pos="8933" w:val="right" w:leader="dot"/>
        </w:tabs>
        <w:spacing w:before="37"/>
        <w:ind w:left="102" w:right="0" w:firstLine="0"/>
        <w:jc w:val="left"/>
        <w:rPr>
          <w:sz w:val="22"/>
        </w:rPr>
      </w:pPr>
      <w:hyperlink w:history="true" w:anchor="_bookmark145">
        <w:r>
          <w:rPr>
            <w:sz w:val="22"/>
          </w:rPr>
          <w:t>Figura 4. 11: Efecto sobre la deuda pública máxima al introducir una</w:t>
        </w:r>
        <w:r>
          <w:rPr>
            <w:spacing w:val="-11"/>
            <w:sz w:val="22"/>
          </w:rPr>
          <w:t> </w:t>
        </w:r>
        <w:r>
          <w:rPr>
            <w:sz w:val="22"/>
          </w:rPr>
          <w:t>regla</w:t>
        </w:r>
        <w:r>
          <w:rPr>
            <w:spacing w:val="-3"/>
            <w:sz w:val="22"/>
          </w:rPr>
          <w:t> </w:t>
        </w:r>
        <w:r>
          <w:rPr>
            <w:sz w:val="22"/>
          </w:rPr>
          <w:t>fiscal</w:t>
          <w:tab/>
          <w:t>182</w:t>
        </w:r>
      </w:hyperlink>
    </w:p>
    <w:p>
      <w:pPr>
        <w:tabs>
          <w:tab w:pos="8933" w:val="right" w:leader="dot"/>
        </w:tabs>
        <w:spacing w:before="37"/>
        <w:ind w:left="102" w:right="0" w:firstLine="0"/>
        <w:jc w:val="left"/>
        <w:rPr>
          <w:sz w:val="22"/>
        </w:rPr>
      </w:pPr>
      <w:hyperlink w:history="true" w:anchor="_bookmark150">
        <w:r>
          <w:rPr>
            <w:sz w:val="22"/>
          </w:rPr>
          <w:t>Figura 4. 12: Balance global cíclicamente ajustado (BGCA).</w:t>
        </w:r>
        <w:r>
          <w:rPr>
            <w:spacing w:val="-5"/>
            <w:sz w:val="22"/>
          </w:rPr>
          <w:t> </w:t>
        </w:r>
        <w:r>
          <w:rPr>
            <w:sz w:val="22"/>
          </w:rPr>
          <w:t>Promedio</w:t>
        </w:r>
        <w:r>
          <w:rPr>
            <w:spacing w:val="-1"/>
            <w:sz w:val="22"/>
          </w:rPr>
          <w:t> </w:t>
        </w:r>
        <w:r>
          <w:rPr>
            <w:sz w:val="22"/>
          </w:rPr>
          <w:t>(2012-2016)</w:t>
          <w:tab/>
          <w:t>185</w:t>
        </w:r>
      </w:hyperlink>
    </w:p>
    <w:p>
      <w:pPr>
        <w:tabs>
          <w:tab w:pos="8933" w:val="right" w:leader="dot"/>
        </w:tabs>
        <w:spacing w:before="40"/>
        <w:ind w:left="102" w:right="0" w:firstLine="0"/>
        <w:jc w:val="left"/>
        <w:rPr>
          <w:sz w:val="22"/>
        </w:rPr>
      </w:pPr>
      <w:hyperlink w:history="true" w:anchor="_bookmark151">
        <w:r>
          <w:rPr>
            <w:sz w:val="22"/>
          </w:rPr>
          <w:t>Figura 4. 13: Ajuste fiscal requerido para el  BGCA  hasta</w:t>
        </w:r>
        <w:r>
          <w:rPr>
            <w:spacing w:val="-8"/>
            <w:sz w:val="22"/>
          </w:rPr>
          <w:t> </w:t>
        </w:r>
        <w:r>
          <w:rPr>
            <w:sz w:val="22"/>
          </w:rPr>
          <w:t>el 2016</w:t>
          <w:tab/>
          <w:t>186</w:t>
        </w:r>
      </w:hyperlink>
    </w:p>
    <w:p>
      <w:pPr>
        <w:spacing w:after="0"/>
        <w:jc w:val="left"/>
        <w:rPr>
          <w:sz w:val="22"/>
        </w:rPr>
        <w:sectPr>
          <w:pgSz w:w="12250" w:h="15850"/>
          <w:pgMar w:header="0" w:footer="1035" w:top="1500" w:bottom="1220" w:left="1600" w:right="1600"/>
        </w:sectPr>
      </w:pPr>
    </w:p>
    <w:p>
      <w:pPr>
        <w:spacing w:before="27"/>
        <w:ind w:left="2098" w:right="0" w:firstLine="0"/>
        <w:jc w:val="left"/>
        <w:rPr>
          <w:sz w:val="40"/>
        </w:rPr>
      </w:pPr>
      <w:r>
        <w:rPr>
          <w:sz w:val="40"/>
          <w:u w:val="single"/>
        </w:rPr>
        <w:t>Índice de cuadros por capítulo</w:t>
      </w:r>
    </w:p>
    <w:p>
      <w:pPr>
        <w:pStyle w:val="BodyText"/>
        <w:rPr>
          <w:sz w:val="22"/>
        </w:rPr>
      </w:pPr>
    </w:p>
    <w:p>
      <w:pPr>
        <w:pStyle w:val="BodyText"/>
        <w:rPr>
          <w:sz w:val="22"/>
        </w:rPr>
      </w:pPr>
    </w:p>
    <w:p>
      <w:pPr>
        <w:tabs>
          <w:tab w:pos="8712" w:val="left" w:leader="dot"/>
        </w:tabs>
        <w:spacing w:line="276" w:lineRule="auto" w:before="131"/>
        <w:ind w:left="102" w:right="103" w:firstLine="0"/>
        <w:jc w:val="left"/>
        <w:rPr>
          <w:sz w:val="22"/>
        </w:rPr>
      </w:pPr>
      <w:hyperlink w:history="true" w:anchor="_bookmark7">
        <w:r>
          <w:rPr>
            <w:sz w:val="22"/>
          </w:rPr>
          <w:t>Cuadro 1. 1: Efecto esperado de un choque positivo en el precio del recurso natural sobre el gasto</w:t>
        </w:r>
      </w:hyperlink>
      <w:r>
        <w:rPr>
          <w:sz w:val="22"/>
        </w:rPr>
        <w:t> </w:t>
      </w:r>
      <w:hyperlink w:history="true" w:anchor="_bookmark7">
        <w:r>
          <w:rPr>
            <w:sz w:val="22"/>
          </w:rPr>
          <w:t>público  y la</w:t>
        </w:r>
        <w:r>
          <w:rPr>
            <w:spacing w:val="-6"/>
            <w:sz w:val="22"/>
          </w:rPr>
          <w:t> </w:t>
        </w:r>
        <w:r>
          <w:rPr>
            <w:sz w:val="22"/>
          </w:rPr>
          <w:t>posición</w:t>
        </w:r>
        <w:r>
          <w:rPr>
            <w:spacing w:val="-1"/>
            <w:sz w:val="22"/>
          </w:rPr>
          <w:t> </w:t>
        </w:r>
        <w:r>
          <w:rPr>
            <w:sz w:val="22"/>
          </w:rPr>
          <w:t>fiscal</w:t>
          <w:tab/>
          <w:t>25</w:t>
        </w:r>
      </w:hyperlink>
    </w:p>
    <w:p>
      <w:pPr>
        <w:tabs>
          <w:tab w:pos="8712" w:val="left" w:leader="dot"/>
        </w:tabs>
        <w:spacing w:line="276" w:lineRule="auto" w:before="1"/>
        <w:ind w:left="102" w:right="105" w:firstLine="0"/>
        <w:jc w:val="left"/>
        <w:rPr>
          <w:sz w:val="22"/>
        </w:rPr>
      </w:pPr>
      <w:hyperlink w:history="true" w:anchor="_bookmark8">
        <w:r>
          <w:rPr>
            <w:sz w:val="22"/>
          </w:rPr>
          <w:t>Cuadro 1. 2: Efecto esperado de un choque positivo del gasto público (gasto corriente o de capital)</w:t>
        </w:r>
      </w:hyperlink>
      <w:r>
        <w:rPr>
          <w:sz w:val="22"/>
        </w:rPr>
        <w:t> </w:t>
      </w:r>
      <w:hyperlink w:history="true" w:anchor="_bookmark8">
        <w:r>
          <w:rPr>
            <w:sz w:val="22"/>
          </w:rPr>
          <w:t>sobre la</w:t>
        </w:r>
        <w:r>
          <w:rPr>
            <w:spacing w:val="-5"/>
            <w:sz w:val="22"/>
          </w:rPr>
          <w:t> </w:t>
        </w:r>
        <w:r>
          <w:rPr>
            <w:sz w:val="22"/>
          </w:rPr>
          <w:t>posición</w:t>
        </w:r>
        <w:r>
          <w:rPr>
            <w:spacing w:val="-1"/>
            <w:sz w:val="22"/>
          </w:rPr>
          <w:t> </w:t>
        </w:r>
        <w:r>
          <w:rPr>
            <w:sz w:val="22"/>
          </w:rPr>
          <w:t>fiscal</w:t>
          <w:tab/>
          <w:t>29</w:t>
        </w:r>
      </w:hyperlink>
    </w:p>
    <w:p>
      <w:pPr>
        <w:spacing w:before="1"/>
        <w:ind w:left="102" w:right="0" w:firstLine="0"/>
        <w:jc w:val="both"/>
        <w:rPr>
          <w:sz w:val="22"/>
        </w:rPr>
      </w:pPr>
      <w:hyperlink w:history="true" w:anchor="_bookmark9">
        <w:r>
          <w:rPr>
            <w:sz w:val="22"/>
          </w:rPr>
          <w:t>Cuadro 1. 3: Efecto esperado de un choque positivo del balance primario sobre la deuda pública.. 30</w:t>
        </w:r>
      </w:hyperlink>
    </w:p>
    <w:p>
      <w:pPr>
        <w:pStyle w:val="BodyText"/>
        <w:rPr>
          <w:sz w:val="31"/>
        </w:rPr>
      </w:pPr>
    </w:p>
    <w:p>
      <w:pPr>
        <w:tabs>
          <w:tab w:pos="8712" w:val="left" w:leader="dot"/>
        </w:tabs>
        <w:spacing w:line="253" w:lineRule="exact" w:before="0"/>
        <w:ind w:left="102" w:right="0" w:firstLine="0"/>
        <w:jc w:val="left"/>
        <w:rPr>
          <w:sz w:val="22"/>
        </w:rPr>
      </w:pPr>
      <w:hyperlink w:history="true" w:anchor="_bookmark27">
        <w:r>
          <w:rPr>
            <w:sz w:val="22"/>
          </w:rPr>
          <w:t>Cuadro 2. 1: Consumo,  producción y reserva de gas natural por regiones (1992</w:t>
        </w:r>
        <w:r>
          <w:rPr>
            <w:spacing w:val="-12"/>
            <w:sz w:val="22"/>
          </w:rPr>
          <w:t> </w:t>
        </w:r>
        <w:r>
          <w:rPr>
            <w:sz w:val="22"/>
          </w:rPr>
          <w:t>–</w:t>
        </w:r>
        <w:r>
          <w:rPr>
            <w:spacing w:val="-1"/>
            <w:sz w:val="22"/>
          </w:rPr>
          <w:t> </w:t>
        </w:r>
        <w:r>
          <w:rPr>
            <w:sz w:val="22"/>
          </w:rPr>
          <w:t>2010)</w:t>
          <w:tab/>
          <w:t>63</w:t>
        </w:r>
      </w:hyperlink>
    </w:p>
    <w:p>
      <w:pPr>
        <w:tabs>
          <w:tab w:pos="8712" w:val="left" w:leader="dot"/>
        </w:tabs>
        <w:spacing w:before="0"/>
        <w:ind w:left="102" w:right="0" w:firstLine="0"/>
        <w:jc w:val="left"/>
        <w:rPr>
          <w:sz w:val="22"/>
        </w:rPr>
      </w:pPr>
      <w:hyperlink w:history="true" w:anchor="_bookmark28">
        <w:r>
          <w:rPr>
            <w:sz w:val="22"/>
          </w:rPr>
          <w:t>Cuadro 2. 2: Ranking  mundial de producción, consumo y  reserva de gas</w:t>
        </w:r>
        <w:r>
          <w:rPr>
            <w:spacing w:val="-17"/>
            <w:sz w:val="22"/>
          </w:rPr>
          <w:t> </w:t>
        </w:r>
        <w:r>
          <w:rPr>
            <w:sz w:val="22"/>
          </w:rPr>
          <w:t>natural (2010)</w:t>
          <w:tab/>
          <w:t>64</w:t>
        </w:r>
      </w:hyperlink>
    </w:p>
    <w:p>
      <w:pPr>
        <w:spacing w:line="252" w:lineRule="exact" w:before="1"/>
        <w:ind w:left="102" w:right="0" w:firstLine="0"/>
        <w:jc w:val="both"/>
        <w:rPr>
          <w:sz w:val="22"/>
        </w:rPr>
      </w:pPr>
      <w:hyperlink w:history="true" w:anchor="_bookmark37">
        <w:r>
          <w:rPr>
            <w:sz w:val="22"/>
          </w:rPr>
          <w:t>Cuadro 2. 3: Inferencias teóricas de diversas relaciones de influencia sobre el precio del gas  natural</w:t>
        </w:r>
      </w:hyperlink>
    </w:p>
    <w:p>
      <w:pPr>
        <w:spacing w:line="252" w:lineRule="exact" w:before="0"/>
        <w:ind w:left="111" w:right="0" w:firstLine="0"/>
        <w:jc w:val="both"/>
        <w:rPr>
          <w:sz w:val="22"/>
        </w:rPr>
      </w:pPr>
      <w:hyperlink w:history="true" w:anchor="_bookmark37">
        <w:r>
          <w:rPr>
            <w:sz w:val="22"/>
          </w:rPr>
          <w:t>........................................................................................................................................................... 77</w:t>
        </w:r>
      </w:hyperlink>
    </w:p>
    <w:p>
      <w:pPr>
        <w:tabs>
          <w:tab w:pos="8601" w:val="left" w:leader="dot"/>
        </w:tabs>
        <w:spacing w:before="1"/>
        <w:ind w:left="102" w:right="107" w:firstLine="0"/>
        <w:jc w:val="both"/>
        <w:rPr>
          <w:sz w:val="22"/>
        </w:rPr>
      </w:pPr>
      <w:hyperlink w:history="true" w:anchor="_bookmark65">
        <w:r>
          <w:rPr>
            <w:sz w:val="22"/>
          </w:rPr>
          <w:t>Cuadro 2. 4: Regímenes de asignación de ingresos fiscales hidrocarburíferos al gasto de capital 102</w:t>
        </w:r>
      </w:hyperlink>
      <w:r>
        <w:rPr>
          <w:sz w:val="22"/>
        </w:rPr>
        <w:t> </w:t>
      </w:r>
      <w:hyperlink w:history="true" w:anchor="_bookmark66">
        <w:r>
          <w:rPr>
            <w:sz w:val="22"/>
          </w:rPr>
          <w:t>Cuadro 2. 5: Régimen de asignación de ingresos fiscales no hidrocarburíferos al gasto corriente. 102</w:t>
        </w:r>
      </w:hyperlink>
      <w:r>
        <w:rPr>
          <w:sz w:val="22"/>
        </w:rPr>
        <w:t> </w:t>
      </w:r>
      <w:hyperlink w:history="true" w:anchor="_bookmark67">
        <w:r>
          <w:rPr>
            <w:sz w:val="22"/>
          </w:rPr>
          <w:t>Cuadro 2. 6: Mecanismo de distribución de los ingresos hidrocarburíferos</w:t>
        </w:r>
        <w:r>
          <w:rPr>
            <w:spacing w:val="-21"/>
            <w:sz w:val="22"/>
          </w:rPr>
          <w:t> </w:t>
        </w:r>
        <w:r>
          <w:rPr>
            <w:sz w:val="22"/>
          </w:rPr>
          <w:t>en</w:t>
        </w:r>
        <w:r>
          <w:rPr>
            <w:spacing w:val="-2"/>
            <w:sz w:val="22"/>
          </w:rPr>
          <w:t> </w:t>
        </w:r>
        <w:r>
          <w:rPr>
            <w:sz w:val="22"/>
          </w:rPr>
          <w:t>Bolivia</w:t>
          <w:tab/>
          <w:t>103</w:t>
        </w:r>
      </w:hyperlink>
    </w:p>
    <w:p>
      <w:pPr>
        <w:pStyle w:val="BodyText"/>
        <w:rPr>
          <w:sz w:val="22"/>
        </w:rPr>
      </w:pPr>
    </w:p>
    <w:p>
      <w:pPr>
        <w:pStyle w:val="BodyText"/>
        <w:rPr>
          <w:sz w:val="22"/>
        </w:rPr>
      </w:pPr>
    </w:p>
    <w:p>
      <w:pPr>
        <w:tabs>
          <w:tab w:pos="8601" w:val="left" w:leader="dot"/>
        </w:tabs>
        <w:spacing w:before="129"/>
        <w:ind w:left="102" w:right="0" w:firstLine="0"/>
        <w:jc w:val="left"/>
        <w:rPr>
          <w:sz w:val="22"/>
        </w:rPr>
      </w:pPr>
      <w:hyperlink w:history="true" w:anchor="_bookmark84">
        <w:r>
          <w:rPr>
            <w:sz w:val="22"/>
          </w:rPr>
          <w:t>Cuadro 3. 1: Descripción de variables y fuentes de</w:t>
        </w:r>
        <w:r>
          <w:rPr>
            <w:spacing w:val="-20"/>
            <w:sz w:val="22"/>
          </w:rPr>
          <w:t> </w:t>
        </w:r>
        <w:r>
          <w:rPr>
            <w:sz w:val="22"/>
          </w:rPr>
          <w:t>información</w:t>
        </w:r>
        <w:r>
          <w:rPr>
            <w:spacing w:val="-2"/>
            <w:sz w:val="22"/>
          </w:rPr>
          <w:t> </w:t>
        </w:r>
        <w:r>
          <w:rPr>
            <w:sz w:val="22"/>
          </w:rPr>
          <w:t>utilizadas</w:t>
          <w:tab/>
          <w:t>120</w:t>
        </w:r>
      </w:hyperlink>
    </w:p>
    <w:p>
      <w:pPr>
        <w:tabs>
          <w:tab w:pos="8601" w:val="left" w:leader="dot"/>
        </w:tabs>
        <w:spacing w:before="37"/>
        <w:ind w:left="102" w:right="0" w:firstLine="0"/>
        <w:jc w:val="left"/>
        <w:rPr>
          <w:sz w:val="22"/>
        </w:rPr>
      </w:pPr>
      <w:hyperlink w:history="true" w:anchor="_bookmark86">
        <w:r>
          <w:rPr>
            <w:sz w:val="22"/>
          </w:rPr>
          <w:t>Cuadro 3. 2: Orientación de la poltíca fiscal</w:t>
        </w:r>
        <w:r>
          <w:rPr>
            <w:spacing w:val="-13"/>
            <w:sz w:val="22"/>
          </w:rPr>
          <w:t> </w:t>
        </w:r>
        <w:r>
          <w:rPr>
            <w:sz w:val="22"/>
          </w:rPr>
          <w:t>mediante</w:t>
        </w:r>
        <w:r>
          <w:rPr>
            <w:spacing w:val="-4"/>
            <w:sz w:val="22"/>
          </w:rPr>
          <w:t> </w:t>
        </w:r>
        <w:r>
          <w:rPr>
            <w:sz w:val="22"/>
          </w:rPr>
          <w:t>correlaciones</w:t>
          <w:tab/>
          <w:t>121</w:t>
        </w:r>
      </w:hyperlink>
    </w:p>
    <w:p>
      <w:pPr>
        <w:tabs>
          <w:tab w:pos="8601" w:val="left" w:leader="dot"/>
        </w:tabs>
        <w:spacing w:before="40"/>
        <w:ind w:left="102" w:right="0" w:firstLine="0"/>
        <w:jc w:val="left"/>
        <w:rPr>
          <w:sz w:val="22"/>
        </w:rPr>
      </w:pPr>
      <w:hyperlink w:history="true" w:anchor="_bookmark87">
        <w:r>
          <w:rPr>
            <w:sz w:val="22"/>
          </w:rPr>
          <w:t>Cuadro 3. 3: Orientación de la política fiscal</w:t>
        </w:r>
        <w:r>
          <w:rPr>
            <w:spacing w:val="-12"/>
            <w:sz w:val="22"/>
          </w:rPr>
          <w:t> </w:t>
        </w:r>
        <w:r>
          <w:rPr>
            <w:sz w:val="22"/>
          </w:rPr>
          <w:t>mediante</w:t>
        </w:r>
        <w:r>
          <w:rPr>
            <w:spacing w:val="-3"/>
            <w:sz w:val="22"/>
          </w:rPr>
          <w:t> </w:t>
        </w:r>
        <w:r>
          <w:rPr>
            <w:sz w:val="22"/>
          </w:rPr>
          <w:t>BCA</w:t>
          <w:tab/>
          <w:t>124</w:t>
        </w:r>
      </w:hyperlink>
    </w:p>
    <w:p>
      <w:pPr>
        <w:tabs>
          <w:tab w:pos="8601" w:val="left" w:leader="dot"/>
        </w:tabs>
        <w:spacing w:before="37"/>
        <w:ind w:left="102" w:right="0" w:firstLine="0"/>
        <w:jc w:val="left"/>
        <w:rPr>
          <w:sz w:val="22"/>
        </w:rPr>
      </w:pPr>
      <w:hyperlink w:history="true" w:anchor="_bookmark92">
        <w:r>
          <w:rPr>
            <w:sz w:val="22"/>
          </w:rPr>
          <w:t>Cuadro 3. 4: Asociaciones vinculadas a la posición fiscal</w:t>
        </w:r>
        <w:r>
          <w:rPr>
            <w:spacing w:val="-15"/>
            <w:sz w:val="22"/>
          </w:rPr>
          <w:t> </w:t>
        </w:r>
        <w:r>
          <w:rPr>
            <w:sz w:val="22"/>
          </w:rPr>
          <w:t>de</w:t>
        </w:r>
        <w:r>
          <w:rPr>
            <w:spacing w:val="-1"/>
            <w:sz w:val="22"/>
          </w:rPr>
          <w:t> </w:t>
        </w:r>
        <w:r>
          <w:rPr>
            <w:sz w:val="22"/>
          </w:rPr>
          <w:t>Bolivia</w:t>
          <w:tab/>
          <w:t>131</w:t>
        </w:r>
      </w:hyperlink>
    </w:p>
    <w:p>
      <w:pPr>
        <w:tabs>
          <w:tab w:pos="8601" w:val="left" w:leader="dot"/>
        </w:tabs>
        <w:spacing w:before="38"/>
        <w:ind w:left="102" w:right="0" w:firstLine="0"/>
        <w:jc w:val="left"/>
        <w:rPr>
          <w:sz w:val="22"/>
        </w:rPr>
      </w:pPr>
      <w:hyperlink w:history="true" w:anchor="_bookmark93">
        <w:r>
          <w:rPr>
            <w:sz w:val="22"/>
          </w:rPr>
          <w:t>Cuadro 3. 5: Evaluación de cambios institucionales en las finanzas públicas</w:t>
        </w:r>
        <w:r>
          <w:rPr>
            <w:spacing w:val="-19"/>
            <w:sz w:val="22"/>
          </w:rPr>
          <w:t> </w:t>
        </w:r>
        <w:r>
          <w:rPr>
            <w:sz w:val="22"/>
          </w:rPr>
          <w:t>de</w:t>
        </w:r>
        <w:r>
          <w:rPr>
            <w:spacing w:val="-4"/>
            <w:sz w:val="22"/>
          </w:rPr>
          <w:t> </w:t>
        </w:r>
        <w:r>
          <w:rPr>
            <w:sz w:val="22"/>
          </w:rPr>
          <w:t>Bolivia</w:t>
          <w:tab/>
          <w:t>132</w:t>
        </w:r>
      </w:hyperlink>
    </w:p>
    <w:p>
      <w:pPr>
        <w:tabs>
          <w:tab w:pos="8601" w:val="left" w:leader="dot"/>
        </w:tabs>
        <w:spacing w:line="278" w:lineRule="auto" w:before="37"/>
        <w:ind w:left="102" w:right="107" w:firstLine="0"/>
        <w:jc w:val="left"/>
        <w:rPr>
          <w:sz w:val="22"/>
        </w:rPr>
      </w:pPr>
      <w:hyperlink w:history="true" w:anchor="_bookmark94">
        <w:r>
          <w:rPr>
            <w:sz w:val="22"/>
          </w:rPr>
          <w:t>Cuadro 3. 6: Cambios institucionales en la asignación de los ingresos fiscales gasíferos y no</w:t>
        </w:r>
      </w:hyperlink>
      <w:r>
        <w:rPr>
          <w:sz w:val="22"/>
        </w:rPr>
        <w:t> </w:t>
      </w:r>
      <w:hyperlink w:history="true" w:anchor="_bookmark94">
        <w:r>
          <w:rPr>
            <w:sz w:val="22"/>
          </w:rPr>
          <w:t>gasíferos</w:t>
          <w:tab/>
          <w:t>133</w:t>
        </w:r>
      </w:hyperlink>
    </w:p>
    <w:p>
      <w:pPr>
        <w:tabs>
          <w:tab w:pos="8601" w:val="left" w:leader="dot"/>
        </w:tabs>
        <w:spacing w:line="251" w:lineRule="exact" w:before="0"/>
        <w:ind w:left="102" w:right="0" w:firstLine="0"/>
        <w:jc w:val="left"/>
        <w:rPr>
          <w:sz w:val="22"/>
        </w:rPr>
      </w:pPr>
      <w:hyperlink w:history="true" w:anchor="_bookmark96">
        <w:r>
          <w:rPr>
            <w:sz w:val="22"/>
          </w:rPr>
          <w:t>Cuadro 3. 7: Elasticidades de los</w:t>
        </w:r>
        <w:r>
          <w:rPr>
            <w:spacing w:val="-9"/>
            <w:sz w:val="22"/>
          </w:rPr>
          <w:t> </w:t>
        </w:r>
        <w:r>
          <w:rPr>
            <w:sz w:val="22"/>
          </w:rPr>
          <w:t>ingresos</w:t>
        </w:r>
        <w:r>
          <w:rPr>
            <w:spacing w:val="-3"/>
            <w:sz w:val="22"/>
          </w:rPr>
          <w:t> </w:t>
        </w:r>
        <w:r>
          <w:rPr>
            <w:sz w:val="22"/>
          </w:rPr>
          <w:t>fiscales</w:t>
          <w:tab/>
          <w:t>135</w:t>
        </w:r>
      </w:hyperlink>
    </w:p>
    <w:p>
      <w:pPr>
        <w:tabs>
          <w:tab w:pos="8601" w:val="left" w:leader="dot"/>
        </w:tabs>
        <w:spacing w:before="37"/>
        <w:ind w:left="102" w:right="0" w:firstLine="0"/>
        <w:jc w:val="left"/>
        <w:rPr>
          <w:sz w:val="22"/>
        </w:rPr>
      </w:pPr>
      <w:hyperlink w:history="true" w:anchor="_bookmark98">
        <w:r>
          <w:rPr>
            <w:sz w:val="22"/>
          </w:rPr>
          <w:t>Cuadro 3. 8: Procíclicalidad de la política fiscal (Promedio</w:t>
        </w:r>
        <w:r>
          <w:rPr>
            <w:spacing w:val="-17"/>
            <w:sz w:val="22"/>
          </w:rPr>
          <w:t> </w:t>
        </w:r>
        <w:r>
          <w:rPr>
            <w:sz w:val="22"/>
          </w:rPr>
          <w:t>por</w:t>
        </w:r>
        <w:r>
          <w:rPr>
            <w:spacing w:val="-2"/>
            <w:sz w:val="22"/>
          </w:rPr>
          <w:t> </w:t>
        </w:r>
        <w:r>
          <w:rPr>
            <w:sz w:val="22"/>
          </w:rPr>
          <w:t>períodos)</w:t>
          <w:tab/>
          <w:t>136</w:t>
        </w:r>
      </w:hyperlink>
    </w:p>
    <w:p>
      <w:pPr>
        <w:tabs>
          <w:tab w:pos="8601" w:val="left" w:leader="dot"/>
        </w:tabs>
        <w:spacing w:before="37"/>
        <w:ind w:left="102" w:right="0" w:firstLine="0"/>
        <w:jc w:val="left"/>
        <w:rPr>
          <w:sz w:val="22"/>
        </w:rPr>
      </w:pPr>
      <w:hyperlink w:history="true" w:anchor="_bookmark103">
        <w:r>
          <w:rPr>
            <w:sz w:val="22"/>
          </w:rPr>
          <w:t>Cuadro 3. 9: Dos reglas alternativas para el balance primario</w:t>
        </w:r>
        <w:r>
          <w:rPr>
            <w:spacing w:val="-12"/>
            <w:sz w:val="22"/>
          </w:rPr>
          <w:t> </w:t>
        </w:r>
        <w:r>
          <w:rPr>
            <w:sz w:val="22"/>
          </w:rPr>
          <w:t>meta</w:t>
        </w:r>
        <w:r>
          <w:rPr>
            <w:spacing w:val="-1"/>
            <w:sz w:val="22"/>
          </w:rPr>
          <w:t> </w:t>
        </w:r>
        <w:r>
          <w:rPr>
            <w:sz w:val="22"/>
          </w:rPr>
          <w:t>(2003-2011)</w:t>
          <w:tab/>
          <w:t>139</w:t>
        </w:r>
      </w:hyperlink>
    </w:p>
    <w:p>
      <w:pPr>
        <w:tabs>
          <w:tab w:pos="8601" w:val="left" w:leader="dot"/>
        </w:tabs>
        <w:spacing w:before="37"/>
        <w:ind w:left="102" w:right="0" w:firstLine="0"/>
        <w:jc w:val="left"/>
        <w:rPr>
          <w:sz w:val="22"/>
        </w:rPr>
      </w:pPr>
      <w:hyperlink w:history="true" w:anchor="_bookmark104">
        <w:r>
          <w:rPr>
            <w:sz w:val="22"/>
          </w:rPr>
          <w:t>Cuadro 3. 10: Grado de sostenibilidad fiscal para el período 2003</w:t>
        </w:r>
        <w:r>
          <w:rPr>
            <w:spacing w:val="-12"/>
            <w:sz w:val="22"/>
          </w:rPr>
          <w:t> </w:t>
        </w:r>
        <w:r>
          <w:rPr>
            <w:sz w:val="22"/>
          </w:rPr>
          <w:t>–</w:t>
        </w:r>
        <w:r>
          <w:rPr>
            <w:spacing w:val="-1"/>
            <w:sz w:val="22"/>
          </w:rPr>
          <w:t> </w:t>
        </w:r>
        <w:r>
          <w:rPr>
            <w:sz w:val="22"/>
          </w:rPr>
          <w:t>2011</w:t>
          <w:tab/>
          <w:t>139</w:t>
        </w:r>
      </w:hyperlink>
    </w:p>
    <w:p>
      <w:pPr>
        <w:pStyle w:val="BodyText"/>
        <w:rPr>
          <w:sz w:val="22"/>
        </w:rPr>
      </w:pPr>
    </w:p>
    <w:p>
      <w:pPr>
        <w:pStyle w:val="BodyText"/>
        <w:rPr>
          <w:sz w:val="22"/>
        </w:rPr>
      </w:pPr>
    </w:p>
    <w:p>
      <w:pPr>
        <w:tabs>
          <w:tab w:pos="8601" w:val="left" w:leader="dot"/>
        </w:tabs>
        <w:spacing w:line="276" w:lineRule="auto" w:before="167"/>
        <w:ind w:left="102" w:right="107" w:firstLine="0"/>
        <w:jc w:val="left"/>
        <w:rPr>
          <w:sz w:val="22"/>
        </w:rPr>
      </w:pPr>
      <w:hyperlink w:history="true" w:anchor="_bookmark115">
        <w:r>
          <w:rPr>
            <w:sz w:val="22"/>
          </w:rPr>
          <w:t>Cuadro 4. 1: Correlaciones de Pearson para las series de tiempo en niveles con ajuste estacional 150</w:t>
        </w:r>
      </w:hyperlink>
      <w:r>
        <w:rPr>
          <w:sz w:val="22"/>
        </w:rPr>
        <w:t> </w:t>
      </w:r>
      <w:hyperlink w:history="true" w:anchor="_bookmark116">
        <w:r>
          <w:rPr>
            <w:sz w:val="22"/>
          </w:rPr>
          <w:t>Cuadro 4. 2: Correlaciones de Pearson para mediciones alternativas del</w:t>
        </w:r>
        <w:r>
          <w:rPr>
            <w:spacing w:val="-14"/>
            <w:sz w:val="22"/>
          </w:rPr>
          <w:t> </w:t>
        </w:r>
        <w:r>
          <w:rPr>
            <w:sz w:val="22"/>
          </w:rPr>
          <w:t>resultado</w:t>
        </w:r>
        <w:r>
          <w:rPr>
            <w:spacing w:val="-1"/>
            <w:sz w:val="22"/>
          </w:rPr>
          <w:t> </w:t>
        </w:r>
        <w:r>
          <w:rPr>
            <w:sz w:val="22"/>
          </w:rPr>
          <w:t>fiscal</w:t>
          <w:tab/>
          <w:t>151</w:t>
        </w:r>
      </w:hyperlink>
    </w:p>
    <w:p>
      <w:pPr>
        <w:tabs>
          <w:tab w:pos="8601" w:val="left" w:leader="dot"/>
        </w:tabs>
        <w:spacing w:line="276" w:lineRule="auto" w:before="3"/>
        <w:ind w:left="102" w:right="102" w:firstLine="0"/>
        <w:jc w:val="left"/>
        <w:rPr>
          <w:sz w:val="22"/>
        </w:rPr>
      </w:pPr>
      <w:hyperlink w:history="true" w:anchor="_bookmark117">
        <w:r>
          <w:rPr>
            <w:sz w:val="22"/>
          </w:rPr>
          <w:t>Cuadro 4. 3: Estadísticos descriptivos para la asignación de ingresos fiscales gasíferos y no</w:t>
        </w:r>
      </w:hyperlink>
      <w:r>
        <w:rPr>
          <w:sz w:val="22"/>
        </w:rPr>
        <w:t> </w:t>
      </w:r>
      <w:hyperlink w:history="true" w:anchor="_bookmark117">
        <w:r>
          <w:rPr>
            <w:sz w:val="22"/>
          </w:rPr>
          <w:t>gasíferos,</w:t>
        </w:r>
        <w:r>
          <w:rPr>
            <w:spacing w:val="-1"/>
            <w:sz w:val="22"/>
          </w:rPr>
          <w:t> </w:t>
        </w:r>
        <w:r>
          <w:rPr>
            <w:sz w:val="22"/>
          </w:rPr>
          <w:t>2003-2012</w:t>
          <w:tab/>
          <w:t>151</w:t>
        </w:r>
      </w:hyperlink>
    </w:p>
    <w:p>
      <w:pPr>
        <w:tabs>
          <w:tab w:pos="8601" w:val="left" w:leader="dot"/>
        </w:tabs>
        <w:spacing w:line="276" w:lineRule="auto" w:before="1"/>
        <w:ind w:left="102" w:right="106" w:firstLine="0"/>
        <w:jc w:val="left"/>
        <w:rPr>
          <w:sz w:val="22"/>
        </w:rPr>
      </w:pPr>
      <w:hyperlink w:history="true" w:anchor="_bookmark120">
        <w:r>
          <w:rPr>
            <w:sz w:val="22"/>
          </w:rPr>
          <w:t>Cuadro 4. 4: Reglas fiscales alternativas para la asignación de ingresos fiscales gasíferos y no</w:t>
        </w:r>
      </w:hyperlink>
      <w:r>
        <w:rPr>
          <w:sz w:val="22"/>
        </w:rPr>
        <w:t> </w:t>
      </w:r>
      <w:hyperlink w:history="true" w:anchor="_bookmark120">
        <w:r>
          <w:rPr>
            <w:sz w:val="22"/>
          </w:rPr>
          <w:t>gasíferos al</w:t>
        </w:r>
        <w:r>
          <w:rPr>
            <w:spacing w:val="-3"/>
            <w:sz w:val="22"/>
          </w:rPr>
          <w:t> </w:t>
        </w:r>
        <w:r>
          <w:rPr>
            <w:sz w:val="22"/>
          </w:rPr>
          <w:t>gasto</w:t>
        </w:r>
        <w:r>
          <w:rPr>
            <w:spacing w:val="-2"/>
            <w:sz w:val="22"/>
          </w:rPr>
          <w:t> </w:t>
        </w:r>
        <w:r>
          <w:rPr>
            <w:sz w:val="22"/>
          </w:rPr>
          <w:t>público</w:t>
          <w:tab/>
          <w:t>157</w:t>
        </w:r>
      </w:hyperlink>
    </w:p>
    <w:p>
      <w:pPr>
        <w:tabs>
          <w:tab w:pos="8601" w:val="left" w:leader="dot"/>
        </w:tabs>
        <w:spacing w:before="1"/>
        <w:ind w:left="102" w:right="0" w:firstLine="0"/>
        <w:jc w:val="left"/>
        <w:rPr>
          <w:sz w:val="22"/>
        </w:rPr>
      </w:pPr>
      <w:hyperlink w:history="true" w:anchor="_bookmark127">
        <w:r>
          <w:rPr>
            <w:sz w:val="22"/>
          </w:rPr>
          <w:t>Cuadro 4. 5: Causalidad en el sentido de Granger para la posición fiscal</w:t>
        </w:r>
        <w:r>
          <w:rPr>
            <w:spacing w:val="-17"/>
            <w:sz w:val="22"/>
          </w:rPr>
          <w:t> </w:t>
        </w:r>
        <w:r>
          <w:rPr>
            <w:sz w:val="22"/>
          </w:rPr>
          <w:t>de</w:t>
        </w:r>
        <w:r>
          <w:rPr>
            <w:spacing w:val="-1"/>
            <w:sz w:val="22"/>
          </w:rPr>
          <w:t> </w:t>
        </w:r>
        <w:r>
          <w:rPr>
            <w:sz w:val="22"/>
          </w:rPr>
          <w:t>Bolivia</w:t>
          <w:tab/>
          <w:t>162</w:t>
        </w:r>
      </w:hyperlink>
    </w:p>
    <w:p>
      <w:pPr>
        <w:tabs>
          <w:tab w:pos="8601" w:val="left" w:leader="dot"/>
        </w:tabs>
        <w:spacing w:before="40"/>
        <w:ind w:left="102" w:right="0" w:firstLine="0"/>
        <w:jc w:val="left"/>
        <w:rPr>
          <w:sz w:val="22"/>
        </w:rPr>
      </w:pPr>
      <w:hyperlink w:history="true" w:anchor="_bookmark129">
        <w:r>
          <w:rPr>
            <w:sz w:val="22"/>
          </w:rPr>
          <w:t>Cuadro 4. 6: Resultados de la</w:t>
        </w:r>
        <w:r>
          <w:rPr>
            <w:spacing w:val="-10"/>
            <w:sz w:val="22"/>
          </w:rPr>
          <w:t> </w:t>
        </w:r>
        <w:r>
          <w:rPr>
            <w:sz w:val="22"/>
          </w:rPr>
          <w:t>factorización</w:t>
        </w:r>
        <w:r>
          <w:rPr>
            <w:spacing w:val="-4"/>
            <w:sz w:val="22"/>
          </w:rPr>
          <w:t> </w:t>
        </w:r>
        <w:r>
          <w:rPr>
            <w:sz w:val="22"/>
          </w:rPr>
          <w:t>estructural</w:t>
          <w:tab/>
          <w:t>166</w:t>
        </w:r>
      </w:hyperlink>
    </w:p>
    <w:p>
      <w:pPr>
        <w:tabs>
          <w:tab w:pos="8601" w:val="left" w:leader="dot"/>
        </w:tabs>
        <w:spacing w:before="37"/>
        <w:ind w:left="102" w:right="0" w:firstLine="0"/>
        <w:jc w:val="left"/>
        <w:rPr>
          <w:sz w:val="22"/>
        </w:rPr>
      </w:pPr>
      <w:hyperlink w:history="true" w:anchor="_bookmark135">
        <w:r>
          <w:rPr>
            <w:sz w:val="22"/>
          </w:rPr>
          <w:t>Cuadro 4. 7: Descomposición de la varianza estructural de las variables</w:t>
        </w:r>
        <w:r>
          <w:rPr>
            <w:spacing w:val="-17"/>
            <w:sz w:val="22"/>
          </w:rPr>
          <w:t> </w:t>
        </w:r>
        <w:r>
          <w:rPr>
            <w:sz w:val="22"/>
          </w:rPr>
          <w:t>(Modelo</w:t>
        </w:r>
        <w:r>
          <w:rPr>
            <w:spacing w:val="-5"/>
            <w:sz w:val="22"/>
          </w:rPr>
          <w:t> </w:t>
        </w:r>
        <w:r>
          <w:rPr>
            <w:sz w:val="22"/>
          </w:rPr>
          <w:t>A)</w:t>
          <w:tab/>
          <w:t>173</w:t>
        </w:r>
      </w:hyperlink>
    </w:p>
    <w:p>
      <w:pPr>
        <w:tabs>
          <w:tab w:pos="8601" w:val="left" w:leader="dot"/>
        </w:tabs>
        <w:spacing w:before="37"/>
        <w:ind w:left="102" w:right="0" w:firstLine="0"/>
        <w:jc w:val="left"/>
        <w:rPr>
          <w:sz w:val="22"/>
        </w:rPr>
      </w:pPr>
      <w:hyperlink w:history="true" w:anchor="_bookmark136">
        <w:r>
          <w:rPr>
            <w:sz w:val="22"/>
          </w:rPr>
          <w:t>Cuadro 4. 8: Descomposición de la varianza estructural de las variables</w:t>
        </w:r>
        <w:r>
          <w:rPr>
            <w:spacing w:val="-16"/>
            <w:sz w:val="22"/>
          </w:rPr>
          <w:t> </w:t>
        </w:r>
        <w:r>
          <w:rPr>
            <w:sz w:val="22"/>
          </w:rPr>
          <w:t>(Modelo</w:t>
        </w:r>
        <w:r>
          <w:rPr>
            <w:spacing w:val="-5"/>
            <w:sz w:val="22"/>
          </w:rPr>
          <w:t> </w:t>
        </w:r>
        <w:r>
          <w:rPr>
            <w:sz w:val="22"/>
          </w:rPr>
          <w:t>B)</w:t>
          <w:tab/>
          <w:t>174</w:t>
        </w:r>
      </w:hyperlink>
    </w:p>
    <w:p>
      <w:pPr>
        <w:tabs>
          <w:tab w:pos="8601" w:val="left" w:leader="dot"/>
        </w:tabs>
        <w:spacing w:before="37"/>
        <w:ind w:left="102" w:right="0" w:firstLine="0"/>
        <w:jc w:val="left"/>
        <w:rPr>
          <w:sz w:val="22"/>
        </w:rPr>
      </w:pPr>
      <w:hyperlink w:history="true" w:anchor="_bookmark138">
        <w:r>
          <w:rPr>
            <w:sz w:val="22"/>
          </w:rPr>
          <w:t>Cuadro 4. 9: Choques estructurales determinantes de los resultados fiscales</w:t>
        </w:r>
        <w:r>
          <w:rPr>
            <w:spacing w:val="-17"/>
            <w:sz w:val="22"/>
          </w:rPr>
          <w:t> </w:t>
        </w:r>
        <w:r>
          <w:rPr>
            <w:sz w:val="22"/>
          </w:rPr>
          <w:t>para</w:t>
        </w:r>
        <w:r>
          <w:rPr>
            <w:spacing w:val="-4"/>
            <w:sz w:val="22"/>
          </w:rPr>
          <w:t> </w:t>
        </w:r>
        <w:r>
          <w:rPr>
            <w:sz w:val="22"/>
          </w:rPr>
          <w:t>Bolivia</w:t>
          <w:tab/>
          <w:t>177</w:t>
        </w:r>
      </w:hyperlink>
    </w:p>
    <w:p>
      <w:pPr>
        <w:tabs>
          <w:tab w:pos="8601" w:val="left" w:leader="dot"/>
        </w:tabs>
        <w:spacing w:before="39"/>
        <w:ind w:left="102" w:right="0" w:firstLine="0"/>
        <w:jc w:val="left"/>
        <w:rPr>
          <w:sz w:val="22"/>
        </w:rPr>
      </w:pPr>
      <w:hyperlink w:history="true" w:anchor="_bookmark139">
        <w:r>
          <w:rPr>
            <w:sz w:val="22"/>
          </w:rPr>
          <w:t>Cuadro 4. 10: Choques estructurales determinantes de la deuda pública</w:t>
        </w:r>
        <w:r>
          <w:rPr>
            <w:spacing w:val="35"/>
            <w:sz w:val="22"/>
          </w:rPr>
          <w:t> </w:t>
        </w:r>
        <w:r>
          <w:rPr>
            <w:sz w:val="22"/>
          </w:rPr>
          <w:t>para</w:t>
        </w:r>
        <w:r>
          <w:rPr>
            <w:spacing w:val="-2"/>
            <w:sz w:val="22"/>
          </w:rPr>
          <w:t> </w:t>
        </w:r>
        <w:r>
          <w:rPr>
            <w:sz w:val="22"/>
          </w:rPr>
          <w:t>Bolivia</w:t>
          <w:tab/>
          <w:t>178</w:t>
        </w:r>
      </w:hyperlink>
    </w:p>
    <w:p>
      <w:pPr>
        <w:tabs>
          <w:tab w:pos="8601" w:val="left" w:leader="dot"/>
        </w:tabs>
        <w:spacing w:before="38"/>
        <w:ind w:left="102" w:right="0" w:firstLine="0"/>
        <w:jc w:val="left"/>
        <w:rPr>
          <w:sz w:val="22"/>
        </w:rPr>
      </w:pPr>
      <w:hyperlink w:history="true" w:anchor="_bookmark141">
        <w:r>
          <w:rPr>
            <w:sz w:val="22"/>
          </w:rPr>
          <w:t>Cuadro 4. 11: Deuda pública máxima a corto y mediano plazo</w:t>
        </w:r>
        <w:r>
          <w:rPr>
            <w:spacing w:val="-6"/>
            <w:sz w:val="22"/>
          </w:rPr>
          <w:t> </w:t>
        </w:r>
        <w:r>
          <w:rPr>
            <w:sz w:val="22"/>
          </w:rPr>
          <w:t>-</w:t>
        </w:r>
        <w:r>
          <w:rPr>
            <w:spacing w:val="-5"/>
            <w:sz w:val="22"/>
          </w:rPr>
          <w:t> </w:t>
        </w:r>
        <w:r>
          <w:rPr>
            <w:sz w:val="22"/>
          </w:rPr>
          <w:t>2016</w:t>
          <w:tab/>
          <w:t>179</w:t>
        </w:r>
      </w:hyperlink>
    </w:p>
    <w:p>
      <w:pPr>
        <w:spacing w:after="0"/>
        <w:jc w:val="left"/>
        <w:rPr>
          <w:sz w:val="22"/>
        </w:rPr>
        <w:sectPr>
          <w:pgSz w:w="12250" w:h="15850"/>
          <w:pgMar w:header="0" w:footer="1035" w:top="1380" w:bottom="1220" w:left="1600" w:right="1600"/>
        </w:sectPr>
      </w:pPr>
    </w:p>
    <w:p>
      <w:pPr>
        <w:tabs>
          <w:tab w:pos="8933" w:val="right" w:leader="dot"/>
        </w:tabs>
        <w:spacing w:line="278" w:lineRule="auto" w:before="48"/>
        <w:ind w:left="102" w:right="117" w:firstLine="0"/>
        <w:jc w:val="left"/>
        <w:rPr>
          <w:sz w:val="22"/>
        </w:rPr>
      </w:pPr>
      <w:hyperlink w:history="true" w:anchor="_bookmark142">
        <w:r>
          <w:rPr>
            <w:sz w:val="22"/>
          </w:rPr>
          <w:t>Cuadro 4. 12: Prueba de hipótesis para las reglas fiscales alternativas en comparación con el</w:t>
        </w:r>
      </w:hyperlink>
      <w:r>
        <w:rPr>
          <w:sz w:val="22"/>
        </w:rPr>
        <w:t> </w:t>
      </w:r>
      <w:hyperlink w:history="true" w:anchor="_bookmark142">
        <w:r>
          <w:rPr>
            <w:sz w:val="22"/>
          </w:rPr>
          <w:t>escenario base</w:t>
          <w:tab/>
          <w:t>179</w:t>
        </w:r>
      </w:hyperlink>
    </w:p>
    <w:p>
      <w:pPr>
        <w:tabs>
          <w:tab w:pos="8933" w:val="right" w:leader="dot"/>
        </w:tabs>
        <w:spacing w:line="251" w:lineRule="exact" w:before="0"/>
        <w:ind w:left="102" w:right="0" w:firstLine="0"/>
        <w:jc w:val="left"/>
        <w:rPr>
          <w:sz w:val="22"/>
        </w:rPr>
      </w:pPr>
      <w:hyperlink w:history="true" w:anchor="_bookmark143">
        <w:r>
          <w:rPr>
            <w:sz w:val="22"/>
          </w:rPr>
          <w:t>Cuadro 4. 13: Prueba de hipótesis para las reglas</w:t>
        </w:r>
        <w:r>
          <w:rPr>
            <w:spacing w:val="-9"/>
            <w:sz w:val="22"/>
          </w:rPr>
          <w:t> </w:t>
        </w:r>
        <w:r>
          <w:rPr>
            <w:sz w:val="22"/>
          </w:rPr>
          <w:t>fiscales</w:t>
        </w:r>
        <w:r>
          <w:rPr>
            <w:spacing w:val="-1"/>
            <w:sz w:val="22"/>
          </w:rPr>
          <w:t> </w:t>
        </w:r>
        <w:r>
          <w:rPr>
            <w:sz w:val="22"/>
          </w:rPr>
          <w:t>alternativas</w:t>
          <w:tab/>
          <w:t>180</w:t>
        </w:r>
      </w:hyperlink>
    </w:p>
    <w:p>
      <w:pPr>
        <w:tabs>
          <w:tab w:pos="1557" w:val="left" w:leader="none"/>
          <w:tab w:pos="8933" w:val="right" w:leader="dot"/>
        </w:tabs>
        <w:spacing w:line="276" w:lineRule="auto" w:before="37"/>
        <w:ind w:left="102" w:right="121" w:firstLine="0"/>
        <w:jc w:val="left"/>
        <w:rPr>
          <w:sz w:val="22"/>
        </w:rPr>
      </w:pPr>
      <w:hyperlink w:history="true" w:anchor="_bookmark146">
        <w:r>
          <w:rPr>
            <w:sz w:val="22"/>
          </w:rPr>
          <w:t>Cuadro</w:t>
        </w:r>
        <w:r>
          <w:rPr>
            <w:spacing w:val="4"/>
            <w:sz w:val="22"/>
          </w:rPr>
          <w:t> </w:t>
        </w:r>
        <w:r>
          <w:rPr>
            <w:sz w:val="22"/>
          </w:rPr>
          <w:t>4.</w:t>
        </w:r>
        <w:r>
          <w:rPr>
            <w:spacing w:val="4"/>
            <w:sz w:val="22"/>
          </w:rPr>
          <w:t> </w:t>
        </w:r>
        <w:r>
          <w:rPr>
            <w:sz w:val="22"/>
          </w:rPr>
          <w:t>14:</w:t>
          <w:tab/>
          <w:t>Probabilidad de disminución de deuda pública/ PIB frente a una condición</w:t>
        </w:r>
        <w:r>
          <w:rPr>
            <w:spacing w:val="36"/>
            <w:sz w:val="22"/>
          </w:rPr>
          <w:t> </w:t>
        </w:r>
        <w:r>
          <w:rPr>
            <w:sz w:val="22"/>
          </w:rPr>
          <w:t>inicial</w:t>
        </w:r>
        <w:r>
          <w:rPr>
            <w:spacing w:val="5"/>
            <w:sz w:val="22"/>
          </w:rPr>
          <w:t> </w:t>
        </w:r>
        <w:r>
          <w:rPr>
            <w:sz w:val="22"/>
          </w:rPr>
          <w:t>y</w:t>
        </w:r>
      </w:hyperlink>
      <w:r>
        <w:rPr>
          <w:w w:val="100"/>
          <w:sz w:val="22"/>
        </w:rPr>
        <w:t> </w:t>
      </w:r>
      <w:hyperlink w:history="true" w:anchor="_bookmark146">
        <w:r>
          <w:rPr>
            <w:sz w:val="22"/>
          </w:rPr>
          <w:t>prospectivas alternativas (2012</w:t>
        </w:r>
        <w:r>
          <w:rPr>
            <w:spacing w:val="2"/>
            <w:sz w:val="22"/>
          </w:rPr>
          <w:t> </w:t>
        </w:r>
        <w:r>
          <w:rPr>
            <w:sz w:val="22"/>
          </w:rPr>
          <w:t>-</w:t>
        </w:r>
        <w:r>
          <w:rPr>
            <w:spacing w:val="-5"/>
            <w:sz w:val="22"/>
          </w:rPr>
          <w:t> </w:t>
        </w:r>
        <w:r>
          <w:rPr>
            <w:sz w:val="22"/>
          </w:rPr>
          <w:t>2016)</w:t>
          <w:tab/>
          <w:t>182</w:t>
        </w:r>
      </w:hyperlink>
    </w:p>
    <w:p>
      <w:pPr>
        <w:tabs>
          <w:tab w:pos="8933" w:val="right" w:leader="dot"/>
        </w:tabs>
        <w:spacing w:before="3"/>
        <w:ind w:left="102" w:right="0" w:firstLine="0"/>
        <w:jc w:val="left"/>
        <w:rPr>
          <w:sz w:val="22"/>
        </w:rPr>
      </w:pPr>
      <w:hyperlink w:history="true" w:anchor="_bookmark148">
        <w:r>
          <w:rPr>
            <w:sz w:val="22"/>
          </w:rPr>
          <w:t>Cuadro 4. 15: Volatilidad de las reglas fiscales en función de la deuda</w:t>
        </w:r>
        <w:r>
          <w:rPr>
            <w:spacing w:val="-16"/>
            <w:sz w:val="22"/>
          </w:rPr>
          <w:t> </w:t>
        </w:r>
        <w:r>
          <w:rPr>
            <w:sz w:val="22"/>
          </w:rPr>
          <w:t>pública</w:t>
        </w:r>
        <w:r>
          <w:rPr>
            <w:spacing w:val="-1"/>
            <w:sz w:val="22"/>
          </w:rPr>
          <w:t> </w:t>
        </w:r>
        <w:r>
          <w:rPr>
            <w:sz w:val="22"/>
          </w:rPr>
          <w:t>máxima</w:t>
          <w:tab/>
          <w:t>184</w:t>
        </w:r>
      </w:hyperlink>
    </w:p>
    <w:p>
      <w:pPr>
        <w:tabs>
          <w:tab w:pos="8933" w:val="right" w:leader="dot"/>
        </w:tabs>
        <w:spacing w:before="37"/>
        <w:ind w:left="102" w:right="0" w:firstLine="0"/>
        <w:jc w:val="left"/>
        <w:rPr>
          <w:sz w:val="22"/>
        </w:rPr>
      </w:pPr>
      <w:hyperlink w:history="true" w:anchor="_bookmark153">
        <w:r>
          <w:rPr>
            <w:sz w:val="22"/>
          </w:rPr>
          <w:t>Cuadro 4. 16: Cláusulas de escape para el déficit del balance global</w:t>
        </w:r>
        <w:r>
          <w:rPr>
            <w:spacing w:val="-10"/>
            <w:sz w:val="22"/>
          </w:rPr>
          <w:t> </w:t>
        </w:r>
        <w:r>
          <w:rPr>
            <w:sz w:val="22"/>
          </w:rPr>
          <w:t>cíclicamente</w:t>
        </w:r>
        <w:r>
          <w:rPr>
            <w:spacing w:val="-3"/>
            <w:sz w:val="22"/>
          </w:rPr>
          <w:t> </w:t>
        </w:r>
        <w:r>
          <w:rPr>
            <w:sz w:val="22"/>
          </w:rPr>
          <w:t>ajustado</w:t>
          <w:tab/>
          <w:t>187</w:t>
        </w:r>
      </w:hyperlink>
    </w:p>
    <w:p>
      <w:pPr>
        <w:tabs>
          <w:tab w:pos="8933" w:val="right" w:leader="dot"/>
        </w:tabs>
        <w:spacing w:before="37"/>
        <w:ind w:left="102" w:right="0" w:firstLine="0"/>
        <w:jc w:val="left"/>
        <w:rPr>
          <w:sz w:val="22"/>
        </w:rPr>
      </w:pPr>
      <w:hyperlink w:history="true" w:anchor="_bookmark154">
        <w:r>
          <w:rPr>
            <w:sz w:val="22"/>
          </w:rPr>
          <w:t>Cuadro 4. 17: Resumen de reglas fiscales propuestas</w:t>
        </w:r>
        <w:r>
          <w:rPr>
            <w:spacing w:val="-11"/>
            <w:sz w:val="22"/>
          </w:rPr>
          <w:t> </w:t>
        </w:r>
        <w:r>
          <w:rPr>
            <w:sz w:val="22"/>
          </w:rPr>
          <w:t>para</w:t>
        </w:r>
        <w:r>
          <w:rPr>
            <w:spacing w:val="-1"/>
            <w:sz w:val="22"/>
          </w:rPr>
          <w:t> </w:t>
        </w:r>
        <w:r>
          <w:rPr>
            <w:sz w:val="22"/>
          </w:rPr>
          <w:t>Bolivia</w:t>
          <w:tab/>
          <w:t>189</w:t>
        </w:r>
      </w:hyperlink>
    </w:p>
    <w:p>
      <w:pPr>
        <w:spacing w:after="0"/>
        <w:jc w:val="left"/>
        <w:rPr>
          <w:sz w:val="22"/>
        </w:rPr>
        <w:sectPr>
          <w:pgSz w:w="12250" w:h="15850"/>
          <w:pgMar w:header="0" w:footer="1035" w:top="1360" w:bottom="1220" w:left="1600" w:right="1580"/>
        </w:sectPr>
      </w:pPr>
    </w:p>
    <w:p>
      <w:pPr>
        <w:spacing w:before="27"/>
        <w:ind w:left="2713" w:right="127" w:firstLine="0"/>
        <w:jc w:val="left"/>
        <w:rPr>
          <w:sz w:val="40"/>
        </w:rPr>
      </w:pPr>
      <w:r>
        <w:rPr>
          <w:sz w:val="40"/>
          <w:u w:val="single"/>
        </w:rPr>
        <w:t>Listado de abreviatura</w:t>
      </w:r>
    </w:p>
    <w:p>
      <w:pPr>
        <w:pStyle w:val="BodyText"/>
        <w:rPr>
          <w:sz w:val="22"/>
        </w:rPr>
      </w:pPr>
    </w:p>
    <w:p>
      <w:pPr>
        <w:pStyle w:val="BodyText"/>
        <w:rPr>
          <w:sz w:val="22"/>
        </w:rPr>
      </w:pPr>
    </w:p>
    <w:p>
      <w:pPr>
        <w:pStyle w:val="BodyText"/>
        <w:rPr>
          <w:sz w:val="22"/>
        </w:rPr>
      </w:pPr>
    </w:p>
    <w:p>
      <w:pPr>
        <w:pStyle w:val="BodyText"/>
        <w:spacing w:before="1"/>
        <w:rPr>
          <w:sz w:val="20"/>
        </w:rPr>
      </w:pPr>
    </w:p>
    <w:p>
      <w:pPr>
        <w:tabs>
          <w:tab w:pos="4764" w:val="left" w:leader="none"/>
        </w:tabs>
        <w:spacing w:before="0" w:after="11"/>
        <w:ind w:left="233" w:right="127" w:firstLine="0"/>
        <w:jc w:val="left"/>
        <w:rPr>
          <w:b/>
          <w:sz w:val="23"/>
        </w:rPr>
      </w:pPr>
      <w:r>
        <w:rPr>
          <w:b/>
          <w:spacing w:val="-4"/>
          <w:sz w:val="23"/>
        </w:rPr>
        <w:t>Abreviatura</w:t>
        <w:tab/>
      </w:r>
      <w:r>
        <w:rPr>
          <w:b/>
          <w:sz w:val="23"/>
        </w:rPr>
        <w:t>Descripción</w:t>
      </w:r>
    </w:p>
    <w:p>
      <w:pPr>
        <w:spacing w:line="37" w:lineRule="exact"/>
        <w:ind w:left="116" w:right="0" w:firstLine="0"/>
        <w:rPr>
          <w:sz w:val="3"/>
        </w:rPr>
      </w:pPr>
      <w:r>
        <w:rPr>
          <w:position w:val="0"/>
          <w:sz w:val="3"/>
        </w:rPr>
        <w:pict>
          <v:group style="width:72.1pt;height:1.9pt;mso-position-horizontal-relative:char;mso-position-vertical-relative:line" coordorigin="0,0" coordsize="1442,38">
            <v:line style="position:absolute" from="13,6" to="1429,6" stroked="true" strokeweight=".614573pt" strokecolor="#000000"/>
            <v:line style="position:absolute" from="6,7" to="1435,7" stroked="true" strokeweight=".614573pt" strokecolor="#000000"/>
            <v:line style="position:absolute" from="13,31" to="1429,31" stroked="true" strokeweight=".614573pt" strokecolor="#000000"/>
            <v:line style="position:absolute" from="6,31" to="1435,31" stroked="true" strokeweight=".614573pt" strokecolor="#000000"/>
          </v:group>
        </w:pict>
      </w:r>
      <w:r>
        <w:rPr>
          <w:position w:val="0"/>
          <w:sz w:val="3"/>
        </w:rPr>
      </w:r>
      <w:r>
        <w:rPr>
          <w:spacing w:val="179"/>
          <w:position w:val="0"/>
          <w:sz w:val="3"/>
        </w:rPr>
        <w:t> </w:t>
      </w:r>
      <w:r>
        <w:rPr>
          <w:spacing w:val="179"/>
          <w:position w:val="0"/>
          <w:sz w:val="3"/>
        </w:rPr>
        <w:pict>
          <v:group style="width:358.95pt;height:1.9pt;mso-position-horizontal-relative:char;mso-position-vertical-relative:line" coordorigin="0,0" coordsize="7179,38">
            <v:line style="position:absolute" from="13,6" to="7165,6" stroked="true" strokeweight=".614573pt" strokecolor="#000000"/>
            <v:line style="position:absolute" from="6,7" to="7172,7" stroked="true" strokeweight=".614573pt" strokecolor="#000000"/>
            <v:line style="position:absolute" from="13,31" to="7165,31" stroked="true" strokeweight=".614573pt" strokecolor="#000000"/>
            <v:line style="position:absolute" from="6,31" to="7172,31" stroked="true" strokeweight=".614573pt" strokecolor="#000000"/>
          </v:group>
        </w:pict>
      </w:r>
      <w:r>
        <w:rPr>
          <w:spacing w:val="179"/>
          <w:position w:val="0"/>
          <w:sz w:val="3"/>
        </w:rPr>
      </w:r>
    </w:p>
    <w:p>
      <w:pPr>
        <w:tabs>
          <w:tab w:pos="1809" w:val="left" w:leader="none"/>
        </w:tabs>
        <w:spacing w:line="278" w:lineRule="auto" w:before="19"/>
        <w:ind w:left="160" w:right="3008" w:firstLine="0"/>
        <w:jc w:val="left"/>
        <w:rPr>
          <w:sz w:val="23"/>
        </w:rPr>
      </w:pPr>
      <w:r>
        <w:rPr>
          <w:sz w:val="23"/>
        </w:rPr>
        <w:t>ARCH</w:t>
        <w:tab/>
      </w:r>
      <w:r>
        <w:rPr>
          <w:spacing w:val="-3"/>
          <w:sz w:val="23"/>
        </w:rPr>
        <w:t>Heteroscedasticidad </w:t>
      </w:r>
      <w:r>
        <w:rPr>
          <w:spacing w:val="15"/>
          <w:sz w:val="23"/>
        </w:rPr>
        <w:t> </w:t>
      </w:r>
      <w:r>
        <w:rPr>
          <w:spacing w:val="-3"/>
          <w:sz w:val="23"/>
        </w:rPr>
        <w:t>condicional</w:t>
      </w:r>
      <w:r>
        <w:rPr>
          <w:spacing w:val="28"/>
          <w:sz w:val="23"/>
        </w:rPr>
        <w:t> </w:t>
      </w:r>
      <w:r>
        <w:rPr>
          <w:spacing w:val="-5"/>
          <w:sz w:val="23"/>
        </w:rPr>
        <w:t>autoregresiva</w:t>
      </w:r>
      <w:r>
        <w:rPr>
          <w:w w:val="101"/>
          <w:sz w:val="23"/>
        </w:rPr>
        <w:t> </w:t>
      </w:r>
      <w:r>
        <w:rPr>
          <w:spacing w:val="-2"/>
          <w:sz w:val="23"/>
        </w:rPr>
        <w:t>BCB</w:t>
        <w:tab/>
      </w:r>
      <w:r>
        <w:rPr>
          <w:spacing w:val="-4"/>
          <w:sz w:val="23"/>
        </w:rPr>
        <w:t>Banco  Central </w:t>
      </w:r>
      <w:r>
        <w:rPr>
          <w:spacing w:val="2"/>
          <w:sz w:val="23"/>
        </w:rPr>
        <w:t>de</w:t>
      </w:r>
      <w:r>
        <w:rPr>
          <w:spacing w:val="-2"/>
          <w:sz w:val="23"/>
        </w:rPr>
        <w:t> </w:t>
      </w:r>
      <w:r>
        <w:rPr>
          <w:spacing w:val="-9"/>
          <w:sz w:val="23"/>
        </w:rPr>
        <w:t>Bolivia</w:t>
      </w:r>
    </w:p>
    <w:p>
      <w:pPr>
        <w:tabs>
          <w:tab w:pos="1809" w:val="left" w:leader="none"/>
        </w:tabs>
        <w:spacing w:line="278" w:lineRule="auto" w:before="2"/>
        <w:ind w:left="160" w:right="3362" w:firstLine="0"/>
        <w:jc w:val="left"/>
        <w:rPr>
          <w:sz w:val="23"/>
        </w:rPr>
      </w:pPr>
      <w:r>
        <w:rPr>
          <w:sz w:val="23"/>
        </w:rPr>
        <w:t>BGCA</w:t>
        <w:tab/>
      </w:r>
      <w:r>
        <w:rPr>
          <w:spacing w:val="-6"/>
          <w:sz w:val="23"/>
        </w:rPr>
        <w:t>Balance  </w:t>
      </w:r>
      <w:r>
        <w:rPr>
          <w:spacing w:val="-4"/>
          <w:sz w:val="23"/>
        </w:rPr>
        <w:t>global </w:t>
      </w:r>
      <w:r>
        <w:rPr>
          <w:spacing w:val="-3"/>
          <w:sz w:val="23"/>
        </w:rPr>
        <w:t>fiscal </w:t>
      </w:r>
      <w:r>
        <w:rPr>
          <w:spacing w:val="-4"/>
          <w:sz w:val="23"/>
        </w:rPr>
        <w:t>cíclicamente</w:t>
      </w:r>
      <w:r>
        <w:rPr>
          <w:spacing w:val="23"/>
          <w:sz w:val="23"/>
        </w:rPr>
        <w:t> </w:t>
      </w:r>
      <w:r>
        <w:rPr>
          <w:spacing w:val="-4"/>
          <w:sz w:val="23"/>
        </w:rPr>
        <w:t>ajustado</w:t>
      </w:r>
      <w:r>
        <w:rPr>
          <w:w w:val="101"/>
          <w:sz w:val="23"/>
        </w:rPr>
        <w:t> </w:t>
      </w:r>
      <w:r>
        <w:rPr>
          <w:spacing w:val="-5"/>
          <w:sz w:val="23"/>
        </w:rPr>
        <w:t>BP</w:t>
        <w:tab/>
      </w:r>
      <w:r>
        <w:rPr>
          <w:spacing w:val="-6"/>
          <w:sz w:val="23"/>
        </w:rPr>
        <w:t>Balance   </w:t>
      </w:r>
      <w:r>
        <w:rPr>
          <w:spacing w:val="-7"/>
          <w:sz w:val="23"/>
        </w:rPr>
        <w:t>primario</w:t>
      </w:r>
      <w:r>
        <w:rPr>
          <w:spacing w:val="17"/>
          <w:sz w:val="23"/>
        </w:rPr>
        <w:t> </w:t>
      </w:r>
      <w:r>
        <w:rPr>
          <w:spacing w:val="-3"/>
          <w:sz w:val="23"/>
        </w:rPr>
        <w:t>fiscal</w:t>
      </w:r>
    </w:p>
    <w:p>
      <w:pPr>
        <w:tabs>
          <w:tab w:pos="1809" w:val="left" w:leader="none"/>
        </w:tabs>
        <w:spacing w:before="2"/>
        <w:ind w:left="160" w:right="127" w:firstLine="0"/>
        <w:jc w:val="left"/>
        <w:rPr>
          <w:sz w:val="23"/>
        </w:rPr>
      </w:pPr>
      <w:r>
        <w:rPr>
          <w:sz w:val="23"/>
        </w:rPr>
        <w:t>BPC</w:t>
        <w:tab/>
      </w:r>
      <w:r>
        <w:rPr>
          <w:spacing w:val="-9"/>
          <w:sz w:val="23"/>
        </w:rPr>
        <w:t>Billones  </w:t>
      </w:r>
      <w:r>
        <w:rPr>
          <w:spacing w:val="2"/>
          <w:sz w:val="23"/>
        </w:rPr>
        <w:t>de </w:t>
      </w:r>
      <w:r>
        <w:rPr>
          <w:spacing w:val="-5"/>
          <w:sz w:val="23"/>
        </w:rPr>
        <w:t>pies  </w:t>
      </w:r>
      <w:r>
        <w:rPr>
          <w:sz w:val="23"/>
        </w:rPr>
        <w:t>cúbicos </w:t>
      </w:r>
      <w:r>
        <w:rPr>
          <w:spacing w:val="-5"/>
          <w:sz w:val="23"/>
        </w:rPr>
        <w:t>(gas</w:t>
      </w:r>
      <w:r>
        <w:rPr>
          <w:spacing w:val="20"/>
          <w:sz w:val="23"/>
        </w:rPr>
        <w:t> </w:t>
      </w:r>
      <w:r>
        <w:rPr>
          <w:spacing w:val="-7"/>
          <w:sz w:val="23"/>
        </w:rPr>
        <w:t>natural)</w:t>
      </w:r>
    </w:p>
    <w:p>
      <w:pPr>
        <w:tabs>
          <w:tab w:pos="1809" w:val="left" w:leader="none"/>
        </w:tabs>
        <w:spacing w:before="43"/>
        <w:ind w:left="160" w:right="127" w:firstLine="0"/>
        <w:jc w:val="left"/>
        <w:rPr>
          <w:sz w:val="23"/>
        </w:rPr>
      </w:pPr>
      <w:r>
        <w:rPr>
          <w:spacing w:val="-4"/>
          <w:sz w:val="23"/>
        </w:rPr>
        <w:t>BPNG</w:t>
        <w:tab/>
      </w:r>
      <w:r>
        <w:rPr>
          <w:spacing w:val="-6"/>
          <w:sz w:val="23"/>
        </w:rPr>
        <w:t>Balance </w:t>
      </w:r>
      <w:r>
        <w:rPr>
          <w:spacing w:val="-7"/>
          <w:sz w:val="23"/>
        </w:rPr>
        <w:t>primario  </w:t>
      </w:r>
      <w:r>
        <w:rPr>
          <w:spacing w:val="-3"/>
          <w:sz w:val="23"/>
        </w:rPr>
        <w:t>fiscal </w:t>
      </w:r>
      <w:r>
        <w:rPr>
          <w:spacing w:val="-4"/>
          <w:sz w:val="23"/>
        </w:rPr>
        <w:t>no</w:t>
      </w:r>
      <w:r>
        <w:rPr>
          <w:spacing w:val="18"/>
          <w:sz w:val="23"/>
        </w:rPr>
        <w:t> </w:t>
      </w:r>
      <w:r>
        <w:rPr>
          <w:sz w:val="23"/>
        </w:rPr>
        <w:t>gasífero</w:t>
      </w:r>
    </w:p>
    <w:p>
      <w:pPr>
        <w:tabs>
          <w:tab w:pos="1809" w:val="left" w:leader="none"/>
        </w:tabs>
        <w:spacing w:before="43"/>
        <w:ind w:left="160" w:right="127" w:firstLine="0"/>
        <w:jc w:val="left"/>
        <w:rPr>
          <w:sz w:val="23"/>
        </w:rPr>
      </w:pPr>
      <w:r>
        <w:rPr>
          <w:sz w:val="23"/>
        </w:rPr>
        <w:t>CF</w:t>
        <w:tab/>
      </w:r>
      <w:r>
        <w:rPr>
          <w:spacing w:val="-7"/>
          <w:sz w:val="23"/>
        </w:rPr>
        <w:t>Filtro  </w:t>
      </w:r>
      <w:r>
        <w:rPr>
          <w:spacing w:val="-6"/>
          <w:sz w:val="23"/>
        </w:rPr>
        <w:t>Christiano  </w:t>
      </w:r>
      <w:r>
        <w:rPr>
          <w:sz w:val="23"/>
        </w:rPr>
        <w:t>&amp;</w:t>
      </w:r>
      <w:r>
        <w:rPr>
          <w:spacing w:val="1"/>
          <w:sz w:val="23"/>
        </w:rPr>
        <w:t> </w:t>
      </w:r>
      <w:r>
        <w:rPr>
          <w:spacing w:val="-7"/>
          <w:sz w:val="23"/>
        </w:rPr>
        <w:t>Fitzgerald</w:t>
      </w:r>
    </w:p>
    <w:p>
      <w:pPr>
        <w:tabs>
          <w:tab w:pos="1809" w:val="left" w:leader="none"/>
        </w:tabs>
        <w:spacing w:before="43"/>
        <w:ind w:left="160" w:right="127" w:firstLine="0"/>
        <w:jc w:val="left"/>
        <w:rPr>
          <w:sz w:val="23"/>
        </w:rPr>
      </w:pPr>
      <w:r>
        <w:rPr>
          <w:spacing w:val="2"/>
          <w:sz w:val="23"/>
        </w:rPr>
        <w:t>CTE</w:t>
        <w:tab/>
        <w:t>Costos de </w:t>
      </w:r>
      <w:r>
        <w:rPr>
          <w:sz w:val="23"/>
        </w:rPr>
        <w:t>Transacción</w:t>
      </w:r>
      <w:r>
        <w:rPr>
          <w:spacing w:val="33"/>
          <w:sz w:val="23"/>
        </w:rPr>
        <w:t> </w:t>
      </w:r>
      <w:r>
        <w:rPr>
          <w:sz w:val="23"/>
        </w:rPr>
        <w:t>Económicos</w:t>
      </w:r>
    </w:p>
    <w:p>
      <w:pPr>
        <w:tabs>
          <w:tab w:pos="1809" w:val="left" w:leader="none"/>
        </w:tabs>
        <w:spacing w:before="43"/>
        <w:ind w:left="160" w:right="127" w:firstLine="0"/>
        <w:jc w:val="left"/>
        <w:rPr>
          <w:sz w:val="23"/>
        </w:rPr>
      </w:pPr>
      <w:r>
        <w:rPr>
          <w:spacing w:val="-5"/>
          <w:sz w:val="23"/>
        </w:rPr>
        <w:t>EIA</w:t>
        <w:tab/>
      </w:r>
      <w:r>
        <w:rPr>
          <w:spacing w:val="-6"/>
          <w:sz w:val="23"/>
        </w:rPr>
        <w:t>Energy </w:t>
      </w:r>
      <w:r>
        <w:rPr>
          <w:spacing w:val="-5"/>
          <w:sz w:val="23"/>
        </w:rPr>
        <w:t>Information </w:t>
      </w:r>
      <w:r>
        <w:rPr>
          <w:spacing w:val="-6"/>
          <w:sz w:val="23"/>
        </w:rPr>
        <w:t>Administration   </w:t>
      </w:r>
      <w:r>
        <w:rPr>
          <w:spacing w:val="-5"/>
          <w:sz w:val="23"/>
        </w:rPr>
        <w:t>EIA </w:t>
      </w:r>
      <w:r>
        <w:rPr>
          <w:sz w:val="23"/>
        </w:rPr>
        <w:t>-</w:t>
      </w:r>
      <w:r>
        <w:rPr>
          <w:spacing w:val="52"/>
          <w:sz w:val="23"/>
        </w:rPr>
        <w:t> </w:t>
      </w:r>
      <w:r>
        <w:rPr>
          <w:sz w:val="23"/>
        </w:rPr>
        <w:t>U.S.</w:t>
      </w:r>
    </w:p>
    <w:p>
      <w:pPr>
        <w:tabs>
          <w:tab w:pos="1809" w:val="left" w:leader="none"/>
        </w:tabs>
        <w:spacing w:before="43"/>
        <w:ind w:left="160" w:right="127" w:firstLine="0"/>
        <w:jc w:val="left"/>
        <w:rPr>
          <w:sz w:val="23"/>
        </w:rPr>
      </w:pPr>
      <w:r>
        <w:rPr>
          <w:spacing w:val="-3"/>
          <w:sz w:val="23"/>
        </w:rPr>
        <w:t>FMI</w:t>
        <w:tab/>
      </w:r>
      <w:r>
        <w:rPr>
          <w:sz w:val="23"/>
        </w:rPr>
        <w:t>Fondo  </w:t>
      </w:r>
      <w:r>
        <w:rPr>
          <w:spacing w:val="-6"/>
          <w:sz w:val="23"/>
        </w:rPr>
        <w:t>Monetario</w:t>
      </w:r>
      <w:r>
        <w:rPr>
          <w:spacing w:val="26"/>
          <w:sz w:val="23"/>
        </w:rPr>
        <w:t> </w:t>
      </w:r>
      <w:r>
        <w:rPr>
          <w:spacing w:val="-5"/>
          <w:sz w:val="23"/>
        </w:rPr>
        <w:t>Internacional</w:t>
      </w:r>
    </w:p>
    <w:p>
      <w:pPr>
        <w:tabs>
          <w:tab w:pos="1809" w:val="left" w:leader="none"/>
        </w:tabs>
        <w:spacing w:line="278" w:lineRule="auto" w:before="43"/>
        <w:ind w:left="160" w:right="1841" w:firstLine="0"/>
        <w:jc w:val="left"/>
        <w:rPr>
          <w:sz w:val="23"/>
        </w:rPr>
      </w:pPr>
      <w:r>
        <w:rPr>
          <w:sz w:val="23"/>
        </w:rPr>
        <w:t>GARCH</w:t>
        <w:tab/>
      </w:r>
      <w:r>
        <w:rPr>
          <w:spacing w:val="-3"/>
          <w:sz w:val="23"/>
        </w:rPr>
        <w:t>Heteroscedasticidad  condicional</w:t>
      </w:r>
      <w:r>
        <w:rPr>
          <w:spacing w:val="31"/>
          <w:sz w:val="23"/>
        </w:rPr>
        <w:t> </w:t>
      </w:r>
      <w:r>
        <w:rPr>
          <w:spacing w:val="-5"/>
          <w:sz w:val="23"/>
        </w:rPr>
        <w:t>autoregresiva</w:t>
      </w:r>
      <w:r>
        <w:rPr>
          <w:spacing w:val="41"/>
          <w:sz w:val="23"/>
        </w:rPr>
        <w:t> </w:t>
      </w:r>
      <w:r>
        <w:rPr>
          <w:spacing w:val="-7"/>
          <w:sz w:val="23"/>
        </w:rPr>
        <w:t>generalizada</w:t>
      </w:r>
      <w:r>
        <w:rPr>
          <w:w w:val="101"/>
          <w:sz w:val="23"/>
        </w:rPr>
        <w:t> </w:t>
      </w:r>
      <w:r>
        <w:rPr>
          <w:spacing w:val="-5"/>
          <w:sz w:val="23"/>
        </w:rPr>
        <w:t>HP</w:t>
        <w:tab/>
      </w:r>
      <w:r>
        <w:rPr>
          <w:spacing w:val="-7"/>
          <w:sz w:val="23"/>
        </w:rPr>
        <w:t>Filtro  </w:t>
      </w:r>
      <w:r>
        <w:rPr>
          <w:sz w:val="23"/>
        </w:rPr>
        <w:t>Hodrick &amp;</w:t>
      </w:r>
      <w:r>
        <w:rPr>
          <w:spacing w:val="4"/>
          <w:sz w:val="23"/>
        </w:rPr>
        <w:t> </w:t>
      </w:r>
      <w:r>
        <w:rPr>
          <w:sz w:val="23"/>
        </w:rPr>
        <w:t>Prescott</w:t>
      </w:r>
    </w:p>
    <w:p>
      <w:pPr>
        <w:tabs>
          <w:tab w:pos="1809" w:val="left" w:leader="none"/>
        </w:tabs>
        <w:spacing w:line="278" w:lineRule="auto" w:before="2"/>
        <w:ind w:left="160" w:right="257" w:firstLine="0"/>
        <w:jc w:val="left"/>
        <w:rPr>
          <w:sz w:val="23"/>
        </w:rPr>
      </w:pPr>
      <w:r>
        <w:rPr>
          <w:sz w:val="23"/>
        </w:rPr>
        <w:t>IGARCH</w:t>
        <w:tab/>
      </w:r>
      <w:r>
        <w:rPr>
          <w:spacing w:val="-3"/>
          <w:sz w:val="23"/>
        </w:rPr>
        <w:t>Heteroscedasticidad  condicional </w:t>
      </w:r>
      <w:r>
        <w:rPr>
          <w:spacing w:val="-5"/>
          <w:sz w:val="23"/>
        </w:rPr>
        <w:t>autoregresiva  </w:t>
      </w:r>
      <w:r>
        <w:rPr>
          <w:spacing w:val="-7"/>
          <w:sz w:val="23"/>
        </w:rPr>
        <w:t>generalizada  </w:t>
      </w:r>
      <w:r>
        <w:rPr>
          <w:spacing w:val="2"/>
          <w:sz w:val="23"/>
        </w:rPr>
        <w:t>de</w:t>
      </w:r>
      <w:r>
        <w:rPr>
          <w:spacing w:val="-16"/>
          <w:sz w:val="23"/>
        </w:rPr>
        <w:t> </w:t>
      </w:r>
      <w:r>
        <w:rPr>
          <w:spacing w:val="-4"/>
          <w:sz w:val="23"/>
        </w:rPr>
        <w:t>tipo</w:t>
      </w:r>
      <w:r>
        <w:rPr>
          <w:spacing w:val="40"/>
          <w:sz w:val="23"/>
        </w:rPr>
        <w:t> </w:t>
      </w:r>
      <w:r>
        <w:rPr>
          <w:spacing w:val="-6"/>
          <w:sz w:val="23"/>
        </w:rPr>
        <w:t>integrada</w:t>
      </w:r>
      <w:r>
        <w:rPr>
          <w:w w:val="101"/>
          <w:sz w:val="23"/>
        </w:rPr>
        <w:t> </w:t>
      </w:r>
      <w:r>
        <w:rPr>
          <w:spacing w:val="-5"/>
          <w:sz w:val="23"/>
        </w:rPr>
        <w:t>INE</w:t>
        <w:tab/>
        <w:t>Instituto  Nacional </w:t>
      </w:r>
      <w:r>
        <w:rPr>
          <w:spacing w:val="2"/>
          <w:sz w:val="23"/>
        </w:rPr>
        <w:t>de </w:t>
      </w:r>
      <w:r>
        <w:rPr>
          <w:sz w:val="23"/>
        </w:rPr>
        <w:t>Estadísticas</w:t>
      </w:r>
      <w:r>
        <w:rPr>
          <w:spacing w:val="28"/>
          <w:sz w:val="23"/>
        </w:rPr>
        <w:t> </w:t>
      </w:r>
      <w:r>
        <w:rPr>
          <w:spacing w:val="-8"/>
          <w:sz w:val="23"/>
        </w:rPr>
        <w:t>(Bolivia)</w:t>
      </w:r>
    </w:p>
    <w:p>
      <w:pPr>
        <w:tabs>
          <w:tab w:pos="1809" w:val="left" w:leader="none"/>
        </w:tabs>
        <w:spacing w:before="3"/>
        <w:ind w:left="160" w:right="127" w:firstLine="0"/>
        <w:jc w:val="left"/>
        <w:rPr>
          <w:sz w:val="23"/>
        </w:rPr>
      </w:pPr>
      <w:r>
        <w:rPr>
          <w:spacing w:val="-3"/>
          <w:sz w:val="23"/>
        </w:rPr>
        <w:t>MPC</w:t>
        <w:tab/>
      </w:r>
      <w:r>
        <w:rPr>
          <w:spacing w:val="-9"/>
          <w:sz w:val="23"/>
        </w:rPr>
        <w:t>Millones  </w:t>
      </w:r>
      <w:r>
        <w:rPr>
          <w:spacing w:val="2"/>
          <w:sz w:val="23"/>
        </w:rPr>
        <w:t>de </w:t>
      </w:r>
      <w:r>
        <w:rPr>
          <w:spacing w:val="-5"/>
          <w:sz w:val="23"/>
        </w:rPr>
        <w:t>pies  </w:t>
      </w:r>
      <w:r>
        <w:rPr>
          <w:sz w:val="23"/>
        </w:rPr>
        <w:t>cúbicos </w:t>
      </w:r>
      <w:r>
        <w:rPr>
          <w:spacing w:val="-5"/>
          <w:sz w:val="23"/>
        </w:rPr>
        <w:t>(gas</w:t>
      </w:r>
      <w:r>
        <w:rPr>
          <w:spacing w:val="19"/>
          <w:sz w:val="23"/>
        </w:rPr>
        <w:t> </w:t>
      </w:r>
      <w:r>
        <w:rPr>
          <w:spacing w:val="-7"/>
          <w:sz w:val="23"/>
        </w:rPr>
        <w:t>natural)</w:t>
      </w:r>
    </w:p>
    <w:p>
      <w:pPr>
        <w:tabs>
          <w:tab w:pos="1809" w:val="left" w:leader="none"/>
        </w:tabs>
        <w:spacing w:before="43"/>
        <w:ind w:left="160" w:right="127" w:firstLine="0"/>
        <w:jc w:val="left"/>
        <w:rPr>
          <w:sz w:val="23"/>
        </w:rPr>
      </w:pPr>
      <w:r>
        <w:rPr>
          <w:spacing w:val="-5"/>
          <w:sz w:val="23"/>
        </w:rPr>
        <w:t>NIE</w:t>
        <w:tab/>
      </w:r>
      <w:r>
        <w:rPr>
          <w:spacing w:val="-6"/>
          <w:sz w:val="23"/>
        </w:rPr>
        <w:t>Nuevo  Institucionalismo </w:t>
      </w:r>
      <w:r>
        <w:rPr>
          <w:spacing w:val="-1"/>
          <w:sz w:val="23"/>
        </w:rPr>
        <w:t> </w:t>
      </w:r>
      <w:r>
        <w:rPr>
          <w:spacing w:val="-3"/>
          <w:sz w:val="23"/>
        </w:rPr>
        <w:t>Económico</w:t>
      </w:r>
    </w:p>
    <w:p>
      <w:pPr>
        <w:tabs>
          <w:tab w:pos="1809" w:val="left" w:leader="none"/>
        </w:tabs>
        <w:spacing w:line="278" w:lineRule="auto" w:before="43"/>
        <w:ind w:left="160" w:right="1829" w:firstLine="0"/>
        <w:jc w:val="left"/>
        <w:rPr>
          <w:sz w:val="23"/>
        </w:rPr>
      </w:pPr>
      <w:r>
        <w:rPr>
          <w:sz w:val="23"/>
        </w:rPr>
        <w:t>OECD</w:t>
        <w:tab/>
      </w:r>
      <w:r>
        <w:rPr>
          <w:spacing w:val="-5"/>
          <w:sz w:val="23"/>
        </w:rPr>
        <w:t>Organisation </w:t>
      </w:r>
      <w:r>
        <w:rPr>
          <w:sz w:val="23"/>
        </w:rPr>
        <w:t>for </w:t>
      </w:r>
      <w:r>
        <w:rPr>
          <w:spacing w:val="-4"/>
          <w:sz w:val="23"/>
        </w:rPr>
        <w:t>Economic  </w:t>
      </w:r>
      <w:r>
        <w:rPr>
          <w:sz w:val="23"/>
        </w:rPr>
        <w:t>Co-operation</w:t>
      </w:r>
      <w:r>
        <w:rPr>
          <w:spacing w:val="33"/>
          <w:sz w:val="23"/>
        </w:rPr>
        <w:t> </w:t>
      </w:r>
      <w:r>
        <w:rPr>
          <w:spacing w:val="-5"/>
          <w:sz w:val="23"/>
        </w:rPr>
        <w:t>and</w:t>
      </w:r>
      <w:r>
        <w:rPr>
          <w:spacing w:val="30"/>
          <w:sz w:val="23"/>
        </w:rPr>
        <w:t> </w:t>
      </w:r>
      <w:r>
        <w:rPr>
          <w:spacing w:val="-6"/>
          <w:sz w:val="23"/>
        </w:rPr>
        <w:t>Development</w:t>
      </w:r>
      <w:r>
        <w:rPr>
          <w:w w:val="101"/>
          <w:sz w:val="23"/>
        </w:rPr>
        <w:t> </w:t>
      </w:r>
      <w:r>
        <w:rPr>
          <w:spacing w:val="3"/>
          <w:sz w:val="23"/>
        </w:rPr>
        <w:t>PFS</w:t>
        <w:tab/>
      </w:r>
      <w:r>
        <w:rPr>
          <w:sz w:val="23"/>
        </w:rPr>
        <w:t>Posición Fiscal</w:t>
      </w:r>
      <w:r>
        <w:rPr>
          <w:spacing w:val="15"/>
          <w:sz w:val="23"/>
        </w:rPr>
        <w:t> </w:t>
      </w:r>
      <w:r>
        <w:rPr>
          <w:spacing w:val="-3"/>
          <w:sz w:val="23"/>
        </w:rPr>
        <w:t>Sostenible</w:t>
      </w:r>
    </w:p>
    <w:p>
      <w:pPr>
        <w:tabs>
          <w:tab w:pos="1809" w:val="left" w:leader="none"/>
        </w:tabs>
        <w:spacing w:before="3"/>
        <w:ind w:left="160" w:right="127" w:firstLine="0"/>
        <w:jc w:val="left"/>
        <w:rPr>
          <w:sz w:val="23"/>
        </w:rPr>
      </w:pPr>
      <w:r>
        <w:rPr>
          <w:spacing w:val="-4"/>
          <w:sz w:val="23"/>
        </w:rPr>
        <w:t>SVAR</w:t>
        <w:tab/>
      </w:r>
      <w:r>
        <w:rPr>
          <w:sz w:val="23"/>
        </w:rPr>
        <w:t>Vector </w:t>
      </w:r>
      <w:r>
        <w:rPr>
          <w:spacing w:val="-5"/>
          <w:sz w:val="23"/>
        </w:rPr>
        <w:t>autoregresivo </w:t>
      </w:r>
      <w:r>
        <w:rPr>
          <w:spacing w:val="7"/>
          <w:sz w:val="23"/>
        </w:rPr>
        <w:t> </w:t>
      </w:r>
      <w:r>
        <w:rPr>
          <w:spacing w:val="-3"/>
          <w:sz w:val="23"/>
        </w:rPr>
        <w:t>estructural</w:t>
      </w:r>
    </w:p>
    <w:p>
      <w:pPr>
        <w:tabs>
          <w:tab w:pos="1809" w:val="left" w:leader="none"/>
        </w:tabs>
        <w:spacing w:before="43"/>
        <w:ind w:left="160" w:right="127" w:firstLine="0"/>
        <w:jc w:val="left"/>
        <w:rPr>
          <w:sz w:val="23"/>
        </w:rPr>
      </w:pPr>
      <w:r>
        <w:rPr>
          <w:spacing w:val="2"/>
          <w:sz w:val="23"/>
        </w:rPr>
        <w:t>TPC</w:t>
        <w:tab/>
      </w:r>
      <w:r>
        <w:rPr>
          <w:spacing w:val="-7"/>
          <w:sz w:val="23"/>
        </w:rPr>
        <w:t>Trillones  </w:t>
      </w:r>
      <w:r>
        <w:rPr>
          <w:spacing w:val="2"/>
          <w:sz w:val="23"/>
        </w:rPr>
        <w:t>de </w:t>
      </w:r>
      <w:r>
        <w:rPr>
          <w:spacing w:val="-5"/>
          <w:sz w:val="23"/>
        </w:rPr>
        <w:t>pies  </w:t>
      </w:r>
      <w:r>
        <w:rPr>
          <w:sz w:val="23"/>
        </w:rPr>
        <w:t>cúbicos </w:t>
      </w:r>
      <w:r>
        <w:rPr>
          <w:spacing w:val="-5"/>
          <w:sz w:val="23"/>
        </w:rPr>
        <w:t>(gas</w:t>
      </w:r>
      <w:r>
        <w:rPr>
          <w:spacing w:val="16"/>
          <w:sz w:val="23"/>
        </w:rPr>
        <w:t> </w:t>
      </w:r>
      <w:r>
        <w:rPr>
          <w:spacing w:val="-7"/>
          <w:sz w:val="23"/>
        </w:rPr>
        <w:t>natural)</w:t>
      </w:r>
    </w:p>
    <w:p>
      <w:pPr>
        <w:tabs>
          <w:tab w:pos="1809" w:val="left" w:leader="none"/>
        </w:tabs>
        <w:spacing w:before="43"/>
        <w:ind w:left="160" w:right="127" w:firstLine="0"/>
        <w:jc w:val="left"/>
        <w:rPr>
          <w:sz w:val="23"/>
        </w:rPr>
      </w:pPr>
      <w:r>
        <w:rPr>
          <w:spacing w:val="-6"/>
          <w:sz w:val="23"/>
        </w:rPr>
        <w:t>VAR</w:t>
        <w:tab/>
      </w:r>
      <w:r>
        <w:rPr>
          <w:sz w:val="23"/>
        </w:rPr>
        <w:t>Vector</w:t>
      </w:r>
      <w:r>
        <w:rPr>
          <w:spacing w:val="31"/>
          <w:sz w:val="23"/>
        </w:rPr>
        <w:t> </w:t>
      </w:r>
      <w:r>
        <w:rPr>
          <w:spacing w:val="-5"/>
          <w:sz w:val="23"/>
        </w:rPr>
        <w:t>autoregresivo</w:t>
      </w:r>
    </w:p>
    <w:p>
      <w:pPr>
        <w:tabs>
          <w:tab w:pos="1809" w:val="left" w:leader="none"/>
        </w:tabs>
        <w:spacing w:before="43"/>
        <w:ind w:left="160" w:right="127" w:firstLine="0"/>
        <w:jc w:val="left"/>
        <w:rPr>
          <w:sz w:val="23"/>
        </w:rPr>
      </w:pPr>
      <w:r>
        <w:rPr>
          <w:spacing w:val="-4"/>
          <w:sz w:val="23"/>
        </w:rPr>
        <w:t>VECM</w:t>
        <w:tab/>
      </w:r>
      <w:r>
        <w:rPr>
          <w:sz w:val="23"/>
        </w:rPr>
        <w:t>Vector </w:t>
      </w:r>
      <w:r>
        <w:rPr>
          <w:spacing w:val="3"/>
          <w:sz w:val="23"/>
        </w:rPr>
        <w:t>con </w:t>
      </w:r>
      <w:r>
        <w:rPr>
          <w:sz w:val="23"/>
        </w:rPr>
        <w:t>corrector </w:t>
      </w:r>
      <w:r>
        <w:rPr>
          <w:spacing w:val="2"/>
          <w:sz w:val="23"/>
        </w:rPr>
        <w:t>de</w:t>
      </w:r>
      <w:r>
        <w:rPr>
          <w:spacing w:val="38"/>
          <w:sz w:val="23"/>
        </w:rPr>
        <w:t> </w:t>
      </w:r>
      <w:r>
        <w:rPr>
          <w:spacing w:val="-4"/>
          <w:sz w:val="23"/>
        </w:rPr>
        <w:t>errores</w:t>
      </w:r>
    </w:p>
    <w:p>
      <w:pPr>
        <w:tabs>
          <w:tab w:pos="1809" w:val="left" w:leader="none"/>
        </w:tabs>
        <w:spacing w:before="43"/>
        <w:ind w:left="160" w:right="127" w:firstLine="0"/>
        <w:jc w:val="left"/>
        <w:rPr>
          <w:sz w:val="23"/>
        </w:rPr>
      </w:pPr>
      <w:r>
        <w:rPr>
          <w:sz w:val="23"/>
        </w:rPr>
        <w:t>YPFB</w:t>
        <w:tab/>
      </w:r>
      <w:r>
        <w:rPr>
          <w:spacing w:val="-6"/>
          <w:sz w:val="23"/>
        </w:rPr>
        <w:t>Yacimientos  </w:t>
      </w:r>
      <w:r>
        <w:rPr>
          <w:spacing w:val="-3"/>
          <w:sz w:val="23"/>
        </w:rPr>
        <w:t>Petrolíferos  </w:t>
      </w:r>
      <w:r>
        <w:rPr>
          <w:spacing w:val="-4"/>
          <w:sz w:val="23"/>
        </w:rPr>
        <w:t>Fiscales</w:t>
      </w:r>
      <w:r>
        <w:rPr>
          <w:spacing w:val="23"/>
          <w:sz w:val="23"/>
        </w:rPr>
        <w:t> </w:t>
      </w:r>
      <w:r>
        <w:rPr>
          <w:spacing w:val="-7"/>
          <w:sz w:val="23"/>
        </w:rPr>
        <w:t>Bolivianos</w:t>
      </w:r>
    </w:p>
    <w:p>
      <w:pPr>
        <w:spacing w:after="0"/>
        <w:jc w:val="left"/>
        <w:rPr>
          <w:sz w:val="23"/>
        </w:rPr>
        <w:sectPr>
          <w:pgSz w:w="12250" w:h="15850"/>
          <w:pgMar w:header="0" w:footer="1035" w:top="1380" w:bottom="1220" w:left="1620" w:right="1560"/>
        </w:sectPr>
      </w:pPr>
    </w:p>
    <w:p>
      <w:pPr>
        <w:pStyle w:val="BodyText"/>
        <w:spacing w:before="11"/>
        <w:rPr>
          <w:sz w:val="17"/>
        </w:rPr>
      </w:pPr>
    </w:p>
    <w:p>
      <w:pPr>
        <w:spacing w:before="69"/>
        <w:ind w:left="122" w:right="0" w:firstLine="0"/>
        <w:jc w:val="both"/>
        <w:rPr>
          <w:b/>
          <w:sz w:val="19"/>
        </w:rPr>
      </w:pPr>
      <w:bookmarkStart w:name="_bookmark0" w:id="1"/>
      <w:bookmarkEnd w:id="1"/>
      <w:r>
        <w:rPr/>
      </w:r>
      <w:r>
        <w:rPr>
          <w:b/>
          <w:sz w:val="24"/>
        </w:rPr>
        <w:t>I</w:t>
      </w:r>
      <w:r>
        <w:rPr>
          <w:b/>
          <w:sz w:val="19"/>
        </w:rPr>
        <w:t>NTRODUCCIÓN</w:t>
      </w:r>
    </w:p>
    <w:p>
      <w:pPr>
        <w:pStyle w:val="BodyText"/>
        <w:rPr>
          <w:b/>
        </w:rPr>
      </w:pPr>
    </w:p>
    <w:p>
      <w:pPr>
        <w:pStyle w:val="BodyText"/>
        <w:spacing w:line="360" w:lineRule="auto"/>
        <w:ind w:left="122" w:right="117"/>
        <w:jc w:val="both"/>
      </w:pPr>
      <w:r>
        <w:rPr/>
        <w:t>La literatura tradicional de choques externos</w:t>
      </w:r>
      <w:r>
        <w:rPr>
          <w:position w:val="11"/>
          <w:sz w:val="16"/>
        </w:rPr>
        <w:t>1 </w:t>
      </w:r>
      <w:r>
        <w:rPr/>
        <w:t>se ha enfocado en la medición de efectos adversos provenientes de dichas perturbaciones y dependencias de materias primas, una vez que las circunstancias internacionales han sido concretadas (Gylfason, 2001; Matsen &amp; Torvik, 2004; Stevens, 2003) como fue el caso de la desaceleración económica de 2009.</w:t>
      </w:r>
    </w:p>
    <w:p>
      <w:pPr>
        <w:pStyle w:val="BodyText"/>
        <w:spacing w:line="360" w:lineRule="auto" w:before="4"/>
        <w:ind w:left="122" w:right="119" w:firstLine="827"/>
        <w:jc w:val="both"/>
      </w:pPr>
      <w:r>
        <w:rPr/>
        <w:t>En países cuyas finanzas públicas dependen de una materia prima, se suele llamar ingresos petroleros a los provenientes de algún recurso no renovable (petróleo, gas natural o cualquier recurso natural estatizado), la misma connotación es aplicable para balance fiscal no petrolero. En esta investigación se define asignación de ingresos fiscales bajo el mecanismo en que son direccionados los ingresos fiscales (con y sin recurso natural) al gasto público como es el gasto de capital y el gasto corriente.</w:t>
      </w:r>
    </w:p>
    <w:p>
      <w:pPr>
        <w:pStyle w:val="BodyText"/>
        <w:spacing w:line="360" w:lineRule="auto" w:before="4"/>
        <w:ind w:left="122" w:right="119" w:firstLine="707"/>
        <w:jc w:val="both"/>
      </w:pPr>
      <w:r>
        <w:rPr/>
        <w:t>La definición de ingresos fiscales y balance fiscal (con y sin gas natural) permite comprender el término de posición fiscal que corresponde al análisis del estado contable de corto y mediano plazo sobre el balance fiscal y la deuda pública (Afonso &amp; Rault, 2010; Muller &amp; Price, 1984). Esta posición es sostenible cuando la deuda pública es estable y el</w:t>
      </w:r>
    </w:p>
    <w:p>
      <w:pPr>
        <w:pStyle w:val="BodyText"/>
        <w:spacing w:before="4"/>
        <w:ind w:left="122"/>
        <w:jc w:val="both"/>
      </w:pPr>
      <w:r>
        <w:rPr>
          <w:w w:val="155"/>
        </w:rPr>
        <w:t>  </w:t>
      </w:r>
      <w:r>
        <w:rPr>
          <w:w w:val="144"/>
        </w:rPr>
        <w:t>    </w:t>
      </w:r>
      <w:r>
        <w:rPr>
          <w:w w:val="177"/>
        </w:rPr>
        <w:t> </w:t>
      </w:r>
      <w:r>
        <w:rPr>
          <w:w w:val="200"/>
        </w:rPr>
        <w:t>  </w:t>
      </w:r>
      <w:r>
        <w:rPr/>
        <w:t> </w:t>
      </w:r>
      <w:r>
        <w:rPr>
          <w:w w:val="144"/>
        </w:rPr>
        <w:t>    </w:t>
      </w:r>
      <w:r>
        <w:rPr>
          <w:w w:val="177"/>
        </w:rPr>
        <w:t> </w:t>
      </w:r>
      <w:r>
        <w:rPr>
          <w:w w:val="111"/>
        </w:rPr>
        <w:t> </w:t>
      </w:r>
      <w:r>
        <w:rPr/>
        <w:t> </w:t>
      </w:r>
      <w:r>
        <w:rPr>
          <w:w w:val="1"/>
        </w:rPr>
        <w:t> </w:t>
      </w:r>
      <w:r>
        <w:rPr/>
        <w:t> sin el recurso natural   no sufre un deterioro.</w:t>
      </w:r>
    </w:p>
    <w:p>
      <w:pPr>
        <w:pStyle w:val="BodyText"/>
        <w:spacing w:line="360" w:lineRule="auto" w:before="139"/>
        <w:ind w:left="122" w:right="120" w:firstLine="707"/>
        <w:jc w:val="both"/>
      </w:pPr>
      <w:r>
        <w:rPr/>
        <w:t>Los factores tradicionales que determinan la posición fiscal pueden explicarse por dos concepciones teóricas y metodológicas: la función de reacción fiscal y el análisis de sostenibilidad de la deuda pública (DSA, por sus siglas en inglés).</w:t>
      </w:r>
    </w:p>
    <w:p>
      <w:pPr>
        <w:pStyle w:val="BodyText"/>
        <w:spacing w:line="360" w:lineRule="auto" w:before="4"/>
        <w:ind w:left="122" w:right="117" w:firstLine="707"/>
        <w:jc w:val="both"/>
      </w:pPr>
      <w:r>
        <w:rPr/>
        <w:t>Para la función de reacción fiscal, se menciona que los factores principales que explican el balance fiscal primario son: la deuda pública rezagada, la brecha del producto,  la tasa de interés   (Bohn, 1998; Wijnbergen &amp; France, </w:t>
      </w:r>
      <w:r>
        <w:rPr>
          <w:spacing w:val="38"/>
        </w:rPr>
        <w:t> </w:t>
      </w:r>
      <w:r>
        <w:rPr/>
        <w:t>2012)</w:t>
      </w:r>
      <w:r>
        <w:rPr>
          <w:spacing w:val="22"/>
        </w:rPr>
        <w:t> </w:t>
      </w:r>
      <w:r>
        <w:rPr>
          <w:w w:val="200"/>
        </w:rPr>
        <w:t> </w:t>
      </w:r>
      <w:r>
        <w:rPr>
          <w:spacing w:val="11"/>
        </w:rPr>
        <w:t> </w:t>
      </w:r>
      <w:r>
        <w:rPr>
          <w:w w:val="155"/>
        </w:rPr>
        <w:t>   </w:t>
      </w:r>
      <w:r>
        <w:rPr>
          <w:spacing w:val="17"/>
        </w:rPr>
        <w:t> </w:t>
      </w:r>
      <w:r>
        <w:rPr>
          <w:w w:val="166"/>
        </w:rPr>
        <w:t> </w:t>
      </w:r>
      <w:r>
        <w:rPr>
          <w:spacing w:val="-1"/>
          <w:w w:val="166"/>
        </w:rPr>
        <w:t> </w:t>
      </w:r>
      <w:r>
        <w:rPr>
          <w:spacing w:val="-1"/>
          <w:w w:val="177"/>
        </w:rPr>
        <w:t>  </w:t>
      </w:r>
      <w:r>
        <w:rPr>
          <w:w w:val="155"/>
        </w:rPr>
        <w:t> </w:t>
      </w:r>
      <w:r>
        <w:rPr>
          <w:spacing w:val="2"/>
          <w:w w:val="155"/>
        </w:rPr>
        <w:t> </w:t>
      </w:r>
      <w:r>
        <w:rPr>
          <w:w w:val="155"/>
        </w:rPr>
        <w:t> </w:t>
      </w:r>
      <w:r>
        <w:rPr>
          <w:spacing w:val="16"/>
        </w:rPr>
        <w:t> </w:t>
      </w:r>
      <w:r>
        <w:rPr>
          <w:w w:val="188"/>
        </w:rPr>
        <w:t>  </w:t>
      </w:r>
      <w:r>
        <w:rPr>
          <w:spacing w:val="15"/>
        </w:rPr>
        <w:t> </w:t>
      </w:r>
      <w:r>
        <w:rPr>
          <w:w w:val="148"/>
        </w:rPr>
        <w:t>   </w:t>
      </w:r>
      <w:r>
        <w:rPr>
          <w:spacing w:val="16"/>
        </w:rPr>
        <w:t> </w:t>
      </w:r>
      <w:r>
        <w:rPr>
          <w:w w:val="194"/>
        </w:rPr>
        <w:t>   </w:t>
      </w:r>
      <w:r>
        <w:rPr>
          <w:spacing w:val="-1"/>
          <w:w w:val="194"/>
        </w:rPr>
        <w:t> </w:t>
      </w:r>
      <w:r>
        <w:rPr>
          <w:w w:val="140"/>
        </w:rPr>
        <w:t>  </w:t>
      </w:r>
      <w:r>
        <w:rPr>
          <w:spacing w:val="-2"/>
          <w:w w:val="140"/>
        </w:rPr>
        <w:t> </w:t>
      </w:r>
      <w:r>
        <w:rPr>
          <w:w w:val="155"/>
        </w:rPr>
        <w:t> </w:t>
      </w:r>
    </w:p>
    <w:p>
      <w:pPr>
        <w:pStyle w:val="BodyText"/>
        <w:spacing w:before="7"/>
        <w:ind w:left="122"/>
        <w:jc w:val="both"/>
      </w:pPr>
      <w:r>
        <w:rPr>
          <w:w w:val="166"/>
        </w:rPr>
        <w:t>  </w:t>
      </w:r>
      <w:r>
        <w:rPr>
          <w:w w:val="211"/>
        </w:rPr>
        <w:t>  </w:t>
      </w:r>
      <w:r>
        <w:rPr>
          <w:w w:val="177"/>
        </w:rPr>
        <w:t> </w:t>
      </w:r>
      <w:r>
        <w:rPr>
          <w:w w:val="155"/>
        </w:rPr>
        <w:t> </w:t>
      </w:r>
      <w:r>
        <w:rPr/>
        <w:t> </w:t>
      </w:r>
      <w:r>
        <w:rPr>
          <w:w w:val="1"/>
        </w:rPr>
        <w:t> </w:t>
      </w:r>
      <w:r>
        <w:rPr/>
        <w:t> </w:t>
      </w:r>
      <w:r>
        <w:rPr>
          <w:w w:val="155"/>
        </w:rPr>
        <w:t>    </w:t>
      </w:r>
      <w:r>
        <w:rPr>
          <w:w w:val="177"/>
        </w:rPr>
        <w:t> </w:t>
      </w:r>
      <w:r>
        <w:rPr/>
        <w:t> </w:t>
      </w:r>
      <w:r>
        <w:rPr>
          <w:w w:val="160"/>
        </w:rPr>
        <w:t>     </w:t>
      </w:r>
      <w:r>
        <w:rPr/>
        <w:t> </w:t>
      </w:r>
      <w:r>
        <w:rPr>
          <w:w w:val="133"/>
        </w:rPr>
        <w:t> </w:t>
      </w:r>
      <w:r>
        <w:rPr>
          <w:w w:val="177"/>
        </w:rPr>
        <w:t>  </w:t>
      </w:r>
      <w:r>
        <w:rPr>
          <w:w w:val="148"/>
        </w:rPr>
        <w:t>   </w:t>
      </w:r>
      <w:r>
        <w:rPr>
          <w:w w:val="177"/>
        </w:rPr>
        <w:t> </w:t>
      </w:r>
      <w:r>
        <w:rPr>
          <w:w w:val="155"/>
        </w:rPr>
        <w:t> </w:t>
      </w:r>
      <w:r>
        <w:rPr/>
        <w:t> </w:t>
      </w:r>
      <w:r>
        <w:rPr>
          <w:w w:val="1"/>
        </w:rPr>
        <w:t> </w:t>
      </w:r>
      <w:r>
        <w:rPr/>
        <w:t> (De Mello, 2005; Celasun, et al., 2007).</w:t>
      </w:r>
    </w:p>
    <w:p>
      <w:pPr>
        <w:pStyle w:val="BodyText"/>
        <w:spacing w:line="360" w:lineRule="auto" w:before="137"/>
        <w:ind w:left="122" w:right="117" w:firstLine="707"/>
        <w:jc w:val="both"/>
      </w:pPr>
      <w:r>
        <w:rPr/>
        <w:t>Para el análisis de sostenibilidad de la deuda pública, se menciona que los elementos que explican a la deuda pública se basan en el tipo de cambio real, el crecimiento del producto, la tasa de interés real y el balance primario (Penalver &amp; Thwaites, 2006; Stoian &amp; Câmpeanu, 2010).</w:t>
      </w:r>
    </w:p>
    <w:p>
      <w:pPr>
        <w:pStyle w:val="BodyText"/>
        <w:rPr>
          <w:sz w:val="20"/>
        </w:rPr>
      </w:pPr>
    </w:p>
    <w:p>
      <w:pPr>
        <w:pStyle w:val="BodyText"/>
        <w:rPr>
          <w:sz w:val="20"/>
        </w:rPr>
      </w:pPr>
    </w:p>
    <w:p>
      <w:pPr>
        <w:pStyle w:val="BodyText"/>
        <w:rPr>
          <w:sz w:val="19"/>
        </w:rPr>
      </w:pPr>
      <w:r>
        <w:rPr/>
        <w:pict>
          <v:line style="position:absolute;mso-position-horizontal-relative:page;mso-position-vertical-relative:paragraph;z-index:1192;mso-wrap-distance-left:0;mso-wrap-distance-right:0" from="85.103996pt,13.177705pt" to="229.123996pt,13.177705pt" stroked="true" strokeweight=".60004pt" strokecolor="#000000">
            <w10:wrap type="topAndBottom"/>
          </v:line>
        </w:pict>
      </w:r>
    </w:p>
    <w:p>
      <w:pPr>
        <w:spacing w:before="50"/>
        <w:ind w:left="122" w:right="115" w:firstLine="0"/>
        <w:jc w:val="left"/>
        <w:rPr>
          <w:sz w:val="20"/>
        </w:rPr>
      </w:pPr>
      <w:r>
        <w:rPr>
          <w:position w:val="9"/>
          <w:sz w:val="13"/>
        </w:rPr>
        <w:t>1 </w:t>
      </w:r>
      <w:r>
        <w:rPr>
          <w:sz w:val="20"/>
        </w:rPr>
        <w:t>Asimismo, los choques también suelen ser llamados </w:t>
      </w:r>
      <w:r>
        <w:rPr>
          <w:i/>
          <w:sz w:val="20"/>
        </w:rPr>
        <w:t>shocks, innovaciones o perturbaciones </w:t>
      </w:r>
      <w:r>
        <w:rPr>
          <w:sz w:val="20"/>
        </w:rPr>
        <w:t>(Peña, 2008; Larraín &amp; Sachs, 2002).</w:t>
      </w:r>
    </w:p>
    <w:p>
      <w:pPr>
        <w:spacing w:after="0"/>
        <w:jc w:val="left"/>
        <w:rPr>
          <w:sz w:val="20"/>
        </w:rPr>
        <w:sectPr>
          <w:footerReference w:type="default" r:id="rId12"/>
          <w:pgSz w:w="12250" w:h="15850"/>
          <w:pgMar w:footer="1037" w:header="0" w:top="1500" w:bottom="1220" w:left="1580" w:right="1580"/>
          <w:pgNumType w:start="1"/>
        </w:sectPr>
      </w:pPr>
    </w:p>
    <w:p>
      <w:pPr>
        <w:pStyle w:val="BodyText"/>
        <w:spacing w:line="360" w:lineRule="auto" w:before="50"/>
        <w:ind w:left="102" w:right="118" w:firstLine="707"/>
        <w:jc w:val="both"/>
      </w:pPr>
      <w:r>
        <w:rPr/>
        <w:t>En países dependientes de un recurso natural, se sugiere que los precios de los recursos naturales influyen de forma unidireccional y positiva sobre la posición fiscal (Canavire &amp; Mariscal, 2010; Dabla-Norris, et al., 2010; Kaminsky, 2009); es decir, a mayores precios del recurso natural, mayores superávits fiscales globales y mayor deterioro del resultado fiscal sin el recurso natural.</w:t>
      </w:r>
    </w:p>
    <w:p>
      <w:pPr>
        <w:pStyle w:val="BodyText"/>
        <w:spacing w:line="360" w:lineRule="auto" w:before="4"/>
        <w:ind w:left="102" w:right="118" w:firstLine="707"/>
        <w:jc w:val="both"/>
      </w:pPr>
      <w:r>
        <w:rPr/>
        <w:t>No obstante, los estudios antes mencionados no han considerado que la relación entre los choques de los precios del petróleo y la posición fiscal,  no es directa.  La forma  de asignación de los ingresos fiscales al gasto público, es decir, el mecanismo de administrar los ingresos petroleros (e.j. establecimiento de un fondo de estabilización petrolera) puede ejercer un rol importante (Ossowski, et al., 2008; van der Ploeg &amp; Venables, 2009; Holden,</w:t>
      </w:r>
      <w:r>
        <w:rPr>
          <w:spacing w:val="-3"/>
        </w:rPr>
        <w:t> </w:t>
      </w:r>
      <w:r>
        <w:rPr/>
        <w:t>2013).</w:t>
      </w:r>
    </w:p>
    <w:p>
      <w:pPr>
        <w:pStyle w:val="BodyText"/>
        <w:spacing w:line="360" w:lineRule="auto" w:before="4"/>
        <w:ind w:left="102" w:right="116" w:firstLine="707"/>
        <w:jc w:val="both"/>
      </w:pPr>
      <w:r>
        <w:rPr/>
        <w:t>El problema teórico de la tesis se centra en el debate de dos posturas de la  economía:               la               Neoclásica               y               la               Keynesiana,   cómo deben ser asignados los ingresos fiscales derivados del recurso natural, en relación con el gasto público y la inversión en capital, existiendo dos posturas contrarias: 1] ahorrar y constituir un fondo soberano (Medas &amp; Zakharova, 2009; Segura, 2006; Bjerkholt &amp; Niculescu, 2004); 2] canalizarlos a inversión pública o a favor de la sociedad (van der  Ploeg &amp; Venables, 2009; Moss, 2011; Baunsgaard, et al., 2012; Cherif &amp; Hasanov,</w:t>
      </w:r>
      <w:r>
        <w:rPr>
          <w:spacing w:val="-10"/>
        </w:rPr>
        <w:t> </w:t>
      </w:r>
      <w:r>
        <w:rPr/>
        <w:t>2011).</w:t>
      </w:r>
    </w:p>
    <w:p>
      <w:pPr>
        <w:pStyle w:val="BodyText"/>
        <w:spacing w:line="360" w:lineRule="auto" w:before="6"/>
        <w:ind w:left="102" w:right="118" w:firstLine="707"/>
        <w:jc w:val="both"/>
      </w:pPr>
      <w:r>
        <w:rPr/>
        <w:t>En tanto que la postura neoclásica sugiere el ahorro de los ingresos fiscales petroleros, lo cual es aplicable para economías desarrolladas (como el caso de Noruega), en esta investigación se asume la perspectiva Keynesiana, toda vez que las economías en desarrollo necesitan de inversión pública por carecer de capital, por tanto, la tesis se inclina hacia la segunda postura de la economía.</w:t>
      </w:r>
    </w:p>
    <w:p>
      <w:pPr>
        <w:pStyle w:val="BodyText"/>
        <w:spacing w:line="360" w:lineRule="auto" w:before="4"/>
        <w:ind w:left="102" w:right="115" w:firstLine="707"/>
        <w:jc w:val="both"/>
      </w:pPr>
      <w:r>
        <w:rPr/>
        <w:t>A pesar de la contrariedad de los enfoques teóricos, cabe mencionar la intersección entre la postura neoclásica y Keynesiana con relación a la posición fiscal en países dependientes de recursos naturales: la generación de superávits fiscales y disminución de deuda pública durante períodos de auge de precios.</w:t>
      </w:r>
    </w:p>
    <w:p>
      <w:pPr>
        <w:pStyle w:val="BodyText"/>
        <w:spacing w:line="360" w:lineRule="auto" w:before="6"/>
        <w:ind w:left="102" w:right="117" w:firstLine="707"/>
        <w:jc w:val="both"/>
      </w:pPr>
      <w:r>
        <w:rPr/>
        <w:t>La postura neoclásica, sugiere un rol neutral del gasto público frente a los choques de precios, por tanto, se inclina por el ahorro y la presencia de superávit fiscal. En tanto,  que la postura Keynesiana señala un diseño contracíclico del gasto público: en épocas de expansión  de  precios  se  exige  mayor  austeridad  del  gasto  público  y  en </w:t>
      </w:r>
      <w:r>
        <w:rPr>
          <w:spacing w:val="23"/>
        </w:rPr>
        <w:t> </w:t>
      </w:r>
      <w:r>
        <w:rPr/>
        <w:t>consecuencia</w:t>
      </w:r>
    </w:p>
    <w:p>
      <w:pPr>
        <w:spacing w:after="0" w:line="360" w:lineRule="auto"/>
        <w:jc w:val="both"/>
        <w:sectPr>
          <w:pgSz w:w="12250" w:h="15850"/>
          <w:pgMar w:header="0" w:footer="1037" w:top="1360" w:bottom="1220" w:left="1600" w:right="1580"/>
        </w:sectPr>
      </w:pPr>
    </w:p>
    <w:p>
      <w:pPr>
        <w:pStyle w:val="BodyText"/>
        <w:spacing w:line="360" w:lineRule="auto" w:before="50"/>
        <w:ind w:left="122" w:right="122"/>
        <w:jc w:val="both"/>
      </w:pPr>
      <w:r>
        <w:rPr/>
        <w:t>mayores superávits fiscales. La presencia de superávits fiscales conlleva a menor endeudamiento público.</w:t>
      </w:r>
    </w:p>
    <w:p>
      <w:pPr>
        <w:pStyle w:val="BodyText"/>
        <w:spacing w:line="360" w:lineRule="auto" w:before="6"/>
        <w:ind w:left="122" w:right="121" w:firstLine="707"/>
        <w:jc w:val="both"/>
      </w:pPr>
      <w:r>
        <w:rPr/>
        <w:t>Sin embargo, la intersección señalada entre la postura Keynesiana y la postura neoclásica basada en la generación de superávit fiscales y disminución del endeudamiento público durante períodos auge de precios externos es una condición necesaria pero no suficiente, debido a que el cumplimiento estricto de cada postura respectiva se fundamenta en la reacción del gasto público frente a los choques de precios del recurso natural y la actividad económica (para la postura Keynesiana el gasto público debe reaccionar de forma contracíclica y de forma neutral para el enfoque neoclásico).</w:t>
      </w:r>
    </w:p>
    <w:p>
      <w:pPr>
        <w:pStyle w:val="BodyText"/>
        <w:spacing w:line="360" w:lineRule="auto" w:before="4"/>
        <w:ind w:left="122" w:right="117" w:firstLine="707"/>
        <w:jc w:val="right"/>
      </w:pPr>
      <w:r>
        <w:rPr/>
        <w:t>En la revisión de la literatura se diagnostica una carencia de estudios que aborden la asignación de ingresos fiscales en un contexto de economías en desarrollo</w:t>
      </w:r>
      <w:r>
        <w:rPr>
          <w:spacing w:val="53"/>
        </w:rPr>
        <w:t> </w:t>
      </w:r>
      <w:r>
        <w:rPr/>
        <w:t>dependientes de un recurso natural: ¿cuánto gastar?; ¿cuánto invertir?; ¿de dónde se debe financiar el gasto?</w:t>
      </w:r>
    </w:p>
    <w:p>
      <w:pPr>
        <w:pStyle w:val="BodyText"/>
        <w:spacing w:line="360" w:lineRule="auto" w:before="6"/>
        <w:ind w:left="122" w:right="120" w:firstLine="707"/>
        <w:jc w:val="both"/>
      </w:pPr>
      <w:r>
        <w:rPr/>
        <w:t>Mientras gran parte de los estudios previos han abordado las preguntas señaladas desde el enfoque del crecimiento económico, en este documento se afronta desde la perspectiva fiscal, tomándose a la asignación de los ingresos fiscales (con y sin recurso natural) como posibles canales de transmisión entre los choques de precios de un recurso natural y  la posición fiscal.</w:t>
      </w:r>
    </w:p>
    <w:p>
      <w:pPr>
        <w:pStyle w:val="BodyText"/>
        <w:spacing w:line="360" w:lineRule="auto" w:before="4"/>
        <w:ind w:left="122" w:right="119" w:firstLine="707"/>
        <w:jc w:val="both"/>
      </w:pPr>
      <w:r>
        <w:rPr/>
        <w:t>De forma adicional, el problema práctico de la tesis se centra en la ausencia de una regla fiscal para Bolivia (Rodríguez, 2011; Valdivia &amp; Montenegro, 2010), por lo cual, existe  </w:t>
      </w:r>
      <w:r>
        <w:rPr>
          <w:w w:val="192"/>
        </w:rPr>
        <w:t>   </w:t>
      </w:r>
      <w:r>
        <w:rPr/>
        <w:t>  </w:t>
      </w:r>
      <w:r>
        <w:rPr>
          <w:w w:val="111"/>
        </w:rPr>
        <w:t>  </w:t>
      </w:r>
      <w:r>
        <w:rPr>
          <w:w w:val="166"/>
        </w:rPr>
        <w:t>  </w:t>
      </w:r>
      <w:r>
        <w:rPr>
          <w:w w:val="177"/>
        </w:rPr>
        <w:t> </w:t>
      </w:r>
      <w:r>
        <w:rPr/>
        <w:t>  </w:t>
      </w:r>
      <w:r>
        <w:rPr>
          <w:w w:val="155"/>
        </w:rPr>
        <w:t>     </w:t>
      </w:r>
      <w:r>
        <w:rPr>
          <w:w w:val="177"/>
        </w:rPr>
        <w:t>  </w:t>
      </w:r>
      <w:r>
        <w:rPr>
          <w:w w:val="165"/>
        </w:rPr>
        <w:t>         </w:t>
      </w:r>
      <w:r>
        <w:rPr/>
        <w:t>  </w:t>
      </w:r>
      <w:r>
        <w:rPr>
          <w:w w:val="177"/>
        </w:rPr>
        <w:t> </w:t>
      </w:r>
      <w:r>
        <w:rPr>
          <w:w w:val="200"/>
        </w:rPr>
        <w:t> </w:t>
      </w:r>
      <w:r>
        <w:rPr/>
        <w:t>  </w:t>
      </w:r>
      <w:r>
        <w:rPr>
          <w:w w:val="177"/>
        </w:rPr>
        <w:t> </w:t>
      </w:r>
      <w:r>
        <w:rPr>
          <w:w w:val="111"/>
        </w:rPr>
        <w:t> </w:t>
      </w:r>
      <w:r>
        <w:rPr/>
        <w:t>  </w:t>
      </w:r>
      <w:r>
        <w:rPr>
          <w:w w:val="216"/>
        </w:rPr>
        <w:t>    </w:t>
      </w:r>
      <w:r>
        <w:rPr>
          <w:w w:val="155"/>
        </w:rPr>
        <w:t>  </w:t>
      </w:r>
      <w:r>
        <w:rPr/>
        <w:t>  </w:t>
      </w:r>
      <w:r>
        <w:rPr>
          <w:w w:val="188"/>
        </w:rPr>
        <w:t>  </w:t>
      </w:r>
      <w:r>
        <w:rPr/>
        <w:t>  </w:t>
      </w:r>
      <w:r>
        <w:rPr>
          <w:w w:val="148"/>
        </w:rPr>
        <w:t>   </w:t>
      </w:r>
      <w:r>
        <w:rPr/>
        <w:t>  </w:t>
      </w:r>
      <w:r>
        <w:rPr>
          <w:w w:val="155"/>
        </w:rPr>
        <w:t>    </w:t>
      </w:r>
      <w:r>
        <w:rPr>
          <w:w w:val="188"/>
        </w:rPr>
        <w:t>  </w:t>
      </w:r>
      <w:r>
        <w:rPr>
          <w:w w:val="177"/>
        </w:rPr>
        <w:t> </w:t>
      </w:r>
      <w:r>
        <w:rPr>
          <w:w w:val="155"/>
        </w:rPr>
        <w:t> </w:t>
      </w:r>
      <w:r>
        <w:rPr/>
        <w:t>  </w:t>
      </w:r>
      <w:r>
        <w:rPr>
          <w:w w:val="164"/>
        </w:rPr>
        <w:t>     </w:t>
      </w:r>
      <w:r>
        <w:rPr>
          <w:w w:val="177"/>
        </w:rPr>
        <w:t>  </w:t>
      </w:r>
      <w:r>
        <w:rPr>
          <w:w w:val="155"/>
        </w:rPr>
        <w:t> </w:t>
      </w:r>
      <w:r>
        <w:rPr/>
        <w:t>  </w:t>
      </w:r>
      <w:r>
        <w:rPr>
          <w:w w:val="177"/>
        </w:rPr>
        <w:t> </w:t>
      </w:r>
      <w:r>
        <w:rPr>
          <w:w w:val="200"/>
        </w:rPr>
        <w:t> </w:t>
      </w:r>
      <w:r>
        <w:rPr/>
        <w:t>  </w:t>
      </w:r>
      <w:r>
        <w:rPr>
          <w:w w:val="140"/>
        </w:rPr>
        <w:t>   </w:t>
      </w:r>
      <w:r>
        <w:rPr>
          <w:w w:val="211"/>
        </w:rPr>
        <w:t>  </w:t>
      </w:r>
      <w:r>
        <w:rPr>
          <w:w w:val="185"/>
        </w:rPr>
        <w:t>   </w:t>
      </w:r>
      <w:r>
        <w:rPr/>
        <w:t>  </w:t>
      </w:r>
      <w:r>
        <w:rPr>
          <w:w w:val="188"/>
        </w:rPr>
        <w:t>  </w:t>
      </w:r>
    </w:p>
    <w:p>
      <w:pPr>
        <w:pStyle w:val="BodyText"/>
        <w:spacing w:line="352" w:lineRule="auto" w:before="6"/>
        <w:ind w:left="122" w:right="117"/>
        <w:jc w:val="both"/>
        <w:rPr>
          <w:sz w:val="16"/>
        </w:rPr>
      </w:pPr>
      <w:r>
        <w:rPr>
          <w:w w:val="155"/>
        </w:rPr>
        <w:t>  </w:t>
      </w:r>
      <w:r>
        <w:rPr>
          <w:w w:val="144"/>
        </w:rPr>
        <w:t>    </w:t>
      </w:r>
      <w:r>
        <w:rPr>
          <w:w w:val="177"/>
        </w:rPr>
        <w:t> </w:t>
      </w:r>
      <w:r>
        <w:rPr>
          <w:w w:val="185"/>
        </w:rPr>
        <w:t>   </w:t>
      </w:r>
      <w:r>
        <w:rPr/>
        <w:t> </w:t>
      </w:r>
      <w:r>
        <w:rPr>
          <w:w w:val="144"/>
        </w:rPr>
        <w:t>    </w:t>
      </w:r>
      <w:r>
        <w:rPr>
          <w:w w:val="177"/>
        </w:rPr>
        <w:t> </w:t>
      </w:r>
      <w:r>
        <w:rPr>
          <w:w w:val="148"/>
        </w:rPr>
        <w:t>   </w:t>
      </w:r>
      <w:r>
        <w:rPr/>
        <w:t> </w:t>
      </w:r>
      <w:r>
        <w:rPr>
          <w:w w:val="200"/>
        </w:rPr>
        <w:t> </w:t>
      </w:r>
      <w:r>
        <w:rPr/>
        <w:t> </w:t>
      </w:r>
      <w:r>
        <w:rPr>
          <w:w w:val="200"/>
        </w:rPr>
        <w:t> </w:t>
      </w:r>
      <w:r>
        <w:rPr>
          <w:w w:val="177"/>
        </w:rPr>
        <w:t> </w:t>
      </w:r>
      <w:r>
        <w:rPr>
          <w:w w:val="200"/>
        </w:rPr>
        <w:t> </w:t>
      </w:r>
      <w:r>
        <w:rPr>
          <w:w w:val="188"/>
        </w:rPr>
        <w:t>  </w:t>
      </w:r>
      <w:r>
        <w:rPr/>
        <w:t> </w:t>
      </w:r>
      <w:r>
        <w:rPr>
          <w:w w:val="164"/>
        </w:rPr>
        <w:t>     </w:t>
      </w:r>
      <w:r>
        <w:rPr>
          <w:w w:val="177"/>
        </w:rPr>
        <w:t>  </w:t>
      </w:r>
      <w:r>
        <w:rPr/>
        <w:t> </w:t>
      </w:r>
      <w:r>
        <w:rPr>
          <w:w w:val="1"/>
        </w:rPr>
        <w:t> </w:t>
      </w:r>
      <w:r>
        <w:rPr/>
        <w:t> </w:t>
      </w:r>
      <w:r>
        <w:rPr>
          <w:w w:val="166"/>
        </w:rPr>
        <w:t>    </w:t>
      </w:r>
      <w:r>
        <w:rPr>
          <w:w w:val="177"/>
        </w:rPr>
        <w:t> </w:t>
      </w:r>
      <w:r>
        <w:rPr>
          <w:w w:val="170"/>
        </w:rPr>
        <w:t>   </w:t>
      </w:r>
      <w:r>
        <w:rPr/>
        <w:t> </w:t>
      </w:r>
      <w:r>
        <w:rPr>
          <w:w w:val="144"/>
        </w:rPr>
        <w:t>    </w:t>
      </w:r>
      <w:r>
        <w:rPr>
          <w:w w:val="177"/>
        </w:rPr>
        <w:t> </w:t>
      </w:r>
      <w:r>
        <w:rPr>
          <w:w w:val="111"/>
        </w:rPr>
        <w:t> </w:t>
      </w:r>
      <w:r>
        <w:rPr/>
        <w:t> </w:t>
      </w:r>
      <w:r>
        <w:rPr>
          <w:w w:val="1"/>
        </w:rPr>
        <w:t> </w:t>
      </w:r>
      <w:r>
        <w:rPr/>
        <w:t>  </w:t>
      </w:r>
      <w:r>
        <w:rPr>
          <w:w w:val="133"/>
        </w:rPr>
        <w:t>  </w:t>
      </w:r>
      <w:r>
        <w:rPr>
          <w:w w:val="177"/>
        </w:rPr>
        <w:t> </w:t>
      </w:r>
      <w:r>
        <w:rPr>
          <w:w w:val="155"/>
        </w:rPr>
        <w:t>  </w:t>
      </w:r>
      <w:r>
        <w:rPr>
          <w:w w:val="177"/>
        </w:rPr>
        <w:t> </w:t>
      </w:r>
      <w:r>
        <w:rPr/>
        <w:t> </w:t>
      </w:r>
      <w:r>
        <w:rPr>
          <w:w w:val="177"/>
        </w:rPr>
        <w:t> </w:t>
      </w:r>
      <w:r>
        <w:rPr/>
        <w:t> la dependencia del gas natural. Pese a que la ley de hidrocarburos en Bolivia señala la distribución de regalías e impuestos directos de hidrocarburos (IDH) para gobiernos regionales y otras dependencias públicas, formalmente no existe una normativa que regule el gasto y ahorro público (Navajas, et al., 2008).</w:t>
      </w:r>
      <w:r>
        <w:rPr>
          <w:position w:val="11"/>
          <w:sz w:val="16"/>
        </w:rPr>
        <w:t>2</w:t>
      </w:r>
    </w:p>
    <w:p>
      <w:pPr>
        <w:pStyle w:val="BodyText"/>
        <w:tabs>
          <w:tab w:pos="8263" w:val="left" w:leader="none"/>
        </w:tabs>
        <w:spacing w:line="328" w:lineRule="auto"/>
        <w:ind w:left="122" w:right="115" w:firstLine="707"/>
      </w:pPr>
      <w:r>
        <w:rPr/>
        <w:t>El presente estudio toma como contexto la economía boliviana, debido a que el gas natural  reviste alta participación  en las exportaciones de este    </w:t>
      </w:r>
      <w:r>
        <w:rPr>
          <w:spacing w:val="17"/>
        </w:rPr>
        <w:t> </w:t>
      </w:r>
      <w:r>
        <w:rPr/>
        <w:t>país</w:t>
      </w:r>
      <w:r>
        <w:rPr>
          <w:position w:val="11"/>
          <w:sz w:val="16"/>
        </w:rPr>
        <w:t>3</w:t>
      </w:r>
      <w:r>
        <w:rPr/>
        <w:t>.</w:t>
      </w:r>
      <w:r>
        <w:rPr>
          <w:spacing w:val="42"/>
        </w:rPr>
        <w:t> </w:t>
      </w:r>
      <w:r>
        <w:rPr/>
        <w:t>Asimismo,</w:t>
        <w:tab/>
        <w:t>Bolivia</w:t>
      </w:r>
    </w:p>
    <w:p>
      <w:pPr>
        <w:pStyle w:val="BodyText"/>
        <w:spacing w:before="9"/>
        <w:rPr>
          <w:sz w:val="27"/>
        </w:rPr>
      </w:pPr>
      <w:r>
        <w:rPr/>
        <w:pict>
          <v:line style="position:absolute;mso-position-horizontal-relative:page;mso-position-vertical-relative:paragraph;z-index:1216;mso-wrap-distance-left:0;mso-wrap-distance-right:0" from="85.103996pt,18.231207pt" to="229.123996pt,18.231207pt" stroked="true" strokeweight=".599980pt" strokecolor="#000000">
            <w10:wrap type="topAndBottom"/>
          </v:line>
        </w:pict>
      </w:r>
    </w:p>
    <w:p>
      <w:pPr>
        <w:spacing w:before="50"/>
        <w:ind w:left="122" w:right="342" w:firstLine="0"/>
        <w:jc w:val="left"/>
        <w:rPr>
          <w:sz w:val="20"/>
        </w:rPr>
      </w:pPr>
      <w:r>
        <w:rPr>
          <w:position w:val="9"/>
          <w:sz w:val="13"/>
        </w:rPr>
        <w:t>2 </w:t>
      </w:r>
      <w:r>
        <w:rPr>
          <w:sz w:val="20"/>
        </w:rPr>
        <w:t>En el capítulo II se aborda el régimen actual de asignación y distribución de los ingresos hidrocarburíferos en Bolivia.</w:t>
      </w:r>
    </w:p>
    <w:p>
      <w:pPr>
        <w:pStyle w:val="BodyText"/>
        <w:spacing w:before="10"/>
        <w:rPr>
          <w:sz w:val="17"/>
        </w:rPr>
      </w:pPr>
    </w:p>
    <w:p>
      <w:pPr>
        <w:spacing w:before="0"/>
        <w:ind w:left="122" w:right="188" w:firstLine="0"/>
        <w:jc w:val="both"/>
        <w:rPr>
          <w:sz w:val="20"/>
        </w:rPr>
      </w:pPr>
      <w:r>
        <w:rPr>
          <w:position w:val="9"/>
          <w:sz w:val="13"/>
        </w:rPr>
        <w:t>3 </w:t>
      </w:r>
      <w:r>
        <w:rPr>
          <w:sz w:val="20"/>
        </w:rPr>
        <w:t>Así por ejemplo: en 1995 este producto concentraba 8% del valor total exportado; para el 2003 representaba el 23%, luego, continuó adquiriendo mayores niveles de concentración en años posteriores: 39% (2006); 40% (2010); 41% a junio de 2011 en base a información  estadística  (INE, 2011),</w:t>
      </w:r>
    </w:p>
    <w:p>
      <w:pPr>
        <w:spacing w:after="0"/>
        <w:jc w:val="both"/>
        <w:rPr>
          <w:sz w:val="20"/>
        </w:rPr>
        <w:sectPr>
          <w:pgSz w:w="12250" w:h="15850"/>
          <w:pgMar w:header="0" w:footer="1037" w:top="1360" w:bottom="1220" w:left="1580" w:right="1580"/>
        </w:sectPr>
      </w:pPr>
    </w:p>
    <w:p>
      <w:pPr>
        <w:pStyle w:val="BodyText"/>
        <w:spacing w:line="360" w:lineRule="auto" w:before="50"/>
        <w:ind w:left="122" w:right="118"/>
        <w:jc w:val="both"/>
      </w:pPr>
      <w:r>
        <w:rPr/>
        <w:t>atravesó por tres momentos importantes: i) el descubrimiento de un abundante recurso natural exportable; ii) la nacionalización de sus hidrocarburos; iii) los precios internacionales favorables, lo cual derivó en incrementos significativos para los ingresos fiscales y la posición fiscal de Bolivia. Dicho en otras palabras, se constituyeron en  choques positivos para esta</w:t>
      </w:r>
      <w:r>
        <w:rPr>
          <w:spacing w:val="-9"/>
        </w:rPr>
        <w:t> </w:t>
      </w:r>
      <w:r>
        <w:rPr/>
        <w:t>economía.</w:t>
      </w:r>
    </w:p>
    <w:p>
      <w:pPr>
        <w:pStyle w:val="BodyText"/>
        <w:spacing w:line="345" w:lineRule="auto" w:before="4"/>
        <w:ind w:left="122" w:right="116" w:firstLine="707"/>
        <w:jc w:val="both"/>
      </w:pPr>
      <w:r>
        <w:rPr/>
        <w:t>Adicionalmente, se abordan los </w:t>
      </w:r>
      <w:r>
        <w:rPr>
          <w:i/>
        </w:rPr>
        <w:t>choques </w:t>
      </w:r>
      <w:r>
        <w:rPr/>
        <w:t>de precios del gas natural debido a: (i) es el mayor producto de exportación (41% sobre el volumen total exportado)</w:t>
      </w:r>
      <w:r>
        <w:rPr>
          <w:position w:val="11"/>
          <w:sz w:val="16"/>
        </w:rPr>
        <w:t>4</w:t>
      </w:r>
      <w:r>
        <w:rPr/>
        <w:t>; (ii) es  un producto nacionalizado por el Estado.</w:t>
      </w:r>
    </w:p>
    <w:p>
      <w:pPr>
        <w:pStyle w:val="BodyText"/>
        <w:spacing w:line="360" w:lineRule="auto" w:before="23"/>
        <w:ind w:left="122" w:right="121" w:firstLine="707"/>
        <w:jc w:val="both"/>
      </w:pPr>
      <w:r>
        <w:rPr/>
        <w:t>Desde una perspectiva teórica, la alta concentración en uno o pocos productos de exportación es de alto riesgo, dado que los entornos internacionales no son siempre favorables, más aún, situaciones de caídas de precios puede ocasionar efectos negativos para las economías clasificadas como exportadoras netas (Llinás, 2002; Blecker, 2009; Perilla, 2009), lo cual es conocido como el síndrome de </w:t>
      </w:r>
      <w:r>
        <w:rPr>
          <w:i/>
        </w:rPr>
        <w:t>enfermedad</w:t>
      </w:r>
      <w:r>
        <w:rPr>
          <w:i/>
          <w:spacing w:val="-8"/>
        </w:rPr>
        <w:t> </w:t>
      </w:r>
      <w:r>
        <w:rPr>
          <w:i/>
        </w:rPr>
        <w:t>holandesa</w:t>
      </w:r>
      <w:r>
        <w:rPr/>
        <w:t>.</w:t>
      </w:r>
    </w:p>
    <w:p>
      <w:pPr>
        <w:pStyle w:val="BodyText"/>
        <w:spacing w:line="360" w:lineRule="auto" w:before="4"/>
        <w:ind w:left="122" w:right="117" w:firstLine="707"/>
        <w:jc w:val="both"/>
      </w:pPr>
      <w:r>
        <w:rPr/>
        <w:t>Para países dependientes y no dependientes de recursos naturales, se ha recomendado la implementación de reglas fiscales tradicionales (FMI, 2009) como restricciones permanentes sobre el gasto público, el resultado fiscal y la deuda pública. El propósito de estas reglas fiscales es reducir el oportunismo del gobierno a tomar decisiones deliberadas en términos de deuda pública y déficit fiscal.</w:t>
      </w:r>
    </w:p>
    <w:p>
      <w:pPr>
        <w:pStyle w:val="BodyText"/>
        <w:spacing w:line="360" w:lineRule="auto" w:before="6"/>
        <w:ind w:left="122" w:right="115" w:firstLine="707"/>
        <w:jc w:val="both"/>
      </w:pPr>
      <w:r>
        <w:rPr/>
        <w:t>La crítica principal a las reglas fiscales tradicionales se ha centrado en su rigidez en torno al ambiente económico, al considerar límites numéricos fijos sobre la deuda pública y el resultado fiscal, por lo cual se restringe el margen de maniobra por parte del gobierno para realizar políticas contracíclicas.</w:t>
      </w:r>
    </w:p>
    <w:p>
      <w:pPr>
        <w:pStyle w:val="BodyText"/>
        <w:spacing w:line="360" w:lineRule="auto" w:before="6"/>
        <w:ind w:left="122" w:right="117" w:firstLine="707"/>
        <w:jc w:val="both"/>
      </w:pPr>
      <w:r>
        <w:rPr/>
        <w:t>De forma complementaria, se ha planteado la nueva generación de reglas fiscales basadas en la mitigación de choques económicos (Wijnbergen &amp; Budina, 2011), combinando dichas respuestas con objetivos de sostenibilidad fiscal (Villafuerte &amp; López, 2010; Schaechter, et al., 2012); es decir, sencillas, fácil de monitorear y sensibles a la actividad económica (Dzialo, 2012).   De igual </w:t>
      </w:r>
      <w:r>
        <w:rPr>
          <w:spacing w:val="55"/>
        </w:rPr>
        <w:t> </w:t>
      </w:r>
      <w:r>
        <w:rPr/>
        <w:t>forma,</w:t>
      </w:r>
      <w:r>
        <w:rPr>
          <w:spacing w:val="28"/>
        </w:rPr>
        <w:t> </w:t>
      </w:r>
      <w:r>
        <w:rPr>
          <w:w w:val="166"/>
        </w:rPr>
        <w:t>  </w:t>
      </w:r>
      <w:r>
        <w:rPr>
          <w:spacing w:val="25"/>
        </w:rPr>
        <w:t> </w:t>
      </w:r>
      <w:r>
        <w:rPr>
          <w:spacing w:val="2"/>
          <w:w w:val="200"/>
        </w:rPr>
        <w:t> </w:t>
      </w:r>
      <w:r>
        <w:rPr>
          <w:w w:val="177"/>
        </w:rPr>
        <w:t> </w:t>
      </w:r>
      <w:r>
        <w:rPr>
          <w:spacing w:val="25"/>
        </w:rPr>
        <w:t> </w:t>
      </w:r>
      <w:r>
        <w:rPr>
          <w:spacing w:val="1"/>
          <w:w w:val="133"/>
        </w:rPr>
        <w:t> </w:t>
      </w:r>
      <w:r>
        <w:rPr>
          <w:spacing w:val="-1"/>
          <w:w w:val="177"/>
        </w:rPr>
        <w:t>  </w:t>
      </w:r>
      <w:r>
        <w:rPr>
          <w:w w:val="211"/>
        </w:rPr>
        <w:t>     </w:t>
      </w:r>
      <w:r>
        <w:rPr>
          <w:spacing w:val="-2"/>
          <w:w w:val="211"/>
        </w:rPr>
        <w:t> </w:t>
      </w:r>
      <w:r>
        <w:rPr>
          <w:w w:val="200"/>
        </w:rPr>
        <w:t>  </w:t>
      </w:r>
      <w:r>
        <w:rPr>
          <w:spacing w:val="28"/>
        </w:rPr>
        <w:t> </w:t>
      </w:r>
      <w:r>
        <w:rPr>
          <w:w w:val="144"/>
        </w:rPr>
        <w:t>  </w:t>
      </w:r>
      <w:r>
        <w:rPr>
          <w:spacing w:val="25"/>
        </w:rPr>
        <w:t> </w:t>
      </w:r>
      <w:r>
        <w:rPr>
          <w:w w:val="152"/>
        </w:rPr>
        <w:t>       </w:t>
      </w:r>
      <w:r>
        <w:rPr>
          <w:w w:val="200"/>
        </w:rPr>
        <w:t>  </w:t>
      </w:r>
      <w:r>
        <w:rPr>
          <w:spacing w:val="26"/>
        </w:rPr>
        <w:t> </w:t>
      </w:r>
      <w:r>
        <w:rPr>
          <w:w w:val="188"/>
        </w:rPr>
        <w:t>  </w:t>
      </w:r>
    </w:p>
    <w:p>
      <w:pPr>
        <w:pStyle w:val="BodyText"/>
        <w:spacing w:line="360" w:lineRule="auto" w:before="6"/>
        <w:ind w:left="122" w:right="119"/>
        <w:jc w:val="both"/>
      </w:pPr>
      <w:r>
        <w:rPr>
          <w:w w:val="177"/>
        </w:rPr>
        <w:t> </w:t>
      </w:r>
      <w:r>
        <w:rPr>
          <w:w w:val="161"/>
        </w:rPr>
        <w:t>        </w:t>
      </w:r>
      <w:r>
        <w:rPr/>
        <w:t> </w:t>
      </w:r>
      <w:r>
        <w:rPr>
          <w:w w:val="188"/>
        </w:rPr>
        <w:t>  </w:t>
      </w:r>
      <w:r>
        <w:rPr/>
        <w:t> </w:t>
      </w:r>
      <w:r>
        <w:rPr>
          <w:w w:val="177"/>
        </w:rPr>
        <w:t> </w:t>
      </w:r>
      <w:r>
        <w:rPr>
          <w:w w:val="155"/>
        </w:rPr>
        <w:t> </w:t>
      </w:r>
      <w:r>
        <w:rPr>
          <w:w w:val="177"/>
        </w:rPr>
        <w:t>  </w:t>
      </w:r>
      <w:r>
        <w:rPr>
          <w:w w:val="200"/>
        </w:rPr>
        <w:t> </w:t>
      </w:r>
      <w:r>
        <w:rPr>
          <w:w w:val="177"/>
        </w:rPr>
        <w:t> </w:t>
      </w:r>
      <w:r>
        <w:rPr/>
        <w:t> </w:t>
      </w:r>
      <w:r>
        <w:rPr>
          <w:w w:val="1"/>
        </w:rPr>
        <w:t> </w:t>
      </w:r>
      <w:r>
        <w:rPr/>
        <w:t> </w:t>
      </w:r>
      <w:r>
        <w:rPr>
          <w:w w:val="188"/>
        </w:rPr>
        <w:t>  </w:t>
      </w:r>
      <w:r>
        <w:rPr>
          <w:w w:val="133"/>
        </w:rPr>
        <w:t> </w:t>
      </w:r>
      <w:r>
        <w:rPr>
          <w:w w:val="177"/>
        </w:rPr>
        <w:t> </w:t>
      </w:r>
      <w:r>
        <w:rPr/>
        <w:t> </w:t>
      </w:r>
      <w:r>
        <w:rPr>
          <w:w w:val="148"/>
        </w:rPr>
        <w:t>   </w:t>
      </w:r>
      <w:r>
        <w:rPr/>
        <w:t> </w:t>
      </w:r>
      <w:r>
        <w:rPr>
          <w:w w:val="155"/>
        </w:rPr>
        <w:t>  </w:t>
      </w:r>
      <w:r>
        <w:rPr>
          <w:w w:val="200"/>
        </w:rPr>
        <w:t> </w:t>
      </w:r>
      <w:r>
        <w:rPr>
          <w:w w:val="148"/>
        </w:rPr>
        <w:t>   </w:t>
      </w:r>
      <w:r>
        <w:rPr/>
        <w:t> </w:t>
      </w:r>
      <w:r>
        <w:rPr>
          <w:w w:val="144"/>
        </w:rPr>
        <w:t>    </w:t>
      </w:r>
      <w:r>
        <w:rPr>
          <w:w w:val="177"/>
        </w:rPr>
        <w:t> </w:t>
      </w:r>
      <w:r>
        <w:rPr>
          <w:w w:val="148"/>
        </w:rPr>
        <w:t>   </w:t>
      </w:r>
      <w:r>
        <w:rPr/>
        <w:t> </w:t>
      </w:r>
      <w:r>
        <w:rPr>
          <w:w w:val="1"/>
        </w:rPr>
        <w:t> </w:t>
      </w:r>
      <w:r>
        <w:rPr/>
        <w:t> </w:t>
      </w:r>
      <w:r>
        <w:rPr>
          <w:w w:val="177"/>
        </w:rPr>
        <w:t> </w:t>
      </w:r>
      <w:r>
        <w:rPr>
          <w:w w:val="200"/>
        </w:rPr>
        <w:t>  </w:t>
      </w:r>
      <w:r>
        <w:rPr/>
        <w:t> </w:t>
      </w:r>
      <w:r>
        <w:rPr>
          <w:w w:val="200"/>
        </w:rPr>
        <w:t> </w:t>
      </w:r>
      <w:r>
        <w:rPr>
          <w:w w:val="188"/>
        </w:rPr>
        <w:t>  </w:t>
      </w:r>
      <w:r>
        <w:rPr/>
        <w:t> </w:t>
      </w:r>
      <w:r>
        <w:rPr>
          <w:w w:val="166"/>
        </w:rPr>
        <w:t>  </w:t>
      </w:r>
      <w:r>
        <w:rPr>
          <w:w w:val="155"/>
        </w:rPr>
        <w:t>     </w:t>
      </w:r>
      <w:r>
        <w:rPr>
          <w:w w:val="177"/>
        </w:rPr>
        <w:t> </w:t>
      </w:r>
      <w:r>
        <w:rPr>
          <w:w w:val="170"/>
        </w:rPr>
        <w:t>   </w:t>
      </w:r>
      <w:r>
        <w:rPr/>
        <w:t> </w:t>
      </w:r>
      <w:r>
        <w:rPr>
          <w:w w:val="177"/>
        </w:rPr>
        <w:t> </w:t>
      </w:r>
      <w:r>
        <w:rPr>
          <w:w w:val="164"/>
        </w:rPr>
        <w:t>     </w:t>
      </w:r>
      <w:r>
        <w:rPr>
          <w:w w:val="177"/>
        </w:rPr>
        <w:t> </w:t>
      </w:r>
      <w:r>
        <w:rPr>
          <w:w w:val="133"/>
        </w:rPr>
        <w:t>   </w:t>
      </w:r>
      <w:r>
        <w:rPr>
          <w:w w:val="155"/>
        </w:rPr>
        <w:t>   </w:t>
      </w:r>
      <w:r>
        <w:rPr/>
        <w:t> </w:t>
      </w:r>
      <w:r>
        <w:rPr>
          <w:w w:val="188"/>
        </w:rPr>
        <w:t>  </w:t>
      </w:r>
      <w:r>
        <w:rPr/>
        <w:t>sado en el balance fiscal cíclicamente ajustado (Schick, 2010).</w:t>
      </w:r>
    </w:p>
    <w:p>
      <w:pPr>
        <w:pStyle w:val="BodyText"/>
        <w:rPr>
          <w:sz w:val="20"/>
        </w:rPr>
      </w:pPr>
    </w:p>
    <w:p>
      <w:pPr>
        <w:pStyle w:val="BodyText"/>
        <w:rPr>
          <w:sz w:val="20"/>
        </w:rPr>
      </w:pPr>
    </w:p>
    <w:p>
      <w:pPr>
        <w:pStyle w:val="BodyText"/>
        <w:rPr>
          <w:sz w:val="14"/>
        </w:rPr>
      </w:pPr>
      <w:r>
        <w:rPr/>
        <w:pict>
          <v:line style="position:absolute;mso-position-horizontal-relative:page;mso-position-vertical-relative:paragraph;z-index:1240;mso-wrap-distance-left:0;mso-wrap-distance-right:0" from="85.103996pt,10.321695pt" to="229.123996pt,10.321695pt" stroked="true" strokeweight=".60004pt" strokecolor="#000000">
            <w10:wrap type="topAndBottom"/>
          </v:line>
        </w:pict>
      </w:r>
    </w:p>
    <w:p>
      <w:pPr>
        <w:spacing w:before="50"/>
        <w:ind w:left="122" w:right="115" w:firstLine="0"/>
        <w:jc w:val="left"/>
        <w:rPr>
          <w:sz w:val="20"/>
        </w:rPr>
      </w:pPr>
      <w:r>
        <w:rPr>
          <w:position w:val="9"/>
          <w:sz w:val="13"/>
        </w:rPr>
        <w:t>4  </w:t>
      </w:r>
      <w:r>
        <w:rPr>
          <w:sz w:val="20"/>
        </w:rPr>
        <w:t>Al 30 de Junio de 2011 (INE, 2011).</w:t>
      </w:r>
    </w:p>
    <w:p>
      <w:pPr>
        <w:spacing w:after="0"/>
        <w:jc w:val="left"/>
        <w:rPr>
          <w:sz w:val="20"/>
        </w:rPr>
        <w:sectPr>
          <w:pgSz w:w="12250" w:h="15850"/>
          <w:pgMar w:header="0" w:footer="1037" w:top="1360" w:bottom="1220" w:left="1580" w:right="1580"/>
        </w:sectPr>
      </w:pPr>
    </w:p>
    <w:p>
      <w:pPr>
        <w:pStyle w:val="BodyText"/>
        <w:spacing w:line="360" w:lineRule="auto" w:before="50"/>
        <w:ind w:left="122" w:right="125" w:firstLine="707"/>
        <w:jc w:val="both"/>
      </w:pPr>
      <w:r>
        <w:rPr/>
        <w:t>Como fruto de la problematización respectiva, se realizan las principales preguntas de investigación:</w:t>
      </w:r>
    </w:p>
    <w:p>
      <w:pPr>
        <w:spacing w:line="360" w:lineRule="auto" w:before="6"/>
        <w:ind w:left="830" w:right="115" w:firstLine="0"/>
        <w:jc w:val="left"/>
        <w:rPr>
          <w:i/>
          <w:sz w:val="24"/>
        </w:rPr>
      </w:pPr>
      <w:r>
        <w:rPr>
          <w:i/>
          <w:sz w:val="24"/>
        </w:rPr>
        <w:t>¿Cuál es el rol que ejercen los choques de precios y la asignación de los ingresos </w:t>
      </w:r>
      <w:r>
        <w:rPr>
          <w:i/>
          <w:sz w:val="24"/>
        </w:rPr>
        <w:t>fiscales en la posición fiscal de Bolivia?;</w:t>
      </w:r>
    </w:p>
    <w:p>
      <w:pPr>
        <w:spacing w:line="360" w:lineRule="auto" w:before="6"/>
        <w:ind w:left="830" w:right="115" w:firstLine="0"/>
        <w:jc w:val="left"/>
        <w:rPr>
          <w:i/>
          <w:sz w:val="24"/>
        </w:rPr>
      </w:pPr>
      <w:r>
        <w:rPr>
          <w:i/>
          <w:sz w:val="24"/>
        </w:rPr>
        <w:t>¿Qué escenarios de reglas fiscales permitirían un mejor prospecto de la deuda </w:t>
      </w:r>
      <w:r>
        <w:rPr>
          <w:i/>
          <w:sz w:val="24"/>
        </w:rPr>
        <w:t>pública máxima en el corto y mediano plazo?</w:t>
      </w:r>
    </w:p>
    <w:p>
      <w:pPr>
        <w:pStyle w:val="BodyText"/>
        <w:rPr>
          <w:i/>
        </w:rPr>
      </w:pPr>
    </w:p>
    <w:p>
      <w:pPr>
        <w:pStyle w:val="BodyText"/>
        <w:spacing w:line="360" w:lineRule="auto" w:before="143"/>
        <w:ind w:left="122" w:right="117" w:firstLine="707"/>
        <w:jc w:val="both"/>
      </w:pPr>
      <w:r>
        <w:rPr/>
        <w:t>Para dar respuesta a las preguntas anteriores, en esta investigación se utiliza la versión modificada del ingreso permanente (postura Keynesiana), misma que recomienda canalizar los ingresos del recurso natural a la inversión pública. El enfoque tradicional de sostenibilidad en la deuda pública aborda su interrelación con el balance fiscal primario.</w:t>
      </w:r>
    </w:p>
    <w:p>
      <w:pPr>
        <w:pStyle w:val="BodyText"/>
        <w:spacing w:line="345" w:lineRule="auto" w:before="4"/>
        <w:ind w:left="122" w:right="116" w:firstLine="707"/>
        <w:jc w:val="both"/>
      </w:pPr>
      <w:r>
        <w:rPr/>
        <w:t>El propósito central del trabajo es evaluar el rol de los choques de precios del gas natural y la asignación de los ingresos fiscales en la posición fiscal de Bolivia, a partir de información  trimestral  durante  el  período  2003  –  2011</w:t>
      </w:r>
      <w:r>
        <w:rPr>
          <w:position w:val="11"/>
          <w:sz w:val="16"/>
        </w:rPr>
        <w:t>5</w:t>
      </w:r>
      <w:r>
        <w:rPr/>
        <w:t>,    mediante  la  metodología de</w:t>
      </w:r>
    </w:p>
    <w:p>
      <w:pPr>
        <w:pStyle w:val="BodyText"/>
        <w:spacing w:line="360" w:lineRule="auto" w:before="5"/>
        <w:ind w:left="122" w:right="120"/>
        <w:jc w:val="both"/>
      </w:pPr>
      <w:r>
        <w:rPr/>
        <w:t>vectores autoregresivos estructurales (SVAR) con el fin de proponer escenarios de reglas fiscales                                                             n mejor prospecto de la deuda pública  máxima en el corto y mediano plazo (2012 – 2016). Adicionalmente, se persiguen los siguientes objetivos</w:t>
      </w:r>
      <w:r>
        <w:rPr>
          <w:spacing w:val="-8"/>
        </w:rPr>
        <w:t> </w:t>
      </w:r>
      <w:r>
        <w:rPr/>
        <w:t>particulares:</w:t>
      </w:r>
    </w:p>
    <w:p>
      <w:pPr>
        <w:pStyle w:val="ListParagraph"/>
        <w:numPr>
          <w:ilvl w:val="1"/>
          <w:numId w:val="5"/>
        </w:numPr>
        <w:tabs>
          <w:tab w:pos="842" w:val="left" w:leader="none"/>
        </w:tabs>
        <w:spacing w:line="360" w:lineRule="auto" w:before="6" w:after="0"/>
        <w:ind w:left="842" w:right="125" w:hanging="360"/>
        <w:jc w:val="left"/>
        <w:rPr>
          <w:sz w:val="24"/>
        </w:rPr>
      </w:pPr>
      <w:r>
        <w:rPr>
          <w:sz w:val="24"/>
        </w:rPr>
        <w:t>Obtener el sendero de proyección para los precios y la producción de gas natural de Bolivia hacia el corto y mediano plazo (2012 –</w:t>
      </w:r>
      <w:r>
        <w:rPr>
          <w:spacing w:val="-7"/>
          <w:sz w:val="24"/>
        </w:rPr>
        <w:t> </w:t>
      </w:r>
      <w:r>
        <w:rPr>
          <w:sz w:val="24"/>
        </w:rPr>
        <w:t>2016).</w:t>
      </w:r>
    </w:p>
    <w:p>
      <w:pPr>
        <w:pStyle w:val="ListParagraph"/>
        <w:numPr>
          <w:ilvl w:val="1"/>
          <w:numId w:val="5"/>
        </w:numPr>
        <w:tabs>
          <w:tab w:pos="842" w:val="left" w:leader="none"/>
        </w:tabs>
        <w:spacing w:line="360" w:lineRule="auto" w:before="205" w:after="0"/>
        <w:ind w:left="842" w:right="118" w:hanging="360"/>
        <w:jc w:val="left"/>
        <w:rPr>
          <w:sz w:val="24"/>
        </w:rPr>
      </w:pPr>
      <w:r>
        <w:rPr>
          <w:sz w:val="24"/>
        </w:rPr>
        <w:t>Explicar las implicaciones de los cambios institucionales sobre la posición fiscal de una economía dependiente de un recurso</w:t>
      </w:r>
      <w:r>
        <w:rPr>
          <w:spacing w:val="-7"/>
          <w:sz w:val="24"/>
        </w:rPr>
        <w:t> </w:t>
      </w:r>
      <w:r>
        <w:rPr>
          <w:sz w:val="24"/>
        </w:rPr>
        <w:t>natural.</w:t>
      </w:r>
    </w:p>
    <w:p>
      <w:pPr>
        <w:pStyle w:val="ListParagraph"/>
        <w:numPr>
          <w:ilvl w:val="1"/>
          <w:numId w:val="5"/>
        </w:numPr>
        <w:tabs>
          <w:tab w:pos="842" w:val="left" w:leader="none"/>
        </w:tabs>
        <w:spacing w:line="240" w:lineRule="auto" w:before="206" w:after="0"/>
        <w:ind w:left="842" w:right="0" w:hanging="360"/>
        <w:jc w:val="left"/>
        <w:rPr>
          <w:sz w:val="24"/>
        </w:rPr>
      </w:pPr>
      <w:r>
        <w:rPr>
          <w:sz w:val="24"/>
        </w:rPr>
        <w:t>Evaluar la eficiencia del rol</w:t>
      </w:r>
      <w:r>
        <w:rPr>
          <w:spacing w:val="-9"/>
          <w:sz w:val="24"/>
        </w:rPr>
        <w:t> </w:t>
      </w:r>
      <w:r>
        <w:rPr>
          <w:sz w:val="24"/>
        </w:rPr>
        <w:t>fiscal.</w:t>
      </w:r>
    </w:p>
    <w:p>
      <w:pPr>
        <w:pStyle w:val="BodyText"/>
        <w:spacing w:before="4"/>
        <w:rPr>
          <w:sz w:val="29"/>
        </w:rPr>
      </w:pPr>
    </w:p>
    <w:p>
      <w:pPr>
        <w:pStyle w:val="ListParagraph"/>
        <w:numPr>
          <w:ilvl w:val="1"/>
          <w:numId w:val="5"/>
        </w:numPr>
        <w:tabs>
          <w:tab w:pos="842" w:val="left" w:leader="none"/>
        </w:tabs>
        <w:spacing w:line="240" w:lineRule="auto" w:before="1" w:after="0"/>
        <w:ind w:left="842" w:right="0" w:hanging="360"/>
        <w:jc w:val="left"/>
        <w:rPr>
          <w:sz w:val="24"/>
        </w:rPr>
      </w:pPr>
      <w:r>
        <w:rPr>
          <w:sz w:val="24"/>
        </w:rPr>
        <w:t>Obtener la estimación del balance fiscal global cíclicamente</w:t>
      </w:r>
      <w:r>
        <w:rPr>
          <w:spacing w:val="-14"/>
          <w:sz w:val="24"/>
        </w:rPr>
        <w:t> </w:t>
      </w:r>
      <w:r>
        <w:rPr>
          <w:sz w:val="24"/>
        </w:rPr>
        <w:t>ajustado.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3"/>
        </w:rPr>
      </w:pPr>
      <w:r>
        <w:rPr/>
        <w:pict>
          <v:line style="position:absolute;mso-position-horizontal-relative:page;mso-position-vertical-relative:paragraph;z-index:1264;mso-wrap-distance-left:0;mso-wrap-distance-right:0" from="85.103996pt,9.929159pt" to="229.123996pt,9.929159pt" stroked="true" strokeweight=".60004pt" strokecolor="#000000">
            <w10:wrap type="topAndBottom"/>
          </v:line>
        </w:pict>
      </w:r>
    </w:p>
    <w:p>
      <w:pPr>
        <w:spacing w:before="50"/>
        <w:ind w:left="122" w:right="125" w:firstLine="0"/>
        <w:jc w:val="both"/>
        <w:rPr>
          <w:sz w:val="20"/>
        </w:rPr>
      </w:pPr>
      <w:r>
        <w:rPr>
          <w:position w:val="9"/>
          <w:sz w:val="13"/>
        </w:rPr>
        <w:t>5 </w:t>
      </w:r>
      <w:r>
        <w:rPr>
          <w:sz w:val="20"/>
        </w:rPr>
        <w:t>Se considera este período debido a dos razones fundamentales: 1) a partir de 2003 comienza el boom de precios, aunque esta tendencia se aprecia desde de 1.999, el cambio de pendiente con mayor intensidad aparece         desde         este         período;         2)         después         de         mediados                    9         ‘ para estabilizar sus finanzas públicas. Para el 2003, la mayoría de los países estaban en condiciones de responder a los choques de precios  (Villafuerte &amp; López, 2010, p. 4).</w:t>
      </w:r>
    </w:p>
    <w:p>
      <w:pPr>
        <w:spacing w:after="0"/>
        <w:jc w:val="both"/>
        <w:rPr>
          <w:sz w:val="20"/>
        </w:rPr>
        <w:sectPr>
          <w:pgSz w:w="12250" w:h="15850"/>
          <w:pgMar w:header="0" w:footer="1037" w:top="1360" w:bottom="1220" w:left="1580" w:right="1580"/>
        </w:sectPr>
      </w:pPr>
    </w:p>
    <w:p>
      <w:pPr>
        <w:pStyle w:val="ListParagraph"/>
        <w:numPr>
          <w:ilvl w:val="1"/>
          <w:numId w:val="5"/>
        </w:numPr>
        <w:tabs>
          <w:tab w:pos="842" w:val="left" w:leader="none"/>
        </w:tabs>
        <w:spacing w:line="360" w:lineRule="auto" w:before="50" w:after="0"/>
        <w:ind w:left="842" w:right="118" w:hanging="360"/>
        <w:jc w:val="both"/>
        <w:rPr>
          <w:sz w:val="24"/>
        </w:rPr>
      </w:pPr>
      <w:r>
        <w:rPr>
          <w:sz w:val="24"/>
        </w:rPr>
        <w:t>Analizar el efecto contemporáneo y dinámico que ejercen los choques de precios del gas             natural             y            la             asignación             de             los posición fiscal de Bolivia (2003</w:t>
      </w:r>
      <w:r>
        <w:rPr>
          <w:spacing w:val="-9"/>
          <w:sz w:val="24"/>
        </w:rPr>
        <w:t> </w:t>
      </w:r>
      <w:r>
        <w:rPr>
          <w:sz w:val="24"/>
        </w:rPr>
        <w:t>-2011).</w:t>
      </w:r>
    </w:p>
    <w:p>
      <w:pPr>
        <w:pStyle w:val="ListParagraph"/>
        <w:numPr>
          <w:ilvl w:val="1"/>
          <w:numId w:val="5"/>
        </w:numPr>
        <w:tabs>
          <w:tab w:pos="842" w:val="left" w:leader="none"/>
        </w:tabs>
        <w:spacing w:line="360" w:lineRule="auto" w:before="205" w:after="0"/>
        <w:ind w:left="842" w:right="118" w:hanging="360"/>
        <w:jc w:val="both"/>
        <w:rPr>
          <w:sz w:val="24"/>
        </w:rPr>
      </w:pPr>
      <w:r>
        <w:rPr>
          <w:sz w:val="24"/>
        </w:rPr>
        <w:t>Proponer y evaluar escenarios de reglas fiscales que mejoren el prospecto de la deuda pública máxima en el corto y mediano plazo (2012 – 2016) en comparación con un escenario base (sin regla fiscal) y en función de diversas alternativas de canalización de ingresos del recurso natural hacia el gasto de</w:t>
      </w:r>
      <w:r>
        <w:rPr>
          <w:spacing w:val="-14"/>
          <w:sz w:val="24"/>
        </w:rPr>
        <w:t> </w:t>
      </w:r>
      <w:r>
        <w:rPr>
          <w:sz w:val="24"/>
        </w:rPr>
        <w:t>capital.</w:t>
      </w:r>
    </w:p>
    <w:p>
      <w:pPr>
        <w:pStyle w:val="BodyText"/>
        <w:spacing w:before="206"/>
        <w:ind w:left="830"/>
        <w:jc w:val="both"/>
      </w:pPr>
      <w:r>
        <w:rPr/>
        <w:t>En consecuencia, la tesis se centra en dos hipótesis:</w:t>
      </w:r>
    </w:p>
    <w:p>
      <w:pPr>
        <w:pStyle w:val="BodyText"/>
      </w:pPr>
    </w:p>
    <w:p>
      <w:pPr>
        <w:pStyle w:val="BodyText"/>
      </w:pPr>
    </w:p>
    <w:p>
      <w:pPr>
        <w:spacing w:line="360" w:lineRule="auto" w:before="0"/>
        <w:ind w:left="830" w:right="117" w:firstLine="0"/>
        <w:jc w:val="both"/>
        <w:rPr>
          <w:i/>
          <w:sz w:val="24"/>
        </w:rPr>
      </w:pPr>
      <w:r>
        <w:rPr>
          <w:i/>
          <w:sz w:val="24"/>
          <w:u w:val="single"/>
        </w:rPr>
        <w:t>Hipótesis 1</w:t>
      </w:r>
      <w:r>
        <w:rPr>
          <w:i/>
          <w:sz w:val="24"/>
        </w:rPr>
        <w:t>: La asignación de los                                                         al gasto </w:t>
      </w:r>
      <w:r>
        <w:rPr>
          <w:i/>
          <w:sz w:val="24"/>
        </w:rPr>
        <w:t>público ejerce el rol de choque estructural más relevante sobre la posición fiscal en comparación con los choques de precios del gas</w:t>
      </w:r>
      <w:r>
        <w:rPr>
          <w:i/>
          <w:spacing w:val="-9"/>
          <w:sz w:val="24"/>
        </w:rPr>
        <w:t> </w:t>
      </w:r>
      <w:r>
        <w:rPr>
          <w:i/>
          <w:sz w:val="24"/>
        </w:rPr>
        <w:t>natural.</w:t>
      </w:r>
    </w:p>
    <w:p>
      <w:pPr>
        <w:pStyle w:val="BodyText"/>
        <w:rPr>
          <w:i/>
        </w:rPr>
      </w:pPr>
    </w:p>
    <w:p>
      <w:pPr>
        <w:spacing w:line="360" w:lineRule="auto" w:before="143"/>
        <w:ind w:left="830" w:right="115" w:firstLine="0"/>
        <w:jc w:val="both"/>
        <w:rPr>
          <w:i/>
          <w:sz w:val="24"/>
        </w:rPr>
      </w:pPr>
      <w:r>
        <w:rPr>
          <w:i/>
          <w:sz w:val="24"/>
          <w:u w:val="single"/>
        </w:rPr>
        <w:t>Hipótesis 2</w:t>
      </w:r>
      <w:r>
        <w:rPr>
          <w:i/>
          <w:sz w:val="24"/>
        </w:rPr>
        <w:t>: Las reglas fiscales basadas en diversas magnitudes de canalización de </w:t>
      </w:r>
      <w:r>
        <w:rPr>
          <w:i/>
          <w:sz w:val="24"/>
        </w:rPr>
        <w:t>ingresos del recurso natural hacia el gasto de capital (baja, intermedia o alta) disminuyen la deuda pública máxima en el corto y mediano plazo comparado con una trayectoria de escenario base (sin regla fiscal).</w:t>
      </w:r>
    </w:p>
    <w:p>
      <w:pPr>
        <w:pStyle w:val="BodyText"/>
        <w:rPr>
          <w:i/>
        </w:rPr>
      </w:pPr>
    </w:p>
    <w:p>
      <w:pPr>
        <w:pStyle w:val="BodyText"/>
        <w:spacing w:line="360" w:lineRule="auto" w:before="143"/>
        <w:ind w:left="122" w:right="114" w:firstLine="707"/>
        <w:jc w:val="both"/>
      </w:pPr>
      <w:r>
        <w:rPr/>
        <w:t>Para la segunda hipótesis se parte de la premisa que si el gobierno fija una proporción de ingresos fiscales que se canalizan   hacia                        diversas     magnitudes se elimina la volatilidad en la asignación de ingresos fiscal al gasto público, y por tanto, se disminuye la variabilidad del balance fiscal primario y de la deuda pública máxima. Desde otro punto de vista, se asume que dada la ausencia de una regla fiscal, la asignación de ingresos fiscales al gasto público y la posición fiscal son completamente estocásticas.</w:t>
      </w:r>
    </w:p>
    <w:p>
      <w:pPr>
        <w:pStyle w:val="BodyText"/>
        <w:spacing w:line="350" w:lineRule="auto" w:before="6"/>
        <w:ind w:left="122" w:right="114" w:firstLine="707"/>
        <w:jc w:val="both"/>
      </w:pPr>
      <w:r>
        <w:rPr/>
        <w:t>El estudio contribuye al conocimiento de la posición fiscal de Bolivia en cuatro aspectos: i) explicar la reacción del gasto público en términos de presión fiscal</w:t>
      </w:r>
      <w:r>
        <w:rPr>
          <w:position w:val="11"/>
          <w:sz w:val="16"/>
        </w:rPr>
        <w:t>6 </w:t>
      </w:r>
      <w:r>
        <w:rPr/>
        <w:t>bajo la dependencia de recursos naturales y frente a la perspectiva neoclásica y Keynesiana; ii) explicar el impacto de los choques de precios y de la asignación de los ingresos fis</w:t>
      </w:r>
      <w:r>
        <w:rPr>
          <w:w w:val="177"/>
        </w:rPr>
        <w:t>  </w:t>
      </w:r>
      <w:r>
        <w:rPr>
          <w:w w:val="148"/>
        </w:rPr>
        <w:t>   </w:t>
      </w:r>
      <w:r>
        <w:rPr/>
        <w:t> </w:t>
      </w:r>
      <w:r>
        <w:rPr>
          <w:w w:val="1"/>
        </w:rPr>
        <w:t> </w:t>
      </w:r>
    </w:p>
    <w:p>
      <w:pPr>
        <w:pStyle w:val="BodyText"/>
        <w:spacing w:before="1"/>
        <w:rPr>
          <w:sz w:val="20"/>
        </w:rPr>
      </w:pPr>
      <w:r>
        <w:rPr/>
        <w:pict>
          <v:line style="position:absolute;mso-position-horizontal-relative:page;mso-position-vertical-relative:paragraph;z-index:1288;mso-wrap-distance-left:0;mso-wrap-distance-right:0" from="85.103996pt,13.811312pt" to="229.123996pt,13.811312pt" stroked="true" strokeweight=".60004pt" strokecolor="#000000">
            <w10:wrap type="topAndBottom"/>
          </v:line>
        </w:pict>
      </w:r>
    </w:p>
    <w:p>
      <w:pPr>
        <w:spacing w:before="50"/>
        <w:ind w:left="122" w:right="115" w:firstLine="0"/>
        <w:jc w:val="left"/>
        <w:rPr>
          <w:sz w:val="20"/>
        </w:rPr>
      </w:pPr>
      <w:r>
        <w:rPr>
          <w:position w:val="9"/>
          <w:sz w:val="13"/>
        </w:rPr>
        <w:t>6 </w:t>
      </w:r>
      <w:r>
        <w:rPr>
          <w:sz w:val="20"/>
        </w:rPr>
        <w:t>Presión fiscal se refiere a la medición del gasto público en términos de ingresos fiscales</w:t>
      </w:r>
    </w:p>
    <w:p>
      <w:pPr>
        <w:spacing w:after="0"/>
        <w:jc w:val="left"/>
        <w:rPr>
          <w:sz w:val="20"/>
        </w:rPr>
        <w:sectPr>
          <w:pgSz w:w="12250" w:h="15850"/>
          <w:pgMar w:header="0" w:footer="1037" w:top="1360" w:bottom="1220" w:left="1580" w:right="1580"/>
        </w:sectPr>
      </w:pPr>
    </w:p>
    <w:p>
      <w:pPr>
        <w:pStyle w:val="BodyText"/>
        <w:spacing w:line="360" w:lineRule="auto" w:before="50"/>
        <w:ind w:left="122" w:right="118"/>
        <w:jc w:val="both"/>
      </w:pPr>
      <w:r>
        <w:rPr/>
        <w:t>con            y            sin            gas            natura                                                      ; evaluación de la posición fiscal en dependencia de recursos naturales; iv) explicar las implicaciones de escenarios de reglas fiscales basada en la canalización de ingresos fiscales del recurso natural hacia el gasto de capital.</w:t>
      </w:r>
    </w:p>
    <w:p>
      <w:pPr>
        <w:pStyle w:val="BodyText"/>
        <w:spacing w:line="360" w:lineRule="auto" w:before="6"/>
        <w:ind w:left="122" w:right="116" w:firstLine="707"/>
        <w:jc w:val="both"/>
      </w:pPr>
      <w:r>
        <w:rPr>
          <w:spacing w:val="-3"/>
          <w:w w:val="244"/>
        </w:rPr>
        <w:t> </w:t>
      </w:r>
      <w:r>
        <w:rPr>
          <w:w w:val="177"/>
        </w:rPr>
        <w:t> </w:t>
      </w:r>
      <w:r>
        <w:rPr/>
        <w:t> </w:t>
      </w:r>
      <w:r>
        <w:rPr>
          <w:spacing w:val="-16"/>
        </w:rPr>
        <w:t> </w:t>
      </w:r>
      <w:r>
        <w:rPr>
          <w:w w:val="166"/>
        </w:rPr>
        <w:t> </w:t>
      </w:r>
      <w:r>
        <w:rPr>
          <w:spacing w:val="-1"/>
          <w:w w:val="166"/>
        </w:rPr>
        <w:t> </w:t>
      </w:r>
      <w:r>
        <w:rPr>
          <w:w w:val="162"/>
        </w:rPr>
        <w:t>     </w:t>
      </w:r>
      <w:r>
        <w:rPr>
          <w:spacing w:val="-1"/>
          <w:w w:val="162"/>
        </w:rPr>
        <w:t> </w:t>
      </w:r>
      <w:r>
        <w:rPr>
          <w:w w:val="111"/>
        </w:rPr>
        <w:t> </w:t>
      </w:r>
      <w:r>
        <w:rPr/>
        <w:t> </w:t>
      </w:r>
      <w:r>
        <w:rPr>
          <w:spacing w:val="-15"/>
        </w:rPr>
        <w:t> </w:t>
      </w:r>
      <w:r>
        <w:rPr>
          <w:spacing w:val="-1"/>
          <w:w w:val="177"/>
        </w:rPr>
        <w:t> </w:t>
      </w:r>
      <w:r>
        <w:rPr>
          <w:w w:val="166"/>
        </w:rPr>
        <w:t>       </w:t>
      </w:r>
      <w:r>
        <w:rPr>
          <w:spacing w:val="-1"/>
          <w:w w:val="166"/>
        </w:rPr>
        <w:t> </w:t>
      </w:r>
      <w:r>
        <w:rPr>
          <w:w w:val="155"/>
        </w:rPr>
        <w:t> </w:t>
      </w:r>
      <w:r>
        <w:rPr>
          <w:spacing w:val="2"/>
          <w:w w:val="155"/>
        </w:rPr>
        <w:t> </w:t>
      </w:r>
      <w:r>
        <w:rPr>
          <w:w w:val="200"/>
        </w:rPr>
        <w:t> </w:t>
      </w:r>
      <w:r>
        <w:rPr/>
        <w:t> </w:t>
      </w:r>
      <w:r>
        <w:rPr>
          <w:spacing w:val="-18"/>
        </w:rPr>
        <w:t> </w:t>
      </w:r>
      <w:r>
        <w:rPr>
          <w:w w:val="190"/>
        </w:rPr>
        <w:t>        </w:t>
      </w:r>
      <w:r>
        <w:rPr>
          <w:spacing w:val="-2"/>
          <w:w w:val="190"/>
        </w:rPr>
        <w:t> </w:t>
      </w:r>
      <w:r>
        <w:rPr>
          <w:w w:val="144"/>
        </w:rPr>
        <w:t> </w:t>
      </w:r>
      <w:r>
        <w:rPr>
          <w:spacing w:val="1"/>
          <w:w w:val="144"/>
        </w:rPr>
        <w:t> </w:t>
      </w:r>
      <w:r>
        <w:rPr>
          <w:w w:val="177"/>
        </w:rPr>
        <w:t> </w:t>
      </w:r>
      <w:r>
        <w:rPr/>
        <w:t> </w:t>
      </w:r>
      <w:r>
        <w:rPr>
          <w:spacing w:val="-18"/>
        </w:rPr>
        <w:t> </w:t>
      </w:r>
      <w:r>
        <w:rPr>
          <w:w w:val="188"/>
        </w:rPr>
        <w:t>  </w:t>
      </w:r>
      <w:r>
        <w:rPr/>
        <w:t> </w:t>
      </w:r>
      <w:r>
        <w:rPr>
          <w:spacing w:val="-16"/>
        </w:rPr>
        <w:t> </w:t>
      </w:r>
      <w:r>
        <w:rPr>
          <w:w w:val="144"/>
        </w:rPr>
        <w:t>  </w:t>
      </w:r>
      <w:r>
        <w:rPr/>
        <w:t> </w:t>
      </w:r>
      <w:r>
        <w:rPr>
          <w:spacing w:val="-18"/>
        </w:rPr>
        <w:t> </w:t>
      </w:r>
      <w:r>
        <w:rPr>
          <w:w w:val="144"/>
        </w:rPr>
        <w:t> </w:t>
      </w:r>
      <w:r>
        <w:rPr>
          <w:spacing w:val="1"/>
          <w:w w:val="144"/>
        </w:rPr>
        <w:t> </w:t>
      </w:r>
      <w:r>
        <w:rPr>
          <w:w w:val="140"/>
        </w:rPr>
        <w:t>   </w:t>
      </w:r>
      <w:r>
        <w:rPr/>
        <w:t>  </w:t>
      </w:r>
      <w:r>
        <w:rPr>
          <w:spacing w:val="-17"/>
        </w:rPr>
        <w:t> </w:t>
      </w:r>
      <w:r>
        <w:rPr>
          <w:w w:val="1"/>
        </w:rPr>
        <w:t> </w:t>
      </w:r>
      <w:r>
        <w:rPr/>
        <w:t> </w:t>
      </w:r>
      <w:r>
        <w:rPr>
          <w:spacing w:val="-18"/>
        </w:rPr>
        <w:t> </w:t>
      </w:r>
      <w:r>
        <w:rPr>
          <w:w w:val="188"/>
        </w:rPr>
        <w:t> </w:t>
      </w:r>
      <w:r>
        <w:rPr>
          <w:spacing w:val="-1"/>
          <w:w w:val="188"/>
        </w:rPr>
        <w:t> </w:t>
      </w:r>
      <w:r>
        <w:rPr>
          <w:w w:val="155"/>
        </w:rPr>
        <w:t>  </w:t>
      </w:r>
      <w:r>
        <w:rPr/>
        <w:t> </w:t>
      </w:r>
      <w:r>
        <w:rPr>
          <w:spacing w:val="-17"/>
        </w:rPr>
        <w:t> </w:t>
      </w:r>
      <w:r>
        <w:rPr>
          <w:spacing w:val="-2"/>
          <w:w w:val="266"/>
        </w:rPr>
        <w:t> </w:t>
      </w:r>
      <w:r>
        <w:rPr>
          <w:w w:val="140"/>
        </w:rPr>
        <w:t>   </w:t>
      </w:r>
      <w:r>
        <w:rPr>
          <w:w w:val="162"/>
        </w:rPr>
        <w:t>   </w:t>
      </w:r>
      <w:r>
        <w:rPr/>
        <w:t> </w:t>
      </w:r>
      <w:r>
        <w:rPr>
          <w:spacing w:val="-13"/>
        </w:rPr>
        <w:t> </w:t>
      </w:r>
      <w:r>
        <w:rPr>
          <w:w w:val="200"/>
        </w:rPr>
        <w:t> </w:t>
      </w:r>
      <w:r>
        <w:rPr/>
        <w:t> </w:t>
      </w:r>
      <w:r>
        <w:rPr>
          <w:spacing w:val="-20"/>
        </w:rPr>
        <w:t> </w:t>
      </w:r>
      <w:r>
        <w:rPr>
          <w:spacing w:val="-1"/>
          <w:w w:val="177"/>
        </w:rPr>
        <w:t> </w:t>
      </w:r>
      <w:r>
        <w:rPr>
          <w:w w:val="200"/>
        </w:rPr>
        <w:t>  </w:t>
      </w:r>
      <w:r>
        <w:rPr/>
        <w:t> </w:t>
      </w:r>
      <w:r>
        <w:rPr>
          <w:spacing w:val="-8"/>
        </w:rPr>
        <w:t> </w:t>
      </w:r>
      <w:r>
        <w:rPr/>
        <w:t>posibles elementos de consideración para economías emergentes similares  se basa en alternativas  de reglas fiscales que considere los siguientes elementos: 1] establecimiento de límites sobre           la           deuda           pública           máxima,           así           como movimientos cíclicos del producto  y de los pre                               ;      fijación   de     límites máximos para el gasto público y asignación de los ingresos fiscales provenientes del gas natural; 3] inclusión de cláusulas de escape como respuesta a los choques económicos (desaceleración, recesión económica o desastres</w:t>
      </w:r>
      <w:r>
        <w:rPr>
          <w:spacing w:val="-11"/>
        </w:rPr>
        <w:t> </w:t>
      </w:r>
      <w:r>
        <w:rPr/>
        <w:t>naturales).</w:t>
      </w:r>
    </w:p>
    <w:p>
      <w:pPr>
        <w:pStyle w:val="BodyText"/>
        <w:spacing w:line="360" w:lineRule="auto" w:before="6"/>
        <w:ind w:left="122" w:right="118" w:firstLine="707"/>
        <w:jc w:val="both"/>
      </w:pPr>
      <w:r>
        <w:rPr>
          <w:w w:val="105"/>
        </w:rPr>
        <w:t>Desde una implicación práctica</w:t>
      </w:r>
      <w:r>
        <w:rPr>
          <w:b/>
          <w:w w:val="105"/>
        </w:rPr>
        <w:t>, </w:t>
      </w:r>
      <w:r>
        <w:rPr>
          <w:w w:val="105"/>
        </w:rPr>
        <w:t>existen pocos trabajos que hayan evaluado la posición fiscal de Bolivia en el pasado reciente. Más aún se han ofrecido resultados contradictorios para este país: por un lado se ha evidenciado una mejora significativa</w:t>
      </w:r>
      <w:r>
        <w:rPr>
          <w:spacing w:val="-33"/>
          <w:w w:val="105"/>
        </w:rPr>
        <w:t> </w:t>
      </w:r>
      <w:r>
        <w:rPr>
          <w:w w:val="105"/>
        </w:rPr>
        <w:t>en términos</w:t>
      </w:r>
      <w:r>
        <w:rPr>
          <w:spacing w:val="-29"/>
          <w:w w:val="105"/>
        </w:rPr>
        <w:t> </w:t>
      </w:r>
      <w:r>
        <w:rPr>
          <w:w w:val="105"/>
        </w:rPr>
        <w:t>de</w:t>
      </w:r>
      <w:r>
        <w:rPr>
          <w:spacing w:val="-29"/>
          <w:w w:val="105"/>
        </w:rPr>
        <w:t> </w:t>
      </w:r>
      <w:r>
        <w:rPr>
          <w:w w:val="105"/>
        </w:rPr>
        <w:t>sostenibilidad</w:t>
      </w:r>
      <w:r>
        <w:rPr>
          <w:spacing w:val="-29"/>
          <w:w w:val="105"/>
        </w:rPr>
        <w:t> </w:t>
      </w:r>
      <w:r>
        <w:rPr>
          <w:w w:val="105"/>
        </w:rPr>
        <w:t>fiscal</w:t>
      </w:r>
      <w:r>
        <w:rPr>
          <w:spacing w:val="-29"/>
          <w:w w:val="105"/>
        </w:rPr>
        <w:t> </w:t>
      </w:r>
      <w:r>
        <w:rPr>
          <w:w w:val="105"/>
        </w:rPr>
        <w:t>para</w:t>
      </w:r>
      <w:r>
        <w:rPr>
          <w:spacing w:val="-30"/>
          <w:w w:val="105"/>
        </w:rPr>
        <w:t> </w:t>
      </w:r>
      <w:r>
        <w:rPr>
          <w:w w:val="105"/>
        </w:rPr>
        <w:t>Bolivia</w:t>
      </w:r>
      <w:r>
        <w:rPr>
          <w:spacing w:val="-29"/>
          <w:w w:val="105"/>
        </w:rPr>
        <w:t> </w:t>
      </w:r>
      <w:r>
        <w:rPr>
          <w:w w:val="105"/>
        </w:rPr>
        <w:t>durante</w:t>
      </w:r>
      <w:r>
        <w:rPr>
          <w:spacing w:val="-29"/>
          <w:w w:val="105"/>
        </w:rPr>
        <w:t> </w:t>
      </w:r>
      <w:r>
        <w:rPr>
          <w:w w:val="105"/>
        </w:rPr>
        <w:t>el</w:t>
      </w:r>
      <w:r>
        <w:rPr>
          <w:spacing w:val="-29"/>
          <w:w w:val="105"/>
        </w:rPr>
        <w:t> </w:t>
      </w:r>
      <w:r>
        <w:rPr>
          <w:w w:val="105"/>
        </w:rPr>
        <w:t>período</w:t>
      </w:r>
      <w:r>
        <w:rPr>
          <w:spacing w:val="-29"/>
          <w:w w:val="105"/>
        </w:rPr>
        <w:t> </w:t>
      </w:r>
      <w:r>
        <w:rPr>
          <w:w w:val="105"/>
        </w:rPr>
        <w:t>2003-2009</w:t>
      </w:r>
      <w:r>
        <w:rPr>
          <w:spacing w:val="-29"/>
          <w:w w:val="105"/>
        </w:rPr>
        <w:t> </w:t>
      </w:r>
      <w:r>
        <w:rPr>
          <w:w w:val="105"/>
        </w:rPr>
        <w:t>(Villafuerte,</w:t>
      </w:r>
      <w:r>
        <w:rPr>
          <w:spacing w:val="-29"/>
          <w:w w:val="105"/>
        </w:rPr>
        <w:t> </w:t>
      </w:r>
      <w:r>
        <w:rPr>
          <w:w w:val="105"/>
        </w:rPr>
        <w:t>et al., 2011). Por otra parte se ha encontrado un                                                    </w:t>
      </w:r>
      <w:r>
        <w:rPr>
          <w:spacing w:val="63"/>
          <w:w w:val="105"/>
        </w:rPr>
        <w:t> </w:t>
      </w:r>
      <w:r>
        <w:rPr>
          <w:w w:val="105"/>
        </w:rPr>
        <w:t>9 ‘   hasta</w:t>
      </w:r>
      <w:r>
        <w:rPr>
          <w:spacing w:val="-28"/>
          <w:w w:val="105"/>
        </w:rPr>
        <w:t> </w:t>
      </w:r>
      <w:r>
        <w:rPr>
          <w:w w:val="105"/>
        </w:rPr>
        <w:t>el</w:t>
      </w:r>
      <w:r>
        <w:rPr>
          <w:spacing w:val="-27"/>
          <w:w w:val="105"/>
        </w:rPr>
        <w:t> </w:t>
      </w:r>
      <w:r>
        <w:rPr>
          <w:w w:val="105"/>
        </w:rPr>
        <w:t>2009</w:t>
      </w:r>
      <w:r>
        <w:rPr>
          <w:spacing w:val="-28"/>
          <w:w w:val="105"/>
        </w:rPr>
        <w:t> </w:t>
      </w:r>
      <w:r>
        <w:rPr>
          <w:w w:val="105"/>
        </w:rPr>
        <w:t>tomando</w:t>
      </w:r>
      <w:r>
        <w:rPr>
          <w:spacing w:val="-28"/>
          <w:w w:val="105"/>
        </w:rPr>
        <w:t> </w:t>
      </w:r>
      <w:r>
        <w:rPr>
          <w:w w:val="105"/>
        </w:rPr>
        <w:t>en</w:t>
      </w:r>
      <w:r>
        <w:rPr>
          <w:spacing w:val="-28"/>
          <w:w w:val="105"/>
        </w:rPr>
        <w:t> </w:t>
      </w:r>
      <w:r>
        <w:rPr>
          <w:w w:val="105"/>
        </w:rPr>
        <w:t>cuenta</w:t>
      </w:r>
      <w:r>
        <w:rPr>
          <w:spacing w:val="-28"/>
          <w:w w:val="105"/>
        </w:rPr>
        <w:t> </w:t>
      </w:r>
      <w:r>
        <w:rPr>
          <w:w w:val="105"/>
        </w:rPr>
        <w:t>un</w:t>
      </w:r>
      <w:r>
        <w:rPr>
          <w:spacing w:val="-28"/>
          <w:w w:val="105"/>
        </w:rPr>
        <w:t> </w:t>
      </w:r>
      <w:r>
        <w:rPr>
          <w:w w:val="105"/>
        </w:rPr>
        <w:t>deterioro</w:t>
      </w:r>
      <w:r>
        <w:rPr>
          <w:spacing w:val="-27"/>
          <w:w w:val="105"/>
        </w:rPr>
        <w:t> </w:t>
      </w:r>
      <w:r>
        <w:rPr>
          <w:w w:val="105"/>
        </w:rPr>
        <w:t>en</w:t>
      </w:r>
      <w:r>
        <w:rPr>
          <w:spacing w:val="-27"/>
          <w:w w:val="105"/>
        </w:rPr>
        <w:t> </w:t>
      </w:r>
      <w:r>
        <w:rPr>
          <w:w w:val="105"/>
        </w:rPr>
        <w:t>el</w:t>
      </w:r>
      <w:r>
        <w:rPr>
          <w:spacing w:val="-27"/>
          <w:w w:val="105"/>
        </w:rPr>
        <w:t> </w:t>
      </w:r>
      <w:r>
        <w:rPr>
          <w:w w:val="105"/>
        </w:rPr>
        <w:t>ratio</w:t>
      </w:r>
      <w:r>
        <w:rPr>
          <w:spacing w:val="-28"/>
          <w:w w:val="105"/>
        </w:rPr>
        <w:t> </w:t>
      </w:r>
      <w:r>
        <w:rPr>
          <w:w w:val="105"/>
        </w:rPr>
        <w:t>de</w:t>
      </w:r>
      <w:r>
        <w:rPr>
          <w:spacing w:val="-28"/>
          <w:w w:val="105"/>
        </w:rPr>
        <w:t> </w:t>
      </w:r>
      <w:r>
        <w:rPr>
          <w:w w:val="105"/>
        </w:rPr>
        <w:t>sostenibilidad</w:t>
      </w:r>
      <w:r>
        <w:rPr>
          <w:spacing w:val="-27"/>
          <w:w w:val="105"/>
        </w:rPr>
        <w:t> </w:t>
      </w:r>
      <w:r>
        <w:rPr>
          <w:w w:val="105"/>
        </w:rPr>
        <w:t>fiscal</w:t>
      </w:r>
      <w:r>
        <w:rPr>
          <w:spacing w:val="-24"/>
          <w:w w:val="105"/>
        </w:rPr>
        <w:t> </w:t>
      </w:r>
      <w:r>
        <w:rPr>
          <w:w w:val="105"/>
        </w:rPr>
        <w:t>(Zambrano &amp;</w:t>
      </w:r>
      <w:r>
        <w:rPr>
          <w:spacing w:val="-12"/>
          <w:w w:val="105"/>
        </w:rPr>
        <w:t> </w:t>
      </w:r>
      <w:r>
        <w:rPr>
          <w:w w:val="105"/>
        </w:rPr>
        <w:t>Aguilera,</w:t>
      </w:r>
      <w:r>
        <w:rPr>
          <w:spacing w:val="-11"/>
          <w:w w:val="105"/>
        </w:rPr>
        <w:t> </w:t>
      </w:r>
      <w:r>
        <w:rPr>
          <w:w w:val="105"/>
        </w:rPr>
        <w:t>2010).</w:t>
      </w:r>
      <w:r>
        <w:rPr>
          <w:spacing w:val="-11"/>
          <w:w w:val="105"/>
        </w:rPr>
        <w:t> </w:t>
      </w:r>
      <w:r>
        <w:rPr>
          <w:w w:val="105"/>
        </w:rPr>
        <w:t>Ambos</w:t>
      </w:r>
      <w:r>
        <w:rPr>
          <w:spacing w:val="-11"/>
          <w:w w:val="105"/>
        </w:rPr>
        <w:t> </w:t>
      </w:r>
      <w:r>
        <w:rPr>
          <w:w w:val="105"/>
        </w:rPr>
        <w:t>trabajos</w:t>
      </w:r>
      <w:r>
        <w:rPr>
          <w:spacing w:val="-11"/>
          <w:w w:val="105"/>
        </w:rPr>
        <w:t> </w:t>
      </w:r>
      <w:r>
        <w:rPr>
          <w:w w:val="105"/>
        </w:rPr>
        <w:t>se</w:t>
      </w:r>
      <w:r>
        <w:rPr>
          <w:spacing w:val="-11"/>
          <w:w w:val="105"/>
        </w:rPr>
        <w:t> </w:t>
      </w:r>
      <w:r>
        <w:rPr>
          <w:w w:val="105"/>
        </w:rPr>
        <w:t>basaron</w:t>
      </w:r>
      <w:r>
        <w:rPr>
          <w:spacing w:val="-11"/>
          <w:w w:val="105"/>
        </w:rPr>
        <w:t> </w:t>
      </w:r>
      <w:r>
        <w:rPr>
          <w:w w:val="105"/>
        </w:rPr>
        <w:t>en</w:t>
      </w:r>
      <w:r>
        <w:rPr>
          <w:spacing w:val="-11"/>
          <w:w w:val="105"/>
        </w:rPr>
        <w:t> </w:t>
      </w:r>
      <w:r>
        <w:rPr>
          <w:w w:val="105"/>
        </w:rPr>
        <w:t>evaluar</w:t>
      </w:r>
      <w:r>
        <w:rPr>
          <w:spacing w:val="-12"/>
          <w:w w:val="105"/>
        </w:rPr>
        <w:t> </w:t>
      </w:r>
      <w:r>
        <w:rPr>
          <w:w w:val="105"/>
        </w:rPr>
        <w:t>el</w:t>
      </w:r>
      <w:r>
        <w:rPr>
          <w:spacing w:val="-11"/>
          <w:w w:val="105"/>
        </w:rPr>
        <w:t> </w:t>
      </w:r>
      <w:r>
        <w:rPr>
          <w:w w:val="105"/>
        </w:rPr>
        <w:t>comportamiento</w:t>
      </w:r>
      <w:r>
        <w:rPr>
          <w:spacing w:val="-11"/>
          <w:w w:val="105"/>
        </w:rPr>
        <w:t> </w:t>
      </w:r>
      <w:r>
        <w:rPr>
          <w:w w:val="105"/>
        </w:rPr>
        <w:t>del</w:t>
      </w:r>
      <w:r>
        <w:rPr>
          <w:spacing w:val="-11"/>
          <w:w w:val="105"/>
        </w:rPr>
        <w:t> </w:t>
      </w:r>
      <w:r>
        <w:rPr>
          <w:w w:val="105"/>
        </w:rPr>
        <w:t>balance primario no petrolero (no gasífero) en el tiempo, es decir, excluyendo el efecto de los ingresos</w:t>
      </w:r>
      <w:r>
        <w:rPr>
          <w:spacing w:val="-41"/>
          <w:w w:val="105"/>
        </w:rPr>
        <w:t> </w:t>
      </w:r>
      <w:r>
        <w:rPr>
          <w:w w:val="105"/>
        </w:rPr>
        <w:t>del</w:t>
      </w:r>
      <w:r>
        <w:rPr>
          <w:spacing w:val="-41"/>
          <w:w w:val="105"/>
        </w:rPr>
        <w:t> </w:t>
      </w:r>
      <w:r>
        <w:rPr>
          <w:w w:val="105"/>
        </w:rPr>
        <w:t>gas</w:t>
      </w:r>
      <w:r>
        <w:rPr>
          <w:spacing w:val="-41"/>
          <w:w w:val="105"/>
        </w:rPr>
        <w:t> </w:t>
      </w:r>
      <w:r>
        <w:rPr>
          <w:w w:val="105"/>
        </w:rPr>
        <w:t>natural</w:t>
      </w:r>
      <w:r>
        <w:rPr>
          <w:spacing w:val="-41"/>
          <w:w w:val="105"/>
        </w:rPr>
        <w:t> </w:t>
      </w:r>
      <w:r>
        <w:rPr>
          <w:w w:val="105"/>
        </w:rPr>
        <w:t>e</w:t>
      </w:r>
      <w:r>
        <w:rPr>
          <w:spacing w:val="-41"/>
          <w:w w:val="105"/>
        </w:rPr>
        <w:t> </w:t>
      </w:r>
      <w:r>
        <w:rPr>
          <w:w w:val="105"/>
        </w:rPr>
        <w:t>hidrocarburos.</w:t>
      </w:r>
    </w:p>
    <w:p>
      <w:pPr>
        <w:pStyle w:val="BodyText"/>
        <w:spacing w:line="350" w:lineRule="auto" w:before="4"/>
        <w:ind w:left="122" w:right="115" w:firstLine="707"/>
        <w:jc w:val="both"/>
        <w:rPr>
          <w:sz w:val="16"/>
        </w:rPr>
      </w:pPr>
      <w:r>
        <w:rPr/>
        <w:t>El análisis considera información trimestral durante el periodo 2003 – 2011 con un pronóstico en la trayectoria de la deuda pública en el corto y mediano plazo: 2012-2016. Por otra parte, se evalúa los efectos provenientes de los precios externos del gas natural  para luego analizar sus respectivos impactos sobre la posición fiscal de</w:t>
      </w:r>
      <w:r>
        <w:rPr>
          <w:spacing w:val="-10"/>
        </w:rPr>
        <w:t> </w:t>
      </w:r>
      <w:r>
        <w:rPr/>
        <w:t>Bolivia.</w:t>
      </w:r>
      <w:r>
        <w:rPr>
          <w:position w:val="11"/>
          <w:sz w:val="16"/>
        </w:rPr>
        <w:t>7</w:t>
      </w:r>
    </w:p>
    <w:p>
      <w:pPr>
        <w:pStyle w:val="BodyText"/>
        <w:spacing w:line="360" w:lineRule="auto"/>
        <w:ind w:left="122" w:right="122" w:firstLine="707"/>
        <w:jc w:val="both"/>
      </w:pPr>
      <w:r>
        <w:rPr/>
        <w:t>En relación con la metodología, se empleará un modelo basado en vectores autoregresivos estructurales (SVAR) combinando una evaluación de mediano plazo con un diseño de largo plazo.</w:t>
      </w:r>
    </w:p>
    <w:p>
      <w:pPr>
        <w:pStyle w:val="BodyText"/>
        <w:rPr>
          <w:sz w:val="20"/>
        </w:rPr>
      </w:pPr>
    </w:p>
    <w:p>
      <w:pPr>
        <w:pStyle w:val="BodyText"/>
        <w:rPr>
          <w:sz w:val="20"/>
        </w:rPr>
      </w:pPr>
    </w:p>
    <w:p>
      <w:pPr>
        <w:pStyle w:val="BodyText"/>
        <w:rPr>
          <w:sz w:val="10"/>
        </w:rPr>
      </w:pPr>
      <w:r>
        <w:rPr/>
        <w:pict>
          <v:line style="position:absolute;mso-position-horizontal-relative:page;mso-position-vertical-relative:paragraph;z-index:1312;mso-wrap-distance-left:0;mso-wrap-distance-right:0" from="85.103996pt,8.021725pt" to="229.123996pt,8.021725pt" stroked="true" strokeweight=".599980pt" strokecolor="#000000">
            <w10:wrap type="topAndBottom"/>
          </v:line>
        </w:pict>
      </w:r>
    </w:p>
    <w:p>
      <w:pPr>
        <w:spacing w:before="50"/>
        <w:ind w:left="122" w:right="124" w:firstLine="0"/>
        <w:jc w:val="both"/>
        <w:rPr>
          <w:sz w:val="20"/>
        </w:rPr>
      </w:pPr>
      <w:r>
        <w:rPr>
          <w:position w:val="9"/>
          <w:sz w:val="13"/>
        </w:rPr>
        <w:t>7 </w:t>
      </w:r>
      <w:r>
        <w:rPr>
          <w:sz w:val="20"/>
        </w:rPr>
        <w:t>La información se obtiene de las instituciones que brindan datos estadísticos oficiales de Bolivia como el Instituto Nacional de Estadística (INE), el Banco Central de Bolivia (BCB) y Yacimientos Petrolíferos Fiscales Bolivianos- Y.P.F.B (empresa estatal de hidrocarburos).</w:t>
      </w:r>
    </w:p>
    <w:p>
      <w:pPr>
        <w:spacing w:after="0"/>
        <w:jc w:val="both"/>
        <w:rPr>
          <w:sz w:val="20"/>
        </w:rPr>
        <w:sectPr>
          <w:pgSz w:w="12250" w:h="15850"/>
          <w:pgMar w:header="0" w:footer="1037" w:top="1360" w:bottom="1220" w:left="1580" w:right="1580"/>
        </w:sectPr>
      </w:pPr>
    </w:p>
    <w:p>
      <w:pPr>
        <w:pStyle w:val="BodyText"/>
        <w:spacing w:line="360" w:lineRule="auto" w:before="50"/>
        <w:ind w:left="102" w:right="119" w:firstLine="760"/>
        <w:jc w:val="both"/>
      </w:pPr>
      <w:r>
        <w:rPr>
          <w:spacing w:val="-3"/>
        </w:rPr>
        <w:t>La </w:t>
      </w:r>
      <w:r>
        <w:rPr/>
        <w:t>justificación de la metodología abordada se centra en la inclusión de teoría económica en un modelo ateórico (VAR), además de modelar las respuestas de la asignación de ingresos fiscales al gasto público, de los resultados fiscales y de la deuda pública frente a choques de precios del gas natural. De forma adicional, mediante el  enfoque SVAR se pretende explicar el canal de transmisión que existe entre los precios del gas natural y la posición</w:t>
      </w:r>
      <w:r>
        <w:rPr>
          <w:spacing w:val="-6"/>
        </w:rPr>
        <w:t> </w:t>
      </w:r>
      <w:r>
        <w:rPr/>
        <w:t>fiscal.</w:t>
      </w:r>
    </w:p>
    <w:p>
      <w:pPr>
        <w:pStyle w:val="BodyText"/>
        <w:spacing w:line="360" w:lineRule="auto" w:before="6"/>
        <w:ind w:left="102" w:right="117" w:firstLine="707"/>
        <w:jc w:val="both"/>
      </w:pPr>
      <w:r>
        <w:rPr/>
        <w:t>Las principales ventajas del enfoque de vectores autoregresivos (VAR/SVAR) se centran en su poder predictivo de corto plazo utilizado para la medición de la posición fiscal, así como el establecimiento de reglas fiscales (Polito &amp; Wickens, 2012; Hendry, 2006).</w:t>
      </w:r>
    </w:p>
    <w:p>
      <w:pPr>
        <w:pStyle w:val="BodyText"/>
        <w:spacing w:line="360" w:lineRule="auto" w:before="6"/>
        <w:ind w:left="102" w:right="118" w:firstLine="707"/>
        <w:jc w:val="both"/>
      </w:pPr>
      <w:r>
        <w:rPr/>
        <w:t>Otras metodologías, como la cointegración, evalúan la sostenibilidad fiscal para un largo plazo (Hamilton &amp; Flavin, 1986; Stoian &amp; Câmpeanu, 2010). Para ello, se necesita observar el comportamiento de la deuda pública, del balance primario y de  los  componentes de ingresos y gastos fiscales de 40 a 50 años (sin importar el número de observaciones: mensuales o trimestral), lo cual no es aplicable para la presente investigación; por tanto,  se aplican metodologías de corto plazo para el análisis de las  series de tiempo (VAR,</w:t>
      </w:r>
      <w:r>
        <w:rPr>
          <w:spacing w:val="-6"/>
        </w:rPr>
        <w:t> </w:t>
      </w:r>
      <w:r>
        <w:rPr/>
        <w:t>SVAR).</w:t>
      </w:r>
    </w:p>
    <w:p>
      <w:pPr>
        <w:pStyle w:val="BodyText"/>
        <w:spacing w:before="4"/>
        <w:ind w:left="810" w:right="127"/>
      </w:pPr>
      <w:r>
        <w:rPr/>
        <w:t>Este documento se encuentra planificado en cuatro capítulos:</w:t>
      </w:r>
    </w:p>
    <w:p>
      <w:pPr>
        <w:pStyle w:val="BodyText"/>
        <w:spacing w:line="360" w:lineRule="auto" w:before="139"/>
        <w:ind w:left="102" w:right="117" w:firstLine="767"/>
        <w:jc w:val="both"/>
      </w:pPr>
      <w:r>
        <w:rPr/>
        <w:t>En el capítulo I se aborda la fundamentación teórica – contextual  de  la investigación con dos elementos ejes: la posición fiscal y la dependencia de recursos naturales, se presentan la postura neoclásica y Keynesiana para explicar la reacción teórica del gasto público frente a choques de precios de recursos naturales.</w:t>
      </w:r>
    </w:p>
    <w:p>
      <w:pPr>
        <w:pStyle w:val="BodyText"/>
        <w:spacing w:line="360" w:lineRule="auto" w:before="6"/>
        <w:ind w:left="102" w:right="118" w:firstLine="707"/>
        <w:jc w:val="both"/>
      </w:pPr>
      <w:r>
        <w:rPr/>
        <w:t>En el capítulo II se explica la estructura del mercado internacional del gas natural y su importancia para la economía boliviana. Se discute la relación teórica y empírica entre los precios del petróleo y los precios del gas natural, lo que permite determinar la prospectiva a mediano plazo de los precios del gas natural y la producción hidrocarburífera de Bolivia (hasta el 2016). De igual forma, se fundamenta el por qué la postura neoclásica deteriora el bienestar social de Bolivia al ser contemplada como regla</w:t>
      </w:r>
      <w:r>
        <w:rPr>
          <w:spacing w:val="-14"/>
        </w:rPr>
        <w:t> </w:t>
      </w:r>
      <w:r>
        <w:rPr/>
        <w:t>fiscal.</w:t>
      </w:r>
    </w:p>
    <w:p>
      <w:pPr>
        <w:pStyle w:val="BodyText"/>
        <w:spacing w:line="360" w:lineRule="auto" w:before="4"/>
        <w:ind w:left="102" w:right="121" w:firstLine="707"/>
        <w:jc w:val="both"/>
      </w:pPr>
      <w:r>
        <w:rPr/>
        <w:t>En el capítulo III se describen los factores asociados a la posición fiscal de Bolivia, se define la orientación de la política fiscal en Bolivia (de forma neutral, procíclica o,</w:t>
      </w:r>
    </w:p>
    <w:p>
      <w:pPr>
        <w:spacing w:after="0" w:line="360" w:lineRule="auto"/>
        <w:jc w:val="both"/>
        <w:sectPr>
          <w:pgSz w:w="12250" w:h="15850"/>
          <w:pgMar w:header="0" w:footer="1037" w:top="1360" w:bottom="1220" w:left="1600" w:right="1580"/>
        </w:sectPr>
      </w:pPr>
    </w:p>
    <w:p>
      <w:pPr>
        <w:pStyle w:val="BodyText"/>
        <w:spacing w:line="360" w:lineRule="auto" w:before="50"/>
        <w:ind w:left="102" w:right="127"/>
      </w:pPr>
      <w:r>
        <w:rPr/>
        <w:t>contracíclica), así como su grado de sostenibilidad fiscal. En esta sección se centra el análisis de los datos sin implicaciones de causalidad.</w:t>
      </w:r>
    </w:p>
    <w:p>
      <w:pPr>
        <w:pStyle w:val="BodyText"/>
        <w:spacing w:line="360" w:lineRule="auto" w:before="6"/>
        <w:ind w:left="102" w:right="117" w:firstLine="707"/>
        <w:jc w:val="both"/>
      </w:pPr>
      <w:r>
        <w:rPr/>
        <w:t>En el capítulo IV se realiza una propuesta metodológica para evaluar la posición fiscal con base en la integración de los enfoques abordados, se describen los principales hallazgos y resultados de la evaluación de posición fiscal en Bolivia, realizándose una sugerencia sobre distintos escenarios de reglas fiscales para Bolivia como estrategia que mejoré el prospecto de la deuda pública en el corto y mediano plazo.</w:t>
      </w:r>
    </w:p>
    <w:p>
      <w:pPr>
        <w:pStyle w:val="BodyText"/>
        <w:spacing w:line="362" w:lineRule="auto" w:before="4"/>
        <w:ind w:left="102" w:right="120" w:firstLine="767"/>
        <w:jc w:val="both"/>
      </w:pPr>
      <w:r>
        <w:rPr/>
        <w:t>Al final, se emiten las conclusiones principales del trabajo, las implicaciones para las políticas públicas y se proponen algunas líneas para investigaciones futuras.</w:t>
      </w:r>
    </w:p>
    <w:p>
      <w:pPr>
        <w:spacing w:after="0" w:line="362" w:lineRule="auto"/>
        <w:jc w:val="both"/>
        <w:sectPr>
          <w:pgSz w:w="12250" w:h="15850"/>
          <w:pgMar w:header="0" w:footer="1037" w:top="1360" w:bottom="1220" w:left="1600" w:right="1580"/>
        </w:sectPr>
      </w:pPr>
    </w:p>
    <w:p>
      <w:pPr>
        <w:tabs>
          <w:tab w:pos="1877" w:val="left" w:leader="none"/>
          <w:tab w:pos="2708" w:val="left" w:leader="none"/>
          <w:tab w:pos="4043" w:val="left" w:leader="none"/>
          <w:tab w:pos="5406" w:val="left" w:leader="none"/>
          <w:tab w:pos="7228" w:val="left" w:leader="none"/>
          <w:tab w:pos="7744" w:val="left" w:leader="none"/>
        </w:tabs>
        <w:spacing w:line="400" w:lineRule="auto" w:before="54"/>
        <w:ind w:left="461" w:right="118" w:firstLine="0"/>
        <w:jc w:val="left"/>
        <w:rPr>
          <w:b/>
          <w:sz w:val="22"/>
        </w:rPr>
      </w:pPr>
      <w:bookmarkStart w:name="_bookmark1" w:id="2"/>
      <w:bookmarkEnd w:id="2"/>
      <w:r>
        <w:rPr/>
      </w:r>
      <w:r>
        <w:rPr>
          <w:b/>
          <w:sz w:val="28"/>
        </w:rPr>
        <w:t>C</w:t>
      </w:r>
      <w:r>
        <w:rPr>
          <w:b/>
          <w:sz w:val="22"/>
        </w:rPr>
        <w:t>APÍTULO</w:t>
        <w:tab/>
      </w:r>
      <w:r>
        <w:rPr>
          <w:b/>
          <w:sz w:val="28"/>
        </w:rPr>
        <w:t>I:</w:t>
        <w:tab/>
        <w:t>P</w:t>
      </w:r>
      <w:r>
        <w:rPr>
          <w:b/>
          <w:sz w:val="22"/>
        </w:rPr>
        <w:t>OSICIÓN</w:t>
        <w:tab/>
        <w:t>FISCAL  </w:t>
      </w:r>
      <w:r>
        <w:rPr>
          <w:b/>
          <w:spacing w:val="22"/>
          <w:sz w:val="22"/>
        </w:rPr>
        <w:t> </w:t>
      </w:r>
      <w:r>
        <w:rPr>
          <w:b/>
          <w:sz w:val="22"/>
        </w:rPr>
        <w:t>Y</w:t>
        <w:tab/>
        <w:t>DEPENDENCIA</w:t>
        <w:tab/>
        <w:t>DE</w:t>
        <w:tab/>
        <w:t>RECURSOS </w:t>
      </w:r>
      <w:r>
        <w:rPr>
          <w:b/>
          <w:spacing w:val="-3"/>
          <w:sz w:val="22"/>
        </w:rPr>
        <w:t>NATURALES</w:t>
      </w:r>
    </w:p>
    <w:p>
      <w:pPr>
        <w:pStyle w:val="BodyText"/>
        <w:rPr>
          <w:b/>
          <w:sz w:val="22"/>
        </w:rPr>
      </w:pPr>
    </w:p>
    <w:p>
      <w:pPr>
        <w:pStyle w:val="BodyText"/>
        <w:spacing w:before="2"/>
        <w:rPr>
          <w:b/>
          <w:sz w:val="18"/>
        </w:rPr>
      </w:pPr>
    </w:p>
    <w:p>
      <w:pPr>
        <w:pStyle w:val="BodyText"/>
        <w:spacing w:line="360" w:lineRule="auto"/>
        <w:ind w:left="102" w:right="117" w:firstLine="707"/>
        <w:jc w:val="both"/>
      </w:pPr>
      <w:r>
        <w:rPr/>
        <w:t>En la literatura macroeconómica se suele definir a la política fiscal como las decisiones que toma el gobierno al  incrementar o disminuir  el gasto público (corriente y  de capital), los ingresos fiscales (impuestos), y por consiguiente, el déficit  fiscal  y la  deuda pública (De Gregorio,</w:t>
      </w:r>
      <w:r>
        <w:rPr>
          <w:spacing w:val="-6"/>
        </w:rPr>
        <w:t> </w:t>
      </w:r>
      <w:r>
        <w:rPr/>
        <w:t>2007).</w:t>
      </w:r>
    </w:p>
    <w:p>
      <w:pPr>
        <w:pStyle w:val="BodyText"/>
        <w:spacing w:line="360" w:lineRule="auto" w:before="4"/>
        <w:ind w:left="102" w:right="121" w:firstLine="707"/>
        <w:jc w:val="both"/>
      </w:pPr>
      <w:r>
        <w:rPr/>
        <w:t>La orientación de la política fiscal se refiere a la variación del gasto público en  torno a las fases del ciclo económico, lo cual determina su comportamiento (contracíclica, procíclica o neutral). Para países que dependen de un recurso natural, la política fiscal se extiende al análisis del déficit fiscal no petrolero y la relación del gasto público con los precios del recurso</w:t>
      </w:r>
      <w:r>
        <w:rPr>
          <w:spacing w:val="-6"/>
        </w:rPr>
        <w:t> </w:t>
      </w:r>
      <w:r>
        <w:rPr/>
        <w:t>natural.</w:t>
      </w:r>
    </w:p>
    <w:p>
      <w:pPr>
        <w:pStyle w:val="BodyText"/>
        <w:spacing w:line="360" w:lineRule="auto" w:before="6"/>
        <w:ind w:left="102" w:right="114" w:firstLine="707"/>
        <w:jc w:val="both"/>
      </w:pPr>
      <w:r>
        <w:rPr/>
        <w:t>La posición y sostenibilidad fiscal giran en torno al período de análisis del balance fiscal y la deuda pública como elementos de la política fiscal. Así por ejemplo, mientras la posición fiscal parte de niveles adecuados de resultados fiscales y endeudamiento público en el corto plazo, la sostenibilidad fiscal evalúa la relación estable de las variables públicas en el largo plazo (Afonso &amp; Rault, 2010), por tanto, el análisis de las finanzas públicas se centra en indicadores que permitan la viabilidad de las finanzas públicas en el tiempo, desarrollándose un conjunto de metodologías acotadas a reglas fiscales o razones deseadas, las cuales tratan de asegurar su estabilidad en el tiempo (Crispi &amp; Vega,</w:t>
      </w:r>
      <w:r>
        <w:rPr>
          <w:spacing w:val="-10"/>
        </w:rPr>
        <w:t> </w:t>
      </w:r>
      <w:r>
        <w:rPr/>
        <w:t>2003).</w:t>
      </w:r>
    </w:p>
    <w:p>
      <w:pPr>
        <w:pStyle w:val="BodyText"/>
        <w:spacing w:line="360" w:lineRule="auto" w:before="6"/>
        <w:ind w:left="102" w:right="117" w:firstLine="707"/>
        <w:jc w:val="right"/>
      </w:pPr>
      <w:r>
        <w:rPr/>
        <w:t>Uno de los primeros estudios en analizar la posición y sostenibilidad fiscal</w:t>
      </w:r>
      <w:r>
        <w:rPr>
          <w:spacing w:val="28"/>
        </w:rPr>
        <w:t> </w:t>
      </w:r>
      <w:r>
        <w:rPr/>
        <w:t>fue</w:t>
      </w:r>
      <w:r>
        <w:rPr>
          <w:spacing w:val="25"/>
        </w:rPr>
        <w:t> </w:t>
      </w:r>
      <w:r>
        <w:rPr/>
        <w:t>el realizado por Keynes (1923), quién abordó el endeudamiento público</w:t>
      </w:r>
      <w:r>
        <w:rPr>
          <w:spacing w:val="38"/>
        </w:rPr>
        <w:t> </w:t>
      </w:r>
      <w:r>
        <w:rPr/>
        <w:t>en</w:t>
      </w:r>
      <w:r>
        <w:rPr>
          <w:spacing w:val="43"/>
        </w:rPr>
        <w:t> </w:t>
      </w:r>
      <w:r>
        <w:rPr/>
        <w:t>Francia,</w:t>
      </w:r>
      <w:r>
        <w:rPr>
          <w:w w:val="99"/>
        </w:rPr>
        <w:t> </w:t>
      </w:r>
      <w:r>
        <w:rPr/>
        <w:t>resaltándose la conducta del Gobierno para satisfacer la restricción del</w:t>
      </w:r>
      <w:r>
        <w:rPr>
          <w:spacing w:val="10"/>
        </w:rPr>
        <w:t> </w:t>
      </w:r>
      <w:r>
        <w:rPr/>
        <w:t>presupuesto</w:t>
      </w:r>
      <w:r>
        <w:rPr>
          <w:spacing w:val="1"/>
        </w:rPr>
        <w:t> </w:t>
      </w:r>
      <w:r>
        <w:rPr/>
        <w:t>público. El planteamiento de Keynes sostiene que la insostenibilidad fiscal</w:t>
      </w:r>
      <w:r>
        <w:rPr>
          <w:spacing w:val="59"/>
        </w:rPr>
        <w:t> </w:t>
      </w:r>
      <w:r>
        <w:rPr/>
        <w:t>se</w:t>
      </w:r>
      <w:r>
        <w:rPr>
          <w:spacing w:val="7"/>
        </w:rPr>
        <w:t> </w:t>
      </w:r>
      <w:r>
        <w:rPr/>
        <w:t>presenta  debido a la existencia de una alta proporción de deuda en relación con el</w:t>
      </w:r>
      <w:r>
        <w:rPr>
          <w:spacing w:val="27"/>
        </w:rPr>
        <w:t> </w:t>
      </w:r>
      <w:r>
        <w:rPr/>
        <w:t>ingreso</w:t>
      </w:r>
      <w:r>
        <w:rPr>
          <w:spacing w:val="11"/>
        </w:rPr>
        <w:t> </w:t>
      </w:r>
      <w:r>
        <w:rPr/>
        <w:t>nacional, lo</w:t>
      </w:r>
      <w:r>
        <w:rPr>
          <w:spacing w:val="34"/>
        </w:rPr>
        <w:t> </w:t>
      </w:r>
      <w:r>
        <w:rPr/>
        <w:t>que</w:t>
      </w:r>
      <w:r>
        <w:rPr>
          <w:spacing w:val="32"/>
        </w:rPr>
        <w:t> </w:t>
      </w:r>
      <w:r>
        <w:rPr/>
        <w:t>significa</w:t>
      </w:r>
      <w:r>
        <w:rPr>
          <w:spacing w:val="32"/>
        </w:rPr>
        <w:t> </w:t>
      </w:r>
      <w:r>
        <w:rPr/>
        <w:t>en</w:t>
      </w:r>
      <w:r>
        <w:rPr>
          <w:spacing w:val="33"/>
        </w:rPr>
        <w:t> </w:t>
      </w:r>
      <w:r>
        <w:rPr/>
        <w:t>términos</w:t>
      </w:r>
      <w:r>
        <w:rPr>
          <w:spacing w:val="34"/>
        </w:rPr>
        <w:t> </w:t>
      </w:r>
      <w:r>
        <w:rPr/>
        <w:t>modernos,</w:t>
      </w:r>
      <w:r>
        <w:rPr>
          <w:spacing w:val="34"/>
        </w:rPr>
        <w:t> </w:t>
      </w:r>
      <w:r>
        <w:rPr/>
        <w:t>altos</w:t>
      </w:r>
      <w:r>
        <w:rPr>
          <w:spacing w:val="34"/>
        </w:rPr>
        <w:t> </w:t>
      </w:r>
      <w:r>
        <w:rPr/>
        <w:t>niveles</w:t>
      </w:r>
      <w:r>
        <w:rPr>
          <w:spacing w:val="33"/>
        </w:rPr>
        <w:t> </w:t>
      </w:r>
      <w:r>
        <w:rPr/>
        <w:t>de</w:t>
      </w:r>
      <w:r>
        <w:rPr>
          <w:spacing w:val="32"/>
        </w:rPr>
        <w:t> </w:t>
      </w:r>
      <w:r>
        <w:rPr/>
        <w:t>endeudamiento</w:t>
      </w:r>
      <w:r>
        <w:rPr>
          <w:spacing w:val="34"/>
        </w:rPr>
        <w:t> </w:t>
      </w:r>
      <w:r>
        <w:rPr/>
        <w:t>en</w:t>
      </w:r>
      <w:r>
        <w:rPr>
          <w:spacing w:val="33"/>
        </w:rPr>
        <w:t> </w:t>
      </w:r>
      <w:r>
        <w:rPr/>
        <w:t>torno</w:t>
      </w:r>
      <w:r>
        <w:rPr>
          <w:spacing w:val="33"/>
        </w:rPr>
        <w:t> </w:t>
      </w:r>
      <w:r>
        <w:rPr/>
        <w:t>al</w:t>
      </w:r>
      <w:r>
        <w:rPr>
          <w:spacing w:val="34"/>
        </w:rPr>
        <w:t> </w:t>
      </w:r>
      <w:r>
        <w:rPr/>
        <w:t>PIB.</w:t>
      </w:r>
      <w:r>
        <w:rPr>
          <w:w w:val="99"/>
        </w:rPr>
        <w:t> </w:t>
      </w:r>
      <w:r>
        <w:rPr/>
        <w:t>Existe</w:t>
      </w:r>
      <w:r>
        <w:rPr>
          <w:spacing w:val="21"/>
        </w:rPr>
        <w:t> </w:t>
      </w:r>
      <w:r>
        <w:rPr/>
        <w:t>un</w:t>
      </w:r>
      <w:r>
        <w:rPr>
          <w:spacing w:val="22"/>
        </w:rPr>
        <w:t> </w:t>
      </w:r>
      <w:r>
        <w:rPr/>
        <w:t>problema</w:t>
      </w:r>
      <w:r>
        <w:rPr>
          <w:spacing w:val="21"/>
        </w:rPr>
        <w:t> </w:t>
      </w:r>
      <w:r>
        <w:rPr/>
        <w:t>de</w:t>
      </w:r>
      <w:r>
        <w:rPr>
          <w:spacing w:val="21"/>
        </w:rPr>
        <w:t> </w:t>
      </w:r>
      <w:r>
        <w:rPr/>
        <w:t>sostenibilidad</w:t>
      </w:r>
      <w:r>
        <w:rPr>
          <w:spacing w:val="22"/>
        </w:rPr>
        <w:t> </w:t>
      </w:r>
      <w:r>
        <w:rPr/>
        <w:t>cuando</w:t>
      </w:r>
      <w:r>
        <w:rPr>
          <w:spacing w:val="22"/>
        </w:rPr>
        <w:t> </w:t>
      </w:r>
      <w:r>
        <w:rPr/>
        <w:t>los</w:t>
      </w:r>
      <w:r>
        <w:rPr>
          <w:spacing w:val="25"/>
        </w:rPr>
        <w:t> </w:t>
      </w:r>
      <w:r>
        <w:rPr/>
        <w:t>ingresos</w:t>
      </w:r>
      <w:r>
        <w:rPr>
          <w:spacing w:val="23"/>
        </w:rPr>
        <w:t> </w:t>
      </w:r>
      <w:r>
        <w:rPr/>
        <w:t>del</w:t>
      </w:r>
      <w:r>
        <w:rPr>
          <w:spacing w:val="25"/>
        </w:rPr>
        <w:t> </w:t>
      </w:r>
      <w:r>
        <w:rPr/>
        <w:t>gobierno</w:t>
      </w:r>
      <w:r>
        <w:rPr>
          <w:spacing w:val="22"/>
        </w:rPr>
        <w:t> </w:t>
      </w:r>
      <w:r>
        <w:rPr/>
        <w:t>no</w:t>
      </w:r>
      <w:r>
        <w:rPr>
          <w:spacing w:val="22"/>
        </w:rPr>
        <w:t> </w:t>
      </w:r>
      <w:r>
        <w:rPr/>
        <w:t>son</w:t>
      </w:r>
      <w:r>
        <w:rPr>
          <w:spacing w:val="23"/>
        </w:rPr>
        <w:t> </w:t>
      </w:r>
      <w:r>
        <w:rPr/>
        <w:t>suficientes</w:t>
      </w:r>
      <w:r>
        <w:rPr>
          <w:w w:val="99"/>
        </w:rPr>
        <w:t> </w:t>
      </w:r>
      <w:r>
        <w:rPr/>
        <w:t>para</w:t>
      </w:r>
      <w:r>
        <w:rPr>
          <w:spacing w:val="18"/>
        </w:rPr>
        <w:t> </w:t>
      </w:r>
      <w:r>
        <w:rPr/>
        <w:t>hacer</w:t>
      </w:r>
      <w:r>
        <w:rPr>
          <w:spacing w:val="19"/>
        </w:rPr>
        <w:t> </w:t>
      </w:r>
      <w:r>
        <w:rPr/>
        <w:t>frente</w:t>
      </w:r>
      <w:r>
        <w:rPr>
          <w:spacing w:val="19"/>
        </w:rPr>
        <w:t> </w:t>
      </w:r>
      <w:r>
        <w:rPr/>
        <w:t>al</w:t>
      </w:r>
      <w:r>
        <w:rPr>
          <w:spacing w:val="20"/>
        </w:rPr>
        <w:t> </w:t>
      </w:r>
      <w:r>
        <w:rPr/>
        <w:t>costo</w:t>
      </w:r>
      <w:r>
        <w:rPr>
          <w:spacing w:val="20"/>
        </w:rPr>
        <w:t> </w:t>
      </w:r>
      <w:r>
        <w:rPr/>
        <w:t>financiero</w:t>
      </w:r>
      <w:r>
        <w:rPr>
          <w:spacing w:val="20"/>
        </w:rPr>
        <w:t> </w:t>
      </w:r>
      <w:r>
        <w:rPr/>
        <w:t>de</w:t>
      </w:r>
      <w:r>
        <w:rPr>
          <w:spacing w:val="19"/>
        </w:rPr>
        <w:t> </w:t>
      </w:r>
      <w:r>
        <w:rPr/>
        <w:t>la</w:t>
      </w:r>
      <w:r>
        <w:rPr>
          <w:spacing w:val="19"/>
        </w:rPr>
        <w:t> </w:t>
      </w:r>
      <w:r>
        <w:rPr/>
        <w:t>nueva</w:t>
      </w:r>
      <w:r>
        <w:rPr>
          <w:spacing w:val="21"/>
        </w:rPr>
        <w:t> </w:t>
      </w:r>
      <w:r>
        <w:rPr/>
        <w:t>deuda,</w:t>
      </w:r>
      <w:r>
        <w:rPr>
          <w:spacing w:val="20"/>
        </w:rPr>
        <w:t> </w:t>
      </w:r>
      <w:r>
        <w:rPr/>
        <w:t>entonces</w:t>
      </w:r>
      <w:r>
        <w:rPr>
          <w:spacing w:val="20"/>
        </w:rPr>
        <w:t> </w:t>
      </w:r>
      <w:r>
        <w:rPr/>
        <w:t>el</w:t>
      </w:r>
      <w:r>
        <w:rPr>
          <w:spacing w:val="20"/>
        </w:rPr>
        <w:t> </w:t>
      </w:r>
      <w:r>
        <w:rPr/>
        <w:t>gobierno</w:t>
      </w:r>
      <w:r>
        <w:rPr>
          <w:spacing w:val="19"/>
        </w:rPr>
        <w:t> </w:t>
      </w:r>
      <w:r>
        <w:rPr/>
        <w:t>tendría</w:t>
      </w:r>
      <w:r>
        <w:rPr>
          <w:spacing w:val="39"/>
        </w:rPr>
        <w:t> </w:t>
      </w:r>
      <w:r>
        <w:rPr/>
        <w:t>que tomar</w:t>
      </w:r>
      <w:r>
        <w:rPr>
          <w:spacing w:val="17"/>
        </w:rPr>
        <w:t> </w:t>
      </w:r>
      <w:r>
        <w:rPr/>
        <w:t>medidas</w:t>
      </w:r>
      <w:r>
        <w:rPr>
          <w:spacing w:val="18"/>
        </w:rPr>
        <w:t> </w:t>
      </w:r>
      <w:r>
        <w:rPr/>
        <w:t>para</w:t>
      </w:r>
      <w:r>
        <w:rPr>
          <w:spacing w:val="17"/>
        </w:rPr>
        <w:t> </w:t>
      </w:r>
      <w:r>
        <w:rPr/>
        <w:t>restablecer</w:t>
      </w:r>
      <w:r>
        <w:rPr>
          <w:spacing w:val="17"/>
        </w:rPr>
        <w:t> </w:t>
      </w:r>
      <w:r>
        <w:rPr/>
        <w:t>la</w:t>
      </w:r>
      <w:r>
        <w:rPr>
          <w:spacing w:val="17"/>
        </w:rPr>
        <w:t> </w:t>
      </w:r>
      <w:r>
        <w:rPr/>
        <w:t>sostenibilidad</w:t>
      </w:r>
      <w:r>
        <w:rPr>
          <w:spacing w:val="17"/>
        </w:rPr>
        <w:t> </w:t>
      </w:r>
      <w:r>
        <w:rPr/>
        <w:t>fiscal</w:t>
      </w:r>
      <w:r>
        <w:rPr>
          <w:spacing w:val="18"/>
        </w:rPr>
        <w:t> </w:t>
      </w:r>
      <w:r>
        <w:rPr/>
        <w:t>entre</w:t>
      </w:r>
      <w:r>
        <w:rPr>
          <w:spacing w:val="19"/>
        </w:rPr>
        <w:t> </w:t>
      </w:r>
      <w:r>
        <w:rPr/>
        <w:t>el</w:t>
      </w:r>
      <w:r>
        <w:rPr>
          <w:spacing w:val="18"/>
        </w:rPr>
        <w:t> </w:t>
      </w:r>
      <w:r>
        <w:rPr/>
        <w:t>aumento</w:t>
      </w:r>
      <w:r>
        <w:rPr>
          <w:spacing w:val="18"/>
        </w:rPr>
        <w:t> </w:t>
      </w:r>
      <w:r>
        <w:rPr/>
        <w:t>de</w:t>
      </w:r>
      <w:r>
        <w:rPr>
          <w:spacing w:val="17"/>
        </w:rPr>
        <w:t> </w:t>
      </w:r>
      <w:r>
        <w:rPr/>
        <w:t>impuestos</w:t>
      </w:r>
      <w:r>
        <w:rPr>
          <w:spacing w:val="25"/>
        </w:rPr>
        <w:t> </w:t>
      </w:r>
      <w:r>
        <w:rPr/>
        <w:t>o</w:t>
      </w:r>
      <w:r>
        <w:rPr>
          <w:spacing w:val="18"/>
        </w:rPr>
        <w:t> </w:t>
      </w:r>
      <w:r>
        <w:rPr/>
        <w:t>la</w:t>
      </w:r>
    </w:p>
    <w:p>
      <w:pPr>
        <w:pStyle w:val="BodyText"/>
        <w:spacing w:before="6"/>
        <w:ind w:left="102" w:right="127"/>
      </w:pPr>
      <w:r>
        <w:rPr/>
        <w:t>reducción de gastos públicos.</w:t>
      </w:r>
    </w:p>
    <w:p>
      <w:pPr>
        <w:spacing w:after="0"/>
        <w:sectPr>
          <w:pgSz w:w="12250" w:h="15850"/>
          <w:pgMar w:header="0" w:footer="1037" w:top="1360" w:bottom="1220" w:left="1600" w:right="1580"/>
        </w:sectPr>
      </w:pPr>
    </w:p>
    <w:p>
      <w:pPr>
        <w:pStyle w:val="BodyText"/>
        <w:spacing w:line="345" w:lineRule="auto" w:before="50"/>
        <w:ind w:left="122" w:right="119" w:firstLine="707"/>
        <w:jc w:val="both"/>
      </w:pPr>
      <w:r>
        <w:rPr/>
        <w:t>. Posteriormente, Domar (1944) sostuvo que sería posible sostener un déficit primario</w:t>
      </w:r>
      <w:r>
        <w:rPr>
          <w:position w:val="11"/>
          <w:sz w:val="16"/>
        </w:rPr>
        <w:t>8</w:t>
      </w:r>
      <w:r>
        <w:rPr/>
        <w:t>, en la medida que la tasa de crecimiento real de la economía superara la tasa de interés del endeudamiento (Afonso &amp; Rault, 2010).</w:t>
      </w:r>
    </w:p>
    <w:p>
      <w:pPr>
        <w:pStyle w:val="BodyText"/>
        <w:spacing w:line="360" w:lineRule="auto" w:before="20"/>
        <w:ind w:left="122" w:right="116" w:firstLine="707"/>
        <w:jc w:val="both"/>
      </w:pPr>
      <w:r>
        <w:rPr>
          <w:w w:val="222"/>
        </w:rPr>
        <w:t>  </w:t>
      </w:r>
      <w:r>
        <w:rPr>
          <w:spacing w:val="4"/>
        </w:rPr>
        <w:t> </w:t>
      </w:r>
      <w:r>
        <w:rPr>
          <w:w w:val="144"/>
        </w:rPr>
        <w:t>  </w:t>
      </w:r>
      <w:r>
        <w:rPr>
          <w:spacing w:val="4"/>
        </w:rPr>
        <w:t> </w:t>
      </w:r>
      <w:r>
        <w:rPr>
          <w:w w:val="188"/>
        </w:rPr>
        <w:t> </w:t>
      </w:r>
      <w:r>
        <w:rPr>
          <w:spacing w:val="1"/>
          <w:w w:val="188"/>
        </w:rPr>
        <w:t> </w:t>
      </w:r>
      <w:r>
        <w:rPr>
          <w:spacing w:val="-1"/>
          <w:w w:val="177"/>
        </w:rPr>
        <w:t>  </w:t>
      </w:r>
      <w:r>
        <w:rPr>
          <w:w w:val="188"/>
        </w:rPr>
        <w:t>  </w:t>
      </w:r>
      <w:r>
        <w:rPr>
          <w:spacing w:val="5"/>
        </w:rPr>
        <w:t> </w:t>
      </w:r>
      <w:r>
        <w:rPr>
          <w:w w:val="188"/>
        </w:rPr>
        <w:t>  </w:t>
      </w:r>
      <w:r>
        <w:rPr>
          <w:spacing w:val="3"/>
        </w:rPr>
        <w:t> </w:t>
      </w:r>
      <w:r>
        <w:rPr>
          <w:w w:val="155"/>
        </w:rPr>
        <w:t>   </w:t>
      </w:r>
      <w:r>
        <w:rPr>
          <w:spacing w:val="5"/>
        </w:rPr>
        <w:t> </w:t>
      </w:r>
      <w:r>
        <w:rPr>
          <w:w w:val="105"/>
        </w:rPr>
        <w:t>8</w:t>
      </w:r>
      <w:r>
        <w:rPr>
          <w:spacing w:val="1"/>
          <w:w w:val="105"/>
        </w:rPr>
        <w:t> </w:t>
      </w:r>
      <w:r>
        <w:rPr>
          <w:w w:val="105"/>
        </w:rPr>
        <w:t>‘</w:t>
      </w:r>
      <w:r>
        <w:rPr>
          <w:spacing w:val="-3"/>
          <w:w w:val="105"/>
        </w:rPr>
        <w:t> </w:t>
      </w:r>
      <w:r>
        <w:rPr>
          <w:w w:val="105"/>
        </w:rPr>
        <w:t>,</w:t>
      </w:r>
      <w:r>
        <w:rPr>
          <w:spacing w:val="-11"/>
          <w:w w:val="105"/>
        </w:rPr>
        <w:t> </w:t>
      </w:r>
      <w:r>
        <w:rPr>
          <w:w w:val="105"/>
        </w:rPr>
        <w:t>el</w:t>
      </w:r>
      <w:r>
        <w:rPr>
          <w:spacing w:val="-12"/>
          <w:w w:val="105"/>
        </w:rPr>
        <w:t> </w:t>
      </w:r>
      <w:r>
        <w:rPr>
          <w:w w:val="105"/>
        </w:rPr>
        <w:t>análisis</w:t>
      </w:r>
      <w:r>
        <w:rPr>
          <w:spacing w:val="-12"/>
          <w:w w:val="105"/>
        </w:rPr>
        <w:t> </w:t>
      </w:r>
      <w:r>
        <w:rPr>
          <w:w w:val="105"/>
        </w:rPr>
        <w:t>de</w:t>
      </w:r>
      <w:r>
        <w:rPr>
          <w:spacing w:val="-14"/>
          <w:w w:val="105"/>
        </w:rPr>
        <w:t> </w:t>
      </w:r>
      <w:r>
        <w:rPr>
          <w:w w:val="105"/>
        </w:rPr>
        <w:t>la</w:t>
      </w:r>
      <w:r>
        <w:rPr>
          <w:spacing w:val="-13"/>
          <w:w w:val="105"/>
        </w:rPr>
        <w:t> </w:t>
      </w:r>
      <w:r>
        <w:rPr>
          <w:w w:val="105"/>
        </w:rPr>
        <w:t>posición</w:t>
      </w:r>
      <w:r>
        <w:rPr>
          <w:spacing w:val="-11"/>
          <w:w w:val="105"/>
        </w:rPr>
        <w:t> </w:t>
      </w:r>
      <w:r>
        <w:rPr>
          <w:w w:val="105"/>
        </w:rPr>
        <w:t>fiscal</w:t>
      </w:r>
      <w:r>
        <w:rPr>
          <w:spacing w:val="-12"/>
          <w:w w:val="105"/>
        </w:rPr>
        <w:t> </w:t>
      </w:r>
      <w:r>
        <w:rPr>
          <w:w w:val="105"/>
        </w:rPr>
        <w:t>se</w:t>
      </w:r>
      <w:r>
        <w:rPr>
          <w:spacing w:val="-11"/>
          <w:w w:val="105"/>
        </w:rPr>
        <w:t> </w:t>
      </w:r>
      <w:r>
        <w:rPr>
          <w:w w:val="105"/>
        </w:rPr>
        <w:t>vinculó</w:t>
      </w:r>
      <w:r>
        <w:rPr>
          <w:spacing w:val="-13"/>
          <w:w w:val="105"/>
        </w:rPr>
        <w:t> </w:t>
      </w:r>
      <w:r>
        <w:rPr>
          <w:w w:val="105"/>
        </w:rPr>
        <w:t>con</w:t>
      </w:r>
      <w:r>
        <w:rPr>
          <w:spacing w:val="-11"/>
          <w:w w:val="105"/>
        </w:rPr>
        <w:t> </w:t>
      </w:r>
      <w:r>
        <w:rPr>
          <w:w w:val="105"/>
        </w:rPr>
        <w:t>tres</w:t>
      </w:r>
      <w:r>
        <w:rPr>
          <w:spacing w:val="-11"/>
          <w:w w:val="105"/>
        </w:rPr>
        <w:t> </w:t>
      </w:r>
      <w:r>
        <w:rPr>
          <w:w w:val="105"/>
        </w:rPr>
        <w:t>tipos</w:t>
      </w:r>
      <w:r>
        <w:rPr>
          <w:spacing w:val="-13"/>
          <w:w w:val="105"/>
        </w:rPr>
        <w:t> </w:t>
      </w:r>
      <w:r>
        <w:rPr>
          <w:w w:val="105"/>
        </w:rPr>
        <w:t>de variables:</w:t>
      </w:r>
      <w:r>
        <w:rPr>
          <w:spacing w:val="-35"/>
          <w:w w:val="105"/>
        </w:rPr>
        <w:t> </w:t>
      </w:r>
      <w:r>
        <w:rPr>
          <w:w w:val="105"/>
        </w:rPr>
        <w:t>actividad</w:t>
      </w:r>
      <w:r>
        <w:rPr>
          <w:spacing w:val="-35"/>
          <w:w w:val="105"/>
        </w:rPr>
        <w:t> </w:t>
      </w:r>
      <w:r>
        <w:rPr>
          <w:w w:val="105"/>
        </w:rPr>
        <w:t>económica,</w:t>
      </w:r>
      <w:r>
        <w:rPr>
          <w:spacing w:val="-35"/>
          <w:w w:val="105"/>
        </w:rPr>
        <w:t> </w:t>
      </w:r>
      <w:r>
        <w:rPr>
          <w:w w:val="105"/>
        </w:rPr>
        <w:t>déficits</w:t>
      </w:r>
      <w:r>
        <w:rPr>
          <w:spacing w:val="-34"/>
          <w:w w:val="105"/>
        </w:rPr>
        <w:t> </w:t>
      </w:r>
      <w:r>
        <w:rPr>
          <w:w w:val="105"/>
        </w:rPr>
        <w:t>fiscales</w:t>
      </w:r>
      <w:r>
        <w:rPr>
          <w:spacing w:val="-33"/>
          <w:w w:val="105"/>
        </w:rPr>
        <w:t> </w:t>
      </w:r>
      <w:r>
        <w:rPr>
          <w:w w:val="105"/>
        </w:rPr>
        <w:t>y</w:t>
      </w:r>
      <w:r>
        <w:rPr>
          <w:spacing w:val="-35"/>
          <w:w w:val="105"/>
        </w:rPr>
        <w:t> </w:t>
      </w:r>
      <w:r>
        <w:rPr>
          <w:w w:val="105"/>
        </w:rPr>
        <w:t>deuda</w:t>
      </w:r>
      <w:r>
        <w:rPr>
          <w:spacing w:val="-35"/>
          <w:w w:val="105"/>
        </w:rPr>
        <w:t> </w:t>
      </w:r>
      <w:r>
        <w:rPr>
          <w:w w:val="105"/>
        </w:rPr>
        <w:t>pública</w:t>
      </w:r>
      <w:r>
        <w:rPr>
          <w:spacing w:val="-32"/>
          <w:w w:val="105"/>
        </w:rPr>
        <w:t> </w:t>
      </w:r>
      <w:r>
        <w:rPr>
          <w:w w:val="105"/>
        </w:rPr>
        <w:t>(Muller</w:t>
      </w:r>
      <w:r>
        <w:rPr>
          <w:spacing w:val="-34"/>
          <w:w w:val="105"/>
        </w:rPr>
        <w:t> </w:t>
      </w:r>
      <w:r>
        <w:rPr>
          <w:w w:val="105"/>
        </w:rPr>
        <w:t>&amp;</w:t>
      </w:r>
      <w:r>
        <w:rPr>
          <w:spacing w:val="-33"/>
          <w:w w:val="105"/>
        </w:rPr>
        <w:t> </w:t>
      </w:r>
      <w:r>
        <w:rPr>
          <w:w w:val="105"/>
        </w:rPr>
        <w:t>Price,</w:t>
      </w:r>
      <w:r>
        <w:rPr>
          <w:spacing w:val="-35"/>
          <w:w w:val="105"/>
        </w:rPr>
        <w:t> </w:t>
      </w:r>
      <w:r>
        <w:rPr>
          <w:w w:val="105"/>
        </w:rPr>
        <w:t>1984).</w:t>
      </w:r>
      <w:r>
        <w:rPr>
          <w:spacing w:val="-34"/>
          <w:w w:val="105"/>
        </w:rPr>
        <w:t> </w:t>
      </w:r>
      <w:r>
        <w:rPr>
          <w:w w:val="105"/>
        </w:rPr>
        <w:t>La literatura</w:t>
      </w:r>
      <w:r>
        <w:rPr>
          <w:spacing w:val="-31"/>
          <w:w w:val="105"/>
        </w:rPr>
        <w:t> </w:t>
      </w:r>
      <w:r>
        <w:rPr>
          <w:w w:val="105"/>
        </w:rPr>
        <w:t>actual</w:t>
      </w:r>
      <w:r>
        <w:rPr>
          <w:spacing w:val="-30"/>
          <w:w w:val="105"/>
        </w:rPr>
        <w:t> </w:t>
      </w:r>
      <w:r>
        <w:rPr>
          <w:w w:val="105"/>
        </w:rPr>
        <w:t>(del</w:t>
      </w:r>
      <w:r>
        <w:rPr>
          <w:spacing w:val="-30"/>
          <w:w w:val="105"/>
        </w:rPr>
        <w:t> </w:t>
      </w:r>
      <w:r>
        <w:rPr>
          <w:w w:val="105"/>
        </w:rPr>
        <w:t>2000</w:t>
      </w:r>
      <w:r>
        <w:rPr>
          <w:spacing w:val="-30"/>
          <w:w w:val="105"/>
        </w:rPr>
        <w:t> </w:t>
      </w:r>
      <w:r>
        <w:rPr>
          <w:w w:val="105"/>
        </w:rPr>
        <w:t>en</w:t>
      </w:r>
      <w:r>
        <w:rPr>
          <w:spacing w:val="-30"/>
          <w:w w:val="105"/>
        </w:rPr>
        <w:t> </w:t>
      </w:r>
      <w:r>
        <w:rPr>
          <w:w w:val="105"/>
        </w:rPr>
        <w:t>adelante),</w:t>
      </w:r>
      <w:r>
        <w:rPr>
          <w:spacing w:val="4"/>
          <w:w w:val="105"/>
        </w:rPr>
        <w:t> </w:t>
      </w:r>
      <w:r>
        <w:rPr>
          <w:w w:val="105"/>
        </w:rPr>
        <w:t>la</w:t>
      </w:r>
      <w:r>
        <w:rPr>
          <w:spacing w:val="-30"/>
          <w:w w:val="105"/>
        </w:rPr>
        <w:t> </w:t>
      </w:r>
      <w:r>
        <w:rPr>
          <w:w w:val="105"/>
        </w:rPr>
        <w:t>posición</w:t>
      </w:r>
      <w:r>
        <w:rPr>
          <w:spacing w:val="-28"/>
          <w:w w:val="105"/>
        </w:rPr>
        <w:t> </w:t>
      </w:r>
      <w:r>
        <w:rPr>
          <w:w w:val="105"/>
        </w:rPr>
        <w:t>y</w:t>
      </w:r>
      <w:r>
        <w:rPr>
          <w:spacing w:val="-32"/>
          <w:w w:val="105"/>
        </w:rPr>
        <w:t> </w:t>
      </w:r>
      <w:r>
        <w:rPr>
          <w:w w:val="105"/>
        </w:rPr>
        <w:t>sostenibilidad</w:t>
      </w:r>
      <w:r>
        <w:rPr>
          <w:spacing w:val="-30"/>
          <w:w w:val="105"/>
        </w:rPr>
        <w:t> </w:t>
      </w:r>
      <w:r>
        <w:rPr>
          <w:w w:val="105"/>
        </w:rPr>
        <w:t>fiscal</w:t>
      </w:r>
      <w:r>
        <w:rPr>
          <w:spacing w:val="-28"/>
          <w:w w:val="105"/>
        </w:rPr>
        <w:t> </w:t>
      </w:r>
      <w:r>
        <w:rPr>
          <w:w w:val="105"/>
        </w:rPr>
        <w:t>se</w:t>
      </w:r>
      <w:r>
        <w:rPr>
          <w:spacing w:val="-30"/>
          <w:w w:val="105"/>
        </w:rPr>
        <w:t> </w:t>
      </w:r>
      <w:r>
        <w:rPr>
          <w:w w:val="105"/>
        </w:rPr>
        <w:t>ha</w:t>
      </w:r>
      <w:r>
        <w:rPr>
          <w:spacing w:val="-30"/>
          <w:w w:val="105"/>
        </w:rPr>
        <w:t> </w:t>
      </w:r>
      <w:r>
        <w:rPr>
          <w:w w:val="105"/>
        </w:rPr>
        <w:t>relacionado con</w:t>
      </w:r>
      <w:r>
        <w:rPr>
          <w:spacing w:val="5"/>
          <w:w w:val="105"/>
        </w:rPr>
        <w:t> </w:t>
      </w:r>
      <w:r>
        <w:rPr>
          <w:w w:val="105"/>
        </w:rPr>
        <w:t>problemas</w:t>
      </w:r>
      <w:r>
        <w:rPr>
          <w:spacing w:val="-29"/>
          <w:w w:val="105"/>
        </w:rPr>
        <w:t> </w:t>
      </w:r>
      <w:r>
        <w:rPr>
          <w:w w:val="105"/>
        </w:rPr>
        <w:t>de</w:t>
      </w:r>
      <w:r>
        <w:rPr>
          <w:spacing w:val="-30"/>
          <w:w w:val="105"/>
        </w:rPr>
        <w:t> </w:t>
      </w:r>
      <w:r>
        <w:rPr>
          <w:w w:val="105"/>
        </w:rPr>
        <w:t>déficit</w:t>
      </w:r>
      <w:r>
        <w:rPr>
          <w:spacing w:val="-28"/>
          <w:w w:val="105"/>
        </w:rPr>
        <w:t> </w:t>
      </w:r>
      <w:r>
        <w:rPr>
          <w:w w:val="105"/>
        </w:rPr>
        <w:t>fiscal</w:t>
      </w:r>
      <w:r>
        <w:rPr>
          <w:spacing w:val="-28"/>
          <w:w w:val="105"/>
        </w:rPr>
        <w:t> </w:t>
      </w:r>
      <w:r>
        <w:rPr>
          <w:w w:val="105"/>
        </w:rPr>
        <w:t>no</w:t>
      </w:r>
      <w:r>
        <w:rPr>
          <w:spacing w:val="-29"/>
          <w:w w:val="105"/>
        </w:rPr>
        <w:t> </w:t>
      </w:r>
      <w:r>
        <w:rPr>
          <w:w w:val="105"/>
        </w:rPr>
        <w:t>petrolero</w:t>
      </w:r>
      <w:r>
        <w:rPr>
          <w:spacing w:val="-26"/>
          <w:w w:val="105"/>
        </w:rPr>
        <w:t> </w:t>
      </w:r>
      <w:r>
        <w:rPr>
          <w:w w:val="105"/>
        </w:rPr>
        <w:t>y</w:t>
      </w:r>
      <w:r>
        <w:rPr>
          <w:spacing w:val="-32"/>
          <w:w w:val="105"/>
        </w:rPr>
        <w:t> </w:t>
      </w:r>
      <w:r>
        <w:rPr>
          <w:w w:val="105"/>
        </w:rPr>
        <w:t>deuda</w:t>
      </w:r>
      <w:r>
        <w:rPr>
          <w:spacing w:val="-30"/>
          <w:w w:val="105"/>
        </w:rPr>
        <w:t> </w:t>
      </w:r>
      <w:r>
        <w:rPr>
          <w:w w:val="105"/>
        </w:rPr>
        <w:t>pública,</w:t>
      </w:r>
      <w:r>
        <w:rPr>
          <w:spacing w:val="-28"/>
          <w:w w:val="105"/>
        </w:rPr>
        <w:t> </w:t>
      </w:r>
      <w:r>
        <w:rPr>
          <w:w w:val="105"/>
        </w:rPr>
        <w:t>prestándose</w:t>
      </w:r>
      <w:r>
        <w:rPr>
          <w:spacing w:val="-28"/>
          <w:w w:val="105"/>
        </w:rPr>
        <w:t> </w:t>
      </w:r>
      <w:r>
        <w:rPr>
          <w:w w:val="105"/>
        </w:rPr>
        <w:t>atención</w:t>
      </w:r>
      <w:r>
        <w:rPr>
          <w:spacing w:val="-28"/>
          <w:w w:val="105"/>
        </w:rPr>
        <w:t> </w:t>
      </w:r>
      <w:r>
        <w:rPr>
          <w:w w:val="105"/>
        </w:rPr>
        <w:t>especial al diseño de nuevas reglas fiscales que direccionen las políticas públicas (Polito &amp; </w:t>
      </w:r>
      <w:r>
        <w:rPr/>
        <w:t>Wickens,</w:t>
      </w:r>
      <w:r>
        <w:rPr>
          <w:spacing w:val="-3"/>
        </w:rPr>
        <w:t> </w:t>
      </w:r>
      <w:r>
        <w:rPr/>
        <w:t>2012).</w:t>
      </w:r>
    </w:p>
    <w:p>
      <w:pPr>
        <w:pStyle w:val="BodyText"/>
        <w:spacing w:line="360" w:lineRule="auto" w:before="4"/>
        <w:ind w:left="122" w:right="116" w:firstLine="707"/>
        <w:jc w:val="both"/>
      </w:pPr>
      <w:r>
        <w:rPr/>
        <w:t>Por otra parte, se ha demostrado empíricamente la importancia del rol de las instituciones en países petroleros, y por ende la eficiencia pública, como un factor explicativo en la asignación de los recursos petroleros al gasto público para mantener una condición de sostenibilidad (Ossowski, et al., 2008; Manasse, 2006; Mehlum, et al., 2006), además de emplearse políticas </w:t>
      </w:r>
      <w:r>
        <w:rPr>
          <w:i/>
        </w:rPr>
        <w:t>anti-choques </w:t>
      </w:r>
      <w:r>
        <w:rPr/>
        <w:t>ante escenarios negativos de precios que permitan mitigar factores de riesgo (Jemio &amp; Wiebelt, 2003; Canavire &amp; Mariscal, 2010; García de la Vega, 2009). La importancia de contar con indicadores de posición fiscal, se basa en el equilibrio de las finanzas públicas como un determinante para la estabilidad macroeconómica de un país (Amieva, 2004).</w:t>
      </w:r>
    </w:p>
    <w:p>
      <w:pPr>
        <w:pStyle w:val="BodyText"/>
        <w:spacing w:line="360" w:lineRule="auto" w:before="6"/>
        <w:ind w:left="122" w:right="113" w:firstLine="707"/>
        <w:jc w:val="both"/>
      </w:pPr>
      <w:r>
        <w:rPr/>
        <w:t>El objetivo de este capítulo es explicar los fundamentos teóricos y contextuales que servirán de soporte de la investigación relacionado con la posición fiscal en un contexto de economías emergentes dependientes de recursos naturales. En tal sentido, el presente apartado está integrado por seis secciones: la primera aborda el análisis de la posición y sostenibilidad fiscal; la segunda considera la orientación de la política fiscal para países dependientes de recursos naturales; la tercera aborda los aspectos teóricos de los mercados de recursos naturales ; la cuarta parte describe el marco conceptual de los choques de precios internacionales de recursos naturales ; el quinto tópico menciona las políticas públicas para la mitigación de choques de precios internacionales; el sexto menciona las reglas fiscales como arreglos institucionales para mejorar la asignación de ingresos fiscales,</w:t>
      </w:r>
    </w:p>
    <w:p>
      <w:pPr>
        <w:pStyle w:val="BodyText"/>
        <w:rPr>
          <w:sz w:val="20"/>
        </w:rPr>
      </w:pPr>
    </w:p>
    <w:p>
      <w:pPr>
        <w:pStyle w:val="BodyText"/>
        <w:rPr>
          <w:sz w:val="20"/>
        </w:rPr>
      </w:pPr>
    </w:p>
    <w:p>
      <w:pPr>
        <w:pStyle w:val="BodyText"/>
        <w:spacing w:before="9"/>
        <w:rPr>
          <w:sz w:val="29"/>
        </w:rPr>
      </w:pPr>
      <w:r>
        <w:rPr/>
        <w:pict>
          <v:line style="position:absolute;mso-position-horizontal-relative:page;mso-position-vertical-relative:paragraph;z-index:1336;mso-wrap-distance-left:0;mso-wrap-distance-right:0" from="85.103996pt,19.417696pt" to="229.123996pt,19.417696pt" stroked="true" strokeweight=".60004pt" strokecolor="#000000">
            <w10:wrap type="topAndBottom"/>
          </v:line>
        </w:pict>
      </w:r>
    </w:p>
    <w:p>
      <w:pPr>
        <w:spacing w:before="50"/>
        <w:ind w:left="122" w:right="115" w:firstLine="0"/>
        <w:jc w:val="left"/>
        <w:rPr>
          <w:sz w:val="20"/>
        </w:rPr>
      </w:pPr>
      <w:r>
        <w:rPr>
          <w:position w:val="9"/>
          <w:sz w:val="13"/>
        </w:rPr>
        <w:t>8 </w:t>
      </w:r>
      <w:r>
        <w:rPr>
          <w:sz w:val="20"/>
        </w:rPr>
        <w:t>El balance fiscal primario es la diferencia entre ingresos y gastos fiscales al omitir los intereses de la deuda pública.</w:t>
      </w:r>
    </w:p>
    <w:p>
      <w:pPr>
        <w:spacing w:after="0"/>
        <w:jc w:val="left"/>
        <w:rPr>
          <w:sz w:val="20"/>
        </w:rPr>
        <w:sectPr>
          <w:pgSz w:w="12250" w:h="15850"/>
          <w:pgMar w:header="0" w:footer="1037" w:top="1360" w:bottom="1220" w:left="1580" w:right="1580"/>
        </w:sectPr>
      </w:pPr>
    </w:p>
    <w:p>
      <w:pPr>
        <w:pStyle w:val="BodyText"/>
        <w:spacing w:line="360" w:lineRule="auto" w:before="50"/>
        <w:ind w:left="122" w:right="121"/>
        <w:jc w:val="both"/>
      </w:pPr>
      <w:r>
        <w:rPr/>
        <w:t>gasto público, resultados fiscales y deuda pública bajo criterios generales y de dependencia de recursos naturales.</w:t>
      </w:r>
    </w:p>
    <w:p>
      <w:pPr>
        <w:pStyle w:val="BodyText"/>
        <w:spacing w:before="7"/>
        <w:rPr>
          <w:sz w:val="21"/>
        </w:rPr>
      </w:pPr>
    </w:p>
    <w:p>
      <w:pPr>
        <w:pStyle w:val="Heading4"/>
        <w:numPr>
          <w:ilvl w:val="1"/>
          <w:numId w:val="8"/>
        </w:numPr>
        <w:tabs>
          <w:tab w:pos="698" w:val="left" w:leader="none"/>
        </w:tabs>
        <w:spacing w:line="240" w:lineRule="auto" w:before="0" w:after="0"/>
        <w:ind w:left="698" w:right="0" w:hanging="576"/>
        <w:jc w:val="both"/>
      </w:pPr>
      <w:bookmarkStart w:name="_bookmark2" w:id="3"/>
      <w:bookmarkEnd w:id="3"/>
      <w:r>
        <w:rPr>
          <w:b w:val="0"/>
        </w:rPr>
      </w:r>
      <w:bookmarkStart w:name="_bookmark2" w:id="4"/>
      <w:bookmarkEnd w:id="4"/>
      <w:r>
        <w:rPr/>
        <w:t>El</w:t>
      </w:r>
      <w:r>
        <w:rPr/>
        <w:t> análisis de la  posición y sostenibilidad</w:t>
      </w:r>
      <w:r>
        <w:rPr>
          <w:spacing w:val="-7"/>
        </w:rPr>
        <w:t> </w:t>
      </w:r>
      <w:r>
        <w:rPr/>
        <w:t>fiscal</w:t>
      </w:r>
    </w:p>
    <w:p>
      <w:pPr>
        <w:pStyle w:val="BodyText"/>
        <w:rPr>
          <w:b/>
        </w:rPr>
      </w:pPr>
    </w:p>
    <w:p>
      <w:pPr>
        <w:pStyle w:val="BodyText"/>
        <w:spacing w:line="350" w:lineRule="auto" w:before="194"/>
        <w:ind w:left="122" w:right="114" w:firstLine="707"/>
        <w:jc w:val="both"/>
      </w:pPr>
      <w:r>
        <w:rPr/>
        <w:t>Muller &amp; Price (1984) sostienen que la posición fiscal corresponde a un análisis de corto plazo</w:t>
      </w:r>
      <w:r>
        <w:rPr>
          <w:position w:val="11"/>
          <w:sz w:val="16"/>
        </w:rPr>
        <w:t>9</w:t>
      </w:r>
      <w:r>
        <w:rPr/>
        <w:t>. Adicionalmente, estos autores sugieren un horizonte de mediano plazo para la planificación y control de las finanzas públicas, estableciéndose correcciones de política fiscal que mejore el prospecto del gasto público de largo plazo.</w:t>
      </w:r>
    </w:p>
    <w:p>
      <w:pPr>
        <w:pStyle w:val="BodyText"/>
        <w:spacing w:before="14"/>
        <w:ind w:left="830" w:right="115"/>
      </w:pPr>
      <w:r>
        <w:rPr/>
        <w:t>De igual forma, se han empleado indicadores de corto   plazo </w:t>
      </w:r>
      <w:r>
        <w:rPr>
          <w:w w:val="1"/>
        </w:rPr>
        <w:t> </w:t>
      </w:r>
      <w:r>
        <w:rPr/>
        <w:t> </w:t>
      </w:r>
      <w:r>
        <w:rPr>
          <w:w w:val="177"/>
        </w:rPr>
        <w:t> </w:t>
      </w:r>
      <w:r>
        <w:rPr>
          <w:w w:val="133"/>
        </w:rPr>
        <w:t> </w:t>
      </w:r>
      <w:r>
        <w:rPr>
          <w:w w:val="177"/>
        </w:rPr>
        <w:t>  </w:t>
      </w:r>
      <w:r>
        <w:rPr>
          <w:w w:val="211"/>
        </w:rPr>
        <w:t>  </w:t>
      </w:r>
      <w:r>
        <w:rPr>
          <w:w w:val="160"/>
        </w:rPr>
        <w:t>     </w:t>
      </w:r>
      <w:r>
        <w:rPr/>
        <w:t> </w:t>
      </w:r>
      <w:r>
        <w:rPr>
          <w:w w:val="188"/>
        </w:rPr>
        <w:t>  </w:t>
      </w:r>
      <w:r>
        <w:rPr>
          <w:w w:val="111"/>
        </w:rPr>
        <w:t> </w:t>
      </w:r>
      <w:r>
        <w:rPr/>
        <w:t> </w:t>
      </w:r>
      <w:r>
        <w:rPr>
          <w:w w:val="200"/>
        </w:rPr>
        <w:t> </w:t>
      </w:r>
      <w:r>
        <w:rPr>
          <w:w w:val="177"/>
        </w:rPr>
        <w:t> </w:t>
      </w:r>
      <w:r>
        <w:rPr>
          <w:w w:val="155"/>
        </w:rPr>
        <w:t>   </w:t>
      </w:r>
    </w:p>
    <w:p>
      <w:pPr>
        <w:pStyle w:val="BodyText"/>
        <w:spacing w:line="360" w:lineRule="auto" w:before="139"/>
        <w:ind w:left="122" w:right="118"/>
        <w:jc w:val="both"/>
      </w:pPr>
      <w:r>
        <w:rPr>
          <w:w w:val="164"/>
        </w:rPr>
        <w:t>     </w:t>
      </w:r>
      <w:r>
        <w:rPr>
          <w:w w:val="177"/>
        </w:rPr>
        <w:t> </w:t>
      </w:r>
      <w:r>
        <w:rPr>
          <w:w w:val="200"/>
        </w:rPr>
        <w:t> </w:t>
      </w:r>
      <w:r>
        <w:rPr/>
        <w:t> </w:t>
      </w:r>
      <w:r>
        <w:rPr>
          <w:w w:val="200"/>
        </w:rPr>
        <w:t> </w:t>
      </w:r>
      <w:r>
        <w:rPr/>
        <w:t> </w:t>
      </w:r>
      <w:r>
        <w:rPr>
          <w:w w:val="155"/>
        </w:rPr>
        <w:t>  </w:t>
      </w:r>
      <w:r>
        <w:rPr>
          <w:w w:val="144"/>
        </w:rPr>
        <w:t>    </w:t>
      </w:r>
      <w:r>
        <w:rPr>
          <w:w w:val="177"/>
        </w:rPr>
        <w:t> </w:t>
      </w:r>
      <w:r>
        <w:rPr>
          <w:w w:val="185"/>
        </w:rPr>
        <w:t>   </w:t>
      </w:r>
      <w:r>
        <w:rPr/>
        <w:t> </w:t>
      </w:r>
      <w:r>
        <w:rPr>
          <w:w w:val="133"/>
        </w:rPr>
        <w:t>   </w:t>
      </w:r>
      <w:r>
        <w:rPr>
          <w:w w:val="177"/>
        </w:rPr>
        <w:t>  </w:t>
      </w:r>
      <w:r>
        <w:rPr>
          <w:w w:val="148"/>
        </w:rPr>
        <w:t>   </w:t>
      </w:r>
      <w:r>
        <w:rPr/>
        <w:t> </w:t>
      </w:r>
      <w:r>
        <w:rPr>
          <w:w w:val="162"/>
        </w:rPr>
        <w:t>         </w:t>
      </w:r>
      <w:r>
        <w:rPr/>
        <w:t> </w:t>
      </w:r>
      <w:r>
        <w:rPr>
          <w:w w:val="1"/>
        </w:rPr>
        <w:t> </w:t>
      </w:r>
      <w:r>
        <w:rPr/>
        <w:t>   con base en proyecciones </w:t>
      </w:r>
      <w:r>
        <w:rPr>
          <w:i/>
        </w:rPr>
        <w:t>n</w:t>
      </w:r>
      <w:r>
        <w:rPr/>
        <w:t>-períodos (en adelante) para la trayectoria de la deuda pública (Comisión Europea, 2010; Blanchard, et al., 1991; Buiter, et al., 1993).</w:t>
      </w:r>
    </w:p>
    <w:p>
      <w:pPr>
        <w:pStyle w:val="BodyText"/>
        <w:spacing w:line="360" w:lineRule="auto" w:before="4"/>
        <w:ind w:left="122" w:right="115" w:firstLine="707"/>
        <w:jc w:val="both"/>
      </w:pPr>
      <w:r>
        <w:rPr/>
        <w:t>Para el pronóstico de la deuda pública, se suelen utilizar supuestos externos sobre la el comportamiento esperado de variables relevantes en la economía (crecimiento del producto, tasa de interés, tipo de cambio, entre otros); sin embargo,  la crítica se ha  centrado en la determinación exógena de estos supuestos en lugar de ser determinados de forma endógena por un modelo general de la economía (Polito &amp; Wickens, 2012; Leeper, 2010; Cuddington,</w:t>
      </w:r>
      <w:r>
        <w:rPr>
          <w:spacing w:val="-4"/>
        </w:rPr>
        <w:t> </w:t>
      </w:r>
      <w:r>
        <w:rPr/>
        <w:t>1997).</w:t>
      </w:r>
    </w:p>
    <w:p>
      <w:pPr>
        <w:pStyle w:val="BodyText"/>
        <w:spacing w:line="345" w:lineRule="auto" w:before="4"/>
        <w:ind w:left="122" w:right="115" w:firstLine="707"/>
        <w:jc w:val="both"/>
      </w:pPr>
      <w:r>
        <w:rPr/>
        <w:t>En países dependientes de un recurso natural (e.j.: el petróleo), el análisis de la posición fiscal requiere la utilización de indicadores convencionales como el balance global y  el  balance  primario  (Medas  &amp;  Zakharova,  2009)</w:t>
      </w:r>
      <w:r>
        <w:rPr>
          <w:position w:val="11"/>
          <w:sz w:val="16"/>
        </w:rPr>
        <w:t>10</w:t>
      </w:r>
      <w:r>
        <w:rPr/>
        <w:t>.  De  forma  complementaria,     es</w:t>
      </w:r>
    </w:p>
    <w:p>
      <w:pPr>
        <w:pStyle w:val="BodyText"/>
        <w:spacing w:line="360" w:lineRule="auto" w:before="5"/>
        <w:ind w:left="122" w:right="118"/>
        <w:jc w:val="both"/>
      </w:pPr>
      <w:r>
        <w:rPr/>
        <w:t>importante integrar la evaluación fiscal con indicadores no petroleros (ej.: balance fiscal no petrolero), es decir, excluyendo el efecto de los ingresos petroleros.</w:t>
      </w:r>
    </w:p>
    <w:p>
      <w:pPr>
        <w:pStyle w:val="BodyText"/>
        <w:spacing w:line="360" w:lineRule="auto" w:before="7"/>
        <w:ind w:left="122" w:right="116" w:firstLine="707"/>
        <w:jc w:val="both"/>
      </w:pPr>
      <w:r>
        <w:rPr/>
        <w:t>De otro modo, se podrían inferir conclusiones erradas sobre el desempeño fiscal de un país que posee un recurso natural no renovable. Por otra parte, en una perspectiva de mediano plazo, se emplea un análisis tradicional de deuda pública  basado en la  trayectoria</w:t>
      </w:r>
    </w:p>
    <w:p>
      <w:pPr>
        <w:pStyle w:val="BodyText"/>
        <w:rPr>
          <w:sz w:val="20"/>
        </w:rPr>
      </w:pPr>
    </w:p>
    <w:p>
      <w:pPr>
        <w:pStyle w:val="BodyText"/>
        <w:spacing w:before="11"/>
        <w:rPr>
          <w:sz w:val="18"/>
        </w:rPr>
      </w:pPr>
      <w:r>
        <w:rPr/>
        <w:pict>
          <v:line style="position:absolute;mso-position-horizontal-relative:page;mso-position-vertical-relative:paragraph;z-index:1360;mso-wrap-distance-left:0;mso-wrap-distance-right:0" from="85.103996pt,13.160719pt" to="229.123996pt,13.160719pt" stroked="true" strokeweight=".60004pt" strokecolor="#000000">
            <w10:wrap type="topAndBottom"/>
          </v:line>
        </w:pict>
      </w:r>
    </w:p>
    <w:p>
      <w:pPr>
        <w:spacing w:before="50"/>
        <w:ind w:left="122" w:right="0" w:firstLine="0"/>
        <w:jc w:val="both"/>
        <w:rPr>
          <w:sz w:val="20"/>
        </w:rPr>
      </w:pPr>
      <w:r>
        <w:rPr>
          <w:position w:val="9"/>
          <w:sz w:val="13"/>
        </w:rPr>
        <w:t>9 </w:t>
      </w:r>
      <w:r>
        <w:rPr>
          <w:sz w:val="20"/>
        </w:rPr>
        <w:t>La posición fiscal será abordada con mayor detalle  el capítulo III de la tesis.</w:t>
      </w:r>
    </w:p>
    <w:p>
      <w:pPr>
        <w:pStyle w:val="BodyText"/>
        <w:spacing w:before="1"/>
        <w:rPr>
          <w:sz w:val="18"/>
        </w:rPr>
      </w:pPr>
    </w:p>
    <w:p>
      <w:pPr>
        <w:spacing w:line="276" w:lineRule="auto" w:before="0"/>
        <w:ind w:left="122" w:right="120" w:firstLine="0"/>
        <w:jc w:val="both"/>
        <w:rPr>
          <w:sz w:val="20"/>
        </w:rPr>
      </w:pPr>
      <w:r>
        <w:rPr>
          <w:position w:val="9"/>
          <w:sz w:val="13"/>
        </w:rPr>
        <w:t>10 </w:t>
      </w:r>
      <w:r>
        <w:rPr>
          <w:sz w:val="20"/>
        </w:rPr>
        <w:t>La definición más común del déficit fiscal (balance global), está comprendida como el desequilibrio entre los ingresos y gastos de cualquier nivel de gobierno. El balance primario es la diferencia entre los ingresos totales menos los egresos totales, omitiendo el pago de intereses de deuda pública (Amieva, 2004).</w:t>
      </w:r>
    </w:p>
    <w:p>
      <w:pPr>
        <w:spacing w:after="0" w:line="276" w:lineRule="auto"/>
        <w:jc w:val="both"/>
        <w:rPr>
          <w:sz w:val="20"/>
        </w:rPr>
        <w:sectPr>
          <w:pgSz w:w="12250" w:h="15850"/>
          <w:pgMar w:header="0" w:footer="1037" w:top="1360" w:bottom="1220" w:left="1580" w:right="1580"/>
        </w:sectPr>
      </w:pPr>
    </w:p>
    <w:p>
      <w:pPr>
        <w:pStyle w:val="BodyText"/>
        <w:spacing w:line="360" w:lineRule="auto" w:before="50"/>
        <w:ind w:left="102" w:right="127"/>
      </w:pPr>
      <w:r>
        <w:rPr/>
        <w:t>de mediano plazo como resultado de un balance fiscal primario sostenible (Wyplosz, 2011; Wijnbergen &amp; Budina, 2011).</w:t>
      </w:r>
    </w:p>
    <w:p>
      <w:pPr>
        <w:pStyle w:val="BodyText"/>
        <w:spacing w:line="360" w:lineRule="auto" w:before="6"/>
        <w:ind w:left="102" w:right="116" w:firstLine="707"/>
        <w:jc w:val="both"/>
      </w:pPr>
      <w:r>
        <w:rPr/>
        <w:t>En el largo plazo (sostenibilidad fiscal), se suele comparar la trayectoria del balance fiscal (petrolero y no petrolero) con la deuda pública y el agotamiento de las reservas del recurso natural (horizonte de extracción y producción). A continuación, se presentan los indicadores más comúnmente aceptados para medir la posición fiscal en países petroleros  (o que tengan algún recurso</w:t>
      </w:r>
      <w:r>
        <w:rPr>
          <w:spacing w:val="-8"/>
        </w:rPr>
        <w:t> </w:t>
      </w:r>
      <w:r>
        <w:rPr/>
        <w:t>natural):</w:t>
      </w:r>
    </w:p>
    <w:p>
      <w:pPr>
        <w:spacing w:before="6"/>
        <w:ind w:left="0" w:right="16" w:firstLine="0"/>
        <w:jc w:val="center"/>
        <w:rPr>
          <w:sz w:val="24"/>
        </w:rPr>
      </w:pPr>
      <w:r>
        <w:rPr>
          <w:rFonts w:ascii="Cambria Math"/>
          <w:w w:val="172"/>
          <w:sz w:val="24"/>
        </w:rPr>
        <w:t> </w:t>
      </w:r>
      <w:r>
        <w:rPr>
          <w:rFonts w:ascii="Cambria Math"/>
          <w:w w:val="200"/>
          <w:position w:val="-4"/>
          <w:sz w:val="17"/>
        </w:rPr>
        <w:t> </w:t>
      </w:r>
      <w:r>
        <w:rPr>
          <w:rFonts w:ascii="Cambria Math"/>
          <w:position w:val="-4"/>
          <w:sz w:val="17"/>
        </w:rPr>
        <w:t>  </w:t>
      </w:r>
      <w:r>
        <w:rPr>
          <w:rFonts w:ascii="Cambria Math"/>
          <w:w w:val="339"/>
          <w:sz w:val="24"/>
        </w:rPr>
        <w:t> </w:t>
      </w:r>
      <w:r>
        <w:rPr>
          <w:rFonts w:ascii="Cambria Math"/>
          <w:sz w:val="24"/>
        </w:rPr>
        <w:t>  </w:t>
      </w:r>
      <w:r>
        <w:rPr>
          <w:rFonts w:ascii="Cambria Math"/>
          <w:w w:val="252"/>
          <w:sz w:val="24"/>
        </w:rPr>
        <w:t>  </w:t>
      </w:r>
      <w:r>
        <w:rPr>
          <w:rFonts w:ascii="Cambria Math"/>
          <w:w w:val="281"/>
          <w:sz w:val="24"/>
        </w:rPr>
        <w:t> </w:t>
      </w:r>
      <w:r>
        <w:rPr>
          <w:rFonts w:ascii="Cambria Math"/>
          <w:w w:val="200"/>
          <w:position w:val="-4"/>
          <w:sz w:val="17"/>
        </w:rPr>
        <w:t> </w:t>
      </w:r>
      <w:r>
        <w:rPr>
          <w:rFonts w:ascii="Cambria Math"/>
          <w:position w:val="-4"/>
          <w:sz w:val="17"/>
        </w:rPr>
        <w:t>  </w:t>
      </w:r>
      <w:r>
        <w:rPr>
          <w:rFonts w:ascii="Cambria Math"/>
          <w:w w:val="339"/>
          <w:sz w:val="24"/>
        </w:rPr>
        <w:t> </w:t>
      </w:r>
      <w:r>
        <w:rPr>
          <w:rFonts w:ascii="Cambria Math"/>
          <w:sz w:val="24"/>
        </w:rPr>
        <w:t>  </w:t>
      </w:r>
      <w:r>
        <w:rPr>
          <w:rFonts w:ascii="Cambria Math"/>
          <w:w w:val="172"/>
          <w:sz w:val="24"/>
        </w:rPr>
        <w:t> </w:t>
      </w:r>
      <w:r>
        <w:rPr>
          <w:rFonts w:ascii="Cambria Math"/>
          <w:w w:val="281"/>
          <w:sz w:val="24"/>
        </w:rPr>
        <w:t> </w:t>
      </w:r>
      <w:r>
        <w:rPr>
          <w:rFonts w:ascii="Cambria Math"/>
          <w:w w:val="200"/>
          <w:position w:val="-4"/>
          <w:sz w:val="17"/>
        </w:rPr>
        <w:t> </w:t>
      </w:r>
      <w:r>
        <w:rPr>
          <w:rFonts w:ascii="Cambria Math"/>
          <w:position w:val="-4"/>
          <w:sz w:val="17"/>
        </w:rPr>
        <w:t>    </w:t>
      </w:r>
      <w:r>
        <w:rPr>
          <w:sz w:val="24"/>
        </w:rPr>
        <w:t>(1.1)</w:t>
      </w:r>
    </w:p>
    <w:p>
      <w:pPr>
        <w:pStyle w:val="BodyText"/>
        <w:spacing w:before="147"/>
        <w:ind w:left="810" w:right="127"/>
        <w:rPr>
          <w:rFonts w:ascii="Cambria Math" w:hAnsi="Cambria Math"/>
        </w:rPr>
      </w:pPr>
      <w:r>
        <w:rPr/>
        <w:t>Los ingresos fiscales totales (    están compuestos por ingresos no petroleros </w:t>
      </w:r>
      <w:r>
        <w:rPr>
          <w:rFonts w:ascii="Cambria Math" w:hAnsi="Cambria Math"/>
          <w:w w:val="188"/>
        </w:rPr>
        <w:t> </w:t>
      </w:r>
      <w:r>
        <w:rPr>
          <w:rFonts w:ascii="Cambria Math" w:hAnsi="Cambria Math"/>
          <w:w w:val="252"/>
        </w:rPr>
        <w:t>  </w:t>
      </w:r>
      <w:r>
        <w:rPr>
          <w:rFonts w:ascii="Cambria Math" w:hAnsi="Cambria Math"/>
          <w:w w:val="281"/>
        </w:rPr>
        <w:t> </w:t>
      </w:r>
      <w:r>
        <w:rPr>
          <w:rFonts w:ascii="Cambria Math" w:hAnsi="Cambria Math"/>
          <w:w w:val="200"/>
          <w:position w:val="-4"/>
          <w:sz w:val="17"/>
        </w:rPr>
        <w:t> </w:t>
      </w:r>
      <w:r>
        <w:rPr>
          <w:rFonts w:ascii="Cambria Math" w:hAnsi="Cambria Math"/>
          <w:w w:val="188"/>
        </w:rPr>
        <w:t> </w:t>
      </w:r>
    </w:p>
    <w:p>
      <w:pPr>
        <w:pStyle w:val="BodyText"/>
        <w:spacing w:before="146"/>
        <w:ind w:left="102" w:right="127"/>
      </w:pPr>
      <w:r>
        <w:rPr/>
        <w:t>e ingresos petroleros         .</w:t>
      </w:r>
    </w:p>
    <w:p>
      <w:pPr>
        <w:spacing w:before="146"/>
        <w:ind w:left="0" w:right="20" w:firstLine="0"/>
        <w:jc w:val="center"/>
        <w:rPr>
          <w:sz w:val="24"/>
        </w:rPr>
      </w:pPr>
      <w:r>
        <w:rPr>
          <w:rFonts w:ascii="Cambria Math"/>
          <w:w w:val="284"/>
          <w:sz w:val="24"/>
        </w:rPr>
        <w:t>  </w:t>
      </w:r>
      <w:r>
        <w:rPr>
          <w:rFonts w:ascii="Cambria Math"/>
          <w:w w:val="200"/>
          <w:position w:val="-4"/>
          <w:sz w:val="17"/>
        </w:rPr>
        <w:t> </w:t>
      </w:r>
      <w:r>
        <w:rPr>
          <w:rFonts w:ascii="Cambria Math"/>
          <w:position w:val="-4"/>
          <w:sz w:val="17"/>
        </w:rPr>
        <w:t>  </w:t>
      </w:r>
      <w:r>
        <w:rPr>
          <w:rFonts w:ascii="Cambria Math"/>
          <w:w w:val="339"/>
          <w:sz w:val="24"/>
        </w:rPr>
        <w:t> </w:t>
      </w:r>
      <w:r>
        <w:rPr>
          <w:rFonts w:ascii="Cambria Math"/>
          <w:sz w:val="24"/>
        </w:rPr>
        <w:t> </w:t>
      </w:r>
      <w:r>
        <w:rPr>
          <w:rFonts w:ascii="Cambria Math"/>
          <w:w w:val="278"/>
          <w:sz w:val="24"/>
        </w:rPr>
        <w:t>  </w:t>
      </w:r>
      <w:r>
        <w:rPr>
          <w:rFonts w:ascii="Cambria Math"/>
          <w:w w:val="179"/>
          <w:sz w:val="24"/>
        </w:rPr>
        <w:t>  </w:t>
      </w:r>
      <w:r>
        <w:rPr>
          <w:rFonts w:ascii="Cambria Math"/>
          <w:w w:val="225"/>
          <w:sz w:val="24"/>
        </w:rPr>
        <w:t> </w:t>
      </w:r>
      <w:r>
        <w:rPr>
          <w:rFonts w:ascii="Cambria Math"/>
          <w:w w:val="200"/>
          <w:position w:val="-4"/>
          <w:sz w:val="17"/>
        </w:rPr>
        <w:t> </w:t>
      </w:r>
      <w:r>
        <w:rPr>
          <w:rFonts w:ascii="Cambria Math"/>
          <w:position w:val="-4"/>
          <w:sz w:val="17"/>
        </w:rPr>
        <w:t>  </w:t>
      </w:r>
      <w:r>
        <w:rPr>
          <w:rFonts w:ascii="Cambria Math"/>
          <w:w w:val="339"/>
          <w:sz w:val="24"/>
        </w:rPr>
        <w:t> </w:t>
      </w:r>
      <w:r>
        <w:rPr>
          <w:rFonts w:ascii="Cambria Math"/>
          <w:sz w:val="24"/>
        </w:rPr>
        <w:t>  </w:t>
      </w:r>
      <w:r>
        <w:rPr>
          <w:rFonts w:ascii="Cambria Math"/>
          <w:w w:val="286"/>
          <w:sz w:val="24"/>
        </w:rPr>
        <w:t> </w:t>
      </w:r>
      <w:r>
        <w:rPr>
          <w:rFonts w:ascii="Cambria Math"/>
          <w:w w:val="271"/>
          <w:sz w:val="24"/>
        </w:rPr>
        <w:t> </w:t>
      </w:r>
      <w:r>
        <w:rPr>
          <w:rFonts w:ascii="Cambria Math"/>
          <w:w w:val="200"/>
          <w:position w:val="-4"/>
          <w:sz w:val="17"/>
        </w:rPr>
        <w:t> </w:t>
      </w:r>
      <w:r>
        <w:rPr>
          <w:rFonts w:ascii="Cambria Math"/>
          <w:position w:val="-4"/>
          <w:sz w:val="17"/>
        </w:rPr>
        <w:t>  </w:t>
      </w:r>
      <w:r>
        <w:rPr>
          <w:rFonts w:ascii="Cambria Math"/>
          <w:w w:val="339"/>
          <w:sz w:val="24"/>
        </w:rPr>
        <w:t> </w:t>
      </w:r>
      <w:r>
        <w:rPr>
          <w:rFonts w:ascii="Cambria Math"/>
          <w:sz w:val="24"/>
        </w:rPr>
        <w:t>  </w:t>
      </w:r>
      <w:r>
        <w:rPr>
          <w:rFonts w:ascii="Cambria Math"/>
          <w:w w:val="188"/>
          <w:sz w:val="24"/>
        </w:rPr>
        <w:t> </w:t>
      </w:r>
      <w:r>
        <w:rPr>
          <w:rFonts w:ascii="Cambria Math"/>
          <w:w w:val="251"/>
          <w:sz w:val="24"/>
        </w:rPr>
        <w:t> </w:t>
      </w:r>
      <w:r>
        <w:rPr>
          <w:rFonts w:ascii="Cambria Math"/>
          <w:sz w:val="24"/>
        </w:rPr>
        <w:t> </w:t>
      </w:r>
      <w:r>
        <w:rPr>
          <w:rFonts w:ascii="Cambria Math"/>
          <w:w w:val="339"/>
          <w:sz w:val="24"/>
        </w:rPr>
        <w:t> </w:t>
      </w:r>
      <w:r>
        <w:rPr>
          <w:rFonts w:ascii="Cambria Math"/>
          <w:sz w:val="24"/>
        </w:rPr>
        <w:t> </w:t>
      </w:r>
      <w:r>
        <w:rPr>
          <w:rFonts w:ascii="Cambria Math"/>
          <w:w w:val="143"/>
          <w:sz w:val="24"/>
        </w:rPr>
        <w:t> </w:t>
      </w:r>
      <w:r>
        <w:rPr>
          <w:rFonts w:ascii="Cambria Math"/>
          <w:w w:val="200"/>
          <w:position w:val="-4"/>
          <w:sz w:val="17"/>
        </w:rPr>
        <w:t> </w:t>
      </w:r>
      <w:r>
        <w:rPr>
          <w:rFonts w:ascii="Cambria Math"/>
          <w:w w:val="188"/>
          <w:sz w:val="24"/>
        </w:rPr>
        <w:t> </w:t>
      </w:r>
      <w:r>
        <w:rPr>
          <w:rFonts w:ascii="Cambria Math"/>
          <w:w w:val="314"/>
          <w:sz w:val="24"/>
        </w:rPr>
        <w:t> </w:t>
      </w:r>
      <w:r>
        <w:rPr>
          <w:rFonts w:ascii="Cambria Math"/>
          <w:w w:val="200"/>
          <w:position w:val="-4"/>
          <w:sz w:val="17"/>
        </w:rPr>
        <w:t> </w:t>
      </w:r>
      <w:r>
        <w:rPr>
          <w:rFonts w:ascii="Cambria Math"/>
          <w:w w:val="331"/>
          <w:position w:val="-4"/>
          <w:sz w:val="17"/>
        </w:rPr>
        <w:t> </w:t>
      </w:r>
      <w:r>
        <w:rPr>
          <w:rFonts w:ascii="Cambria Math"/>
          <w:w w:val="263"/>
          <w:position w:val="-4"/>
          <w:sz w:val="17"/>
        </w:rPr>
        <w:t> </w:t>
      </w:r>
      <w:r>
        <w:rPr>
          <w:rFonts w:ascii="Cambria Math"/>
          <w:position w:val="-4"/>
          <w:sz w:val="17"/>
        </w:rPr>
        <w:t>  </w:t>
      </w:r>
      <w:r>
        <w:rPr>
          <w:sz w:val="24"/>
        </w:rPr>
        <w:t>(1.2)</w:t>
      </w:r>
    </w:p>
    <w:p>
      <w:pPr>
        <w:pStyle w:val="BodyText"/>
        <w:spacing w:line="367" w:lineRule="auto" w:before="146"/>
        <w:ind w:left="102" w:right="120" w:firstLine="707"/>
        <w:jc w:val="both"/>
      </w:pPr>
      <w:r>
        <w:rPr/>
        <w:t>El Gasto público total       incluye los  gastos corrientes        , los   gastos de     capital            y los costos financieros        del servicio de deuda           </w:t>
      </w:r>
      <w:r>
        <w:rPr>
          <w:spacing w:val="25"/>
        </w:rPr>
        <w:t> </w:t>
      </w:r>
      <w:r>
        <w:rPr/>
        <w:t>.</w:t>
      </w:r>
    </w:p>
    <w:p>
      <w:pPr>
        <w:pStyle w:val="BodyText"/>
        <w:ind w:left="810" w:right="127"/>
      </w:pPr>
      <w:r>
        <w:rPr/>
        <w:t>El balance global es la diferencia entre los ingresos y gastos públicos totales:</w:t>
      </w:r>
    </w:p>
    <w:p>
      <w:pPr>
        <w:spacing w:before="141"/>
        <w:ind w:left="0" w:right="19" w:firstLine="0"/>
        <w:jc w:val="center"/>
        <w:rPr>
          <w:sz w:val="24"/>
        </w:rPr>
      </w:pPr>
      <w:r>
        <w:rPr>
          <w:rFonts w:ascii="Cambria Math"/>
          <w:w w:val="291"/>
          <w:sz w:val="24"/>
        </w:rPr>
        <w:t>  </w:t>
      </w:r>
      <w:r>
        <w:rPr>
          <w:rFonts w:ascii="Cambria Math"/>
          <w:w w:val="200"/>
          <w:position w:val="-4"/>
          <w:sz w:val="17"/>
        </w:rPr>
        <w:t> </w:t>
      </w:r>
      <w:r>
        <w:rPr>
          <w:rFonts w:ascii="Cambria Math"/>
          <w:position w:val="-4"/>
          <w:sz w:val="17"/>
        </w:rPr>
        <w:t>  </w:t>
      </w:r>
      <w:r>
        <w:rPr>
          <w:rFonts w:ascii="Cambria Math"/>
          <w:w w:val="339"/>
          <w:sz w:val="24"/>
        </w:rPr>
        <w:t> </w:t>
      </w:r>
      <w:r>
        <w:rPr>
          <w:rFonts w:ascii="Cambria Math"/>
          <w:sz w:val="24"/>
        </w:rPr>
        <w:t> </w:t>
      </w:r>
      <w:r>
        <w:rPr>
          <w:rFonts w:ascii="Cambria Math"/>
          <w:w w:val="172"/>
          <w:sz w:val="24"/>
        </w:rPr>
        <w:t> </w:t>
      </w:r>
      <w:r>
        <w:rPr>
          <w:rFonts w:ascii="Cambria Math"/>
          <w:w w:val="200"/>
          <w:position w:val="-4"/>
          <w:sz w:val="17"/>
        </w:rPr>
        <w:t> </w:t>
      </w:r>
      <w:r>
        <w:rPr>
          <w:rFonts w:ascii="Cambria Math"/>
          <w:position w:val="-4"/>
          <w:sz w:val="17"/>
        </w:rPr>
        <w:t>  </w:t>
      </w:r>
      <w:r>
        <w:rPr>
          <w:rFonts w:ascii="Cambria Math"/>
          <w:w w:val="339"/>
          <w:sz w:val="24"/>
        </w:rPr>
        <w:t> </w:t>
      </w:r>
      <w:r>
        <w:rPr>
          <w:rFonts w:ascii="Cambria Math"/>
          <w:sz w:val="24"/>
        </w:rPr>
        <w:t>  </w:t>
      </w:r>
      <w:r>
        <w:rPr>
          <w:rFonts w:ascii="Cambria Math"/>
          <w:w w:val="284"/>
          <w:sz w:val="24"/>
        </w:rPr>
        <w:t>  </w:t>
      </w:r>
      <w:r>
        <w:rPr>
          <w:rFonts w:ascii="Cambria Math"/>
          <w:w w:val="200"/>
          <w:position w:val="-4"/>
          <w:sz w:val="17"/>
        </w:rPr>
        <w:t> </w:t>
      </w:r>
      <w:r>
        <w:rPr>
          <w:rFonts w:ascii="Cambria Math"/>
          <w:position w:val="-4"/>
          <w:sz w:val="17"/>
        </w:rPr>
        <w:t>  </w:t>
      </w:r>
      <w:r>
        <w:rPr>
          <w:sz w:val="24"/>
        </w:rPr>
        <w:t>(1.3)</w:t>
      </w:r>
    </w:p>
    <w:p>
      <w:pPr>
        <w:pStyle w:val="BodyText"/>
        <w:spacing w:line="360" w:lineRule="auto" w:before="144"/>
        <w:ind w:left="102" w:right="117" w:firstLine="707"/>
        <w:jc w:val="both"/>
      </w:pPr>
      <w:r>
        <w:rPr/>
        <w:t>En la ecuación 1.3 se puede deducir el balance fiscal global no petrolero, excluyéndose el  ingreso petrolero         .del ingreso fiscal total         .:</w:t>
      </w:r>
    </w:p>
    <w:p>
      <w:pPr>
        <w:spacing w:before="13"/>
        <w:ind w:left="100" w:right="0" w:firstLine="0"/>
        <w:jc w:val="center"/>
        <w:rPr>
          <w:sz w:val="24"/>
        </w:rPr>
      </w:pPr>
      <w:r>
        <w:rPr>
          <w:rFonts w:ascii="Cambria Math"/>
          <w:w w:val="297"/>
          <w:sz w:val="24"/>
        </w:rPr>
        <w:t> </w:t>
      </w:r>
      <w:r>
        <w:rPr>
          <w:rFonts w:ascii="Cambria Math"/>
          <w:w w:val="309"/>
          <w:sz w:val="24"/>
        </w:rPr>
        <w:t>  </w:t>
      </w:r>
      <w:r>
        <w:rPr>
          <w:rFonts w:ascii="Cambria Math"/>
          <w:w w:val="281"/>
          <w:sz w:val="24"/>
        </w:rPr>
        <w:t> </w:t>
      </w:r>
      <w:r>
        <w:rPr>
          <w:rFonts w:ascii="Cambria Math"/>
          <w:w w:val="200"/>
          <w:position w:val="-4"/>
          <w:sz w:val="17"/>
        </w:rPr>
        <w:t> </w:t>
      </w:r>
      <w:r>
        <w:rPr>
          <w:rFonts w:ascii="Cambria Math"/>
          <w:position w:val="-4"/>
          <w:sz w:val="17"/>
        </w:rPr>
        <w:t>  </w:t>
      </w:r>
      <w:r>
        <w:rPr>
          <w:rFonts w:ascii="Cambria Math"/>
          <w:w w:val="339"/>
          <w:sz w:val="24"/>
        </w:rPr>
        <w:t> </w:t>
      </w:r>
      <w:r>
        <w:rPr>
          <w:rFonts w:ascii="Cambria Math"/>
          <w:sz w:val="24"/>
        </w:rPr>
        <w:t> </w:t>
      </w:r>
      <w:r>
        <w:rPr>
          <w:rFonts w:ascii="Cambria Math"/>
          <w:w w:val="172"/>
          <w:sz w:val="24"/>
        </w:rPr>
        <w:t> </w:t>
      </w:r>
      <w:r>
        <w:rPr>
          <w:rFonts w:ascii="Cambria Math"/>
          <w:w w:val="200"/>
          <w:position w:val="-4"/>
          <w:sz w:val="17"/>
        </w:rPr>
        <w:t> </w:t>
      </w:r>
      <w:r>
        <w:rPr>
          <w:rFonts w:ascii="Cambria Math"/>
          <w:position w:val="-4"/>
          <w:sz w:val="17"/>
        </w:rPr>
        <w:t>  </w:t>
      </w:r>
      <w:r>
        <w:rPr>
          <w:rFonts w:ascii="Cambria Math"/>
          <w:w w:val="339"/>
          <w:sz w:val="24"/>
        </w:rPr>
        <w:t> </w:t>
      </w:r>
      <w:r>
        <w:rPr>
          <w:rFonts w:ascii="Cambria Math"/>
          <w:sz w:val="24"/>
        </w:rPr>
        <w:t>  </w:t>
      </w:r>
      <w:r>
        <w:rPr>
          <w:rFonts w:ascii="Cambria Math"/>
          <w:w w:val="172"/>
          <w:sz w:val="24"/>
        </w:rPr>
        <w:t> </w:t>
      </w:r>
      <w:r>
        <w:rPr>
          <w:rFonts w:ascii="Cambria Math"/>
          <w:w w:val="281"/>
          <w:sz w:val="24"/>
        </w:rPr>
        <w:t> </w:t>
      </w:r>
      <w:r>
        <w:rPr>
          <w:rFonts w:ascii="Cambria Math"/>
          <w:w w:val="200"/>
          <w:position w:val="-4"/>
          <w:sz w:val="17"/>
        </w:rPr>
        <w:t> </w:t>
      </w:r>
      <w:r>
        <w:rPr>
          <w:rFonts w:ascii="Cambria Math"/>
          <w:position w:val="-4"/>
          <w:sz w:val="17"/>
        </w:rPr>
        <w:t>  </w:t>
      </w:r>
      <w:r>
        <w:rPr>
          <w:rFonts w:ascii="Cambria Math"/>
          <w:w w:val="339"/>
          <w:sz w:val="24"/>
        </w:rPr>
        <w:t> </w:t>
      </w:r>
      <w:r>
        <w:rPr>
          <w:rFonts w:ascii="Cambria Math"/>
          <w:sz w:val="24"/>
        </w:rPr>
        <w:t>  </w:t>
      </w:r>
      <w:r>
        <w:rPr>
          <w:rFonts w:ascii="Cambria Math"/>
          <w:w w:val="284"/>
          <w:sz w:val="24"/>
        </w:rPr>
        <w:t>  </w:t>
      </w:r>
      <w:r>
        <w:rPr>
          <w:rFonts w:ascii="Cambria Math"/>
          <w:w w:val="200"/>
          <w:position w:val="-4"/>
          <w:sz w:val="17"/>
        </w:rPr>
        <w:t> </w:t>
      </w:r>
      <w:r>
        <w:rPr>
          <w:rFonts w:ascii="Cambria Math"/>
          <w:position w:val="-4"/>
          <w:sz w:val="17"/>
        </w:rPr>
        <w:t>     </w:t>
      </w:r>
      <w:r>
        <w:rPr>
          <w:sz w:val="24"/>
        </w:rPr>
        <w:t>(1.4)</w:t>
      </w:r>
    </w:p>
    <w:p>
      <w:pPr>
        <w:pStyle w:val="BodyText"/>
        <w:spacing w:before="144"/>
        <w:ind w:left="810"/>
      </w:pPr>
      <w:r>
        <w:rPr/>
        <w:t>Finalmente, en diversos trabajos de investigación, se suele evaluar el balance   fiscal</w:t>
      </w:r>
    </w:p>
    <w:p>
      <w:pPr>
        <w:pStyle w:val="BodyText"/>
        <w:spacing w:line="364" w:lineRule="auto" w:before="139"/>
        <w:ind w:left="102" w:right="257"/>
      </w:pPr>
      <w:r>
        <w:rPr>
          <w:w w:val="166"/>
        </w:rPr>
        <w:t> </w:t>
      </w:r>
      <w:r>
        <w:rPr>
          <w:spacing w:val="-1"/>
          <w:w w:val="166"/>
        </w:rPr>
        <w:t> </w:t>
      </w:r>
      <w:r>
        <w:rPr>
          <w:w w:val="211"/>
        </w:rPr>
        <w:t>  </w:t>
      </w:r>
      <w:r>
        <w:rPr>
          <w:spacing w:val="-1"/>
          <w:w w:val="177"/>
        </w:rPr>
        <w:t> </w:t>
      </w:r>
      <w:r>
        <w:rPr>
          <w:w w:val="148"/>
        </w:rPr>
        <w:t>   </w:t>
      </w:r>
      <w:r>
        <w:rPr>
          <w:spacing w:val="13"/>
        </w:rPr>
        <w:t> </w:t>
      </w:r>
      <w:r>
        <w:rPr>
          <w:w w:val="85"/>
        </w:rPr>
        <w:t>―           </w:t>
      </w:r>
      <w:r>
        <w:rPr>
          <w:w w:val="130"/>
        </w:rPr>
        <w:t>‖           </w:t>
      </w:r>
      <w:r>
        <w:rPr/>
        <w:t>, es decir, sin contemplar el costo financiero de  la deuda   pública (Daude, et al., 2010; Ossowski, et al., 2008; Villafuerte, et al.,</w:t>
      </w:r>
      <w:r>
        <w:rPr>
          <w:spacing w:val="-12"/>
        </w:rPr>
        <w:t> </w:t>
      </w:r>
      <w:r>
        <w:rPr/>
        <w:t>2011):</w:t>
      </w:r>
    </w:p>
    <w:p>
      <w:pPr>
        <w:pStyle w:val="BodyText"/>
      </w:pPr>
    </w:p>
    <w:p>
      <w:pPr>
        <w:spacing w:before="140"/>
        <w:ind w:left="2101" w:right="127" w:firstLine="0"/>
        <w:jc w:val="left"/>
        <w:rPr>
          <w:sz w:val="24"/>
        </w:rPr>
      </w:pPr>
      <w:r>
        <w:rPr>
          <w:rFonts w:ascii="Cambria Math"/>
          <w:w w:val="297"/>
          <w:sz w:val="24"/>
        </w:rPr>
        <w:t> </w:t>
      </w:r>
      <w:r>
        <w:rPr>
          <w:rFonts w:ascii="Cambria Math"/>
          <w:w w:val="306"/>
          <w:sz w:val="24"/>
        </w:rPr>
        <w:t>  </w:t>
      </w:r>
      <w:r>
        <w:rPr>
          <w:rFonts w:ascii="Cambria Math"/>
          <w:w w:val="281"/>
          <w:sz w:val="24"/>
        </w:rPr>
        <w:t> </w:t>
      </w:r>
      <w:r>
        <w:rPr>
          <w:rFonts w:ascii="Cambria Math"/>
          <w:w w:val="200"/>
          <w:position w:val="-4"/>
          <w:sz w:val="17"/>
        </w:rPr>
        <w:t> </w:t>
      </w:r>
      <w:r>
        <w:rPr>
          <w:rFonts w:ascii="Cambria Math"/>
          <w:position w:val="-4"/>
          <w:sz w:val="17"/>
        </w:rPr>
        <w:t>  </w:t>
      </w:r>
      <w:r>
        <w:rPr>
          <w:rFonts w:ascii="Cambria Math"/>
          <w:w w:val="339"/>
          <w:sz w:val="24"/>
        </w:rPr>
        <w:t> </w:t>
      </w:r>
      <w:r>
        <w:rPr>
          <w:rFonts w:ascii="Cambria Math"/>
          <w:sz w:val="24"/>
        </w:rPr>
        <w:t> </w:t>
      </w:r>
      <w:r>
        <w:rPr>
          <w:rFonts w:ascii="Cambria Math"/>
          <w:w w:val="172"/>
          <w:sz w:val="24"/>
        </w:rPr>
        <w:t> </w:t>
      </w:r>
      <w:r>
        <w:rPr>
          <w:rFonts w:ascii="Cambria Math"/>
          <w:w w:val="200"/>
          <w:position w:val="-4"/>
          <w:sz w:val="17"/>
        </w:rPr>
        <w:t> </w:t>
      </w:r>
      <w:r>
        <w:rPr>
          <w:rFonts w:ascii="Cambria Math"/>
          <w:position w:val="-4"/>
          <w:sz w:val="17"/>
        </w:rPr>
        <w:t>  </w:t>
      </w:r>
      <w:r>
        <w:rPr>
          <w:rFonts w:ascii="Cambria Math"/>
          <w:w w:val="339"/>
          <w:sz w:val="24"/>
        </w:rPr>
        <w:t> </w:t>
      </w:r>
      <w:r>
        <w:rPr>
          <w:rFonts w:ascii="Cambria Math"/>
          <w:sz w:val="24"/>
        </w:rPr>
        <w:t>  </w:t>
      </w:r>
      <w:r>
        <w:rPr>
          <w:rFonts w:ascii="Cambria Math"/>
          <w:w w:val="172"/>
          <w:sz w:val="24"/>
        </w:rPr>
        <w:t> </w:t>
      </w:r>
      <w:r>
        <w:rPr>
          <w:rFonts w:ascii="Cambria Math"/>
          <w:w w:val="281"/>
          <w:sz w:val="24"/>
        </w:rPr>
        <w:t> </w:t>
      </w:r>
      <w:r>
        <w:rPr>
          <w:rFonts w:ascii="Cambria Math"/>
          <w:w w:val="200"/>
          <w:position w:val="-4"/>
          <w:sz w:val="17"/>
        </w:rPr>
        <w:t> </w:t>
      </w:r>
      <w:r>
        <w:rPr>
          <w:rFonts w:ascii="Cambria Math"/>
          <w:position w:val="-4"/>
          <w:sz w:val="17"/>
        </w:rPr>
        <w:t>  </w:t>
      </w:r>
      <w:r>
        <w:rPr>
          <w:rFonts w:ascii="Cambria Math"/>
          <w:w w:val="339"/>
          <w:sz w:val="24"/>
        </w:rPr>
        <w:t> </w:t>
      </w:r>
      <w:r>
        <w:rPr>
          <w:rFonts w:ascii="Cambria Math"/>
          <w:sz w:val="24"/>
        </w:rPr>
        <w:t>  </w:t>
      </w:r>
      <w:r>
        <w:rPr>
          <w:rFonts w:ascii="Cambria Math"/>
          <w:w w:val="188"/>
          <w:sz w:val="24"/>
        </w:rPr>
        <w:t> </w:t>
      </w:r>
      <w:r>
        <w:rPr>
          <w:rFonts w:ascii="Cambria Math"/>
          <w:w w:val="284"/>
          <w:sz w:val="24"/>
        </w:rPr>
        <w:t>  </w:t>
      </w:r>
      <w:r>
        <w:rPr>
          <w:rFonts w:ascii="Cambria Math"/>
          <w:w w:val="200"/>
          <w:position w:val="-4"/>
          <w:sz w:val="17"/>
        </w:rPr>
        <w:t> </w:t>
      </w:r>
      <w:r>
        <w:rPr>
          <w:rFonts w:ascii="Cambria Math"/>
          <w:position w:val="-4"/>
          <w:sz w:val="17"/>
        </w:rPr>
        <w:t>  </w:t>
      </w:r>
      <w:r>
        <w:rPr>
          <w:rFonts w:ascii="Cambria Math"/>
          <w:w w:val="339"/>
          <w:sz w:val="24"/>
        </w:rPr>
        <w:t> </w:t>
      </w:r>
      <w:r>
        <w:rPr>
          <w:rFonts w:ascii="Cambria Math"/>
          <w:sz w:val="24"/>
        </w:rPr>
        <w:t>  </w:t>
      </w:r>
      <w:r>
        <w:rPr>
          <w:rFonts w:ascii="Cambria Math"/>
          <w:w w:val="188"/>
          <w:position w:val="1"/>
          <w:sz w:val="24"/>
        </w:rPr>
        <w:t> </w:t>
      </w:r>
      <w:r>
        <w:rPr>
          <w:rFonts w:ascii="Cambria Math"/>
          <w:w w:val="251"/>
          <w:sz w:val="24"/>
        </w:rPr>
        <w:t> </w:t>
      </w:r>
      <w:r>
        <w:rPr>
          <w:rFonts w:ascii="Cambria Math"/>
          <w:sz w:val="24"/>
        </w:rPr>
        <w:t> </w:t>
      </w:r>
      <w:r>
        <w:rPr>
          <w:rFonts w:ascii="Cambria Math"/>
          <w:w w:val="339"/>
          <w:sz w:val="24"/>
        </w:rPr>
        <w:t> </w:t>
      </w:r>
      <w:r>
        <w:rPr>
          <w:rFonts w:ascii="Cambria Math"/>
          <w:sz w:val="24"/>
        </w:rPr>
        <w:t> </w:t>
      </w:r>
      <w:r>
        <w:rPr>
          <w:rFonts w:ascii="Cambria Math"/>
          <w:w w:val="143"/>
          <w:sz w:val="24"/>
        </w:rPr>
        <w:t> </w:t>
      </w:r>
      <w:r>
        <w:rPr>
          <w:rFonts w:ascii="Cambria Math"/>
          <w:w w:val="200"/>
          <w:position w:val="-4"/>
          <w:sz w:val="17"/>
        </w:rPr>
        <w:t> </w:t>
      </w:r>
      <w:r>
        <w:rPr>
          <w:rFonts w:ascii="Cambria Math"/>
          <w:w w:val="188"/>
          <w:position w:val="1"/>
          <w:sz w:val="24"/>
        </w:rPr>
        <w:t> </w:t>
      </w:r>
      <w:r>
        <w:rPr>
          <w:rFonts w:ascii="Cambria Math"/>
          <w:w w:val="314"/>
          <w:sz w:val="24"/>
        </w:rPr>
        <w:t> </w:t>
      </w:r>
      <w:r>
        <w:rPr>
          <w:rFonts w:ascii="Cambria Math"/>
          <w:w w:val="200"/>
          <w:position w:val="-4"/>
          <w:sz w:val="17"/>
        </w:rPr>
        <w:t> </w:t>
      </w:r>
      <w:r>
        <w:rPr>
          <w:rFonts w:ascii="Cambria Math"/>
          <w:w w:val="331"/>
          <w:position w:val="-4"/>
          <w:sz w:val="17"/>
        </w:rPr>
        <w:t> </w:t>
      </w:r>
      <w:r>
        <w:rPr>
          <w:rFonts w:ascii="Cambria Math"/>
          <w:w w:val="263"/>
          <w:position w:val="-4"/>
          <w:sz w:val="17"/>
        </w:rPr>
        <w:t> </w:t>
      </w:r>
      <w:r>
        <w:rPr>
          <w:rFonts w:ascii="Cambria Math"/>
          <w:w w:val="188"/>
          <w:sz w:val="24"/>
        </w:rPr>
        <w:t> </w:t>
      </w:r>
      <w:r>
        <w:rPr>
          <w:rFonts w:ascii="Cambria Math"/>
          <w:sz w:val="24"/>
        </w:rPr>
        <w:t>   </w:t>
      </w:r>
      <w:r>
        <w:rPr>
          <w:sz w:val="24"/>
        </w:rPr>
        <w:t>(1.5)</w:t>
      </w:r>
    </w:p>
    <w:p>
      <w:pPr>
        <w:pStyle w:val="BodyText"/>
        <w:rPr>
          <w:sz w:val="28"/>
        </w:rPr>
      </w:pPr>
    </w:p>
    <w:p>
      <w:pPr>
        <w:pStyle w:val="BodyText"/>
        <w:spacing w:before="238"/>
        <w:ind w:left="810" w:right="127"/>
      </w:pPr>
      <w:r>
        <w:rPr/>
        <w:t>La ecuación 1.5. puede ser expresada en términos del PIB (Y):</w:t>
      </w:r>
    </w:p>
    <w:p>
      <w:pPr>
        <w:pStyle w:val="BodyText"/>
      </w:pPr>
    </w:p>
    <w:p>
      <w:pPr>
        <w:pStyle w:val="BodyText"/>
        <w:spacing w:before="4"/>
        <w:rPr>
          <w:sz w:val="30"/>
        </w:rPr>
      </w:pPr>
    </w:p>
    <w:p>
      <w:pPr>
        <w:spacing w:before="0"/>
        <w:ind w:left="0" w:right="20" w:firstLine="0"/>
        <w:jc w:val="center"/>
        <w:rPr>
          <w:sz w:val="24"/>
        </w:rPr>
      </w:pPr>
      <w:r>
        <w:rPr/>
        <w:pict>
          <v:line style="position:absolute;mso-position-horizontal-relative:page;mso-position-vertical-relative:paragraph;z-index:-570736" from="298.730011pt,8.062332pt" to="312.890011pt,8.062332pt" stroked="true" strokeweight=".84003pt" strokecolor="#000000">
            <w10:wrap type="none"/>
          </v:line>
        </w:pict>
      </w:r>
      <w:r>
        <w:rPr/>
        <w:pict>
          <v:line style="position:absolute;mso-position-horizontal-relative:page;mso-position-vertical-relative:paragraph;z-index:-570712" from="327.170013pt,8.062332pt" to="370.634013pt,8.062332pt" stroked="true" strokeweight=".84003pt" strokecolor="#000000">
            <w10:wrap type="none"/>
          </v:line>
        </w:pict>
      </w:r>
      <w:r>
        <w:rPr>
          <w:w w:val="100"/>
          <w:sz w:val="17"/>
          <w:u w:val="single"/>
        </w:rPr>
        <w:t> </w:t>
      </w:r>
      <w:r>
        <w:rPr>
          <w:rFonts w:ascii="Cambria Math"/>
          <w:w w:val="301"/>
          <w:sz w:val="17"/>
          <w:u w:val="single"/>
        </w:rPr>
        <w:t>  </w:t>
      </w:r>
      <w:r>
        <w:rPr>
          <w:rFonts w:ascii="Cambria Math"/>
          <w:w w:val="344"/>
          <w:sz w:val="17"/>
          <w:u w:val="single"/>
        </w:rPr>
        <w:t> </w:t>
      </w:r>
      <w:r>
        <w:rPr>
          <w:rFonts w:ascii="Cambria Math"/>
          <w:w w:val="294"/>
          <w:sz w:val="17"/>
          <w:u w:val="single"/>
        </w:rPr>
        <w:t> </w:t>
      </w:r>
      <w:r>
        <w:rPr>
          <w:rFonts w:ascii="Cambria Math"/>
          <w:w w:val="213"/>
          <w:position w:val="-2"/>
          <w:sz w:val="14"/>
          <w:u w:val="single"/>
        </w:rPr>
        <w:t> </w:t>
      </w:r>
      <w:r>
        <w:rPr>
          <w:rFonts w:ascii="Cambria Math"/>
          <w:position w:val="-2"/>
          <w:sz w:val="14"/>
        </w:rPr>
        <w:t>  </w:t>
      </w:r>
      <w:r>
        <w:rPr>
          <w:rFonts w:ascii="Cambria Math"/>
          <w:w w:val="339"/>
          <w:position w:val="-13"/>
          <w:sz w:val="24"/>
        </w:rPr>
        <w:t> </w:t>
      </w:r>
      <w:r>
        <w:rPr>
          <w:rFonts w:ascii="Cambria Math"/>
          <w:position w:val="-13"/>
          <w:sz w:val="24"/>
        </w:rPr>
        <w:t> </w:t>
      </w:r>
      <w:r>
        <w:rPr>
          <w:w w:val="100"/>
          <w:sz w:val="17"/>
          <w:u w:val="single"/>
        </w:rPr>
        <w:t> </w:t>
      </w:r>
      <w:r>
        <w:rPr>
          <w:rFonts w:ascii="Cambria Math"/>
          <w:w w:val="177"/>
          <w:sz w:val="17"/>
          <w:u w:val="single"/>
        </w:rPr>
        <w:t> </w:t>
      </w:r>
      <w:r>
        <w:rPr>
          <w:rFonts w:ascii="Cambria Math"/>
          <w:w w:val="213"/>
          <w:position w:val="-2"/>
          <w:sz w:val="14"/>
          <w:u w:val="single"/>
        </w:rPr>
        <w:t> </w:t>
      </w:r>
      <w:r>
        <w:rPr>
          <w:rFonts w:ascii="Cambria Math"/>
          <w:position w:val="-2"/>
          <w:sz w:val="14"/>
        </w:rPr>
        <w:t>  </w:t>
      </w:r>
      <w:r>
        <w:rPr>
          <w:rFonts w:ascii="Cambria Math"/>
          <w:w w:val="339"/>
          <w:position w:val="-13"/>
          <w:sz w:val="24"/>
        </w:rPr>
        <w:t> </w:t>
      </w:r>
      <w:r>
        <w:rPr>
          <w:rFonts w:ascii="Cambria Math"/>
          <w:position w:val="-13"/>
          <w:sz w:val="24"/>
        </w:rPr>
        <w:t> </w:t>
      </w:r>
      <w:r>
        <w:rPr>
          <w:w w:val="100"/>
          <w:sz w:val="17"/>
          <w:u w:val="single"/>
        </w:rPr>
        <w:t> </w:t>
      </w:r>
      <w:r>
        <w:rPr>
          <w:rFonts w:ascii="Cambria Math"/>
          <w:w w:val="236"/>
          <w:sz w:val="17"/>
          <w:u w:val="single"/>
        </w:rPr>
        <w:t>  </w:t>
      </w:r>
      <w:r>
        <w:rPr>
          <w:rFonts w:ascii="Cambria Math"/>
          <w:w w:val="213"/>
          <w:position w:val="-2"/>
          <w:sz w:val="14"/>
          <w:u w:val="single"/>
        </w:rPr>
        <w:t> </w:t>
      </w:r>
      <w:r>
        <w:rPr>
          <w:rFonts w:ascii="Cambria Math"/>
          <w:position w:val="-2"/>
          <w:sz w:val="14"/>
        </w:rPr>
        <w:t>  </w:t>
      </w:r>
      <w:r>
        <w:rPr>
          <w:rFonts w:ascii="Cambria Math"/>
          <w:w w:val="339"/>
          <w:position w:val="-13"/>
          <w:sz w:val="24"/>
        </w:rPr>
        <w:t> </w:t>
      </w:r>
      <w:r>
        <w:rPr>
          <w:rFonts w:ascii="Cambria Math"/>
          <w:position w:val="-13"/>
          <w:sz w:val="24"/>
        </w:rPr>
        <w:t> </w:t>
      </w:r>
      <w:r>
        <w:rPr>
          <w:rFonts w:ascii="Cambria Math"/>
          <w:w w:val="110"/>
          <w:position w:val="-13"/>
          <w:sz w:val="24"/>
        </w:rPr>
        <w:t>(                        )   </w:t>
      </w:r>
      <w:r>
        <w:rPr>
          <w:w w:val="110"/>
          <w:position w:val="-13"/>
          <w:sz w:val="24"/>
        </w:rPr>
        <w:t>(1.6)</w:t>
      </w:r>
    </w:p>
    <w:p>
      <w:pPr>
        <w:pStyle w:val="BodyText"/>
        <w:rPr>
          <w:sz w:val="32"/>
        </w:rPr>
      </w:pPr>
    </w:p>
    <w:p>
      <w:pPr>
        <w:pStyle w:val="BodyText"/>
        <w:spacing w:before="2"/>
        <w:rPr>
          <w:sz w:val="25"/>
        </w:rPr>
      </w:pPr>
    </w:p>
    <w:p>
      <w:pPr>
        <w:pStyle w:val="BodyText"/>
        <w:spacing w:line="360" w:lineRule="auto"/>
        <w:ind w:left="102" w:right="116" w:firstLine="707"/>
        <w:jc w:val="both"/>
      </w:pPr>
      <w:r>
        <w:rPr/>
        <w:t>En consecuencia, un deterioro progresivo del balance primario no petrolero, reflejaría una política fiscal expansiva, ya sea mediante el incremento del gasto público o a través de una disminución en la contribución de los ingresos públicos no petroleros. De</w:t>
      </w:r>
    </w:p>
    <w:p>
      <w:pPr>
        <w:spacing w:after="0" w:line="360" w:lineRule="auto"/>
        <w:jc w:val="both"/>
        <w:sectPr>
          <w:pgSz w:w="12250" w:h="15850"/>
          <w:pgMar w:header="0" w:footer="1037" w:top="1360" w:bottom="1220" w:left="1600" w:right="1580"/>
        </w:sectPr>
      </w:pPr>
    </w:p>
    <w:p>
      <w:pPr>
        <w:pStyle w:val="BodyText"/>
        <w:spacing w:line="360" w:lineRule="auto" w:before="50"/>
        <w:ind w:left="122" w:right="116"/>
        <w:jc w:val="both"/>
      </w:pPr>
      <w:r>
        <w:rPr/>
        <w:t>forma contraria, al mantener constante el balance primario no petrolero mostraría un elemento de sostenibilidad fiscal, más aún considerándose una reducción de la deuda pública. Por tanto, la trayectoria del balance primario no petrolero es un mecanismo clave para la dirección de la sostenibilidad fiscal (en el largo plazo).</w:t>
      </w:r>
    </w:p>
    <w:p>
      <w:pPr>
        <w:pStyle w:val="BodyText"/>
        <w:spacing w:line="350" w:lineRule="auto" w:before="6"/>
        <w:ind w:left="122" w:right="115" w:firstLine="707"/>
        <w:jc w:val="both"/>
      </w:pPr>
      <w:r>
        <w:rPr/>
        <w:t>La sostenibilidad fiscal (también llamada sustentabilidad fiscal) es el equilibrio de las finanzas públicas, en términos de los resultados fiscales (ingresos</w:t>
      </w:r>
      <w:r>
        <w:rPr>
          <w:position w:val="11"/>
          <w:sz w:val="16"/>
        </w:rPr>
        <w:t>11  </w:t>
      </w:r>
      <w:r>
        <w:rPr/>
        <w:t>y gastos públicos),  el costo financiero de la deuda y el nivel endeudamiento público, considerando su relación estable en el largo plazo (Ucal &amp; Alici, 2010; Afonso &amp; Rault, 2010; Navajas, et al., </w:t>
      </w:r>
      <w:r>
        <w:rPr>
          <w:spacing w:val="54"/>
        </w:rPr>
        <w:t> </w:t>
      </w:r>
      <w:r>
        <w:rPr/>
        <w:t>2008;</w:t>
      </w:r>
    </w:p>
    <w:p>
      <w:pPr>
        <w:pStyle w:val="BodyText"/>
        <w:spacing w:before="17"/>
        <w:ind w:left="122"/>
        <w:jc w:val="both"/>
      </w:pPr>
      <w:r>
        <w:rPr/>
        <w:t>Hamilton &amp; Flavin, 1986).</w:t>
      </w:r>
    </w:p>
    <w:p>
      <w:pPr>
        <w:pStyle w:val="BodyText"/>
        <w:spacing w:line="360" w:lineRule="auto" w:before="137"/>
        <w:ind w:left="122" w:right="118" w:firstLine="707"/>
        <w:jc w:val="both"/>
      </w:pPr>
      <w:r>
        <w:rPr/>
        <w:t>La condición de relación de largo plazo evalúa las restricciones de presupuestos fiscales, por tanto, los gobiernos pueden financiarse, </w:t>
      </w:r>
      <w:r>
        <w:rPr>
          <w:spacing w:val="-3"/>
        </w:rPr>
        <w:t>ya </w:t>
      </w:r>
      <w:r>
        <w:rPr/>
        <w:t>sea a través de ingresos propios o mediante endeudamiento público. Adicionalmente, la restricción fiscal involucra políticas públicas actuales y futuras, de no ser así, la política fiscal sería insostenible en el tiempo y la insolvencia del gobierno sería lo más probable. Por consiguiente, la sostenibilidad fiscal está asociada con la capacidad de los gobiernos para mantener la solvencia y pagar la deuda soberana de forma perpetua sin ninguna cesación de pagos (Abdullah, et al.,</w:t>
      </w:r>
      <w:r>
        <w:rPr>
          <w:spacing w:val="-8"/>
        </w:rPr>
        <w:t> </w:t>
      </w:r>
      <w:r>
        <w:rPr/>
        <w:t>2012).</w:t>
      </w:r>
    </w:p>
    <w:p>
      <w:pPr>
        <w:pStyle w:val="BodyText"/>
        <w:spacing w:line="360" w:lineRule="auto" w:before="6"/>
        <w:ind w:left="122" w:right="120" w:firstLine="707"/>
        <w:jc w:val="both"/>
      </w:pPr>
      <w:r>
        <w:rPr/>
        <w:t>La restricción presupuestaria se presenta en el financiamiento del déficit fiscal, al menos que exista un mecanismo de financiamiento libre de interés, de la misma manera, la sostenibilidad fiscal viene del concepto por el cual el valor presente del endeudamiento público es equivalente al valor presente de los superávits esperados en el tiempo (Berenguer-Rico &amp; Carrion-i-Silvestre, 2011).</w:t>
      </w:r>
    </w:p>
    <w:p>
      <w:pPr>
        <w:pStyle w:val="BodyText"/>
        <w:spacing w:line="360" w:lineRule="auto" w:before="4"/>
        <w:ind w:left="122" w:right="117" w:firstLine="707"/>
        <w:jc w:val="both"/>
      </w:pPr>
      <w:r>
        <w:rPr/>
        <w:t>En suma, sintetizando en una sola definición, la sostenibilidad fiscal analiza el manejo de las finanzas públicas en niveles adecuados de resultado fiscal y del nivel de endeudamiento  público,  considerando  su  equilibrio  en  el  largo  plazo,  por  lo  cual  los</w:t>
      </w:r>
    </w:p>
    <w:p>
      <w:pPr>
        <w:pStyle w:val="BodyText"/>
        <w:rPr>
          <w:sz w:val="20"/>
        </w:rPr>
      </w:pPr>
    </w:p>
    <w:p>
      <w:pPr>
        <w:pStyle w:val="BodyText"/>
        <w:spacing w:before="10"/>
        <w:rPr>
          <w:sz w:val="26"/>
        </w:rPr>
      </w:pPr>
      <w:r>
        <w:rPr/>
        <w:pict>
          <v:line style="position:absolute;mso-position-horizontal-relative:page;mso-position-vertical-relative:paragraph;z-index:1432;mso-wrap-distance-left:0;mso-wrap-distance-right:0" from="85.103996pt,17.720722pt" to="229.123996pt,17.720722pt" stroked="true" strokeweight=".60004pt" strokecolor="#000000">
            <w10:wrap type="topAndBottom"/>
          </v:line>
        </w:pict>
      </w:r>
    </w:p>
    <w:p>
      <w:pPr>
        <w:spacing w:line="276" w:lineRule="auto" w:before="52"/>
        <w:ind w:left="122" w:right="119" w:firstLine="0"/>
        <w:jc w:val="both"/>
        <w:rPr>
          <w:sz w:val="20"/>
        </w:rPr>
      </w:pPr>
      <w:r>
        <w:rPr>
          <w:position w:val="9"/>
          <w:sz w:val="13"/>
        </w:rPr>
        <w:t>11 </w:t>
      </w:r>
      <w:r>
        <w:rPr>
          <w:sz w:val="20"/>
        </w:rPr>
        <w:t>Conjunto de entradas y recaudaciones del Gobierno provenientes: (i) vía impuestos; (ii) vía cobros de  bienes y servicios públicos; (iii) vía las rentas derivadas de la propiedad de activos; y (iv) mediante transferencias voluntarias recibidas y/o impuestas de terceros. Los ingresos públicos son clasificados en </w:t>
      </w:r>
      <w:r>
        <w:rPr>
          <w:i/>
          <w:sz w:val="20"/>
        </w:rPr>
        <w:t>corriente </w:t>
      </w:r>
      <w:r>
        <w:rPr>
          <w:sz w:val="20"/>
        </w:rPr>
        <w:t>y </w:t>
      </w:r>
      <w:r>
        <w:rPr>
          <w:i/>
          <w:sz w:val="20"/>
        </w:rPr>
        <w:t>de capital</w:t>
      </w:r>
      <w:r>
        <w:rPr>
          <w:sz w:val="20"/>
        </w:rPr>
        <w:t>. El primer tipo de ingreso corresponde a los cuales que se perciben de forma continua, en cada periodo fiscal, y que en la presupuestación deben respaldar los gastos corrientes. Los </w:t>
      </w:r>
      <w:r>
        <w:rPr>
          <w:i/>
          <w:sz w:val="20"/>
        </w:rPr>
        <w:t>ingresos </w:t>
      </w:r>
      <w:r>
        <w:rPr>
          <w:i/>
          <w:sz w:val="20"/>
        </w:rPr>
        <w:t>corrientes </w:t>
      </w:r>
      <w:r>
        <w:rPr>
          <w:sz w:val="20"/>
        </w:rPr>
        <w:t>se componen de </w:t>
      </w:r>
      <w:r>
        <w:rPr>
          <w:i/>
          <w:sz w:val="20"/>
        </w:rPr>
        <w:t>ingresos tributarios </w:t>
      </w:r>
      <w:r>
        <w:rPr>
          <w:sz w:val="20"/>
        </w:rPr>
        <w:t>[derivados de </w:t>
      </w:r>
      <w:r>
        <w:rPr>
          <w:i/>
          <w:sz w:val="20"/>
        </w:rPr>
        <w:t>impuestos directos </w:t>
      </w:r>
      <w:r>
        <w:rPr>
          <w:sz w:val="20"/>
        </w:rPr>
        <w:t>e </w:t>
      </w:r>
      <w:r>
        <w:rPr>
          <w:i/>
          <w:sz w:val="20"/>
        </w:rPr>
        <w:t>indirectos</w:t>
      </w:r>
      <w:r>
        <w:rPr>
          <w:sz w:val="20"/>
        </w:rPr>
        <w:t>] y </w:t>
      </w:r>
      <w:r>
        <w:rPr>
          <w:i/>
          <w:sz w:val="20"/>
        </w:rPr>
        <w:t>no tributarios </w:t>
      </w:r>
      <w:r>
        <w:rPr>
          <w:sz w:val="20"/>
        </w:rPr>
        <w:t>[ingresos que tienen contraprestación o provenientes de entidades públicas]. Paralelamente, los </w:t>
      </w:r>
      <w:r>
        <w:rPr>
          <w:i/>
          <w:sz w:val="20"/>
        </w:rPr>
        <w:t>ingresos de </w:t>
      </w:r>
      <w:r>
        <w:rPr>
          <w:i/>
          <w:sz w:val="20"/>
        </w:rPr>
        <w:t>capital </w:t>
      </w:r>
      <w:r>
        <w:rPr>
          <w:sz w:val="20"/>
        </w:rPr>
        <w:t>provienen de la realización del Patrimonio del Estado, así como las rentas que percibe (Larraín &amp; Sachs, 2002; Amieva,</w:t>
      </w:r>
      <w:r>
        <w:rPr>
          <w:spacing w:val="-2"/>
          <w:sz w:val="20"/>
        </w:rPr>
        <w:t> </w:t>
      </w:r>
      <w:r>
        <w:rPr>
          <w:sz w:val="20"/>
        </w:rPr>
        <w:t>2004).</w:t>
      </w:r>
    </w:p>
    <w:p>
      <w:pPr>
        <w:spacing w:after="0" w:line="276" w:lineRule="auto"/>
        <w:jc w:val="both"/>
        <w:rPr>
          <w:sz w:val="20"/>
        </w:rPr>
        <w:sectPr>
          <w:pgSz w:w="12250" w:h="15850"/>
          <w:pgMar w:header="0" w:footer="1037" w:top="1360" w:bottom="1220" w:left="1580" w:right="1580"/>
        </w:sectPr>
      </w:pPr>
    </w:p>
    <w:p>
      <w:pPr>
        <w:pStyle w:val="BodyText"/>
        <w:spacing w:line="360" w:lineRule="auto" w:before="50"/>
        <w:ind w:left="102"/>
      </w:pPr>
      <w:r>
        <w:rPr/>
        <w:t>gobiernos deben mantener una solvencia que les permita pagar la deuda soberana, de forma indefinida, controlando el riesgo de entrar en cesación de pagos (Hamilton &amp; Flavin, 1986).</w:t>
      </w:r>
    </w:p>
    <w:p>
      <w:pPr>
        <w:pStyle w:val="BodyText"/>
        <w:spacing w:before="7"/>
        <w:rPr>
          <w:sz w:val="21"/>
        </w:rPr>
      </w:pPr>
    </w:p>
    <w:p>
      <w:pPr>
        <w:pStyle w:val="Heading4"/>
        <w:numPr>
          <w:ilvl w:val="2"/>
          <w:numId w:val="8"/>
        </w:numPr>
        <w:tabs>
          <w:tab w:pos="963" w:val="left" w:leader="none"/>
          <w:tab w:pos="964" w:val="left" w:leader="none"/>
        </w:tabs>
        <w:spacing w:line="240" w:lineRule="auto" w:before="0" w:after="0"/>
        <w:ind w:left="963" w:right="0" w:hanging="720"/>
        <w:jc w:val="left"/>
      </w:pPr>
      <w:bookmarkStart w:name="_bookmark3" w:id="5"/>
      <w:bookmarkEnd w:id="5"/>
      <w:r>
        <w:rPr>
          <w:b w:val="0"/>
        </w:rPr>
      </w:r>
      <w:bookmarkStart w:name="_bookmark3" w:id="6"/>
      <w:bookmarkEnd w:id="6"/>
      <w:r>
        <w:rPr/>
        <w:t>Di</w:t>
      </w:r>
      <w:r>
        <w:rPr/>
        <w:t>ferenciación entre la posición y  sostenibilidad</w:t>
      </w:r>
      <w:r>
        <w:rPr>
          <w:spacing w:val="-13"/>
        </w:rPr>
        <w:t> </w:t>
      </w:r>
      <w:r>
        <w:rPr/>
        <w:t>Fiscal</w:t>
      </w:r>
    </w:p>
    <w:p>
      <w:pPr>
        <w:pStyle w:val="BodyText"/>
        <w:rPr>
          <w:b/>
        </w:rPr>
      </w:pPr>
    </w:p>
    <w:p>
      <w:pPr>
        <w:pStyle w:val="BodyText"/>
        <w:spacing w:line="360" w:lineRule="auto" w:before="194"/>
        <w:ind w:left="102" w:right="117" w:firstLine="707"/>
        <w:jc w:val="both"/>
      </w:pPr>
      <w:r>
        <w:rPr/>
        <w:t>Por lo mencionado anteriormente, se hace necesario la evaluación de la posición fiscal, al establecer indicadores que permitan cuantificar el desempeño de las finanzas públicas en el corto y mediano plazo, generalmente basado en dos instrumentos de medición: el balance fiscal (Medas &amp; Zakharova, 2009; Villafuerte &amp; López, 2010) y la deuda pública (FMI, 2010; Polito &amp; Wickens, 2011; 2012).</w:t>
      </w:r>
    </w:p>
    <w:p>
      <w:pPr>
        <w:pStyle w:val="BodyText"/>
        <w:spacing w:line="360" w:lineRule="auto" w:before="6"/>
        <w:ind w:left="102" w:right="115" w:firstLine="707"/>
        <w:jc w:val="both"/>
      </w:pPr>
      <w:r>
        <w:rPr/>
        <w:t>Es necesario diferenciar el análisis para países que posean una alta dependencia de un recurso natural [mayor o igual al 20% de los ingresos públicos (Baunsgaard, et al., 2012)]; en consecuencia, países exportadores de petróleo necesitan indicadores fiscales, no sólo fundados en el balance fiscal, sino en la complementariedad de balances fiscales no petroleros (Ossowski, et al., 2008; Collier, et al., 2009; Villafuerte, et al., 2011; Maliszewski, 2009). La posición fiscal se fundamenta en el hecho que una alta dependencia de ingresos provenientes de recursos naturales ha evidenciado efectos permanentes en el incremento de los gastos públicos en economías latinoamericanas (Medina, 2010).</w:t>
      </w:r>
    </w:p>
    <w:p>
      <w:pPr>
        <w:pStyle w:val="BodyText"/>
        <w:spacing w:line="360" w:lineRule="auto" w:before="6"/>
        <w:ind w:left="102" w:right="118" w:firstLine="707"/>
        <w:jc w:val="both"/>
      </w:pPr>
      <w:r>
        <w:rPr/>
        <w:t>La diferencia principal entre posición y sostenibilidad fiscal se relaciona con la unidad temporal de análisis. En primer lugar, la posición fiscal implica indicadores y reglas fiscales que evalúen el desempeño de las finanzas públicas en el corto y mediano plazo. En segundo lugar, la sostenibilidad fiscal permite apreciar la perspectiva de largo plazo entre el balance fiscal y la deuda pública en comparación con la trayectoria de agotamiento de un recurso natural (Baunsgaard, et al., 2012).</w:t>
      </w:r>
    </w:p>
    <w:p>
      <w:pPr>
        <w:pStyle w:val="BodyText"/>
        <w:spacing w:line="360" w:lineRule="auto" w:before="7"/>
        <w:ind w:left="102" w:right="115" w:firstLine="707"/>
        <w:jc w:val="both"/>
      </w:pPr>
      <w:r>
        <w:rPr/>
        <w:t>No obstante, es posible inferir que la consideración de criterios de largo plazo (sostenibilidad fiscal) se asume como una condición suficiente y necesaria para la determinación de indicadores de corto y mediano plazo (posición fiscal), dicho de otra forma, para que exista sostenibilidad en el largo plazo, las finanzas públicas deben ser direccionadas con principios de asignación de ingresos fiscales al gasto público para el  corto y mediano plazo, cuya discusión es el objetivo de esta</w:t>
      </w:r>
      <w:r>
        <w:rPr>
          <w:spacing w:val="-12"/>
        </w:rPr>
        <w:t> </w:t>
      </w:r>
      <w:r>
        <w:rPr/>
        <w:t>investigación.</w:t>
      </w:r>
    </w:p>
    <w:p>
      <w:pPr>
        <w:pStyle w:val="BodyText"/>
        <w:spacing w:line="362" w:lineRule="auto" w:before="4"/>
        <w:ind w:left="102" w:right="121" w:firstLine="707"/>
        <w:jc w:val="both"/>
      </w:pPr>
      <w:r>
        <w:rPr/>
        <w:t>La importancia de la sostenibilidad fiscal se relaciona con el equilibrio macroeconómico de un país, lo cual significa lograr estabilidad en los precios internos,</w:t>
      </w:r>
    </w:p>
    <w:p>
      <w:pPr>
        <w:spacing w:after="0" w:line="362" w:lineRule="auto"/>
        <w:jc w:val="both"/>
        <w:sectPr>
          <w:pgSz w:w="12250" w:h="15850"/>
          <w:pgMar w:header="0" w:footer="1037" w:top="1360" w:bottom="1220" w:left="1600" w:right="1580"/>
        </w:sectPr>
      </w:pPr>
    </w:p>
    <w:p>
      <w:pPr>
        <w:pStyle w:val="BodyText"/>
        <w:spacing w:line="360" w:lineRule="auto" w:before="50"/>
        <w:ind w:left="122" w:right="117"/>
        <w:jc w:val="both"/>
      </w:pPr>
      <w:r>
        <w:rPr/>
        <w:t>tipos de cambios menos volátiles, tasas de interés que permitan un crecimiento adecuado de la inversión privada, y por ende niveles sostenidos de crecimiento del producto nacional,  así como también moderadas tasas de desempleo (Amieva, 2004). Carlstrom &amp; Fuerst (2000) formularon la teoría fiscal del nivel de precios, la cual vincula el desempeño de la política fiscal con su impacto en la inflación. Aunque, es evidente que el nivel de precios de la economía está determinado por la interdependencia de la política fiscal y monetaria. Al mismo tiempo, su relevancia, se fundamenta en comprender los requerimientos de  solvencia y directrices políticas que permitan la continuidad en el pago de la deuda pública (Izquierdo &amp; Panizza,</w:t>
      </w:r>
      <w:r>
        <w:rPr>
          <w:spacing w:val="-6"/>
        </w:rPr>
        <w:t> </w:t>
      </w:r>
      <w:r>
        <w:rPr/>
        <w:t>2004).</w:t>
      </w:r>
    </w:p>
    <w:p>
      <w:pPr>
        <w:pStyle w:val="BodyText"/>
        <w:spacing w:line="280" w:lineRule="exact"/>
        <w:ind w:left="122" w:firstLine="707"/>
        <w:jc w:val="both"/>
      </w:pPr>
      <w:r>
        <w:rPr/>
        <w:t>La  teoría  económica  relaciona  el  manejo  del  gasto  público</w:t>
      </w:r>
      <w:r>
        <w:rPr>
          <w:position w:val="11"/>
          <w:sz w:val="16"/>
        </w:rPr>
        <w:t>12   </w:t>
      </w:r>
      <w:r>
        <w:rPr/>
        <w:t>con  el    nivel </w:t>
      </w:r>
      <w:r>
        <w:rPr>
          <w:spacing w:val="57"/>
        </w:rPr>
        <w:t> </w:t>
      </w:r>
      <w:r>
        <w:rPr/>
        <w:t>de</w:t>
      </w:r>
    </w:p>
    <w:p>
      <w:pPr>
        <w:pStyle w:val="BodyText"/>
        <w:spacing w:line="360" w:lineRule="auto" w:before="139"/>
        <w:ind w:left="122" w:right="121"/>
        <w:jc w:val="both"/>
      </w:pPr>
      <w:r>
        <w:rPr/>
        <w:t>desarrollo de las naciones, ya sea en términos de crecimiento, estancamiento o contracción del bienestar social. Adicionalmente, el manejo racional de la política fiscal es uno de los principios macroeconómicos más importante, basado en la utilización de instrumentos de gastos públicos, impuestos y administración de deuda para lograr ciertos equilibrios macroeconómicos (Stiglitz, 2000). Frente a ello, los gobiernos no pueden acumular indefinidamente endeudamiento público acompañado de déficits fiscales permanentes. En consecuencia, la política fiscal se enfrenta a una restricción intertemporal, la cual restringe los requerimientos de objetivos de la política macroeconómica (Pierre &amp; Montiel, 2000).</w:t>
      </w:r>
    </w:p>
    <w:p>
      <w:pPr>
        <w:pStyle w:val="BodyText"/>
        <w:spacing w:line="360" w:lineRule="auto" w:before="6"/>
        <w:ind w:left="122" w:right="122" w:firstLine="707"/>
        <w:jc w:val="both"/>
      </w:pPr>
      <w:r>
        <w:rPr/>
        <w:t>En términos macroeconómicos existen cuatro indicadores básicos para evaluar el balance de ingresos y gastos de las finanzas públicas: (i) balance primario global; (ii) balance operativo; (iii) balance del gobierno central; (iv) balance del sector público no financiero.</w:t>
      </w:r>
    </w:p>
    <w:p>
      <w:pPr>
        <w:pStyle w:val="BodyText"/>
        <w:spacing w:line="360" w:lineRule="auto" w:before="6"/>
        <w:ind w:left="122" w:right="118" w:firstLine="707"/>
        <w:jc w:val="both"/>
        <w:rPr>
          <w:i/>
        </w:rPr>
      </w:pPr>
      <w:r>
        <w:rPr/>
        <w:t>En el primer balance, el ahorro corriente solamente considera el neto de ingresos y gastos corrientes, mecanismo que permite apreciar las operaciones del</w:t>
      </w:r>
      <w:r>
        <w:rPr>
          <w:spacing w:val="50"/>
        </w:rPr>
        <w:t> </w:t>
      </w:r>
      <w:r>
        <w:rPr/>
        <w:t>Gobierno. </w:t>
      </w:r>
      <w:r>
        <w:rPr>
          <w:i/>
        </w:rPr>
        <w:t>En el</w:t>
      </w:r>
    </w:p>
    <w:p>
      <w:pPr>
        <w:pStyle w:val="BodyText"/>
        <w:rPr>
          <w:i/>
          <w:sz w:val="26"/>
        </w:rPr>
      </w:pPr>
      <w:r>
        <w:rPr/>
        <w:pict>
          <v:line style="position:absolute;mso-position-horizontal-relative:page;mso-position-vertical-relative:paragraph;z-index:1456;mso-wrap-distance-left:0;mso-wrap-distance-right:0" from="85.103996pt,17.219746pt" to="229.123996pt,17.219746pt" stroked="true" strokeweight=".60004pt" strokecolor="#000000">
            <w10:wrap type="topAndBottom"/>
          </v:line>
        </w:pict>
      </w:r>
    </w:p>
    <w:p>
      <w:pPr>
        <w:spacing w:line="278" w:lineRule="auto" w:before="40"/>
        <w:ind w:left="122" w:right="117" w:firstLine="0"/>
        <w:jc w:val="both"/>
        <w:rPr>
          <w:sz w:val="20"/>
        </w:rPr>
      </w:pPr>
      <w:r>
        <w:rPr>
          <w:position w:val="11"/>
          <w:sz w:val="16"/>
        </w:rPr>
        <w:t>12                                           </w:t>
      </w:r>
      <w:r>
        <w:rPr>
          <w:sz w:val="20"/>
        </w:rPr>
        <w:t>Todo                                            ―                                                        </w:t>
      </w:r>
      <w:r>
        <w:rPr>
          <w:w w:val="120"/>
          <w:sz w:val="20"/>
        </w:rPr>
        <w:t>‖ </w:t>
      </w:r>
      <w:r>
        <w:rPr>
          <w:sz w:val="20"/>
        </w:rPr>
        <w:t>contraprestación pública. El gasto público es clasificado conforme a su asignación, aplicación y propósito. Larraín &amp; Sachs (2002) agrupan el gasto público en cuatro categorías: </w:t>
      </w:r>
      <w:r>
        <w:rPr>
          <w:i/>
          <w:sz w:val="20"/>
        </w:rPr>
        <w:t>(a) Consumo del Gobierno</w:t>
      </w:r>
      <w:r>
        <w:rPr>
          <w:sz w:val="20"/>
        </w:rPr>
        <w:t>, el cual incluye los salarios que paga el gobierno a empleados públicos, como también el pago por bienes y servicios adquiridos para el consumo corriente; </w:t>
      </w:r>
      <w:r>
        <w:rPr>
          <w:i/>
          <w:sz w:val="20"/>
        </w:rPr>
        <w:t>(b) Inversión del gobierno</w:t>
      </w:r>
      <w:r>
        <w:rPr>
          <w:sz w:val="20"/>
        </w:rPr>
        <w:t>, referido a una serie de gastos de capital [tales como construcción de caminos, escuelas y puertos]; </w:t>
      </w:r>
      <w:r>
        <w:rPr>
          <w:i/>
          <w:sz w:val="20"/>
        </w:rPr>
        <w:t>(c) Transferencias al sector privado</w:t>
      </w:r>
      <w:r>
        <w:rPr>
          <w:sz w:val="20"/>
        </w:rPr>
        <w:t>, comprende bonos estatales como seguros de desempleo, beneficios a veteranos de guerra, jubilados y otras transferencias de bienestar que son destinadas a las familias y empresas; </w:t>
      </w:r>
      <w:r>
        <w:rPr>
          <w:i/>
          <w:sz w:val="20"/>
        </w:rPr>
        <w:t>(d) intereses sobre deuda pública</w:t>
      </w:r>
      <w:r>
        <w:rPr>
          <w:sz w:val="20"/>
        </w:rPr>
        <w:t>.</w:t>
      </w:r>
    </w:p>
    <w:p>
      <w:pPr>
        <w:spacing w:after="0" w:line="278" w:lineRule="auto"/>
        <w:jc w:val="both"/>
        <w:rPr>
          <w:sz w:val="20"/>
        </w:rPr>
        <w:sectPr>
          <w:pgSz w:w="12250" w:h="15850"/>
          <w:pgMar w:header="0" w:footer="1037" w:top="1360" w:bottom="1220" w:left="1580" w:right="1580"/>
        </w:sectPr>
      </w:pPr>
    </w:p>
    <w:p>
      <w:pPr>
        <w:pStyle w:val="BodyText"/>
        <w:spacing w:line="360" w:lineRule="auto" w:before="50"/>
        <w:ind w:left="102" w:right="115"/>
        <w:jc w:val="both"/>
      </w:pPr>
      <w:r>
        <w:rPr>
          <w:i/>
        </w:rPr>
        <w:t>segundo balance</w:t>
      </w:r>
      <w:r>
        <w:rPr/>
        <w:t>, el resultado operativo es utilizado generalmente en países altamente endeudados y con niveles de inflación elevados, la técnica básica consiste en eliminar el componente inflacionario de los intereses, poniendo en evidencia las necesidades de financiamiento nominales y especificando la sensibilidad frente a la inflación. </w:t>
      </w:r>
      <w:r>
        <w:rPr>
          <w:i/>
        </w:rPr>
        <w:t>En el tercer </w:t>
      </w:r>
      <w:r>
        <w:rPr>
          <w:i/>
        </w:rPr>
        <w:t>balance</w:t>
      </w:r>
      <w:r>
        <w:rPr/>
        <w:t>, el resultado del gobierno central comprende el balance de ingresos y gastos, del gobierno y sus dependencias de autoridades públicas sobre las diversas jurisdicciones del país. </w:t>
      </w:r>
      <w:r>
        <w:rPr>
          <w:i/>
        </w:rPr>
        <w:t>En cuarto balance</w:t>
      </w:r>
      <w:r>
        <w:rPr/>
        <w:t>, el FMI ha recomendado la utilización del Resultado del Sector Público No Financiero (RSPNF), en cuyo balance, se incluye a las empresas públicas   bajo</w:t>
      </w:r>
    </w:p>
    <w:p>
      <w:pPr>
        <w:pStyle w:val="BodyText"/>
        <w:spacing w:line="360" w:lineRule="auto" w:before="7"/>
        <w:ind w:left="102" w:right="123"/>
        <w:jc w:val="both"/>
      </w:pPr>
      <w:r>
        <w:rPr>
          <w:spacing w:val="-1"/>
          <w:w w:val="177"/>
        </w:rPr>
        <w:t> </w:t>
      </w:r>
      <w:r>
        <w:rPr>
          <w:w w:val="159"/>
        </w:rPr>
        <w:t>      </w:t>
      </w:r>
      <w:r>
        <w:rPr/>
        <w:t> </w:t>
      </w:r>
      <w:r>
        <w:rPr>
          <w:spacing w:val="-10"/>
        </w:rPr>
        <w:t> </w:t>
      </w:r>
      <w:r>
        <w:rPr>
          <w:w w:val="166"/>
        </w:rPr>
        <w:t> </w:t>
      </w:r>
      <w:r>
        <w:rPr>
          <w:spacing w:val="-1"/>
          <w:w w:val="166"/>
        </w:rPr>
        <w:t> </w:t>
      </w:r>
      <w:r>
        <w:rPr>
          <w:spacing w:val="-1"/>
          <w:w w:val="177"/>
        </w:rPr>
        <w:t> </w:t>
      </w:r>
      <w:r>
        <w:rPr>
          <w:w w:val="186"/>
        </w:rPr>
        <w:t>    </w:t>
      </w:r>
      <w:r>
        <w:rPr>
          <w:spacing w:val="-1"/>
          <w:w w:val="186"/>
        </w:rPr>
        <w:t> </w:t>
      </w:r>
      <w:r>
        <w:rPr>
          <w:w w:val="138"/>
        </w:rPr>
        <w:t>    </w:t>
      </w:r>
      <w:r>
        <w:rPr/>
        <w:t> </w:t>
      </w:r>
      <w:r>
        <w:rPr>
          <w:spacing w:val="-5"/>
        </w:rPr>
        <w:t> </w:t>
      </w:r>
      <w:r>
        <w:rPr>
          <w:w w:val="200"/>
        </w:rPr>
        <w:t> </w:t>
      </w:r>
      <w:r>
        <w:rPr/>
        <w:t> </w:t>
      </w:r>
      <w:r>
        <w:rPr>
          <w:spacing w:val="-13"/>
        </w:rPr>
        <w:t> </w:t>
      </w:r>
      <w:r>
        <w:rPr>
          <w:w w:val="85"/>
        </w:rPr>
        <w:t>―                                                                                                            </w:t>
      </w:r>
      <w:r>
        <w:rPr>
          <w:w w:val="115"/>
        </w:rPr>
        <w:t>‖ </w:t>
      </w:r>
      <w:r>
        <w:rPr/>
        <w:t>público [Amieva,</w:t>
      </w:r>
      <w:r>
        <w:rPr>
          <w:spacing w:val="-1"/>
        </w:rPr>
        <w:t> </w:t>
      </w:r>
      <w:r>
        <w:rPr/>
        <w:t>2004].</w:t>
      </w:r>
    </w:p>
    <w:p>
      <w:pPr>
        <w:pStyle w:val="BodyText"/>
        <w:spacing w:line="360" w:lineRule="auto" w:before="6"/>
        <w:ind w:left="102" w:right="116" w:firstLine="707"/>
        <w:jc w:val="both"/>
      </w:pPr>
      <w:r>
        <w:rPr/>
        <w:t>Para evaluar la sostenibilidad fiscal en términos de resultados fiscales  los indicadores más utilizados son el resultado primario global (Afonso &amp; Rault, 2010; Stoian &amp; Câmpeanu, 2010; Vergara, 2002) y los egresos e ingresos públicos totales (Abdullah, et al., 2012; Berenguer-Rico &amp; Carrion-i-Silvestre, 2011; Ucal &amp; Alici, 2010). Asimismo, Vergara (2002) sostiene que lo más pertinente es mirar el resultado consolidado del sector público en vez del nivel diferenciado (gobierno central, empresas públicas y el banco central), aunque dicho desglose permitiría observar los actores generadores de déficit y superávit fiscal.</w:t>
      </w:r>
    </w:p>
    <w:p>
      <w:pPr>
        <w:pStyle w:val="BodyText"/>
        <w:spacing w:before="9"/>
        <w:rPr>
          <w:sz w:val="21"/>
        </w:rPr>
      </w:pPr>
    </w:p>
    <w:p>
      <w:pPr>
        <w:pStyle w:val="Heading4"/>
        <w:numPr>
          <w:ilvl w:val="2"/>
          <w:numId w:val="8"/>
        </w:numPr>
        <w:tabs>
          <w:tab w:pos="963" w:val="left" w:leader="none"/>
          <w:tab w:pos="964" w:val="left" w:leader="none"/>
        </w:tabs>
        <w:spacing w:line="240" w:lineRule="auto" w:before="0" w:after="0"/>
        <w:ind w:left="963" w:right="0" w:hanging="720"/>
        <w:jc w:val="left"/>
      </w:pPr>
      <w:bookmarkStart w:name="_bookmark4" w:id="7"/>
      <w:bookmarkEnd w:id="7"/>
      <w:r>
        <w:rPr>
          <w:b w:val="0"/>
        </w:rPr>
      </w:r>
      <w:bookmarkStart w:name="_bookmark4" w:id="8"/>
      <w:bookmarkEnd w:id="8"/>
      <w:r>
        <w:rPr/>
        <w:t>M</w:t>
      </w:r>
      <w:r>
        <w:rPr/>
        <w:t>ecanismos de evaluación de la sostenibilidad</w:t>
      </w:r>
      <w:r>
        <w:rPr>
          <w:spacing w:val="-16"/>
        </w:rPr>
        <w:t> </w:t>
      </w:r>
      <w:r>
        <w:rPr/>
        <w:t>Fiscal</w:t>
      </w:r>
    </w:p>
    <w:p>
      <w:pPr>
        <w:pStyle w:val="BodyText"/>
        <w:spacing w:line="360" w:lineRule="auto" w:before="192"/>
        <w:ind w:left="102" w:right="119" w:firstLine="707"/>
        <w:jc w:val="both"/>
      </w:pPr>
      <w:r>
        <w:rPr/>
        <w:t>La literatura de las finanzas públicas ofrece diversas alternativas conceptuales para medir la sostenibilidad de fiscal, entre las cuales se destacan las siguientes: (i) el equilibrio de las finanzas públicas en el largo plazo; (ii) la función de reacción fiscal; (iii) el análisis de la posición fiscal</w:t>
      </w:r>
      <w:r>
        <w:rPr>
          <w:spacing w:val="-5"/>
        </w:rPr>
        <w:t> </w:t>
      </w:r>
      <w:r>
        <w:rPr/>
        <w:t>sostenible.</w:t>
      </w:r>
    </w:p>
    <w:p>
      <w:pPr>
        <w:pStyle w:val="BodyText"/>
      </w:pPr>
    </w:p>
    <w:p>
      <w:pPr>
        <w:pStyle w:val="ListParagraph"/>
        <w:numPr>
          <w:ilvl w:val="3"/>
          <w:numId w:val="8"/>
        </w:numPr>
        <w:tabs>
          <w:tab w:pos="821" w:val="left" w:leader="none"/>
          <w:tab w:pos="822" w:val="left" w:leader="none"/>
        </w:tabs>
        <w:spacing w:line="240" w:lineRule="auto" w:before="140" w:after="0"/>
        <w:ind w:left="822" w:right="0" w:hanging="488"/>
        <w:jc w:val="left"/>
        <w:rPr>
          <w:i/>
          <w:sz w:val="24"/>
        </w:rPr>
      </w:pPr>
      <w:r>
        <w:rPr>
          <w:i/>
          <w:sz w:val="24"/>
        </w:rPr>
        <w:t>El equilibrio de las finanzas públicas en el largo</w:t>
      </w:r>
      <w:r>
        <w:rPr>
          <w:i/>
          <w:spacing w:val="-8"/>
          <w:sz w:val="24"/>
        </w:rPr>
        <w:t> </w:t>
      </w:r>
      <w:r>
        <w:rPr>
          <w:i/>
          <w:sz w:val="24"/>
        </w:rPr>
        <w:t>plazo</w:t>
      </w:r>
    </w:p>
    <w:p>
      <w:pPr>
        <w:pStyle w:val="BodyText"/>
        <w:rPr>
          <w:i/>
        </w:rPr>
      </w:pPr>
    </w:p>
    <w:p>
      <w:pPr>
        <w:pStyle w:val="BodyText"/>
        <w:spacing w:line="360" w:lineRule="auto" w:before="139"/>
        <w:ind w:left="102" w:right="119" w:firstLine="707"/>
        <w:jc w:val="both"/>
      </w:pPr>
      <w:r>
        <w:rPr/>
        <w:t>El principal objetivo de este modelo se basa en evaluar la sostenibilidad fiscal en función de niveles manejables de déficits fiscales y endeudamiento público, por lo cual,  esta metodología aborda la existencia de una asociación estable en el tiempo entre los ingresos públicos, los gastos gubernamentales, el resultado primario global, la tasa de interés</w:t>
      </w:r>
      <w:r>
        <w:rPr>
          <w:spacing w:val="24"/>
        </w:rPr>
        <w:t> </w:t>
      </w:r>
      <w:r>
        <w:rPr/>
        <w:t>y</w:t>
      </w:r>
      <w:r>
        <w:rPr>
          <w:spacing w:val="16"/>
        </w:rPr>
        <w:t> </w:t>
      </w:r>
      <w:r>
        <w:rPr/>
        <w:t>la</w:t>
      </w:r>
      <w:r>
        <w:rPr>
          <w:spacing w:val="21"/>
        </w:rPr>
        <w:t> </w:t>
      </w:r>
      <w:r>
        <w:rPr/>
        <w:t>deuda</w:t>
      </w:r>
      <w:r>
        <w:rPr>
          <w:spacing w:val="20"/>
        </w:rPr>
        <w:t> </w:t>
      </w:r>
      <w:r>
        <w:rPr/>
        <w:t>del</w:t>
      </w:r>
      <w:r>
        <w:rPr>
          <w:spacing w:val="24"/>
        </w:rPr>
        <w:t> </w:t>
      </w:r>
      <w:r>
        <w:rPr/>
        <w:t>gobierno</w:t>
      </w:r>
      <w:r>
        <w:rPr>
          <w:spacing w:val="24"/>
        </w:rPr>
        <w:t> </w:t>
      </w:r>
      <w:r>
        <w:rPr/>
        <w:t>(Hamilton</w:t>
      </w:r>
      <w:r>
        <w:rPr>
          <w:spacing w:val="21"/>
        </w:rPr>
        <w:t> </w:t>
      </w:r>
      <w:r>
        <w:rPr/>
        <w:t>&amp;</w:t>
      </w:r>
      <w:r>
        <w:rPr>
          <w:spacing w:val="22"/>
        </w:rPr>
        <w:t> </w:t>
      </w:r>
      <w:r>
        <w:rPr/>
        <w:t>Flavin,</w:t>
      </w:r>
      <w:r>
        <w:rPr>
          <w:spacing w:val="21"/>
        </w:rPr>
        <w:t> </w:t>
      </w:r>
      <w:r>
        <w:rPr/>
        <w:t>1986;</w:t>
      </w:r>
      <w:r>
        <w:rPr>
          <w:spacing w:val="22"/>
        </w:rPr>
        <w:t> </w:t>
      </w:r>
      <w:r>
        <w:rPr/>
        <w:t>Pedroni,</w:t>
      </w:r>
      <w:r>
        <w:rPr>
          <w:spacing w:val="22"/>
        </w:rPr>
        <w:t> </w:t>
      </w:r>
      <w:r>
        <w:rPr/>
        <w:t>1999;</w:t>
      </w:r>
      <w:r>
        <w:rPr>
          <w:spacing w:val="22"/>
        </w:rPr>
        <w:t> </w:t>
      </w:r>
      <w:r>
        <w:rPr/>
        <w:t>Pedroni,</w:t>
      </w:r>
      <w:r>
        <w:rPr>
          <w:spacing w:val="22"/>
        </w:rPr>
        <w:t> </w:t>
      </w:r>
      <w:r>
        <w:rPr/>
        <w:t>2004;</w:t>
      </w:r>
    </w:p>
    <w:p>
      <w:pPr>
        <w:spacing w:after="0" w:line="360" w:lineRule="auto"/>
        <w:jc w:val="both"/>
        <w:sectPr>
          <w:pgSz w:w="12250" w:h="15850"/>
          <w:pgMar w:header="0" w:footer="1037" w:top="1360" w:bottom="1220" w:left="1600" w:right="1580"/>
        </w:sectPr>
      </w:pPr>
    </w:p>
    <w:p>
      <w:pPr>
        <w:pStyle w:val="BodyText"/>
        <w:spacing w:line="360" w:lineRule="auto" w:before="50"/>
        <w:ind w:left="122" w:right="117"/>
        <w:jc w:val="both"/>
      </w:pPr>
      <w:r>
        <w:rPr/>
        <w:t>Westerlund &amp; Edgerton, 2007). Es importante mencionar que las variables pueden estar expresadas en </w:t>
      </w:r>
      <w:r>
        <w:rPr>
          <w:i/>
        </w:rPr>
        <w:t>términos nominales </w:t>
      </w:r>
      <w:r>
        <w:rPr/>
        <w:t>(Ucal &amp; Alici, 2010) o en </w:t>
      </w:r>
      <w:r>
        <w:rPr>
          <w:i/>
        </w:rPr>
        <w:t>términos del PIB </w:t>
      </w:r>
      <w:r>
        <w:rPr/>
        <w:t>(Afonso &amp; Rault, 2010). Adicionalmente, Milesi &amp; Razin (2000) argumentan que la sostenibilidad fiscal se centra en la estabilización de la deuda externa  y el PIB.</w:t>
      </w:r>
    </w:p>
    <w:p>
      <w:pPr>
        <w:pStyle w:val="BodyText"/>
        <w:spacing w:line="350" w:lineRule="auto" w:before="6"/>
        <w:ind w:left="122" w:right="116" w:firstLine="707"/>
        <w:jc w:val="both"/>
      </w:pPr>
      <w:r>
        <w:rPr/>
        <w:t>Por consiguiente, Hamilton &amp; Flavin (1986) concluyeron que  la  sostenibilidad fiscal requiere estabilidad de la deuda pública (conocida como estacionariedad), lo cual significa que no continúe creciendo a niveles insostenibles. Asimismo, Perron (1989) sugirió   que   si   no   existen   ajustes   estructurales</w:t>
      </w:r>
      <w:r>
        <w:rPr>
          <w:position w:val="11"/>
          <w:sz w:val="16"/>
        </w:rPr>
        <w:t>13    </w:t>
      </w:r>
      <w:r>
        <w:rPr/>
        <w:t>de   los   causantes   de   los</w:t>
      </w:r>
      <w:r>
        <w:rPr>
          <w:spacing w:val="48"/>
        </w:rPr>
        <w:t> </w:t>
      </w:r>
      <w:r>
        <w:rPr/>
        <w:t>déficits</w:t>
      </w:r>
    </w:p>
    <w:p>
      <w:pPr>
        <w:pStyle w:val="BodyText"/>
        <w:spacing w:line="276" w:lineRule="exact"/>
        <w:ind w:left="122"/>
        <w:jc w:val="both"/>
      </w:pPr>
      <w:r>
        <w:rPr/>
        <w:t>presupuestales,  las variables fiscales no conseguirían niveles estacionarios de largo plazo.</w:t>
      </w:r>
    </w:p>
    <w:p>
      <w:pPr>
        <w:pStyle w:val="BodyText"/>
        <w:spacing w:line="360" w:lineRule="auto" w:before="137"/>
        <w:ind w:left="122" w:right="124" w:firstLine="707"/>
        <w:jc w:val="both"/>
      </w:pPr>
      <w:r>
        <w:rPr/>
        <w:t>Para determinar el nivel de gasto público, el gobierno se enfrenta a una restricción presupuestaria entre componentes de gasto y sus fuentes de financiamiento:</w:t>
      </w:r>
    </w:p>
    <w:p>
      <w:pPr>
        <w:pStyle w:val="BodyText"/>
      </w:pPr>
    </w:p>
    <w:p>
      <w:pPr>
        <w:spacing w:before="145"/>
        <w:ind w:left="2538" w:right="115" w:firstLine="0"/>
        <w:jc w:val="left"/>
        <w:rPr>
          <w:sz w:val="24"/>
        </w:rPr>
      </w:pPr>
      <w:r>
        <w:rPr>
          <w:rFonts w:ascii="Cambria Math"/>
          <w:w w:val="286"/>
          <w:sz w:val="24"/>
        </w:rPr>
        <w:t> </w:t>
      </w:r>
      <w:r>
        <w:rPr>
          <w:rFonts w:ascii="Cambria Math"/>
          <w:sz w:val="24"/>
        </w:rPr>
        <w:t> </w:t>
      </w:r>
      <w:r>
        <w:rPr>
          <w:rFonts w:ascii="Cambria Math"/>
          <w:w w:val="234"/>
          <w:sz w:val="24"/>
        </w:rPr>
        <w:t>  </w:t>
      </w:r>
      <w:r>
        <w:rPr>
          <w:rFonts w:ascii="Cambria Math"/>
          <w:w w:val="262"/>
          <w:sz w:val="24"/>
        </w:rPr>
        <w:t>  </w:t>
      </w:r>
      <w:r>
        <w:rPr>
          <w:rFonts w:ascii="Cambria Math"/>
          <w:w w:val="200"/>
          <w:position w:val="-4"/>
          <w:sz w:val="17"/>
        </w:rPr>
        <w:t> </w:t>
      </w:r>
      <w:r>
        <w:rPr>
          <w:rFonts w:ascii="Cambria Math"/>
          <w:position w:val="-4"/>
          <w:sz w:val="17"/>
        </w:rPr>
        <w:t>  </w:t>
      </w:r>
      <w:r>
        <w:rPr>
          <w:rFonts w:ascii="Cambria Math"/>
          <w:w w:val="339"/>
          <w:sz w:val="24"/>
        </w:rPr>
        <w:t> </w:t>
      </w:r>
      <w:r>
        <w:rPr>
          <w:rFonts w:ascii="Cambria Math"/>
          <w:sz w:val="24"/>
        </w:rPr>
        <w:t> </w:t>
      </w:r>
      <w:r>
        <w:rPr>
          <w:rFonts w:ascii="Cambria Math"/>
          <w:w w:val="143"/>
          <w:sz w:val="24"/>
        </w:rPr>
        <w:t> </w:t>
      </w:r>
      <w:r>
        <w:rPr>
          <w:rFonts w:ascii="Cambria Math"/>
          <w:w w:val="200"/>
          <w:position w:val="-4"/>
          <w:sz w:val="17"/>
        </w:rPr>
        <w:t> </w:t>
      </w:r>
      <w:r>
        <w:rPr>
          <w:rFonts w:ascii="Cambria Math"/>
          <w:w w:val="314"/>
          <w:sz w:val="24"/>
        </w:rPr>
        <w:t> </w:t>
      </w:r>
      <w:r>
        <w:rPr>
          <w:rFonts w:ascii="Cambria Math"/>
          <w:w w:val="200"/>
          <w:position w:val="-4"/>
          <w:sz w:val="17"/>
        </w:rPr>
        <w:t> </w:t>
      </w:r>
      <w:r>
        <w:rPr>
          <w:rFonts w:ascii="Cambria Math"/>
          <w:w w:val="331"/>
          <w:position w:val="-4"/>
          <w:sz w:val="17"/>
        </w:rPr>
        <w:t> </w:t>
      </w:r>
      <w:r>
        <w:rPr>
          <w:rFonts w:ascii="Cambria Math"/>
          <w:w w:val="263"/>
          <w:position w:val="-4"/>
          <w:sz w:val="17"/>
        </w:rPr>
        <w:t> </w:t>
      </w:r>
      <w:r>
        <w:rPr>
          <w:rFonts w:ascii="Cambria Math"/>
          <w:position w:val="-4"/>
          <w:sz w:val="17"/>
        </w:rPr>
        <w:t>  </w:t>
      </w:r>
      <w:r>
        <w:rPr>
          <w:rFonts w:ascii="Cambria Math"/>
          <w:w w:val="339"/>
          <w:sz w:val="24"/>
        </w:rPr>
        <w:t> </w:t>
      </w:r>
      <w:r>
        <w:rPr>
          <w:rFonts w:ascii="Cambria Math"/>
          <w:sz w:val="24"/>
        </w:rPr>
        <w:t>  </w:t>
      </w:r>
      <w:r>
        <w:rPr>
          <w:rFonts w:ascii="Cambria Math"/>
          <w:w w:val="172"/>
          <w:sz w:val="24"/>
        </w:rPr>
        <w:t> </w:t>
      </w:r>
      <w:r>
        <w:rPr>
          <w:rFonts w:ascii="Cambria Math"/>
          <w:w w:val="200"/>
          <w:position w:val="-4"/>
          <w:sz w:val="17"/>
        </w:rPr>
        <w:t> </w:t>
      </w:r>
      <w:r>
        <w:rPr>
          <w:rFonts w:ascii="Cambria Math"/>
          <w:position w:val="-4"/>
          <w:sz w:val="17"/>
        </w:rPr>
        <w:t>  </w:t>
      </w:r>
      <w:r>
        <w:rPr>
          <w:rFonts w:ascii="Cambria Math"/>
          <w:w w:val="339"/>
          <w:sz w:val="24"/>
        </w:rPr>
        <w:t> </w:t>
      </w:r>
      <w:r>
        <w:rPr>
          <w:rFonts w:ascii="Cambria Math"/>
          <w:sz w:val="24"/>
        </w:rPr>
        <w:t> </w:t>
      </w:r>
      <w:r>
        <w:rPr>
          <w:rFonts w:ascii="Cambria Math"/>
          <w:w w:val="270"/>
          <w:sz w:val="24"/>
        </w:rPr>
        <w:t> </w:t>
      </w:r>
      <w:r>
        <w:rPr>
          <w:rFonts w:ascii="Cambria Math"/>
          <w:w w:val="314"/>
          <w:sz w:val="24"/>
        </w:rPr>
        <w:t> </w:t>
      </w:r>
      <w:r>
        <w:rPr>
          <w:rFonts w:ascii="Cambria Math"/>
          <w:w w:val="200"/>
          <w:position w:val="-4"/>
          <w:sz w:val="17"/>
        </w:rPr>
        <w:t> </w:t>
      </w:r>
      <w:r>
        <w:rPr>
          <w:rFonts w:ascii="Cambria Math"/>
          <w:position w:val="-4"/>
          <w:sz w:val="17"/>
        </w:rPr>
        <w:t>  </w:t>
      </w:r>
      <w:r>
        <w:rPr>
          <w:rFonts w:ascii="Cambria Math"/>
          <w:w w:val="339"/>
          <w:sz w:val="24"/>
        </w:rPr>
        <w:t> </w:t>
      </w:r>
      <w:r>
        <w:rPr>
          <w:rFonts w:ascii="Cambria Math"/>
          <w:sz w:val="24"/>
        </w:rPr>
        <w:t> </w:t>
      </w:r>
      <w:r>
        <w:rPr>
          <w:rFonts w:ascii="Cambria Math"/>
          <w:w w:val="270"/>
          <w:sz w:val="24"/>
        </w:rPr>
        <w:t>  </w:t>
      </w:r>
      <w:r>
        <w:rPr>
          <w:rFonts w:ascii="Cambria Math"/>
          <w:w w:val="93"/>
          <w:sz w:val="24"/>
        </w:rPr>
        <w:t> </w:t>
      </w:r>
      <w:r>
        <w:rPr>
          <w:rFonts w:ascii="Cambria Math"/>
          <w:sz w:val="24"/>
        </w:rPr>
        <w:t> </w:t>
      </w:r>
      <w:r>
        <w:rPr>
          <w:rFonts w:ascii="Cambria Math"/>
          <w:w w:val="283"/>
          <w:sz w:val="24"/>
        </w:rPr>
        <w:t> </w:t>
      </w:r>
      <w:r>
        <w:rPr>
          <w:rFonts w:ascii="Cambria Math"/>
          <w:w w:val="210"/>
          <w:sz w:val="24"/>
        </w:rPr>
        <w:t>  </w:t>
      </w:r>
      <w:r>
        <w:rPr>
          <w:rFonts w:ascii="Cambria Math"/>
          <w:w w:val="200"/>
          <w:position w:val="-4"/>
          <w:sz w:val="17"/>
        </w:rPr>
        <w:t> </w:t>
      </w:r>
      <w:r>
        <w:rPr>
          <w:rFonts w:ascii="Cambria Math"/>
          <w:position w:val="-4"/>
          <w:sz w:val="17"/>
        </w:rPr>
        <w:t>     </w:t>
      </w:r>
      <w:r>
        <w:rPr>
          <w:sz w:val="24"/>
        </w:rPr>
        <w:t>(1.7)</w:t>
      </w:r>
    </w:p>
    <w:p>
      <w:pPr>
        <w:pStyle w:val="BodyText"/>
        <w:rPr>
          <w:sz w:val="26"/>
        </w:rPr>
      </w:pPr>
    </w:p>
    <w:p>
      <w:pPr>
        <w:pStyle w:val="BodyText"/>
        <w:spacing w:before="4"/>
        <w:rPr>
          <w:sz w:val="22"/>
        </w:rPr>
      </w:pPr>
    </w:p>
    <w:p>
      <w:pPr>
        <w:pStyle w:val="BodyText"/>
        <w:spacing w:line="362" w:lineRule="auto" w:before="1"/>
        <w:ind w:left="122" w:right="121" w:firstLine="707"/>
        <w:jc w:val="both"/>
      </w:pPr>
      <w:r>
        <w:rPr/>
        <w:t>En la parte izquierda de la ecuación (1.7) se señala que el gasto primario y el costo total de deuda pública pueden ser financiados con el lado derecho de la ecuación: ingresos fiscales  totales        ;  incremento  de  deuda  pública               o  inclusive  ayuda     externa</w:t>
      </w:r>
    </w:p>
    <w:p>
      <w:pPr>
        <w:spacing w:before="47"/>
        <w:ind w:left="122" w:right="0" w:firstLine="0"/>
        <w:jc w:val="both"/>
        <w:rPr>
          <w:sz w:val="24"/>
        </w:rPr>
      </w:pPr>
      <w:r>
        <w:rPr>
          <w:rFonts w:ascii="Cambria Math"/>
          <w:w w:val="188"/>
          <w:sz w:val="24"/>
        </w:rPr>
        <w:t> </w:t>
      </w:r>
      <w:r>
        <w:rPr>
          <w:rFonts w:ascii="Cambria Math"/>
          <w:w w:val="270"/>
          <w:sz w:val="24"/>
        </w:rPr>
        <w:t>  </w:t>
      </w:r>
      <w:r>
        <w:rPr>
          <w:rFonts w:ascii="Cambria Math"/>
          <w:w w:val="93"/>
          <w:sz w:val="24"/>
        </w:rPr>
        <w:t> </w:t>
      </w:r>
      <w:r>
        <w:rPr>
          <w:rFonts w:ascii="Cambria Math"/>
          <w:sz w:val="24"/>
        </w:rPr>
        <w:t> </w:t>
      </w:r>
      <w:r>
        <w:rPr>
          <w:rFonts w:ascii="Cambria Math"/>
          <w:w w:val="283"/>
          <w:sz w:val="24"/>
        </w:rPr>
        <w:t> </w:t>
      </w:r>
      <w:r>
        <w:rPr>
          <w:rFonts w:ascii="Cambria Math"/>
          <w:w w:val="210"/>
          <w:sz w:val="24"/>
        </w:rPr>
        <w:t>  </w:t>
      </w:r>
      <w:r>
        <w:rPr>
          <w:rFonts w:ascii="Cambria Math"/>
          <w:w w:val="200"/>
          <w:position w:val="-4"/>
          <w:sz w:val="17"/>
        </w:rPr>
        <w:t> </w:t>
      </w:r>
      <w:r>
        <w:rPr>
          <w:rFonts w:ascii="Cambria Math"/>
          <w:w w:val="188"/>
          <w:sz w:val="24"/>
        </w:rPr>
        <w:t> </w:t>
      </w:r>
      <w:r>
        <w:rPr>
          <w:rFonts w:ascii="Cambria Math"/>
          <w:position w:val="6"/>
          <w:sz w:val="16"/>
        </w:rPr>
        <w:t>14</w:t>
      </w:r>
      <w:r>
        <w:rPr>
          <w:sz w:val="24"/>
        </w:rPr>
        <w:t>.</w:t>
      </w:r>
    </w:p>
    <w:p>
      <w:pPr>
        <w:pStyle w:val="BodyText"/>
        <w:spacing w:before="141"/>
        <w:ind w:left="830" w:right="115"/>
      </w:pPr>
      <w:r>
        <w:rPr/>
        <w:t>Así despejando en (1.7) la deuda pública, se obtiene (1.8):</w:t>
      </w:r>
    </w:p>
    <w:p>
      <w:pPr>
        <w:pStyle w:val="BodyText"/>
      </w:pPr>
    </w:p>
    <w:p>
      <w:pPr>
        <w:pStyle w:val="BodyText"/>
        <w:spacing w:before="4"/>
        <w:rPr>
          <w:sz w:val="34"/>
        </w:rPr>
      </w:pPr>
    </w:p>
    <w:p>
      <w:pPr>
        <w:spacing w:before="1"/>
        <w:ind w:left="1598" w:right="0" w:firstLine="0"/>
        <w:jc w:val="left"/>
        <w:rPr>
          <w:rFonts w:ascii="Cambria Math"/>
          <w:sz w:val="17"/>
        </w:rPr>
      </w:pPr>
      <w:r>
        <w:rPr>
          <w:rFonts w:ascii="Cambria Math"/>
          <w:spacing w:val="-15"/>
          <w:w w:val="314"/>
          <w:sz w:val="24"/>
        </w:rPr>
        <w:t> </w:t>
      </w:r>
      <w:r>
        <w:rPr>
          <w:rFonts w:ascii="Cambria Math"/>
          <w:w w:val="200"/>
          <w:position w:val="-4"/>
          <w:sz w:val="17"/>
        </w:rPr>
        <w:t> </w:t>
      </w:r>
      <w:r>
        <w:rPr>
          <w:rFonts w:ascii="Cambria Math"/>
          <w:position w:val="-4"/>
          <w:sz w:val="17"/>
        </w:rPr>
        <w:t> </w:t>
      </w:r>
      <w:r>
        <w:rPr>
          <w:rFonts w:ascii="Cambria Math"/>
          <w:spacing w:val="6"/>
          <w:position w:val="-4"/>
          <w:sz w:val="17"/>
        </w:rPr>
        <w:t> </w:t>
      </w:r>
      <w:r>
        <w:rPr>
          <w:rFonts w:ascii="Cambria Math"/>
          <w:w w:val="339"/>
          <w:sz w:val="24"/>
        </w:rPr>
        <w:t> </w:t>
      </w:r>
      <w:r>
        <w:rPr>
          <w:rFonts w:ascii="Cambria Math"/>
          <w:spacing w:val="15"/>
          <w:sz w:val="24"/>
        </w:rPr>
        <w:t> </w:t>
      </w:r>
      <w:r>
        <w:rPr>
          <w:rFonts w:ascii="Cambria Math"/>
          <w:spacing w:val="-15"/>
          <w:w w:val="314"/>
          <w:sz w:val="24"/>
        </w:rPr>
        <w:t> </w:t>
      </w:r>
      <w:r>
        <w:rPr>
          <w:rFonts w:ascii="Cambria Math"/>
          <w:spacing w:val="4"/>
          <w:w w:val="200"/>
          <w:position w:val="-4"/>
          <w:sz w:val="17"/>
        </w:rPr>
        <w:t> </w:t>
      </w:r>
      <w:r>
        <w:rPr>
          <w:rFonts w:ascii="Cambria Math"/>
          <w:w w:val="331"/>
          <w:position w:val="-4"/>
          <w:sz w:val="17"/>
        </w:rPr>
        <w:t> </w:t>
      </w:r>
      <w:r>
        <w:rPr>
          <w:rFonts w:ascii="Cambria Math"/>
          <w:w w:val="263"/>
          <w:position w:val="-4"/>
          <w:sz w:val="17"/>
        </w:rPr>
        <w:t> </w:t>
      </w:r>
      <w:r>
        <w:rPr>
          <w:rFonts w:ascii="Cambria Math"/>
          <w:position w:val="-4"/>
          <w:sz w:val="17"/>
        </w:rPr>
        <w:t> </w:t>
      </w:r>
      <w:r>
        <w:rPr>
          <w:rFonts w:ascii="Cambria Math"/>
          <w:spacing w:val="-13"/>
          <w:position w:val="-4"/>
          <w:sz w:val="17"/>
        </w:rPr>
        <w:t> </w:t>
      </w:r>
      <w:r>
        <w:rPr>
          <w:rFonts w:ascii="Cambria Math"/>
          <w:w w:val="339"/>
          <w:sz w:val="24"/>
        </w:rPr>
        <w:t> </w:t>
      </w:r>
      <w:r>
        <w:rPr>
          <w:rFonts w:ascii="Cambria Math"/>
          <w:sz w:val="24"/>
        </w:rPr>
        <w:t> </w:t>
      </w:r>
      <w:r>
        <w:rPr>
          <w:rFonts w:ascii="Cambria Math"/>
          <w:w w:val="143"/>
          <w:sz w:val="24"/>
        </w:rPr>
        <w:t> </w:t>
      </w:r>
      <w:r>
        <w:rPr>
          <w:rFonts w:ascii="Cambria Math"/>
          <w:spacing w:val="13"/>
          <w:w w:val="200"/>
          <w:position w:val="-4"/>
          <w:sz w:val="17"/>
        </w:rPr>
        <w:t> </w:t>
      </w:r>
      <w:r>
        <w:rPr>
          <w:rFonts w:ascii="Cambria Math"/>
          <w:spacing w:val="-15"/>
          <w:w w:val="314"/>
          <w:sz w:val="24"/>
        </w:rPr>
        <w:t> </w:t>
      </w:r>
      <w:r>
        <w:rPr>
          <w:rFonts w:ascii="Cambria Math"/>
          <w:spacing w:val="6"/>
          <w:w w:val="200"/>
          <w:position w:val="-4"/>
          <w:sz w:val="17"/>
        </w:rPr>
        <w:t> </w:t>
      </w:r>
      <w:r>
        <w:rPr>
          <w:rFonts w:ascii="Cambria Math"/>
          <w:w w:val="331"/>
          <w:position w:val="-4"/>
          <w:sz w:val="17"/>
        </w:rPr>
        <w:t> </w:t>
      </w:r>
      <w:r>
        <w:rPr>
          <w:rFonts w:ascii="Cambria Math"/>
          <w:w w:val="263"/>
          <w:position w:val="-4"/>
          <w:sz w:val="17"/>
        </w:rPr>
        <w:t> </w:t>
      </w:r>
      <w:r>
        <w:rPr>
          <w:rFonts w:ascii="Cambria Math"/>
          <w:position w:val="-4"/>
          <w:sz w:val="17"/>
        </w:rPr>
        <w:t> </w:t>
      </w:r>
      <w:r>
        <w:rPr>
          <w:rFonts w:ascii="Cambria Math"/>
          <w:spacing w:val="-13"/>
          <w:position w:val="-4"/>
          <w:sz w:val="17"/>
        </w:rPr>
        <w:t> </w:t>
      </w:r>
      <w:r>
        <w:rPr>
          <w:rFonts w:ascii="Cambria Math"/>
          <w:w w:val="339"/>
          <w:sz w:val="24"/>
        </w:rPr>
        <w:t> </w:t>
      </w:r>
      <w:r>
        <w:rPr>
          <w:rFonts w:ascii="Cambria Math"/>
          <w:sz w:val="24"/>
        </w:rPr>
        <w:t> </w:t>
      </w:r>
      <w:r>
        <w:rPr>
          <w:rFonts w:ascii="Cambria Math"/>
          <w:spacing w:val="-2"/>
          <w:sz w:val="24"/>
        </w:rPr>
        <w:t> </w:t>
      </w:r>
      <w:r>
        <w:rPr>
          <w:rFonts w:ascii="Cambria Math"/>
          <w:spacing w:val="1"/>
          <w:w w:val="188"/>
          <w:position w:val="1"/>
          <w:sz w:val="24"/>
        </w:rPr>
        <w:t> </w:t>
      </w:r>
      <w:r>
        <w:rPr>
          <w:rFonts w:ascii="Cambria Math"/>
          <w:w w:val="286"/>
          <w:sz w:val="24"/>
        </w:rPr>
        <w:t> </w:t>
      </w:r>
      <w:r>
        <w:rPr>
          <w:rFonts w:ascii="Cambria Math"/>
          <w:spacing w:val="9"/>
          <w:sz w:val="24"/>
        </w:rPr>
        <w:t> </w:t>
      </w:r>
      <w:r>
        <w:rPr>
          <w:rFonts w:ascii="Cambria Math"/>
          <w:w w:val="234"/>
          <w:sz w:val="24"/>
        </w:rPr>
        <w:t> </w:t>
      </w:r>
      <w:r>
        <w:rPr>
          <w:rFonts w:ascii="Cambria Math"/>
          <w:spacing w:val="1"/>
          <w:w w:val="234"/>
          <w:sz w:val="24"/>
        </w:rPr>
        <w:t> </w:t>
      </w:r>
      <w:r>
        <w:rPr>
          <w:rFonts w:ascii="Cambria Math"/>
          <w:w w:val="262"/>
          <w:sz w:val="24"/>
        </w:rPr>
        <w:t> </w:t>
      </w:r>
      <w:r>
        <w:rPr>
          <w:rFonts w:ascii="Cambria Math"/>
          <w:spacing w:val="1"/>
          <w:w w:val="262"/>
          <w:sz w:val="24"/>
        </w:rPr>
        <w:t> </w:t>
      </w:r>
      <w:r>
        <w:rPr>
          <w:rFonts w:ascii="Cambria Math"/>
          <w:w w:val="200"/>
          <w:position w:val="-4"/>
          <w:sz w:val="17"/>
        </w:rPr>
        <w:t> </w:t>
      </w:r>
      <w:r>
        <w:rPr>
          <w:rFonts w:ascii="Cambria Math"/>
          <w:position w:val="-4"/>
          <w:sz w:val="17"/>
        </w:rPr>
        <w:t> </w:t>
      </w:r>
      <w:r>
        <w:rPr>
          <w:rFonts w:ascii="Cambria Math"/>
          <w:spacing w:val="-9"/>
          <w:position w:val="-4"/>
          <w:sz w:val="17"/>
        </w:rPr>
        <w:t> </w:t>
      </w:r>
      <w:r>
        <w:rPr>
          <w:rFonts w:ascii="Cambria Math"/>
          <w:w w:val="339"/>
          <w:sz w:val="24"/>
        </w:rPr>
        <w:t> </w:t>
      </w:r>
      <w:r>
        <w:rPr>
          <w:rFonts w:ascii="Cambria Math"/>
          <w:sz w:val="24"/>
        </w:rPr>
        <w:t> </w:t>
      </w:r>
      <w:r>
        <w:rPr>
          <w:rFonts w:ascii="Cambria Math"/>
          <w:spacing w:val="-15"/>
          <w:w w:val="172"/>
          <w:sz w:val="24"/>
        </w:rPr>
        <w:t> </w:t>
      </w:r>
      <w:r>
        <w:rPr>
          <w:rFonts w:ascii="Cambria Math"/>
          <w:spacing w:val="13"/>
          <w:w w:val="200"/>
          <w:position w:val="-4"/>
          <w:sz w:val="17"/>
        </w:rPr>
        <w:t> </w:t>
      </w:r>
      <w:r>
        <w:rPr>
          <w:rFonts w:ascii="Cambria Math"/>
          <w:w w:val="188"/>
          <w:position w:val="1"/>
          <w:sz w:val="24"/>
        </w:rPr>
        <w:t> </w:t>
      </w:r>
      <w:r>
        <w:rPr>
          <w:rFonts w:ascii="Cambria Math"/>
          <w:spacing w:val="1"/>
          <w:position w:val="1"/>
          <w:sz w:val="24"/>
        </w:rPr>
        <w:t> </w:t>
      </w:r>
      <w:r>
        <w:rPr>
          <w:rFonts w:ascii="Cambria Math"/>
          <w:w w:val="339"/>
          <w:sz w:val="24"/>
        </w:rPr>
        <w:t> </w:t>
      </w:r>
      <w:r>
        <w:rPr>
          <w:rFonts w:ascii="Cambria Math"/>
          <w:sz w:val="24"/>
        </w:rPr>
        <w:t>  </w:t>
      </w:r>
      <w:r>
        <w:rPr>
          <w:rFonts w:ascii="Cambria Math"/>
          <w:spacing w:val="-1"/>
          <w:w w:val="270"/>
          <w:sz w:val="24"/>
        </w:rPr>
        <w:t> </w:t>
      </w:r>
      <w:r>
        <w:rPr>
          <w:rFonts w:ascii="Cambria Math"/>
          <w:spacing w:val="4"/>
          <w:w w:val="270"/>
          <w:sz w:val="24"/>
        </w:rPr>
        <w:t> </w:t>
      </w:r>
      <w:r>
        <w:rPr>
          <w:rFonts w:ascii="Cambria Math"/>
          <w:w w:val="93"/>
          <w:sz w:val="24"/>
        </w:rPr>
        <w:t> </w:t>
      </w:r>
      <w:r>
        <w:rPr>
          <w:rFonts w:ascii="Cambria Math"/>
          <w:spacing w:val="-14"/>
          <w:sz w:val="24"/>
        </w:rPr>
        <w:t> </w:t>
      </w:r>
      <w:r>
        <w:rPr>
          <w:rFonts w:ascii="Cambria Math"/>
          <w:spacing w:val="-2"/>
          <w:w w:val="283"/>
          <w:sz w:val="24"/>
        </w:rPr>
        <w:t> </w:t>
      </w:r>
      <w:r>
        <w:rPr>
          <w:rFonts w:ascii="Cambria Math"/>
          <w:w w:val="210"/>
          <w:sz w:val="24"/>
        </w:rPr>
        <w:t> </w:t>
      </w:r>
      <w:r>
        <w:rPr>
          <w:rFonts w:ascii="Cambria Math"/>
          <w:spacing w:val="-5"/>
          <w:w w:val="210"/>
          <w:sz w:val="24"/>
        </w:rPr>
        <w:t> </w:t>
      </w:r>
      <w:r>
        <w:rPr>
          <w:rFonts w:ascii="Cambria Math"/>
          <w:w w:val="200"/>
          <w:position w:val="-4"/>
          <w:sz w:val="17"/>
        </w:rPr>
        <w:t> </w:t>
      </w:r>
    </w:p>
    <w:p>
      <w:pPr>
        <w:tabs>
          <w:tab w:pos="6768" w:val="left" w:leader="none"/>
        </w:tabs>
        <w:spacing w:before="105"/>
        <w:ind w:left="1538" w:right="115" w:firstLine="0"/>
        <w:jc w:val="left"/>
        <w:rPr>
          <w:sz w:val="24"/>
        </w:rPr>
      </w:pPr>
      <w:r>
        <w:rPr>
          <w:rFonts w:ascii="Cambria Math"/>
          <w:spacing w:val="-15"/>
          <w:w w:val="314"/>
          <w:sz w:val="24"/>
        </w:rPr>
        <w:t> </w:t>
      </w:r>
      <w:r>
        <w:rPr>
          <w:rFonts w:ascii="Cambria Math"/>
          <w:w w:val="200"/>
          <w:position w:val="-4"/>
          <w:sz w:val="17"/>
        </w:rPr>
        <w:t> </w:t>
      </w:r>
      <w:r>
        <w:rPr>
          <w:rFonts w:ascii="Cambria Math"/>
          <w:position w:val="-4"/>
          <w:sz w:val="17"/>
        </w:rPr>
        <w:t> </w:t>
      </w:r>
      <w:r>
        <w:rPr>
          <w:rFonts w:ascii="Cambria Math"/>
          <w:spacing w:val="6"/>
          <w:position w:val="-4"/>
          <w:sz w:val="17"/>
        </w:rPr>
        <w:t> </w:t>
      </w:r>
      <w:r>
        <w:rPr>
          <w:rFonts w:ascii="Cambria Math"/>
          <w:w w:val="339"/>
          <w:sz w:val="24"/>
        </w:rPr>
        <w:t> </w:t>
      </w:r>
      <w:r>
        <w:rPr>
          <w:rFonts w:ascii="Cambria Math"/>
          <w:spacing w:val="15"/>
          <w:sz w:val="24"/>
        </w:rPr>
        <w:t> </w:t>
      </w:r>
      <w:r>
        <w:rPr>
          <w:rFonts w:ascii="Cambria Math"/>
          <w:spacing w:val="-15"/>
          <w:w w:val="314"/>
          <w:sz w:val="24"/>
        </w:rPr>
        <w:t> </w:t>
      </w:r>
      <w:r>
        <w:rPr>
          <w:rFonts w:ascii="Cambria Math"/>
          <w:spacing w:val="4"/>
          <w:w w:val="200"/>
          <w:position w:val="-4"/>
          <w:sz w:val="17"/>
        </w:rPr>
        <w:t> </w:t>
      </w:r>
      <w:r>
        <w:rPr>
          <w:rFonts w:ascii="Cambria Math"/>
          <w:w w:val="331"/>
          <w:position w:val="-4"/>
          <w:sz w:val="17"/>
        </w:rPr>
        <w:t> </w:t>
      </w:r>
      <w:r>
        <w:rPr>
          <w:rFonts w:ascii="Cambria Math"/>
          <w:w w:val="263"/>
          <w:position w:val="-4"/>
          <w:sz w:val="17"/>
        </w:rPr>
        <w:t> </w:t>
      </w:r>
      <w:r>
        <w:rPr>
          <w:rFonts w:ascii="Cambria Math"/>
          <w:position w:val="-4"/>
          <w:sz w:val="17"/>
        </w:rPr>
        <w:t> </w:t>
      </w:r>
      <w:r>
        <w:rPr>
          <w:rFonts w:ascii="Cambria Math"/>
          <w:spacing w:val="-13"/>
          <w:position w:val="-4"/>
          <w:sz w:val="17"/>
        </w:rPr>
        <w:t> </w:t>
      </w:r>
      <w:r>
        <w:rPr>
          <w:rFonts w:ascii="Cambria Math"/>
          <w:w w:val="339"/>
          <w:sz w:val="24"/>
        </w:rPr>
        <w:t> </w:t>
      </w:r>
      <w:r>
        <w:rPr>
          <w:rFonts w:ascii="Cambria Math"/>
          <w:sz w:val="24"/>
        </w:rPr>
        <w:t> </w:t>
      </w:r>
      <w:r>
        <w:rPr>
          <w:rFonts w:ascii="Cambria Math"/>
          <w:w w:val="143"/>
          <w:sz w:val="24"/>
        </w:rPr>
        <w:t> </w:t>
      </w:r>
      <w:r>
        <w:rPr>
          <w:rFonts w:ascii="Cambria Math"/>
          <w:spacing w:val="13"/>
          <w:w w:val="200"/>
          <w:position w:val="-4"/>
          <w:sz w:val="17"/>
        </w:rPr>
        <w:t> </w:t>
      </w:r>
      <w:r>
        <w:rPr>
          <w:rFonts w:ascii="Cambria Math"/>
          <w:spacing w:val="-15"/>
          <w:w w:val="314"/>
          <w:sz w:val="24"/>
        </w:rPr>
        <w:t> </w:t>
      </w:r>
      <w:r>
        <w:rPr>
          <w:rFonts w:ascii="Cambria Math"/>
          <w:spacing w:val="6"/>
          <w:w w:val="200"/>
          <w:position w:val="-4"/>
          <w:sz w:val="17"/>
        </w:rPr>
        <w:t> </w:t>
      </w:r>
      <w:r>
        <w:rPr>
          <w:rFonts w:ascii="Cambria Math"/>
          <w:w w:val="331"/>
          <w:position w:val="-4"/>
          <w:sz w:val="17"/>
        </w:rPr>
        <w:t> </w:t>
      </w:r>
      <w:r>
        <w:rPr>
          <w:rFonts w:ascii="Cambria Math"/>
          <w:w w:val="263"/>
          <w:position w:val="-4"/>
          <w:sz w:val="17"/>
        </w:rPr>
        <w:t> </w:t>
      </w:r>
      <w:r>
        <w:rPr>
          <w:rFonts w:ascii="Cambria Math"/>
          <w:position w:val="-4"/>
          <w:sz w:val="17"/>
        </w:rPr>
        <w:t> </w:t>
      </w:r>
      <w:r>
        <w:rPr>
          <w:rFonts w:ascii="Cambria Math"/>
          <w:spacing w:val="-13"/>
          <w:position w:val="-4"/>
          <w:sz w:val="17"/>
        </w:rPr>
        <w:t> </w:t>
      </w:r>
      <w:r>
        <w:rPr>
          <w:rFonts w:ascii="Cambria Math"/>
          <w:w w:val="339"/>
          <w:sz w:val="24"/>
        </w:rPr>
        <w:t> </w:t>
      </w:r>
      <w:r>
        <w:rPr>
          <w:rFonts w:ascii="Cambria Math"/>
          <w:sz w:val="24"/>
        </w:rPr>
        <w:t> </w:t>
      </w:r>
      <w:r>
        <w:rPr>
          <w:rFonts w:ascii="Cambria Math"/>
          <w:spacing w:val="-2"/>
          <w:sz w:val="24"/>
        </w:rPr>
        <w:t> </w:t>
      </w:r>
      <w:r>
        <w:rPr>
          <w:rFonts w:ascii="Cambria Math"/>
          <w:spacing w:val="1"/>
          <w:w w:val="188"/>
          <w:position w:val="1"/>
          <w:sz w:val="24"/>
        </w:rPr>
        <w:t> </w:t>
      </w:r>
      <w:r>
        <w:rPr>
          <w:rFonts w:ascii="Cambria Math"/>
          <w:spacing w:val="-15"/>
          <w:w w:val="172"/>
          <w:sz w:val="24"/>
        </w:rPr>
        <w:t> </w:t>
      </w:r>
      <w:r>
        <w:rPr>
          <w:rFonts w:ascii="Cambria Math"/>
          <w:w w:val="200"/>
          <w:position w:val="-4"/>
          <w:sz w:val="17"/>
        </w:rPr>
        <w:t> </w:t>
      </w:r>
      <w:r>
        <w:rPr>
          <w:rFonts w:ascii="Cambria Math"/>
          <w:position w:val="-4"/>
          <w:sz w:val="17"/>
        </w:rPr>
        <w:t> </w:t>
      </w:r>
      <w:r>
        <w:rPr>
          <w:rFonts w:ascii="Cambria Math"/>
          <w:spacing w:val="-9"/>
          <w:position w:val="-4"/>
          <w:sz w:val="17"/>
        </w:rPr>
        <w:t> </w:t>
      </w:r>
      <w:r>
        <w:rPr>
          <w:rFonts w:ascii="Cambria Math"/>
          <w:w w:val="339"/>
          <w:sz w:val="24"/>
        </w:rPr>
        <w:t> </w:t>
      </w:r>
      <w:r>
        <w:rPr>
          <w:rFonts w:ascii="Cambria Math"/>
          <w:sz w:val="24"/>
        </w:rPr>
        <w:t> </w:t>
      </w:r>
      <w:r>
        <w:rPr>
          <w:rFonts w:ascii="Cambria Math"/>
          <w:w w:val="286"/>
          <w:sz w:val="24"/>
        </w:rPr>
        <w:t> </w:t>
      </w:r>
      <w:r>
        <w:rPr>
          <w:rFonts w:ascii="Cambria Math"/>
          <w:spacing w:val="11"/>
          <w:sz w:val="24"/>
        </w:rPr>
        <w:t> </w:t>
      </w:r>
      <w:r>
        <w:rPr>
          <w:rFonts w:ascii="Cambria Math"/>
          <w:w w:val="234"/>
          <w:sz w:val="24"/>
        </w:rPr>
        <w:t> </w:t>
      </w:r>
      <w:r>
        <w:rPr>
          <w:rFonts w:ascii="Cambria Math"/>
          <w:spacing w:val="1"/>
          <w:w w:val="234"/>
          <w:sz w:val="24"/>
        </w:rPr>
        <w:t> </w:t>
      </w:r>
      <w:r>
        <w:rPr>
          <w:rFonts w:ascii="Cambria Math"/>
          <w:w w:val="262"/>
          <w:sz w:val="24"/>
        </w:rPr>
        <w:t> </w:t>
      </w:r>
      <w:r>
        <w:rPr>
          <w:rFonts w:ascii="Cambria Math"/>
          <w:spacing w:val="1"/>
          <w:w w:val="262"/>
          <w:sz w:val="24"/>
        </w:rPr>
        <w:t> </w:t>
      </w:r>
      <w:r>
        <w:rPr>
          <w:rFonts w:ascii="Cambria Math"/>
          <w:spacing w:val="13"/>
          <w:w w:val="200"/>
          <w:position w:val="-4"/>
          <w:sz w:val="17"/>
        </w:rPr>
        <w:t> </w:t>
      </w:r>
      <w:r>
        <w:rPr>
          <w:rFonts w:ascii="Cambria Math"/>
          <w:w w:val="188"/>
          <w:position w:val="1"/>
          <w:sz w:val="24"/>
        </w:rPr>
        <w:t> </w:t>
      </w:r>
      <w:r>
        <w:rPr>
          <w:rFonts w:ascii="Cambria Math"/>
          <w:spacing w:val="-2"/>
          <w:position w:val="1"/>
          <w:sz w:val="24"/>
        </w:rPr>
        <w:t> </w:t>
      </w:r>
      <w:r>
        <w:rPr>
          <w:rFonts w:ascii="Cambria Math"/>
          <w:w w:val="339"/>
          <w:sz w:val="24"/>
        </w:rPr>
        <w:t> </w:t>
      </w:r>
      <w:r>
        <w:rPr>
          <w:rFonts w:ascii="Cambria Math"/>
          <w:sz w:val="24"/>
        </w:rPr>
        <w:t> </w:t>
      </w:r>
      <w:r>
        <w:rPr>
          <w:rFonts w:ascii="Cambria Math"/>
          <w:spacing w:val="1"/>
          <w:sz w:val="24"/>
        </w:rPr>
        <w:t> </w:t>
      </w:r>
      <w:r>
        <w:rPr>
          <w:rFonts w:ascii="Cambria Math"/>
          <w:spacing w:val="-1"/>
          <w:w w:val="270"/>
          <w:sz w:val="24"/>
        </w:rPr>
        <w:t> </w:t>
      </w:r>
      <w:r>
        <w:rPr>
          <w:rFonts w:ascii="Cambria Math"/>
          <w:spacing w:val="4"/>
          <w:w w:val="270"/>
          <w:sz w:val="24"/>
        </w:rPr>
        <w:t> </w:t>
      </w:r>
      <w:r>
        <w:rPr>
          <w:rFonts w:ascii="Cambria Math"/>
          <w:w w:val="93"/>
          <w:sz w:val="24"/>
        </w:rPr>
        <w:t> </w:t>
      </w:r>
      <w:r>
        <w:rPr>
          <w:rFonts w:ascii="Cambria Math"/>
          <w:spacing w:val="-14"/>
          <w:sz w:val="24"/>
        </w:rPr>
        <w:t> </w:t>
      </w:r>
      <w:r>
        <w:rPr>
          <w:rFonts w:ascii="Cambria Math"/>
          <w:spacing w:val="-2"/>
          <w:w w:val="283"/>
          <w:sz w:val="24"/>
        </w:rPr>
        <w:t> </w:t>
      </w:r>
      <w:r>
        <w:rPr>
          <w:rFonts w:ascii="Cambria Math"/>
          <w:w w:val="210"/>
          <w:sz w:val="24"/>
        </w:rPr>
        <w:t> </w:t>
      </w:r>
      <w:r>
        <w:rPr>
          <w:rFonts w:ascii="Cambria Math"/>
          <w:spacing w:val="-5"/>
          <w:w w:val="210"/>
          <w:sz w:val="24"/>
        </w:rPr>
        <w:t> </w:t>
      </w:r>
      <w:r>
        <w:rPr>
          <w:rFonts w:ascii="Cambria Math"/>
          <w:w w:val="200"/>
          <w:position w:val="-4"/>
          <w:sz w:val="17"/>
        </w:rPr>
        <w:t> </w:t>
      </w:r>
      <w:r>
        <w:rPr>
          <w:rFonts w:ascii="Cambria Math"/>
          <w:position w:val="-4"/>
          <w:sz w:val="17"/>
        </w:rPr>
        <w:tab/>
      </w:r>
      <w:r>
        <w:rPr>
          <w:sz w:val="24"/>
        </w:rPr>
        <w:t>(1.8)</w:t>
      </w:r>
    </w:p>
    <w:p>
      <w:pPr>
        <w:pStyle w:val="BodyText"/>
        <w:spacing w:line="364" w:lineRule="auto" w:before="146"/>
        <w:ind w:left="122" w:right="118" w:firstLine="707"/>
        <w:jc w:val="both"/>
      </w:pPr>
      <w:r>
        <w:rPr/>
        <w:t>Donde el balance primario           corresponde a la diferencia entre ingresos fiscales  y el gasto</w:t>
      </w:r>
      <w:r>
        <w:rPr>
          <w:spacing w:val="-5"/>
        </w:rPr>
        <w:t> </w:t>
      </w:r>
      <w:r>
        <w:rPr/>
        <w:t>primario.</w:t>
      </w:r>
    </w:p>
    <w:p>
      <w:pPr>
        <w:pStyle w:val="BodyText"/>
        <w:spacing w:line="275" w:lineRule="exact"/>
        <w:ind w:left="830" w:right="115"/>
      </w:pPr>
      <w:r>
        <w:rPr/>
        <w:t>Luego, bajo el esquema de no-Ponzi</w:t>
      </w:r>
      <w:r>
        <w:rPr>
          <w:position w:val="11"/>
          <w:sz w:val="16"/>
        </w:rPr>
        <w:t>15</w:t>
      </w:r>
      <w:r>
        <w:rPr/>
        <w:t>:</w:t>
      </w:r>
    </w:p>
    <w:p>
      <w:pPr>
        <w:spacing w:after="0" w:line="275" w:lineRule="exact"/>
        <w:sectPr>
          <w:pgSz w:w="12250" w:h="15850"/>
          <w:pgMar w:header="0" w:footer="1037" w:top="1360" w:bottom="1220" w:left="1580" w:right="1580"/>
        </w:sectPr>
      </w:pPr>
    </w:p>
    <w:p>
      <w:pPr>
        <w:spacing w:before="127"/>
        <w:ind w:left="0" w:right="143" w:firstLine="0"/>
        <w:jc w:val="right"/>
        <w:rPr>
          <w:rFonts w:ascii="Cambria Math" w:hAnsi="Cambria Math"/>
          <w:sz w:val="17"/>
        </w:rPr>
      </w:pPr>
      <w:r>
        <w:rPr/>
        <w:pict>
          <v:shape style="position:absolute;margin-left:233.570007pt;margin-top:13.986919pt;width:15.15pt;height:8.550pt;mso-position-horizontal-relative:page;mso-position-vertical-relative:paragraph;z-index:-570616" type="#_x0000_t202" filled="false" stroked="false">
            <v:textbox inset="0,0,0,0">
              <w:txbxContent>
                <w:p>
                  <w:pPr>
                    <w:spacing w:line="170" w:lineRule="exact" w:before="0"/>
                    <w:ind w:left="0" w:right="0" w:firstLine="0"/>
                    <w:jc w:val="left"/>
                    <w:rPr>
                      <w:rFonts w:ascii="Cambria Math"/>
                      <w:sz w:val="17"/>
                    </w:rPr>
                  </w:pPr>
                  <w:r>
                    <w:rPr>
                      <w:rFonts w:ascii="Cambria Math"/>
                      <w:spacing w:val="4"/>
                      <w:w w:val="200"/>
                      <w:sz w:val="17"/>
                    </w:rPr>
                    <w:t> </w:t>
                  </w:r>
                  <w:r>
                    <w:rPr>
                      <w:rFonts w:ascii="Cambria Math"/>
                      <w:w w:val="331"/>
                      <w:sz w:val="17"/>
                    </w:rPr>
                    <w:t> </w:t>
                  </w:r>
                  <w:r>
                    <w:rPr>
                      <w:rFonts w:ascii="Cambria Math"/>
                      <w:w w:val="263"/>
                      <w:sz w:val="17"/>
                    </w:rPr>
                    <w:t> </w:t>
                  </w:r>
                </w:p>
              </w:txbxContent>
            </v:textbox>
            <w10:wrap type="none"/>
          </v:shape>
        </w:pict>
      </w:r>
      <w:r>
        <w:rPr>
          <w:rFonts w:ascii="Cambria Math" w:hAnsi="Cambria Math"/>
          <w:w w:val="314"/>
          <w:sz w:val="24"/>
        </w:rPr>
        <w:t> </w:t>
      </w:r>
      <w:r>
        <w:rPr>
          <w:rFonts w:ascii="Cambria Math" w:hAnsi="Cambria Math"/>
          <w:w w:val="263"/>
          <w:position w:val="-4"/>
          <w:sz w:val="17"/>
        </w:rPr>
        <w:t> </w:t>
      </w:r>
      <w:r>
        <w:rPr>
          <w:rFonts w:ascii="Cambria Math" w:hAnsi="Cambria Math"/>
          <w:position w:val="-4"/>
          <w:sz w:val="17"/>
        </w:rPr>
        <w:t>  </w:t>
      </w:r>
      <w:r>
        <w:rPr>
          <w:rFonts w:ascii="Cambria Math" w:hAnsi="Cambria Math"/>
          <w:w w:val="339"/>
          <w:sz w:val="24"/>
        </w:rPr>
        <w:t> </w:t>
      </w:r>
      <w:r>
        <w:rPr>
          <w:rFonts w:ascii="Cambria Math" w:hAnsi="Cambria Math"/>
          <w:sz w:val="24"/>
        </w:rPr>
        <w:t> </w:t>
      </w:r>
      <w:r>
        <w:rPr>
          <w:rFonts w:ascii="Cambria Math" w:hAnsi="Cambria Math"/>
          <w:position w:val="1"/>
          <w:sz w:val="24"/>
        </w:rPr>
        <w:t>∑</w:t>
      </w:r>
      <w:r>
        <w:rPr>
          <w:rFonts w:ascii="Cambria Math" w:hAnsi="Cambria Math"/>
          <w:w w:val="420"/>
          <w:position w:val="9"/>
          <w:sz w:val="17"/>
        </w:rPr>
        <w:t> </w:t>
      </w:r>
    </w:p>
    <w:p>
      <w:pPr>
        <w:pStyle w:val="BodyText"/>
        <w:spacing w:before="141"/>
        <w:ind w:left="2330" w:right="1624"/>
        <w:jc w:val="center"/>
      </w:pPr>
      <w:r>
        <w:rPr/>
        <w:br w:type="column"/>
      </w:r>
      <w:r>
        <w:rPr/>
        <w:t>(1.9)</w:t>
      </w:r>
    </w:p>
    <w:p>
      <w:pPr>
        <w:spacing w:after="0"/>
        <w:jc w:val="center"/>
        <w:sectPr>
          <w:type w:val="continuous"/>
          <w:pgSz w:w="12250" w:h="15850"/>
          <w:pgMar w:top="1500" w:bottom="280" w:left="1580" w:right="1580"/>
          <w:cols w:num="2" w:equalWidth="0">
            <w:col w:w="3395" w:space="1241"/>
            <w:col w:w="4454"/>
          </w:cols>
        </w:sectPr>
      </w:pPr>
    </w:p>
    <w:p>
      <w:pPr>
        <w:pStyle w:val="BodyText"/>
        <w:spacing w:before="3"/>
        <w:rPr>
          <w:sz w:val="29"/>
        </w:rPr>
      </w:pPr>
    </w:p>
    <w:p>
      <w:pPr>
        <w:pStyle w:val="BodyText"/>
        <w:spacing w:line="20" w:lineRule="exact"/>
        <w:ind w:left="116"/>
        <w:rPr>
          <w:sz w:val="2"/>
        </w:rPr>
      </w:pPr>
      <w:r>
        <w:rPr>
          <w:sz w:val="2"/>
        </w:rPr>
        <w:pict>
          <v:group style="width:144.65pt;height:.6pt;mso-position-horizontal-relative:char;mso-position-vertical-relative:line" coordorigin="0,0" coordsize="2893,12">
            <v:line style="position:absolute" from="6,6" to="2886,6" stroked="true" strokeweight=".60004pt" strokecolor="#000000"/>
          </v:group>
        </w:pict>
      </w:r>
      <w:r>
        <w:rPr>
          <w:sz w:val="2"/>
        </w:rPr>
      </w:r>
    </w:p>
    <w:p>
      <w:pPr>
        <w:spacing w:before="71"/>
        <w:ind w:left="122" w:right="115" w:firstLine="0"/>
        <w:jc w:val="left"/>
        <w:rPr>
          <w:sz w:val="20"/>
        </w:rPr>
      </w:pPr>
      <w:r>
        <w:rPr>
          <w:position w:val="9"/>
          <w:sz w:val="13"/>
        </w:rPr>
        <w:t>13 </w:t>
      </w:r>
      <w:r>
        <w:rPr>
          <w:sz w:val="20"/>
        </w:rPr>
        <w:t>Programas de estabilización y asistencia técnica en la administración de ciertas crisis de deuda externa y profundos déficit públicos (Larraín &amp; Sachs, 2002).</w:t>
      </w:r>
    </w:p>
    <w:p>
      <w:pPr>
        <w:pStyle w:val="BodyText"/>
        <w:spacing w:before="10"/>
        <w:rPr>
          <w:sz w:val="17"/>
        </w:rPr>
      </w:pPr>
    </w:p>
    <w:p>
      <w:pPr>
        <w:spacing w:before="0"/>
        <w:ind w:left="122" w:right="115" w:firstLine="0"/>
        <w:jc w:val="left"/>
        <w:rPr>
          <w:sz w:val="20"/>
        </w:rPr>
      </w:pPr>
      <w:r>
        <w:rPr>
          <w:position w:val="9"/>
          <w:sz w:val="13"/>
        </w:rPr>
        <w:t>14 </w:t>
      </w:r>
      <w:r>
        <w:rPr>
          <w:sz w:val="20"/>
        </w:rPr>
        <w:t>La ayuda externa también se refiere a la condonación de deuda pública, muy aplicable a países altamente endeudados o de bajos ingresos.</w:t>
      </w:r>
    </w:p>
    <w:p>
      <w:pPr>
        <w:spacing w:line="228" w:lineRule="exact" w:before="4"/>
        <w:ind w:left="122" w:right="115" w:firstLine="0"/>
        <w:jc w:val="left"/>
        <w:rPr>
          <w:sz w:val="20"/>
        </w:rPr>
      </w:pPr>
      <w:r>
        <w:rPr>
          <w:position w:val="9"/>
          <w:sz w:val="13"/>
        </w:rPr>
        <w:t>15 </w:t>
      </w:r>
      <w:r>
        <w:rPr>
          <w:sz w:val="20"/>
        </w:rPr>
        <w:t>Charles Ponzi fue un inmigrante italiano en Boston, que adquiría nuevas deudas para pagar las antiguas y cubrir sus déficits (a principios del siglo XX),   llegó a tener 40.000 acreedores, luego, su deuda se hizo</w:t>
      </w:r>
    </w:p>
    <w:p>
      <w:pPr>
        <w:spacing w:line="228" w:lineRule="exact" w:before="0"/>
        <w:ind w:left="122" w:right="115" w:firstLine="0"/>
        <w:jc w:val="left"/>
        <w:rPr>
          <w:sz w:val="20"/>
        </w:rPr>
      </w:pPr>
      <w:r>
        <w:rPr>
          <w:sz w:val="20"/>
        </w:rPr>
        <w:t>insostenible y explosiva (De Gregorio, 2007).</w:t>
      </w:r>
    </w:p>
    <w:p>
      <w:pPr>
        <w:spacing w:after="0" w:line="228" w:lineRule="exact"/>
        <w:jc w:val="left"/>
        <w:rPr>
          <w:sz w:val="20"/>
        </w:rPr>
        <w:sectPr>
          <w:type w:val="continuous"/>
          <w:pgSz w:w="12250" w:h="15850"/>
          <w:pgMar w:top="1500" w:bottom="280" w:left="1580" w:right="1580"/>
        </w:sectPr>
      </w:pPr>
    </w:p>
    <w:p>
      <w:pPr>
        <w:pStyle w:val="BodyText"/>
        <w:spacing w:before="119"/>
        <w:ind w:left="3242"/>
        <w:rPr>
          <w:rFonts w:ascii="Cambria Math" w:hAnsi="Cambria Math"/>
          <w:sz w:val="17"/>
        </w:rPr>
      </w:pPr>
      <w:r>
        <w:rPr/>
        <w:pict>
          <v:line style="position:absolute;mso-position-horizontal-relative:page;mso-position-vertical-relative:paragraph;z-index:1552" from="381.790009pt,14.432359pt" to="406.630009pt,14.432359pt" stroked="true" strokeweight=".84pt" strokecolor="#000000">
            <w10:wrap type="none"/>
          </v:line>
        </w:pict>
      </w:r>
      <w:r>
        <w:rPr/>
        <w:pict>
          <v:shape style="position:absolute;margin-left:310.489990pt;margin-top:13.586936pt;width:15.5pt;height:8.550pt;mso-position-horizontal-relative:page;mso-position-vertical-relative:paragraph;z-index:-570544" type="#_x0000_t202" filled="false" stroked="false">
            <v:textbox inset="0,0,0,0">
              <w:txbxContent>
                <w:p>
                  <w:pPr>
                    <w:spacing w:line="170" w:lineRule="exact" w:before="0"/>
                    <w:ind w:left="0" w:right="0" w:firstLine="0"/>
                    <w:jc w:val="left"/>
                    <w:rPr>
                      <w:rFonts w:ascii="Cambria Math"/>
                      <w:sz w:val="17"/>
                    </w:rPr>
                  </w:pPr>
                  <w:r>
                    <w:rPr>
                      <w:rFonts w:ascii="Cambria Math"/>
                      <w:spacing w:val="3"/>
                      <w:w w:val="220"/>
                      <w:sz w:val="17"/>
                    </w:rPr>
                    <w:t> </w:t>
                  </w:r>
                  <w:r>
                    <w:rPr>
                      <w:rFonts w:ascii="Cambria Math"/>
                      <w:w w:val="331"/>
                      <w:sz w:val="17"/>
                    </w:rPr>
                    <w:t> </w:t>
                  </w:r>
                  <w:r>
                    <w:rPr>
                      <w:rFonts w:ascii="Cambria Math"/>
                      <w:w w:val="263"/>
                      <w:sz w:val="17"/>
                    </w:rPr>
                    <w:t> </w:t>
                  </w:r>
                </w:p>
              </w:txbxContent>
            </v:textbox>
            <w10:wrap type="none"/>
          </v:shape>
        </w:pict>
      </w:r>
      <w:r>
        <w:rPr/>
        <w:t>Donde         </w:t>
      </w:r>
      <w:r>
        <w:rPr>
          <w:rFonts w:ascii="Cambria Math" w:hAnsi="Cambria Math"/>
          <w:position w:val="1"/>
        </w:rPr>
        <w:t>∏</w:t>
      </w:r>
      <w:r>
        <w:rPr>
          <w:rFonts w:ascii="Cambria Math" w:hAnsi="Cambria Math"/>
          <w:w w:val="420"/>
          <w:position w:val="9"/>
          <w:sz w:val="17"/>
        </w:rPr>
        <w:t> </w:t>
      </w:r>
    </w:p>
    <w:p>
      <w:pPr>
        <w:pStyle w:val="BodyText"/>
        <w:spacing w:before="133"/>
        <w:ind w:left="343"/>
        <w:rPr>
          <w:rFonts w:ascii="Cambria Math"/>
        </w:rPr>
      </w:pPr>
      <w:r>
        <w:rPr/>
        <w:br w:type="column"/>
      </w:r>
      <w:r>
        <w:rPr/>
        <w:t>y  </w:t>
      </w:r>
      <w:r>
        <w:rPr>
          <w:rFonts w:ascii="Cambria Math"/>
          <w:w w:val="235"/>
        </w:rPr>
        <w:t> </w:t>
      </w:r>
      <w:r>
        <w:rPr>
          <w:rFonts w:ascii="Cambria Math"/>
        </w:rPr>
        <w:t> </w:t>
      </w:r>
      <w:r>
        <w:rPr>
          <w:rFonts w:ascii="Cambria Math"/>
          <w:w w:val="339"/>
        </w:rPr>
        <w:t> </w:t>
      </w:r>
    </w:p>
    <w:p>
      <w:pPr>
        <w:spacing w:after="0"/>
        <w:rPr>
          <w:rFonts w:ascii="Cambria Math"/>
        </w:rPr>
        <w:sectPr>
          <w:pgSz w:w="12250" w:h="15850"/>
          <w:pgMar w:header="0" w:footer="1037" w:top="1340" w:bottom="1220" w:left="1580" w:right="1580"/>
          <w:cols w:num="2" w:equalWidth="0">
            <w:col w:w="4940" w:space="40"/>
            <w:col w:w="4110"/>
          </w:cols>
        </w:sect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spacing w:before="10"/>
        <w:rPr>
          <w:rFonts w:ascii="Cambria Math"/>
          <w:sz w:val="19"/>
        </w:rPr>
      </w:pPr>
    </w:p>
    <w:p>
      <w:pPr>
        <w:pStyle w:val="BodyText"/>
        <w:spacing w:line="360" w:lineRule="auto"/>
        <w:ind w:left="122" w:right="115" w:firstLine="707"/>
      </w:pPr>
      <w:r>
        <w:rPr/>
        <w:t>La condición (1.9) señala que si el gobierno adquiere un nuevo financiamiento para cubrir su déficit, éste debe ser igual al valor presente de futuros superávit fiscales:</w:t>
      </w:r>
    </w:p>
    <w:p>
      <w:pPr>
        <w:spacing w:line="163" w:lineRule="exact" w:before="0"/>
        <w:ind w:left="0" w:right="1434" w:firstLine="0"/>
        <w:jc w:val="center"/>
        <w:rPr>
          <w:rFonts w:ascii="Cambria Math"/>
          <w:sz w:val="17"/>
        </w:rPr>
      </w:pPr>
      <w:r>
        <w:rPr>
          <w:rFonts w:ascii="Cambria Math"/>
          <w:w w:val="420"/>
          <w:sz w:val="17"/>
        </w:rPr>
        <w:t> </w:t>
      </w:r>
    </w:p>
    <w:p>
      <w:pPr>
        <w:spacing w:before="89"/>
        <w:ind w:left="420" w:right="273" w:firstLine="0"/>
        <w:jc w:val="center"/>
        <w:rPr>
          <w:rFonts w:ascii="Cambria Math" w:hAnsi="Cambria Math"/>
          <w:sz w:val="24"/>
        </w:rPr>
      </w:pPr>
      <w:r>
        <w:rPr>
          <w:rFonts w:ascii="Cambria Math" w:hAnsi="Cambria Math"/>
          <w:w w:val="185"/>
          <w:sz w:val="24"/>
        </w:rPr>
        <w:t>∑</w:t>
      </w:r>
      <w:r>
        <w:rPr>
          <w:rFonts w:ascii="Cambria Math" w:hAnsi="Cambria Math"/>
          <w:sz w:val="24"/>
        </w:rPr>
        <w:t> </w:t>
      </w:r>
      <w:r>
        <w:rPr>
          <w:rFonts w:ascii="Cambria Math" w:hAnsi="Cambria Math"/>
          <w:w w:val="235"/>
          <w:sz w:val="24"/>
        </w:rPr>
        <w:t> </w:t>
      </w:r>
      <w:r>
        <w:rPr>
          <w:rFonts w:ascii="Cambria Math" w:hAnsi="Cambria Math"/>
          <w:w w:val="188"/>
          <w:position w:val="1"/>
          <w:sz w:val="24"/>
        </w:rPr>
        <w:t> </w:t>
      </w:r>
      <w:r>
        <w:rPr>
          <w:rFonts w:ascii="Cambria Math" w:hAnsi="Cambria Math"/>
          <w:w w:val="172"/>
          <w:sz w:val="24"/>
        </w:rPr>
        <w:t> </w:t>
      </w:r>
      <w:r>
        <w:rPr>
          <w:rFonts w:ascii="Cambria Math" w:hAnsi="Cambria Math"/>
          <w:w w:val="200"/>
          <w:position w:val="-4"/>
          <w:sz w:val="17"/>
        </w:rPr>
        <w:t> </w:t>
      </w:r>
      <w:r>
        <w:rPr>
          <w:rFonts w:ascii="Cambria Math" w:hAnsi="Cambria Math"/>
          <w:position w:val="-4"/>
          <w:sz w:val="17"/>
        </w:rPr>
        <w:t>  </w:t>
      </w:r>
      <w:r>
        <w:rPr>
          <w:rFonts w:ascii="Cambria Math" w:hAnsi="Cambria Math"/>
          <w:w w:val="339"/>
          <w:sz w:val="24"/>
        </w:rPr>
        <w:t> </w:t>
      </w:r>
      <w:r>
        <w:rPr>
          <w:rFonts w:ascii="Cambria Math" w:hAnsi="Cambria Math"/>
          <w:sz w:val="24"/>
        </w:rPr>
        <w:t> </w:t>
      </w:r>
      <w:r>
        <w:rPr>
          <w:rFonts w:ascii="Cambria Math" w:hAnsi="Cambria Math"/>
          <w:w w:val="251"/>
          <w:sz w:val="24"/>
        </w:rPr>
        <w:t>   </w:t>
      </w:r>
      <w:r>
        <w:rPr>
          <w:rFonts w:ascii="Cambria Math" w:hAnsi="Cambria Math"/>
          <w:w w:val="262"/>
          <w:sz w:val="24"/>
        </w:rPr>
        <w:t>  </w:t>
      </w:r>
      <w:r>
        <w:rPr>
          <w:rFonts w:ascii="Cambria Math" w:hAnsi="Cambria Math"/>
          <w:w w:val="200"/>
          <w:position w:val="-4"/>
          <w:sz w:val="17"/>
        </w:rPr>
        <w:t> </w:t>
      </w:r>
      <w:r>
        <w:rPr>
          <w:rFonts w:ascii="Cambria Math" w:hAnsi="Cambria Math"/>
          <w:w w:val="188"/>
          <w:position w:val="1"/>
          <w:sz w:val="24"/>
        </w:rPr>
        <w:t> </w:t>
      </w:r>
    </w:p>
    <w:p>
      <w:pPr>
        <w:spacing w:before="92"/>
        <w:ind w:left="0" w:right="1435" w:firstLine="0"/>
        <w:jc w:val="center"/>
        <w:rPr>
          <w:rFonts w:ascii="Cambria Math"/>
          <w:sz w:val="17"/>
        </w:rPr>
      </w:pPr>
      <w:r>
        <w:rPr>
          <w:rFonts w:ascii="Cambria Math"/>
          <w:spacing w:val="6"/>
          <w:w w:val="200"/>
          <w:sz w:val="17"/>
        </w:rPr>
        <w:t> </w:t>
      </w:r>
      <w:r>
        <w:rPr>
          <w:rFonts w:ascii="Cambria Math"/>
          <w:w w:val="331"/>
          <w:sz w:val="17"/>
        </w:rPr>
        <w:t> </w:t>
      </w:r>
      <w:r>
        <w:rPr>
          <w:rFonts w:ascii="Cambria Math"/>
          <w:w w:val="263"/>
          <w:sz w:val="17"/>
        </w:rPr>
        <w:t> </w:t>
      </w:r>
    </w:p>
    <w:p>
      <w:pPr>
        <w:pStyle w:val="BodyText"/>
        <w:spacing w:line="360" w:lineRule="auto" w:before="103"/>
        <w:ind w:left="122" w:right="115" w:firstLine="707"/>
      </w:pPr>
      <w:r>
        <w:rPr/>
        <w:t>De forma posterior, la restricción intertemporal, se reduce a la siguiente expresión (Hakkio &amp; Rush, 1991):</w:t>
      </w:r>
    </w:p>
    <w:p>
      <w:pPr>
        <w:spacing w:before="6"/>
        <w:ind w:left="420" w:right="0" w:firstLine="0"/>
        <w:jc w:val="center"/>
        <w:rPr>
          <w:sz w:val="24"/>
        </w:rPr>
      </w:pPr>
      <w:r>
        <w:rPr>
          <w:rFonts w:ascii="Cambria Math"/>
          <w:w w:val="172"/>
          <w:sz w:val="24"/>
        </w:rPr>
        <w:t> </w:t>
      </w:r>
      <w:r>
        <w:rPr>
          <w:rFonts w:ascii="Cambria Math"/>
          <w:w w:val="200"/>
          <w:position w:val="-4"/>
          <w:sz w:val="17"/>
        </w:rPr>
        <w:t> </w:t>
      </w:r>
      <w:r>
        <w:rPr>
          <w:rFonts w:ascii="Cambria Math"/>
          <w:position w:val="-4"/>
          <w:sz w:val="17"/>
        </w:rPr>
        <w:t>  </w:t>
      </w:r>
      <w:r>
        <w:rPr>
          <w:rFonts w:ascii="Cambria Math"/>
          <w:w w:val="339"/>
          <w:sz w:val="24"/>
        </w:rPr>
        <w:t> </w:t>
      </w:r>
      <w:r>
        <w:rPr>
          <w:rFonts w:ascii="Cambria Math"/>
          <w:sz w:val="24"/>
        </w:rPr>
        <w:t>  </w:t>
      </w:r>
      <w:r>
        <w:rPr>
          <w:rFonts w:ascii="Cambria Math"/>
          <w:w w:val="272"/>
          <w:sz w:val="24"/>
        </w:rPr>
        <w:t> </w:t>
      </w:r>
      <w:r>
        <w:rPr>
          <w:rFonts w:ascii="Cambria Math"/>
          <w:sz w:val="24"/>
        </w:rPr>
        <w:t> </w:t>
      </w:r>
      <w:r>
        <w:rPr>
          <w:rFonts w:ascii="Cambria Math"/>
          <w:w w:val="339"/>
          <w:sz w:val="24"/>
        </w:rPr>
        <w:t> </w:t>
      </w:r>
      <w:r>
        <w:rPr>
          <w:rFonts w:ascii="Cambria Math"/>
          <w:sz w:val="24"/>
        </w:rPr>
        <w:t>  </w:t>
      </w:r>
      <w:r>
        <w:rPr>
          <w:rFonts w:ascii="Cambria Math"/>
          <w:w w:val="275"/>
          <w:sz w:val="24"/>
        </w:rPr>
        <w:t> </w:t>
      </w:r>
      <w:r>
        <w:rPr>
          <w:rFonts w:ascii="Cambria Math"/>
          <w:sz w:val="24"/>
        </w:rPr>
        <w:t> </w:t>
      </w:r>
      <w:r>
        <w:rPr>
          <w:rFonts w:ascii="Cambria Math"/>
          <w:w w:val="284"/>
          <w:sz w:val="24"/>
        </w:rPr>
        <w:t>  </w:t>
      </w:r>
      <w:r>
        <w:rPr>
          <w:rFonts w:ascii="Cambria Math"/>
          <w:w w:val="200"/>
          <w:position w:val="-4"/>
          <w:sz w:val="17"/>
        </w:rPr>
        <w:t> </w:t>
      </w:r>
      <w:r>
        <w:rPr>
          <w:rFonts w:ascii="Cambria Math"/>
          <w:position w:val="-4"/>
          <w:sz w:val="17"/>
        </w:rPr>
        <w:t>     </w:t>
      </w:r>
      <w:r>
        <w:rPr>
          <w:sz w:val="24"/>
        </w:rPr>
        <w:t>(1.10)</w:t>
      </w:r>
    </w:p>
    <w:p>
      <w:pPr>
        <w:pStyle w:val="BodyText"/>
        <w:rPr>
          <w:sz w:val="26"/>
        </w:rPr>
      </w:pPr>
    </w:p>
    <w:p>
      <w:pPr>
        <w:pStyle w:val="BodyText"/>
        <w:spacing w:before="4"/>
        <w:rPr>
          <w:sz w:val="22"/>
        </w:rPr>
      </w:pPr>
    </w:p>
    <w:p>
      <w:pPr>
        <w:pStyle w:val="BodyText"/>
        <w:spacing w:line="345" w:lineRule="auto" w:before="1"/>
        <w:ind w:left="122" w:right="117" w:firstLine="707"/>
        <w:jc w:val="both"/>
      </w:pPr>
      <w:r>
        <w:rPr/>
        <w:t>En la ecuación (1.10), Quintos (1995) distingue dos grados de sostenibilidad: fuerte y débil. En el primer caso, la sostenibilidad es potente cuando los ingresos y gastos están cointegrados</w:t>
      </w:r>
      <w:r>
        <w:rPr>
          <w:position w:val="11"/>
          <w:sz w:val="16"/>
        </w:rPr>
        <w:t>16  </w:t>
      </w:r>
      <w:r>
        <w:rPr/>
        <w:t>por el parámetro cointegrante   </w:t>
      </w:r>
      <w:r>
        <w:rPr>
          <w:i/>
        </w:rPr>
        <w:t>β = 1</w:t>
      </w:r>
      <w:r>
        <w:rPr/>
        <w:t>. Contrariamente,   la sostenibilidad   es</w:t>
      </w:r>
    </w:p>
    <w:p>
      <w:pPr>
        <w:pStyle w:val="BodyText"/>
        <w:spacing w:line="360" w:lineRule="auto" w:before="5"/>
        <w:ind w:left="122" w:right="342"/>
      </w:pPr>
      <w:r>
        <w:rPr/>
        <w:t>débil,                 en                 la                 situación                                                β  (Quintos, 1995; Berenguer-Rico &amp; Carrion-i-Silvestre,</w:t>
      </w:r>
      <w:r>
        <w:rPr>
          <w:spacing w:val="-12"/>
        </w:rPr>
        <w:t> </w:t>
      </w:r>
      <w:r>
        <w:rPr/>
        <w:t>2011).</w:t>
      </w:r>
    </w:p>
    <w:p>
      <w:pPr>
        <w:pStyle w:val="BodyText"/>
        <w:spacing w:before="8"/>
        <w:ind w:left="830" w:right="115"/>
      </w:pPr>
      <w:r>
        <w:rPr/>
        <w:t>Donde    es  el  gasto  gubernamental  total  incluyendo  el  interés  pagado  sobre  la</w:t>
      </w:r>
    </w:p>
    <w:p>
      <w:pPr>
        <w:spacing w:after="0"/>
        <w:sectPr>
          <w:type w:val="continuous"/>
          <w:pgSz w:w="12250" w:h="15850"/>
          <w:pgMar w:top="1500" w:bottom="280" w:left="1580" w:right="1580"/>
        </w:sectPr>
      </w:pPr>
    </w:p>
    <w:p>
      <w:pPr>
        <w:pStyle w:val="BodyText"/>
        <w:spacing w:before="144"/>
        <w:ind w:left="122" w:right="-16"/>
      </w:pPr>
      <w:r>
        <w:rPr>
          <w:spacing w:val="-1"/>
        </w:rPr>
        <w:t>deuda:</w:t>
      </w:r>
    </w:p>
    <w:p>
      <w:pPr>
        <w:pStyle w:val="BodyText"/>
        <w:rPr>
          <w:sz w:val="26"/>
        </w:rPr>
      </w:pPr>
      <w:r>
        <w:rPr/>
        <w:br w:type="column"/>
      </w:r>
      <w:r>
        <w:rPr>
          <w:sz w:val="26"/>
        </w:rPr>
      </w:r>
    </w:p>
    <w:p>
      <w:pPr>
        <w:pStyle w:val="BodyText"/>
        <w:spacing w:before="7"/>
        <w:rPr>
          <w:sz w:val="22"/>
        </w:rPr>
      </w:pPr>
    </w:p>
    <w:p>
      <w:pPr>
        <w:tabs>
          <w:tab w:pos="3009" w:val="left" w:leader="none"/>
        </w:tabs>
        <w:spacing w:before="0"/>
        <w:ind w:left="122" w:right="0" w:firstLine="0"/>
        <w:jc w:val="left"/>
        <w:rPr>
          <w:sz w:val="24"/>
        </w:rPr>
      </w:pPr>
      <w:r>
        <w:rPr>
          <w:rFonts w:ascii="Cambria Math"/>
          <w:w w:val="284"/>
          <w:sz w:val="24"/>
        </w:rPr>
        <w:t> </w:t>
      </w:r>
      <w:r>
        <w:rPr>
          <w:rFonts w:ascii="Cambria Math"/>
          <w:spacing w:val="-14"/>
          <w:w w:val="284"/>
          <w:sz w:val="24"/>
        </w:rPr>
        <w:t> </w:t>
      </w:r>
      <w:r>
        <w:rPr>
          <w:rFonts w:ascii="Cambria Math"/>
          <w:w w:val="200"/>
          <w:position w:val="-4"/>
          <w:sz w:val="17"/>
        </w:rPr>
        <w:t> </w:t>
      </w:r>
      <w:r>
        <w:rPr>
          <w:rFonts w:ascii="Cambria Math"/>
          <w:position w:val="-4"/>
          <w:sz w:val="17"/>
        </w:rPr>
        <w:t> </w:t>
      </w:r>
      <w:r>
        <w:rPr>
          <w:rFonts w:ascii="Cambria Math"/>
          <w:spacing w:val="6"/>
          <w:position w:val="-4"/>
          <w:sz w:val="17"/>
        </w:rPr>
        <w:t> </w:t>
      </w:r>
      <w:r>
        <w:rPr>
          <w:rFonts w:ascii="Cambria Math"/>
          <w:w w:val="339"/>
          <w:sz w:val="24"/>
        </w:rPr>
        <w:t> </w:t>
      </w:r>
      <w:r>
        <w:rPr>
          <w:rFonts w:ascii="Cambria Math"/>
          <w:sz w:val="24"/>
        </w:rPr>
        <w:t> </w:t>
      </w:r>
      <w:r>
        <w:rPr>
          <w:rFonts w:ascii="Cambria Math"/>
          <w:spacing w:val="15"/>
          <w:sz w:val="24"/>
        </w:rPr>
        <w:t> </w:t>
      </w:r>
      <w:r>
        <w:rPr>
          <w:rFonts w:ascii="Cambria Math"/>
          <w:w w:val="251"/>
          <w:sz w:val="24"/>
        </w:rPr>
        <w:t>  </w:t>
      </w:r>
      <w:r>
        <w:rPr>
          <w:rFonts w:ascii="Cambria Math"/>
          <w:spacing w:val="1"/>
          <w:w w:val="251"/>
          <w:sz w:val="24"/>
        </w:rPr>
        <w:t> </w:t>
      </w:r>
      <w:r>
        <w:rPr>
          <w:rFonts w:ascii="Cambria Math"/>
          <w:w w:val="262"/>
          <w:sz w:val="24"/>
        </w:rPr>
        <w:t> </w:t>
      </w:r>
      <w:r>
        <w:rPr>
          <w:rFonts w:ascii="Cambria Math"/>
          <w:spacing w:val="-1"/>
          <w:w w:val="262"/>
          <w:sz w:val="24"/>
        </w:rPr>
        <w:t> </w:t>
      </w:r>
      <w:r>
        <w:rPr>
          <w:rFonts w:ascii="Cambria Math"/>
          <w:w w:val="200"/>
          <w:position w:val="-4"/>
          <w:sz w:val="17"/>
        </w:rPr>
        <w:t> </w:t>
      </w:r>
      <w:r>
        <w:rPr>
          <w:rFonts w:ascii="Cambria Math"/>
          <w:position w:val="-4"/>
          <w:sz w:val="17"/>
        </w:rPr>
        <w:t> </w:t>
      </w:r>
      <w:r>
        <w:rPr>
          <w:rFonts w:ascii="Cambria Math"/>
          <w:spacing w:val="-9"/>
          <w:position w:val="-4"/>
          <w:sz w:val="17"/>
        </w:rPr>
        <w:t> </w:t>
      </w:r>
      <w:r>
        <w:rPr>
          <w:rFonts w:ascii="Cambria Math"/>
          <w:w w:val="339"/>
          <w:sz w:val="24"/>
        </w:rPr>
        <w:t> </w:t>
      </w:r>
      <w:r>
        <w:rPr>
          <w:rFonts w:ascii="Cambria Math"/>
          <w:spacing w:val="1"/>
          <w:sz w:val="24"/>
        </w:rPr>
        <w:t> </w:t>
      </w:r>
      <w:r>
        <w:rPr>
          <w:rFonts w:ascii="Cambria Math"/>
          <w:w w:val="143"/>
          <w:sz w:val="24"/>
        </w:rPr>
        <w:t> </w:t>
      </w:r>
      <w:r>
        <w:rPr>
          <w:rFonts w:ascii="Cambria Math"/>
          <w:w w:val="200"/>
          <w:position w:val="-4"/>
          <w:sz w:val="17"/>
        </w:rPr>
        <w:t> </w:t>
      </w:r>
      <w:r>
        <w:rPr>
          <w:rFonts w:ascii="Cambria Math"/>
          <w:position w:val="-4"/>
          <w:sz w:val="17"/>
        </w:rPr>
        <w:t> </w:t>
      </w:r>
      <w:r>
        <w:rPr>
          <w:rFonts w:ascii="Cambria Math"/>
          <w:spacing w:val="-9"/>
          <w:position w:val="-4"/>
          <w:sz w:val="17"/>
        </w:rPr>
        <w:t> </w:t>
      </w:r>
      <w:r>
        <w:rPr>
          <w:rFonts w:ascii="Cambria Math"/>
          <w:w w:val="219"/>
          <w:sz w:val="24"/>
        </w:rPr>
        <w:t> </w:t>
      </w:r>
      <w:r>
        <w:rPr>
          <w:rFonts w:ascii="Cambria Math"/>
          <w:spacing w:val="1"/>
          <w:sz w:val="24"/>
        </w:rPr>
        <w:t> </w:t>
      </w:r>
      <w:r>
        <w:rPr>
          <w:rFonts w:ascii="Cambria Math"/>
          <w:spacing w:val="-15"/>
          <w:w w:val="314"/>
          <w:sz w:val="24"/>
        </w:rPr>
        <w:t> </w:t>
      </w:r>
      <w:r>
        <w:rPr>
          <w:rFonts w:ascii="Cambria Math"/>
          <w:spacing w:val="4"/>
          <w:w w:val="200"/>
          <w:position w:val="-4"/>
          <w:sz w:val="17"/>
        </w:rPr>
        <w:t> </w:t>
      </w:r>
      <w:r>
        <w:rPr>
          <w:rFonts w:ascii="Cambria Math"/>
          <w:w w:val="331"/>
          <w:position w:val="-4"/>
          <w:sz w:val="17"/>
        </w:rPr>
        <w:t> </w:t>
      </w:r>
      <w:r>
        <w:rPr>
          <w:rFonts w:ascii="Cambria Math"/>
          <w:w w:val="263"/>
          <w:position w:val="-4"/>
          <w:sz w:val="17"/>
        </w:rPr>
        <w:t> </w:t>
      </w:r>
      <w:r>
        <w:rPr>
          <w:rFonts w:ascii="Cambria Math"/>
          <w:position w:val="-4"/>
          <w:sz w:val="17"/>
        </w:rPr>
        <w:tab/>
      </w:r>
      <w:r>
        <w:rPr>
          <w:sz w:val="24"/>
        </w:rPr>
        <w:t>(1.11)</w:t>
      </w:r>
    </w:p>
    <w:p>
      <w:pPr>
        <w:spacing w:after="0"/>
        <w:jc w:val="left"/>
        <w:rPr>
          <w:sz w:val="24"/>
        </w:rPr>
        <w:sectPr>
          <w:type w:val="continuous"/>
          <w:pgSz w:w="12250" w:h="15850"/>
          <w:pgMar w:top="1500" w:bottom="280" w:left="1580" w:right="1580"/>
          <w:cols w:num="2" w:equalWidth="0">
            <w:col w:w="760" w:space="2780"/>
            <w:col w:w="5550"/>
          </w:cols>
        </w:sectPr>
      </w:pPr>
    </w:p>
    <w:p>
      <w:pPr>
        <w:pStyle w:val="BodyText"/>
        <w:rPr>
          <w:sz w:val="20"/>
        </w:rPr>
      </w:pPr>
    </w:p>
    <w:p>
      <w:pPr>
        <w:pStyle w:val="BodyText"/>
        <w:spacing w:before="7"/>
        <w:rPr>
          <w:sz w:val="22"/>
        </w:rPr>
      </w:pPr>
    </w:p>
    <w:p>
      <w:pPr>
        <w:pStyle w:val="BodyText"/>
        <w:spacing w:line="345" w:lineRule="auto" w:before="69"/>
        <w:ind w:left="122" w:right="118" w:firstLine="707"/>
        <w:jc w:val="both"/>
        <w:rPr>
          <w:sz w:val="16"/>
        </w:rPr>
      </w:pPr>
      <w:r>
        <w:rPr/>
        <w:t>En resumen, para que exista sostenibilidad fiscal, es necesario que las variables de ingresos públicos, gastos gubernamentales y el nivel de endeudamiento presenten una tendencia común o relación de largo plazo.</w:t>
      </w:r>
      <w:r>
        <w:rPr>
          <w:position w:val="11"/>
          <w:sz w:val="16"/>
        </w:rPr>
        <w:t>17</w:t>
      </w:r>
    </w:p>
    <w:p>
      <w:pPr>
        <w:pStyle w:val="BodyText"/>
        <w:spacing w:before="10"/>
        <w:rPr>
          <w:sz w:val="35"/>
        </w:rPr>
      </w:pPr>
    </w:p>
    <w:p>
      <w:pPr>
        <w:pStyle w:val="ListParagraph"/>
        <w:numPr>
          <w:ilvl w:val="3"/>
          <w:numId w:val="8"/>
        </w:numPr>
        <w:tabs>
          <w:tab w:pos="841" w:val="left" w:leader="none"/>
          <w:tab w:pos="842" w:val="left" w:leader="none"/>
        </w:tabs>
        <w:spacing w:line="240" w:lineRule="auto" w:before="0" w:after="0"/>
        <w:ind w:left="842" w:right="0" w:hanging="555"/>
        <w:jc w:val="left"/>
        <w:rPr>
          <w:i/>
          <w:sz w:val="24"/>
        </w:rPr>
      </w:pPr>
      <w:r>
        <w:rPr>
          <w:i/>
          <w:sz w:val="24"/>
        </w:rPr>
        <w:t>La función de reacción fiscal</w:t>
      </w:r>
      <w:r>
        <w:rPr>
          <w:i/>
          <w:spacing w:val="-8"/>
          <w:sz w:val="24"/>
        </w:rPr>
        <w:t> </w:t>
      </w:r>
      <w:r>
        <w:rPr>
          <w:i/>
          <w:sz w:val="24"/>
        </w:rPr>
        <w:t>(FRF)</w:t>
      </w:r>
    </w:p>
    <w:p>
      <w:pPr>
        <w:pStyle w:val="BodyText"/>
        <w:spacing w:before="2"/>
        <w:rPr>
          <w:i/>
        </w:rPr>
      </w:pPr>
    </w:p>
    <w:p>
      <w:pPr>
        <w:pStyle w:val="BodyText"/>
        <w:spacing w:line="360" w:lineRule="auto"/>
        <w:ind w:left="122" w:right="124" w:firstLine="707"/>
        <w:jc w:val="both"/>
      </w:pPr>
      <w:r>
        <w:rPr/>
        <w:pict>
          <v:line style="position:absolute;mso-position-horizontal-relative:page;mso-position-vertical-relative:paragraph;z-index:1528;mso-wrap-distance-left:0;mso-wrap-distance-right:0" from="85.103996pt,43.54311pt" to="229.123996pt,43.54311pt" stroked="true" strokeweight=".60004pt" strokecolor="#000000">
            <w10:wrap type="topAndBottom"/>
          </v:line>
        </w:pict>
      </w:r>
      <w:r>
        <w:rPr/>
        <w:t>La función de reacción fiscal es una herramienta para el análisis de la sostenibilidad fiscal  en  el  largo  plazo,  la  cual  permite  evaluar  los  cambios  en  el  resultado      fiscal</w:t>
      </w:r>
    </w:p>
    <w:p>
      <w:pPr>
        <w:spacing w:before="50"/>
        <w:ind w:left="122" w:right="115" w:firstLine="0"/>
        <w:jc w:val="left"/>
        <w:rPr>
          <w:sz w:val="20"/>
        </w:rPr>
      </w:pPr>
      <w:r>
        <w:rPr>
          <w:position w:val="9"/>
          <w:sz w:val="13"/>
        </w:rPr>
        <w:t>16 </w:t>
      </w:r>
      <w:r>
        <w:rPr>
          <w:sz w:val="20"/>
        </w:rPr>
        <w:t>Significa una relación de largo plazo.</w:t>
      </w:r>
    </w:p>
    <w:p>
      <w:pPr>
        <w:pStyle w:val="BodyText"/>
        <w:spacing w:before="10"/>
        <w:rPr>
          <w:sz w:val="17"/>
        </w:rPr>
      </w:pPr>
    </w:p>
    <w:p>
      <w:pPr>
        <w:spacing w:line="254" w:lineRule="exact" w:before="0"/>
        <w:ind w:left="122" w:right="115" w:firstLine="0"/>
        <w:jc w:val="left"/>
        <w:rPr>
          <w:sz w:val="20"/>
        </w:rPr>
      </w:pPr>
      <w:r>
        <w:rPr>
          <w:w w:val="105"/>
          <w:position w:val="9"/>
          <w:sz w:val="13"/>
        </w:rPr>
        <w:t>17</w:t>
      </w:r>
      <w:r>
        <w:rPr>
          <w:w w:val="105"/>
          <w:sz w:val="20"/>
        </w:rPr>
        <w:t>Caso contrario se podría evidenciar una r                    :                                                                 </w:t>
      </w:r>
      <w:r>
        <w:rPr>
          <w:w w:val="85"/>
          <w:sz w:val="20"/>
        </w:rPr>
        <w:t>― </w:t>
      </w:r>
      <w:r>
        <w:rPr>
          <w:w w:val="105"/>
          <w:sz w:val="20"/>
        </w:rPr>
        <w:t>‖</w:t>
      </w:r>
      <w:r>
        <w:rPr>
          <w:sz w:val="20"/>
        </w:rPr>
        <w:t> </w:t>
      </w:r>
      <w:r>
        <w:rPr>
          <w:w w:val="199"/>
          <w:sz w:val="20"/>
        </w:rPr>
        <w:t> </w:t>
      </w:r>
      <w:r>
        <w:rPr>
          <w:w w:val="176"/>
          <w:sz w:val="20"/>
        </w:rPr>
        <w:t> </w:t>
      </w:r>
    </w:p>
    <w:p>
      <w:pPr>
        <w:spacing w:before="0"/>
        <w:ind w:left="122" w:right="129" w:firstLine="0"/>
        <w:jc w:val="left"/>
        <w:rPr>
          <w:sz w:val="20"/>
        </w:rPr>
      </w:pPr>
      <w:r>
        <w:rPr>
          <w:w w:val="177"/>
          <w:sz w:val="20"/>
        </w:rPr>
        <w:t>  </w:t>
      </w:r>
      <w:r>
        <w:rPr>
          <w:spacing w:val="-2"/>
          <w:w w:val="177"/>
          <w:sz w:val="20"/>
        </w:rPr>
        <w:t> </w:t>
      </w:r>
      <w:r>
        <w:rPr>
          <w:spacing w:val="1"/>
          <w:w w:val="199"/>
          <w:sz w:val="20"/>
        </w:rPr>
        <w:t> </w:t>
      </w:r>
      <w:r>
        <w:rPr>
          <w:spacing w:val="2"/>
          <w:w w:val="176"/>
          <w:sz w:val="20"/>
        </w:rPr>
        <w:t> </w:t>
      </w:r>
      <w:r>
        <w:rPr>
          <w:spacing w:val="-2"/>
          <w:w w:val="199"/>
          <w:sz w:val="20"/>
        </w:rPr>
        <w:t> </w:t>
      </w:r>
      <w:r>
        <w:rPr>
          <w:w w:val="110"/>
          <w:sz w:val="20"/>
        </w:rPr>
        <w:t> </w:t>
      </w:r>
      <w:r>
        <w:rPr>
          <w:spacing w:val="2"/>
          <w:sz w:val="20"/>
        </w:rPr>
        <w:t> </w:t>
      </w:r>
      <w:r>
        <w:rPr>
          <w:w w:val="199"/>
          <w:sz w:val="20"/>
        </w:rPr>
        <w:t> </w:t>
      </w:r>
      <w:r>
        <w:rPr>
          <w:spacing w:val="-1"/>
          <w:sz w:val="20"/>
        </w:rPr>
        <w:t> </w:t>
      </w:r>
      <w:r>
        <w:rPr>
          <w:spacing w:val="-2"/>
          <w:w w:val="44"/>
          <w:sz w:val="20"/>
        </w:rPr>
        <w:t>―</w:t>
      </w:r>
      <w:r>
        <w:rPr>
          <w:w w:val="119"/>
          <w:sz w:val="20"/>
        </w:rPr>
        <w:t>F‖</w:t>
      </w:r>
      <w:r>
        <w:rPr>
          <w:sz w:val="20"/>
        </w:rPr>
        <w:t> </w:t>
      </w:r>
      <w:r>
        <w:rPr>
          <w:spacing w:val="1"/>
          <w:w w:val="199"/>
          <w:sz w:val="20"/>
        </w:rPr>
        <w:t> </w:t>
      </w:r>
      <w:r>
        <w:rPr>
          <w:w w:val="176"/>
          <w:sz w:val="20"/>
        </w:rPr>
        <w:t> </w:t>
      </w:r>
      <w:r>
        <w:rPr>
          <w:sz w:val="20"/>
        </w:rPr>
        <w:t> </w:t>
      </w:r>
      <w:r>
        <w:rPr>
          <w:w w:val="103"/>
          <w:sz w:val="20"/>
        </w:rPr>
        <w:t>F</w:t>
      </w:r>
      <w:r>
        <w:rPr>
          <w:spacing w:val="1"/>
          <w:w w:val="103"/>
          <w:sz w:val="20"/>
        </w:rPr>
        <w:t> </w:t>
      </w:r>
      <w:r>
        <w:rPr>
          <w:spacing w:val="-1"/>
          <w:w w:val="154"/>
          <w:sz w:val="20"/>
        </w:rPr>
        <w:t> </w:t>
      </w:r>
      <w:r>
        <w:rPr>
          <w:spacing w:val="-2"/>
          <w:w w:val="199"/>
          <w:sz w:val="20"/>
        </w:rPr>
        <w:t> </w:t>
      </w:r>
      <w:r>
        <w:rPr>
          <w:w w:val="154"/>
          <w:sz w:val="20"/>
        </w:rPr>
        <w:t> </w:t>
      </w:r>
      <w:r>
        <w:rPr>
          <w:spacing w:val="1"/>
          <w:w w:val="154"/>
          <w:sz w:val="20"/>
        </w:rPr>
        <w:t> </w:t>
      </w:r>
      <w:r>
        <w:rPr>
          <w:w w:val="132"/>
          <w:sz w:val="20"/>
        </w:rPr>
        <w:t> </w:t>
      </w:r>
      <w:r>
        <w:rPr>
          <w:sz w:val="20"/>
        </w:rPr>
        <w:t> </w:t>
      </w:r>
      <w:r>
        <w:rPr>
          <w:w w:val="162"/>
          <w:sz w:val="20"/>
        </w:rPr>
        <w:t>  </w:t>
      </w:r>
      <w:r>
        <w:rPr>
          <w:spacing w:val="-1"/>
          <w:w w:val="162"/>
          <w:sz w:val="20"/>
        </w:rPr>
        <w:t> </w:t>
      </w:r>
      <w:r>
        <w:rPr>
          <w:spacing w:val="1"/>
          <w:w w:val="199"/>
          <w:sz w:val="20"/>
        </w:rPr>
        <w:t> </w:t>
      </w:r>
      <w:r>
        <w:rPr>
          <w:spacing w:val="2"/>
          <w:w w:val="176"/>
          <w:sz w:val="20"/>
        </w:rPr>
        <w:t> </w:t>
      </w:r>
      <w:r>
        <w:rPr>
          <w:w w:val="132"/>
          <w:sz w:val="20"/>
        </w:rPr>
        <w:t> </w:t>
      </w:r>
      <w:r>
        <w:rPr>
          <w:w w:val="162"/>
          <w:sz w:val="20"/>
        </w:rPr>
        <w:t>   </w:t>
      </w:r>
      <w:r>
        <w:rPr>
          <w:spacing w:val="-1"/>
          <w:sz w:val="20"/>
        </w:rPr>
        <w:t> </w:t>
      </w:r>
      <w:r>
        <w:rPr>
          <w:w w:val="176"/>
          <w:sz w:val="20"/>
        </w:rPr>
        <w:t> </w:t>
      </w:r>
      <w:r>
        <w:rPr>
          <w:sz w:val="20"/>
        </w:rPr>
        <w:t> </w:t>
      </w:r>
      <w:r>
        <w:rPr>
          <w:w w:val="132"/>
          <w:sz w:val="20"/>
        </w:rPr>
        <w:t> </w:t>
      </w:r>
      <w:r>
        <w:rPr>
          <w:w w:val="176"/>
          <w:sz w:val="20"/>
        </w:rPr>
        <w:t>  </w:t>
      </w:r>
      <w:r>
        <w:rPr>
          <w:spacing w:val="-2"/>
          <w:w w:val="199"/>
          <w:sz w:val="20"/>
        </w:rPr>
        <w:t> </w:t>
      </w:r>
      <w:r>
        <w:rPr>
          <w:w w:val="176"/>
          <w:sz w:val="20"/>
        </w:rPr>
        <w:t>  </w:t>
      </w:r>
      <w:r>
        <w:rPr>
          <w:w w:val="154"/>
          <w:sz w:val="20"/>
        </w:rPr>
        <w:t>  </w:t>
      </w:r>
      <w:r>
        <w:rPr>
          <w:spacing w:val="1"/>
          <w:sz w:val="20"/>
        </w:rPr>
        <w:t> </w:t>
      </w:r>
      <w:r>
        <w:rPr>
          <w:w w:val="143"/>
          <w:sz w:val="20"/>
        </w:rPr>
        <w:t>  </w:t>
      </w:r>
      <w:r>
        <w:rPr>
          <w:sz w:val="20"/>
        </w:rPr>
        <w:t> </w:t>
      </w:r>
      <w:r>
        <w:rPr>
          <w:spacing w:val="-2"/>
          <w:w w:val="199"/>
          <w:sz w:val="20"/>
        </w:rPr>
        <w:t> </w:t>
      </w:r>
      <w:r>
        <w:rPr>
          <w:w w:val="154"/>
          <w:sz w:val="20"/>
        </w:rPr>
        <w:t>  </w:t>
      </w:r>
      <w:r>
        <w:rPr>
          <w:spacing w:val="1"/>
          <w:w w:val="199"/>
          <w:sz w:val="20"/>
        </w:rPr>
        <w:t> </w:t>
      </w:r>
      <w:r>
        <w:rPr>
          <w:w w:val="138"/>
          <w:sz w:val="20"/>
        </w:rPr>
        <w:t>   </w:t>
      </w:r>
      <w:r>
        <w:rPr>
          <w:spacing w:val="-1"/>
          <w:w w:val="138"/>
          <w:sz w:val="20"/>
        </w:rPr>
        <w:t> </w:t>
      </w:r>
      <w:r>
        <w:rPr>
          <w:w w:val="154"/>
          <w:sz w:val="20"/>
        </w:rPr>
        <w:t> </w:t>
      </w:r>
      <w:r>
        <w:rPr>
          <w:spacing w:val="-1"/>
          <w:sz w:val="20"/>
        </w:rPr>
        <w:t> </w:t>
      </w:r>
      <w:r>
        <w:rPr>
          <w:spacing w:val="1"/>
          <w:w w:val="199"/>
          <w:sz w:val="20"/>
        </w:rPr>
        <w:t> </w:t>
      </w:r>
      <w:r>
        <w:rPr>
          <w:w w:val="176"/>
          <w:sz w:val="20"/>
        </w:rPr>
        <w:t> </w:t>
      </w:r>
      <w:r>
        <w:rPr>
          <w:spacing w:val="3"/>
          <w:sz w:val="20"/>
        </w:rPr>
        <w:t> </w:t>
      </w:r>
      <w:r>
        <w:rPr>
          <w:w w:val="188"/>
          <w:sz w:val="20"/>
        </w:rPr>
        <w:t> </w:t>
      </w:r>
      <w:r>
        <w:rPr>
          <w:spacing w:val="-1"/>
          <w:w w:val="188"/>
          <w:sz w:val="20"/>
        </w:rPr>
        <w:t> </w:t>
      </w:r>
      <w:r>
        <w:rPr>
          <w:spacing w:val="-1"/>
          <w:w w:val="154"/>
          <w:sz w:val="20"/>
        </w:rPr>
        <w:t> </w:t>
      </w:r>
      <w:r>
        <w:rPr>
          <w:spacing w:val="2"/>
          <w:w w:val="176"/>
          <w:sz w:val="20"/>
        </w:rPr>
        <w:t> </w:t>
      </w:r>
      <w:r>
        <w:rPr>
          <w:spacing w:val="-2"/>
          <w:w w:val="199"/>
          <w:sz w:val="20"/>
        </w:rPr>
        <w:t> </w:t>
      </w:r>
      <w:r>
        <w:rPr>
          <w:w w:val="154"/>
          <w:sz w:val="20"/>
        </w:rPr>
        <w:t>   </w:t>
      </w:r>
      <w:r>
        <w:rPr>
          <w:sz w:val="20"/>
        </w:rPr>
        <w:t> </w:t>
      </w:r>
      <w:r>
        <w:rPr>
          <w:spacing w:val="1"/>
          <w:w w:val="199"/>
          <w:sz w:val="20"/>
        </w:rPr>
        <w:t> </w:t>
      </w:r>
      <w:r>
        <w:rPr>
          <w:w w:val="176"/>
          <w:sz w:val="20"/>
        </w:rPr>
        <w:t> </w:t>
      </w:r>
      <w:r>
        <w:rPr>
          <w:sz w:val="20"/>
        </w:rPr>
        <w:t> </w:t>
      </w:r>
      <w:r>
        <w:rPr>
          <w:w w:val="132"/>
          <w:sz w:val="20"/>
        </w:rPr>
        <w:t> </w:t>
      </w:r>
      <w:r>
        <w:rPr>
          <w:w w:val="160"/>
          <w:sz w:val="20"/>
        </w:rPr>
        <w:t>    </w:t>
      </w:r>
      <w:r>
        <w:rPr>
          <w:w w:val="154"/>
          <w:sz w:val="20"/>
        </w:rPr>
        <w:t>  </w:t>
      </w:r>
      <w:r>
        <w:rPr>
          <w:spacing w:val="-2"/>
          <w:w w:val="199"/>
          <w:sz w:val="20"/>
        </w:rPr>
        <w:t> </w:t>
      </w:r>
      <w:r>
        <w:rPr>
          <w:w w:val="99"/>
          <w:sz w:val="20"/>
        </w:rPr>
        <w:t> </w:t>
      </w:r>
      <w:r>
        <w:rPr>
          <w:sz w:val="20"/>
        </w:rPr>
        <w:t> </w:t>
      </w:r>
      <w:r>
        <w:rPr>
          <w:w w:val="188"/>
          <w:sz w:val="20"/>
        </w:rPr>
        <w:t> </w:t>
      </w:r>
      <w:r>
        <w:rPr>
          <w:spacing w:val="-1"/>
          <w:w w:val="188"/>
          <w:sz w:val="20"/>
        </w:rPr>
        <w:t> </w:t>
      </w:r>
      <w:r>
        <w:rPr>
          <w:spacing w:val="2"/>
          <w:w w:val="176"/>
          <w:sz w:val="20"/>
        </w:rPr>
        <w:t> </w:t>
      </w:r>
      <w:r>
        <w:rPr>
          <w:spacing w:val="-2"/>
          <w:w w:val="199"/>
          <w:sz w:val="20"/>
        </w:rPr>
        <w:t> </w:t>
      </w:r>
      <w:r>
        <w:rPr>
          <w:spacing w:val="1"/>
          <w:w w:val="199"/>
          <w:sz w:val="20"/>
        </w:rPr>
        <w:t>  </w:t>
      </w:r>
      <w:r>
        <w:rPr>
          <w:w w:val="99"/>
          <w:sz w:val="20"/>
        </w:rPr>
        <w:t> </w:t>
      </w:r>
      <w:r>
        <w:rPr>
          <w:sz w:val="20"/>
        </w:rPr>
        <w:t> </w:t>
      </w:r>
      <w:r>
        <w:rPr>
          <w:spacing w:val="1"/>
          <w:w w:val="199"/>
          <w:sz w:val="20"/>
        </w:rPr>
        <w:t> </w:t>
      </w:r>
      <w:r>
        <w:rPr>
          <w:w w:val="176"/>
          <w:sz w:val="20"/>
        </w:rPr>
        <w:t> </w:t>
      </w:r>
      <w:r>
        <w:rPr>
          <w:sz w:val="20"/>
        </w:rPr>
        <w:t> </w:t>
      </w:r>
      <w:r>
        <w:rPr>
          <w:spacing w:val="-2"/>
          <w:w w:val="199"/>
          <w:sz w:val="20"/>
        </w:rPr>
        <w:t> </w:t>
      </w:r>
      <w:r>
        <w:rPr>
          <w:w w:val="176"/>
          <w:sz w:val="20"/>
        </w:rPr>
        <w:t>  </w:t>
      </w:r>
      <w:r>
        <w:rPr>
          <w:spacing w:val="-2"/>
          <w:w w:val="199"/>
          <w:sz w:val="20"/>
        </w:rPr>
        <w:t> </w:t>
      </w:r>
      <w:r>
        <w:rPr>
          <w:spacing w:val="1"/>
          <w:w w:val="199"/>
          <w:sz w:val="20"/>
        </w:rPr>
        <w:t> </w:t>
      </w:r>
      <w:r>
        <w:rPr>
          <w:w w:val="99"/>
          <w:sz w:val="20"/>
        </w:rPr>
        <w:t> </w:t>
      </w:r>
      <w:r>
        <w:rPr>
          <w:sz w:val="20"/>
        </w:rPr>
        <w:t> </w:t>
      </w:r>
      <w:r>
        <w:rPr>
          <w:spacing w:val="-2"/>
          <w:w w:val="199"/>
          <w:sz w:val="20"/>
        </w:rPr>
        <w:t> </w:t>
      </w:r>
      <w:r>
        <w:rPr>
          <w:w w:val="199"/>
          <w:sz w:val="20"/>
        </w:rPr>
        <w:t> </w:t>
      </w:r>
      <w:r>
        <w:rPr>
          <w:spacing w:val="1"/>
          <w:sz w:val="20"/>
        </w:rPr>
        <w:t> </w:t>
      </w:r>
      <w:r>
        <w:rPr>
          <w:spacing w:val="1"/>
          <w:w w:val="199"/>
          <w:sz w:val="20"/>
        </w:rPr>
        <w:t>   </w:t>
      </w:r>
      <w:r>
        <w:rPr>
          <w:w w:val="132"/>
          <w:sz w:val="20"/>
        </w:rPr>
        <w:t> </w:t>
      </w:r>
      <w:r>
        <w:rPr>
          <w:w w:val="143"/>
          <w:sz w:val="20"/>
        </w:rPr>
        <w:t>  </w:t>
      </w:r>
      <w:r>
        <w:rPr>
          <w:sz w:val="20"/>
        </w:rPr>
        <w:t>existir (Greene, 1999, p.</w:t>
      </w:r>
      <w:r>
        <w:rPr>
          <w:spacing w:val="-5"/>
          <w:sz w:val="20"/>
        </w:rPr>
        <w:t> </w:t>
      </w:r>
      <w:r>
        <w:rPr>
          <w:sz w:val="20"/>
        </w:rPr>
        <w:t>727).</w:t>
      </w:r>
    </w:p>
    <w:p>
      <w:pPr>
        <w:spacing w:after="0"/>
        <w:jc w:val="left"/>
        <w:rPr>
          <w:sz w:val="20"/>
        </w:rPr>
        <w:sectPr>
          <w:type w:val="continuous"/>
          <w:pgSz w:w="12250" w:h="15850"/>
          <w:pgMar w:top="1500" w:bottom="280" w:left="1580" w:right="1580"/>
        </w:sectPr>
      </w:pPr>
    </w:p>
    <w:p>
      <w:pPr>
        <w:pStyle w:val="BodyText"/>
        <w:spacing w:line="360" w:lineRule="auto" w:before="50"/>
        <w:ind w:left="102" w:right="115"/>
        <w:jc w:val="both"/>
      </w:pPr>
      <w:r>
        <w:rPr/>
        <w:t>ocasionados por cambios en el nivel de endeudamiento previo, por tanto, este mecanismo   se centra en la hipótesis básica de que a mayor endeudamiento público, existe una disminución en el déficit fiscal o, en su defecto, un incremento en el superávit fiscal (Stoian &amp; Câmpeanu,</w:t>
      </w:r>
      <w:r>
        <w:rPr>
          <w:spacing w:val="-4"/>
        </w:rPr>
        <w:t> </w:t>
      </w:r>
      <w:r>
        <w:rPr/>
        <w:t>2010).</w:t>
      </w:r>
    </w:p>
    <w:p>
      <w:pPr>
        <w:pStyle w:val="BodyText"/>
        <w:spacing w:line="360" w:lineRule="auto" w:before="6"/>
        <w:ind w:left="102" w:right="117" w:firstLine="707"/>
        <w:jc w:val="both"/>
      </w:pPr>
      <w:r>
        <w:rPr/>
        <w:t>La hipótesis de reacción fiscal sostenible fundamenta que la solvencia del gobierno se aprecia en presencia de incrementos del nivel de endeudamiento público lo que lleva a una mejora de la capacidad de pago del gobierno. De forma contraria, un aumento en el nivel de deuda y un deterioro en los resultados fiscales (aumento del déficit) demostrarían  el riesgo del gobierno en incurrir en cesación de pagos de la deuda</w:t>
      </w:r>
      <w:r>
        <w:rPr>
          <w:spacing w:val="-15"/>
        </w:rPr>
        <w:t> </w:t>
      </w:r>
      <w:r>
        <w:rPr/>
        <w:t>pública.</w:t>
      </w:r>
    </w:p>
    <w:p>
      <w:pPr>
        <w:pStyle w:val="BodyText"/>
        <w:spacing w:line="360" w:lineRule="auto" w:before="4"/>
        <w:ind w:left="102" w:right="118" w:firstLine="707"/>
        <w:jc w:val="both"/>
      </w:pPr>
      <w:r>
        <w:rPr/>
        <w:t>La insostenibilidad fiscal deteriora el bienestar general a través de déficits fiscales persistentes y excesiva deuda pública, generando un uso ineficiente de los recursos y provocando incremento en la tasa de inflación y volatilidades macroeconómicas (Agnello  &amp; Sousa, 2009). Adicionalmente, la insostenibilidad fiscal involucra el riesgo  de incremento de las tasas de interés futuras, con contracciones en el crecimiento económico (Castro &amp; Hernandez de Cos,</w:t>
      </w:r>
      <w:r>
        <w:rPr>
          <w:spacing w:val="-2"/>
        </w:rPr>
        <w:t> </w:t>
      </w:r>
      <w:r>
        <w:rPr/>
        <w:t>2000).</w:t>
      </w:r>
    </w:p>
    <w:p>
      <w:pPr>
        <w:pStyle w:val="BodyText"/>
        <w:spacing w:line="360" w:lineRule="auto" w:before="4"/>
        <w:ind w:left="102" w:right="118" w:firstLine="707"/>
        <w:jc w:val="both"/>
      </w:pPr>
      <w:r>
        <w:rPr/>
        <w:t>Por otra parte, se argumenta que la sostenibilidad fiscal se presenta en el comportamiento estacionario de la deuda pública (oscila en torno a una media) y por lo tanto los gobiernos no están presionados a incrementar los impuestos ni a disminuir el gasto público, revirtiendo el déficit fiscal o limitándose al endeudamiento público (Blanchard, et al., 1991).</w:t>
      </w:r>
    </w:p>
    <w:p>
      <w:pPr>
        <w:pStyle w:val="BodyText"/>
        <w:spacing w:line="360" w:lineRule="auto" w:before="6"/>
        <w:ind w:left="102" w:right="117" w:firstLine="707"/>
        <w:jc w:val="both"/>
      </w:pPr>
      <w:r>
        <w:rPr/>
        <w:t>De esta forma, Bohn (2005; 2007) demuestra que el cálculo de la sostenibilidad fiscal está enmarcada por una </w:t>
      </w:r>
      <w:r>
        <w:rPr>
          <w:i/>
        </w:rPr>
        <w:t>función de reacción fiscal </w:t>
      </w:r>
      <w:r>
        <w:rPr/>
        <w:t>que describe el resultado primario global fiscal, como una función directa del endeudamiento, ambas en términos del PIB, la esencia de esta función radica en evaluar la habilidad del gobierno para generar superávit primario en función de la restricción presupuestaria en el largo plazo resultante del endeudamiento.</w:t>
      </w:r>
    </w:p>
    <w:p>
      <w:pPr>
        <w:spacing w:before="4"/>
        <w:ind w:left="0" w:right="96" w:firstLine="0"/>
        <w:jc w:val="center"/>
        <w:rPr>
          <w:sz w:val="24"/>
        </w:rPr>
      </w:pPr>
      <w:r>
        <w:rPr>
          <w:sz w:val="24"/>
        </w:rPr>
        <w:t>Por tanto, la </w:t>
      </w:r>
      <w:r>
        <w:rPr>
          <w:i/>
          <w:sz w:val="24"/>
        </w:rPr>
        <w:t>función de reacción fiscal </w:t>
      </w:r>
      <w:r>
        <w:rPr>
          <w:sz w:val="24"/>
        </w:rPr>
        <w:t>(FRF) puede ser estimada a partir de:</w:t>
      </w:r>
    </w:p>
    <w:p>
      <w:pPr>
        <w:tabs>
          <w:tab w:pos="3634" w:val="left" w:leader="none"/>
        </w:tabs>
        <w:spacing w:before="141"/>
        <w:ind w:left="0" w:right="15" w:firstLine="0"/>
        <w:jc w:val="center"/>
        <w:rPr>
          <w:sz w:val="24"/>
        </w:rPr>
      </w:pPr>
      <w:r>
        <w:rPr>
          <w:rFonts w:ascii="Cambria Math"/>
          <w:w w:val="249"/>
          <w:sz w:val="24"/>
        </w:rPr>
        <w:t>  </w:t>
      </w:r>
      <w:r>
        <w:rPr>
          <w:rFonts w:ascii="Cambria Math"/>
          <w:spacing w:val="-6"/>
          <w:w w:val="249"/>
          <w:sz w:val="24"/>
        </w:rPr>
        <w:t> </w:t>
      </w:r>
      <w:r>
        <w:rPr>
          <w:rFonts w:ascii="Cambria Math"/>
          <w:w w:val="200"/>
          <w:position w:val="-4"/>
          <w:sz w:val="17"/>
        </w:rPr>
        <w:t> </w:t>
      </w:r>
      <w:r>
        <w:rPr>
          <w:rFonts w:ascii="Cambria Math"/>
          <w:position w:val="-4"/>
          <w:sz w:val="17"/>
        </w:rPr>
        <w:t> </w:t>
      </w:r>
      <w:r>
        <w:rPr>
          <w:rFonts w:ascii="Cambria Math"/>
          <w:spacing w:val="6"/>
          <w:position w:val="-4"/>
          <w:sz w:val="17"/>
        </w:rPr>
        <w:t> </w:t>
      </w:r>
      <w:r>
        <w:rPr>
          <w:rFonts w:ascii="Cambria Math"/>
          <w:w w:val="339"/>
          <w:sz w:val="24"/>
        </w:rPr>
        <w:t> </w:t>
      </w:r>
      <w:r>
        <w:rPr>
          <w:rFonts w:ascii="Cambria Math"/>
          <w:sz w:val="24"/>
        </w:rPr>
        <w:t> </w:t>
      </w:r>
      <w:r>
        <w:rPr>
          <w:rFonts w:ascii="Cambria Math"/>
          <w:spacing w:val="12"/>
          <w:sz w:val="24"/>
        </w:rPr>
        <w:t> </w:t>
      </w:r>
      <w:r>
        <w:rPr>
          <w:rFonts w:ascii="Cambria Math"/>
          <w:w w:val="272"/>
          <w:sz w:val="24"/>
        </w:rPr>
        <w:t> </w:t>
      </w:r>
      <w:r>
        <w:rPr>
          <w:rFonts w:ascii="Cambria Math"/>
          <w:spacing w:val="7"/>
          <w:sz w:val="24"/>
        </w:rPr>
        <w:t> </w:t>
      </w:r>
      <w:r>
        <w:rPr>
          <w:rFonts w:ascii="Cambria Math"/>
          <w:w w:val="339"/>
          <w:sz w:val="24"/>
        </w:rPr>
        <w:t> </w:t>
      </w:r>
      <w:r>
        <w:rPr>
          <w:rFonts w:ascii="Cambria Math"/>
          <w:sz w:val="24"/>
        </w:rPr>
        <w:t>  </w:t>
      </w:r>
      <w:r>
        <w:rPr>
          <w:rFonts w:ascii="Cambria Math"/>
          <w:w w:val="275"/>
          <w:sz w:val="24"/>
        </w:rPr>
        <w:t> </w:t>
      </w:r>
      <w:r>
        <w:rPr>
          <w:rFonts w:ascii="Cambria Math"/>
          <w:spacing w:val="8"/>
          <w:sz w:val="24"/>
        </w:rPr>
        <w:t> </w:t>
      </w:r>
      <w:r>
        <w:rPr>
          <w:rFonts w:ascii="Cambria Math"/>
          <w:w w:val="263"/>
          <w:sz w:val="24"/>
        </w:rPr>
        <w:t> </w:t>
      </w:r>
      <w:r>
        <w:rPr>
          <w:rFonts w:ascii="Cambria Math"/>
          <w:spacing w:val="4"/>
          <w:w w:val="200"/>
          <w:position w:val="-4"/>
          <w:sz w:val="17"/>
        </w:rPr>
        <w:t> </w:t>
      </w:r>
      <w:r>
        <w:rPr>
          <w:rFonts w:ascii="Cambria Math"/>
          <w:w w:val="331"/>
          <w:position w:val="-4"/>
          <w:sz w:val="17"/>
        </w:rPr>
        <w:t> </w:t>
      </w:r>
      <w:r>
        <w:rPr>
          <w:rFonts w:ascii="Cambria Math"/>
          <w:w w:val="263"/>
          <w:position w:val="-4"/>
          <w:sz w:val="17"/>
        </w:rPr>
        <w:t> </w:t>
      </w:r>
      <w:r>
        <w:rPr>
          <w:rFonts w:ascii="Cambria Math"/>
          <w:position w:val="-4"/>
          <w:sz w:val="17"/>
        </w:rPr>
        <w:t> </w:t>
      </w:r>
      <w:r>
        <w:rPr>
          <w:rFonts w:ascii="Cambria Math"/>
          <w:spacing w:val="-13"/>
          <w:position w:val="-4"/>
          <w:sz w:val="17"/>
        </w:rPr>
        <w:t> </w:t>
      </w:r>
      <w:r>
        <w:rPr>
          <w:rFonts w:ascii="Cambria Math"/>
          <w:w w:val="339"/>
          <w:sz w:val="24"/>
        </w:rPr>
        <w:t> </w:t>
      </w:r>
      <w:r>
        <w:rPr>
          <w:rFonts w:ascii="Cambria Math"/>
          <w:sz w:val="24"/>
        </w:rPr>
        <w:t> </w:t>
      </w:r>
      <w:r>
        <w:rPr>
          <w:rFonts w:ascii="Cambria Math"/>
          <w:w w:val="244"/>
          <w:sz w:val="24"/>
        </w:rPr>
        <w:t> </w:t>
      </w:r>
      <w:r>
        <w:rPr>
          <w:rFonts w:ascii="Cambria Math"/>
          <w:spacing w:val="7"/>
          <w:sz w:val="24"/>
        </w:rPr>
        <w:t> </w:t>
      </w:r>
      <w:r>
        <w:rPr>
          <w:rFonts w:ascii="Cambria Math"/>
          <w:spacing w:val="-8"/>
          <w:w w:val="268"/>
          <w:sz w:val="24"/>
        </w:rPr>
        <w:t> </w:t>
      </w:r>
      <w:r>
        <w:rPr>
          <w:rFonts w:ascii="Cambria Math"/>
          <w:w w:val="200"/>
          <w:position w:val="-4"/>
          <w:sz w:val="17"/>
        </w:rPr>
        <w:t> </w:t>
      </w:r>
      <w:r>
        <w:rPr>
          <w:rFonts w:ascii="Cambria Math"/>
          <w:position w:val="-4"/>
          <w:sz w:val="17"/>
        </w:rPr>
        <w:t> </w:t>
      </w:r>
      <w:r>
        <w:rPr>
          <w:rFonts w:ascii="Cambria Math"/>
          <w:spacing w:val="-6"/>
          <w:position w:val="-4"/>
          <w:sz w:val="17"/>
        </w:rPr>
        <w:t> </w:t>
      </w:r>
      <w:r>
        <w:rPr>
          <w:rFonts w:ascii="Cambria Math"/>
          <w:w w:val="339"/>
          <w:sz w:val="24"/>
        </w:rPr>
        <w:t> </w:t>
      </w:r>
      <w:r>
        <w:rPr>
          <w:rFonts w:ascii="Cambria Math"/>
          <w:spacing w:val="1"/>
          <w:sz w:val="24"/>
        </w:rPr>
        <w:t> </w:t>
      </w:r>
      <w:r>
        <w:rPr>
          <w:rFonts w:ascii="Cambria Math"/>
          <w:w w:val="206"/>
          <w:sz w:val="24"/>
        </w:rPr>
        <w:t> </w:t>
      </w:r>
      <w:r>
        <w:rPr>
          <w:rFonts w:ascii="Cambria Math"/>
          <w:sz w:val="24"/>
        </w:rPr>
        <w:tab/>
      </w:r>
      <w:r>
        <w:rPr>
          <w:sz w:val="24"/>
        </w:rPr>
        <w:t>(1.12)</w:t>
      </w:r>
    </w:p>
    <w:p>
      <w:pPr>
        <w:pStyle w:val="BodyText"/>
        <w:spacing w:before="146"/>
        <w:ind w:left="810" w:right="127"/>
      </w:pPr>
      <w:r>
        <w:rPr/>
        <w:t>Donde:           es el resultado primario fiscal (superávit/déficit) en términos del   PIB</w:t>
      </w:r>
    </w:p>
    <w:p>
      <w:pPr>
        <w:pStyle w:val="BodyText"/>
        <w:spacing w:before="146"/>
        <w:ind w:left="102"/>
        <w:jc w:val="both"/>
      </w:pPr>
      <w:r>
        <w:rPr>
          <w:w w:val="177"/>
        </w:rPr>
        <w:t> </w:t>
      </w:r>
      <w:r>
        <w:rPr>
          <w:w w:val="200"/>
        </w:rPr>
        <w:t> </w:t>
      </w:r>
      <w:r>
        <w:rPr/>
        <w:t> </w:t>
      </w:r>
      <w:r>
        <w:rPr>
          <w:w w:val="177"/>
        </w:rPr>
        <w:t> </w:t>
      </w:r>
      <w:r>
        <w:rPr>
          <w:w w:val="111"/>
        </w:rPr>
        <w:t> </w:t>
      </w:r>
      <w:r>
        <w:rPr/>
        <w:t> </w:t>
      </w:r>
      <w:r>
        <w:rPr>
          <w:w w:val="111"/>
        </w:rPr>
        <w:t>  </w:t>
      </w:r>
      <w:r>
        <w:rPr>
          <w:w w:val="177"/>
        </w:rPr>
        <w:t> </w:t>
      </w:r>
      <w:r>
        <w:rPr>
          <w:w w:val="237"/>
        </w:rPr>
        <w:t>   </w:t>
      </w:r>
      <w:r>
        <w:rPr/>
        <w:t> </w:t>
      </w:r>
      <w:r>
        <w:rPr>
          <w:w w:val="85"/>
        </w:rPr>
        <w:t>― </w:t>
      </w:r>
      <w:r>
        <w:rPr/>
        <w:t>‖;         es el nivel de endeudamiento previo en términos del PIB;         es un</w:t>
      </w:r>
    </w:p>
    <w:p>
      <w:pPr>
        <w:pStyle w:val="BodyText"/>
        <w:spacing w:before="144"/>
        <w:ind w:left="102"/>
        <w:jc w:val="both"/>
      </w:pPr>
      <w:r>
        <w:rPr>
          <w:w w:val="188"/>
        </w:rPr>
        <w:t>  </w:t>
      </w:r>
      <w:r>
        <w:rPr>
          <w:w w:val="177"/>
        </w:rPr>
        <w:t> </w:t>
      </w:r>
      <w:r>
        <w:rPr>
          <w:w w:val="148"/>
        </w:rPr>
        <w:t>   </w:t>
      </w:r>
      <w:r>
        <w:rPr/>
        <w:t> </w:t>
      </w:r>
      <w:r>
        <w:rPr>
          <w:w w:val="188"/>
        </w:rPr>
        <w:t>  </w:t>
      </w:r>
      <w:r>
        <w:rPr/>
        <w:t> </w:t>
      </w:r>
      <w:r>
        <w:rPr>
          <w:w w:val="200"/>
        </w:rPr>
        <w:t> </w:t>
      </w:r>
      <w:r>
        <w:rPr>
          <w:w w:val="177"/>
        </w:rPr>
        <w:t> </w:t>
      </w:r>
      <w:r>
        <w:rPr>
          <w:w w:val="140"/>
        </w:rPr>
        <w:t>   </w:t>
      </w:r>
      <w:r>
        <w:rPr>
          <w:w w:val="161"/>
        </w:rPr>
        <w:t>    </w:t>
      </w:r>
      <w:r>
        <w:rPr/>
        <w:t> </w:t>
      </w:r>
      <w:r>
        <w:rPr>
          <w:w w:val="177"/>
        </w:rPr>
        <w:t> </w:t>
      </w:r>
      <w:r>
        <w:rPr>
          <w:w w:val="200"/>
        </w:rPr>
        <w:t> </w:t>
      </w:r>
      <w:r>
        <w:rPr>
          <w:w w:val="140"/>
        </w:rPr>
        <w:t>   </w:t>
      </w:r>
      <w:r>
        <w:rPr>
          <w:w w:val="177"/>
        </w:rPr>
        <w:t>  </w:t>
      </w:r>
      <w:r>
        <w:rPr>
          <w:w w:val="111"/>
        </w:rPr>
        <w:t>  </w:t>
      </w:r>
      <w:r>
        <w:rPr>
          <w:w w:val="188"/>
        </w:rPr>
        <w:t>  </w:t>
      </w:r>
      <w:r>
        <w:rPr>
          <w:w w:val="126"/>
        </w:rPr>
        <w:t> </w:t>
      </w:r>
      <w:r>
        <w:rPr>
          <w:w w:val="105"/>
        </w:rPr>
        <w:t>; α  β δ</w:t>
      </w:r>
      <w:r>
        <w:rPr/>
        <w:t> </w:t>
      </w:r>
      <w:r>
        <w:rPr>
          <w:w w:val="185"/>
        </w:rPr>
        <w:t>   </w:t>
      </w:r>
      <w:r>
        <w:rPr/>
        <w:t> </w:t>
      </w:r>
      <w:r>
        <w:rPr>
          <w:w w:val="188"/>
        </w:rPr>
        <w:t>  </w:t>
      </w:r>
      <w:r>
        <w:rPr>
          <w:w w:val="133"/>
        </w:rPr>
        <w:t> </w:t>
      </w:r>
      <w:r>
        <w:rPr>
          <w:w w:val="177"/>
        </w:rPr>
        <w:t> </w:t>
      </w:r>
      <w:r>
        <w:rPr>
          <w:w w:val="311"/>
        </w:rPr>
        <w:t> </w:t>
      </w:r>
      <w:r>
        <w:rPr>
          <w:w w:val="177"/>
        </w:rPr>
        <w:t> </w:t>
      </w:r>
      <w:r>
        <w:rPr>
          <w:w w:val="150"/>
        </w:rPr>
        <w:t>    </w:t>
      </w:r>
      <w:r>
        <w:rPr/>
        <w:t> </w:t>
      </w:r>
      <w:r>
        <w:rPr>
          <w:w w:val="188"/>
        </w:rPr>
        <w:t>  </w:t>
      </w:r>
      <w:r>
        <w:rPr>
          <w:w w:val="111"/>
        </w:rPr>
        <w:t> </w:t>
      </w:r>
      <w:r>
        <w:rPr/>
        <w:t> </w:t>
      </w:r>
      <w:r>
        <w:rPr>
          <w:w w:val="311"/>
        </w:rPr>
        <w:t> </w:t>
      </w:r>
      <w:r>
        <w:rPr>
          <w:w w:val="192"/>
        </w:rPr>
        <w:t>   </w:t>
      </w:r>
      <w:r>
        <w:rPr>
          <w:w w:val="137"/>
        </w:rPr>
        <w:t>   </w:t>
      </w:r>
    </w:p>
    <w:p>
      <w:pPr>
        <w:spacing w:after="0"/>
        <w:jc w:val="both"/>
        <w:sectPr>
          <w:pgSz w:w="12250" w:h="15850"/>
          <w:pgMar w:header="0" w:footer="1037" w:top="1360" w:bottom="1220" w:left="1600" w:right="1580"/>
        </w:sectPr>
      </w:pPr>
    </w:p>
    <w:p>
      <w:pPr>
        <w:pStyle w:val="BodyText"/>
        <w:spacing w:line="360" w:lineRule="auto" w:before="50"/>
        <w:ind w:left="102" w:right="119" w:firstLine="707"/>
        <w:jc w:val="both"/>
      </w:pPr>
      <w:r>
        <w:rPr/>
        <w:t>Bohn (1998) considera a Z</w:t>
      </w:r>
      <w:r>
        <w:rPr>
          <w:sz w:val="16"/>
        </w:rPr>
        <w:t>t </w:t>
      </w:r>
      <w:r>
        <w:rPr/>
        <w:t>como el nivel de deuda en términos del PIB elevado al cuadrado </w:t>
      </w:r>
      <w:r>
        <w:rPr>
          <w:i/>
        </w:rPr>
        <w:t>(d</w:t>
      </w:r>
      <w:r>
        <w:rPr>
          <w:i/>
          <w:sz w:val="16"/>
        </w:rPr>
        <w:t>t</w:t>
      </w:r>
      <w:r>
        <w:rPr>
          <w:i/>
        </w:rPr>
        <w:t>²). </w:t>
      </w:r>
      <w:r>
        <w:rPr/>
        <w:t>Adicionalmente, De Mello (2005) considera al vector de variables explicativas </w:t>
      </w:r>
      <w:r>
        <w:rPr>
          <w:i/>
        </w:rPr>
        <w:t>(Z</w:t>
      </w:r>
      <w:r>
        <w:rPr>
          <w:i/>
          <w:sz w:val="16"/>
        </w:rPr>
        <w:t>t</w:t>
      </w:r>
      <w:r>
        <w:rPr>
          <w:i/>
        </w:rPr>
        <w:t>) </w:t>
      </w:r>
      <w:r>
        <w:rPr/>
        <w:t>como: los precios de materias primas exportables rezagados un periodo (</w:t>
      </w:r>
      <w:r>
        <w:rPr>
          <w:i/>
        </w:rPr>
        <w:t>p</w:t>
      </w:r>
      <w:r>
        <w:rPr>
          <w:i/>
          <w:sz w:val="16"/>
        </w:rPr>
        <w:t>t-1</w:t>
      </w:r>
      <w:r>
        <w:rPr>
          <w:i/>
        </w:rPr>
        <w:t>)</w:t>
      </w:r>
      <w:r>
        <w:rPr/>
        <w:t>; el nivel de deuda en términos del PIB del periodo anterior (</w:t>
      </w:r>
      <w:r>
        <w:rPr>
          <w:i/>
        </w:rPr>
        <w:t>d</w:t>
      </w:r>
      <w:r>
        <w:rPr>
          <w:i/>
          <w:sz w:val="16"/>
        </w:rPr>
        <w:t>t-1</w:t>
      </w:r>
      <w:r>
        <w:rPr>
          <w:i/>
        </w:rPr>
        <w:t>) </w:t>
      </w:r>
      <w:r>
        <w:rPr/>
        <w:t>y la inflación del periodo anterior </w:t>
      </w:r>
      <w:r>
        <w:rPr>
          <w:i/>
        </w:rPr>
        <w:t>(π </w:t>
      </w:r>
      <w:r>
        <w:rPr>
          <w:i/>
          <w:sz w:val="16"/>
        </w:rPr>
        <w:t>t-1</w:t>
      </w:r>
      <w:r>
        <w:rPr>
          <w:i/>
        </w:rPr>
        <w:t>)</w:t>
      </w:r>
      <w:r>
        <w:rPr/>
        <w:t>.</w:t>
      </w:r>
    </w:p>
    <w:p>
      <w:pPr>
        <w:pStyle w:val="BodyText"/>
        <w:spacing w:line="360" w:lineRule="auto" w:before="4"/>
        <w:ind w:left="102" w:right="116" w:firstLine="707"/>
        <w:jc w:val="both"/>
      </w:pPr>
      <w:r>
        <w:rPr/>
        <w:t>Para finalizar, Bohn (1998) argumenta que si el resultado fiscal responde positivamente ante cambios en el nivel de endeudamiento previo (y por ende existe sostenibilidad fiscal),  se verific          β &gt;                                   ).</w:t>
      </w:r>
    </w:p>
    <w:p>
      <w:pPr>
        <w:pStyle w:val="BodyText"/>
        <w:spacing w:line="360" w:lineRule="auto" w:before="7"/>
        <w:ind w:left="102" w:right="118" w:firstLine="707"/>
        <w:jc w:val="both"/>
      </w:pPr>
      <w:r>
        <w:rPr/>
        <w:t>En suma, la </w:t>
      </w:r>
      <w:r>
        <w:rPr>
          <w:i/>
        </w:rPr>
        <w:t>función de reacción fiscal </w:t>
      </w:r>
      <w:r>
        <w:rPr/>
        <w:t>evalúa la capacidad gubernamental para reaccionar en términos del resultado global fiscal ante cambios en el nivel de endeudamiento público, en consecuencia, para que exista sostenibilidad fiscal, debe cumplirse la hipótesis básica que un aumento en el nivel de endeudamiento provoca un incremento en el superávit fiscal o en su defecto una disminución del déficit presupuestario del gobierno (</w:t>
      </w:r>
      <w:r>
        <w:rPr>
          <w:i/>
        </w:rPr>
        <w:t>esquema</w:t>
      </w:r>
      <w:r>
        <w:rPr>
          <w:i/>
          <w:spacing w:val="-4"/>
        </w:rPr>
        <w:t> </w:t>
      </w:r>
      <w:r>
        <w:rPr>
          <w:i/>
        </w:rPr>
        <w:t>no-Ponzi</w:t>
      </w:r>
      <w:r>
        <w:rPr/>
        <w:t>).</w:t>
      </w:r>
    </w:p>
    <w:p>
      <w:pPr>
        <w:pStyle w:val="BodyText"/>
      </w:pPr>
    </w:p>
    <w:p>
      <w:pPr>
        <w:pStyle w:val="ListParagraph"/>
        <w:numPr>
          <w:ilvl w:val="3"/>
          <w:numId w:val="8"/>
        </w:numPr>
        <w:tabs>
          <w:tab w:pos="821" w:val="left" w:leader="none"/>
          <w:tab w:pos="822" w:val="left" w:leader="none"/>
        </w:tabs>
        <w:spacing w:line="240" w:lineRule="auto" w:before="141" w:after="0"/>
        <w:ind w:left="822" w:right="0" w:hanging="620"/>
        <w:jc w:val="left"/>
        <w:rPr>
          <w:i/>
          <w:sz w:val="24"/>
        </w:rPr>
      </w:pPr>
      <w:r>
        <w:rPr>
          <w:i/>
          <w:sz w:val="24"/>
        </w:rPr>
        <w:t>Algoritmo de la posición fiscal sostenible (PFS, por sus siglas en</w:t>
      </w:r>
      <w:r>
        <w:rPr>
          <w:i/>
          <w:spacing w:val="-11"/>
          <w:sz w:val="24"/>
        </w:rPr>
        <w:t> </w:t>
      </w:r>
      <w:r>
        <w:rPr>
          <w:i/>
          <w:sz w:val="24"/>
        </w:rPr>
        <w:t>inglés)</w:t>
      </w:r>
    </w:p>
    <w:p>
      <w:pPr>
        <w:pStyle w:val="BodyText"/>
        <w:spacing w:before="2"/>
        <w:rPr>
          <w:i/>
        </w:rPr>
      </w:pPr>
    </w:p>
    <w:p>
      <w:pPr>
        <w:pStyle w:val="BodyText"/>
        <w:spacing w:line="360" w:lineRule="auto"/>
        <w:ind w:left="102" w:right="116" w:firstLine="707"/>
        <w:jc w:val="both"/>
      </w:pPr>
      <w:r>
        <w:rPr/>
        <w:t>Croce &amp; Hugo (2003) elaboraron un algoritmo que permite medir estáticamente la reacción del gobierno entre la diferencia del resultado primario efectivo (</w:t>
      </w:r>
      <w:r>
        <w:rPr>
          <w:i/>
        </w:rPr>
        <w:t>b</w:t>
      </w:r>
      <w:r>
        <w:rPr>
          <w:i/>
          <w:sz w:val="16"/>
        </w:rPr>
        <w:t>pt</w:t>
      </w:r>
      <w:r>
        <w:rPr/>
        <w:t>) y el resultado primario meta o sostenible (</w:t>
      </w:r>
      <w:r>
        <w:rPr>
          <w:i/>
        </w:rPr>
        <w:t>b</w:t>
      </w:r>
      <w:r>
        <w:rPr>
          <w:i/>
          <w:sz w:val="16"/>
        </w:rPr>
        <w:t>p</w:t>
      </w:r>
      <w:r>
        <w:rPr>
          <w:i/>
        </w:rPr>
        <w:t>*</w:t>
      </w:r>
      <w:r>
        <w:rPr/>
        <w:t>) y la diferencia entre el endeudamiento del periodo anterior efectivo (</w:t>
      </w:r>
      <w:r>
        <w:rPr>
          <w:i/>
        </w:rPr>
        <w:t>d</w:t>
      </w:r>
      <w:r>
        <w:rPr>
          <w:i/>
          <w:sz w:val="16"/>
        </w:rPr>
        <w:t>t-1</w:t>
      </w:r>
      <w:r>
        <w:rPr/>
        <w:t>) y el nivel de endeudamiento meta o sostenible (</w:t>
      </w:r>
      <w:r>
        <w:rPr>
          <w:i/>
        </w:rPr>
        <w:t>d*</w:t>
      </w:r>
      <w:r>
        <w:rPr/>
        <w:t>).</w:t>
      </w:r>
    </w:p>
    <w:p>
      <w:pPr>
        <w:pStyle w:val="BodyText"/>
        <w:spacing w:line="360" w:lineRule="auto" w:before="4"/>
        <w:ind w:left="102" w:right="116" w:firstLine="707"/>
        <w:jc w:val="both"/>
      </w:pPr>
      <w:r>
        <w:rPr/>
        <w:t>Es un indicador adecuado para evaluar la sostenibilidad fiscal en uno o más  periodos (por lo cual también puede ser dinámico). Además, este instrumento permite evaluar si la política fiscal es consistente o inconsistente con la sostenibilidad fiscal. El algoritmo está conformado por seis elementos: 1) la tasa de interés real de la deuda (</w:t>
      </w:r>
      <w:r>
        <w:rPr>
          <w:i/>
        </w:rPr>
        <w:t>r</w:t>
      </w:r>
      <w:r>
        <w:rPr>
          <w:i/>
          <w:sz w:val="16"/>
        </w:rPr>
        <w:t>t</w:t>
      </w:r>
      <w:r>
        <w:rPr/>
        <w:t>); 2) la tasa de crecimiento real de la economía (</w:t>
      </w:r>
      <w:r>
        <w:rPr>
          <w:i/>
        </w:rPr>
        <w:t>g</w:t>
      </w:r>
      <w:r>
        <w:rPr>
          <w:i/>
          <w:sz w:val="16"/>
        </w:rPr>
        <w:t>t</w:t>
      </w:r>
      <w:r>
        <w:rPr/>
        <w:t>); 3) el resultado primario efectivo (</w:t>
      </w:r>
      <w:r>
        <w:rPr>
          <w:i/>
        </w:rPr>
        <w:t>b</w:t>
      </w:r>
      <w:r>
        <w:rPr>
          <w:i/>
          <w:sz w:val="16"/>
        </w:rPr>
        <w:t>pt</w:t>
      </w:r>
      <w:r>
        <w:rPr/>
        <w:t>); 4) el resultado primario meta o sostenible (</w:t>
      </w:r>
      <w:r>
        <w:rPr>
          <w:i/>
        </w:rPr>
        <w:t>b</w:t>
      </w:r>
      <w:r>
        <w:rPr>
          <w:i/>
          <w:sz w:val="16"/>
        </w:rPr>
        <w:t>p</w:t>
      </w:r>
      <w:r>
        <w:rPr>
          <w:i/>
        </w:rPr>
        <w:t>*</w:t>
      </w:r>
      <w:r>
        <w:rPr/>
        <w:t>); 5) la razón deuda/PIB efectiva del periodo anterior (</w:t>
      </w:r>
      <w:r>
        <w:rPr>
          <w:i/>
        </w:rPr>
        <w:t>d</w:t>
      </w:r>
      <w:r>
        <w:rPr>
          <w:i/>
          <w:sz w:val="16"/>
        </w:rPr>
        <w:t>t-1</w:t>
      </w:r>
      <w:r>
        <w:rPr/>
        <w:t>); 6) la razón deuda/PIB meta o sostenible (</w:t>
      </w:r>
      <w:r>
        <w:rPr>
          <w:i/>
        </w:rPr>
        <w:t>d*</w:t>
      </w:r>
      <w:r>
        <w:rPr/>
        <w:t>). A continuación se presenta el indicador:</w:t>
      </w:r>
    </w:p>
    <w:p>
      <w:pPr>
        <w:spacing w:line="52" w:lineRule="exact" w:before="67"/>
        <w:ind w:left="291" w:right="0" w:firstLine="0"/>
        <w:jc w:val="center"/>
        <w:rPr>
          <w:rFonts w:ascii="Cambria Math"/>
          <w:sz w:val="14"/>
        </w:rPr>
      </w:pPr>
      <w:r>
        <w:rPr>
          <w:spacing w:val="-26"/>
          <w:w w:val="100"/>
          <w:sz w:val="17"/>
          <w:u w:val="single"/>
        </w:rPr>
        <w:t> </w:t>
      </w:r>
      <w:r>
        <w:rPr>
          <w:rFonts w:ascii="Cambria Math"/>
          <w:spacing w:val="-1"/>
          <w:w w:val="263"/>
          <w:sz w:val="17"/>
          <w:u w:val="single"/>
        </w:rPr>
        <w:t> </w:t>
      </w:r>
      <w:r>
        <w:rPr>
          <w:rFonts w:ascii="Cambria Math"/>
          <w:w w:val="331"/>
          <w:sz w:val="17"/>
          <w:u w:val="single"/>
        </w:rPr>
        <w:t> </w:t>
      </w:r>
      <w:r>
        <w:rPr>
          <w:rFonts w:ascii="Cambria Math"/>
          <w:spacing w:val="-16"/>
          <w:w w:val="240"/>
          <w:sz w:val="17"/>
          <w:u w:val="single"/>
        </w:rPr>
        <w:t> </w:t>
      </w:r>
      <w:r>
        <w:rPr>
          <w:rFonts w:ascii="Cambria Math"/>
          <w:w w:val="213"/>
          <w:position w:val="-2"/>
          <w:sz w:val="14"/>
          <w:u w:val="single"/>
        </w:rPr>
        <w:t> </w:t>
      </w:r>
      <w:r>
        <w:rPr>
          <w:rFonts w:ascii="Cambria Math"/>
          <w:spacing w:val="-8"/>
          <w:position w:val="-2"/>
          <w:sz w:val="14"/>
          <w:u w:val="single"/>
        </w:rPr>
        <w:t> </w:t>
      </w:r>
    </w:p>
    <w:p>
      <w:pPr>
        <w:spacing w:line="245" w:lineRule="exact" w:before="0"/>
        <w:ind w:left="5539" w:right="127" w:firstLine="0"/>
        <w:jc w:val="left"/>
        <w:rPr>
          <w:sz w:val="24"/>
        </w:rPr>
      </w:pPr>
      <w:r>
        <w:rPr/>
        <w:pict>
          <v:line style="position:absolute;mso-position-horizontal-relative:page;mso-position-vertical-relative:paragraph;z-index:-570520" from="338.209991pt,6.23610pt" to="372.553991pt,6.23610pt" stroked="true" strokeweight=".83997pt" strokecolor="#000000">
            <w10:wrap type="none"/>
          </v:line>
        </w:pict>
      </w:r>
      <w:r>
        <w:rPr>
          <w:rFonts w:ascii="Cambria Math"/>
          <w:w w:val="331"/>
          <w:position w:val="-11"/>
          <w:sz w:val="17"/>
        </w:rPr>
        <w:t> </w:t>
      </w:r>
      <w:r>
        <w:rPr>
          <w:rFonts w:ascii="Cambria Math"/>
          <w:w w:val="290"/>
          <w:position w:val="-11"/>
          <w:sz w:val="17"/>
        </w:rPr>
        <w:t> </w:t>
      </w:r>
      <w:r>
        <w:rPr>
          <w:rFonts w:ascii="Cambria Math"/>
          <w:w w:val="218"/>
          <w:position w:val="-6"/>
          <w:sz w:val="14"/>
        </w:rPr>
        <w:t> </w:t>
      </w:r>
      <w:r>
        <w:rPr>
          <w:rFonts w:ascii="Cambria Math"/>
          <w:position w:val="-6"/>
          <w:sz w:val="14"/>
        </w:rPr>
        <w:t>      </w:t>
      </w:r>
      <w:r>
        <w:rPr>
          <w:sz w:val="24"/>
        </w:rPr>
        <w:t>(1.13)</w:t>
      </w:r>
    </w:p>
    <w:p>
      <w:pPr>
        <w:spacing w:after="0" w:line="245" w:lineRule="exact"/>
        <w:jc w:val="left"/>
        <w:rPr>
          <w:sz w:val="24"/>
        </w:rPr>
        <w:sectPr>
          <w:pgSz w:w="12250" w:h="15850"/>
          <w:pgMar w:header="0" w:footer="1037" w:top="1360" w:bottom="1220" w:left="1600" w:right="1580"/>
        </w:sectPr>
      </w:pPr>
    </w:p>
    <w:p>
      <w:pPr>
        <w:pStyle w:val="BodyText"/>
        <w:spacing w:line="362" w:lineRule="auto" w:before="53"/>
        <w:ind w:left="102" w:right="116" w:firstLine="707"/>
        <w:jc w:val="both"/>
      </w:pPr>
      <w:r>
        <w:rPr/>
        <w:t>Donde:    corresponde a una razón de tasa de interés real de la deuda en términos    de   la tasa de crecimiento real de la economía;   es una función de reacción fiscal que    mide el ratio entre la brecha del resultado primario efectivo y el resultado primario meta o sostenible (por el lado del numerador) y la brecha entre la relación deuda/PIB efectiva del año anterior y la relación deuda/PIB meta o sostenible (por el lado del</w:t>
      </w:r>
      <w:r>
        <w:rPr>
          <w:spacing w:val="-14"/>
        </w:rPr>
        <w:t> </w:t>
      </w:r>
      <w:r>
        <w:rPr/>
        <w:t>denominador).</w:t>
      </w:r>
    </w:p>
    <w:p>
      <w:pPr>
        <w:pStyle w:val="BodyText"/>
        <w:spacing w:line="360" w:lineRule="auto" w:before="3"/>
        <w:ind w:left="102" w:right="115" w:firstLine="707"/>
        <w:jc w:val="both"/>
      </w:pPr>
      <w:r>
        <w:rPr/>
        <w:t>La regla básica para una sostenibilidad fiscal consistente es que |        | &lt; 1, toda   vez que si la razón deuda/PIB del periodo anterior es mayor a la meta, se convergerá a </w:t>
      </w:r>
      <w:r>
        <w:rPr>
          <w:i/>
        </w:rPr>
        <w:t>d*</w:t>
      </w:r>
      <w:r>
        <w:rPr/>
        <w:t>. En consecuencia si el indicador es mayor o igual a 1, se concluye que la autoridad fiscal mantiene una política fiscal inconsistente. Adicionalmente, este indicador es aplicable a todos los periodos de análisis (en contexto dinámico), por lo cual, para evidenciarse sostenibilidad, la regla debe cumplirse en el 75% del período observado. </w:t>
      </w:r>
      <w:r>
        <w:rPr>
          <w:spacing w:val="-3"/>
        </w:rPr>
        <w:t>Lo </w:t>
      </w:r>
      <w:r>
        <w:rPr/>
        <w:t>cuestionable  de esta herramienta, es la orientación procíclica de la política fiscal, ignorándose las fases de recesión económica y caídas de precios internacionales para países exportadores de materias primas (De Gregorio, 2007; Crispi &amp; Vega,</w:t>
      </w:r>
      <w:r>
        <w:rPr>
          <w:spacing w:val="-10"/>
        </w:rPr>
        <w:t> </w:t>
      </w:r>
      <w:r>
        <w:rPr/>
        <w:t>2003).</w:t>
      </w:r>
    </w:p>
    <w:p>
      <w:pPr>
        <w:pStyle w:val="BodyText"/>
        <w:spacing w:before="7"/>
        <w:rPr>
          <w:sz w:val="21"/>
        </w:rPr>
      </w:pPr>
    </w:p>
    <w:p>
      <w:pPr>
        <w:pStyle w:val="Heading4"/>
        <w:numPr>
          <w:ilvl w:val="2"/>
          <w:numId w:val="8"/>
        </w:numPr>
        <w:tabs>
          <w:tab w:pos="963" w:val="left" w:leader="none"/>
          <w:tab w:pos="964" w:val="left" w:leader="none"/>
        </w:tabs>
        <w:spacing w:line="240" w:lineRule="auto" w:before="0" w:after="0"/>
        <w:ind w:left="963" w:right="0" w:hanging="720"/>
        <w:jc w:val="left"/>
      </w:pPr>
      <w:bookmarkStart w:name="_bookmark5" w:id="9"/>
      <w:bookmarkEnd w:id="9"/>
      <w:r>
        <w:rPr>
          <w:b w:val="0"/>
        </w:rPr>
      </w:r>
      <w:bookmarkStart w:name="_bookmark5" w:id="10"/>
      <w:bookmarkEnd w:id="10"/>
      <w:r>
        <w:rPr/>
        <w:t>Eval</w:t>
      </w:r>
      <w:r>
        <w:rPr/>
        <w:t>uación de posición fiscal en países exportadores de</w:t>
      </w:r>
      <w:r>
        <w:rPr>
          <w:spacing w:val="-13"/>
        </w:rPr>
        <w:t> </w:t>
      </w:r>
      <w:r>
        <w:rPr/>
        <w:t>petróleo</w:t>
      </w:r>
    </w:p>
    <w:p>
      <w:pPr>
        <w:pStyle w:val="BodyText"/>
        <w:rPr>
          <w:b/>
        </w:rPr>
      </w:pPr>
    </w:p>
    <w:p>
      <w:pPr>
        <w:pStyle w:val="BodyText"/>
        <w:spacing w:line="360" w:lineRule="auto" w:before="195"/>
        <w:ind w:left="102" w:right="120" w:firstLine="707"/>
        <w:jc w:val="both"/>
      </w:pPr>
      <w:r>
        <w:rPr/>
        <w:t>En la literatura macroeconómica se ofrecen dos posturas contrarias en relación con el manejo del gasto público: la postura Keynesiana y la neoclásica. La primera sostiene que un incremento del gasto público o una disminución del impuesto fomenta el crecimiento del producto, especialmente en tiempos de recesión lo más aconsejable es una posición fiscal contracíclica. La segunda, considera que el gasto público no influye en el crecimiento del producto, por tanto, la política fiscal debe ser neutral</w:t>
      </w:r>
      <w:r>
        <w:rPr>
          <w:spacing w:val="-12"/>
        </w:rPr>
        <w:t> </w:t>
      </w:r>
      <w:r>
        <w:rPr/>
        <w:t>(acíclica).</w:t>
      </w:r>
    </w:p>
    <w:p>
      <w:pPr>
        <w:pStyle w:val="BodyText"/>
        <w:spacing w:line="360" w:lineRule="auto" w:before="4"/>
        <w:ind w:left="102" w:right="119" w:firstLine="767"/>
        <w:jc w:val="both"/>
      </w:pPr>
      <w:r>
        <w:rPr/>
        <w:t>Sin embargo, la evidencia empírica sugiere que en economías en desarrollo se emplean políticas pro-cíclicas (Kaminsky, 2009; Talvi &amp; Végh, 2005; Ilzetzki &amp; Végh, 2008). En concordancia con lo anterior, se presentan dos perspectivas de discusión: la  teoría del ingreso permante (derivada de la postura neoclásica) y la teoría del ingreso permanente modificada (relacionada con la postura Keynesiana) sobre la cual se emergen las principales deducciones teóricas. Al final, se aborda la sostenibilidad de la deuda pública.</w:t>
      </w:r>
    </w:p>
    <w:p>
      <w:pPr>
        <w:spacing w:after="0" w:line="360" w:lineRule="auto"/>
        <w:jc w:val="both"/>
        <w:sectPr>
          <w:pgSz w:w="12250" w:h="15850"/>
          <w:pgMar w:header="0" w:footer="1037" w:top="1360" w:bottom="1220" w:left="1600" w:right="1580"/>
        </w:sectPr>
      </w:pPr>
    </w:p>
    <w:p>
      <w:pPr>
        <w:pStyle w:val="BodyText"/>
        <w:spacing w:line="360" w:lineRule="auto" w:before="50"/>
        <w:ind w:left="102" w:right="1036" w:firstLine="707"/>
        <w:jc w:val="both"/>
      </w:pPr>
      <w:r>
        <w:rPr/>
        <w:t>En países que dependen de un recurso natural, es necesario analizar la respuesta del gasto público (corriente y de capital) y de la posición fiscal (balance fiscal primario y deuda pública)  frente a un choque positivo en el precio del petróleo (gas natural).</w:t>
      </w:r>
    </w:p>
    <w:p>
      <w:pPr>
        <w:pStyle w:val="BodyText"/>
        <w:spacing w:line="360" w:lineRule="auto" w:before="4"/>
        <w:ind w:left="102" w:right="1039" w:firstLine="707"/>
        <w:jc w:val="both"/>
      </w:pPr>
      <w:r>
        <w:rPr/>
        <w:t>Para ello se propone a la asginación de ingresos fiscales al gasto público como el canal de transmisión entre los choques de precios del recurso natural y la posición fiscal (figura 1.1):</w:t>
      </w:r>
    </w:p>
    <w:p>
      <w:pPr>
        <w:pStyle w:val="BodyText"/>
      </w:pPr>
    </w:p>
    <w:p>
      <w:pPr>
        <w:pStyle w:val="BodyText"/>
        <w:spacing w:line="362" w:lineRule="auto" w:before="143"/>
        <w:ind w:left="3825" w:right="1186" w:hanging="3599"/>
      </w:pPr>
      <w:bookmarkStart w:name="_bookmark6" w:id="11"/>
      <w:bookmarkEnd w:id="11"/>
      <w:r>
        <w:rPr/>
      </w:r>
      <w:r>
        <w:rPr/>
        <w:t>Figura 1. 1: Modelo hipotético, canales de transmisión entre los choques de precios y la posición fiscal</w:t>
      </w:r>
    </w:p>
    <w:p>
      <w:pPr>
        <w:tabs>
          <w:tab w:pos="4644" w:val="left" w:leader="none"/>
        </w:tabs>
        <w:spacing w:before="25"/>
        <w:ind w:left="2145" w:right="1186" w:firstLine="0"/>
        <w:jc w:val="left"/>
        <w:rPr>
          <w:rFonts w:ascii="Constantia"/>
          <w:b/>
          <w:sz w:val="19"/>
        </w:rPr>
      </w:pPr>
      <w:r>
        <w:rPr>
          <w:rFonts w:ascii="Constantia"/>
          <w:b/>
          <w:color w:val="7E7E7E"/>
          <w:w w:val="70"/>
          <w:sz w:val="19"/>
        </w:rPr>
        <w:t>Resp.</w:t>
      </w:r>
      <w:r>
        <w:rPr>
          <w:rFonts w:ascii="Constantia"/>
          <w:b/>
          <w:color w:val="7E7E7E"/>
          <w:spacing w:val="-15"/>
          <w:w w:val="70"/>
          <w:sz w:val="19"/>
        </w:rPr>
        <w:t> </w:t>
      </w:r>
      <w:r>
        <w:rPr>
          <w:rFonts w:ascii="Constantia"/>
          <w:b/>
          <w:color w:val="7E7E7E"/>
          <w:w w:val="70"/>
          <w:sz w:val="19"/>
        </w:rPr>
        <w:t>Del</w:t>
      </w:r>
      <w:r>
        <w:rPr>
          <w:rFonts w:ascii="Constantia"/>
          <w:b/>
          <w:color w:val="7E7E7E"/>
          <w:spacing w:val="-15"/>
          <w:w w:val="70"/>
          <w:sz w:val="19"/>
        </w:rPr>
        <w:t> </w:t>
      </w:r>
      <w:r>
        <w:rPr>
          <w:rFonts w:ascii="Constantia"/>
          <w:b/>
          <w:color w:val="7E7E7E"/>
          <w:w w:val="70"/>
          <w:sz w:val="19"/>
        </w:rPr>
        <w:t>gasto</w:t>
      </w:r>
      <w:r>
        <w:rPr>
          <w:rFonts w:ascii="Constantia"/>
          <w:b/>
          <w:color w:val="7E7E7E"/>
          <w:spacing w:val="-14"/>
          <w:w w:val="70"/>
          <w:sz w:val="19"/>
        </w:rPr>
        <w:t> </w:t>
      </w:r>
      <w:r>
        <w:rPr>
          <w:rFonts w:ascii="Constantia"/>
          <w:b/>
          <w:color w:val="7E7E7E"/>
          <w:w w:val="70"/>
          <w:sz w:val="19"/>
        </w:rPr>
        <w:t>de</w:t>
      </w:r>
      <w:r>
        <w:rPr>
          <w:rFonts w:ascii="Constantia"/>
          <w:b/>
          <w:color w:val="7E7E7E"/>
          <w:spacing w:val="-16"/>
          <w:w w:val="70"/>
          <w:sz w:val="19"/>
        </w:rPr>
        <w:t> </w:t>
      </w:r>
      <w:r>
        <w:rPr>
          <w:rFonts w:ascii="Constantia"/>
          <w:b/>
          <w:color w:val="7E7E7E"/>
          <w:w w:val="70"/>
          <w:sz w:val="19"/>
        </w:rPr>
        <w:t>capital</w:t>
        <w:tab/>
      </w:r>
      <w:r>
        <w:rPr>
          <w:rFonts w:ascii="Constantia"/>
          <w:b/>
          <w:color w:val="7E7E7E"/>
          <w:w w:val="65"/>
          <w:sz w:val="19"/>
        </w:rPr>
        <w:t>Resp. Del gasto de</w:t>
      </w:r>
      <w:r>
        <w:rPr>
          <w:rFonts w:ascii="Constantia"/>
          <w:b/>
          <w:color w:val="7E7E7E"/>
          <w:spacing w:val="10"/>
          <w:w w:val="65"/>
          <w:sz w:val="19"/>
        </w:rPr>
        <w:t> </w:t>
      </w:r>
      <w:r>
        <w:rPr>
          <w:rFonts w:ascii="Constantia"/>
          <w:b/>
          <w:color w:val="7E7E7E"/>
          <w:w w:val="65"/>
          <w:sz w:val="19"/>
        </w:rPr>
        <w:t>corriente</w:t>
      </w:r>
    </w:p>
    <w:p>
      <w:pPr>
        <w:pStyle w:val="BodyText"/>
        <w:spacing w:before="1"/>
        <w:rPr>
          <w:rFonts w:ascii="Constantia"/>
          <w:b/>
          <w:sz w:val="26"/>
        </w:rPr>
      </w:pPr>
    </w:p>
    <w:p>
      <w:pPr>
        <w:spacing w:line="261" w:lineRule="auto" w:before="68"/>
        <w:ind w:left="7686" w:right="1186" w:hanging="586"/>
        <w:jc w:val="left"/>
        <w:rPr>
          <w:rFonts w:ascii="Constantia"/>
          <w:sz w:val="17"/>
        </w:rPr>
      </w:pPr>
      <w:r>
        <w:rPr/>
        <w:pict>
          <v:group style="position:absolute;margin-left:86.848709pt;margin-top:-15.731554pt;width:207.95pt;height:189.05pt;mso-position-horizontal-relative:page;mso-position-vertical-relative:paragraph;z-index:1744" coordorigin="1737,-315" coordsize="4159,3781">
            <v:shape style="position:absolute;left:1737;top:-315;width:1208;height:1198" type="#_x0000_t75" stroked="false">
              <v:imagedata r:id="rId13" o:title=""/>
            </v:shape>
            <v:shape style="position:absolute;left:3674;top:-315;width:1656;height:1198" type="#_x0000_t75" stroked="false">
              <v:imagedata r:id="rId14" o:title=""/>
            </v:shape>
            <v:line style="position:absolute" from="3426,1341" to="3450,1341" stroked="true" strokeweight=".452992pt" strokecolor="#008000"/>
            <v:line style="position:absolute" from="3423,1342" to="3453,1342" stroked="true" strokeweight=".468086pt" strokecolor="#008000"/>
            <v:line style="position:absolute" from="3426,1351" to="3444,1351" stroked="true" strokeweight=".452992pt" strokecolor="#008000"/>
            <v:line style="position:absolute" from="3423,1351" to="3447,1351" stroked="true" strokeweight=".452992pt" strokecolor="#008000"/>
            <v:line style="position:absolute" from="3426,1360" to="3438,1360" stroked="true" strokeweight=".452992pt" strokecolor="#008000"/>
            <v:line style="position:absolute" from="3423,1360" to="3441,1360" stroked="true" strokeweight=".452992pt" strokecolor="#008000"/>
            <v:line style="position:absolute" from="3426,1369" to="3432,1369" stroked="true" strokeweight=".452992pt" strokecolor="#008000"/>
            <v:line style="position:absolute" from="3423,1369" to="3435,1369" stroked="true" strokeweight=".452992pt" strokecolor="#008000"/>
            <v:line style="position:absolute" from="3426,1378" to="3426,1378" stroked="true" strokeweight=".452992pt" strokecolor="#008000"/>
            <v:line style="position:absolute" from="3423,1378" to="3429,1378" stroked="true" strokeweight=".452992pt" strokecolor="#008000"/>
            <v:shape style="position:absolute;left:3324;top:978;width:162;height:908" coordorigin="3324,978" coordsize="162,908" path="m3438,1864l3437,1882,3454,1884,3485,1886,3486,1868,3455,1866,3438,1864xm3411,1784l3399,1784,3399,1857,3411,1857,3411,1784xm3411,1657l3399,1657,3399,1730,3411,1730,3411,1657xm3411,1530l3399,1530,3399,1603,3411,1603,3411,1530xm3399,1456l3399,1476,3411,1476,3411,1457,3400,1457,3400,1457,3399,1456xm3400,1457l3400,1457,3400,1457,3400,1457xm3400,1457l3400,1457,3401,1457,3400,1457xm3400,1457l3400,1457,3401,1457,3400,1457xm3411,1453l3405,1453,3400,1457,3401,1457,3411,1457,3411,1453xm3399,1454l3399,1455,3400,1457,3400,1457,3400,1457,3399,1454xm3405,1453l3399,1453,3399,1454,3400,1457,3405,1453xm3399,1455l3399,1456,3400,1457,3399,1455xm3396,1454l3399,1456,3399,1455,3399,1454,3397,1454,3396,1454xm3398,1454l3399,1455,3399,1454,3398,1454xm3399,1454l3398,1454,3399,1454,3399,1454xm3375,1428l3374,1447,3380,1448,3389,1451,3397,1454,3399,1454,3398,1454,3399,1454,3399,1453,3405,1453,3410,1449,3409,1445,3408,1443,3407,1442,3406,1441,3401,1437,3401,1437,3401,1436,3400,1436,3393,1433,3383,1430,3375,1428xm3399,1412l3397,1412,3391,1414,3394,1432,3400,1429,3401,1428,3401,1428,3406,1425,3407,1423,3408,1422,3409,1421,3410,1416,3405,1412,3398,1412,3399,1412xm3399,1409l3396,1412,3397,1412,3399,1412,3399,1411,3399,1409xm3399,1411l3398,1412,3399,1411,3399,1411xm3399,1411l3398,1412,3399,1412,3399,1411xm3400,1408l3399,1411,3399,1412,3405,1412,3400,1408xm3411,1408l3401,1408,3400,1408,3405,1412,3411,1412,3411,1408xm3400,1408l3400,1409,3399,1411,3399,1411,3400,1408,3400,1408xm3400,1409l3399,1409,3399,1411,3400,1409xm3411,1362l3399,1362,3399,1409,3400,1409,3400,1408,3411,1408,3411,1362xm3400,1408l3400,1409,3400,1408,3400,1408xm3401,1408l3400,1408,3400,1408,3401,1408xm3401,1408l3400,1408,3400,1408,3401,1408xm3324,1432l3324,1441,3339,1443,3339,1441,3325,1441,3324,1432xm3325,1423l3324,1432,3325,1441,3339,1441,3339,1425,3325,1423xm3339,1441l3325,1441,3339,1441,3339,1441xm3357,1423l3325,1423,3339,1425,3339,1441,3356,1440,3358,1440,3357,1423xm3357,1422l3355,1422,3324,1423,3324,1432,3325,1423,3357,1423,3357,1422xm3411,1235l3399,1235,3399,1308,3411,1308,3411,1235xm3411,1108l3399,1108,3399,1181,3411,1181,3411,1108xm3405,1008l3399,1008,3399,1053,3411,1053,3411,1013,3409,1013,3410,1012,3405,1008xm3410,1012l3409,1013,3410,1012,3410,1012xm3410,1012l3409,1013,3410,1013,3410,1012xm3410,1012l3410,1012,3410,1013,3410,1012xm3411,1011l3410,1012,3410,1013,3411,1013,3411,1011xm3411,1010l3410,1012,3410,1012,3410,1012,3411,1011,3411,1010xm3419,988l3417,988,3410,992,3409,992,3409,992,3409,992,3404,996,3403,997,3402,998,3401,1000,3400,1004,3410,1012,3411,1010,3411,1008,3415,1008,3420,1006,3422,1005,3419,988xm3411,1011l3410,1012,3411,1011,3411,1011xm3414,1009l3412,1009,3411,1011,3411,1011,3413,1009,3413,1009,3414,1009xm3412,1009l3411,1010,3411,1011,3412,1009xm3415,1008l3411,1008,3411,1010,3412,1009,3414,1009,3415,1008xm3414,1009l3413,1009,3414,1009,3414,1009xm3414,1009l3413,1009,3413,1009,3414,1009xm3414,1009l3414,1009,3414,1009,3414,1009xm3485,978l3456,980,3456,998,3486,997,3485,978xe" filled="true" fillcolor="#5f497a" stroked="false">
              <v:path arrowok="t"/>
              <v:fill type="solid"/>
            </v:shape>
            <v:shape style="position:absolute;left:3437;top:1864;width:49;height:23" coordorigin="3437,1864" coordsize="49,23" path="m3485,1886l3454,1884,3437,1882,3438,1864,3455,1866,3486,1868,3485,1886xe" filled="false" stroked="true" strokeweight=".07953pt" strokecolor="#5f497a">
              <v:path arrowok="t"/>
            </v:shape>
            <v:shape style="position:absolute;left:3398;top:1693;width:14;height:128" coordorigin="3398,1693" coordsize="14,128" path="m3398,1820l3411,1820m3398,1693l3411,1693e" filled="false" stroked="true" strokeweight="3.708493pt" strokecolor="#5f497a">
              <v:path arrowok="t"/>
            </v:shape>
            <v:line style="position:absolute" from="3398,1566" to="3411,1566" stroked="true" strokeweight="3.726613pt" strokecolor="#5f497a"/>
            <v:shape style="position:absolute;left:3323;top:1361;width:114;height:115" type="#_x0000_t75" stroked="false">
              <v:imagedata r:id="rId15" o:title=""/>
            </v:shape>
            <v:shape style="position:absolute;left:3175;top:409;width:509;height:1038" type="#_x0000_t75" stroked="false">
              <v:imagedata r:id="rId16" o:title=""/>
            </v:shape>
            <v:shape style="position:absolute;left:2989;top:-67;width:509;height:254" coordorigin="2989,-67" coordsize="509,254" path="m3396,87l3345,131,3340,138,3337,148,3336,158,3338,168,3343,182,3354,186,3363,179,3467,89,3462,89,3396,87xm3427,61l3396,87,3462,89,3462,85,3453,85,3427,61xm3356,-67l3345,-62,3340,-50,3338,-40,3338,-29,3341,-20,3346,-12,3396,33,3462,34,3462,89,3467,89,3498,62,3364,-59,3356,-67xm2990,26l2989,80,3396,87,3427,61,3396,33,2990,26xm3453,38l3427,61,3453,85,3453,38xm3462,38l3453,38,3453,85,3462,85,3462,38xm3396,33l3427,61,3453,38,3462,38,3462,34,3396,33xe" filled="true" fillcolor="#497dba" stroked="false">
              <v:path arrowok="t"/>
              <v:fill type="solid"/>
            </v:shape>
            <v:shape style="position:absolute;left:2989;top:26;width:473;height:63" coordorigin="2989,26" coordsize="473,63" path="m2990,26l3462,34,3462,89,2989,80,2990,26xe" filled="false" stroked="true" strokeweight=".084059pt" strokecolor="#497dba">
              <v:path arrowok="t"/>
            </v:shape>
            <v:shape style="position:absolute;left:3335;top:-68;width:163;height:254" type="#_x0000_t75" stroked="false">
              <v:imagedata r:id="rId17" o:title=""/>
            </v:shape>
            <v:shape style="position:absolute;left:5386;top:-40;width:509;height:253" coordorigin="5386,-40" coordsize="509,253" path="m5793,115l5742,158,5737,165,5734,175,5733,185,5735,196,5740,209,5751,213,5864,116,5859,116,5793,115xm5824,88l5793,115,5859,116,5859,112,5850,112,5824,88xm5753,-40l5742,-35,5737,-23,5735,-12,5735,-2,5738,8,5743,15,5793,60,5859,61,5859,116,5864,116,5895,89,5762,-32,5753,-40xm5387,53l5386,107,5793,115,5824,88,5793,60,5387,53xm5850,65l5824,88,5850,112,5850,65xm5859,65l5850,65,5850,112,5859,112,5859,65xm5793,60l5824,88,5850,65,5859,65,5859,61,5793,60xe" filled="true" fillcolor="#497dba" stroked="false">
              <v:path arrowok="t"/>
              <v:fill type="solid"/>
            </v:shape>
            <v:shape style="position:absolute;left:5386;top:53;width:473;height:63" coordorigin="5386,53" coordsize="473,63" path="m5387,53l5859,61,5859,116,5386,107,5387,53xe" filled="false" stroked="true" strokeweight=".084059pt" strokecolor="#497dba">
              <v:path arrowok="t"/>
            </v:shape>
            <v:shape style="position:absolute;left:5732;top:-40;width:163;height:254" type="#_x0000_t75" stroked="false">
              <v:imagedata r:id="rId18" o:title=""/>
            </v:shape>
            <v:shape style="position:absolute;left:2235;top:1308;width:3116;height:2158" coordorigin="2235,1308" coordsize="3116,2158" path="m5250,3400l5192,3410,5183,3412,5176,3425,5177,3440,5178,3455,5186,3465,5196,3464,5334,3442,5311,3442,5250,3400xm5286,3395l5250,3400,5311,3442,5314,3432,5304,3432,5286,3395xm5243,3232l5235,3241,5230,3249,5228,3258,5228,3269,5231,3279,5265,3351,5325,3392,5311,3442,5334,3442,5351,3439,5260,3247,5255,3235,5243,3232xm5316,3390l5286,3395,5304,3432,5316,3390xm5322,3390l5316,3390,5304,3432,5314,3432,5325,3392,5322,3390xm2250,1308l2235,1358,5250,3400,5286,3395,5265,3351,2250,1308xm5265,3351l5286,3395,5316,3390,5322,3390,5265,3351xe" filled="true" fillcolor="#497dba" stroked="false">
              <v:path arrowok="t"/>
              <v:fill type="solid"/>
            </v:shape>
            <v:shape style="position:absolute;left:2235;top:1308;width:3091;height:2134" coordorigin="2235,1308" coordsize="3091,2134" path="m2250,1308l5325,3392,5311,3442,2235,1358,2250,1308xe" filled="false" stroked="true" strokeweight=".075264pt" strokecolor="#497dba">
              <v:path arrowok="t"/>
            </v:shape>
            <v:shape style="position:absolute;left:5175;top:3232;width:177;height:235" type="#_x0000_t75" stroked="false">
              <v:imagedata r:id="rId19" o:title=""/>
            </v:shape>
            <v:shape style="position:absolute;left:1845;top:-49;width:977;height:699" type="#_x0000_t202" filled="false" stroked="false">
              <v:textbox inset="0,0,0,0">
                <w:txbxContent>
                  <w:p>
                    <w:pPr>
                      <w:spacing w:line="194" w:lineRule="exact" w:before="0"/>
                      <w:ind w:left="17" w:right="-12" w:hanging="18"/>
                      <w:jc w:val="left"/>
                      <w:rPr>
                        <w:rFonts w:ascii="Constantia"/>
                        <w:b/>
                        <w:sz w:val="19"/>
                      </w:rPr>
                    </w:pPr>
                    <w:r>
                      <w:rPr>
                        <w:rFonts w:ascii="Constantia"/>
                        <w:b/>
                        <w:w w:val="65"/>
                        <w:sz w:val="19"/>
                      </w:rPr>
                      <w:t>Choque positivo</w:t>
                    </w:r>
                  </w:p>
                  <w:p>
                    <w:pPr>
                      <w:spacing w:line="264" w:lineRule="auto" w:before="22"/>
                      <w:ind w:left="35" w:right="-12" w:hanging="18"/>
                      <w:jc w:val="left"/>
                      <w:rPr>
                        <w:rFonts w:ascii="Constantia"/>
                        <w:b/>
                        <w:sz w:val="19"/>
                      </w:rPr>
                    </w:pPr>
                    <w:r>
                      <w:rPr>
                        <w:rFonts w:ascii="Constantia"/>
                        <w:b/>
                        <w:w w:val="70"/>
                        <w:sz w:val="19"/>
                      </w:rPr>
                      <w:t>del</w:t>
                    </w:r>
                    <w:r>
                      <w:rPr>
                        <w:rFonts w:ascii="Constantia"/>
                        <w:b/>
                        <w:spacing w:val="-21"/>
                        <w:w w:val="70"/>
                        <w:sz w:val="19"/>
                      </w:rPr>
                      <w:t> </w:t>
                    </w:r>
                    <w:r>
                      <w:rPr>
                        <w:rFonts w:ascii="Constantia"/>
                        <w:b/>
                        <w:w w:val="70"/>
                        <w:sz w:val="19"/>
                      </w:rPr>
                      <w:t>precio</w:t>
                    </w:r>
                    <w:r>
                      <w:rPr>
                        <w:rFonts w:ascii="Constantia"/>
                        <w:b/>
                        <w:spacing w:val="-20"/>
                        <w:w w:val="70"/>
                        <w:sz w:val="19"/>
                      </w:rPr>
                      <w:t> </w:t>
                    </w:r>
                    <w:r>
                      <w:rPr>
                        <w:rFonts w:ascii="Constantia"/>
                        <w:b/>
                        <w:w w:val="70"/>
                        <w:sz w:val="19"/>
                      </w:rPr>
                      <w:t>de</w:t>
                    </w:r>
                    <w:r>
                      <w:rPr>
                        <w:rFonts w:ascii="Constantia"/>
                        <w:b/>
                        <w:spacing w:val="-22"/>
                        <w:w w:val="70"/>
                        <w:sz w:val="19"/>
                      </w:rPr>
                      <w:t> </w:t>
                    </w:r>
                    <w:r>
                      <w:rPr>
                        <w:rFonts w:ascii="Constantia"/>
                        <w:b/>
                        <w:w w:val="70"/>
                        <w:sz w:val="19"/>
                      </w:rPr>
                      <w:t>un </w:t>
                    </w:r>
                    <w:r>
                      <w:rPr>
                        <w:rFonts w:ascii="Constantia"/>
                        <w:b/>
                        <w:w w:val="65"/>
                        <w:sz w:val="19"/>
                      </w:rPr>
                      <w:t>recurso</w:t>
                    </w:r>
                    <w:r>
                      <w:rPr>
                        <w:rFonts w:ascii="Constantia"/>
                        <w:b/>
                        <w:spacing w:val="-1"/>
                        <w:w w:val="65"/>
                        <w:sz w:val="19"/>
                      </w:rPr>
                      <w:t> </w:t>
                    </w:r>
                    <w:r>
                      <w:rPr>
                        <w:rFonts w:ascii="Constantia"/>
                        <w:b/>
                        <w:w w:val="65"/>
                        <w:sz w:val="19"/>
                      </w:rPr>
                      <w:t>natural</w:t>
                    </w:r>
                  </w:p>
                </w:txbxContent>
              </v:textbox>
              <w10:wrap type="none"/>
            </v:shape>
            <v:shape style="position:absolute;left:3476;top:-149;width:1811;height:1357" type="#_x0000_t202" filled="false" stroked="false">
              <v:textbox inset="0,0,0,0">
                <w:txbxContent>
                  <w:p>
                    <w:pPr>
                      <w:spacing w:line="194" w:lineRule="exact" w:before="0"/>
                      <w:ind w:left="328" w:right="99" w:firstLine="0"/>
                      <w:jc w:val="center"/>
                      <w:rPr>
                        <w:rFonts w:ascii="Constantia" w:hAnsi="Constantia"/>
                        <w:b/>
                        <w:sz w:val="19"/>
                      </w:rPr>
                    </w:pPr>
                    <w:r>
                      <w:rPr>
                        <w:rFonts w:ascii="Constantia" w:hAnsi="Constantia"/>
                        <w:b/>
                        <w:w w:val="65"/>
                        <w:sz w:val="19"/>
                      </w:rPr>
                      <w:t>Asignación de ingresos</w:t>
                    </w:r>
                  </w:p>
                  <w:p>
                    <w:pPr>
                      <w:spacing w:line="261" w:lineRule="auto" w:before="22"/>
                      <w:ind w:left="233" w:right="0" w:hanging="4"/>
                      <w:jc w:val="center"/>
                      <w:rPr>
                        <w:rFonts w:ascii="Constantia" w:hAnsi="Constantia"/>
                        <w:sz w:val="14"/>
                      </w:rPr>
                    </w:pPr>
                    <w:r>
                      <w:rPr>
                        <w:rFonts w:ascii="Constantia" w:hAnsi="Constantia"/>
                        <w:b/>
                        <w:w w:val="65"/>
                        <w:sz w:val="19"/>
                      </w:rPr>
                      <w:t>fiscales gasíferos al gasto </w:t>
                    </w:r>
                    <w:r>
                      <w:rPr>
                        <w:rFonts w:ascii="Constantia" w:hAnsi="Constantia"/>
                        <w:b/>
                        <w:w w:val="70"/>
                        <w:sz w:val="19"/>
                      </w:rPr>
                      <w:t>de</w:t>
                    </w:r>
                    <w:r>
                      <w:rPr>
                        <w:rFonts w:ascii="Constantia" w:hAnsi="Constantia"/>
                        <w:b/>
                        <w:spacing w:val="-16"/>
                        <w:w w:val="70"/>
                        <w:sz w:val="19"/>
                      </w:rPr>
                      <w:t> </w:t>
                    </w:r>
                    <w:r>
                      <w:rPr>
                        <w:rFonts w:ascii="Constantia" w:hAnsi="Constantia"/>
                        <w:b/>
                        <w:w w:val="70"/>
                        <w:sz w:val="19"/>
                      </w:rPr>
                      <w:t>capital</w:t>
                    </w:r>
                    <w:r>
                      <w:rPr>
                        <w:rFonts w:ascii="Constantia" w:hAnsi="Constantia"/>
                        <w:b/>
                        <w:spacing w:val="3"/>
                        <w:w w:val="70"/>
                        <w:sz w:val="19"/>
                      </w:rPr>
                      <w:t> </w:t>
                    </w:r>
                    <w:r>
                      <w:rPr>
                        <w:rFonts w:ascii="Constantia" w:hAnsi="Constantia"/>
                        <w:w w:val="70"/>
                        <w:sz w:val="14"/>
                      </w:rPr>
                      <w:t>(Gasto</w:t>
                    </w:r>
                    <w:r>
                      <w:rPr>
                        <w:rFonts w:ascii="Constantia" w:hAnsi="Constantia"/>
                        <w:spacing w:val="-10"/>
                        <w:w w:val="70"/>
                        <w:sz w:val="14"/>
                      </w:rPr>
                      <w:t> </w:t>
                    </w:r>
                    <w:r>
                      <w:rPr>
                        <w:rFonts w:ascii="Constantia" w:hAnsi="Constantia"/>
                        <w:w w:val="70"/>
                        <w:sz w:val="14"/>
                      </w:rPr>
                      <w:t>de</w:t>
                    </w:r>
                    <w:r>
                      <w:rPr>
                        <w:rFonts w:ascii="Constantia" w:hAnsi="Constantia"/>
                        <w:spacing w:val="-10"/>
                        <w:w w:val="70"/>
                        <w:sz w:val="14"/>
                      </w:rPr>
                      <w:t> </w:t>
                    </w:r>
                    <w:r>
                      <w:rPr>
                        <w:rFonts w:ascii="Constantia" w:hAnsi="Constantia"/>
                        <w:w w:val="70"/>
                        <w:sz w:val="14"/>
                      </w:rPr>
                      <w:t>Capital/</w:t>
                    </w:r>
                    <w:r>
                      <w:rPr>
                        <w:rFonts w:ascii="Constantia" w:hAnsi="Constantia"/>
                        <w:spacing w:val="-13"/>
                        <w:w w:val="70"/>
                        <w:sz w:val="14"/>
                      </w:rPr>
                      <w:t> </w:t>
                    </w:r>
                    <w:r>
                      <w:rPr>
                        <w:rFonts w:ascii="Constantia" w:hAnsi="Constantia"/>
                        <w:w w:val="70"/>
                        <w:sz w:val="14"/>
                      </w:rPr>
                      <w:t>Ing.</w:t>
                    </w:r>
                  </w:p>
                  <w:p>
                    <w:pPr>
                      <w:spacing w:before="3"/>
                      <w:ind w:left="328" w:right="96" w:firstLine="0"/>
                      <w:jc w:val="center"/>
                      <w:rPr>
                        <w:rFonts w:ascii="Constantia" w:hAnsi="Constantia"/>
                        <w:sz w:val="14"/>
                      </w:rPr>
                    </w:pPr>
                    <w:r>
                      <w:rPr>
                        <w:rFonts w:ascii="Constantia" w:hAnsi="Constantia"/>
                        <w:w w:val="65"/>
                        <w:sz w:val="14"/>
                      </w:rPr>
                      <w:t>Fiscal.  Gasíferos)</w:t>
                    </w:r>
                  </w:p>
                  <w:p>
                    <w:pPr>
                      <w:spacing w:line="240" w:lineRule="auto" w:before="0"/>
                      <w:rPr>
                        <w:sz w:val="14"/>
                      </w:rPr>
                    </w:pPr>
                  </w:p>
                  <w:p>
                    <w:pPr>
                      <w:spacing w:line="205" w:lineRule="exact" w:before="93"/>
                      <w:ind w:left="0" w:right="0" w:firstLine="0"/>
                      <w:jc w:val="left"/>
                      <w:rPr>
                        <w:rFonts w:ascii="Constantia" w:hAnsi="Constantia"/>
                        <w:sz w:val="17"/>
                      </w:rPr>
                    </w:pPr>
                    <w:r>
                      <w:rPr>
                        <w:rFonts w:ascii="Constantia" w:hAnsi="Constantia"/>
                        <w:b/>
                        <w:spacing w:val="-2"/>
                        <w:w w:val="70"/>
                        <w:sz w:val="17"/>
                      </w:rPr>
                      <w:t>(+)</w:t>
                    </w:r>
                    <w:r>
                      <w:rPr>
                        <w:rFonts w:ascii="Constantia" w:hAnsi="Constantia"/>
                        <w:b/>
                        <w:spacing w:val="10"/>
                        <w:w w:val="70"/>
                        <w:sz w:val="17"/>
                      </w:rPr>
                      <w:t> </w:t>
                    </w:r>
                    <w:r>
                      <w:rPr>
                        <w:rFonts w:ascii="Constantia" w:hAnsi="Constantia"/>
                        <w:w w:val="70"/>
                        <w:sz w:val="17"/>
                      </w:rPr>
                      <w:t>Canalización</w:t>
                    </w:r>
                    <w:r>
                      <w:rPr>
                        <w:rFonts w:ascii="Constantia" w:hAnsi="Constantia"/>
                        <w:spacing w:val="-15"/>
                        <w:w w:val="70"/>
                        <w:sz w:val="17"/>
                      </w:rPr>
                      <w:t> </w:t>
                    </w:r>
                    <w:r>
                      <w:rPr>
                        <w:rFonts w:ascii="Constantia" w:hAnsi="Constantia"/>
                        <w:w w:val="70"/>
                        <w:sz w:val="17"/>
                      </w:rPr>
                      <w:t>en</w:t>
                    </w:r>
                    <w:r>
                      <w:rPr>
                        <w:rFonts w:ascii="Constantia" w:hAnsi="Constantia"/>
                        <w:spacing w:val="-15"/>
                        <w:w w:val="70"/>
                        <w:sz w:val="17"/>
                      </w:rPr>
                      <w:t> </w:t>
                    </w:r>
                    <w:r>
                      <w:rPr>
                        <w:rFonts w:ascii="Constantia" w:hAnsi="Constantia"/>
                        <w:w w:val="70"/>
                        <w:sz w:val="17"/>
                      </w:rPr>
                      <w:t>gasto</w:t>
                    </w:r>
                    <w:r>
                      <w:rPr>
                        <w:rFonts w:ascii="Constantia" w:hAnsi="Constantia"/>
                        <w:spacing w:val="-16"/>
                        <w:w w:val="70"/>
                        <w:sz w:val="17"/>
                      </w:rPr>
                      <w:t> </w:t>
                    </w:r>
                    <w:r>
                      <w:rPr>
                        <w:rFonts w:ascii="Constantia" w:hAnsi="Constantia"/>
                        <w:w w:val="70"/>
                        <w:sz w:val="17"/>
                      </w:rPr>
                      <w:t>de</w:t>
                    </w:r>
                    <w:r>
                      <w:rPr>
                        <w:rFonts w:ascii="Constantia" w:hAnsi="Constantia"/>
                        <w:spacing w:val="-15"/>
                        <w:w w:val="70"/>
                        <w:sz w:val="17"/>
                      </w:rPr>
                      <w:t> </w:t>
                    </w:r>
                    <w:r>
                      <w:rPr>
                        <w:rFonts w:ascii="Constantia" w:hAnsi="Constantia"/>
                        <w:w w:val="70"/>
                        <w:sz w:val="17"/>
                      </w:rPr>
                      <w:t>capital</w:t>
                    </w:r>
                  </w:p>
                </w:txbxContent>
              </v:textbox>
              <w10:wrap type="none"/>
            </v:shape>
            <v:shape style="position:absolute;left:3476;top:1389;width:594;height:445" type="#_x0000_t202" filled="false" stroked="false">
              <v:textbox inset="0,0,0,0">
                <w:txbxContent>
                  <w:p>
                    <w:pPr>
                      <w:spacing w:line="193" w:lineRule="exact" w:before="0"/>
                      <w:ind w:left="11" w:right="0" w:hanging="12"/>
                      <w:jc w:val="left"/>
                      <w:rPr>
                        <w:rFonts w:ascii="Constantia"/>
                        <w:sz w:val="17"/>
                      </w:rPr>
                    </w:pPr>
                    <w:r>
                      <w:rPr>
                        <w:rFonts w:ascii="Constantia"/>
                        <w:w w:val="70"/>
                        <w:sz w:val="17"/>
                      </w:rPr>
                      <w:t>(0) </w:t>
                    </w:r>
                    <w:r>
                      <w:rPr>
                        <w:rFonts w:ascii="Constantia"/>
                        <w:w w:val="70"/>
                        <w:position w:val="2"/>
                        <w:sz w:val="17"/>
                      </w:rPr>
                      <w:t>Neutral</w:t>
                    </w:r>
                  </w:p>
                  <w:p>
                    <w:pPr>
                      <w:spacing w:line="215" w:lineRule="exact" w:before="36"/>
                      <w:ind w:left="11" w:right="0" w:firstLine="0"/>
                      <w:jc w:val="left"/>
                      <w:rPr>
                        <w:rFonts w:ascii="Constantia"/>
                        <w:sz w:val="17"/>
                      </w:rPr>
                    </w:pPr>
                    <w:r>
                      <w:rPr>
                        <w:rFonts w:ascii="Constantia"/>
                        <w:b/>
                        <w:w w:val="70"/>
                        <w:sz w:val="17"/>
                      </w:rPr>
                      <w:t>(-) </w:t>
                    </w:r>
                    <w:r>
                      <w:rPr>
                        <w:rFonts w:ascii="Constantia"/>
                        <w:w w:val="70"/>
                        <w:position w:val="1"/>
                        <w:sz w:val="17"/>
                      </w:rPr>
                      <w:t>Ahorro</w:t>
                    </w:r>
                  </w:p>
                </w:txbxContent>
              </v:textbox>
              <w10:wrap type="none"/>
            </v:shape>
            <w10:wrap type="none"/>
          </v:group>
        </w:pict>
      </w:r>
      <w:r>
        <w:rPr/>
        <w:pict>
          <v:group style="position:absolute;margin-left:300.557129pt;margin-top:-15.731554pt;width:118.6pt;height:230.85pt;mso-position-horizontal-relative:page;mso-position-vertical-relative:paragraph;z-index:1840" coordorigin="6011,-315" coordsize="2372,4617">
            <v:shape style="position:absolute;left:6011;top:-315;width:2122;height:1198" type="#_x0000_t75" stroked="false">
              <v:imagedata r:id="rId20" o:title=""/>
            </v:shape>
            <v:shape style="position:absolute;left:6011;top:1582;width:2122;height:744" type="#_x0000_t75" stroked="false">
              <v:imagedata r:id="rId21" o:title=""/>
            </v:shape>
            <v:shape style="position:absolute;left:6922;top:923;width:162;height:655" coordorigin="6922,923" coordsize="162,655" path="m6939,1332l6931,1340,6925,1347,6922,1357,6922,1368,6925,1378,7006,1578,7026,1525,6988,1525,6986,1424,6955,1349,6950,1336,6939,1332xm6986,1424l6988,1525,7023,1523,7023,1511,6990,1511,7005,1470,6986,1424xm7066,1327l7054,1332,7050,1345,7022,1423,7023,1523,6988,1525,7026,1525,7081,1371,7083,1361,7083,1350,7080,1341,7074,1334,7066,1327xm7005,1470l6990,1511,7021,1509,7005,1470xm7022,1423l7005,1470,7021,1509,6990,1511,7023,1511,7022,1423xm7012,923l6977,925,6986,1424,7005,1470,7022,1423,7012,923xe" filled="true" fillcolor="#497dba" stroked="false">
              <v:path arrowok="t"/>
              <v:fill type="solid"/>
            </v:shape>
            <v:shape style="position:absolute;left:6977;top:923;width:47;height:602" coordorigin="6977,923" coordsize="47,602" path="m7012,923l7023,1523,6988,1525,6977,925,7012,923xe" filled="false" stroked="true" strokeweight=".055933pt" strokecolor="#497dba">
              <v:path arrowok="t"/>
            </v:shape>
            <v:shape style="position:absolute;left:6921;top:1326;width:163;height:253" type="#_x0000_t75" stroked="false">
              <v:imagedata r:id="rId22" o:title=""/>
            </v:shape>
            <v:shape style="position:absolute;left:6011;top:2998;width:2122;height:1216" type="#_x0000_t75" stroked="false">
              <v:imagedata r:id="rId23" o:title=""/>
            </v:shape>
            <v:shape style="position:absolute;left:6944;top:2358;width:162;height:600" coordorigin="6944,2358" coordsize="162,600" path="m6961,2709l6953,2717,6947,2724,6944,2733,6944,2744,6946,2754,7024,2958,7045,2903,7006,2903,7006,2802,6977,2726,6972,2713,6961,2709xm7006,2802l7006,2903,7042,2903,7042,2890,7009,2890,7025,2849,7006,2802xm7088,2709l7077,2713,7072,2726,7042,2803,7042,2903,7045,2903,7103,2754,7105,2744,7105,2733,7102,2724,7096,2717,7088,2709xm7025,2849l7009,2890,7040,2890,7025,2849xm7042,2803l7025,2849,7040,2890,7042,2890,7042,2803xm7042,2358l7006,2358,7006,2802,7025,2849,7042,2803,7042,2358xe" filled="true" fillcolor="#497dba" stroked="false">
              <v:path arrowok="t"/>
              <v:fill type="solid"/>
            </v:shape>
            <v:rect style="position:absolute;left:7006;top:2358;width:36;height:545" filled="false" stroked="true" strokeweight=".055883pt" strokecolor="#497dba"/>
            <v:shape style="position:absolute;left:6943;top:2709;width:162;height:250" type="#_x0000_t75" stroked="false">
              <v:imagedata r:id="rId24" o:title=""/>
            </v:shape>
            <v:shape style="position:absolute;left:8178;top:1668;width:162;height:636" coordorigin="8178,1668" coordsize="162,636" path="m8292,2282l8291,2300,8308,2302,8339,2304,8340,2285,8308,2284,8292,2282xm8265,2202l8253,2202,8253,2274,8265,2274,8265,2202xm8265,2074l8253,2074,8253,2147,8265,2147,8265,2074xm8253,2010l8253,2020,8265,2020,8265,2011,8254,2011,8254,2010,8253,2010xm8254,2010l8254,2011,8254,2011,8254,2010xm8254,2011l8254,2011,8255,2011,8254,2011xm8254,2011l8254,2011,8255,2011,8254,2011xm8265,2006l8259,2006,8254,2011,8255,2011,8265,2011,8265,2006xm8253,2008l8253,2008,8254,2010,8254,2011,8254,2011,8253,2008xm8259,2006l8253,2006,8253,2008,8254,2011,8259,2006xm8253,2008l8253,2010,8254,2010,8253,2008xm8250,2007l8253,2010,8253,2008,8253,2008,8251,2008,8250,2007xm8252,2007l8253,2008,8253,2008,8252,2007xm8253,2007l8252,2007,8253,2008,8253,2007xm8250,2007l8250,2007,8251,2008,8250,2007xm8252,2007l8250,2007,8251,2008,8253,2008,8252,2007xm8224,1981l8222,1999,8234,2001,8243,2004,8250,2007,8250,2007,8253,2007,8253,2006,8259,2006,8264,2003,8263,1999,8262,1997,8261,1996,8260,1995,8255,1990,8255,1990,8255,1990,8254,1990,8247,1987,8236,1984,8224,1981xm8253,1965l8251,1965,8251,1965,8254,1983,8255,1982,8255,1982,8260,1978,8261,1977,8262,1976,8263,1974,8264,1970,8259,1966,8252,1966,8253,1965xm8253,1963l8250,1966,8251,1965,8251,1965,8253,1965,8253,1965,8253,1963xm8253,1965l8252,1966,8253,1965,8253,1965xm8253,1965l8252,1966,8253,1966,8253,1965xm8254,1962l8253,1965,8253,1966,8259,1966,8254,1962xm8265,1962l8255,1962,8254,1962,8259,1966,8265,1966,8265,1962xm8251,1965l8251,1965,8251,1965,8251,1965xm8254,1962l8254,1963,8253,1965,8253,1965,8254,1962,8254,1962xm8254,1963l8253,1963,8253,1965,8254,1963xm8265,1907l8253,1907,8253,1963,8254,1963,8254,1962,8265,1962,8265,1907xm8254,1962l8254,1963,8254,1962,8254,1962xm8255,1962l8254,1962,8254,1962,8255,1962xm8255,1962l8254,1962,8254,1962,8255,1962xm8178,1986l8178,1995,8187,1996,8187,1995,8178,1995,8178,1986xm8178,1977l8178,1986,8178,1995,8187,1995,8187,1977,8178,1977xm8187,1995l8178,1995,8187,1995,8187,1995xm8217,1977l8178,1977,8187,1977,8187,1995,8210,1994,8218,1992,8217,1977xm8217,1974l8209,1975,8178,1977,8178,1986,8178,1977,8217,1977,8217,1974xm8265,1780l8253,1780,8253,1852,8265,1852,8265,1780xm8259,1698l8253,1698,8253,1725,8265,1725,8265,1702,8263,1702,8263,1702,8259,1698xm8263,1702l8263,1702,8264,1702,8263,1702xm8264,1702l8263,1702,8264,1702,8264,1702xm8264,1701l8264,1702,8264,1702,8264,1701xm8265,1701l8264,1701,8264,1702,8265,1702,8265,1701xm8265,1700l8263,1702,8264,1702,8264,1701,8265,1700,8265,1700xm8286,1674l8271,1678,8264,1681,8263,1681,8263,1682,8263,1682,8258,1686,8257,1687,8256,1688,8255,1690,8254,1694,8263,1702,8265,1700,8265,1698,8270,1698,8275,1696,8283,1693,8287,1692,8286,1674xm8265,1700l8264,1701,8265,1701,8265,1700xm8268,1698l8266,1698,8265,1700,8265,1701,8267,1699,8267,1699,8268,1698xm8266,1698l8265,1700,8265,1700,8266,1698xm8270,1698l8265,1698,8265,1700,8266,1698,8268,1698,8270,1698xm8268,1698l8267,1699,8268,1699,8268,1698xm8268,1699l8267,1699,8267,1699,8268,1699xm8268,1698l8268,1698,8268,1699,8268,1698xm8339,1668l8322,1669,8322,1688,8340,1687,8339,1668xe" filled="true" fillcolor="#5f497a" stroked="false">
              <v:path arrowok="t"/>
              <v:fill type="solid"/>
            </v:shape>
            <v:shape style="position:absolute;left:8291;top:2282;width:49;height:22" coordorigin="8291,2282" coordsize="49,22" path="m8339,2304l8308,2302,8291,2300,8292,2282,8308,2284,8340,2285,8339,2304xe" filled="false" stroked="true" strokeweight=".079651pt" strokecolor="#5f497a">
              <v:path arrowok="t"/>
            </v:shape>
            <v:line style="position:absolute" from="8252,2238" to="8265,2238" stroked="true" strokeweight="3.726613pt" strokecolor="#5f497a"/>
            <v:line style="position:absolute" from="8252,2111" to="8265,2111" stroked="true" strokeweight="3.720573pt" strokecolor="#5f497a"/>
            <v:shape style="position:absolute;left:8177;top:1906;width:118;height:115" type="#_x0000_t75" stroked="false">
              <v:imagedata r:id="rId25" o:title=""/>
            </v:shape>
            <v:line style="position:absolute" from="8252,1816" to="8265,1816" stroked="true" strokeweight="3.708493pt" strokecolor="#5f497a"/>
            <v:line style="position:absolute" from="8252,1711" to="8265,1711" stroked="true" strokeweight="1.443534pt" strokecolor="#5f497a"/>
            <v:shape style="position:absolute;left:16378;top:5539;width:216;height:57" coordorigin="16378,5539" coordsize="216,57" path="m8254,1694l8255,1690,8256,1688,8257,1687,8258,1686,8263,1682,8263,1682,8263,1681,8264,1681,8271,1678,8281,1675,8286,1674,8287,1692,8283,1693,8275,1696,8267,1699,8268,1698,8263,1702,8266,1698,8264,1702,8254,1694xm8322,1669l8339,1668,8340,1687,8322,1688,8322,1669xe" filled="false" stroked="true" strokeweight=".070159pt" strokecolor="#5f497a">
              <v:path arrowok="t"/>
            </v:shape>
            <v:shape style="position:absolute;left:8229;top:3012;width:154;height:1289" coordorigin="8229,3012" coordsize="154,1289" path="m8334,4278l8333,4296,8350,4299,8381,4300,8382,4282,8350,4281,8334,4278xm8307,4198l8295,4198,8295,4271,8307,4271,8307,4198xm8307,4071l8295,4071,8295,4144,8307,4144,8307,4071xm8307,3944l8295,3944,8295,4017,8307,4017,8307,3944xm8307,3817l8295,3817,8295,3890,8307,3890,8307,3817xm8307,3690l8295,3690,8295,3763,8307,3763,8307,3690xm8229,3648l8229,3666,8251,3667,8276,3671,8276,3664,8247,3664,8247,3649,8229,3648xm8247,3649l8247,3664,8277,3660,8277,3653,8252,3649,8247,3649xm8277,3660l8247,3664,8276,3664,8277,3660xm8292,3635l8286,3638,8277,3642,8247,3646,8247,3649,8252,3649,8277,3653,8277,3660,8278,3660,8288,3656,8296,3653,8292,3635xm8307,3522l8295,3522,8295,3595,8307,3595,8307,3522xm8307,3395l8295,3395,8295,3468,8307,3468,8307,3395xm8307,3268l8295,3268,8295,3341,8307,3341,8307,3268xm8307,3141l8295,3141,8295,3214,8307,3214,8307,3141xm8300,3041l8295,3041,8295,3086,8307,3086,8307,3046,8305,3046,8305,3045,8300,3041xm8305,3045l8305,3046,8306,3045,8305,3045xm8306,3045l8305,3046,8306,3046,8306,3045xm8306,3045l8306,3045,8306,3046,8306,3045xm8307,3045l8306,3045,8306,3046,8307,3046,8307,3045xm8307,3043l8305,3045,8306,3045,8306,3045,8307,3044,8307,3043xm8315,3021l8313,3021,8305,3025,8305,3025,8305,3025,8304,3025,8299,3029,8298,3031,8298,3031,8297,3033,8296,3037,8305,3045,8307,3043,8307,3041,8312,3041,8316,3039,8317,3038,8315,3021xm8307,3044l8306,3045,8307,3045,8307,3044xm8310,3042l8307,3042,8307,3044,8307,3045,8309,3042,8309,3042,8310,3042xm8307,3042l8307,3043,8307,3044,8307,3042xm8312,3041l8307,3041,8307,3043,8307,3042,8310,3042,8312,3041xm8310,3042l8309,3042,8310,3042,8310,3042xm8310,3042l8309,3042,8309,3042,8310,3042xm8310,3042l8310,3042,8310,3042,8310,3042xm8381,3012l8352,3013,8352,3031,8382,3030,8381,3012xe" filled="true" fillcolor="#5f497a" stroked="false">
              <v:path arrowok="t"/>
              <v:fill type="solid"/>
            </v:shape>
            <v:shape style="position:absolute;left:8333;top:4278;width:49;height:23" coordorigin="8333,4278" coordsize="49,23" path="m8381,4300l8350,4299,8333,4296,8334,4278,8350,4281,8382,4282,8381,4300xe" filled="false" stroked="true" strokeweight=".079629pt" strokecolor="#5f497a">
              <v:path arrowok="t"/>
            </v:shape>
            <v:line style="position:absolute" from="8294,4235" to="8307,4235" stroked="true" strokeweight="3.723593pt" strokecolor="#5f497a"/>
            <v:line style="position:absolute" from="8294,4108" to="8307,4108" stroked="true" strokeweight="3.723593pt" strokecolor="#5f497a"/>
            <v:shape style="position:absolute;left:8294;top:3853;width:14;height:128" coordorigin="8294,3853" coordsize="14,128" path="m8294,3981l8307,3981m8294,3853l8307,3853e" filled="false" stroked="true" strokeweight="3.708493pt" strokecolor="#5f497a">
              <v:path arrowok="t"/>
            </v:shape>
            <v:shape style="position:absolute;left:8228;top:3634;width:117;height:129" type="#_x0000_t75" stroked="false">
              <v:imagedata r:id="rId26" o:title=""/>
            </v:shape>
            <v:line style="position:absolute" from="8294,3559" to="8307,3559" stroked="true" strokeweight="3.723593pt" strokecolor="#5f497a"/>
            <v:line style="position:absolute" from="8294,3431" to="8307,3431" stroked="true" strokeweight="3.723593pt" strokecolor="#5f497a"/>
            <v:shape style="position:absolute;left:8294;top:3177;width:14;height:128" coordorigin="8294,3177" coordsize="14,128" path="m8294,3304l8307,3304m8294,3177l8307,3177e" filled="false" stroked="true" strokeweight="3.708493pt" strokecolor="#5f497a">
              <v:path arrowok="t"/>
            </v:shape>
            <v:line style="position:absolute" from="8294,3064" to="8307,3064" stroked="true" strokeweight="2.349518pt" strokecolor="#5f497a"/>
            <v:shape style="position:absolute;left:16483;top:7764;width:216;height:56" coordorigin="16483,7764" coordsize="216,56" path="m8296,3037l8297,3033,8298,3031,8298,3031,8299,3029,8304,3025,8305,3025,8305,3025,8305,3025,8313,3021,8315,3021,8317,3038,8316,3039,8309,3042,8310,3042,8305,3046,8307,3042,8306,3046,8296,3037xm8352,3013l8381,3012,8382,3030,8352,3031,8352,3013xe" filled="false" stroked="true" strokeweight=".070159pt" strokecolor="#5f497a">
              <v:path arrowok="t"/>
            </v:shape>
            <v:shape style="position:absolute;left:6065;top:-22;width:2004;height:643" type="#_x0000_t202" filled="false" stroked="false">
              <v:textbox inset="0,0,0,0">
                <w:txbxContent>
                  <w:p>
                    <w:pPr>
                      <w:spacing w:line="194" w:lineRule="exact" w:before="0"/>
                      <w:ind w:left="29" w:right="0" w:hanging="30"/>
                      <w:jc w:val="left"/>
                      <w:rPr>
                        <w:rFonts w:ascii="Constantia" w:hAnsi="Constantia"/>
                        <w:b/>
                        <w:sz w:val="19"/>
                      </w:rPr>
                    </w:pPr>
                    <w:r>
                      <w:rPr>
                        <w:rFonts w:ascii="Constantia" w:hAnsi="Constantia"/>
                        <w:b/>
                        <w:w w:val="65"/>
                        <w:sz w:val="19"/>
                      </w:rPr>
                      <w:t>Asignación de ingresos fiscales no</w:t>
                    </w:r>
                  </w:p>
                  <w:p>
                    <w:pPr>
                      <w:spacing w:line="266" w:lineRule="auto" w:before="22"/>
                      <w:ind w:left="280" w:right="7" w:hanging="252"/>
                      <w:jc w:val="left"/>
                      <w:rPr>
                        <w:rFonts w:ascii="Constantia" w:hAnsi="Constantia"/>
                        <w:sz w:val="14"/>
                      </w:rPr>
                    </w:pPr>
                    <w:r>
                      <w:rPr>
                        <w:rFonts w:ascii="Constantia" w:hAnsi="Constantia"/>
                        <w:b/>
                        <w:w w:val="70"/>
                        <w:sz w:val="19"/>
                      </w:rPr>
                      <w:t>gasíferos</w:t>
                    </w:r>
                    <w:r>
                      <w:rPr>
                        <w:rFonts w:ascii="Constantia" w:hAnsi="Constantia"/>
                        <w:b/>
                        <w:spacing w:val="-8"/>
                        <w:w w:val="70"/>
                        <w:sz w:val="19"/>
                      </w:rPr>
                      <w:t> </w:t>
                    </w:r>
                    <w:r>
                      <w:rPr>
                        <w:rFonts w:ascii="Constantia" w:hAnsi="Constantia"/>
                        <w:b/>
                        <w:w w:val="70"/>
                        <w:sz w:val="19"/>
                      </w:rPr>
                      <w:t>al</w:t>
                    </w:r>
                    <w:r>
                      <w:rPr>
                        <w:rFonts w:ascii="Constantia" w:hAnsi="Constantia"/>
                        <w:b/>
                        <w:spacing w:val="-21"/>
                        <w:w w:val="70"/>
                        <w:sz w:val="19"/>
                      </w:rPr>
                      <w:t> </w:t>
                    </w:r>
                    <w:r>
                      <w:rPr>
                        <w:rFonts w:ascii="Constantia" w:hAnsi="Constantia"/>
                        <w:b/>
                        <w:w w:val="70"/>
                        <w:sz w:val="19"/>
                      </w:rPr>
                      <w:t>gasto</w:t>
                    </w:r>
                    <w:r>
                      <w:rPr>
                        <w:rFonts w:ascii="Constantia" w:hAnsi="Constantia"/>
                        <w:b/>
                        <w:spacing w:val="-20"/>
                        <w:w w:val="70"/>
                        <w:sz w:val="19"/>
                      </w:rPr>
                      <w:t> </w:t>
                    </w:r>
                    <w:r>
                      <w:rPr>
                        <w:rFonts w:ascii="Constantia" w:hAnsi="Constantia"/>
                        <w:b/>
                        <w:w w:val="70"/>
                        <w:sz w:val="19"/>
                      </w:rPr>
                      <w:t>corriente</w:t>
                    </w:r>
                    <w:r>
                      <w:rPr>
                        <w:rFonts w:ascii="Constantia" w:hAnsi="Constantia"/>
                        <w:b/>
                        <w:spacing w:val="-9"/>
                        <w:w w:val="70"/>
                        <w:sz w:val="19"/>
                      </w:rPr>
                      <w:t> </w:t>
                    </w:r>
                    <w:r>
                      <w:rPr>
                        <w:rFonts w:ascii="Constantia" w:hAnsi="Constantia"/>
                        <w:w w:val="70"/>
                        <w:sz w:val="14"/>
                      </w:rPr>
                      <w:t>(Gasto Corriente/</w:t>
                    </w:r>
                    <w:r>
                      <w:rPr>
                        <w:rFonts w:ascii="Constantia" w:hAnsi="Constantia"/>
                        <w:spacing w:val="-13"/>
                        <w:w w:val="70"/>
                        <w:sz w:val="14"/>
                      </w:rPr>
                      <w:t> </w:t>
                    </w:r>
                    <w:r>
                      <w:rPr>
                        <w:rFonts w:ascii="Constantia" w:hAnsi="Constantia"/>
                        <w:w w:val="70"/>
                        <w:sz w:val="14"/>
                      </w:rPr>
                      <w:t>Ing.</w:t>
                    </w:r>
                    <w:r>
                      <w:rPr>
                        <w:rFonts w:ascii="Constantia" w:hAnsi="Constantia"/>
                        <w:spacing w:val="-12"/>
                        <w:w w:val="70"/>
                        <w:sz w:val="14"/>
                      </w:rPr>
                      <w:t> </w:t>
                    </w:r>
                    <w:r>
                      <w:rPr>
                        <w:rFonts w:ascii="Constantia" w:hAnsi="Constantia"/>
                        <w:w w:val="70"/>
                        <w:sz w:val="14"/>
                      </w:rPr>
                      <w:t>Fiscal</w:t>
                    </w:r>
                    <w:r>
                      <w:rPr>
                        <w:rFonts w:ascii="Constantia" w:hAnsi="Constantia"/>
                        <w:spacing w:val="-11"/>
                        <w:w w:val="70"/>
                        <w:sz w:val="14"/>
                      </w:rPr>
                      <w:t> </w:t>
                    </w:r>
                    <w:r>
                      <w:rPr>
                        <w:rFonts w:ascii="Constantia" w:hAnsi="Constantia"/>
                        <w:w w:val="70"/>
                        <w:sz w:val="14"/>
                      </w:rPr>
                      <w:t>No</w:t>
                    </w:r>
                    <w:r>
                      <w:rPr>
                        <w:rFonts w:ascii="Constantia" w:hAnsi="Constantia"/>
                        <w:spacing w:val="-11"/>
                        <w:w w:val="70"/>
                        <w:sz w:val="14"/>
                      </w:rPr>
                      <w:t> </w:t>
                    </w:r>
                    <w:r>
                      <w:rPr>
                        <w:rFonts w:ascii="Constantia" w:hAnsi="Constantia"/>
                        <w:w w:val="70"/>
                        <w:sz w:val="14"/>
                      </w:rPr>
                      <w:t>gasíferos)</w:t>
                    </w:r>
                  </w:p>
                </w:txbxContent>
              </v:textbox>
              <w10:wrap type="none"/>
            </v:shape>
            <v:shape style="position:absolute;left:6065;top:1748;width:2006;height:445" type="#_x0000_t202" filled="false" stroked="false">
              <v:textbox inset="0,0,0,0">
                <w:txbxContent>
                  <w:p>
                    <w:pPr>
                      <w:spacing w:line="194" w:lineRule="exact" w:before="0"/>
                      <w:ind w:left="-1" w:right="0" w:firstLine="0"/>
                      <w:jc w:val="center"/>
                      <w:rPr>
                        <w:rFonts w:ascii="Constantia" w:hAnsi="Constantia"/>
                        <w:b/>
                        <w:sz w:val="19"/>
                      </w:rPr>
                    </w:pPr>
                    <w:r>
                      <w:rPr>
                        <w:rFonts w:ascii="Constantia" w:hAnsi="Constantia"/>
                        <w:b/>
                        <w:w w:val="65"/>
                        <w:sz w:val="19"/>
                      </w:rPr>
                      <w:t>Balance fiscal primario (gasífero</w:t>
                    </w:r>
                    <w:r>
                      <w:rPr>
                        <w:rFonts w:ascii="Constantia" w:hAnsi="Constantia"/>
                        <w:b/>
                        <w:spacing w:val="8"/>
                        <w:w w:val="65"/>
                        <w:sz w:val="19"/>
                      </w:rPr>
                      <w:t> </w:t>
                    </w:r>
                    <w:r>
                      <w:rPr>
                        <w:rFonts w:ascii="Constantia" w:hAnsi="Constantia"/>
                        <w:b/>
                        <w:w w:val="65"/>
                        <w:sz w:val="19"/>
                      </w:rPr>
                      <w:t>y</w:t>
                    </w:r>
                  </w:p>
                  <w:p>
                    <w:pPr>
                      <w:spacing w:line="228" w:lineRule="exact" w:before="22"/>
                      <w:ind w:left="3" w:right="0" w:firstLine="0"/>
                      <w:jc w:val="center"/>
                      <w:rPr>
                        <w:rFonts w:ascii="Constantia" w:hAnsi="Constantia"/>
                        <w:b/>
                        <w:sz w:val="19"/>
                      </w:rPr>
                    </w:pPr>
                    <w:r>
                      <w:rPr>
                        <w:rFonts w:ascii="Constantia" w:hAnsi="Constantia"/>
                        <w:b/>
                        <w:w w:val="65"/>
                        <w:sz w:val="19"/>
                      </w:rPr>
                      <w:t>no gasífero)</w:t>
                    </w:r>
                  </w:p>
                </w:txbxContent>
              </v:textbox>
              <w10:wrap type="none"/>
            </v:shape>
            <v:shape style="position:absolute;left:6639;top:3526;width:862;height:191" type="#_x0000_t202" filled="false" stroked="false">
              <v:textbox inset="0,0,0,0">
                <w:txbxContent>
                  <w:p>
                    <w:pPr>
                      <w:spacing w:line="191" w:lineRule="exact" w:before="0"/>
                      <w:ind w:left="0" w:right="-8" w:firstLine="0"/>
                      <w:jc w:val="left"/>
                      <w:rPr>
                        <w:rFonts w:ascii="Constantia" w:hAnsi="Constantia"/>
                        <w:b/>
                        <w:sz w:val="19"/>
                      </w:rPr>
                    </w:pPr>
                    <w:r>
                      <w:rPr>
                        <w:rFonts w:ascii="Constantia" w:hAnsi="Constantia"/>
                        <w:b/>
                        <w:w w:val="65"/>
                        <w:sz w:val="19"/>
                      </w:rPr>
                      <w:t>Deuda pública</w:t>
                    </w:r>
                  </w:p>
                </w:txbxContent>
              </v:textbox>
              <w10:wrap type="none"/>
            </v:shape>
            <w10:wrap type="none"/>
          </v:group>
        </w:pict>
      </w:r>
      <w:r>
        <w:rPr/>
        <w:pict>
          <v:group style="position:absolute;margin-left:417.668793pt;margin-top:-7.108242pt;width:7.6pt;height:41.35pt;mso-position-horizontal-relative:page;mso-position-vertical-relative:paragraph;z-index:1864" coordorigin="8353,-142" coordsize="152,827">
            <v:shape style="position:absolute;left:8354;top:-141;width:150;height:825" coordorigin="8354,-141" coordsize="150,825" path="m8457,661l8456,679,8473,682,8504,683,8504,665,8473,664,8457,661xm8429,581l8417,581,8417,654,8429,654,8429,581xm8429,455l8417,455,8417,527,8429,527,8429,455xm8429,327l8417,327,8417,400,8429,400,8429,327xm8403,269l8404,273,8400,274,8374,278,8366,278,8366,281,8373,281,8399,286,8408,289,8412,291,8415,273,8411,271,8403,269xm8401,255l8399,256,8374,260,8354,261,8355,279,8366,278,8366,263,8402,263,8401,255xm8366,263l8366,278,8374,278,8400,274,8404,273,8403,269,8401,269,8375,264,8366,263xm8402,263l8366,263,8375,264,8401,269,8403,269,8402,263xm8429,159l8417,159,8417,232,8429,232,8429,159xm8429,32l8417,32,8417,105,8429,105,8429,32xm8429,-95l8417,-95,8417,-22,8429,-22,8429,-95xm8492,-141l8472,-140,8446,-136,8444,-135,8446,-117,8448,-118,8473,-123,8493,-123,8492,-141xe" filled="true" fillcolor="#5f497a" stroked="false">
              <v:path arrowok="t"/>
              <v:fill type="solid"/>
            </v:shape>
            <v:shape style="position:absolute;left:8456;top:661;width:49;height:23" coordorigin="8456,661" coordsize="49,23" path="m8504,683l8473,682,8456,679,8457,661,8473,664,8504,665,8504,683xe" filled="false" stroked="true" strokeweight=".07962pt" strokecolor="#5f497a">
              <v:path arrowok="t"/>
            </v:shape>
            <v:line style="position:absolute" from="8417,618" to="8430,618" stroked="true" strokeweight="3.720573pt" strokecolor="#5f497a"/>
            <v:shape style="position:absolute;left:8417;top:364;width:14;height:128" coordorigin="8417,364" coordsize="14,128" path="m8417,491l8430,491m8417,364l8430,364e" filled="false" stroked="true" strokeweight="3.708493pt" strokecolor="#5f497a">
              <v:path arrowok="t"/>
            </v:shape>
            <v:shape style="position:absolute;left:16630;top:3200;width:153;height:59" coordorigin="16630,3200" coordsize="153,59" path="m8412,291l8408,289,8399,286,8373,281,8366,281,8366,263,8375,264,8401,269,8411,271,8415,273,8412,291xm8354,261l8374,260,8399,256,8401,255,8404,273,8400,274,8374,278,8355,279,8354,261xe" filled="false" stroked="true" strokeweight=".070159pt" strokecolor="#5f497a">
              <v:path arrowok="t"/>
            </v:shape>
            <v:line style="position:absolute" from="8417,196" to="8430,196" stroked="true" strokeweight="3.708493pt" strokecolor="#5f497a"/>
            <v:line style="position:absolute" from="8417,69" to="8430,69" stroked="true" strokeweight="3.720573pt" strokecolor="#5f497a"/>
            <v:shape style="position:absolute;left:8379;top:-142;width:114;height:121" type="#_x0000_t75" stroked="false">
              <v:imagedata r:id="rId27" o:title=""/>
            </v:shape>
            <w10:wrap type="none"/>
          </v:group>
        </w:pict>
      </w:r>
      <w:r>
        <w:rPr>
          <w:rFonts w:ascii="Constantia"/>
          <w:w w:val="70"/>
          <w:sz w:val="17"/>
        </w:rPr>
        <w:t>Estable Vs. Incremento del gasto </w:t>
      </w:r>
      <w:r>
        <w:rPr>
          <w:rFonts w:ascii="Constantia"/>
          <w:w w:val="75"/>
          <w:sz w:val="17"/>
        </w:rPr>
        <w:t>corriente</w:t>
      </w: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6"/>
        </w:rPr>
      </w:pPr>
    </w:p>
    <w:p>
      <w:pPr>
        <w:spacing w:before="68"/>
        <w:ind w:left="6921" w:right="1186" w:firstLine="0"/>
        <w:jc w:val="left"/>
        <w:rPr>
          <w:rFonts w:ascii="Constantia"/>
          <w:sz w:val="17"/>
        </w:rPr>
      </w:pPr>
      <w:r>
        <w:rPr/>
        <w:pict>
          <v:group style="position:absolute;margin-left:503.151367pt;margin-top:-9.66616pt;width:10.75pt;height:100.4pt;mso-position-horizontal-relative:page;mso-position-vertical-relative:paragraph;z-index:1888" coordorigin="10063,-193" coordsize="215,2008">
            <v:shape style="position:absolute;left:10064;top:-192;width:213;height:2006" coordorigin="10064,-192" coordsize="213,2006" path="m10156,1772l10146,1776,10134,1780,10120,1782,10103,1785,10064,1786,10064,1814,10105,1811,10122,1809,10138,1806,10151,1802,10160,1798,10161,1798,10162,1797,10162,1797,10168,1792,10170,1790,10171,1789,10172,1786,10174,1781,10174,1780,10175,1777,10175,1775,10157,1775,10157,1773,10154,1773,10156,1772xm10157,1772l10157,1772,10157,1775,10157,1772xm10175,1768l10160,1768,10157,1772,10157,1775,10175,1775,10175,1768xm10157,1771l10154,1773,10156,1773,10157,1771,10157,1771xm10157,1771l10156,1773,10157,1772,10157,1771xm10157,1772l10156,1773,10157,1773,10157,1772xm10157,1770l10157,1771,10157,1771,10157,1772,10157,1772,10157,1770xm10160,1768l10157,1770,10157,1772,10160,1768xm10157,1771l10157,1771,10157,1771,10157,1771xm10177,811l10171,814,10171,814,10170,815,10169,815,10163,820,10162,822,10161,823,10160,824,10158,829,10157,832,10157,834,10157,1771,10157,1771,10158,1768,10175,1768,10175,845,10173,845,10173,844,10173,844,10174,842,10175,837,10182,837,10185,836,10197,832,10212,829,10228,827,10268,824,10267,824,10227,822,10209,820,10194,817,10181,813,10177,811xm10158,1768l10157,1771,10157,1770,10158,1768xm10160,1768l10158,1768,10157,1770,10160,1768xm10174,842l10174,843,10173,845,10174,842xm10175,842l10174,842,10173,845,10175,845,10175,842xm10174,842l10173,844,10174,843,10174,842xm10174,843l10173,844,10173,844,10174,843xm10175,840l10174,842,10174,843,10174,842,10175,841,10175,840xm10175,841l10174,842,10175,842,10175,841xm10175,837l10174,842,10175,840,10175,837xm10177,839l10177,840,10175,840,10175,841,10175,842,10177,839xm10175,840l10175,840,10175,841,10175,840xm10182,837l10175,837,10175,840,10175,840,10177,840,10178,838,10179,838,10182,837xm10178,838l10177,840,10177,839,10178,838xm10179,838l10178,838,10177,839,10179,838xm10267,797l10228,799,10210,802,10194,805,10182,809,10177,811,10181,813,10194,817,10209,820,10227,822,10267,824,10267,797xm10268,797l10267,797,10267,824,10272,824,10276,818,10276,804,10272,798,10268,797xm10157,-148l10157,788,10157,791,10158,793,10160,798,10161,800,10162,801,10163,802,10169,807,10170,808,10171,809,10177,811,10182,809,10194,805,10210,802,10228,799,10267,797,10268,797,10229,795,10212,793,10197,790,10186,786,10184,785,10175,785,10174,780,10173,779,10173,779,10173,778,10175,778,10175,-146,10158,-146,10157,-148,10157,-148xm10174,780l10175,785,10175,782,10174,780xm10175,782l10175,785,10184,785,10181,784,10178,784,10177,783,10175,783,10175,782xm10176,782l10178,784,10177,782,10176,782xm10177,782l10178,784,10181,784,10177,782xm10175,782l10175,782,10175,783,10175,782xm10175,781l10175,782,10175,783,10177,783,10176,782,10176,782,10175,781xm10176,782l10176,782,10177,782,10176,782xm10174,780l10174,780,10175,782,10175,782,10174,780,10174,780xm10174,780l10175,782,10175,781,10174,780xm10175,778l10173,778,10174,780,10175,781,10175,778xm10173,779l10174,780,10174,780,10173,779xm10173,778l10174,780,10174,780,10173,778xm10173,779l10173,779,10174,780,10173,779xm10157,-148l10158,-146,10158,-148,10157,-148xm10158,-148l10158,-146,10160,-146,10158,-148xm10157,-149l10158,-148,10160,-146,10157,-149xm10175,-152l10157,-152,10157,-149,10160,-146,10175,-146,10175,-152xm10157,-150l10157,-149,10157,-148,10158,-148,10157,-149,10157,-150xm10157,-149l10157,-148,10157,-148,10157,-149xm10156,-151l10154,-151,10155,-150,10155,-150,10157,-148,10157,-149,10156,-151xm10156,-151l10157,-149,10157,-150,10156,-151xm10157,-152l10157,-150,10157,-149,10157,-152xm10155,-150l10155,-150,10155,-150,10155,-150xm10064,-192l10064,-165,10104,-163,10120,-161,10135,-157,10147,-154,10155,-150,10154,-151,10157,-151,10157,-152,10175,-152,10175,-155,10174,-157,10174,-159,10172,-164,10171,-166,10170,-168,10168,-169,10162,-174,10162,-175,10161,-175,10161,-175,10150,-180,10138,-184,10122,-187,10104,-190,10064,-192xm10157,-151l10156,-151,10157,-150,10157,-151xe" filled="true" fillcolor="#17375e" stroked="false">
              <v:path arrowok="t"/>
              <v:fill type="solid"/>
            </v:shape>
            <v:shape style="position:absolute;left:10064;top:-192;width:213;height:2006" coordorigin="10064,-192" coordsize="213,2006" path="m10064,-192l10138,-184,10161,-175,10161,-175,10162,-175,10162,-174,10168,-169,10170,-168,10171,-166,10172,-164,10174,-159,10174,-157,10175,-155,10175,-152,10175,785,10173,778,10175,783,10173,779,10178,784,10176,782,10186,786,10197,790,10212,793,10229,795,10268,797,10272,798,10276,804,10276,811,10276,818,10272,824,10268,824,10228,827,10212,829,10197,832,10185,836,10177,840,10178,838,10173,844,10175,840,10173,845,10175,837,10175,1775,10175,1777,10174,1780,10174,1781,10172,1786,10171,1789,10170,1790,10168,1792,10162,1797,10064,1814,10064,1786,10103,1785,10120,1782,10134,1780,10146,1776,10156,1772,10154,1773,10160,1768,10156,1773,10158,1768,10157,1775,10157,837,10157,834,10162,822,10163,820,10169,815,10170,815,10171,814,10171,814,10182,809,10194,805,10210,802,10228,799,10267,797,10267,824,10194,817,10169,807,10163,802,10162,801,10161,800,10160,798,10158,793,10157,791,10157,788,10157,785,10157,-152,10158,-146,10156,-151,10160,-146,10154,-151,10155,-150,10147,-154,10135,-157,10120,-161,10104,-163,10064,-165,10064,-192xe" filled="false" stroked="true" strokeweight=".056078pt" strokecolor="#17375e">
              <v:path arrowok="t"/>
            </v:shape>
            <w10:wrap type="none"/>
          </v:group>
        </w:pict>
      </w:r>
      <w:r>
        <w:rPr>
          <w:rFonts w:ascii="Constantia"/>
          <w:w w:val="65"/>
          <w:sz w:val="17"/>
        </w:rPr>
        <w:t>Deterioro Vs. No deterioro</w:t>
      </w:r>
    </w:p>
    <w:p>
      <w:pPr>
        <w:pStyle w:val="BodyText"/>
        <w:spacing w:before="1"/>
        <w:rPr>
          <w:rFonts w:ascii="Constantia"/>
          <w:sz w:val="15"/>
        </w:rPr>
      </w:pPr>
      <w:r>
        <w:rPr/>
        <w:pict>
          <v:group style="position:absolute;margin-left:520.534485pt;margin-top:11.175159pt;width:53.55pt;height:34.8pt;mso-position-horizontal-relative:page;mso-position-vertical-relative:paragraph;z-index:1648;mso-wrap-distance-left:0;mso-wrap-distance-right:0" coordorigin="10411,224" coordsize="1071,696">
            <v:shape style="position:absolute;left:10411;top:227;width:1070;height:690" type="#_x0000_t75" stroked="false">
              <v:imagedata r:id="rId28" o:title=""/>
            </v:shape>
            <v:line style="position:absolute" from="11478,227" to="11478,916" stroked="true" strokeweight=".298709pt" strokecolor="#ffffff"/>
            <v:shape style="position:absolute;left:10411;top:224;width:1071;height:696" type="#_x0000_t202" filled="false" stroked="false">
              <v:textbox inset="0,0,0,0">
                <w:txbxContent>
                  <w:p>
                    <w:pPr>
                      <w:spacing w:line="240" w:lineRule="auto" w:before="0"/>
                      <w:rPr>
                        <w:rFonts w:ascii="Constantia"/>
                        <w:sz w:val="18"/>
                      </w:rPr>
                    </w:pPr>
                  </w:p>
                  <w:p>
                    <w:pPr>
                      <w:spacing w:before="1"/>
                      <w:ind w:left="42" w:right="0" w:firstLine="0"/>
                      <w:jc w:val="left"/>
                      <w:rPr>
                        <w:rFonts w:ascii="Constantia" w:hAnsi="Constantia"/>
                        <w:b/>
                        <w:sz w:val="21"/>
                      </w:rPr>
                    </w:pPr>
                    <w:r>
                      <w:rPr>
                        <w:rFonts w:ascii="Constantia" w:hAnsi="Constantia"/>
                        <w:b/>
                        <w:w w:val="65"/>
                        <w:sz w:val="21"/>
                      </w:rPr>
                      <w:t>Posición  fiscal</w:t>
                    </w:r>
                  </w:p>
                </w:txbxContent>
              </v:textbox>
              <w10:wrap type="none"/>
            </v:shape>
            <w10:wrap type="topAndBottom"/>
          </v:group>
        </w:pict>
      </w:r>
    </w:p>
    <w:p>
      <w:pPr>
        <w:spacing w:before="114"/>
        <w:ind w:left="0" w:right="2436" w:firstLine="0"/>
        <w:jc w:val="right"/>
        <w:rPr>
          <w:rFonts w:ascii="Constantia" w:hAnsi="Constantia"/>
          <w:sz w:val="17"/>
        </w:rPr>
      </w:pPr>
      <w:r>
        <w:rPr>
          <w:rFonts w:ascii="Constantia" w:hAnsi="Constantia"/>
          <w:b/>
          <w:w w:val="65"/>
          <w:sz w:val="17"/>
        </w:rPr>
        <w:t>(+) </w:t>
      </w:r>
      <w:r>
        <w:rPr>
          <w:rFonts w:ascii="Constantia" w:hAnsi="Constantia"/>
          <w:w w:val="65"/>
          <w:sz w:val="17"/>
        </w:rPr>
        <w:t>Pro-cíclica</w:t>
      </w:r>
    </w:p>
    <w:p>
      <w:pPr>
        <w:pStyle w:val="BodyText"/>
        <w:rPr>
          <w:rFonts w:ascii="Constantia"/>
          <w:sz w:val="16"/>
        </w:rPr>
      </w:pPr>
    </w:p>
    <w:p>
      <w:pPr>
        <w:pStyle w:val="BodyText"/>
        <w:spacing w:before="7"/>
        <w:rPr>
          <w:rFonts w:ascii="Constantia"/>
          <w:sz w:val="14"/>
        </w:rPr>
      </w:pPr>
    </w:p>
    <w:p>
      <w:pPr>
        <w:spacing w:before="0"/>
        <w:ind w:left="0" w:right="2578" w:firstLine="0"/>
        <w:jc w:val="right"/>
        <w:rPr>
          <w:rFonts w:ascii="Constantia"/>
          <w:sz w:val="17"/>
        </w:rPr>
      </w:pPr>
      <w:r>
        <w:rPr>
          <w:rFonts w:ascii="Constantia"/>
          <w:w w:val="65"/>
          <w:sz w:val="17"/>
        </w:rPr>
        <w:t>(0) Neutral</w:t>
      </w:r>
    </w:p>
    <w:p>
      <w:pPr>
        <w:spacing w:before="27"/>
        <w:ind w:left="0" w:right="2287" w:firstLine="0"/>
        <w:jc w:val="right"/>
        <w:rPr>
          <w:rFonts w:ascii="Constantia" w:hAnsi="Constantia"/>
          <w:sz w:val="17"/>
        </w:rPr>
      </w:pPr>
      <w:r>
        <w:rPr>
          <w:rFonts w:ascii="Constantia" w:hAnsi="Constantia"/>
          <w:b/>
          <w:w w:val="65"/>
          <w:sz w:val="17"/>
        </w:rPr>
        <w:t>(-) </w:t>
      </w:r>
      <w:r>
        <w:rPr>
          <w:rFonts w:ascii="Constantia" w:hAnsi="Constantia"/>
          <w:w w:val="65"/>
          <w:position w:val="1"/>
          <w:sz w:val="17"/>
        </w:rPr>
        <w:t>contra-cíclica</w:t>
      </w:r>
    </w:p>
    <w:p>
      <w:pPr>
        <w:pStyle w:val="BodyText"/>
        <w:spacing w:before="3"/>
        <w:rPr>
          <w:rFonts w:ascii="Constantia"/>
          <w:sz w:val="14"/>
        </w:rPr>
      </w:pPr>
    </w:p>
    <w:p>
      <w:pPr>
        <w:spacing w:before="77"/>
        <w:ind w:left="102" w:right="1186" w:firstLine="0"/>
        <w:jc w:val="left"/>
        <w:rPr>
          <w:sz w:val="18"/>
        </w:rPr>
      </w:pPr>
      <w:r>
        <w:rPr>
          <w:sz w:val="18"/>
        </w:rPr>
        <w:t>Fuente: Elaboración propia.</w:t>
      </w:r>
    </w:p>
    <w:p>
      <w:pPr>
        <w:pStyle w:val="BodyText"/>
        <w:rPr>
          <w:sz w:val="18"/>
        </w:rPr>
      </w:pPr>
    </w:p>
    <w:p>
      <w:pPr>
        <w:pStyle w:val="BodyText"/>
        <w:spacing w:before="9"/>
        <w:rPr>
          <w:sz w:val="17"/>
        </w:rPr>
      </w:pPr>
    </w:p>
    <w:p>
      <w:pPr>
        <w:pStyle w:val="BodyText"/>
        <w:spacing w:line="360" w:lineRule="auto"/>
        <w:ind w:left="102" w:right="1041" w:firstLine="707"/>
        <w:jc w:val="both"/>
      </w:pPr>
      <w:r>
        <w:rPr/>
        <w:t>Para la postura neoclásica, un choque positivo en el precio no debe afectar directamentamente al gasto público al considerar que los ingresos fiscales del recurso natural son ahorrados.</w:t>
      </w:r>
    </w:p>
    <w:p>
      <w:pPr>
        <w:pStyle w:val="BodyText"/>
        <w:spacing w:line="360" w:lineRule="auto" w:before="6"/>
        <w:ind w:left="102" w:right="1037" w:firstLine="767"/>
        <w:jc w:val="both"/>
      </w:pPr>
      <w:r>
        <w:rPr/>
        <w:t>Desde la perspectiva Keynesiana, existen dos vertientes: 1] el gasto público debe seguir una orientación contracíclica, es decir, disminución del gasto en épocas de crecimiento y expansión del gasto durante períodos de recesión; 2] para la segunda vertiente, la teoría modificada del ingreso permanente señala que los ingresos del recurso natural deben canalizarse hacia la inversión pública (componente del gasto de capital) con  el propósito de estimular la demanda</w:t>
      </w:r>
      <w:r>
        <w:rPr>
          <w:spacing w:val="-6"/>
        </w:rPr>
        <w:t> </w:t>
      </w:r>
      <w:r>
        <w:rPr/>
        <w:t>interna.</w:t>
      </w:r>
    </w:p>
    <w:p>
      <w:pPr>
        <w:spacing w:after="0" w:line="360" w:lineRule="auto"/>
        <w:jc w:val="both"/>
        <w:sectPr>
          <w:pgSz w:w="12250" w:h="15850"/>
          <w:pgMar w:header="0" w:footer="1037" w:top="1360" w:bottom="1220" w:left="1600" w:right="660"/>
        </w:sectPr>
      </w:pPr>
    </w:p>
    <w:p>
      <w:pPr>
        <w:pStyle w:val="BodyText"/>
        <w:spacing w:line="360" w:lineRule="auto" w:before="50"/>
        <w:ind w:left="102" w:right="114" w:firstLine="707"/>
        <w:jc w:val="both"/>
      </w:pPr>
      <w:r>
        <w:rPr/>
        <w:t>El mecanismo de respuesta del gasto público frente a los choques de precios del recurso natural determina el comportamiento del balance fiscal primario (con y sin recurso natural). En concordancia, para la postura neoclásica el balance fiscal sin recurso natural no debe afectarse o al menos mantenerse constante. Para la postura Keynesiana, un incremento en la inversión pública, y por ende gasto de capital, afecta de forma negativa al balance fiscal no petrolero.</w:t>
      </w:r>
    </w:p>
    <w:p>
      <w:pPr>
        <w:pStyle w:val="BodyText"/>
        <w:spacing w:line="360" w:lineRule="auto" w:before="6"/>
        <w:ind w:left="102" w:right="116" w:firstLine="707"/>
        <w:jc w:val="both"/>
      </w:pPr>
      <w:r>
        <w:rPr/>
        <w:t>De forma adicional, se ha mencionado que durante épocas de auge en los precios del petróleo, los gobiernos petroleros usúalmente optan por incrementar el gasto de capital (inversión pública) en vez de acumular superávits fiscales (Talvi &amp; Végh, 2005; El Anshasy, 2012). La anterior medida se explica por el </w:t>
      </w:r>
      <w:r>
        <w:rPr>
          <w:i/>
        </w:rPr>
        <w:t>problema de la piscina común</w:t>
      </w:r>
      <w:r>
        <w:rPr/>
        <w:t>, donde existen varios participantes y actores sociales que ejercen presión sobre el gobierno para ejecutar los recursos monetarios disponibles en las arcas del</w:t>
      </w:r>
      <w:r>
        <w:rPr>
          <w:spacing w:val="-11"/>
        </w:rPr>
        <w:t> </w:t>
      </w:r>
      <w:r>
        <w:rPr/>
        <w:t>Estado.</w:t>
      </w:r>
    </w:p>
    <w:p>
      <w:pPr>
        <w:pStyle w:val="BodyText"/>
        <w:spacing w:line="360" w:lineRule="auto" w:before="6"/>
        <w:ind w:left="102" w:right="116" w:firstLine="707"/>
        <w:jc w:val="both"/>
      </w:pPr>
      <w:r>
        <w:rPr/>
        <w:t>Cuando se considera el resultado fiscal el ingreso del recurso natural, este debe tener una respuesta positiva frente a un choque positivo del precio del recurso natural en ambas posturas: i) en la neoclásica, un choque de precios no influye sobre el gasto público, por tanto generá superavit fiscal; ii) la Keynesiana sugiere un diseño contracíclico, por tanto, un choque positivo en el precio debe reflejarse con una respuesta negativa del gasto público (supéravit fiscal por expansión económica) , aunque puede verse contrarestado por un incremento de la inversión pública.</w:t>
      </w:r>
    </w:p>
    <w:p>
      <w:pPr>
        <w:pStyle w:val="BodyText"/>
        <w:spacing w:line="360" w:lineRule="auto" w:before="4"/>
        <w:ind w:left="102" w:right="116" w:firstLine="707"/>
        <w:jc w:val="both"/>
      </w:pPr>
      <w:r>
        <w:rPr/>
        <w:t>Para finalizar, se espera que la respuesta de la deuda pública presente una respuesta negativa frente aun choque positivo del precio del gas natural (disminución del endeudamiento público), en ambas posturas (neoclásica y Keynesiana), al considerar un resultado fiscal positivo derivado de un choque positivo de precios del bien exportable.</w:t>
      </w:r>
    </w:p>
    <w:p>
      <w:pPr>
        <w:pStyle w:val="BodyText"/>
        <w:spacing w:line="360" w:lineRule="auto" w:before="4"/>
        <w:ind w:left="102" w:right="123" w:firstLine="707"/>
        <w:jc w:val="both"/>
      </w:pPr>
      <w:r>
        <w:rPr/>
        <w:t>En el </w:t>
      </w:r>
      <w:r>
        <w:rPr>
          <w:i/>
        </w:rPr>
        <w:t>cuadro 1.1 </w:t>
      </w:r>
      <w:r>
        <w:rPr/>
        <w:t>se mencionan los efectos esperados sobre el gasto e inversión pública, así como en la posición fiscal derivados de un choque positivo en el precio del recurso natural:</w:t>
      </w:r>
    </w:p>
    <w:p>
      <w:pPr>
        <w:spacing w:after="0" w:line="360" w:lineRule="auto"/>
        <w:jc w:val="both"/>
        <w:sectPr>
          <w:pgSz w:w="12250" w:h="15850"/>
          <w:pgMar w:header="0" w:footer="1037" w:top="1360" w:bottom="1220" w:left="1600" w:right="1580"/>
        </w:sectPr>
      </w:pPr>
    </w:p>
    <w:p>
      <w:pPr>
        <w:pStyle w:val="BodyText"/>
        <w:spacing w:line="360" w:lineRule="auto" w:before="50"/>
        <w:ind w:left="2935" w:right="148" w:hanging="2797"/>
      </w:pPr>
      <w:bookmarkStart w:name="_bookmark7" w:id="12"/>
      <w:bookmarkEnd w:id="12"/>
      <w:r>
        <w:rPr/>
      </w:r>
      <w:r>
        <w:rPr/>
        <w:t>Cuadro 1. 1: Efecto esperado de un choque positivo en el precio del recurso natural sobre el gasto público  y la posición fiscal</w:t>
      </w:r>
    </w:p>
    <w:p>
      <w:pPr>
        <w:tabs>
          <w:tab w:pos="5222" w:val="left" w:leader="none"/>
          <w:tab w:pos="7069" w:val="left" w:leader="none"/>
        </w:tabs>
        <w:spacing w:before="27"/>
        <w:ind w:left="3407" w:right="148" w:firstLine="0"/>
        <w:jc w:val="left"/>
        <w:rPr>
          <w:rFonts w:ascii="Constantia"/>
          <w:b/>
          <w:sz w:val="15"/>
        </w:rPr>
      </w:pPr>
      <w:r>
        <w:rPr>
          <w:rFonts w:ascii="Constantia"/>
          <w:b/>
          <w:spacing w:val="-2"/>
          <w:sz w:val="15"/>
        </w:rPr>
        <w:t>Efecto</w:t>
      </w:r>
      <w:r>
        <w:rPr>
          <w:rFonts w:ascii="Constantia"/>
          <w:b/>
          <w:spacing w:val="1"/>
          <w:sz w:val="15"/>
        </w:rPr>
        <w:t> </w:t>
      </w:r>
      <w:r>
        <w:rPr>
          <w:rFonts w:ascii="Constantia"/>
          <w:b/>
          <w:sz w:val="15"/>
        </w:rPr>
        <w:t>sobre:</w:t>
        <w:tab/>
        <w:t>Impacto:</w:t>
        <w:tab/>
        <w:t>Perspectiva:</w:t>
      </w:r>
    </w:p>
    <w:p>
      <w:pPr>
        <w:pStyle w:val="BodyText"/>
        <w:spacing w:line="23" w:lineRule="exact"/>
        <w:ind w:left="1452"/>
        <w:rPr>
          <w:rFonts w:ascii="Constantia"/>
          <w:sz w:val="2"/>
        </w:rPr>
      </w:pPr>
      <w:r>
        <w:rPr>
          <w:rFonts w:ascii="Constantia"/>
          <w:sz w:val="2"/>
        </w:rPr>
        <w:pict>
          <v:group style="width:376.65pt;height:1.2pt;mso-position-horizontal-relative:char;mso-position-vertical-relative:line" coordorigin="0,0" coordsize="7533,24">
            <v:line style="position:absolute" from="8,4" to="7524,4" stroked="true" strokeweight=".397052pt" strokecolor="#000000"/>
            <v:line style="position:absolute" from="4,4" to="7528,4" stroked="true" strokeweight=".397052pt" strokecolor="#000000"/>
            <v:line style="position:absolute" from="8,20" to="7524,20" stroked="true" strokeweight=".397052pt" strokecolor="#000000"/>
            <v:line style="position:absolute" from="4,20" to="7528,20" stroked="true" strokeweight=".397052pt" strokecolor="#000000"/>
          </v:group>
        </w:pict>
      </w:r>
      <w:r>
        <w:rPr>
          <w:rFonts w:ascii="Constantia"/>
          <w:sz w:val="2"/>
        </w:rPr>
      </w:r>
    </w:p>
    <w:p>
      <w:pPr>
        <w:tabs>
          <w:tab w:pos="6034" w:val="left" w:leader="none"/>
        </w:tabs>
        <w:spacing w:before="9"/>
        <w:ind w:left="5501" w:right="148" w:firstLine="0"/>
        <w:jc w:val="left"/>
        <w:rPr>
          <w:rFonts w:ascii="Constantia" w:hAnsi="Constantia"/>
          <w:sz w:val="15"/>
        </w:rPr>
      </w:pPr>
      <w:r>
        <w:rPr/>
        <w:pict>
          <v:group style="position:absolute;margin-left:205.334213pt;margin-top:8.531102pt;width:323.350pt;height:34.35pt;mso-position-horizontal-relative:page;mso-position-vertical-relative:paragraph;z-index:-570136" coordorigin="4107,171" coordsize="6467,687">
            <v:line style="position:absolute" from="4243,395" to="10565,395" stroked="true" strokeweight=".397052pt" strokecolor="#000000"/>
            <v:line style="position:absolute" from="4239,395" to="10569,395" stroked="true" strokeweight=".397052pt" strokecolor="#000000"/>
            <v:shape style="position:absolute;left:4108;top:172;width:216;height:685" coordorigin="4108,172" coordsize="216,685" path="m4211,534l4211,833,4212,834,4213,835,4215,839,4215,841,4216,841,4218,842,4224,845,4224,845,4225,846,4225,846,4235,849,4249,851,4282,855,4323,856,4323,841,4283,839,4251,836,4239,833,4233,832,4227,832,4227,830,4225,828,4227,828,4227,535,4213,535,4212,535,4211,534xm4227,830l4227,832,4227,830,4227,830xm4227,830l4227,832,4228,832,4227,830xm4227,830l4227,830,4228,832,4227,830xm4227,829l4227,830,4228,832,4233,832,4231,831,4231,831,4230,831,4230,831,4227,829xm4230,831l4231,831,4230,831,4230,831xm4230,831l4231,831,4231,831,4230,831xm4230,831l4230,831,4230,831,4230,831xm4226,829l4227,830,4227,830,4227,830,4227,829,4226,829xm4225,828l4227,830,4226,829,4225,828xm4227,829l4227,830,4227,829,4227,829xm4227,828l4226,828,4227,829,4227,829,4227,828xm4226,828l4226,829,4227,829,4226,828xm4226,828l4225,828,4226,829,4226,828xm4212,535l4213,535,4212,535,4212,535xm4212,535l4213,535,4214,535,4212,535xm4212,533l4212,535,4214,535,4212,533xm4227,531l4211,531,4212,533,4214,535,4227,535,4227,531xm4211,532l4211,533,4212,535,4212,535,4212,533,4211,532xm4211,532l4211,534,4212,535,4211,532xm4208,533l4211,534,4211,533,4209,533,4208,533xm4211,531l4211,532,4212,533,4211,531xm4208,532l4208,533,4209,533,4208,532xm4211,532l4208,532,4209,533,4211,533,4211,532xm4204,514l4203,514,4190,517,4156,520,4116,522,4116,522,4155,523,4187,527,4200,530,4208,533,4208,532,4211,532,4211,532,4211,532,4211,531,4227,531,4227,529,4226,528,4224,525,4224,523,4222,522,4221,521,4215,518,4215,518,4214,518,4214,518,4204,514,4204,514xm4211,532l4211,532,4211,532,4211,532xm4211,532l4211,532,4211,532,4211,532xm4211,496l4209,496,4200,499,4188,501,4156,505,4116,506,4111,507,4108,510,4108,518,4111,522,4116,522,4116,506,4224,506,4224,505,4226,501,4227,500,4227,497,4211,497,4211,496,4211,496xm4116,506l4116,522,4156,520,4190,517,4203,514,4204,514,4191,511,4157,508,4116,506xm4224,506l4116,506,4157,508,4191,511,4204,514,4214,511,4214,511,4215,511,4221,508,4222,507,4224,506xm4211,496l4211,497,4211,497,4211,496xm4211,497l4211,497,4211,497,4211,497xm4211,496l4211,497,4211,497,4211,496xm4227,493l4214,493,4211,496,4211,497,4227,497,4227,493xm4211,495l4208,497,4209,496,4211,496,4211,495xm4212,494l4212,494,4211,496,4211,497,4211,496,4212,494xm4212,494l4211,495,4211,496,4212,494xm4214,493l4212,494,4211,496,4214,493xm4323,172l4282,174,4248,177,4235,180,4225,183,4225,183,4224,184,4224,184,4218,186,4216,188,4215,189,4215,190,4213,194,4212,194,4211,196,4211,495,4212,494,4213,493,4227,493,4227,201,4225,201,4227,199,4227,197,4234,197,4239,195,4251,193,4283,189,4323,188,4323,172xm4213,493l4212,494,4212,494,4213,493xm4214,493l4213,493,4212,494,4214,493xm4227,199l4225,201,4226,200,4227,199xm4226,200l4225,201,4226,201,4226,200xm4227,200l4226,200,4226,201,4227,200xm4227,200l4227,200,4226,201,4227,201,4227,200xm4227,199l4227,199,4226,200,4227,200,4227,200,4227,199xm4227,200l4227,200,4227,200,4227,200xm4232,198l4228,198,4227,199,4227,200,4230,198,4230,198,4232,198xm4228,198l4227,199,4227,200,4228,198xm4227,197l4227,199,4227,199,4227,197xm4234,197l4227,197,4227,199,4228,198,4232,198,4234,197xm4231,198l4230,198,4230,198,4231,198xe" filled="true" fillcolor="#ff0000" stroked="false">
              <v:path arrowok="t"/>
              <v:fill type="solid"/>
            </v:shape>
            <v:shape style="position:absolute;left:4108;top:172;width:216;height:685" coordorigin="4108,172" coordsize="216,685" path="m4323,856l4282,855,4249,851,4235,849,4225,846,4225,846,4224,845,4224,845,4218,842,4216,841,4215,841,4215,839,4213,835,4212,834,4211,833,4211,832,4211,531,4213,535,4211,532,4214,535,4208,532,4209,533,4200,530,4187,527,4155,523,4116,522,4111,522,4108,518,4108,514,4108,510,4111,507,4116,506,4156,505,4188,501,4200,499,4209,496,4208,497,4214,493,4211,497,4213,493,4211,497,4211,197,4211,196,4212,194,4213,194,4215,190,4215,189,4216,188,4218,186,4224,184,4224,184,4225,183,4225,183,4235,180,4248,177,4282,174,4323,172,4323,188,4283,189,4251,193,4239,195,4230,198,4231,198,4225,201,4228,198,4226,201,4227,197,4227,497,4227,499,4227,500,4226,501,4224,505,4224,506,4222,507,4221,508,4215,511,4215,511,4214,511,4116,522,4116,506,4157,508,4191,511,4204,514,4214,518,4214,518,4215,518,4215,518,4221,521,4222,522,4224,523,4224,525,4226,528,4227,529,4227,530,4227,531,4227,832,4226,828,4228,832,4225,828,4231,831,4230,831,4239,833,4251,836,4283,839,4323,841,4323,856xe" filled="false" stroked="true" strokeweight=".074233pt" strokecolor="#ff0000">
              <v:path arrowok="t"/>
            </v:shape>
            <w10:wrap type="none"/>
          </v:group>
        </w:pict>
      </w:r>
      <w:r>
        <w:rPr>
          <w:rFonts w:ascii="Constantia" w:hAnsi="Constantia"/>
          <w:sz w:val="15"/>
        </w:rPr>
        <w:t>0</w:t>
        <w:tab/>
        <w:t>Neoclásica</w:t>
      </w:r>
    </w:p>
    <w:p>
      <w:pPr>
        <w:spacing w:after="0"/>
        <w:jc w:val="left"/>
        <w:rPr>
          <w:rFonts w:ascii="Constantia" w:hAnsi="Constantia"/>
          <w:sz w:val="15"/>
        </w:rPr>
        <w:sectPr>
          <w:pgSz w:w="12250" w:h="15850"/>
          <w:pgMar w:header="0" w:footer="1037" w:top="1360" w:bottom="1220" w:left="1580" w:right="1560"/>
        </w:sectPr>
      </w:pPr>
    </w:p>
    <w:p>
      <w:pPr>
        <w:spacing w:line="200" w:lineRule="atLeast" w:before="15"/>
        <w:ind w:left="1815" w:right="903" w:hanging="327"/>
        <w:jc w:val="left"/>
        <w:rPr>
          <w:rFonts w:ascii="Constantia" w:hAnsi="Constantia"/>
          <w:sz w:val="15"/>
        </w:rPr>
      </w:pPr>
      <w:r>
        <w:rPr>
          <w:rFonts w:ascii="Constantia" w:hAnsi="Constantia"/>
          <w:sz w:val="15"/>
        </w:rPr>
        <w:t>Gasto e Inversión </w:t>
      </w:r>
      <w:r>
        <w:rPr>
          <w:rFonts w:ascii="Constantia" w:hAnsi="Constantia"/>
          <w:position w:val="8"/>
          <w:sz w:val="15"/>
        </w:rPr>
        <w:t>Gasto corriente </w:t>
      </w:r>
      <w:r>
        <w:rPr>
          <w:rFonts w:ascii="Constantia" w:hAnsi="Constantia"/>
          <w:sz w:val="15"/>
        </w:rPr>
        <w:t>pública</w:t>
      </w:r>
    </w:p>
    <w:p>
      <w:pPr>
        <w:spacing w:line="61" w:lineRule="exact" w:before="0"/>
        <w:ind w:left="2691" w:right="-7" w:firstLine="0"/>
        <w:jc w:val="left"/>
        <w:rPr>
          <w:rFonts w:ascii="Constantia" w:hAnsi="Constantia"/>
          <w:sz w:val="15"/>
        </w:rPr>
      </w:pPr>
      <w:r>
        <w:rPr>
          <w:rFonts w:ascii="Constantia" w:hAnsi="Constantia"/>
          <w:sz w:val="15"/>
        </w:rPr>
        <w:t>Gasto de capital (Inversión pública)</w:t>
      </w:r>
    </w:p>
    <w:p>
      <w:pPr>
        <w:tabs>
          <w:tab w:pos="975" w:val="left" w:leader="none"/>
        </w:tabs>
        <w:spacing w:before="16"/>
        <w:ind w:left="449" w:right="0" w:firstLine="0"/>
        <w:jc w:val="left"/>
        <w:rPr>
          <w:rFonts w:ascii="Constantia"/>
          <w:sz w:val="15"/>
        </w:rPr>
      </w:pPr>
      <w:r>
        <w:rPr/>
        <w:br w:type="column"/>
      </w:r>
      <w:r>
        <w:rPr>
          <w:rFonts w:ascii="Constantia"/>
          <w:sz w:val="15"/>
        </w:rPr>
        <w:t>-</w:t>
        <w:tab/>
        <w:t>Keynesiana</w:t>
      </w:r>
    </w:p>
    <w:p>
      <w:pPr>
        <w:tabs>
          <w:tab w:pos="975" w:val="left" w:leader="none"/>
        </w:tabs>
        <w:spacing w:line="167" w:lineRule="exact" w:before="39"/>
        <w:ind w:left="441" w:right="0" w:firstLine="0"/>
        <w:jc w:val="left"/>
        <w:rPr>
          <w:rFonts w:ascii="Constantia" w:hAnsi="Constantia"/>
          <w:sz w:val="15"/>
        </w:rPr>
      </w:pPr>
      <w:r>
        <w:rPr>
          <w:rFonts w:ascii="Constantia" w:hAnsi="Constantia"/>
          <w:sz w:val="15"/>
        </w:rPr>
        <w:t>0</w:t>
        <w:tab/>
        <w:t>Neoclásica</w:t>
      </w:r>
    </w:p>
    <w:p>
      <w:pPr>
        <w:spacing w:line="133" w:lineRule="exact" w:before="0"/>
        <w:ind w:left="975" w:right="0" w:firstLine="0"/>
        <w:jc w:val="left"/>
        <w:rPr>
          <w:rFonts w:ascii="Constantia" w:hAnsi="Constantia"/>
          <w:sz w:val="15"/>
        </w:rPr>
      </w:pPr>
      <w:r>
        <w:rPr>
          <w:rFonts w:ascii="Constantia" w:hAnsi="Constantia"/>
          <w:sz w:val="15"/>
        </w:rPr>
        <w:t>Teoría modificada del Ingreso permanente</w:t>
      </w:r>
    </w:p>
    <w:p>
      <w:pPr>
        <w:spacing w:after="0" w:line="133" w:lineRule="exact"/>
        <w:jc w:val="left"/>
        <w:rPr>
          <w:rFonts w:ascii="Constantia" w:hAnsi="Constantia"/>
          <w:sz w:val="15"/>
        </w:rPr>
        <w:sectPr>
          <w:type w:val="continuous"/>
          <w:pgSz w:w="12250" w:h="15850"/>
          <w:pgMar w:top="1500" w:bottom="280" w:left="1580" w:right="1560"/>
          <w:cols w:num="2" w:equalWidth="0">
            <w:col w:w="5020" w:space="40"/>
            <w:col w:w="4050"/>
          </w:cols>
        </w:sectPr>
      </w:pPr>
    </w:p>
    <w:p>
      <w:pPr>
        <w:tabs>
          <w:tab w:pos="6034" w:val="left" w:leader="none"/>
        </w:tabs>
        <w:spacing w:line="234" w:lineRule="exact" w:before="0"/>
        <w:ind w:left="5501" w:right="148" w:firstLine="0"/>
        <w:jc w:val="left"/>
        <w:rPr>
          <w:rFonts w:ascii="Constantia"/>
          <w:sz w:val="15"/>
        </w:rPr>
      </w:pPr>
      <w:r>
        <w:rPr>
          <w:rFonts w:ascii="Constantia"/>
          <w:position w:val="8"/>
          <w:sz w:val="15"/>
        </w:rPr>
        <w:t>+</w:t>
        <w:tab/>
      </w:r>
      <w:r>
        <w:rPr>
          <w:rFonts w:ascii="Constantia"/>
          <w:sz w:val="15"/>
        </w:rPr>
        <w:t>(Keynesiana)</w:t>
      </w:r>
    </w:p>
    <w:p>
      <w:pPr>
        <w:pStyle w:val="BodyText"/>
        <w:spacing w:line="20" w:lineRule="exact"/>
        <w:ind w:left="2654"/>
        <w:rPr>
          <w:rFonts w:ascii="Constantia"/>
          <w:sz w:val="2"/>
        </w:rPr>
      </w:pPr>
      <w:r>
        <w:rPr>
          <w:rFonts w:ascii="Constantia"/>
          <w:sz w:val="2"/>
        </w:rPr>
        <w:pict>
          <v:group style="width:316.9pt;height:.45pt;mso-position-horizontal-relative:char;mso-position-vertical-relative:line" coordorigin="0,0" coordsize="6338,9">
            <v:line style="position:absolute" from="8,4" to="6330,4" stroked="true" strokeweight=".397052pt" strokecolor="#000000"/>
            <v:line style="position:absolute" from="4,4" to="6334,4" stroked="true" strokeweight=".397052pt" strokecolor="#000000"/>
          </v:group>
        </w:pict>
      </w:r>
      <w:r>
        <w:rPr>
          <w:rFonts w:ascii="Constantia"/>
          <w:sz w:val="2"/>
        </w:rPr>
      </w:r>
    </w:p>
    <w:p>
      <w:pPr>
        <w:pStyle w:val="BodyText"/>
        <w:rPr>
          <w:rFonts w:ascii="Constantia"/>
          <w:sz w:val="20"/>
        </w:rPr>
      </w:pPr>
    </w:p>
    <w:p>
      <w:pPr>
        <w:pStyle w:val="BodyText"/>
        <w:rPr>
          <w:rFonts w:ascii="Constantia"/>
          <w:sz w:val="20"/>
        </w:rPr>
      </w:pPr>
    </w:p>
    <w:p>
      <w:pPr>
        <w:pStyle w:val="BodyText"/>
        <w:spacing w:before="5"/>
        <w:rPr>
          <w:rFonts w:ascii="Constantia"/>
          <w:sz w:val="16"/>
        </w:rPr>
      </w:pPr>
    </w:p>
    <w:p>
      <w:pPr>
        <w:spacing w:before="0"/>
        <w:ind w:left="342" w:right="148" w:firstLine="0"/>
        <w:jc w:val="left"/>
        <w:rPr>
          <w:rFonts w:ascii="Constantia" w:hAnsi="Constantia"/>
          <w:sz w:val="15"/>
        </w:rPr>
      </w:pPr>
      <w:r>
        <w:rPr/>
        <w:pict>
          <v:group style="position:absolute;margin-left:143.228378pt;margin-top:-28.549341pt;width:385.45pt;height:73.95pt;mso-position-horizontal-relative:page;mso-position-vertical-relative:paragraph;z-index:2128" coordorigin="2865,-571" coordsize="7709,1479">
            <v:line style="position:absolute" from="4243,290" to="10565,290" stroked="true" strokeweight=".397052pt" strokecolor="#000000"/>
            <v:line style="position:absolute" from="4239,290" to="10569,290" stroked="true" strokeweight=".397052pt" strokecolor="#000000"/>
            <v:line style="position:absolute" from="4243,489" to="10565,489" stroked="true" strokeweight=".397052pt" strokecolor="#000000"/>
            <v:line style="position:absolute" from="4239,489" to="10569,489" stroked="true" strokeweight=".397052pt" strokecolor="#000000"/>
            <v:shape style="position:absolute;left:4108;top:-570;width:184;height:1052" coordorigin="4108,-570" coordsize="184,1052" path="m4195,-26l4195,461,4196,462,4197,463,4199,466,4200,468,4201,469,4202,469,4207,472,4207,472,4208,472,4208,472,4227,477,4229,477,4257,480,4291,481,4291,465,4257,464,4230,462,4231,462,4220,459,4211,459,4211,456,4209,455,4211,455,4211,-25,4197,-25,4196,-26,4195,-26xm4211,456l4211,459,4211,457,4211,456xm4211,457l4211,459,4220,459,4217,458,4212,458,4211,457xm4211,456l4211,457,4212,458,4211,456xm4211,456l4211,456,4212,458,4217,458,4215,457,4214,457,4213,457,4213,457,4211,456xm4213,457l4214,457,4214,457,4213,457xm4214,457l4214,457,4215,457,4214,457xm4213,457l4213,457,4214,457,4213,457xm4210,455l4211,456,4211,457,4211,456,4211,455,4210,455xm4209,455l4211,456,4210,455,4209,455xm4211,455l4211,456,4211,456,4211,455xm4211,455l4210,455,4211,455,4211,456,4211,455xm4210,455l4210,455,4211,455,4210,455xm4210,455l4209,455,4210,455,4210,455xm4196,-26l4197,-25,4197,-26,4196,-26xm4197,-26l4197,-25,4198,-25,4197,-26xm4196,-26l4197,-26,4198,-25,4196,-26xm4211,-29l4195,-29,4196,-26,4198,-25,4211,-25,4211,-29xm4195,-27l4195,-27,4196,-26,4197,-26,4196,-26,4195,-27xm4195,-27l4195,-26,4196,-26,4195,-27xm4193,-27l4195,-26,4195,-27,4194,-27,4193,-27xm4195,-29l4195,-27,4196,-26,4195,-29xm4193,-44l4180,-40,4179,-40,4150,-37,4116,-36,4116,-36,4149,-36,4176,-32,4194,-27,4195,-27,4195,-27,4195,-28,4195,-28,4195,-29,4211,-29,4211,-32,4210,-33,4208,-36,4207,-38,4206,-39,4205,-40,4200,-42,4200,-42,4199,-42,4199,-42,4193,-44xm4195,-28l4195,-27,4195,-27,4195,-28xm4195,-28l4195,-28,4195,-27,4195,-28xm4195,-61l4194,-61,4176,-56,4177,-56,4150,-53,4116,-52,4111,-52,4108,-48,4108,-40,4111,-36,4116,-36,4116,-52,4209,-52,4210,-54,4211,-55,4211,-59,4195,-59,4195,-60,4195,-60,4195,-61,4195,-61xm4116,-52l4116,-36,4150,-37,4179,-40,4180,-40,4193,-44,4180,-47,4151,-51,4116,-52xm4209,-52l4116,-52,4151,-51,4180,-47,4193,-44,4199,-45,4199,-45,4200,-46,4200,-46,4205,-48,4206,-49,4207,-50,4208,-51,4209,-52xm4196,-61l4195,-60,4195,-59,4196,-61xm4211,-63l4198,-63,4196,-61,4195,-59,4211,-59,4211,-63xm4195,-61l4195,-60,4195,-60,4195,-61xm4195,-60l4195,-60,4195,-60,4195,-60xm4197,-62l4196,-62,4195,-61,4195,-60,4196,-61,4197,-62xm4195,-62l4193,-60,4194,-61,4195,-61,4195,-62xm4196,-62l4195,-62,4195,-61,4196,-62xm4198,-63l4197,-62,4196,-61,4198,-63xm4291,-570l4256,-568,4227,-565,4208,-560,4208,-560,4207,-559,4207,-559,4202,-557,4201,-557,4200,-555,4199,-554,4197,-551,4196,-550,4195,-549,4195,-62,4196,-62,4197,-63,4211,-63,4211,-542,4209,-542,4211,-544,4211,-547,4222,-547,4231,-550,4258,-553,4291,-554,4291,-570xm4197,-63l4196,-62,4197,-62,4197,-63xm4198,-63l4197,-63,4197,-62,4198,-63xm4211,-544l4209,-542,4210,-543,4211,-544xm4210,-543l4209,-542,4210,-542,4210,-543xm4211,-543l4210,-543,4210,-542,4211,-543xm4211,-543l4211,-543,4210,-542,4211,-542,4211,-543xm4211,-544l4211,-544,4210,-543,4211,-543,4211,-544,4211,-544xm4211,-544l4211,-543,4211,-543,4211,-544xm4217,-546l4212,-546,4211,-544,4211,-543,4213,-545,4213,-545,4214,-545,4215,-545,4217,-546xm4212,-546l4211,-545,4211,-544,4212,-546xm4211,-547l4211,-544,4211,-544,4211,-547xm4222,-547l4211,-547,4211,-544,4212,-546,4217,-546,4222,-547xm4214,-545l4213,-545,4214,-545,4214,-545xm4214,-545l4213,-545,4213,-545,4214,-545xm4215,-545l4214,-545,4214,-545,4215,-545xe" filled="true" fillcolor="#ff0000" stroked="false">
              <v:path arrowok="t"/>
              <v:fill type="solid"/>
            </v:shape>
            <v:shape style="position:absolute;left:4108;top:-570;width:184;height:1052" coordorigin="4108,-570" coordsize="184,1052" path="m4291,481l4257,480,4229,477,4228,477,4228,477,4227,477,4208,472,4208,472,4207,472,4207,472,4197,463,4196,462,4195,461,4195,459,4195,-29,4197,-25,4195,-28,4198,-25,4193,-27,4194,-27,4176,-32,4149,-36,4116,-36,4111,-36,4108,-40,4108,-44,4108,-48,4111,-52,4116,-52,4150,-53,4177,-56,4176,-56,4194,-61,4193,-60,4198,-63,4195,-60,4197,-63,4195,-59,4195,-547,4195,-549,4196,-550,4197,-551,4199,-554,4200,-555,4201,-557,4202,-557,4207,-559,4207,-559,4208,-560,4208,-560,4227,-565,4256,-568,4291,-570,4291,-554,4258,-553,4231,-550,4213,-545,4214,-545,4209,-542,4212,-546,4210,-542,4211,-547,4211,-59,4211,-57,4211,-55,4210,-54,4208,-51,4207,-50,4206,-49,4205,-48,4200,-46,4200,-46,4199,-45,4199,-45,4180,-40,4180,-40,4179,-40,4179,-40,4150,-37,4116,-36,4116,-52,4151,-51,4180,-47,4199,-42,4199,-42,4200,-42,4200,-42,4205,-40,4206,-39,4207,-38,4208,-36,4210,-33,4211,-32,4211,-31,4211,-29,4211,459,4210,455,4212,458,4209,455,4214,457,4213,457,4231,462,4230,462,4257,464,4291,465,4291,481xe" filled="false" stroked="true" strokeweight=".074241pt" strokecolor="#ff0000">
              <v:path arrowok="t"/>
            </v:shape>
            <v:line style="position:absolute" from="3041,887" to="10557,887" stroked="true" strokeweight=".397052pt" strokecolor="#000000"/>
            <v:line style="position:absolute" from="3037,887" to="10561,887" stroked="true" strokeweight=".397052pt" strokecolor="#000000"/>
            <v:line style="position:absolute" from="3041,903" to="10557,903" stroked="true" strokeweight=".397052pt" strokecolor="#000000"/>
            <v:line style="position:absolute" from="3037,903" to="10561,903" stroked="true" strokeweight=".397052pt" strokecolor="#000000"/>
            <v:shape style="position:absolute;left:4099;top:552;width:153;height:312" type="#_x0000_t75" stroked="false">
              <v:imagedata r:id="rId29" o:title=""/>
            </v:shape>
            <v:shape style="position:absolute;left:2866;top:-379;width:208;height:1060" coordorigin="2866,-379" coordsize="208,1060" path="m2965,170l2965,657,2966,659,2967,660,2969,663,2969,665,2970,666,2972,667,2977,670,2979,670,2979,670,2988,673,3002,676,3034,679,3073,680,3073,664,3034,663,3003,660,2992,658,2987,656,2981,656,2980,654,2979,652,2981,652,2981,172,2967,172,2966,171,2965,170xm2980,654l2981,656,2981,655,2980,654xm2981,655l2981,656,2982,656,2981,655xm2981,654l2981,655,2982,656,2981,654xm2981,653l2981,654,2982,656,2987,656,2985,655,2985,655,2981,653xm2984,655l2985,655,2985,655,2984,655xm2984,655l2984,655,2984,655,2984,655xm2980,653l2980,654,2981,655,2981,654,2980,653,2980,653xm2980,653l2981,654,2981,653,2980,653xm2979,652l2980,654,2980,653,2979,652xm2981,652l2980,652,2980,653,2981,653,2981,652xm2980,652l2980,653,2980,653,2980,652xm2980,652l2979,652,2980,653,2980,652xm2966,171l2967,172,2966,171,2966,171xm2966,171l2967,172,2968,172,2966,171xm2966,169l2966,171,2968,172,2966,169xm2981,168l2965,168,2966,169,2968,172,2981,172,2981,168xm2965,169l2965,169,2966,171,2966,171,2966,169,2965,169xm2965,169l2965,170,2966,171,2965,169xm2965,168l2962,168,2963,169,2963,169,2965,170,2965,169,2965,168xm2965,168l2965,169,2966,169,2965,168xm2963,169l2963,169,2963,169,2963,169xm2962,168l2963,169,2963,169,2962,168xm2960,151l2958,152,2945,154,2913,158,2874,159,2874,159,2912,160,2943,163,2954,166,2963,169,2962,168,2965,168,2965,168,2965,168,2965,168,2981,168,2981,165,2980,164,2978,161,2977,159,2976,158,2975,157,2969,154,2968,154,2968,154,2960,151xm2965,168l2965,169,2965,168,2965,168xm2965,168l2965,168,2965,169,2965,168xm2962,133l2955,136,2944,139,2912,142,2874,143,2869,143,2866,147,2866,151,2866,155,2869,159,2874,159,2874,143,2978,143,2978,142,2980,138,2981,137,2981,134,2965,134,2965,134,2962,134,2962,133xm2874,143l2874,159,2913,158,2945,154,2958,152,2960,151,2959,151,2946,148,2913,145,2874,143xm2978,143l2874,143,2913,145,2946,148,2959,151,2960,151,2968,149,2968,148,2969,148,2975,145,2976,144,2977,143,2978,143xm2965,133l2965,134,2965,134,2965,133xm2965,134l2965,134,2965,134,2965,134xm2966,133l2965,134,2965,134,2966,133xm2981,131l2968,131,2966,133,2965,134,2981,134,2981,131xm2963,133l2962,133,2962,134,2963,133xm2965,133l2963,133,2962,134,2965,134,2965,133,2965,133xm2966,131l2966,131,2965,133,2965,134,2966,133,2966,131xm2966,131l2965,132,2965,133,2966,131xm2965,132l2962,133,2963,133,2965,133,2965,132xm2968,131l2966,131,2966,133,2968,131xm3073,-379l3033,-377,3001,-373,2988,-371,2979,-368,2979,-368,2977,-368,2972,-364,2969,-362,2969,-361,2967,-357,2966,-356,2965,-355,2965,132,2966,131,2967,131,2981,131,2981,-350,2979,-350,2980,-351,2981,-354,2989,-354,2993,-355,3004,-358,3035,-361,3073,-363,3073,-379xm2967,131l2966,131,2966,131,2967,131xm2968,131l2967,131,2966,131,2968,131xm2980,-351l2979,-350,2980,-351,2980,-351xm2980,-351l2979,-350,2980,-350,2980,-351xm2980,-351l2980,-351,2980,-350,2980,-351xm2981,-351l2980,-351,2980,-350,2981,-350,2981,-351xm2981,-352l2980,-351,2980,-351,2980,-351,2981,-352,2981,-352xm2981,-352l2980,-351,2981,-351,2981,-352xm2987,-353l2982,-353,2981,-352,2981,-351,2985,-353,2985,-353,2987,-353xm2981,-354l2980,-351,2981,-352,2981,-354xm2982,-353l2981,-352,2981,-352,2982,-353xm2989,-354l2981,-354,2981,-352,2982,-353,2987,-353,2989,-354xm2985,-353l2985,-353,2984,-352,2985,-353xe" filled="true" fillcolor="#ff0000" stroked="false">
              <v:path arrowok="t"/>
              <v:fill type="solid"/>
            </v:shape>
            <v:shape style="position:absolute;left:2866;top:-379;width:208;height:1060" coordorigin="2866,-379" coordsize="208,1060" path="m3073,680l3034,679,3002,676,2988,673,2979,670,2979,670,2978,670,2977,670,2972,667,2970,666,2969,665,2969,663,2967,660,2966,659,2965,657,2965,656,2965,168,2967,172,2965,168,2968,172,2962,168,2963,169,2954,166,2943,163,2912,160,2874,159,2869,159,2866,155,2866,151,2866,147,2869,143,2874,143,2912,142,2944,139,2955,136,2963,133,2962,134,2968,131,2965,134,2967,131,2965,134,2965,-354,2965,-355,2966,-356,2967,-357,2969,-361,2969,-362,2970,-363,2972,-364,2977,-368,2978,-368,2979,-368,2979,-368,2988,-371,3001,-373,3033,-377,3073,-379,3073,-363,3035,-361,3004,-358,2993,-355,2984,-352,2985,-353,2979,-350,2982,-353,2980,-350,2981,-354,2981,134,2981,136,2981,137,2980,138,2978,142,2977,143,2976,144,2975,145,2969,148,2969,148,2968,148,2968,149,2958,152,2945,154,2913,158,2874,159,2874,143,2913,145,2946,148,2959,151,2968,154,2968,154,2969,154,2969,154,2975,157,2976,158,2977,159,2978,161,2980,164,2981,165,2981,167,2981,168,2981,656,2980,652,2982,656,2979,652,2985,655,2984,655,2992,658,3003,660,3034,663,3073,664,3073,680xe" filled="false" stroked="true" strokeweight=".07424pt" strokecolor="#ff0000">
              <v:path arrowok="t"/>
            </v:shape>
            <v:shape style="position:absolute;left:7081;top:-465;width:82;height:152" type="#_x0000_t202" filled="false" stroked="false">
              <v:textbox inset="0,0,0,0">
                <w:txbxContent>
                  <w:p>
                    <w:pPr>
                      <w:spacing w:line="151" w:lineRule="exact" w:before="0"/>
                      <w:ind w:left="0" w:right="0" w:firstLine="0"/>
                      <w:jc w:val="left"/>
                      <w:rPr>
                        <w:rFonts w:ascii="Constantia"/>
                        <w:sz w:val="15"/>
                      </w:rPr>
                    </w:pPr>
                    <w:r>
                      <w:rPr>
                        <w:rFonts w:ascii="Constantia"/>
                        <w:w w:val="101"/>
                        <w:sz w:val="15"/>
                      </w:rPr>
                      <w:t>0</w:t>
                    </w:r>
                  </w:p>
                </w:txbxContent>
              </v:textbox>
              <w10:wrap type="none"/>
            </v:shape>
            <v:shape style="position:absolute;left:7615;top:-465;width:693;height:152" type="#_x0000_t202" filled="false" stroked="false">
              <v:textbox inset="0,0,0,0">
                <w:txbxContent>
                  <w:p>
                    <w:pPr>
                      <w:spacing w:line="151" w:lineRule="exact" w:before="0"/>
                      <w:ind w:left="0" w:right="-11" w:firstLine="0"/>
                      <w:jc w:val="left"/>
                      <w:rPr>
                        <w:rFonts w:ascii="Constantia" w:hAnsi="Constantia"/>
                        <w:sz w:val="15"/>
                      </w:rPr>
                    </w:pPr>
                    <w:r>
                      <w:rPr>
                        <w:rFonts w:ascii="Constantia" w:hAnsi="Constantia"/>
                        <w:spacing w:val="-1"/>
                        <w:sz w:val="15"/>
                      </w:rPr>
                      <w:t>Neoclásica</w:t>
                    </w:r>
                  </w:p>
                </w:txbxContent>
              </v:textbox>
              <w10:wrap type="none"/>
            </v:shape>
            <v:shape style="position:absolute;left:3164;top:-274;width:2949;height:1060" type="#_x0000_t202" filled="false" stroked="false">
              <v:textbox inset="0,0,0,0">
                <w:txbxContent>
                  <w:p>
                    <w:pPr>
                      <w:spacing w:line="154" w:lineRule="exact" w:before="0"/>
                      <w:ind w:left="31" w:right="-2" w:firstLine="0"/>
                      <w:jc w:val="left"/>
                      <w:rPr>
                        <w:rFonts w:ascii="Constantia"/>
                        <w:sz w:val="15"/>
                      </w:rPr>
                    </w:pPr>
                    <w:r>
                      <w:rPr>
                        <w:rFonts w:ascii="Constantia"/>
                        <w:sz w:val="15"/>
                      </w:rPr>
                      <w:t>Balance fiscal     Sin recurso natural</w:t>
                    </w:r>
                  </w:p>
                  <w:p>
                    <w:pPr>
                      <w:spacing w:before="16"/>
                      <w:ind w:left="190" w:right="-2" w:firstLine="0"/>
                      <w:jc w:val="left"/>
                      <w:rPr>
                        <w:rFonts w:ascii="Constantia"/>
                        <w:sz w:val="15"/>
                      </w:rPr>
                    </w:pPr>
                    <w:r>
                      <w:rPr>
                        <w:rFonts w:ascii="Constantia"/>
                        <w:sz w:val="15"/>
                      </w:rPr>
                      <w:t>primario</w:t>
                    </w:r>
                  </w:p>
                  <w:p>
                    <w:pPr>
                      <w:spacing w:line="240" w:lineRule="auto" w:before="4"/>
                      <w:rPr>
                        <w:sz w:val="19"/>
                      </w:rPr>
                    </w:pPr>
                  </w:p>
                  <w:p>
                    <w:pPr>
                      <w:spacing w:before="0"/>
                      <w:ind w:left="1106" w:right="-2" w:firstLine="0"/>
                      <w:jc w:val="left"/>
                      <w:rPr>
                        <w:rFonts w:ascii="Constantia"/>
                        <w:sz w:val="15"/>
                      </w:rPr>
                    </w:pPr>
                    <w:r>
                      <w:rPr>
                        <w:rFonts w:ascii="Constantia"/>
                        <w:sz w:val="15"/>
                      </w:rPr>
                      <w:t>Con recurso natural</w:t>
                    </w:r>
                  </w:p>
                  <w:p>
                    <w:pPr>
                      <w:spacing w:line="181" w:lineRule="exact" w:before="119"/>
                      <w:ind w:left="0" w:right="-2" w:firstLine="0"/>
                      <w:jc w:val="left"/>
                      <w:rPr>
                        <w:rFonts w:ascii="Constantia" w:hAnsi="Constantia"/>
                        <w:sz w:val="15"/>
                      </w:rPr>
                    </w:pPr>
                    <w:r>
                      <w:rPr>
                        <w:rFonts w:ascii="Constantia" w:hAnsi="Constantia"/>
                        <w:sz w:val="15"/>
                      </w:rPr>
                      <w:t>Deuda pública    Interna, externa y pensiones</w:t>
                    </w:r>
                  </w:p>
                </w:txbxContent>
              </v:textbox>
              <w10:wrap type="none"/>
            </v:shape>
            <v:shape style="position:absolute;left:7081;top:29;width:84;height:757" type="#_x0000_t202" filled="false" stroked="false">
              <v:textbox inset="0,0,0,0">
                <w:txbxContent>
                  <w:p>
                    <w:pPr>
                      <w:spacing w:line="154" w:lineRule="exact" w:before="0"/>
                      <w:ind w:left="7" w:right="0" w:firstLine="0"/>
                      <w:jc w:val="left"/>
                      <w:rPr>
                        <w:rFonts w:ascii="Constantia"/>
                        <w:sz w:val="15"/>
                      </w:rPr>
                    </w:pPr>
                    <w:r>
                      <w:rPr>
                        <w:rFonts w:ascii="Constantia"/>
                        <w:w w:val="101"/>
                        <w:sz w:val="15"/>
                      </w:rPr>
                      <w:t>-</w:t>
                    </w:r>
                  </w:p>
                  <w:p>
                    <w:pPr>
                      <w:spacing w:before="119"/>
                      <w:ind w:left="0" w:right="0" w:firstLine="0"/>
                      <w:jc w:val="left"/>
                      <w:rPr>
                        <w:rFonts w:ascii="Constantia"/>
                        <w:sz w:val="15"/>
                      </w:rPr>
                    </w:pPr>
                    <w:r>
                      <w:rPr>
                        <w:rFonts w:ascii="Constantia"/>
                        <w:w w:val="101"/>
                        <w:sz w:val="15"/>
                      </w:rPr>
                      <w:t>+</w:t>
                    </w:r>
                  </w:p>
                  <w:p>
                    <w:pPr>
                      <w:spacing w:line="181" w:lineRule="exact" w:before="119"/>
                      <w:ind w:left="7" w:right="0" w:firstLine="0"/>
                      <w:jc w:val="left"/>
                      <w:rPr>
                        <w:rFonts w:ascii="Constantia"/>
                        <w:sz w:val="15"/>
                      </w:rPr>
                    </w:pPr>
                    <w:r>
                      <w:rPr>
                        <w:rFonts w:ascii="Constantia"/>
                        <w:w w:val="101"/>
                        <w:sz w:val="15"/>
                      </w:rPr>
                      <w:t>-</w:t>
                    </w:r>
                  </w:p>
                </w:txbxContent>
              </v:textbox>
              <w10:wrap type="none"/>
            </v:shape>
            <v:shape style="position:absolute;left:7615;top:-66;width:2767;height:853" type="#_x0000_t202" filled="false" stroked="false">
              <v:textbox inset="0,0,0,0">
                <w:txbxContent>
                  <w:p>
                    <w:pPr>
                      <w:spacing w:line="154" w:lineRule="exact" w:before="0"/>
                      <w:ind w:left="0" w:right="-18" w:firstLine="0"/>
                      <w:jc w:val="left"/>
                      <w:rPr>
                        <w:rFonts w:ascii="Constantia" w:hAnsi="Constantia"/>
                        <w:sz w:val="15"/>
                      </w:rPr>
                    </w:pPr>
                    <w:r>
                      <w:rPr>
                        <w:rFonts w:ascii="Constantia" w:hAnsi="Constantia"/>
                        <w:sz w:val="15"/>
                      </w:rPr>
                      <w:t>Teoría modificada del Ingreso permanente</w:t>
                    </w:r>
                  </w:p>
                  <w:p>
                    <w:pPr>
                      <w:spacing w:line="261" w:lineRule="auto" w:before="16"/>
                      <w:ind w:left="0" w:right="1219" w:firstLine="0"/>
                      <w:jc w:val="left"/>
                      <w:rPr>
                        <w:rFonts w:ascii="Constantia" w:hAnsi="Constantia"/>
                        <w:sz w:val="15"/>
                      </w:rPr>
                    </w:pPr>
                    <w:r>
                      <w:rPr>
                        <w:rFonts w:ascii="Constantia" w:hAnsi="Constantia"/>
                        <w:sz w:val="15"/>
                      </w:rPr>
                      <w:t>(Keynesiana) Neoclásica/ Keynesiana</w:t>
                    </w:r>
                  </w:p>
                  <w:p>
                    <w:pPr>
                      <w:spacing w:line="181" w:lineRule="exact" w:before="103"/>
                      <w:ind w:left="0" w:right="-18" w:firstLine="0"/>
                      <w:jc w:val="left"/>
                      <w:rPr>
                        <w:rFonts w:ascii="Constantia" w:hAnsi="Constantia"/>
                        <w:sz w:val="15"/>
                      </w:rPr>
                    </w:pPr>
                    <w:r>
                      <w:rPr>
                        <w:rFonts w:ascii="Constantia" w:hAnsi="Constantia"/>
                        <w:sz w:val="15"/>
                      </w:rPr>
                      <w:t>Neoclásica/ Keynesiana</w:t>
                    </w:r>
                  </w:p>
                </w:txbxContent>
              </v:textbox>
              <w10:wrap type="none"/>
            </v:shape>
            <w10:wrap type="none"/>
          </v:group>
        </w:pict>
      </w:r>
      <w:r>
        <w:rPr>
          <w:rFonts w:ascii="Constantia" w:hAnsi="Constantia"/>
          <w:sz w:val="15"/>
          <w:u w:val="single"/>
        </w:rPr>
        <w:t>Posición fiscal</w:t>
      </w:r>
    </w:p>
    <w:p>
      <w:pPr>
        <w:pStyle w:val="BodyText"/>
        <w:rPr>
          <w:rFonts w:ascii="Constantia"/>
          <w:sz w:val="20"/>
        </w:rPr>
      </w:pPr>
    </w:p>
    <w:p>
      <w:pPr>
        <w:pStyle w:val="BodyText"/>
        <w:rPr>
          <w:rFonts w:ascii="Constantia"/>
          <w:sz w:val="20"/>
        </w:rPr>
      </w:pPr>
    </w:p>
    <w:p>
      <w:pPr>
        <w:pStyle w:val="BodyText"/>
        <w:rPr>
          <w:rFonts w:ascii="Constantia"/>
          <w:sz w:val="10"/>
        </w:rPr>
      </w:pPr>
    </w:p>
    <w:p>
      <w:pPr>
        <w:pStyle w:val="BodyText"/>
        <w:spacing w:before="3"/>
        <w:rPr>
          <w:rFonts w:ascii="Constantia"/>
          <w:sz w:val="11"/>
        </w:rPr>
      </w:pPr>
    </w:p>
    <w:p>
      <w:pPr>
        <w:spacing w:before="0"/>
        <w:ind w:left="0" w:right="3900" w:firstLine="0"/>
        <w:jc w:val="center"/>
        <w:rPr>
          <w:rFonts w:ascii="Constantia"/>
          <w:sz w:val="10"/>
        </w:rPr>
      </w:pPr>
      <w:r>
        <w:rPr>
          <w:rFonts w:ascii="Constantia"/>
          <w:w w:val="105"/>
          <w:sz w:val="10"/>
        </w:rPr>
        <w:t>Tipo de Impactos: 0 "Nulo; +"Positivo; - "Negativo"</w:t>
      </w:r>
    </w:p>
    <w:p>
      <w:pPr>
        <w:pStyle w:val="BodyText"/>
        <w:spacing w:before="7"/>
        <w:rPr>
          <w:rFonts w:ascii="Constantia"/>
          <w:sz w:val="12"/>
        </w:rPr>
      </w:pPr>
    </w:p>
    <w:p>
      <w:pPr>
        <w:spacing w:before="0"/>
        <w:ind w:left="830" w:right="148" w:firstLine="0"/>
        <w:jc w:val="left"/>
        <w:rPr>
          <w:sz w:val="20"/>
        </w:rPr>
      </w:pPr>
      <w:r>
        <w:rPr>
          <w:sz w:val="20"/>
        </w:rPr>
        <w:t>Fuente: Elaboración propia</w:t>
      </w:r>
    </w:p>
    <w:p>
      <w:pPr>
        <w:pStyle w:val="BodyText"/>
        <w:rPr>
          <w:sz w:val="20"/>
        </w:rPr>
      </w:pPr>
    </w:p>
    <w:p>
      <w:pPr>
        <w:pStyle w:val="BodyText"/>
        <w:rPr>
          <w:sz w:val="26"/>
        </w:rPr>
      </w:pPr>
    </w:p>
    <w:p>
      <w:pPr>
        <w:pStyle w:val="BodyText"/>
        <w:ind w:left="830" w:right="148"/>
      </w:pPr>
      <w:r>
        <w:rPr/>
        <w:t>De forma adicional, se infiere la complementariedad final </w:t>
      </w:r>
      <w:r>
        <w:rPr>
          <w:w w:val="192"/>
        </w:rPr>
        <w:t>   </w:t>
      </w:r>
      <w:r>
        <w:rPr/>
        <w:t> </w:t>
      </w:r>
      <w:r>
        <w:rPr>
          <w:w w:val="177"/>
        </w:rPr>
        <w:t> </w:t>
      </w:r>
      <w:r>
        <w:rPr>
          <w:w w:val="200"/>
        </w:rPr>
        <w:t> </w:t>
      </w:r>
      <w:r>
        <w:rPr>
          <w:w w:val="126"/>
        </w:rPr>
        <w:t>   </w:t>
      </w:r>
      <w:r>
        <w:rPr>
          <w:w w:val="177"/>
        </w:rPr>
        <w:t> </w:t>
      </w:r>
      <w:r>
        <w:rPr/>
        <w:t> </w:t>
      </w:r>
      <w:r>
        <w:rPr>
          <w:w w:val="177"/>
        </w:rPr>
        <w:t> </w:t>
      </w:r>
      <w:r>
        <w:rPr>
          <w:w w:val="155"/>
        </w:rPr>
        <w:t>    </w:t>
      </w:r>
      <w:r>
        <w:rPr/>
        <w:t> </w:t>
      </w:r>
      <w:r>
        <w:rPr>
          <w:w w:val="144"/>
        </w:rPr>
        <w:t>  </w:t>
      </w:r>
      <w:r>
        <w:rPr/>
        <w:t> </w:t>
      </w:r>
      <w:r>
        <w:rPr>
          <w:w w:val="166"/>
        </w:rPr>
        <w:t>    </w:t>
      </w:r>
      <w:r>
        <w:rPr>
          <w:w w:val="166"/>
        </w:rPr>
        <w:t>  </w:t>
      </w:r>
      <w:r>
        <w:rPr>
          <w:w w:val="177"/>
        </w:rPr>
        <w:t> </w:t>
      </w:r>
    </w:p>
    <w:p>
      <w:pPr>
        <w:pStyle w:val="BodyText"/>
        <w:spacing w:before="139"/>
        <w:ind w:left="122"/>
        <w:jc w:val="both"/>
      </w:pPr>
      <w:r>
        <w:rPr>
          <w:w w:val="188"/>
        </w:rPr>
        <w:t>    </w:t>
      </w:r>
      <w:r>
        <w:rPr>
          <w:w w:val="146"/>
        </w:rPr>
        <w:t>     </w:t>
      </w:r>
      <w:r>
        <w:rPr>
          <w:w w:val="177"/>
        </w:rPr>
        <w:t> </w:t>
      </w:r>
      <w:r>
        <w:rPr/>
        <w:t>  </w:t>
      </w:r>
      <w:r>
        <w:rPr>
          <w:w w:val="200"/>
        </w:rPr>
        <w:t> </w:t>
      </w:r>
      <w:r>
        <w:rPr/>
        <w:t> </w:t>
      </w:r>
      <w:r>
        <w:rPr>
          <w:w w:val="144"/>
        </w:rPr>
        <w:t>  </w:t>
      </w:r>
      <w:r>
        <w:rPr/>
        <w:t> </w:t>
      </w:r>
      <w:r>
        <w:rPr>
          <w:w w:val="166"/>
        </w:rPr>
        <w:t>    </w:t>
      </w:r>
      <w:r>
        <w:rPr>
          <w:w w:val="166"/>
        </w:rPr>
        <w:t>  </w:t>
      </w:r>
      <w:r>
        <w:rPr>
          <w:w w:val="177"/>
        </w:rPr>
        <w:t> </w:t>
      </w:r>
      <w:r>
        <w:rPr/>
        <w:t> </w:t>
      </w:r>
      <w:r>
        <w:rPr>
          <w:w w:val="233"/>
        </w:rPr>
        <w:t>  </w:t>
      </w:r>
      <w:r>
        <w:rPr>
          <w:w w:val="200"/>
        </w:rPr>
        <w:t> </w:t>
      </w:r>
      <w:r>
        <w:rPr>
          <w:w w:val="188"/>
        </w:rPr>
        <w:t>  </w:t>
      </w:r>
      <w:r>
        <w:rPr>
          <w:w w:val="164"/>
        </w:rPr>
        <w:t>     </w:t>
      </w:r>
      <w:r>
        <w:rPr/>
        <w:t>: </w:t>
      </w:r>
      <w:r>
        <w:rPr>
          <w:w w:val="144"/>
        </w:rPr>
        <w:t>  </w:t>
      </w:r>
      <w:r>
        <w:rPr/>
        <w:t> </w:t>
      </w:r>
      <w:r>
        <w:rPr>
          <w:w w:val="133"/>
        </w:rPr>
        <w:t> </w:t>
      </w:r>
      <w:r>
        <w:rPr>
          <w:w w:val="177"/>
        </w:rPr>
        <w:t>    </w:t>
      </w:r>
      <w:r>
        <w:rPr>
          <w:w w:val="170"/>
        </w:rPr>
        <w:t>   </w:t>
      </w:r>
      <w:r>
        <w:rPr/>
        <w:t> </w:t>
      </w:r>
      <w:r>
        <w:rPr>
          <w:w w:val="166"/>
        </w:rPr>
        <w:t>    </w:t>
      </w:r>
      <w:r>
        <w:rPr>
          <w:w w:val="111"/>
        </w:rPr>
        <w:t>  </w:t>
      </w:r>
      <w:r>
        <w:rPr>
          <w:w w:val="188"/>
        </w:rPr>
        <w:t>  </w:t>
      </w:r>
      <w:r>
        <w:rPr/>
        <w:t> </w:t>
      </w:r>
      <w:r>
        <w:rPr>
          <w:w w:val="188"/>
        </w:rPr>
        <w:t>  </w:t>
      </w:r>
      <w:r>
        <w:rPr>
          <w:w w:val="111"/>
        </w:rPr>
        <w:t> </w:t>
      </w:r>
      <w:r>
        <w:rPr/>
        <w:t> </w:t>
      </w:r>
      <w:r>
        <w:rPr>
          <w:w w:val="188"/>
        </w:rPr>
        <w:t>  </w:t>
      </w:r>
      <w:r>
        <w:rPr>
          <w:w w:val="166"/>
        </w:rPr>
        <w:t>    </w:t>
      </w:r>
      <w:r>
        <w:rPr>
          <w:w w:val="177"/>
        </w:rPr>
        <w:t> </w:t>
      </w:r>
      <w:r>
        <w:rPr/>
        <w:t> </w:t>
      </w:r>
      <w:r>
        <w:rPr>
          <w:w w:val="144"/>
        </w:rPr>
        <w:t>    </w:t>
      </w:r>
      <w:r>
        <w:rPr>
          <w:w w:val="177"/>
        </w:rPr>
        <w:t> </w:t>
      </w:r>
      <w:r>
        <w:rPr>
          <w:w w:val="111"/>
        </w:rPr>
        <w:t> </w:t>
      </w:r>
      <w:r>
        <w:rPr/>
        <w:t> </w:t>
      </w:r>
      <w:r>
        <w:rPr>
          <w:w w:val="166"/>
        </w:rPr>
        <w:t>  </w:t>
      </w:r>
      <w:r>
        <w:rPr>
          <w:w w:val="211"/>
        </w:rPr>
        <w:t>  </w:t>
      </w:r>
      <w:r>
        <w:rPr>
          <w:w w:val="177"/>
        </w:rPr>
        <w:t> </w:t>
      </w:r>
      <w:r>
        <w:rPr>
          <w:w w:val="148"/>
        </w:rPr>
        <w:t>   </w:t>
      </w:r>
      <w:r>
        <w:rPr/>
        <w:t>  </w:t>
      </w:r>
      <w:r>
        <w:rPr>
          <w:w w:val="1"/>
        </w:rPr>
        <w:t> </w:t>
      </w:r>
      <w:r>
        <w:rPr/>
        <w:t> </w:t>
      </w:r>
      <w:r>
        <w:rPr>
          <w:w w:val="177"/>
        </w:rPr>
        <w:t> </w:t>
      </w:r>
      <w:r>
        <w:rPr>
          <w:w w:val="200"/>
        </w:rPr>
        <w:t>  </w:t>
      </w:r>
    </w:p>
    <w:p>
      <w:pPr>
        <w:pStyle w:val="BodyText"/>
        <w:spacing w:line="350" w:lineRule="auto" w:before="137"/>
        <w:ind w:left="122" w:right="136"/>
        <w:jc w:val="both"/>
      </w:pPr>
      <w:r>
        <w:rPr>
          <w:w w:val="155"/>
        </w:rPr>
        <w:t>  </w:t>
      </w:r>
      <w:r>
        <w:rPr>
          <w:w w:val="177"/>
        </w:rPr>
        <w:t> </w:t>
      </w:r>
      <w:r>
        <w:rPr>
          <w:w w:val="166"/>
        </w:rPr>
        <w:t>  </w:t>
      </w:r>
      <w:r>
        <w:rPr>
          <w:w w:val="177"/>
        </w:rPr>
        <w:t>  </w:t>
      </w:r>
      <w:r>
        <w:rPr/>
        <w:t> </w:t>
      </w:r>
      <w:r>
        <w:rPr>
          <w:w w:val="200"/>
        </w:rPr>
        <w:t> </w:t>
      </w:r>
      <w:r>
        <w:rPr>
          <w:w w:val="177"/>
        </w:rPr>
        <w:t> </w:t>
      </w:r>
      <w:r>
        <w:rPr>
          <w:w w:val="155"/>
        </w:rPr>
        <w:t>    </w:t>
      </w:r>
      <w:r>
        <w:rPr>
          <w:w w:val="111"/>
        </w:rPr>
        <w:t> </w:t>
      </w:r>
      <w:r>
        <w:rPr/>
        <w:t> </w:t>
      </w:r>
      <w:r>
        <w:rPr>
          <w:w w:val="1"/>
        </w:rPr>
        <w:t> </w:t>
      </w:r>
      <w:r>
        <w:rPr/>
        <w:t> y disminución de la deuda pública frente a un choque positivo en el precio del recurso natural. En concordancia con lo anterior, el resultado sería un incremento del superávit fiscal primario explicado por dos razones: i) para la postura Keynesiana, el gasto corriente debe seguir un rol contracíclico a los precios del recurso natural</w:t>
      </w:r>
      <w:r>
        <w:rPr>
          <w:position w:val="11"/>
          <w:sz w:val="16"/>
        </w:rPr>
        <w:t>18</w:t>
      </w:r>
      <w:r>
        <w:rPr/>
        <w:t>; ii) para la</w:t>
      </w:r>
    </w:p>
    <w:p>
      <w:pPr>
        <w:pStyle w:val="BodyText"/>
        <w:spacing w:line="360" w:lineRule="auto"/>
        <w:ind w:left="122" w:right="140"/>
        <w:jc w:val="both"/>
      </w:pPr>
      <w:r>
        <w:rPr/>
        <w:t>postura neoclásica el gasto debe ser neutral. En ambas postura frente a una expansión de precios (auge económico), se deben ahorrar recursos a través de la generación de superávits fiscales, y por ende, disminución del endeudamiento público.</w:t>
      </w:r>
    </w:p>
    <w:p>
      <w:pPr>
        <w:pStyle w:val="BodyText"/>
        <w:rPr>
          <w:sz w:val="21"/>
        </w:rPr>
      </w:pPr>
    </w:p>
    <w:p>
      <w:pPr>
        <w:spacing w:before="0"/>
        <w:ind w:left="0" w:right="3917" w:firstLine="0"/>
        <w:jc w:val="center"/>
        <w:rPr>
          <w:i/>
          <w:sz w:val="24"/>
        </w:rPr>
      </w:pPr>
      <w:r>
        <w:rPr>
          <w:i/>
          <w:sz w:val="24"/>
        </w:rPr>
        <w:t>La teoría del ingreso permanente</w:t>
      </w:r>
    </w:p>
    <w:p>
      <w:pPr>
        <w:pStyle w:val="BodyText"/>
        <w:spacing w:before="4"/>
        <w:rPr>
          <w:i/>
          <w:sz w:val="29"/>
        </w:rPr>
      </w:pPr>
    </w:p>
    <w:p>
      <w:pPr>
        <w:pStyle w:val="BodyText"/>
        <w:spacing w:line="360" w:lineRule="auto" w:before="1"/>
        <w:ind w:left="122" w:right="146" w:firstLine="707"/>
        <w:jc w:val="both"/>
      </w:pPr>
      <w:r>
        <w:rPr/>
        <w:t>La teoría del ingreso permanente sostiene que la trayectoria del balance fiscal (petrolero y no petrolero) debe basarse en función del horizonte de la producción petrolera (Baunsgaard, 2003; Ossowski, et al., 2008).</w:t>
      </w:r>
    </w:p>
    <w:p>
      <w:pPr>
        <w:pStyle w:val="BodyText"/>
        <w:spacing w:line="360" w:lineRule="auto" w:before="6"/>
        <w:ind w:left="122" w:right="143" w:firstLine="707"/>
        <w:jc w:val="both"/>
      </w:pPr>
      <w:r>
        <w:rPr/>
        <w:t>De acuerdo con Wijnbergen &amp; Budina (2011), la trayectoria del ingreso permanente examina la relación entre las reservas petroleras y su agotamiento:</w:t>
      </w:r>
    </w:p>
    <w:p>
      <w:pPr>
        <w:tabs>
          <w:tab w:pos="1943" w:val="left" w:leader="none"/>
        </w:tabs>
        <w:spacing w:before="8"/>
        <w:ind w:left="0" w:right="19" w:firstLine="0"/>
        <w:jc w:val="center"/>
        <w:rPr>
          <w:sz w:val="24"/>
        </w:rPr>
      </w:pPr>
      <w:r>
        <w:rPr>
          <w:rFonts w:ascii="Cambria Math"/>
          <w:spacing w:val="-5"/>
          <w:w w:val="289"/>
          <w:sz w:val="24"/>
        </w:rPr>
        <w:t> </w:t>
      </w:r>
      <w:r>
        <w:rPr>
          <w:rFonts w:ascii="Cambria Math"/>
          <w:w w:val="200"/>
          <w:position w:val="-4"/>
          <w:sz w:val="17"/>
        </w:rPr>
        <w:t> </w:t>
      </w:r>
      <w:r>
        <w:rPr>
          <w:rFonts w:ascii="Cambria Math"/>
          <w:position w:val="-4"/>
          <w:sz w:val="17"/>
        </w:rPr>
        <w:t> </w:t>
      </w:r>
      <w:r>
        <w:rPr>
          <w:rFonts w:ascii="Cambria Math"/>
          <w:spacing w:val="6"/>
          <w:position w:val="-4"/>
          <w:sz w:val="17"/>
        </w:rPr>
        <w:t> </w:t>
      </w:r>
      <w:r>
        <w:rPr>
          <w:rFonts w:ascii="Cambria Math"/>
          <w:w w:val="339"/>
          <w:sz w:val="24"/>
        </w:rPr>
        <w:t> </w:t>
      </w:r>
      <w:r>
        <w:rPr>
          <w:rFonts w:ascii="Cambria Math"/>
          <w:spacing w:val="15"/>
          <w:sz w:val="24"/>
        </w:rPr>
        <w:t> </w:t>
      </w:r>
      <w:r>
        <w:rPr>
          <w:rFonts w:ascii="Cambria Math"/>
          <w:spacing w:val="-5"/>
          <w:w w:val="289"/>
          <w:sz w:val="24"/>
        </w:rPr>
        <w:t> </w:t>
      </w:r>
      <w:r>
        <w:rPr>
          <w:rFonts w:ascii="Cambria Math"/>
          <w:spacing w:val="4"/>
          <w:w w:val="200"/>
          <w:position w:val="-4"/>
          <w:sz w:val="17"/>
        </w:rPr>
        <w:t> </w:t>
      </w:r>
      <w:r>
        <w:rPr>
          <w:rFonts w:ascii="Cambria Math"/>
          <w:w w:val="331"/>
          <w:position w:val="-4"/>
          <w:sz w:val="17"/>
        </w:rPr>
        <w:t> </w:t>
      </w:r>
      <w:r>
        <w:rPr>
          <w:rFonts w:ascii="Cambria Math"/>
          <w:w w:val="263"/>
          <w:position w:val="-4"/>
          <w:sz w:val="17"/>
        </w:rPr>
        <w:t> </w:t>
      </w:r>
      <w:r>
        <w:rPr>
          <w:rFonts w:ascii="Cambria Math"/>
          <w:position w:val="-4"/>
          <w:sz w:val="17"/>
        </w:rPr>
        <w:t> </w:t>
      </w:r>
      <w:r>
        <w:rPr>
          <w:rFonts w:ascii="Cambria Math"/>
          <w:spacing w:val="-13"/>
          <w:position w:val="-4"/>
          <w:sz w:val="17"/>
        </w:rPr>
        <w:t> </w:t>
      </w:r>
      <w:r>
        <w:rPr>
          <w:rFonts w:ascii="Cambria Math"/>
          <w:w w:val="339"/>
          <w:sz w:val="24"/>
        </w:rPr>
        <w:t> </w:t>
      </w:r>
      <w:r>
        <w:rPr>
          <w:rFonts w:ascii="Cambria Math"/>
          <w:spacing w:val="-2"/>
          <w:sz w:val="24"/>
        </w:rPr>
        <w:t> </w:t>
      </w:r>
      <w:r>
        <w:rPr>
          <w:rFonts w:ascii="Cambria Math"/>
          <w:spacing w:val="-14"/>
          <w:w w:val="283"/>
          <w:sz w:val="24"/>
        </w:rPr>
        <w:t> </w:t>
      </w:r>
      <w:r>
        <w:rPr>
          <w:rFonts w:ascii="Cambria Math"/>
          <w:w w:val="200"/>
          <w:position w:val="-4"/>
          <w:sz w:val="17"/>
        </w:rPr>
        <w:t> </w:t>
      </w:r>
      <w:r>
        <w:rPr>
          <w:rFonts w:ascii="Cambria Math"/>
          <w:position w:val="-4"/>
          <w:sz w:val="17"/>
        </w:rPr>
        <w:tab/>
      </w:r>
      <w:r>
        <w:rPr>
          <w:sz w:val="24"/>
        </w:rPr>
        <w:t>(1.14)</w:t>
      </w:r>
    </w:p>
    <w:p>
      <w:pPr>
        <w:pStyle w:val="BodyText"/>
        <w:rPr>
          <w:sz w:val="20"/>
        </w:rPr>
      </w:pPr>
    </w:p>
    <w:p>
      <w:pPr>
        <w:pStyle w:val="BodyText"/>
        <w:spacing w:before="11"/>
        <w:rPr>
          <w:sz w:val="26"/>
        </w:rPr>
      </w:pPr>
      <w:r>
        <w:rPr/>
        <w:pict>
          <v:line style="position:absolute;mso-position-horizontal-relative:page;mso-position-vertical-relative:paragraph;z-index:1960;mso-wrap-distance-left:0;mso-wrap-distance-right:0" from="85.103996pt,17.765285pt" to="229.123996pt,17.765285pt" stroked="true" strokeweight=".599980pt" strokecolor="#000000">
            <w10:wrap type="topAndBottom"/>
          </v:line>
        </w:pict>
      </w:r>
    </w:p>
    <w:p>
      <w:pPr>
        <w:spacing w:before="50"/>
        <w:ind w:left="122" w:right="226" w:firstLine="0"/>
        <w:jc w:val="both"/>
        <w:rPr>
          <w:sz w:val="20"/>
        </w:rPr>
      </w:pPr>
      <w:r>
        <w:rPr>
          <w:position w:val="9"/>
          <w:sz w:val="13"/>
        </w:rPr>
        <w:t>18 </w:t>
      </w:r>
      <w:r>
        <w:rPr>
          <w:sz w:val="20"/>
        </w:rPr>
        <w:t>Sin embargo, este efecto puede ser contrarrestado por el incremento de la inversión pública por el lado del gasto de capital (teoría modificada del ingreso permanente). De forma final,  un gasto corriente contracíclico y canalización de ingresos fiscales del recurso natural al gasto de capital debe conllevar a un superávit fiscal.</w:t>
      </w:r>
    </w:p>
    <w:p>
      <w:pPr>
        <w:spacing w:after="0"/>
        <w:jc w:val="both"/>
        <w:rPr>
          <w:sz w:val="20"/>
        </w:rPr>
        <w:sectPr>
          <w:type w:val="continuous"/>
          <w:pgSz w:w="12250" w:h="15850"/>
          <w:pgMar w:top="1500" w:bottom="280" w:left="1580" w:right="1560"/>
        </w:sectPr>
      </w:pPr>
    </w:p>
    <w:p>
      <w:pPr>
        <w:pStyle w:val="BodyText"/>
        <w:spacing w:line="364" w:lineRule="auto" w:before="53"/>
        <w:ind w:left="102" w:right="117" w:firstLine="707"/>
        <w:jc w:val="both"/>
      </w:pPr>
      <w:r>
        <w:rPr/>
        <w:t>Donde las reservas  petroleras  son  agotadas  mediante  la  extracción  ,  ignorándose nuevos descubrimientos de</w:t>
      </w:r>
      <w:r>
        <w:rPr>
          <w:spacing w:val="-7"/>
        </w:rPr>
        <w:t> </w:t>
      </w:r>
      <w:r>
        <w:rPr/>
        <w:t>petróleo:</w:t>
      </w:r>
    </w:p>
    <w:p>
      <w:pPr>
        <w:pStyle w:val="BodyText"/>
      </w:pPr>
    </w:p>
    <w:p>
      <w:pPr>
        <w:tabs>
          <w:tab w:pos="5846" w:val="left" w:leader="none"/>
        </w:tabs>
        <w:spacing w:before="140"/>
        <w:ind w:left="2617" w:right="127" w:firstLine="0"/>
        <w:jc w:val="left"/>
        <w:rPr>
          <w:sz w:val="24"/>
        </w:rPr>
      </w:pPr>
      <w:r>
        <w:rPr>
          <w:rFonts w:ascii="Cambria Math"/>
          <w:spacing w:val="-27"/>
          <w:w w:val="277"/>
          <w:sz w:val="24"/>
        </w:rPr>
        <w:t> </w:t>
      </w:r>
      <w:r>
        <w:rPr>
          <w:rFonts w:ascii="Cambria Math"/>
          <w:w w:val="200"/>
          <w:position w:val="-4"/>
          <w:sz w:val="17"/>
        </w:rPr>
        <w:t> </w:t>
      </w:r>
      <w:r>
        <w:rPr>
          <w:rFonts w:ascii="Cambria Math"/>
          <w:position w:val="-4"/>
          <w:sz w:val="17"/>
        </w:rPr>
        <w:t> </w:t>
      </w:r>
      <w:r>
        <w:rPr>
          <w:rFonts w:ascii="Cambria Math"/>
          <w:spacing w:val="6"/>
          <w:position w:val="-4"/>
          <w:sz w:val="17"/>
        </w:rPr>
        <w:t> </w:t>
      </w:r>
      <w:r>
        <w:rPr>
          <w:rFonts w:ascii="Cambria Math"/>
          <w:w w:val="339"/>
          <w:sz w:val="24"/>
        </w:rPr>
        <w:t> </w:t>
      </w:r>
      <w:r>
        <w:rPr>
          <w:rFonts w:ascii="Cambria Math"/>
          <w:spacing w:val="15"/>
          <w:sz w:val="24"/>
        </w:rPr>
        <w:t> </w:t>
      </w:r>
      <w:r>
        <w:rPr>
          <w:rFonts w:ascii="Cambria Math"/>
          <w:spacing w:val="1"/>
          <w:w w:val="188"/>
          <w:position w:val="1"/>
          <w:sz w:val="24"/>
        </w:rPr>
        <w:t> </w:t>
      </w:r>
      <w:r>
        <w:rPr>
          <w:rFonts w:ascii="Cambria Math"/>
          <w:w w:val="251"/>
          <w:sz w:val="24"/>
        </w:rPr>
        <w:t> </w:t>
      </w:r>
      <w:r>
        <w:rPr>
          <w:rFonts w:ascii="Cambria Math"/>
          <w:spacing w:val="-1"/>
          <w:sz w:val="24"/>
        </w:rPr>
        <w:t> </w:t>
      </w:r>
      <w:r>
        <w:rPr>
          <w:rFonts w:ascii="Cambria Math"/>
          <w:w w:val="339"/>
          <w:sz w:val="24"/>
        </w:rPr>
        <w:t> </w:t>
      </w:r>
      <w:r>
        <w:rPr>
          <w:rFonts w:ascii="Cambria Math"/>
          <w:sz w:val="24"/>
        </w:rPr>
        <w:t> </w:t>
      </w:r>
      <w:r>
        <w:rPr>
          <w:rFonts w:ascii="Cambria Math"/>
          <w:spacing w:val="-26"/>
          <w:w w:val="216"/>
          <w:sz w:val="24"/>
        </w:rPr>
        <w:t> </w:t>
      </w:r>
      <w:r>
        <w:rPr>
          <w:rFonts w:ascii="Cambria Math"/>
          <w:spacing w:val="13"/>
          <w:w w:val="200"/>
          <w:position w:val="-4"/>
          <w:sz w:val="17"/>
        </w:rPr>
        <w:t> </w:t>
      </w:r>
      <w:r>
        <w:rPr>
          <w:rFonts w:ascii="Cambria Math"/>
          <w:spacing w:val="1"/>
          <w:w w:val="188"/>
          <w:position w:val="1"/>
          <w:sz w:val="24"/>
        </w:rPr>
        <w:t> </w:t>
      </w:r>
      <w:r>
        <w:rPr>
          <w:rFonts w:ascii="Cambria Math"/>
          <w:spacing w:val="-27"/>
          <w:w w:val="277"/>
          <w:sz w:val="24"/>
        </w:rPr>
        <w:t> </w:t>
      </w:r>
      <w:r>
        <w:rPr>
          <w:rFonts w:ascii="Cambria Math"/>
          <w:spacing w:val="1"/>
          <w:w w:val="200"/>
          <w:position w:val="-4"/>
          <w:sz w:val="17"/>
        </w:rPr>
        <w:t> </w:t>
      </w:r>
      <w:r>
        <w:rPr>
          <w:rFonts w:ascii="Cambria Math"/>
          <w:w w:val="331"/>
          <w:position w:val="-4"/>
          <w:sz w:val="17"/>
        </w:rPr>
        <w:t> </w:t>
      </w:r>
      <w:r>
        <w:rPr>
          <w:rFonts w:ascii="Cambria Math"/>
          <w:w w:val="263"/>
          <w:position w:val="-4"/>
          <w:sz w:val="17"/>
        </w:rPr>
        <w:t> </w:t>
      </w:r>
      <w:r>
        <w:rPr>
          <w:rFonts w:ascii="Cambria Math"/>
          <w:position w:val="-4"/>
          <w:sz w:val="17"/>
        </w:rPr>
        <w:t> </w:t>
      </w:r>
      <w:r>
        <w:rPr>
          <w:rFonts w:ascii="Cambria Math"/>
          <w:spacing w:val="-13"/>
          <w:position w:val="-4"/>
          <w:sz w:val="17"/>
        </w:rPr>
        <w:t> </w:t>
      </w:r>
      <w:r>
        <w:rPr>
          <w:rFonts w:ascii="Cambria Math"/>
          <w:w w:val="339"/>
          <w:sz w:val="24"/>
        </w:rPr>
        <w:t> </w:t>
      </w:r>
      <w:r>
        <w:rPr>
          <w:rFonts w:ascii="Cambria Math"/>
          <w:sz w:val="24"/>
        </w:rPr>
        <w:t> </w:t>
      </w:r>
      <w:r>
        <w:rPr>
          <w:rFonts w:ascii="Cambria Math"/>
          <w:w w:val="172"/>
          <w:sz w:val="24"/>
        </w:rPr>
        <w:t> </w:t>
      </w:r>
      <w:r>
        <w:rPr>
          <w:rFonts w:ascii="Cambria Math"/>
          <w:spacing w:val="-27"/>
          <w:w w:val="281"/>
          <w:sz w:val="24"/>
        </w:rPr>
        <w:t> </w:t>
      </w:r>
      <w:r>
        <w:rPr>
          <w:rFonts w:ascii="Cambria Math"/>
          <w:w w:val="200"/>
          <w:position w:val="-4"/>
          <w:sz w:val="17"/>
        </w:rPr>
        <w:t> </w:t>
      </w:r>
      <w:r>
        <w:rPr>
          <w:rFonts w:ascii="Cambria Math"/>
          <w:position w:val="-4"/>
          <w:sz w:val="17"/>
        </w:rPr>
        <w:t> </w:t>
      </w:r>
      <w:r>
        <w:rPr>
          <w:rFonts w:ascii="Cambria Math"/>
          <w:spacing w:val="-6"/>
          <w:position w:val="-4"/>
          <w:sz w:val="17"/>
        </w:rPr>
        <w:t> </w:t>
      </w:r>
      <w:r>
        <w:rPr>
          <w:rFonts w:ascii="Cambria Math"/>
          <w:w w:val="339"/>
          <w:sz w:val="24"/>
        </w:rPr>
        <w:t> </w:t>
      </w:r>
      <w:r>
        <w:rPr>
          <w:rFonts w:ascii="Cambria Math"/>
          <w:sz w:val="24"/>
        </w:rPr>
        <w:t> </w:t>
      </w:r>
      <w:r>
        <w:rPr>
          <w:rFonts w:ascii="Cambria Math"/>
          <w:w w:val="286"/>
          <w:sz w:val="24"/>
        </w:rPr>
        <w:t> </w:t>
      </w:r>
      <w:r>
        <w:rPr>
          <w:rFonts w:ascii="Cambria Math"/>
          <w:spacing w:val="-26"/>
          <w:w w:val="281"/>
          <w:sz w:val="24"/>
        </w:rPr>
        <w:t> </w:t>
      </w:r>
      <w:r>
        <w:rPr>
          <w:rFonts w:ascii="Cambria Math"/>
          <w:w w:val="200"/>
          <w:position w:val="-4"/>
          <w:sz w:val="17"/>
        </w:rPr>
        <w:t> </w:t>
      </w:r>
      <w:r>
        <w:rPr>
          <w:rFonts w:ascii="Cambria Math"/>
          <w:position w:val="-4"/>
          <w:sz w:val="17"/>
        </w:rPr>
        <w:tab/>
      </w:r>
      <w:r>
        <w:rPr>
          <w:sz w:val="24"/>
        </w:rPr>
        <w:t>(1.15)</w:t>
      </w:r>
    </w:p>
    <w:p>
      <w:pPr>
        <w:pStyle w:val="BodyText"/>
        <w:rPr>
          <w:sz w:val="28"/>
        </w:rPr>
      </w:pPr>
    </w:p>
    <w:p>
      <w:pPr>
        <w:pStyle w:val="BodyText"/>
        <w:spacing w:line="362" w:lineRule="auto" w:before="237"/>
        <w:ind w:left="102" w:right="119" w:firstLine="707"/>
        <w:jc w:val="both"/>
      </w:pPr>
      <w:r>
        <w:rPr/>
        <w:t>Las reservas petroleras en términos monetarios ,  son  un  mecanismo  de  inversiones financieras (equivalente a un fondo petrolero), en la cual se acumulan intereses ganados         más la diferencia entre ingresos          y gastos petroleros         ).</w:t>
      </w:r>
    </w:p>
    <w:p>
      <w:pPr>
        <w:pStyle w:val="BodyText"/>
        <w:spacing w:line="360" w:lineRule="auto" w:before="9"/>
        <w:ind w:left="102" w:right="116" w:firstLine="707"/>
        <w:jc w:val="both"/>
      </w:pPr>
      <w:r>
        <w:rPr/>
        <w:t>Desde esta perspectiva, el gasto del gobierno debe ser constante. Por tanto, la asignación de los ingresos petroleros es la guía principal para suavizar el gasto público equivalente al valor presente neto (VPN):</w:t>
      </w:r>
    </w:p>
    <w:p>
      <w:pPr>
        <w:pStyle w:val="BodyText"/>
        <w:rPr>
          <w:sz w:val="20"/>
        </w:rPr>
      </w:pPr>
    </w:p>
    <w:p>
      <w:pPr>
        <w:spacing w:after="0"/>
        <w:rPr>
          <w:sz w:val="20"/>
        </w:rPr>
        <w:sectPr>
          <w:pgSz w:w="12250" w:h="15850"/>
          <w:pgMar w:header="0" w:footer="1037" w:top="1360" w:bottom="1220" w:left="1600" w:right="1580"/>
        </w:sectPr>
      </w:pPr>
    </w:p>
    <w:p>
      <w:pPr>
        <w:pStyle w:val="BodyText"/>
        <w:spacing w:before="10"/>
        <w:rPr>
          <w:sz w:val="25"/>
        </w:rPr>
      </w:pPr>
    </w:p>
    <w:p>
      <w:pPr>
        <w:pStyle w:val="BodyText"/>
        <w:ind w:left="2372"/>
        <w:rPr>
          <w:rFonts w:ascii="Cambria Math" w:hAnsi="Cambria Math"/>
          <w:sz w:val="17"/>
        </w:rPr>
      </w:pPr>
      <w:r>
        <w:rPr>
          <w:rFonts w:ascii="Cambria Math" w:hAnsi="Cambria Math"/>
          <w:w w:val="339"/>
        </w:rPr>
        <w:t> </w:t>
      </w:r>
      <w:r>
        <w:rPr>
          <w:rFonts w:ascii="Cambria Math" w:hAnsi="Cambria Math"/>
        </w:rPr>
        <w:t>  </w:t>
      </w:r>
      <w:r>
        <w:rPr>
          <w:rFonts w:ascii="Cambria Math" w:hAnsi="Cambria Math"/>
          <w:w w:val="216"/>
        </w:rPr>
        <w:t> </w:t>
      </w:r>
      <w:r>
        <w:rPr>
          <w:rFonts w:ascii="Cambria Math" w:hAnsi="Cambria Math"/>
          <w:w w:val="200"/>
          <w:position w:val="-4"/>
          <w:sz w:val="17"/>
        </w:rPr>
        <w:t> </w:t>
      </w:r>
      <w:r>
        <w:rPr>
          <w:rFonts w:ascii="Cambria Math" w:hAnsi="Cambria Math"/>
          <w:position w:val="-4"/>
          <w:sz w:val="17"/>
        </w:rPr>
        <w:t> </w:t>
      </w:r>
      <w:r>
        <w:rPr>
          <w:rFonts w:ascii="Cambria Math" w:hAnsi="Cambria Math"/>
        </w:rPr>
        <w:t>*             </w:t>
      </w:r>
      <w:r>
        <w:rPr>
          <w:rFonts w:ascii="Cambria Math" w:hAnsi="Cambria Math"/>
          <w:position w:val="1"/>
        </w:rPr>
        <w:t>∑</w:t>
      </w:r>
      <w:r>
        <w:rPr>
          <w:rFonts w:ascii="Cambria Math" w:hAnsi="Cambria Math"/>
          <w:w w:val="420"/>
          <w:position w:val="9"/>
          <w:sz w:val="17"/>
        </w:rPr>
        <w:t> </w:t>
      </w:r>
    </w:p>
    <w:p>
      <w:pPr>
        <w:spacing w:before="254"/>
        <w:ind w:left="140" w:right="0" w:firstLine="0"/>
        <w:jc w:val="left"/>
        <w:rPr>
          <w:rFonts w:ascii="Cambria Math"/>
          <w:sz w:val="17"/>
        </w:rPr>
      </w:pPr>
      <w:r>
        <w:rPr/>
        <w:br w:type="column"/>
      </w:r>
      <w:r>
        <w:rPr>
          <w:rFonts w:ascii="Cambria Math"/>
          <w:w w:val="188"/>
          <w:position w:val="1"/>
          <w:sz w:val="24"/>
        </w:rPr>
        <w:t> </w:t>
      </w:r>
      <w:r>
        <w:rPr>
          <w:rFonts w:ascii="Cambria Math"/>
          <w:w w:val="251"/>
          <w:sz w:val="24"/>
        </w:rPr>
        <w:t> </w:t>
      </w:r>
      <w:r>
        <w:rPr>
          <w:rFonts w:ascii="Cambria Math"/>
          <w:sz w:val="24"/>
        </w:rPr>
        <w:t> </w:t>
      </w:r>
      <w:r>
        <w:rPr>
          <w:rFonts w:ascii="Cambria Math"/>
          <w:w w:val="339"/>
          <w:sz w:val="24"/>
        </w:rPr>
        <w:t> </w:t>
      </w:r>
      <w:r>
        <w:rPr>
          <w:rFonts w:ascii="Cambria Math"/>
          <w:sz w:val="24"/>
        </w:rPr>
        <w:t> </w:t>
      </w:r>
      <w:r>
        <w:rPr>
          <w:rFonts w:ascii="Cambria Math"/>
          <w:w w:val="216"/>
          <w:sz w:val="24"/>
        </w:rPr>
        <w:t> </w:t>
      </w:r>
      <w:r>
        <w:rPr>
          <w:rFonts w:ascii="Cambria Math"/>
          <w:w w:val="200"/>
          <w:position w:val="-4"/>
          <w:sz w:val="17"/>
        </w:rPr>
        <w:t> </w:t>
      </w:r>
      <w:r>
        <w:rPr>
          <w:rFonts w:ascii="Cambria Math"/>
          <w:w w:val="188"/>
          <w:position w:val="1"/>
          <w:sz w:val="24"/>
        </w:rPr>
        <w:t> </w:t>
      </w:r>
      <w:r>
        <w:rPr>
          <w:rFonts w:ascii="Cambria Math"/>
          <w:w w:val="120"/>
          <w:position w:val="12"/>
          <w:sz w:val="17"/>
        </w:rPr>
        <w:t>(</w:t>
      </w:r>
      <w:r>
        <w:rPr>
          <w:rFonts w:ascii="Cambria Math"/>
          <w:w w:val="331"/>
          <w:position w:val="12"/>
          <w:sz w:val="17"/>
        </w:rPr>
        <w:t> </w:t>
      </w:r>
    </w:p>
    <w:p>
      <w:pPr>
        <w:pStyle w:val="BodyText"/>
        <w:spacing w:before="7"/>
        <w:rPr>
          <w:rFonts w:ascii="Cambria Math"/>
          <w:sz w:val="21"/>
        </w:rPr>
      </w:pPr>
      <w:r>
        <w:rPr/>
        <w:br w:type="column"/>
      </w:r>
      <w:r>
        <w:rPr>
          <w:rFonts w:ascii="Cambria Math"/>
          <w:sz w:val="21"/>
        </w:rPr>
      </w:r>
    </w:p>
    <w:p>
      <w:pPr>
        <w:spacing w:before="1"/>
        <w:ind w:left="-40" w:right="0" w:firstLine="0"/>
        <w:jc w:val="left"/>
        <w:rPr>
          <w:rFonts w:ascii="Cambria Math"/>
          <w:sz w:val="17"/>
        </w:rPr>
      </w:pPr>
      <w:r>
        <w:rPr>
          <w:rFonts w:ascii="Cambria Math"/>
          <w:w w:val="110"/>
          <w:sz w:val="17"/>
        </w:rPr>
        <w:t>(        ))</w:t>
      </w:r>
    </w:p>
    <w:p>
      <w:pPr>
        <w:pStyle w:val="BodyText"/>
        <w:spacing w:before="2"/>
        <w:rPr>
          <w:rFonts w:ascii="Cambria Math"/>
          <w:sz w:val="26"/>
        </w:rPr>
      </w:pPr>
      <w:r>
        <w:rPr/>
        <w:br w:type="column"/>
      </w:r>
      <w:r>
        <w:rPr>
          <w:rFonts w:ascii="Cambria Math"/>
          <w:sz w:val="26"/>
        </w:rPr>
      </w:r>
    </w:p>
    <w:p>
      <w:pPr>
        <w:pStyle w:val="BodyText"/>
        <w:tabs>
          <w:tab w:pos="718" w:val="left" w:leader="none"/>
        </w:tabs>
        <w:ind w:left="-30"/>
      </w:pPr>
      <w:r>
        <w:rPr>
          <w:rFonts w:ascii="Cambria Math"/>
          <w:w w:val="172"/>
        </w:rPr>
        <w:t> </w:t>
      </w:r>
      <w:r>
        <w:rPr>
          <w:rFonts w:ascii="Cambria Math"/>
          <w:spacing w:val="-27"/>
          <w:w w:val="281"/>
        </w:rPr>
        <w:t> </w:t>
      </w:r>
      <w:r>
        <w:rPr>
          <w:rFonts w:ascii="Cambria Math"/>
          <w:spacing w:val="13"/>
          <w:w w:val="200"/>
          <w:position w:val="-4"/>
          <w:sz w:val="17"/>
        </w:rPr>
        <w:t> </w:t>
      </w:r>
      <w:r>
        <w:rPr>
          <w:rFonts w:ascii="Cambria Math"/>
          <w:w w:val="90"/>
        </w:rPr>
        <w:t>+</w:t>
        <w:tab/>
      </w:r>
      <w:r>
        <w:rPr>
          <w:w w:val="90"/>
        </w:rPr>
        <w:t>(1.16)</w:t>
      </w:r>
    </w:p>
    <w:p>
      <w:pPr>
        <w:spacing w:after="0"/>
        <w:sectPr>
          <w:type w:val="continuous"/>
          <w:pgSz w:w="12250" w:h="15850"/>
          <w:pgMar w:top="1500" w:bottom="280" w:left="1600" w:right="1580"/>
          <w:cols w:num="4" w:equalWidth="0">
            <w:col w:w="4021" w:space="40"/>
            <w:col w:w="1146" w:space="40"/>
            <w:col w:w="552" w:space="40"/>
            <w:col w:w="3231"/>
          </w:cols>
        </w:sectPr>
      </w:pPr>
    </w:p>
    <w:p>
      <w:pPr>
        <w:pStyle w:val="BodyText"/>
        <w:rPr>
          <w:sz w:val="20"/>
        </w:rPr>
      </w:pPr>
    </w:p>
    <w:p>
      <w:pPr>
        <w:pStyle w:val="BodyText"/>
        <w:spacing w:before="8"/>
        <w:rPr>
          <w:sz w:val="28"/>
        </w:rPr>
      </w:pPr>
    </w:p>
    <w:p>
      <w:pPr>
        <w:pStyle w:val="BodyText"/>
        <w:spacing w:before="70"/>
        <w:ind w:left="1275" w:right="127"/>
      </w:pPr>
      <w:r>
        <w:rPr/>
        <w:t>se define como el nivel de gasto real, el cual es indefinidamente sostenible  con</w:t>
      </w:r>
    </w:p>
    <w:p>
      <w:pPr>
        <w:spacing w:line="56" w:lineRule="exact" w:before="120"/>
        <w:ind w:left="0" w:right="1274" w:firstLine="0"/>
        <w:jc w:val="right"/>
        <w:rPr>
          <w:rFonts w:ascii="Cambria Math"/>
          <w:sz w:val="17"/>
        </w:rPr>
      </w:pPr>
      <w:r>
        <w:rPr>
          <w:rFonts w:ascii="Cambria Math"/>
          <w:w w:val="219"/>
          <w:sz w:val="17"/>
        </w:rPr>
        <w:t> </w:t>
      </w:r>
    </w:p>
    <w:p>
      <w:pPr>
        <w:pStyle w:val="BodyText"/>
        <w:spacing w:line="246" w:lineRule="exact"/>
        <w:ind w:left="102" w:right="127"/>
        <w:rPr>
          <w:rFonts w:ascii="Cambria Math"/>
        </w:rPr>
      </w:pPr>
      <w:r>
        <w:rPr/>
        <w:t>el mismo valor presente al descuento de ingresos petroleros futuros </w:t>
      </w:r>
      <w:r>
        <w:rPr>
          <w:rFonts w:ascii="Cambria Math"/>
          <w:w w:val="188"/>
        </w:rPr>
        <w:t> </w:t>
      </w:r>
      <w:r>
        <w:rPr>
          <w:rFonts w:ascii="Cambria Math"/>
          <w:w w:val="286"/>
        </w:rPr>
        <w:t> </w:t>
      </w:r>
      <w:r>
        <w:rPr>
          <w:rFonts w:ascii="Cambria Math"/>
          <w:w w:val="281"/>
        </w:rPr>
        <w:t> </w:t>
      </w:r>
      <w:r>
        <w:rPr>
          <w:rFonts w:ascii="Cambria Math"/>
          <w:w w:val="200"/>
          <w:position w:val="-4"/>
          <w:sz w:val="17"/>
        </w:rPr>
        <w:t> </w:t>
      </w:r>
      <w:r>
        <w:rPr>
          <w:rFonts w:ascii="Cambria Math"/>
          <w:position w:val="-4"/>
          <w:sz w:val="17"/>
        </w:rPr>
        <w:t>  </w:t>
      </w:r>
      <w:r>
        <w:rPr>
          <w:rFonts w:ascii="Cambria Math"/>
          <w:w w:val="339"/>
        </w:rPr>
        <w:t> </w:t>
      </w:r>
      <w:r>
        <w:rPr>
          <w:rFonts w:ascii="Cambria Math"/>
        </w:rPr>
        <w:t> </w:t>
      </w:r>
      <w:r>
        <w:rPr>
          <w:rFonts w:ascii="Cambria Math"/>
          <w:w w:val="286"/>
        </w:rPr>
        <w:t> </w:t>
      </w:r>
      <w:r>
        <w:rPr>
          <w:rFonts w:ascii="Cambria Math"/>
          <w:w w:val="281"/>
        </w:rPr>
        <w:t> </w:t>
      </w:r>
      <w:r>
        <w:rPr>
          <w:rFonts w:ascii="Cambria Math"/>
          <w:w w:val="200"/>
          <w:position w:val="-4"/>
          <w:sz w:val="17"/>
        </w:rPr>
        <w:t> </w:t>
      </w:r>
      <w:r>
        <w:rPr>
          <w:rFonts w:ascii="Cambria Math"/>
          <w:position w:val="-4"/>
          <w:sz w:val="17"/>
        </w:rPr>
        <w:t> </w:t>
      </w:r>
      <w:r>
        <w:rPr>
          <w:rFonts w:ascii="Cambria Math"/>
          <w:w w:val="188"/>
        </w:rPr>
        <w:t> </w:t>
      </w:r>
    </w:p>
    <w:p>
      <w:pPr>
        <w:pStyle w:val="BodyText"/>
        <w:spacing w:line="362" w:lineRule="auto" w:before="144"/>
        <w:ind w:left="102" w:right="116" w:firstLine="707"/>
        <w:jc w:val="both"/>
      </w:pPr>
      <w:r>
        <w:rPr/>
        <w:t>En la práctica esta teoría corresponde a la aplicación de la regla fiscal </w:t>
      </w:r>
      <w:r>
        <w:rPr>
          <w:i/>
        </w:rPr>
        <w:t>bird-in-hand</w:t>
      </w:r>
      <w:r>
        <w:rPr/>
        <w:t>, bajo  la  cual  se  limita  el  máximo  déficit  del  balance  primario  no  petrolero  equivalente a los retornos financieros generados por el fondo petrolero, donde son depositados los ingresos derivados del recurso</w:t>
      </w:r>
      <w:r>
        <w:rPr>
          <w:spacing w:val="-14"/>
        </w:rPr>
        <w:t> </w:t>
      </w:r>
      <w:r>
        <w:rPr/>
        <w:t>natural:</w:t>
      </w:r>
    </w:p>
    <w:p>
      <w:pPr>
        <w:pStyle w:val="BodyText"/>
      </w:pPr>
    </w:p>
    <w:p>
      <w:pPr>
        <w:pStyle w:val="BodyText"/>
        <w:tabs>
          <w:tab w:pos="6352" w:val="left" w:leader="none"/>
        </w:tabs>
        <w:spacing w:before="143"/>
        <w:ind w:left="2108" w:right="127"/>
      </w:pPr>
      <w:r>
        <w:rPr>
          <w:rFonts w:ascii="Cambria Math"/>
          <w:w w:val="380"/>
        </w:rPr>
        <w:t> </w:t>
      </w:r>
      <w:r>
        <w:rPr>
          <w:rFonts w:ascii="Cambria Math"/>
          <w:w w:val="221"/>
        </w:rPr>
        <w:t> </w:t>
      </w:r>
      <w:r>
        <w:rPr>
          <w:rFonts w:ascii="Cambria Math"/>
          <w:w w:val="255"/>
        </w:rPr>
        <w:t>   </w:t>
      </w:r>
      <w:r>
        <w:rPr>
          <w:rFonts w:ascii="Cambria Math"/>
          <w:w w:val="242"/>
        </w:rPr>
        <w:t> </w:t>
      </w:r>
      <w:r>
        <w:rPr>
          <w:rFonts w:ascii="Cambria Math"/>
          <w:spacing w:val="4"/>
        </w:rPr>
        <w:t> </w:t>
      </w:r>
      <w:r>
        <w:rPr>
          <w:rFonts w:ascii="Cambria Math"/>
          <w:w w:val="263"/>
        </w:rPr>
        <w:t> </w:t>
      </w:r>
      <w:r>
        <w:rPr>
          <w:rFonts w:ascii="Cambria Math"/>
          <w:w w:val="221"/>
        </w:rPr>
        <w:t> </w:t>
      </w:r>
      <w:r>
        <w:rPr>
          <w:rFonts w:ascii="Cambria Math"/>
          <w:w w:val="196"/>
        </w:rPr>
        <w:t>  </w:t>
      </w:r>
      <w:r>
        <w:rPr>
          <w:rFonts w:ascii="Cambria Math"/>
          <w:w w:val="194"/>
        </w:rPr>
        <w:t>  </w:t>
      </w:r>
      <w:r>
        <w:rPr>
          <w:rFonts w:ascii="Cambria Math"/>
          <w:spacing w:val="3"/>
        </w:rPr>
        <w:t> </w:t>
      </w:r>
      <w:r>
        <w:rPr>
          <w:rFonts w:ascii="Cambria Math"/>
          <w:w w:val="242"/>
        </w:rPr>
        <w:t>  </w:t>
      </w:r>
      <w:r>
        <w:rPr>
          <w:rFonts w:ascii="Cambria Math"/>
          <w:spacing w:val="3"/>
        </w:rPr>
        <w:t> </w:t>
      </w:r>
      <w:r>
        <w:rPr>
          <w:rFonts w:ascii="Cambria Math"/>
          <w:w w:val="184"/>
        </w:rPr>
        <w:t>  </w:t>
      </w:r>
      <w:r>
        <w:rPr>
          <w:rFonts w:ascii="Cambria Math"/>
          <w:spacing w:val="5"/>
        </w:rPr>
        <w:t> </w:t>
      </w:r>
      <w:r>
        <w:rPr>
          <w:rFonts w:ascii="Cambria Math"/>
          <w:w w:val="297"/>
        </w:rPr>
        <w:t> </w:t>
      </w:r>
      <w:r>
        <w:rPr>
          <w:rFonts w:ascii="Cambria Math"/>
          <w:w w:val="306"/>
        </w:rPr>
        <w:t>  </w:t>
      </w:r>
      <w:r>
        <w:rPr>
          <w:rFonts w:ascii="Cambria Math"/>
          <w:spacing w:val="-27"/>
          <w:w w:val="281"/>
        </w:rPr>
        <w:t> </w:t>
      </w:r>
      <w:r>
        <w:rPr>
          <w:rFonts w:ascii="Cambria Math"/>
          <w:w w:val="200"/>
          <w:position w:val="-4"/>
          <w:sz w:val="17"/>
        </w:rPr>
        <w:t> </w:t>
      </w:r>
      <w:r>
        <w:rPr>
          <w:rFonts w:ascii="Cambria Math"/>
          <w:position w:val="-4"/>
          <w:sz w:val="17"/>
        </w:rPr>
        <w:t> </w:t>
      </w:r>
      <w:r>
        <w:rPr>
          <w:rFonts w:ascii="Cambria Math"/>
          <w:spacing w:val="8"/>
          <w:position w:val="-4"/>
          <w:sz w:val="17"/>
        </w:rPr>
        <w:t> </w:t>
      </w:r>
      <w:r>
        <w:rPr>
          <w:rFonts w:ascii="Cambria Math"/>
          <w:w w:val="339"/>
        </w:rPr>
        <w:t> </w:t>
      </w:r>
      <w:r>
        <w:rPr>
          <w:rFonts w:ascii="Cambria Math"/>
          <w:spacing w:val="12"/>
        </w:rPr>
        <w:t> </w:t>
      </w:r>
      <w:r>
        <w:rPr>
          <w:rFonts w:ascii="Cambria Math"/>
          <w:spacing w:val="-26"/>
          <w:w w:val="216"/>
        </w:rPr>
        <w:t> </w:t>
      </w:r>
      <w:r>
        <w:rPr>
          <w:rFonts w:ascii="Cambria Math"/>
          <w:spacing w:val="13"/>
          <w:w w:val="200"/>
          <w:position w:val="-4"/>
          <w:sz w:val="17"/>
        </w:rPr>
        <w:t> </w:t>
      </w:r>
      <w:r>
        <w:rPr>
          <w:rFonts w:ascii="Cambria Math"/>
          <w:spacing w:val="-27"/>
          <w:w w:val="277"/>
        </w:rPr>
        <w:t> </w:t>
      </w:r>
      <w:r>
        <w:rPr>
          <w:rFonts w:ascii="Cambria Math"/>
          <w:spacing w:val="4"/>
          <w:w w:val="200"/>
          <w:position w:val="-4"/>
          <w:sz w:val="17"/>
        </w:rPr>
        <w:t> </w:t>
      </w:r>
      <w:r>
        <w:rPr>
          <w:rFonts w:ascii="Cambria Math"/>
          <w:w w:val="331"/>
          <w:position w:val="-4"/>
          <w:sz w:val="17"/>
        </w:rPr>
        <w:t> </w:t>
      </w:r>
      <w:r>
        <w:rPr>
          <w:rFonts w:ascii="Cambria Math"/>
          <w:w w:val="263"/>
          <w:position w:val="-4"/>
          <w:sz w:val="17"/>
        </w:rPr>
        <w:t> </w:t>
      </w:r>
      <w:r>
        <w:rPr>
          <w:rFonts w:ascii="Cambria Math"/>
          <w:position w:val="-4"/>
          <w:sz w:val="17"/>
        </w:rPr>
        <w:tab/>
      </w:r>
      <w:r>
        <w:rPr/>
        <w:t>(1.17)</w:t>
      </w:r>
    </w:p>
    <w:p>
      <w:pPr>
        <w:pStyle w:val="BodyText"/>
        <w:rPr>
          <w:sz w:val="26"/>
        </w:rPr>
      </w:pPr>
    </w:p>
    <w:p>
      <w:pPr>
        <w:pStyle w:val="BodyText"/>
        <w:spacing w:before="7"/>
        <w:rPr>
          <w:sz w:val="22"/>
        </w:rPr>
      </w:pPr>
    </w:p>
    <w:p>
      <w:pPr>
        <w:pStyle w:val="BodyText"/>
        <w:spacing w:line="360" w:lineRule="auto" w:before="1"/>
        <w:ind w:left="102" w:right="116" w:firstLine="707"/>
        <w:jc w:val="both"/>
      </w:pPr>
      <w:r>
        <w:rPr/>
        <w:t>La aplicación de esta administración de ingresos petroleros ha sido mayormente aplicada en países desarrollados y emerge desde la perspectiva neoclásica (Husain, et al., 2008; Ilzetzki, 2006).  No obstante la simplicidad de este mecanismo, su factibilidad ha  sido criticada especialmente para países en vías de desarrollo, lo cual ha dado inicio a la teoría del ingreso permanente</w:t>
      </w:r>
      <w:r>
        <w:rPr>
          <w:spacing w:val="-10"/>
        </w:rPr>
        <w:t> </w:t>
      </w:r>
      <w:r>
        <w:rPr/>
        <w:t>modificado.</w:t>
      </w:r>
    </w:p>
    <w:p>
      <w:pPr>
        <w:spacing w:after="0" w:line="360" w:lineRule="auto"/>
        <w:jc w:val="both"/>
        <w:sectPr>
          <w:type w:val="continuous"/>
          <w:pgSz w:w="12250" w:h="15850"/>
          <w:pgMar w:top="1500" w:bottom="280" w:left="1600" w:right="1580"/>
        </w:sectPr>
      </w:pPr>
    </w:p>
    <w:p>
      <w:pPr>
        <w:spacing w:before="48"/>
        <w:ind w:left="966" w:right="127" w:firstLine="0"/>
        <w:jc w:val="left"/>
        <w:rPr>
          <w:i/>
          <w:sz w:val="24"/>
        </w:rPr>
      </w:pPr>
      <w:r>
        <w:rPr>
          <w:i/>
          <w:sz w:val="24"/>
        </w:rPr>
        <w:t>La versión modificada del ingreso permanente</w:t>
      </w:r>
    </w:p>
    <w:p>
      <w:pPr>
        <w:pStyle w:val="BodyText"/>
        <w:spacing w:before="4"/>
        <w:rPr>
          <w:i/>
          <w:sz w:val="29"/>
        </w:rPr>
      </w:pPr>
    </w:p>
    <w:p>
      <w:pPr>
        <w:pStyle w:val="BodyText"/>
        <w:spacing w:line="360" w:lineRule="auto" w:before="1"/>
        <w:ind w:left="102" w:right="115" w:firstLine="707"/>
        <w:jc w:val="both"/>
      </w:pPr>
      <w:r>
        <w:rPr/>
        <w:t>La principal crítica a la teoría del ingreso permanente es la dificultad en la constitución de activos financieros donde son depositados en su totalidad los ingresos financieros (Ossowski, et al., 2008), está situación se presenta en países en vías de desarrollo, que presentan escasez de capital y en muchas ocasiones un agotamiento  próximo de sus recursos naturales (menor a 30 años según Baunsgaard, et al. (2012)), por lo cual, la mejor alternativa se centra en la generación de inversión pública en vez de la constitución de activos financieros (van der Ploeg &amp; Venables,</w:t>
      </w:r>
      <w:r>
        <w:rPr>
          <w:spacing w:val="-12"/>
        </w:rPr>
        <w:t> </w:t>
      </w:r>
      <w:r>
        <w:rPr/>
        <w:t>2009).</w:t>
      </w:r>
    </w:p>
    <w:p>
      <w:pPr>
        <w:pStyle w:val="BodyText"/>
        <w:spacing w:line="360" w:lineRule="auto" w:before="4"/>
        <w:ind w:left="102" w:right="117" w:firstLine="707"/>
        <w:jc w:val="both"/>
      </w:pPr>
      <w:r>
        <w:rPr/>
        <w:t>La justificación de esta perspectiva, se basa en suavizar el consumo del gobierno  con el fin de promover el crecimiento de la economía en el largo plazo, proveniente de la inversión en infraestructuras, capital físico y humano (Romer, 1990; Lucas, 1988), y por tanto, las finanzas públicas dependen en menor medida de los ingresos</w:t>
      </w:r>
      <w:r>
        <w:rPr>
          <w:spacing w:val="-14"/>
        </w:rPr>
        <w:t> </w:t>
      </w:r>
      <w:r>
        <w:rPr/>
        <w:t>petroleros.</w:t>
      </w:r>
    </w:p>
    <w:p>
      <w:pPr>
        <w:pStyle w:val="BodyText"/>
        <w:spacing w:line="360" w:lineRule="auto" w:before="4"/>
        <w:ind w:left="102" w:right="118" w:firstLine="707"/>
        <w:jc w:val="both"/>
      </w:pPr>
      <w:r>
        <w:rPr/>
        <w:t>En consecuencia, el mensaje más importante de esta teoría sugiere que los ingresos petroleros deben canalizarse hacia la inversión pública, de tal forma que promueva el incremento de la productividad y el capital humano (Dhumale, 2000). Si se direcciona una política de fomento del gasto de capital canalizada hacia programas de incremento de la productividad privada, fortalece el crecimiento del producto y a la vez se diversifican los ingresos fiscales (Kumah &amp; Matovu, 2005).</w:t>
      </w:r>
    </w:p>
    <w:p>
      <w:pPr>
        <w:pStyle w:val="BodyText"/>
        <w:spacing w:line="360" w:lineRule="auto" w:before="4"/>
        <w:ind w:left="102" w:right="116" w:firstLine="707"/>
        <w:jc w:val="both"/>
      </w:pPr>
      <w:r>
        <w:rPr/>
        <w:t>La intuición económica podría sugerir que para países en vías de desarrollo sería más apropiado la aplicación de esta teoría, sin embargo, Frankel (2011) ofrece las  siguientes críticas: inversión pública con proyectos de elefantes blancos; incremento del gasto público sin posibilidad de retorno; el problema de la enfermedad holandesa (dezplazamiento del sector transable y pérdida de competitividad del sector externo). Adicionalmente, al incrementarse la inversión pública (proveniente de los ingresos petroleros), existe el riesgo de producir un efecto desplazamiento sobre la inversión privada (efecto </w:t>
      </w:r>
      <w:r>
        <w:rPr>
          <w:i/>
        </w:rPr>
        <w:t>crowding out</w:t>
      </w:r>
      <w:r>
        <w:rPr/>
        <w:t>) (Collier, et al., 2009). Nuevamente la pregunta: ¿teoría de ingreso permanente o la versión</w:t>
      </w:r>
      <w:r>
        <w:rPr>
          <w:spacing w:val="-6"/>
        </w:rPr>
        <w:t> </w:t>
      </w:r>
      <w:r>
        <w:rPr/>
        <w:t>modificada?</w:t>
      </w:r>
    </w:p>
    <w:p>
      <w:pPr>
        <w:pStyle w:val="BodyText"/>
        <w:rPr>
          <w:sz w:val="21"/>
        </w:rPr>
      </w:pPr>
    </w:p>
    <w:p>
      <w:pPr>
        <w:spacing w:before="0"/>
        <w:ind w:left="966" w:right="127" w:firstLine="0"/>
        <w:jc w:val="left"/>
        <w:rPr>
          <w:i/>
          <w:sz w:val="24"/>
        </w:rPr>
      </w:pPr>
      <w:r>
        <w:rPr>
          <w:i/>
          <w:sz w:val="24"/>
        </w:rPr>
        <w:t>Sostenibilidad de la deuda pública</w:t>
      </w:r>
    </w:p>
    <w:p>
      <w:pPr>
        <w:pStyle w:val="BodyText"/>
        <w:spacing w:before="4"/>
        <w:rPr>
          <w:i/>
          <w:sz w:val="29"/>
        </w:rPr>
      </w:pPr>
    </w:p>
    <w:p>
      <w:pPr>
        <w:pStyle w:val="BodyText"/>
        <w:spacing w:line="362" w:lineRule="auto" w:before="1"/>
        <w:ind w:left="102" w:right="118" w:firstLine="707"/>
        <w:jc w:val="both"/>
      </w:pPr>
      <w:r>
        <w:rPr/>
        <w:t>Bajo un enfoque de largo plazo, la sostenibilidad de la deuda pública asume una relación estable con el balance fiscal (Pedroni, 1999; Westerlund &amp; Edgerton, 2007). El</w:t>
      </w:r>
    </w:p>
    <w:p>
      <w:pPr>
        <w:spacing w:after="0" w:line="362" w:lineRule="auto"/>
        <w:jc w:val="both"/>
        <w:sectPr>
          <w:pgSz w:w="12250" w:h="15850"/>
          <w:pgMar w:header="0" w:footer="1037" w:top="1360" w:bottom="1220" w:left="1600" w:right="1580"/>
        </w:sectPr>
      </w:pPr>
    </w:p>
    <w:p>
      <w:pPr>
        <w:pStyle w:val="BodyText"/>
        <w:spacing w:line="360" w:lineRule="auto" w:before="50"/>
        <w:ind w:left="102" w:right="127"/>
      </w:pPr>
      <w:r>
        <w:rPr/>
        <w:t>análisis básico requiere estabilidad de la deuda pública, lo cual signfica que no continue creciendo a niveles insostenibles (Hamilton &amp; Flavin, 1986).</w:t>
      </w:r>
    </w:p>
    <w:p>
      <w:pPr>
        <w:pStyle w:val="BodyText"/>
        <w:spacing w:line="360" w:lineRule="auto" w:before="6"/>
        <w:ind w:left="102" w:right="117" w:firstLine="767"/>
        <w:jc w:val="both"/>
      </w:pPr>
      <w:r>
        <w:rPr/>
        <w:t>Tal vez, frente a lo anterior emerja la siguiente pregunta: ¿cuándo se considera insostenible el nivel de la deuda pública? Se menciona que no existe un número óptimo que permita responder al cuestionamiento.</w:t>
      </w:r>
    </w:p>
    <w:p>
      <w:pPr>
        <w:pStyle w:val="BodyText"/>
        <w:spacing w:line="360" w:lineRule="auto" w:before="4"/>
        <w:ind w:left="102" w:right="116" w:firstLine="767"/>
        <w:jc w:val="both"/>
      </w:pPr>
      <w:r>
        <w:rPr/>
        <w:t>Sin embargo, ciertos umbrales empíricos sirven como puntos de referencia: el tratado de Maastricht en 1992 establecío el límite máximo del 60% de deuda pública a PIB para países de la Zona Europea denominado Pacto de Estabilidad; los límites máximos de endeudamiento de Israel y Eslovaquía (60%), 45% para Servia (Fondo Monetario Internacional (FMI), 2012); del 50% para el Caso de Uruguay (Rodríguez, 2011). A manera de regla de dedo, niveles de endeudamiento superior al rango 50-60% del PIB indicarían problemas de insostenibilidad fiscal.</w:t>
      </w:r>
    </w:p>
    <w:p>
      <w:pPr>
        <w:pStyle w:val="BodyText"/>
        <w:spacing w:line="364" w:lineRule="auto" w:before="8"/>
        <w:ind w:left="102" w:right="119" w:firstLine="707"/>
        <w:jc w:val="both"/>
      </w:pPr>
      <w:r>
        <w:rPr/>
        <w:t>Para explicar los determinantes de la deuda pública real , Stoian &amp; Câmpeanu (2010) señalan los siguientes</w:t>
      </w:r>
      <w:r>
        <w:rPr>
          <w:spacing w:val="-8"/>
        </w:rPr>
        <w:t> </w:t>
      </w:r>
      <w:r>
        <w:rPr/>
        <w:t>elementos:</w:t>
      </w:r>
    </w:p>
    <w:p>
      <w:pPr>
        <w:tabs>
          <w:tab w:pos="5769" w:val="left" w:leader="none"/>
        </w:tabs>
        <w:spacing w:before="1"/>
        <w:ind w:left="2692" w:right="127" w:firstLine="0"/>
        <w:jc w:val="left"/>
        <w:rPr>
          <w:sz w:val="24"/>
        </w:rPr>
      </w:pPr>
      <w:r>
        <w:rPr>
          <w:rFonts w:ascii="Cambria Math"/>
          <w:spacing w:val="-15"/>
          <w:w w:val="314"/>
          <w:sz w:val="24"/>
        </w:rPr>
        <w:t> </w:t>
      </w:r>
      <w:r>
        <w:rPr>
          <w:rFonts w:ascii="Cambria Math"/>
          <w:w w:val="200"/>
          <w:position w:val="-4"/>
          <w:sz w:val="17"/>
        </w:rPr>
        <w:t> </w:t>
      </w:r>
      <w:r>
        <w:rPr>
          <w:rFonts w:ascii="Cambria Math"/>
          <w:position w:val="-4"/>
          <w:sz w:val="17"/>
        </w:rPr>
        <w:t> </w:t>
      </w:r>
      <w:r>
        <w:rPr>
          <w:rFonts w:ascii="Cambria Math"/>
          <w:spacing w:val="6"/>
          <w:position w:val="-4"/>
          <w:sz w:val="17"/>
        </w:rPr>
        <w:t> </w:t>
      </w:r>
      <w:r>
        <w:rPr>
          <w:rFonts w:ascii="Cambria Math"/>
          <w:w w:val="339"/>
          <w:sz w:val="24"/>
        </w:rPr>
        <w:t> </w:t>
      </w:r>
      <w:r>
        <w:rPr>
          <w:rFonts w:ascii="Cambria Math"/>
          <w:spacing w:val="15"/>
          <w:sz w:val="24"/>
        </w:rPr>
        <w:t> </w:t>
      </w:r>
      <w:r>
        <w:rPr>
          <w:rFonts w:ascii="Cambria Math"/>
          <w:w w:val="249"/>
          <w:sz w:val="24"/>
        </w:rPr>
        <w:t> </w:t>
      </w:r>
      <w:r>
        <w:rPr>
          <w:rFonts w:ascii="Cambria Math"/>
          <w:spacing w:val="7"/>
          <w:sz w:val="24"/>
        </w:rPr>
        <w:t> </w:t>
      </w:r>
      <w:r>
        <w:rPr>
          <w:rFonts w:ascii="Cambria Math"/>
          <w:spacing w:val="1"/>
          <w:w w:val="188"/>
          <w:sz w:val="24"/>
        </w:rPr>
        <w:t> </w:t>
      </w:r>
      <w:r>
        <w:rPr>
          <w:rFonts w:ascii="Cambria Math"/>
          <w:spacing w:val="-15"/>
          <w:w w:val="172"/>
          <w:sz w:val="24"/>
        </w:rPr>
        <w:t> </w:t>
      </w:r>
      <w:r>
        <w:rPr>
          <w:rFonts w:ascii="Cambria Math"/>
          <w:spacing w:val="13"/>
          <w:w w:val="200"/>
          <w:position w:val="-4"/>
          <w:sz w:val="17"/>
        </w:rPr>
        <w:t> </w:t>
      </w:r>
      <w:r>
        <w:rPr>
          <w:rFonts w:ascii="Cambria Math"/>
          <w:w w:val="93"/>
          <w:sz w:val="24"/>
        </w:rPr>
        <w:t> </w:t>
      </w:r>
      <w:r>
        <w:rPr>
          <w:rFonts w:ascii="Cambria Math"/>
          <w:spacing w:val="-14"/>
          <w:sz w:val="24"/>
        </w:rPr>
        <w:t> </w:t>
      </w:r>
      <w:r>
        <w:rPr>
          <w:rFonts w:ascii="Cambria Math"/>
          <w:w w:val="286"/>
          <w:sz w:val="24"/>
        </w:rPr>
        <w:t> </w:t>
      </w:r>
      <w:r>
        <w:rPr>
          <w:rFonts w:ascii="Cambria Math"/>
          <w:spacing w:val="9"/>
          <w:sz w:val="24"/>
        </w:rPr>
        <w:t> </w:t>
      </w:r>
      <w:r>
        <w:rPr>
          <w:rFonts w:ascii="Cambria Math"/>
          <w:w w:val="234"/>
          <w:sz w:val="24"/>
        </w:rPr>
        <w:t> </w:t>
      </w:r>
      <w:r>
        <w:rPr>
          <w:rFonts w:ascii="Cambria Math"/>
          <w:spacing w:val="1"/>
          <w:w w:val="234"/>
          <w:sz w:val="24"/>
        </w:rPr>
        <w:t> </w:t>
      </w:r>
      <w:r>
        <w:rPr>
          <w:rFonts w:ascii="Cambria Math"/>
          <w:w w:val="262"/>
          <w:sz w:val="24"/>
        </w:rPr>
        <w:t> </w:t>
      </w:r>
      <w:r>
        <w:rPr>
          <w:rFonts w:ascii="Cambria Math"/>
          <w:spacing w:val="1"/>
          <w:w w:val="262"/>
          <w:sz w:val="24"/>
        </w:rPr>
        <w:t> </w:t>
      </w:r>
      <w:r>
        <w:rPr>
          <w:rFonts w:ascii="Cambria Math"/>
          <w:spacing w:val="13"/>
          <w:w w:val="200"/>
          <w:position w:val="-4"/>
          <w:sz w:val="17"/>
        </w:rPr>
        <w:t> </w:t>
      </w:r>
      <w:r>
        <w:rPr>
          <w:rFonts w:ascii="Cambria Math"/>
          <w:w w:val="93"/>
          <w:sz w:val="24"/>
        </w:rPr>
        <w:t> </w:t>
      </w:r>
      <w:r>
        <w:rPr>
          <w:rFonts w:ascii="Cambria Math"/>
          <w:spacing w:val="-16"/>
          <w:sz w:val="24"/>
        </w:rPr>
        <w:t> </w:t>
      </w:r>
      <w:r>
        <w:rPr>
          <w:rFonts w:ascii="Cambria Math"/>
          <w:w w:val="143"/>
          <w:sz w:val="24"/>
        </w:rPr>
        <w:t> </w:t>
      </w:r>
      <w:r>
        <w:rPr>
          <w:rFonts w:ascii="Cambria Math"/>
          <w:spacing w:val="13"/>
          <w:w w:val="200"/>
          <w:position w:val="-4"/>
          <w:sz w:val="17"/>
        </w:rPr>
        <w:t> </w:t>
      </w:r>
      <w:r>
        <w:rPr>
          <w:rFonts w:ascii="Cambria Math"/>
          <w:w w:val="93"/>
          <w:sz w:val="24"/>
        </w:rPr>
        <w:t> </w:t>
      </w:r>
      <w:r>
        <w:rPr>
          <w:rFonts w:ascii="Cambria Math"/>
          <w:spacing w:val="-11"/>
          <w:sz w:val="24"/>
        </w:rPr>
        <w:t> </w:t>
      </w:r>
      <w:r>
        <w:rPr>
          <w:rFonts w:ascii="Cambria Math"/>
          <w:spacing w:val="-15"/>
          <w:w w:val="314"/>
          <w:sz w:val="24"/>
        </w:rPr>
        <w:t> </w:t>
      </w:r>
      <w:r>
        <w:rPr>
          <w:rFonts w:ascii="Cambria Math"/>
          <w:spacing w:val="4"/>
          <w:w w:val="200"/>
          <w:position w:val="-4"/>
          <w:sz w:val="17"/>
        </w:rPr>
        <w:t> </w:t>
      </w:r>
      <w:r>
        <w:rPr>
          <w:rFonts w:ascii="Cambria Math"/>
          <w:w w:val="331"/>
          <w:position w:val="-4"/>
          <w:sz w:val="17"/>
        </w:rPr>
        <w:t> </w:t>
      </w:r>
      <w:r>
        <w:rPr>
          <w:rFonts w:ascii="Cambria Math"/>
          <w:spacing w:val="9"/>
          <w:w w:val="263"/>
          <w:position w:val="-4"/>
          <w:sz w:val="17"/>
        </w:rPr>
        <w:t> </w:t>
      </w:r>
      <w:r>
        <w:rPr>
          <w:rFonts w:ascii="Cambria Math"/>
          <w:w w:val="188"/>
          <w:sz w:val="24"/>
        </w:rPr>
        <w:t> </w:t>
      </w:r>
      <w:r>
        <w:rPr>
          <w:rFonts w:ascii="Cambria Math"/>
          <w:sz w:val="24"/>
        </w:rPr>
        <w:tab/>
      </w:r>
      <w:r>
        <w:rPr>
          <w:sz w:val="24"/>
        </w:rPr>
        <w:t>(1.18)</w:t>
      </w:r>
    </w:p>
    <w:p>
      <w:pPr>
        <w:pStyle w:val="BodyText"/>
        <w:spacing w:line="367" w:lineRule="auto" w:before="147"/>
        <w:ind w:left="102" w:right="118" w:firstLine="707"/>
        <w:jc w:val="both"/>
      </w:pPr>
      <w:r>
        <w:rPr/>
        <w:t>Donde: es el ingreso real del gobierno; es el gasto primario real del gobierno excluyendo los pagos de intereses;     es la tasa de interés de la deuda pública;      es el   nivel de endeudamiento público del periodo</w:t>
      </w:r>
      <w:r>
        <w:rPr>
          <w:spacing w:val="-5"/>
        </w:rPr>
        <w:t> </w:t>
      </w:r>
      <w:r>
        <w:rPr/>
        <w:t>anterior.</w:t>
      </w:r>
    </w:p>
    <w:p>
      <w:pPr>
        <w:pStyle w:val="BodyText"/>
        <w:spacing w:line="360" w:lineRule="auto"/>
        <w:ind w:left="102" w:right="118" w:firstLine="707"/>
        <w:jc w:val="both"/>
      </w:pPr>
      <w:r>
        <w:rPr/>
        <w:t>En función de los determinantes de (1.18) se presenta la restricción intertemporal de endeudamiento:</w:t>
      </w:r>
    </w:p>
    <w:p>
      <w:pPr>
        <w:spacing w:before="8"/>
        <w:ind w:left="2134" w:right="127" w:firstLine="0"/>
        <w:jc w:val="left"/>
        <w:rPr>
          <w:sz w:val="24"/>
        </w:rPr>
      </w:pPr>
      <w:r>
        <w:rPr>
          <w:rFonts w:ascii="Cambria Math"/>
          <w:w w:val="286"/>
          <w:sz w:val="24"/>
        </w:rPr>
        <w:t> </w:t>
      </w:r>
      <w:r>
        <w:rPr>
          <w:rFonts w:ascii="Cambria Math"/>
          <w:sz w:val="24"/>
        </w:rPr>
        <w:t> </w:t>
      </w:r>
      <w:r>
        <w:rPr>
          <w:rFonts w:ascii="Cambria Math"/>
          <w:w w:val="234"/>
          <w:sz w:val="24"/>
        </w:rPr>
        <w:t>  </w:t>
      </w:r>
      <w:r>
        <w:rPr>
          <w:rFonts w:ascii="Cambria Math"/>
          <w:w w:val="262"/>
          <w:sz w:val="24"/>
        </w:rPr>
        <w:t>  </w:t>
      </w:r>
      <w:r>
        <w:rPr>
          <w:rFonts w:ascii="Cambria Math"/>
          <w:w w:val="200"/>
          <w:position w:val="-4"/>
          <w:sz w:val="17"/>
        </w:rPr>
        <w:t> </w:t>
      </w:r>
      <w:r>
        <w:rPr>
          <w:rFonts w:ascii="Cambria Math"/>
          <w:position w:val="-4"/>
          <w:sz w:val="17"/>
        </w:rPr>
        <w:t>  </w:t>
      </w:r>
      <w:r>
        <w:rPr>
          <w:rFonts w:ascii="Cambria Math"/>
          <w:w w:val="339"/>
          <w:sz w:val="24"/>
        </w:rPr>
        <w:t> </w:t>
      </w:r>
      <w:r>
        <w:rPr>
          <w:rFonts w:ascii="Cambria Math"/>
          <w:sz w:val="24"/>
        </w:rPr>
        <w:t> </w:t>
      </w:r>
      <w:r>
        <w:rPr>
          <w:rFonts w:ascii="Cambria Math"/>
          <w:w w:val="143"/>
          <w:sz w:val="24"/>
        </w:rPr>
        <w:t> </w:t>
      </w:r>
      <w:r>
        <w:rPr>
          <w:rFonts w:ascii="Cambria Math"/>
          <w:w w:val="200"/>
          <w:position w:val="-4"/>
          <w:sz w:val="17"/>
        </w:rPr>
        <w:t> </w:t>
      </w:r>
      <w:r>
        <w:rPr>
          <w:rFonts w:ascii="Cambria Math"/>
          <w:w w:val="314"/>
          <w:sz w:val="24"/>
        </w:rPr>
        <w:t> </w:t>
      </w:r>
      <w:r>
        <w:rPr>
          <w:rFonts w:ascii="Cambria Math"/>
          <w:w w:val="200"/>
          <w:position w:val="-4"/>
          <w:sz w:val="17"/>
        </w:rPr>
        <w:t> </w:t>
      </w:r>
      <w:r>
        <w:rPr>
          <w:rFonts w:ascii="Cambria Math"/>
          <w:w w:val="331"/>
          <w:position w:val="-4"/>
          <w:sz w:val="17"/>
        </w:rPr>
        <w:t> </w:t>
      </w:r>
      <w:r>
        <w:rPr>
          <w:rFonts w:ascii="Cambria Math"/>
          <w:w w:val="263"/>
          <w:position w:val="-4"/>
          <w:sz w:val="17"/>
        </w:rPr>
        <w:t> </w:t>
      </w:r>
      <w:r>
        <w:rPr>
          <w:rFonts w:ascii="Cambria Math"/>
          <w:position w:val="-4"/>
          <w:sz w:val="17"/>
        </w:rPr>
        <w:t>  </w:t>
      </w:r>
      <w:r>
        <w:rPr>
          <w:rFonts w:ascii="Cambria Math"/>
          <w:w w:val="339"/>
          <w:sz w:val="24"/>
        </w:rPr>
        <w:t> </w:t>
      </w:r>
      <w:r>
        <w:rPr>
          <w:rFonts w:ascii="Cambria Math"/>
          <w:sz w:val="24"/>
        </w:rPr>
        <w:t>  </w:t>
      </w:r>
      <w:r>
        <w:rPr>
          <w:rFonts w:ascii="Cambria Math"/>
          <w:w w:val="172"/>
          <w:sz w:val="24"/>
        </w:rPr>
        <w:t> </w:t>
      </w:r>
      <w:r>
        <w:rPr>
          <w:rFonts w:ascii="Cambria Math"/>
          <w:w w:val="200"/>
          <w:position w:val="-4"/>
          <w:sz w:val="17"/>
        </w:rPr>
        <w:t> </w:t>
      </w:r>
      <w:r>
        <w:rPr>
          <w:rFonts w:ascii="Cambria Math"/>
          <w:position w:val="-4"/>
          <w:sz w:val="17"/>
        </w:rPr>
        <w:t>  </w:t>
      </w:r>
      <w:r>
        <w:rPr>
          <w:rFonts w:ascii="Cambria Math"/>
          <w:w w:val="339"/>
          <w:sz w:val="24"/>
        </w:rPr>
        <w:t> </w:t>
      </w:r>
      <w:r>
        <w:rPr>
          <w:rFonts w:ascii="Cambria Math"/>
          <w:sz w:val="24"/>
        </w:rPr>
        <w:t> </w:t>
      </w:r>
      <w:r>
        <w:rPr>
          <w:rFonts w:ascii="Cambria Math"/>
          <w:w w:val="270"/>
          <w:sz w:val="24"/>
        </w:rPr>
        <w:t> </w:t>
      </w:r>
      <w:r>
        <w:rPr>
          <w:rFonts w:ascii="Cambria Math"/>
          <w:w w:val="314"/>
          <w:sz w:val="24"/>
        </w:rPr>
        <w:t> </w:t>
      </w:r>
      <w:r>
        <w:rPr>
          <w:rFonts w:ascii="Cambria Math"/>
          <w:w w:val="200"/>
          <w:position w:val="-4"/>
          <w:sz w:val="17"/>
        </w:rPr>
        <w:t> </w:t>
      </w:r>
      <w:r>
        <w:rPr>
          <w:rFonts w:ascii="Cambria Math"/>
          <w:position w:val="-4"/>
          <w:sz w:val="17"/>
        </w:rPr>
        <w:t>  </w:t>
      </w:r>
      <w:r>
        <w:rPr>
          <w:rFonts w:ascii="Cambria Math"/>
          <w:w w:val="339"/>
          <w:sz w:val="24"/>
        </w:rPr>
        <w:t> </w:t>
      </w:r>
      <w:r>
        <w:rPr>
          <w:rFonts w:ascii="Cambria Math"/>
          <w:sz w:val="24"/>
        </w:rPr>
        <w:t> </w:t>
      </w:r>
      <w:r>
        <w:rPr>
          <w:rFonts w:ascii="Cambria Math"/>
          <w:w w:val="270"/>
          <w:sz w:val="24"/>
        </w:rPr>
        <w:t>  </w:t>
      </w:r>
      <w:r>
        <w:rPr>
          <w:rFonts w:ascii="Cambria Math"/>
          <w:w w:val="93"/>
          <w:sz w:val="24"/>
        </w:rPr>
        <w:t> </w:t>
      </w:r>
      <w:r>
        <w:rPr>
          <w:rFonts w:ascii="Cambria Math"/>
          <w:sz w:val="24"/>
        </w:rPr>
        <w:t> </w:t>
      </w:r>
      <w:r>
        <w:rPr>
          <w:rFonts w:ascii="Cambria Math"/>
          <w:w w:val="283"/>
          <w:sz w:val="24"/>
        </w:rPr>
        <w:t> </w:t>
      </w:r>
      <w:r>
        <w:rPr>
          <w:rFonts w:ascii="Cambria Math"/>
          <w:w w:val="210"/>
          <w:sz w:val="24"/>
        </w:rPr>
        <w:t>  </w:t>
      </w:r>
      <w:r>
        <w:rPr>
          <w:rFonts w:ascii="Cambria Math"/>
          <w:w w:val="200"/>
          <w:position w:val="-4"/>
          <w:sz w:val="17"/>
        </w:rPr>
        <w:t> </w:t>
      </w:r>
      <w:r>
        <w:rPr>
          <w:rFonts w:ascii="Cambria Math"/>
          <w:position w:val="-4"/>
          <w:sz w:val="17"/>
        </w:rPr>
        <w:t>    </w:t>
      </w:r>
      <w:r>
        <w:rPr>
          <w:sz w:val="24"/>
        </w:rPr>
        <w:t>(1.19)</w:t>
      </w:r>
    </w:p>
    <w:p>
      <w:pPr>
        <w:pStyle w:val="BodyText"/>
        <w:spacing w:before="1"/>
        <w:rPr>
          <w:sz w:val="36"/>
        </w:rPr>
      </w:pPr>
    </w:p>
    <w:p>
      <w:pPr>
        <w:pStyle w:val="BodyText"/>
        <w:spacing w:line="362" w:lineRule="auto"/>
        <w:ind w:left="102" w:right="120" w:firstLine="707"/>
        <w:jc w:val="both"/>
      </w:pPr>
      <w:r>
        <w:rPr/>
        <w:t>De forma anterior, se estableció que a partir de (1.19 ) se puede obtener la deuda pública, donde el balance primario           corresponde a la diferencia entre ingresos fiscales y el gasto primario:</w:t>
      </w:r>
    </w:p>
    <w:p>
      <w:pPr>
        <w:spacing w:before="6"/>
        <w:ind w:left="2230" w:right="127" w:firstLine="0"/>
        <w:jc w:val="left"/>
        <w:rPr>
          <w:sz w:val="24"/>
        </w:rPr>
      </w:pPr>
      <w:r>
        <w:rPr>
          <w:rFonts w:ascii="Cambria Math"/>
          <w:w w:val="314"/>
          <w:sz w:val="24"/>
        </w:rPr>
        <w:t> </w:t>
      </w:r>
      <w:r>
        <w:rPr>
          <w:rFonts w:ascii="Cambria Math"/>
          <w:w w:val="200"/>
          <w:position w:val="-4"/>
          <w:sz w:val="17"/>
        </w:rPr>
        <w:t> </w:t>
      </w:r>
      <w:r>
        <w:rPr>
          <w:rFonts w:ascii="Cambria Math"/>
          <w:position w:val="-4"/>
          <w:sz w:val="17"/>
        </w:rPr>
        <w:t>  </w:t>
      </w:r>
      <w:r>
        <w:rPr>
          <w:rFonts w:ascii="Cambria Math"/>
          <w:w w:val="339"/>
          <w:sz w:val="24"/>
        </w:rPr>
        <w:t> </w:t>
      </w:r>
      <w:r>
        <w:rPr>
          <w:rFonts w:ascii="Cambria Math"/>
          <w:sz w:val="24"/>
        </w:rPr>
        <w:t> </w:t>
      </w:r>
      <w:r>
        <w:rPr>
          <w:rFonts w:ascii="Cambria Math"/>
          <w:w w:val="314"/>
          <w:sz w:val="24"/>
        </w:rPr>
        <w:t> </w:t>
      </w:r>
      <w:r>
        <w:rPr>
          <w:rFonts w:ascii="Cambria Math"/>
          <w:w w:val="200"/>
          <w:position w:val="-4"/>
          <w:sz w:val="17"/>
        </w:rPr>
        <w:t> </w:t>
      </w:r>
      <w:r>
        <w:rPr>
          <w:rFonts w:ascii="Cambria Math"/>
          <w:w w:val="331"/>
          <w:position w:val="-4"/>
          <w:sz w:val="17"/>
        </w:rPr>
        <w:t> </w:t>
      </w:r>
      <w:r>
        <w:rPr>
          <w:rFonts w:ascii="Cambria Math"/>
          <w:w w:val="263"/>
          <w:position w:val="-4"/>
          <w:sz w:val="17"/>
        </w:rPr>
        <w:t> </w:t>
      </w:r>
      <w:r>
        <w:rPr>
          <w:rFonts w:ascii="Cambria Math"/>
          <w:position w:val="-4"/>
          <w:sz w:val="17"/>
        </w:rPr>
        <w:t>  </w:t>
      </w:r>
      <w:r>
        <w:rPr>
          <w:rFonts w:ascii="Cambria Math"/>
          <w:w w:val="339"/>
          <w:sz w:val="24"/>
        </w:rPr>
        <w:t> </w:t>
      </w:r>
      <w:r>
        <w:rPr>
          <w:rFonts w:ascii="Cambria Math"/>
          <w:sz w:val="24"/>
        </w:rPr>
        <w:t> </w:t>
      </w:r>
      <w:r>
        <w:rPr>
          <w:rFonts w:ascii="Cambria Math"/>
          <w:w w:val="143"/>
          <w:sz w:val="24"/>
        </w:rPr>
        <w:t> </w:t>
      </w:r>
      <w:r>
        <w:rPr>
          <w:rFonts w:ascii="Cambria Math"/>
          <w:w w:val="200"/>
          <w:position w:val="-4"/>
          <w:sz w:val="17"/>
        </w:rPr>
        <w:t> </w:t>
      </w:r>
      <w:r>
        <w:rPr>
          <w:rFonts w:ascii="Cambria Math"/>
          <w:w w:val="314"/>
          <w:sz w:val="24"/>
        </w:rPr>
        <w:t> </w:t>
      </w:r>
      <w:r>
        <w:rPr>
          <w:rFonts w:ascii="Cambria Math"/>
          <w:w w:val="200"/>
          <w:position w:val="-4"/>
          <w:sz w:val="17"/>
        </w:rPr>
        <w:t> </w:t>
      </w:r>
      <w:r>
        <w:rPr>
          <w:rFonts w:ascii="Cambria Math"/>
          <w:w w:val="331"/>
          <w:position w:val="-4"/>
          <w:sz w:val="17"/>
        </w:rPr>
        <w:t> </w:t>
      </w:r>
      <w:r>
        <w:rPr>
          <w:rFonts w:ascii="Cambria Math"/>
          <w:w w:val="263"/>
          <w:position w:val="-4"/>
          <w:sz w:val="17"/>
        </w:rPr>
        <w:t> </w:t>
      </w:r>
      <w:r>
        <w:rPr>
          <w:rFonts w:ascii="Cambria Math"/>
          <w:position w:val="-4"/>
          <w:sz w:val="17"/>
        </w:rPr>
        <w:t>  </w:t>
      </w:r>
      <w:r>
        <w:rPr>
          <w:rFonts w:ascii="Cambria Math"/>
          <w:w w:val="339"/>
          <w:sz w:val="24"/>
        </w:rPr>
        <w:t> </w:t>
      </w:r>
      <w:r>
        <w:rPr>
          <w:rFonts w:ascii="Cambria Math"/>
          <w:sz w:val="24"/>
        </w:rPr>
        <w:t>  </w:t>
      </w:r>
      <w:r>
        <w:rPr>
          <w:rFonts w:ascii="Cambria Math"/>
          <w:w w:val="297"/>
          <w:sz w:val="24"/>
        </w:rPr>
        <w:t> </w:t>
      </w:r>
      <w:r>
        <w:rPr>
          <w:rFonts w:ascii="Cambria Math"/>
          <w:w w:val="281"/>
          <w:sz w:val="24"/>
        </w:rPr>
        <w:t> </w:t>
      </w:r>
      <w:r>
        <w:rPr>
          <w:rFonts w:ascii="Cambria Math"/>
          <w:w w:val="200"/>
          <w:position w:val="-4"/>
          <w:sz w:val="17"/>
        </w:rPr>
        <w:t> </w:t>
      </w:r>
      <w:r>
        <w:rPr>
          <w:rFonts w:ascii="Cambria Math"/>
          <w:position w:val="-4"/>
          <w:sz w:val="17"/>
        </w:rPr>
        <w:t>  </w:t>
      </w:r>
      <w:r>
        <w:rPr>
          <w:rFonts w:ascii="Cambria Math"/>
          <w:w w:val="339"/>
          <w:sz w:val="24"/>
        </w:rPr>
        <w:t> </w:t>
      </w:r>
      <w:r>
        <w:rPr>
          <w:rFonts w:ascii="Cambria Math"/>
          <w:sz w:val="24"/>
        </w:rPr>
        <w:t>  </w:t>
      </w:r>
      <w:r>
        <w:rPr>
          <w:rFonts w:ascii="Cambria Math"/>
          <w:w w:val="270"/>
          <w:sz w:val="24"/>
        </w:rPr>
        <w:t>  </w:t>
      </w:r>
      <w:r>
        <w:rPr>
          <w:rFonts w:ascii="Cambria Math"/>
          <w:w w:val="93"/>
          <w:sz w:val="24"/>
        </w:rPr>
        <w:t> </w:t>
      </w:r>
      <w:r>
        <w:rPr>
          <w:rFonts w:ascii="Cambria Math"/>
          <w:sz w:val="24"/>
        </w:rPr>
        <w:t> </w:t>
      </w:r>
      <w:r>
        <w:rPr>
          <w:rFonts w:ascii="Cambria Math"/>
          <w:w w:val="283"/>
          <w:sz w:val="24"/>
        </w:rPr>
        <w:t> </w:t>
      </w:r>
      <w:r>
        <w:rPr>
          <w:rFonts w:ascii="Cambria Math"/>
          <w:w w:val="210"/>
          <w:sz w:val="24"/>
        </w:rPr>
        <w:t>  </w:t>
      </w:r>
      <w:r>
        <w:rPr>
          <w:rFonts w:ascii="Cambria Math"/>
          <w:w w:val="200"/>
          <w:position w:val="-4"/>
          <w:sz w:val="17"/>
        </w:rPr>
        <w:t> </w:t>
      </w:r>
      <w:r>
        <w:rPr>
          <w:rFonts w:ascii="Cambria Math"/>
          <w:position w:val="-4"/>
          <w:sz w:val="17"/>
        </w:rPr>
        <w:t>     </w:t>
      </w:r>
      <w:r>
        <w:rPr>
          <w:sz w:val="24"/>
        </w:rPr>
        <w:t>(1.20)</w:t>
      </w:r>
    </w:p>
    <w:p>
      <w:pPr>
        <w:pStyle w:val="BodyText"/>
        <w:rPr>
          <w:sz w:val="26"/>
        </w:rPr>
      </w:pPr>
    </w:p>
    <w:p>
      <w:pPr>
        <w:pStyle w:val="BodyText"/>
        <w:spacing w:before="7"/>
        <w:rPr>
          <w:sz w:val="22"/>
        </w:rPr>
      </w:pPr>
    </w:p>
    <w:p>
      <w:pPr>
        <w:pStyle w:val="BodyText"/>
        <w:ind w:left="810" w:right="127"/>
      </w:pPr>
      <w:r>
        <w:rPr/>
        <w:t>Si la ecuación  (1.20) se divide por el PIB       , se obtiene:</w:t>
      </w:r>
    </w:p>
    <w:p>
      <w:pPr>
        <w:pStyle w:val="BodyText"/>
        <w:rPr>
          <w:sz w:val="20"/>
        </w:rPr>
      </w:pPr>
    </w:p>
    <w:p>
      <w:pPr>
        <w:pStyle w:val="BodyText"/>
        <w:rPr>
          <w:sz w:val="20"/>
        </w:rPr>
      </w:pPr>
    </w:p>
    <w:p>
      <w:pPr>
        <w:pStyle w:val="BodyText"/>
        <w:spacing w:before="7"/>
        <w:rPr>
          <w:sz w:val="17"/>
        </w:rPr>
      </w:pPr>
    </w:p>
    <w:p>
      <w:pPr>
        <w:pStyle w:val="BodyText"/>
        <w:spacing w:before="69"/>
        <w:ind w:right="1699"/>
        <w:jc w:val="right"/>
      </w:pPr>
      <w:r>
        <w:rPr/>
        <w:pict>
          <v:line style="position:absolute;mso-position-horizontal-relative:page;mso-position-vertical-relative:paragraph;z-index:2152" from="164.059998pt,10.153122pt" to="176.539998pt,10.153122pt" stroked="true" strokeweight="1.08pt" strokecolor="#000000">
            <w10:wrap type="none"/>
          </v:line>
        </w:pict>
      </w:r>
      <w:r>
        <w:rPr/>
        <w:pict>
          <v:line style="position:absolute;mso-position-horizontal-relative:page;mso-position-vertical-relative:paragraph;z-index:2176" from="197.419998pt,10.153122pt" to="222.643998pt,10.153122pt" stroked="true" strokeweight="1.08pt" strokecolor="#000000">
            <w10:wrap type="none"/>
          </v:line>
        </w:pict>
      </w:r>
      <w:r>
        <w:rPr/>
        <w:pict>
          <v:line style="position:absolute;mso-position-horizontal-relative:page;mso-position-vertical-relative:paragraph;z-index:2200" from="241.729996pt,10.153122pt" to="307.129996pt,10.153122pt" stroked="true" strokeweight="1.08pt" strokecolor="#000000">
            <w10:wrap type="none"/>
          </v:line>
        </w:pict>
      </w:r>
      <w:r>
        <w:rPr/>
        <w:pict>
          <v:line style="position:absolute;mso-position-horizontal-relative:page;mso-position-vertical-relative:paragraph;z-index:2224" from="326.089996pt,10.153122pt" to="346.249996pt,10.153122pt" stroked="true" strokeweight="1.08pt" strokecolor="#000000">
            <w10:wrap type="none"/>
          </v:line>
        </w:pict>
      </w:r>
      <w:r>
        <w:rPr/>
        <w:pict>
          <v:line style="position:absolute;mso-position-horizontal-relative:page;mso-position-vertical-relative:paragraph;z-index:2248" from="365.350006pt,10.153122pt" to="407.110006pt,10.153122pt" stroked="true" strokeweight="1.08pt" strokecolor="#000000">
            <w10:wrap type="none"/>
          </v:line>
        </w:pict>
      </w:r>
      <w:r>
        <w:rPr/>
        <w:t>(1.21)</w:t>
      </w:r>
    </w:p>
    <w:p>
      <w:pPr>
        <w:spacing w:after="0"/>
        <w:jc w:val="right"/>
        <w:sectPr>
          <w:pgSz w:w="12250" w:h="15850"/>
          <w:pgMar w:header="0" w:footer="1037" w:top="1360" w:bottom="1220" w:left="1600" w:right="1580"/>
        </w:sectPr>
      </w:pPr>
    </w:p>
    <w:p>
      <w:pPr>
        <w:pStyle w:val="BodyText"/>
        <w:spacing w:before="50"/>
        <w:ind w:left="810" w:right="127"/>
      </w:pPr>
      <w:r>
        <w:rPr/>
        <w:t>La ecuación (1.21) se puede abreviar como:</w:t>
      </w:r>
    </w:p>
    <w:p>
      <w:pPr>
        <w:pStyle w:val="BodyText"/>
        <w:spacing w:before="8"/>
        <w:rPr>
          <w:sz w:val="22"/>
        </w:rPr>
      </w:pPr>
    </w:p>
    <w:p>
      <w:pPr>
        <w:tabs>
          <w:tab w:pos="1224" w:val="left" w:leader="none"/>
          <w:tab w:pos="2825" w:val="left" w:leader="none"/>
          <w:tab w:pos="5057" w:val="left" w:leader="none"/>
        </w:tabs>
        <w:spacing w:line="184" w:lineRule="exact" w:before="0"/>
        <w:ind w:left="0" w:right="17" w:firstLine="0"/>
        <w:jc w:val="center"/>
        <w:rPr>
          <w:sz w:val="24"/>
        </w:rPr>
      </w:pPr>
      <w:r>
        <w:rPr/>
        <w:pict>
          <v:line style="position:absolute;mso-position-horizontal-relative:page;mso-position-vertical-relative:paragraph;z-index:-569824" from="239.929993pt,7.24313pt" to="274.609993pt,7.24313pt" stroked="true" strokeweight=".96pt" strokecolor="#000000">
            <w10:wrap type="none"/>
          </v:line>
        </w:pict>
      </w:r>
      <w:r>
        <w:rPr>
          <w:rFonts w:ascii="Cambria Math"/>
          <w:w w:val="264"/>
          <w:sz w:val="28"/>
        </w:rPr>
        <w:t> </w:t>
      </w:r>
      <w:r>
        <w:rPr>
          <w:rFonts w:ascii="Cambria Math"/>
          <w:sz w:val="28"/>
        </w:rPr>
        <w:t>  </w:t>
      </w:r>
      <w:r>
        <w:rPr>
          <w:rFonts w:ascii="Cambria Math"/>
          <w:spacing w:val="-3"/>
          <w:sz w:val="28"/>
        </w:rPr>
        <w:t> </w:t>
      </w:r>
      <w:r>
        <w:rPr>
          <w:rFonts w:ascii="Cambria Math"/>
          <w:w w:val="340"/>
          <w:sz w:val="28"/>
        </w:rPr>
        <w:t> </w:t>
      </w:r>
      <w:r>
        <w:rPr>
          <w:rFonts w:ascii="Cambria Math"/>
          <w:spacing w:val="14"/>
          <w:sz w:val="28"/>
        </w:rPr>
        <w:t> </w:t>
      </w:r>
      <w:r>
        <w:rPr>
          <w:rFonts w:ascii="Cambria Math"/>
          <w:w w:val="264"/>
          <w:sz w:val="28"/>
        </w:rPr>
        <w:t> </w:t>
      </w:r>
      <w:r>
        <w:rPr>
          <w:rFonts w:ascii="Cambria Math"/>
          <w:sz w:val="28"/>
        </w:rPr>
        <w:tab/>
      </w:r>
      <w:r>
        <w:rPr>
          <w:rFonts w:ascii="Cambria Math"/>
          <w:w w:val="340"/>
          <w:sz w:val="28"/>
        </w:rPr>
        <w:t> </w:t>
      </w:r>
      <w:r>
        <w:rPr>
          <w:rFonts w:ascii="Cambria Math"/>
          <w:spacing w:val="-1"/>
          <w:sz w:val="28"/>
        </w:rPr>
        <w:t> </w:t>
      </w:r>
      <w:r>
        <w:rPr>
          <w:rFonts w:ascii="Cambria Math"/>
          <w:spacing w:val="-2"/>
          <w:w w:val="187"/>
          <w:position w:val="17"/>
          <w:sz w:val="20"/>
        </w:rPr>
        <w:t> </w:t>
      </w:r>
      <w:r>
        <w:rPr>
          <w:rFonts w:ascii="Cambria Math"/>
          <w:spacing w:val="-19"/>
          <w:w w:val="239"/>
          <w:position w:val="17"/>
          <w:sz w:val="20"/>
        </w:rPr>
        <w:t> </w:t>
      </w:r>
      <w:r>
        <w:rPr>
          <w:rFonts w:ascii="Cambria Math"/>
          <w:spacing w:val="7"/>
          <w:w w:val="215"/>
          <w:position w:val="12"/>
          <w:sz w:val="16"/>
        </w:rPr>
        <w:t> </w:t>
      </w:r>
      <w:r>
        <w:rPr>
          <w:rFonts w:ascii="Cambria Math"/>
          <w:spacing w:val="1"/>
          <w:w w:val="329"/>
          <w:position w:val="17"/>
          <w:sz w:val="20"/>
        </w:rPr>
        <w:t> </w:t>
      </w:r>
      <w:r>
        <w:rPr>
          <w:rFonts w:ascii="Cambria Math"/>
          <w:spacing w:val="-5"/>
          <w:w w:val="298"/>
          <w:position w:val="17"/>
          <w:sz w:val="20"/>
        </w:rPr>
        <w:t> </w:t>
      </w:r>
      <w:r>
        <w:rPr>
          <w:rFonts w:ascii="Cambria Math"/>
          <w:spacing w:val="7"/>
          <w:w w:val="215"/>
          <w:position w:val="12"/>
          <w:sz w:val="16"/>
        </w:rPr>
        <w:t> </w:t>
      </w:r>
      <w:r>
        <w:rPr>
          <w:rFonts w:ascii="Cambria Math"/>
          <w:w w:val="187"/>
          <w:position w:val="17"/>
          <w:sz w:val="20"/>
        </w:rPr>
        <w:t> </w:t>
      </w:r>
      <w:r>
        <w:rPr>
          <w:rFonts w:ascii="Cambria Math"/>
          <w:spacing w:val="2"/>
          <w:position w:val="17"/>
          <w:sz w:val="20"/>
        </w:rPr>
        <w:t> </w:t>
      </w:r>
      <w:r>
        <w:rPr>
          <w:rFonts w:ascii="Cambria Math"/>
          <w:w w:val="264"/>
          <w:sz w:val="28"/>
        </w:rPr>
        <w:t> </w:t>
      </w:r>
      <w:r>
        <w:rPr>
          <w:rFonts w:ascii="Cambria Math"/>
          <w:sz w:val="28"/>
        </w:rPr>
        <w:tab/>
      </w:r>
      <w:r>
        <w:rPr>
          <w:rFonts w:ascii="Cambria Math"/>
          <w:w w:val="340"/>
          <w:sz w:val="28"/>
        </w:rPr>
        <w:t> </w:t>
      </w:r>
      <w:r>
        <w:rPr>
          <w:rFonts w:ascii="Cambria Math"/>
          <w:sz w:val="28"/>
        </w:rPr>
        <w:t>  </w:t>
      </w:r>
      <w:r>
        <w:rPr>
          <w:rFonts w:ascii="Cambria Math"/>
          <w:spacing w:val="-1"/>
          <w:w w:val="249"/>
          <w:sz w:val="28"/>
        </w:rPr>
        <w:t> </w:t>
      </w:r>
      <w:r>
        <w:rPr>
          <w:rFonts w:ascii="Cambria Math"/>
          <w:w w:val="249"/>
          <w:sz w:val="28"/>
        </w:rPr>
        <w:t> </w:t>
      </w:r>
      <w:r>
        <w:rPr>
          <w:rFonts w:ascii="Cambria Math"/>
          <w:sz w:val="28"/>
        </w:rPr>
        <w:t>  </w:t>
      </w:r>
      <w:r>
        <w:rPr>
          <w:rFonts w:ascii="Cambria Math"/>
          <w:spacing w:val="-28"/>
          <w:sz w:val="28"/>
        </w:rPr>
        <w:t> </w:t>
      </w:r>
      <w:r>
        <w:rPr>
          <w:rFonts w:ascii="Cambria Math"/>
          <w:w w:val="340"/>
          <w:sz w:val="28"/>
        </w:rPr>
        <w:t> </w:t>
      </w:r>
      <w:r>
        <w:rPr>
          <w:rFonts w:ascii="Cambria Math"/>
          <w:sz w:val="28"/>
        </w:rPr>
        <w:t> </w:t>
      </w:r>
      <w:r>
        <w:rPr>
          <w:rFonts w:ascii="Cambria Math"/>
          <w:spacing w:val="-2"/>
          <w:sz w:val="28"/>
        </w:rPr>
        <w:t> </w:t>
      </w:r>
      <w:r>
        <w:rPr>
          <w:rFonts w:ascii="Cambria Math"/>
          <w:spacing w:val="-1"/>
          <w:w w:val="254"/>
          <w:sz w:val="28"/>
        </w:rPr>
        <w:t> </w:t>
      </w:r>
      <w:r>
        <w:rPr>
          <w:rFonts w:ascii="Cambria Math"/>
          <w:spacing w:val="5"/>
          <w:w w:val="254"/>
          <w:sz w:val="28"/>
        </w:rPr>
        <w:t> </w:t>
      </w:r>
      <w:r>
        <w:rPr>
          <w:rFonts w:ascii="Cambria Math"/>
          <w:w w:val="93"/>
          <w:sz w:val="28"/>
        </w:rPr>
        <w:t> </w:t>
      </w:r>
      <w:r>
        <w:rPr>
          <w:rFonts w:ascii="Cambria Math"/>
          <w:spacing w:val="-17"/>
          <w:sz w:val="28"/>
        </w:rPr>
        <w:t> </w:t>
      </w:r>
      <w:r>
        <w:rPr>
          <w:rFonts w:ascii="Cambria Math"/>
          <w:w w:val="216"/>
          <w:sz w:val="28"/>
        </w:rPr>
        <w:t>   </w:t>
      </w:r>
      <w:r>
        <w:rPr>
          <w:rFonts w:ascii="Cambria Math"/>
          <w:sz w:val="28"/>
        </w:rPr>
        <w:tab/>
      </w:r>
      <w:r>
        <w:rPr>
          <w:sz w:val="24"/>
        </w:rPr>
        <w:t>(1.22)</w:t>
      </w:r>
    </w:p>
    <w:p>
      <w:pPr>
        <w:tabs>
          <w:tab w:pos="2497" w:val="left" w:leader="none"/>
          <w:tab w:pos="3224" w:val="left" w:leader="none"/>
          <w:tab w:pos="4100" w:val="left" w:leader="none"/>
          <w:tab w:pos="5159" w:val="left" w:leader="none"/>
          <w:tab w:pos="6474" w:val="left" w:leader="none"/>
        </w:tabs>
        <w:spacing w:line="142" w:lineRule="exact" w:before="0"/>
        <w:ind w:left="1866" w:right="0" w:firstLine="0"/>
        <w:jc w:val="left"/>
        <w:rPr>
          <w:rFonts w:ascii="Cambria Math"/>
          <w:sz w:val="20"/>
        </w:rPr>
      </w:pPr>
      <w:r>
        <w:rPr>
          <w:rFonts w:ascii="Cambria Math"/>
          <w:w w:val="199"/>
          <w:sz w:val="20"/>
        </w:rPr>
        <w:t> </w:t>
      </w:r>
      <w:r>
        <w:rPr>
          <w:rFonts w:ascii="Cambria Math"/>
          <w:sz w:val="20"/>
        </w:rPr>
        <w:tab/>
      </w:r>
      <w:r>
        <w:rPr>
          <w:rFonts w:ascii="Cambria Math"/>
          <w:spacing w:val="6"/>
          <w:w w:val="199"/>
          <w:sz w:val="20"/>
        </w:rPr>
        <w:t> </w:t>
      </w:r>
      <w:r>
        <w:rPr>
          <w:rFonts w:ascii="Cambria Math"/>
          <w:spacing w:val="1"/>
          <w:w w:val="329"/>
          <w:sz w:val="20"/>
        </w:rPr>
        <w:t> </w:t>
      </w:r>
      <w:r>
        <w:rPr>
          <w:rFonts w:ascii="Cambria Math"/>
          <w:w w:val="261"/>
          <w:sz w:val="20"/>
        </w:rPr>
        <w:t> </w:t>
      </w:r>
      <w:r>
        <w:rPr>
          <w:rFonts w:ascii="Cambria Math"/>
          <w:sz w:val="20"/>
        </w:rPr>
        <w:tab/>
      </w:r>
      <w:r>
        <w:rPr>
          <w:rFonts w:ascii="Cambria Math"/>
          <w:spacing w:val="1"/>
          <w:w w:val="187"/>
          <w:position w:val="-7"/>
          <w:sz w:val="20"/>
        </w:rPr>
        <w:t> </w:t>
      </w:r>
      <w:r>
        <w:rPr>
          <w:rFonts w:ascii="Cambria Math"/>
          <w:spacing w:val="-1"/>
          <w:w w:val="261"/>
          <w:position w:val="-7"/>
          <w:sz w:val="20"/>
        </w:rPr>
        <w:t> </w:t>
      </w:r>
      <w:r>
        <w:rPr>
          <w:rFonts w:ascii="Cambria Math"/>
          <w:spacing w:val="-1"/>
          <w:w w:val="329"/>
          <w:position w:val="-7"/>
          <w:sz w:val="20"/>
        </w:rPr>
        <w:t> </w:t>
      </w:r>
      <w:r>
        <w:rPr>
          <w:rFonts w:ascii="Cambria Math"/>
          <w:spacing w:val="-5"/>
          <w:w w:val="298"/>
          <w:position w:val="-7"/>
          <w:sz w:val="20"/>
        </w:rPr>
        <w:t> </w:t>
      </w:r>
      <w:r>
        <w:rPr>
          <w:rFonts w:ascii="Cambria Math"/>
          <w:spacing w:val="7"/>
          <w:w w:val="215"/>
          <w:position w:val="-11"/>
          <w:sz w:val="16"/>
        </w:rPr>
        <w:t> </w:t>
      </w:r>
      <w:r>
        <w:rPr>
          <w:rFonts w:ascii="Cambria Math"/>
          <w:w w:val="187"/>
          <w:position w:val="-7"/>
          <w:sz w:val="20"/>
        </w:rPr>
        <w:t> </w:t>
      </w:r>
      <w:r>
        <w:rPr>
          <w:rFonts w:ascii="Cambria Math"/>
          <w:position w:val="-7"/>
          <w:sz w:val="20"/>
        </w:rPr>
        <w:tab/>
      </w:r>
      <w:r>
        <w:rPr>
          <w:rFonts w:ascii="Cambria Math"/>
          <w:spacing w:val="3"/>
          <w:w w:val="199"/>
          <w:sz w:val="20"/>
        </w:rPr>
        <w:t> </w:t>
      </w:r>
      <w:r>
        <w:rPr>
          <w:rFonts w:ascii="Cambria Math"/>
          <w:spacing w:val="1"/>
          <w:w w:val="329"/>
          <w:sz w:val="20"/>
        </w:rPr>
        <w:t> </w:t>
      </w:r>
      <w:r>
        <w:rPr>
          <w:rFonts w:ascii="Cambria Math"/>
          <w:w w:val="261"/>
          <w:sz w:val="20"/>
        </w:rPr>
        <w:t> </w:t>
      </w:r>
      <w:r>
        <w:rPr>
          <w:rFonts w:ascii="Cambria Math"/>
          <w:sz w:val="20"/>
        </w:rPr>
        <w:tab/>
      </w:r>
      <w:r>
        <w:rPr>
          <w:rFonts w:ascii="Cambria Math"/>
          <w:w w:val="199"/>
          <w:sz w:val="20"/>
        </w:rPr>
        <w:t> </w:t>
      </w:r>
      <w:r>
        <w:rPr>
          <w:rFonts w:ascii="Cambria Math"/>
          <w:sz w:val="20"/>
        </w:rPr>
        <w:tab/>
      </w:r>
      <w:r>
        <w:rPr>
          <w:rFonts w:ascii="Cambria Math"/>
          <w:w w:val="199"/>
          <w:sz w:val="20"/>
        </w:rPr>
        <w:t> </w:t>
      </w:r>
    </w:p>
    <w:p>
      <w:pPr>
        <w:pStyle w:val="BodyText"/>
        <w:spacing w:line="360" w:lineRule="auto" w:before="245"/>
        <w:ind w:left="102" w:right="119" w:firstLine="707"/>
        <w:jc w:val="both"/>
      </w:pPr>
      <w:r>
        <w:rPr/>
        <w:t>En la ecuación (1.22) se señala la dinámica del comportamiento de la deuda pública con base en una relación directa entre el balance primario y la deuda pública: a mayor superávit fiscal primario menor endeudamiento público como proporción del PIB; en el  caso de déficit fiscal, la deuda pública a PIB se</w:t>
      </w:r>
      <w:r>
        <w:rPr>
          <w:spacing w:val="-14"/>
        </w:rPr>
        <w:t> </w:t>
      </w:r>
      <w:r>
        <w:rPr/>
        <w:t>incrementa.</w:t>
      </w:r>
    </w:p>
    <w:p>
      <w:pPr>
        <w:pStyle w:val="BodyText"/>
        <w:spacing w:line="362" w:lineRule="auto" w:before="6"/>
        <w:ind w:left="102" w:right="116" w:firstLine="707"/>
        <w:jc w:val="both"/>
      </w:pPr>
      <w:r>
        <w:rPr/>
        <w:t>Otros factores que inciden en el endeudamiento público son: el costo real de la deuda  pública         ,  la  tasa  de  crecimiento  real  del  producto         ,  la  ayuda   </w:t>
      </w:r>
      <w:r>
        <w:rPr>
          <w:spacing w:val="42"/>
        </w:rPr>
        <w:t> </w:t>
      </w:r>
      <w:r>
        <w:rPr/>
        <w:t>externa</w:t>
      </w:r>
    </w:p>
    <w:p>
      <w:pPr>
        <w:pStyle w:val="BodyText"/>
        <w:spacing w:line="362" w:lineRule="auto" w:before="11"/>
        <w:ind w:left="102" w:right="116"/>
        <w:jc w:val="both"/>
      </w:pPr>
      <w:r>
        <w:rPr>
          <w:rFonts w:ascii="Cambria Math" w:hAnsi="Cambria Math"/>
          <w:w w:val="188"/>
        </w:rPr>
        <w:t> </w:t>
      </w:r>
      <w:r>
        <w:rPr>
          <w:rFonts w:ascii="Cambria Math" w:hAnsi="Cambria Math"/>
          <w:w w:val="253"/>
        </w:rPr>
        <w:t>  </w:t>
      </w:r>
      <w:r>
        <w:rPr>
          <w:rFonts w:ascii="Cambria Math" w:hAnsi="Cambria Math"/>
          <w:w w:val="93"/>
        </w:rPr>
        <w:t> </w:t>
      </w:r>
      <w:r>
        <w:rPr>
          <w:rFonts w:ascii="Cambria Math" w:hAnsi="Cambria Math"/>
        </w:rPr>
        <w:t> </w:t>
      </w:r>
      <w:r>
        <w:rPr>
          <w:rFonts w:ascii="Cambria Math" w:hAnsi="Cambria Math"/>
          <w:w w:val="225"/>
        </w:rPr>
        <w:t> </w:t>
      </w:r>
      <w:r>
        <w:rPr>
          <w:rFonts w:ascii="Cambria Math" w:hAnsi="Cambria Math"/>
          <w:w w:val="210"/>
        </w:rPr>
        <w:t>  </w:t>
      </w:r>
      <w:r>
        <w:rPr>
          <w:rFonts w:ascii="Cambria Math" w:hAnsi="Cambria Math"/>
          <w:w w:val="200"/>
          <w:position w:val="-4"/>
          <w:sz w:val="17"/>
        </w:rPr>
        <w:t> </w:t>
      </w:r>
      <w:r>
        <w:rPr>
          <w:rFonts w:ascii="Cambria Math" w:hAnsi="Cambria Math"/>
          <w:w w:val="188"/>
        </w:rPr>
        <w:t> </w:t>
      </w:r>
      <w:r>
        <w:rPr>
          <w:rFonts w:ascii="Cambria Math" w:hAnsi="Cambria Math"/>
        </w:rPr>
        <w:t>  </w:t>
      </w:r>
      <w:r>
        <w:rPr/>
        <w:t>y  el  nivel  de  endeudamiento  pasado            .  La  expresión            / corresponde al costo real de la deuda pública ajustada por el crecimiento real del producto [tasa real de interés ajustada             ].</w:t>
      </w:r>
    </w:p>
    <w:p>
      <w:pPr>
        <w:pStyle w:val="BodyText"/>
        <w:spacing w:line="360" w:lineRule="auto" w:before="1"/>
        <w:ind w:left="102" w:right="121" w:firstLine="707"/>
        <w:jc w:val="both"/>
      </w:pPr>
      <w:r>
        <w:rPr/>
        <w:t>A partir de la ecuación 1.22 se pueden deducir las relaciones de la deuda pública en relación con el gasto público y el balance primario: a) un incremento en el gasto público, genera mayor déficit fiscal primario e incrementa el endeudamiento público b) un incremento en el déficit fiscal primario incrementa la deuda pública.</w:t>
      </w:r>
    </w:p>
    <w:p>
      <w:pPr>
        <w:pStyle w:val="BodyText"/>
        <w:spacing w:line="360" w:lineRule="auto" w:before="4"/>
        <w:ind w:left="102" w:right="121" w:firstLine="707"/>
        <w:jc w:val="both"/>
      </w:pPr>
      <w:r>
        <w:rPr/>
        <w:t>A manera de resumen en la </w:t>
      </w:r>
      <w:r>
        <w:rPr>
          <w:i/>
        </w:rPr>
        <w:t>cuadro 1.2 </w:t>
      </w:r>
      <w:r>
        <w:rPr/>
        <w:t>se mencionan los efectos esperados sobre el gasto público y el balance fiscal primario proveniente de un choque positivo en el gasto público:</w:t>
      </w:r>
    </w:p>
    <w:p>
      <w:pPr>
        <w:pStyle w:val="BodyText"/>
        <w:spacing w:line="360" w:lineRule="auto" w:before="6"/>
        <w:ind w:right="18"/>
        <w:jc w:val="center"/>
      </w:pPr>
      <w:bookmarkStart w:name="_bookmark8" w:id="13"/>
      <w:bookmarkEnd w:id="13"/>
      <w:r>
        <w:rPr/>
      </w:r>
      <w:r>
        <w:rPr/>
        <w:t>Cuadro 1. 2: Efecto esperado de un choque positivo del gasto público (gasto corriente o de capital) sobre la posición fiscal</w:t>
      </w:r>
    </w:p>
    <w:p>
      <w:pPr>
        <w:tabs>
          <w:tab w:pos="5717" w:val="left" w:leader="none"/>
          <w:tab w:pos="7295" w:val="left" w:leader="none"/>
        </w:tabs>
        <w:spacing w:before="30"/>
        <w:ind w:left="3717" w:right="127" w:firstLine="0"/>
        <w:jc w:val="left"/>
        <w:rPr>
          <w:rFonts w:ascii="Constantia"/>
          <w:b/>
          <w:sz w:val="20"/>
        </w:rPr>
      </w:pPr>
      <w:r>
        <w:rPr>
          <w:rFonts w:ascii="Constantia"/>
          <w:b/>
          <w:spacing w:val="-3"/>
          <w:w w:val="90"/>
          <w:sz w:val="20"/>
        </w:rPr>
        <w:t>Efecto</w:t>
      </w:r>
      <w:r>
        <w:rPr>
          <w:rFonts w:ascii="Constantia"/>
          <w:b/>
          <w:spacing w:val="-22"/>
          <w:w w:val="90"/>
          <w:sz w:val="20"/>
        </w:rPr>
        <w:t> </w:t>
      </w:r>
      <w:r>
        <w:rPr>
          <w:rFonts w:ascii="Constantia"/>
          <w:b/>
          <w:w w:val="90"/>
          <w:sz w:val="20"/>
        </w:rPr>
        <w:t>sobre:</w:t>
        <w:tab/>
        <w:t>Impacto:</w:t>
        <w:tab/>
      </w:r>
      <w:r>
        <w:rPr>
          <w:rFonts w:ascii="Constantia"/>
          <w:b/>
          <w:w w:val="95"/>
          <w:sz w:val="20"/>
        </w:rPr>
        <w:t>Perspectiva:</w:t>
      </w:r>
    </w:p>
    <w:p>
      <w:pPr>
        <w:pStyle w:val="BodyText"/>
        <w:spacing w:line="32" w:lineRule="exact"/>
        <w:ind w:left="1563"/>
        <w:rPr>
          <w:rFonts w:ascii="Constantia"/>
          <w:sz w:val="3"/>
        </w:rPr>
      </w:pPr>
      <w:r>
        <w:rPr>
          <w:rFonts w:ascii="Constantia"/>
          <w:position w:val="0"/>
          <w:sz w:val="3"/>
        </w:rPr>
        <w:pict>
          <v:group style="width:369.75pt;height:1.65pt;mso-position-horizontal-relative:char;mso-position-vertical-relative:line" coordorigin="0,0" coordsize="7395,33">
            <v:line style="position:absolute" from="10,6" to="7385,6" stroked="true" strokeweight=".525913pt" strokecolor="#000000"/>
            <v:line style="position:absolute" from="6,6" to="7389,6" stroked="true" strokeweight=".543443pt" strokecolor="#000000"/>
            <v:line style="position:absolute" from="10,27" to="7385,27" stroked="true" strokeweight=".525913pt" strokecolor="#000000"/>
            <v:line style="position:absolute" from="6,27" to="7389,27" stroked="true" strokeweight=".525913pt" strokecolor="#000000"/>
          </v:group>
        </w:pict>
      </w:r>
      <w:r>
        <w:rPr>
          <w:rFonts w:ascii="Constantia"/>
          <w:position w:val="0"/>
          <w:sz w:val="3"/>
        </w:rPr>
      </w:r>
    </w:p>
    <w:p>
      <w:pPr>
        <w:pStyle w:val="BodyText"/>
        <w:rPr>
          <w:rFonts w:ascii="Constantia"/>
          <w:b/>
          <w:sz w:val="20"/>
        </w:rPr>
      </w:pPr>
    </w:p>
    <w:p>
      <w:pPr>
        <w:pStyle w:val="BodyText"/>
        <w:rPr>
          <w:rFonts w:ascii="Constantia"/>
          <w:b/>
          <w:sz w:val="20"/>
        </w:rPr>
      </w:pPr>
    </w:p>
    <w:p>
      <w:pPr>
        <w:pStyle w:val="BodyText"/>
        <w:spacing w:before="10"/>
        <w:rPr>
          <w:rFonts w:ascii="Constantia"/>
          <w:b/>
          <w:sz w:val="19"/>
        </w:rPr>
      </w:pPr>
    </w:p>
    <w:p>
      <w:pPr>
        <w:spacing w:before="60"/>
        <w:ind w:left="341" w:right="127" w:firstLine="0"/>
        <w:jc w:val="left"/>
        <w:rPr>
          <w:rFonts w:ascii="Constantia" w:hAnsi="Constantia"/>
          <w:sz w:val="20"/>
        </w:rPr>
      </w:pPr>
      <w:r>
        <w:rPr/>
        <w:pict>
          <v:group style="position:absolute;margin-left:148.975876pt;margin-top:-28.456833pt;width:379pt;height:84.85pt;mso-position-horizontal-relative:page;mso-position-vertical-relative:paragraph;z-index:2488" coordorigin="2980,-569" coordsize="7580,1697">
            <v:line style="position:absolute" from="3174,1101" to="10549,1101" stroked="true" strokeweight=".525913pt" strokecolor="#000000"/>
            <v:line style="position:absolute" from="3169,1101" to="10553,1101" stroked="true" strokeweight=".525913pt" strokecolor="#000000"/>
            <v:line style="position:absolute" from="3174,1122" to="10549,1122" stroked="true" strokeweight=".525913pt" strokecolor="#000000"/>
            <v:line style="position:absolute" from="3169,1122" to="10553,1122" stroked="true" strokeweight=".543436pt" strokecolor="#000000"/>
            <v:shape style="position:absolute;left:4339;top:-569;width:213;height:1639" type="#_x0000_t75" stroked="false">
              <v:imagedata r:id="rId30" o:title=""/>
            </v:shape>
            <v:shape style="position:absolute;left:2981;top:-315;width:229;height:1142" coordorigin="2981,-315" coordsize="229,1142" path="m3090,282l3090,796,3091,798,3092,799,3094,804,3095,806,3096,807,3097,809,3104,812,3105,812,3105,813,3116,817,3131,821,3166,825,3209,826,3209,805,3166,804,3132,800,3120,797,3114,794,3108,794,3107,792,3106,789,3108,789,3108,284,3092,284,3091,283,3090,282xm3107,792l3108,794,3108,793,3107,792xm3108,793l3108,794,3109,794,3108,793xm3108,792l3108,793,3109,794,3108,792xm3108,791l3108,792,3109,794,3114,794,3113,794,3112,794,3111,793,3111,793,3108,791xm3111,793l3112,794,3111,793,3111,793xm3111,793l3112,794,3113,794,3111,793xm3111,793l3111,793,3111,793,3111,793xm3107,790l3107,792,3108,793,3108,792,3107,790,3107,790xm3107,790l3108,792,3108,791,3107,790xm3106,789l3107,792,3107,790,3106,789xm3108,789l3107,789,3107,790,3108,791,3108,789xm3107,789l3107,790,3107,790,3107,789xm3107,789l3106,789,3107,790,3107,789xm3091,283l3092,284,3092,283,3091,283xm3092,283l3092,284,3093,284,3092,283xm3091,281l3092,283,3093,284,3091,281xm3108,278l3090,278,3091,281,3093,284,3108,284,3108,278xm3090,280l3090,280,3091,283,3092,283,3091,281,3090,280xm3090,280l3090,282,3091,283,3090,280xm3090,280l3086,280,3087,280,3087,280,3090,282,3090,280,3090,280xm3090,278l3090,280,3091,281,3090,278xm3087,280l3087,280,3087,280,3087,280xm3086,280l3087,280,3087,280,3086,280xm3085,256l3082,257,3068,261,3033,265,2990,267,2989,267,3032,268,3066,273,3077,276,3087,280,3086,280,3090,280,3090,279,3090,279,3090,278,3108,278,3108,275,3107,274,3104,269,3104,267,3102,266,3101,264,3095,261,3094,261,3094,260,3085,256xm3090,279l3090,280,3090,280,3090,279xm3090,279l3090,279,3090,280,3090,279xm3087,233l3079,237,3067,240,3032,244,2989,245,2984,246,2981,250,2981,256,2981,262,2984,267,2990,267,2990,245,3104,245,3104,244,3107,239,3108,238,3108,234,3090,234,3090,233,3086,233,3087,233xm2990,245l2990,267,3033,265,3068,261,3082,257,3085,256,3084,256,3069,253,3033,248,2990,245xm3104,245l2990,245,3033,248,3069,253,3084,256,3085,256,3094,253,3094,253,3095,253,3101,249,3102,247,3104,246,3104,245xm3090,233l3090,234,3090,233,3090,233xm3090,233l3090,234,3090,234,3090,233xm3091,233l3090,233,3090,234,3091,233xm3108,229l3093,229,3091,233,3090,234,3108,234,3108,229xm3092,230l3091,230,3090,233,3090,233,3091,233,3092,230xm3090,231l3086,233,3090,233,3090,233,3090,231xm3091,230l3090,231,3090,233,3091,230xm3093,229l3092,230,3091,233,3093,229xm3209,-315l3165,-312,3130,-307,3115,-304,3105,-300,3105,-300,3104,-300,3097,-296,3096,-294,3095,-293,3094,-291,3092,-286,3091,-285,3090,-283,3090,231,3091,230,3092,229,3108,229,3108,-277,3106,-277,3107,-279,3108,-282,3116,-282,3121,-284,3134,-287,3167,-292,3209,-294,3209,-315xm3092,229l3091,230,3092,230,3092,229xm3093,229l3092,229,3092,230,3093,229xm3107,-279l3106,-277,3107,-277,3107,-279xm3107,-277l3106,-277,3107,-277,3107,-277xm3107,-277l3107,-277,3107,-277,3107,-277xm3108,-278l3107,-277,3107,-277,3108,-277,3108,-278xm3108,-280l3107,-279,3107,-277,3107,-277,3108,-279,3108,-280xm3108,-279l3107,-277,3108,-278,3108,-279xm3115,-281l3109,-281,3108,-279,3108,-278,3112,-280,3113,-280,3115,-281xm3108,-282l3107,-279,3108,-280,3108,-282xm3109,-281l3108,-280,3108,-279,3109,-281xm3113,-280l3112,-280,3111,-280,3113,-280xm3116,-282l3108,-282,3108,-280,3109,-281,3115,-281,3116,-282xe" filled="true" fillcolor="#ff0000" stroked="false">
              <v:path arrowok="t"/>
              <v:fill type="solid"/>
            </v:shape>
            <v:shape style="position:absolute;left:2981;top:-315;width:229;height:1142" coordorigin="2981,-315" coordsize="229,1142" path="m3209,826l3166,825,3131,821,3116,817,3105,813,3105,812,3104,812,3104,812,3097,809,3096,807,3095,806,3094,804,3092,799,3091,798,3090,796,3090,794,3090,278,3092,284,3090,279,3093,284,3086,280,3087,280,3077,276,3066,273,3032,268,2989,267,2984,267,2981,262,2981,256,2981,250,2984,246,2989,245,3032,244,3067,240,3079,237,3087,233,3086,233,3093,229,3090,234,3092,229,3090,234,3090,-282,3090,-283,3091,-285,3092,-286,3094,-291,3095,-293,3096,-294,3097,-296,3104,-300,3104,-300,3105,-300,3105,-300,3115,-304,3130,-307,3165,-312,3209,-315,3209,-294,3167,-292,3134,-287,3121,-284,3111,-280,3112,-280,3106,-277,3109,-281,3107,-277,3108,-282,3108,234,3108,236,3108,238,3107,239,3104,244,3104,246,3102,247,3101,249,3095,253,3094,253,3094,253,3094,253,3082,257,3068,261,3033,265,2990,267,2990,245,3033,248,3069,253,3084,256,3094,260,3094,261,3094,261,3095,261,3101,264,3102,266,3104,267,3104,269,3107,274,3108,275,3108,277,3108,278,3108,794,3107,789,3109,794,3106,789,3112,794,3111,793,3120,797,3132,800,3166,804,3209,805,3209,826xe" filled="false" stroked="true" strokeweight=".0824pt" strokecolor="#ff0000">
              <v:path arrowok="t"/>
            </v:shape>
            <v:shape style="position:absolute;left:3344;top:-302;width:966;height:466" type="#_x0000_t202" filled="false" stroked="false">
              <v:textbox inset="0,0,0,0">
                <w:txbxContent>
                  <w:p>
                    <w:pPr>
                      <w:spacing w:line="205" w:lineRule="exact" w:before="0"/>
                      <w:ind w:left="-1" w:right="0" w:firstLine="0"/>
                      <w:jc w:val="center"/>
                      <w:rPr>
                        <w:rFonts w:ascii="Constantia"/>
                        <w:sz w:val="20"/>
                      </w:rPr>
                    </w:pPr>
                    <w:r>
                      <w:rPr>
                        <w:rFonts w:ascii="Constantia"/>
                        <w:w w:val="80"/>
                        <w:sz w:val="20"/>
                      </w:rPr>
                      <w:t>Balance</w:t>
                    </w:r>
                    <w:r>
                      <w:rPr>
                        <w:rFonts w:ascii="Constantia"/>
                        <w:spacing w:val="28"/>
                        <w:w w:val="80"/>
                        <w:sz w:val="20"/>
                      </w:rPr>
                      <w:t> </w:t>
                    </w:r>
                    <w:r>
                      <w:rPr>
                        <w:rFonts w:ascii="Constantia"/>
                        <w:w w:val="80"/>
                        <w:sz w:val="20"/>
                      </w:rPr>
                      <w:t>fiscal</w:t>
                    </w:r>
                  </w:p>
                  <w:p>
                    <w:pPr>
                      <w:spacing w:line="240" w:lineRule="exact" w:before="20"/>
                      <w:ind w:left="0" w:right="0" w:firstLine="0"/>
                      <w:jc w:val="center"/>
                      <w:rPr>
                        <w:rFonts w:ascii="Constantia"/>
                        <w:sz w:val="20"/>
                      </w:rPr>
                    </w:pPr>
                    <w:r>
                      <w:rPr>
                        <w:rFonts w:ascii="Constantia"/>
                        <w:w w:val="95"/>
                        <w:sz w:val="20"/>
                      </w:rPr>
                      <w:t>primario</w:t>
                    </w:r>
                  </w:p>
                </w:txbxContent>
              </v:textbox>
              <w10:wrap type="none"/>
            </v:shape>
            <v:shape style="position:absolute;left:4528;top:-302;width:1369;height:201" type="#_x0000_t202" filled="false" stroked="false">
              <v:textbox inset="0,0,0,0">
                <w:txbxContent>
                  <w:p>
                    <w:pPr>
                      <w:spacing w:line="201" w:lineRule="exact" w:before="0"/>
                      <w:ind w:left="0" w:right="-13" w:firstLine="0"/>
                      <w:jc w:val="left"/>
                      <w:rPr>
                        <w:rFonts w:ascii="Constantia"/>
                        <w:sz w:val="20"/>
                      </w:rPr>
                    </w:pPr>
                    <w:r>
                      <w:rPr>
                        <w:rFonts w:ascii="Constantia"/>
                        <w:w w:val="85"/>
                        <w:sz w:val="20"/>
                      </w:rPr>
                      <w:t>Sin</w:t>
                    </w:r>
                    <w:r>
                      <w:rPr>
                        <w:rFonts w:ascii="Constantia"/>
                        <w:spacing w:val="-18"/>
                        <w:w w:val="85"/>
                        <w:sz w:val="20"/>
                      </w:rPr>
                      <w:t> </w:t>
                    </w:r>
                    <w:r>
                      <w:rPr>
                        <w:rFonts w:ascii="Constantia"/>
                        <w:w w:val="85"/>
                        <w:sz w:val="20"/>
                      </w:rPr>
                      <w:t>recurso</w:t>
                    </w:r>
                    <w:r>
                      <w:rPr>
                        <w:rFonts w:ascii="Constantia"/>
                        <w:spacing w:val="-19"/>
                        <w:w w:val="85"/>
                        <w:sz w:val="20"/>
                      </w:rPr>
                      <w:t> </w:t>
                    </w:r>
                    <w:r>
                      <w:rPr>
                        <w:rFonts w:ascii="Constantia"/>
                        <w:w w:val="85"/>
                        <w:sz w:val="20"/>
                      </w:rPr>
                      <w:t>natural</w:t>
                    </w:r>
                  </w:p>
                </w:txbxContent>
              </v:textbox>
              <w10:wrap type="none"/>
            </v:shape>
            <v:shape style="position:absolute;left:7633;top:-302;width:61;height:201" type="#_x0000_t202" filled="false" stroked="false">
              <v:textbox inset="0,0,0,0">
                <w:txbxContent>
                  <w:p>
                    <w:pPr>
                      <w:spacing w:line="201" w:lineRule="exact" w:before="0"/>
                      <w:ind w:left="0" w:right="0" w:firstLine="0"/>
                      <w:jc w:val="left"/>
                      <w:rPr>
                        <w:rFonts w:ascii="Constantia"/>
                        <w:sz w:val="20"/>
                      </w:rPr>
                    </w:pPr>
                    <w:r>
                      <w:rPr>
                        <w:rFonts w:ascii="Constantia"/>
                        <w:w w:val="83"/>
                        <w:sz w:val="20"/>
                      </w:rPr>
                      <w:t>-</w:t>
                    </w:r>
                  </w:p>
                </w:txbxContent>
              </v:textbox>
              <w10:wrap type="none"/>
            </v:shape>
            <v:shape style="position:absolute;left:4493;top:100;width:3732;height:466" type="#_x0000_t202" filled="false" stroked="false">
              <v:textbox inset="0,0,0,0">
                <w:txbxContent>
                  <w:p>
                    <w:pPr>
                      <w:tabs>
                        <w:tab w:pos="3731" w:val="left" w:leader="none"/>
                      </w:tabs>
                      <w:spacing w:line="205" w:lineRule="exact" w:before="0"/>
                      <w:ind w:left="0" w:right="0" w:firstLine="0"/>
                      <w:jc w:val="left"/>
                      <w:rPr>
                        <w:rFonts w:ascii="Constantia"/>
                        <w:sz w:val="20"/>
                      </w:rPr>
                    </w:pPr>
                    <w:r>
                      <w:rPr>
                        <w:rFonts w:ascii="Constantia"/>
                        <w:w w:val="83"/>
                        <w:sz w:val="20"/>
                        <w:u w:val="single"/>
                      </w:rPr>
                      <w:t> </w:t>
                    </w:r>
                    <w:r>
                      <w:rPr>
                        <w:rFonts w:ascii="Constantia"/>
                        <w:sz w:val="20"/>
                        <w:u w:val="single"/>
                      </w:rPr>
                      <w:tab/>
                    </w:r>
                  </w:p>
                  <w:p>
                    <w:pPr>
                      <w:tabs>
                        <w:tab w:pos="3139" w:val="left" w:leader="none"/>
                        <w:tab w:pos="3691" w:val="left" w:leader="none"/>
                      </w:tabs>
                      <w:spacing w:line="240" w:lineRule="exact" w:before="20"/>
                      <w:ind w:left="0" w:right="0" w:firstLine="0"/>
                      <w:jc w:val="left"/>
                      <w:rPr>
                        <w:rFonts w:ascii="Constantia"/>
                        <w:sz w:val="20"/>
                      </w:rPr>
                    </w:pPr>
                    <w:r>
                      <w:rPr>
                        <w:rFonts w:ascii="Constantia"/>
                        <w:spacing w:val="-7"/>
                        <w:w w:val="83"/>
                        <w:sz w:val="20"/>
                        <w:u w:val="single"/>
                      </w:rPr>
                      <w:t> </w:t>
                    </w:r>
                    <w:r>
                      <w:rPr>
                        <w:rFonts w:ascii="Constantia"/>
                        <w:spacing w:val="-3"/>
                        <w:w w:val="90"/>
                        <w:sz w:val="20"/>
                        <w:u w:val="single"/>
                      </w:rPr>
                      <w:t>Con</w:t>
                    </w:r>
                    <w:r>
                      <w:rPr>
                        <w:rFonts w:ascii="Constantia"/>
                        <w:spacing w:val="-27"/>
                        <w:w w:val="90"/>
                        <w:sz w:val="20"/>
                        <w:u w:val="single"/>
                      </w:rPr>
                      <w:t> </w:t>
                    </w:r>
                    <w:r>
                      <w:rPr>
                        <w:rFonts w:ascii="Constantia"/>
                        <w:w w:val="90"/>
                        <w:sz w:val="20"/>
                        <w:u w:val="single"/>
                      </w:rPr>
                      <w:t>recurso</w:t>
                    </w:r>
                    <w:r>
                      <w:rPr>
                        <w:rFonts w:ascii="Constantia"/>
                        <w:spacing w:val="-27"/>
                        <w:w w:val="90"/>
                        <w:sz w:val="20"/>
                        <w:u w:val="single"/>
                      </w:rPr>
                      <w:t> </w:t>
                    </w:r>
                    <w:r>
                      <w:rPr>
                        <w:rFonts w:ascii="Constantia"/>
                        <w:w w:val="90"/>
                        <w:sz w:val="20"/>
                        <w:u w:val="single"/>
                      </w:rPr>
                      <w:t>natural</w:t>
                      <w:tab/>
                    </w:r>
                    <w:r>
                      <w:rPr>
                        <w:rFonts w:ascii="Constantia"/>
                        <w:w w:val="95"/>
                        <w:sz w:val="20"/>
                        <w:u w:val="single"/>
                      </w:rPr>
                      <w:t>-</w:t>
                    </w:r>
                    <w:r>
                      <w:rPr>
                        <w:rFonts w:ascii="Constantia"/>
                        <w:sz w:val="20"/>
                        <w:u w:val="single"/>
                      </w:rPr>
                      <w:tab/>
                    </w:r>
                  </w:p>
                </w:txbxContent>
              </v:textbox>
              <w10:wrap type="none"/>
            </v:shape>
            <v:shape style="position:absolute;left:8361;top:-38;width:2006;height:465" type="#_x0000_t202" filled="false" stroked="false">
              <v:textbox inset="0,0,0,0">
                <w:txbxContent>
                  <w:p>
                    <w:pPr>
                      <w:spacing w:line="205" w:lineRule="exact" w:before="0"/>
                      <w:ind w:left="0" w:right="0" w:firstLine="0"/>
                      <w:jc w:val="center"/>
                      <w:rPr>
                        <w:rFonts w:ascii="Constantia" w:hAnsi="Constantia"/>
                        <w:sz w:val="20"/>
                      </w:rPr>
                    </w:pPr>
                    <w:r>
                      <w:rPr>
                        <w:rFonts w:ascii="Constantia" w:hAnsi="Constantia"/>
                        <w:w w:val="85"/>
                        <w:sz w:val="20"/>
                      </w:rPr>
                      <w:t>Análisis</w:t>
                    </w:r>
                    <w:r>
                      <w:rPr>
                        <w:rFonts w:ascii="Constantia" w:hAnsi="Constantia"/>
                        <w:spacing w:val="-15"/>
                        <w:w w:val="85"/>
                        <w:sz w:val="20"/>
                      </w:rPr>
                      <w:t> </w:t>
                    </w:r>
                    <w:r>
                      <w:rPr>
                        <w:rFonts w:ascii="Constantia" w:hAnsi="Constantia"/>
                        <w:w w:val="85"/>
                        <w:sz w:val="20"/>
                      </w:rPr>
                      <w:t>de</w:t>
                    </w:r>
                    <w:r>
                      <w:rPr>
                        <w:rFonts w:ascii="Constantia" w:hAnsi="Constantia"/>
                        <w:spacing w:val="-17"/>
                        <w:w w:val="85"/>
                        <w:sz w:val="20"/>
                      </w:rPr>
                      <w:t> </w:t>
                    </w:r>
                    <w:r>
                      <w:rPr>
                        <w:rFonts w:ascii="Constantia" w:hAnsi="Constantia"/>
                        <w:w w:val="85"/>
                        <w:sz w:val="20"/>
                      </w:rPr>
                      <w:t>sostenbilidad</w:t>
                    </w:r>
                    <w:r>
                      <w:rPr>
                        <w:rFonts w:ascii="Constantia" w:hAnsi="Constantia"/>
                        <w:spacing w:val="-16"/>
                        <w:w w:val="85"/>
                        <w:sz w:val="20"/>
                      </w:rPr>
                      <w:t> </w:t>
                    </w:r>
                    <w:r>
                      <w:rPr>
                        <w:rFonts w:ascii="Constantia" w:hAnsi="Constantia"/>
                        <w:w w:val="85"/>
                        <w:sz w:val="20"/>
                      </w:rPr>
                      <w:t>de</w:t>
                    </w:r>
                  </w:p>
                  <w:p>
                    <w:pPr>
                      <w:spacing w:line="240" w:lineRule="exact" w:before="20"/>
                      <w:ind w:left="1" w:right="0" w:firstLine="0"/>
                      <w:jc w:val="center"/>
                      <w:rPr>
                        <w:rFonts w:ascii="Constantia" w:hAnsi="Constantia"/>
                        <w:sz w:val="20"/>
                      </w:rPr>
                    </w:pPr>
                    <w:r>
                      <w:rPr>
                        <w:rFonts w:ascii="Constantia" w:hAnsi="Constantia"/>
                        <w:w w:val="85"/>
                        <w:sz w:val="20"/>
                      </w:rPr>
                      <w:t>deuda pública</w:t>
                    </w:r>
                  </w:p>
                </w:txbxContent>
              </v:textbox>
              <w10:wrap type="none"/>
            </v:shape>
            <v:shape style="position:absolute;left:3309;top:765;width:3248;height:201" type="#_x0000_t202" filled="false" stroked="false">
              <v:textbox inset="0,0,0,0">
                <w:txbxContent>
                  <w:p>
                    <w:pPr>
                      <w:spacing w:line="201" w:lineRule="exact" w:before="0"/>
                      <w:ind w:left="0" w:right="-8" w:firstLine="0"/>
                      <w:jc w:val="left"/>
                      <w:rPr>
                        <w:rFonts w:ascii="Constantia" w:hAnsi="Constantia"/>
                        <w:sz w:val="20"/>
                      </w:rPr>
                    </w:pPr>
                    <w:r>
                      <w:rPr>
                        <w:rFonts w:ascii="Constantia" w:hAnsi="Constantia"/>
                        <w:w w:val="85"/>
                        <w:sz w:val="20"/>
                      </w:rPr>
                      <w:t>Deuda pública  Interna, externa y pensiones</w:t>
                    </w:r>
                  </w:p>
                </w:txbxContent>
              </v:textbox>
              <w10:wrap type="none"/>
            </v:shape>
            <v:shape style="position:absolute;left:7624;top:765;width:93;height:201" type="#_x0000_t202" filled="false" stroked="false">
              <v:textbox inset="0,0,0,0">
                <w:txbxContent>
                  <w:p>
                    <w:pPr>
                      <w:spacing w:line="201" w:lineRule="exact" w:before="0"/>
                      <w:ind w:left="0" w:right="0" w:firstLine="0"/>
                      <w:jc w:val="left"/>
                      <w:rPr>
                        <w:rFonts w:ascii="Constantia"/>
                        <w:sz w:val="20"/>
                      </w:rPr>
                    </w:pPr>
                    <w:r>
                      <w:rPr>
                        <w:rFonts w:ascii="Constantia"/>
                        <w:w w:val="83"/>
                        <w:sz w:val="20"/>
                      </w:rPr>
                      <w:t>+</w:t>
                    </w:r>
                  </w:p>
                </w:txbxContent>
              </v:textbox>
              <w10:wrap type="none"/>
            </v:shape>
            <w10:wrap type="none"/>
          </v:group>
        </w:pict>
      </w:r>
      <w:r>
        <w:rPr>
          <w:rFonts w:ascii="Constantia" w:hAnsi="Constantia"/>
          <w:w w:val="80"/>
          <w:sz w:val="20"/>
          <w:u w:val="single"/>
        </w:rPr>
        <w:t>Posición fiscal</w:t>
      </w:r>
    </w:p>
    <w:p>
      <w:pPr>
        <w:pStyle w:val="BodyText"/>
        <w:rPr>
          <w:rFonts w:ascii="Constantia"/>
          <w:sz w:val="20"/>
        </w:rPr>
      </w:pPr>
    </w:p>
    <w:p>
      <w:pPr>
        <w:pStyle w:val="BodyText"/>
        <w:rPr>
          <w:rFonts w:ascii="Constantia"/>
          <w:sz w:val="20"/>
        </w:rPr>
      </w:pPr>
    </w:p>
    <w:p>
      <w:pPr>
        <w:pStyle w:val="BodyText"/>
        <w:spacing w:before="9"/>
        <w:rPr>
          <w:rFonts w:ascii="Constantia"/>
          <w:sz w:val="23"/>
        </w:rPr>
      </w:pPr>
    </w:p>
    <w:p>
      <w:pPr>
        <w:spacing w:before="80"/>
        <w:ind w:left="1586" w:right="127" w:firstLine="0"/>
        <w:jc w:val="left"/>
        <w:rPr>
          <w:rFonts w:ascii="Constantia"/>
          <w:sz w:val="13"/>
        </w:rPr>
      </w:pPr>
      <w:r>
        <w:rPr>
          <w:rFonts w:ascii="Constantia"/>
          <w:w w:val="90"/>
          <w:sz w:val="13"/>
        </w:rPr>
        <w:t>Tipo de Impactos: 0 "Nulo; +"Positivo; - "Negativo"</w:t>
      </w:r>
    </w:p>
    <w:p>
      <w:pPr>
        <w:spacing w:before="23"/>
        <w:ind w:left="810" w:right="127" w:firstLine="0"/>
        <w:jc w:val="left"/>
        <w:rPr>
          <w:sz w:val="20"/>
        </w:rPr>
      </w:pPr>
      <w:r>
        <w:rPr>
          <w:sz w:val="20"/>
        </w:rPr>
        <w:t>Fuente: Elaboración propia</w:t>
      </w:r>
    </w:p>
    <w:p>
      <w:pPr>
        <w:pStyle w:val="BodyText"/>
        <w:spacing w:line="360" w:lineRule="auto" w:before="116"/>
        <w:ind w:left="102" w:right="127" w:firstLine="707"/>
      </w:pPr>
      <w:r>
        <w:rPr/>
        <w:t>Para finalizar en el </w:t>
      </w:r>
      <w:r>
        <w:rPr>
          <w:i/>
        </w:rPr>
        <w:t>cuadro 1.3 </w:t>
      </w:r>
      <w:r>
        <w:rPr/>
        <w:t>se resume el efecto esperado de la deuda pública frente a un choque positivo en el balance fiscal primario:</w:t>
      </w:r>
    </w:p>
    <w:p>
      <w:pPr>
        <w:spacing w:after="0" w:line="360" w:lineRule="auto"/>
        <w:sectPr>
          <w:pgSz w:w="12250" w:h="15850"/>
          <w:pgMar w:header="0" w:footer="1037" w:top="1360" w:bottom="1220" w:left="1600" w:right="1580"/>
        </w:sectPr>
      </w:pPr>
    </w:p>
    <w:p>
      <w:pPr>
        <w:pStyle w:val="BodyText"/>
        <w:spacing w:line="360" w:lineRule="auto" w:before="50"/>
        <w:ind w:left="4168" w:right="308" w:hanging="3870"/>
      </w:pPr>
      <w:bookmarkStart w:name="_bookmark9" w:id="14"/>
      <w:bookmarkEnd w:id="14"/>
      <w:r>
        <w:rPr/>
      </w:r>
      <w:r>
        <w:rPr/>
        <w:t>Cuadro 1. 3: Efecto esperado de un choque positivo del balance primario sobre la deuda pública</w:t>
      </w:r>
    </w:p>
    <w:p>
      <w:pPr>
        <w:tabs>
          <w:tab w:pos="4311" w:val="left" w:leader="none"/>
          <w:tab w:pos="5981" w:val="left" w:leader="none"/>
        </w:tabs>
        <w:spacing w:before="27"/>
        <w:ind w:left="2196" w:right="127" w:firstLine="0"/>
        <w:jc w:val="left"/>
        <w:rPr>
          <w:rFonts w:ascii="Constantia"/>
          <w:b/>
          <w:sz w:val="18"/>
        </w:rPr>
      </w:pPr>
      <w:r>
        <w:rPr>
          <w:rFonts w:ascii="Constantia"/>
          <w:b/>
          <w:spacing w:val="-3"/>
          <w:sz w:val="18"/>
        </w:rPr>
        <w:t>Efecto</w:t>
      </w:r>
      <w:r>
        <w:rPr>
          <w:rFonts w:ascii="Constantia"/>
          <w:b/>
          <w:spacing w:val="-7"/>
          <w:sz w:val="18"/>
        </w:rPr>
        <w:t> </w:t>
      </w:r>
      <w:r>
        <w:rPr>
          <w:rFonts w:ascii="Constantia"/>
          <w:b/>
          <w:sz w:val="18"/>
        </w:rPr>
        <w:t>sobre:</w:t>
        <w:tab/>
      </w:r>
      <w:r>
        <w:rPr>
          <w:rFonts w:ascii="Constantia"/>
          <w:b/>
          <w:spacing w:val="-3"/>
          <w:sz w:val="18"/>
        </w:rPr>
        <w:t>Impacto:</w:t>
        <w:tab/>
      </w:r>
      <w:r>
        <w:rPr>
          <w:rFonts w:ascii="Constantia"/>
          <w:b/>
          <w:sz w:val="18"/>
        </w:rPr>
        <w:t>Perspectiva:</w:t>
      </w:r>
    </w:p>
    <w:p>
      <w:pPr>
        <w:pStyle w:val="BodyText"/>
        <w:spacing w:line="28" w:lineRule="exact"/>
        <w:ind w:left="1329"/>
        <w:rPr>
          <w:rFonts w:ascii="Constantia"/>
          <w:sz w:val="2"/>
        </w:rPr>
      </w:pPr>
      <w:r>
        <w:rPr>
          <w:rFonts w:ascii="Constantia"/>
          <w:position w:val="0"/>
          <w:sz w:val="2"/>
        </w:rPr>
        <w:pict>
          <v:group style="width:320.55pt;height:1.45pt;mso-position-horizontal-relative:char;mso-position-vertical-relative:line" coordorigin="0,0" coordsize="6411,29">
            <v:line style="position:absolute" from="10,5" to="6401,5" stroked="true" strokeweight=".464517pt" strokecolor="#000000"/>
            <v:line style="position:absolute" from="5,5" to="6406,5" stroked="true" strokeweight=".464517pt" strokecolor="#000000"/>
            <v:line style="position:absolute" from="10,24" to="6401,24" stroked="true" strokeweight=".464517pt" strokecolor="#000000"/>
            <v:line style="position:absolute" from="5,24" to="6406,24" stroked="true" strokeweight=".480001pt" strokecolor="#000000"/>
          </v:group>
        </w:pict>
      </w:r>
      <w:r>
        <w:rPr>
          <w:rFonts w:ascii="Constantia"/>
          <w:position w:val="0"/>
          <w:sz w:val="2"/>
        </w:rPr>
      </w:r>
    </w:p>
    <w:p>
      <w:pPr>
        <w:tabs>
          <w:tab w:pos="5257" w:val="left" w:leader="none"/>
        </w:tabs>
        <w:spacing w:line="272" w:lineRule="exact" w:before="15"/>
        <w:ind w:left="4645" w:right="127" w:firstLine="0"/>
        <w:jc w:val="left"/>
        <w:rPr>
          <w:rFonts w:ascii="Constantia" w:hAnsi="Constantia"/>
          <w:sz w:val="18"/>
        </w:rPr>
      </w:pPr>
      <w:r>
        <w:rPr>
          <w:rFonts w:ascii="Constantia" w:hAnsi="Constantia"/>
          <w:position w:val="-9"/>
          <w:sz w:val="18"/>
        </w:rPr>
        <w:t>-</w:t>
        <w:tab/>
      </w:r>
      <w:r>
        <w:rPr>
          <w:rFonts w:ascii="Constantia" w:hAnsi="Constantia"/>
          <w:sz w:val="18"/>
        </w:rPr>
        <w:t>Análisis</w:t>
      </w:r>
      <w:r>
        <w:rPr>
          <w:rFonts w:ascii="Constantia" w:hAnsi="Constantia"/>
          <w:spacing w:val="-17"/>
          <w:sz w:val="18"/>
        </w:rPr>
        <w:t> </w:t>
      </w:r>
      <w:r>
        <w:rPr>
          <w:rFonts w:ascii="Constantia" w:hAnsi="Constantia"/>
          <w:sz w:val="18"/>
        </w:rPr>
        <w:t>de</w:t>
      </w:r>
      <w:r>
        <w:rPr>
          <w:rFonts w:ascii="Constantia" w:hAnsi="Constantia"/>
          <w:spacing w:val="-19"/>
          <w:sz w:val="18"/>
        </w:rPr>
        <w:t> </w:t>
      </w:r>
      <w:r>
        <w:rPr>
          <w:rFonts w:ascii="Constantia" w:hAnsi="Constantia"/>
          <w:sz w:val="18"/>
        </w:rPr>
        <w:t>sostenbilidad</w:t>
      </w:r>
      <w:r>
        <w:rPr>
          <w:rFonts w:ascii="Constantia" w:hAnsi="Constantia"/>
          <w:spacing w:val="-17"/>
          <w:sz w:val="18"/>
        </w:rPr>
        <w:t> </w:t>
      </w:r>
      <w:r>
        <w:rPr>
          <w:rFonts w:ascii="Constantia" w:hAnsi="Constantia"/>
          <w:sz w:val="18"/>
        </w:rPr>
        <w:t>de</w:t>
      </w:r>
    </w:p>
    <w:p>
      <w:pPr>
        <w:tabs>
          <w:tab w:pos="5257" w:val="left" w:leader="none"/>
        </w:tabs>
        <w:spacing w:line="182" w:lineRule="exact" w:before="0"/>
        <w:ind w:left="1362" w:right="127" w:firstLine="0"/>
        <w:jc w:val="left"/>
        <w:rPr>
          <w:rFonts w:ascii="Constantia" w:hAnsi="Constantia"/>
          <w:sz w:val="18"/>
        </w:rPr>
      </w:pPr>
      <w:r>
        <w:rPr>
          <w:rFonts w:ascii="Constantia" w:hAnsi="Constantia"/>
          <w:sz w:val="18"/>
        </w:rPr>
        <w:t>Deuda</w:t>
      </w:r>
      <w:r>
        <w:rPr>
          <w:rFonts w:ascii="Constantia" w:hAnsi="Constantia"/>
          <w:spacing w:val="-8"/>
          <w:sz w:val="18"/>
        </w:rPr>
        <w:t> </w:t>
      </w:r>
      <w:r>
        <w:rPr>
          <w:rFonts w:ascii="Constantia" w:hAnsi="Constantia"/>
          <w:sz w:val="18"/>
        </w:rPr>
        <w:t>pública</w:t>
        <w:tab/>
        <w:t>deuda</w:t>
      </w:r>
      <w:r>
        <w:rPr>
          <w:rFonts w:ascii="Constantia" w:hAnsi="Constantia"/>
          <w:spacing w:val="-19"/>
          <w:sz w:val="18"/>
        </w:rPr>
        <w:t> </w:t>
      </w:r>
      <w:r>
        <w:rPr>
          <w:rFonts w:ascii="Constantia" w:hAnsi="Constantia"/>
          <w:sz w:val="18"/>
        </w:rPr>
        <w:t>pública</w:t>
      </w:r>
    </w:p>
    <w:p>
      <w:pPr>
        <w:pStyle w:val="BodyText"/>
        <w:spacing w:line="28" w:lineRule="exact"/>
        <w:ind w:left="1329"/>
        <w:rPr>
          <w:rFonts w:ascii="Constantia"/>
          <w:sz w:val="2"/>
        </w:rPr>
      </w:pPr>
      <w:r>
        <w:rPr>
          <w:rFonts w:ascii="Constantia"/>
          <w:position w:val="0"/>
          <w:sz w:val="2"/>
        </w:rPr>
        <w:pict>
          <v:group style="width:320.55pt;height:1.45pt;mso-position-horizontal-relative:char;mso-position-vertical-relative:line" coordorigin="0,0" coordsize="6411,29">
            <v:line style="position:absolute" from="10,5" to="6401,5" stroked="true" strokeweight=".464517pt" strokecolor="#000000"/>
            <v:line style="position:absolute" from="5,5" to="6406,5" stroked="true" strokeweight=".464517pt" strokecolor="#000000"/>
            <v:line style="position:absolute" from="10,24" to="6401,24" stroked="true" strokeweight=".464517pt" strokecolor="#000000"/>
            <v:line style="position:absolute" from="5,24" to="6406,24" stroked="true" strokeweight=".464517pt" strokecolor="#000000"/>
          </v:group>
        </w:pict>
      </w:r>
      <w:r>
        <w:rPr>
          <w:rFonts w:ascii="Constantia"/>
          <w:position w:val="0"/>
          <w:sz w:val="2"/>
        </w:rPr>
      </w:r>
    </w:p>
    <w:p>
      <w:pPr>
        <w:spacing w:before="99"/>
        <w:ind w:left="1362" w:right="127" w:firstLine="0"/>
        <w:jc w:val="left"/>
        <w:rPr>
          <w:rFonts w:ascii="Constantia"/>
          <w:sz w:val="15"/>
        </w:rPr>
      </w:pPr>
      <w:r>
        <w:rPr>
          <w:rFonts w:ascii="Constantia"/>
          <w:sz w:val="15"/>
        </w:rPr>
        <w:t>Tipo de Impacto: "Positivo"</w:t>
      </w:r>
    </w:p>
    <w:p>
      <w:pPr>
        <w:pStyle w:val="BodyText"/>
        <w:spacing w:before="1"/>
        <w:rPr>
          <w:rFonts w:ascii="Constantia"/>
          <w:sz w:val="12"/>
        </w:rPr>
      </w:pPr>
    </w:p>
    <w:p>
      <w:pPr>
        <w:spacing w:before="1"/>
        <w:ind w:left="810" w:right="127" w:firstLine="0"/>
        <w:jc w:val="left"/>
        <w:rPr>
          <w:sz w:val="20"/>
        </w:rPr>
      </w:pPr>
      <w:r>
        <w:rPr>
          <w:sz w:val="20"/>
        </w:rPr>
        <w:t>Fuente: Elaboración propia</w:t>
      </w:r>
    </w:p>
    <w:p>
      <w:pPr>
        <w:pStyle w:val="BodyText"/>
        <w:rPr>
          <w:sz w:val="20"/>
        </w:rPr>
      </w:pPr>
    </w:p>
    <w:p>
      <w:pPr>
        <w:pStyle w:val="BodyText"/>
        <w:spacing w:before="11"/>
        <w:rPr>
          <w:sz w:val="19"/>
        </w:rPr>
      </w:pPr>
    </w:p>
    <w:p>
      <w:pPr>
        <w:pStyle w:val="BodyText"/>
        <w:spacing w:line="360" w:lineRule="auto"/>
        <w:ind w:left="102" w:right="123" w:firstLine="707"/>
        <w:jc w:val="both"/>
      </w:pPr>
      <w:r>
        <w:rPr>
          <w:sz w:val="20"/>
        </w:rPr>
        <w:t>Al </w:t>
      </w:r>
      <w:r>
        <w:rPr/>
        <w:t>considerar que el balance primario influye de forma negativa sobre la deuda pública, para que exista un incremento de deuda pública (a valor presente), se deberá requerir  futuros superávits fiscales para que se restablezca a su valor sostenible.</w:t>
      </w:r>
    </w:p>
    <w:p>
      <w:pPr>
        <w:pStyle w:val="BodyText"/>
        <w:spacing w:line="360" w:lineRule="auto" w:before="4"/>
        <w:ind w:left="102" w:right="115" w:firstLine="707"/>
        <w:jc w:val="both"/>
      </w:pPr>
      <w:r>
        <w:rPr/>
        <w:t>De forma complementaria, a partir de la ecuación (1.22) se puede deducir la función de reacción fiscal sostenible y obtener el </w:t>
      </w:r>
      <w:r>
        <w:rPr>
          <w:i/>
        </w:rPr>
        <w:t>enfoque básico de sostenibilidad fiscal</w:t>
      </w:r>
      <w:r>
        <w:rPr/>
        <w:t>, bajo el supuesto que la ayuda externa es cero:</w:t>
      </w:r>
    </w:p>
    <w:p>
      <w:pPr>
        <w:spacing w:line="128" w:lineRule="exact" w:before="0"/>
        <w:ind w:left="0" w:right="1351" w:firstLine="0"/>
        <w:jc w:val="center"/>
        <w:rPr>
          <w:rFonts w:ascii="Cambria Math"/>
          <w:sz w:val="20"/>
        </w:rPr>
      </w:pPr>
      <w:r>
        <w:rPr>
          <w:rFonts w:ascii="Cambria Math"/>
          <w:spacing w:val="-2"/>
          <w:w w:val="187"/>
          <w:sz w:val="20"/>
        </w:rPr>
        <w:t> </w:t>
      </w:r>
      <w:r>
        <w:rPr>
          <w:rFonts w:ascii="Cambria Math"/>
          <w:spacing w:val="-19"/>
          <w:w w:val="239"/>
          <w:sz w:val="20"/>
        </w:rPr>
        <w:t> </w:t>
      </w:r>
      <w:r>
        <w:rPr>
          <w:rFonts w:ascii="Cambria Math"/>
          <w:spacing w:val="7"/>
          <w:w w:val="215"/>
          <w:position w:val="-3"/>
          <w:sz w:val="16"/>
        </w:rPr>
        <w:t> </w:t>
      </w:r>
      <w:r>
        <w:rPr>
          <w:rFonts w:ascii="Cambria Math"/>
          <w:spacing w:val="1"/>
          <w:w w:val="329"/>
          <w:sz w:val="20"/>
        </w:rPr>
        <w:t> </w:t>
      </w:r>
      <w:r>
        <w:rPr>
          <w:rFonts w:ascii="Cambria Math"/>
          <w:spacing w:val="-5"/>
          <w:w w:val="298"/>
          <w:sz w:val="20"/>
        </w:rPr>
        <w:t> </w:t>
      </w:r>
      <w:r>
        <w:rPr>
          <w:rFonts w:ascii="Cambria Math"/>
          <w:spacing w:val="7"/>
          <w:w w:val="215"/>
          <w:position w:val="-3"/>
          <w:sz w:val="16"/>
        </w:rPr>
        <w:t> </w:t>
      </w:r>
      <w:r>
        <w:rPr>
          <w:rFonts w:ascii="Cambria Math"/>
          <w:w w:val="187"/>
          <w:sz w:val="20"/>
        </w:rPr>
        <w:t> </w:t>
      </w:r>
    </w:p>
    <w:p>
      <w:pPr>
        <w:spacing w:line="226" w:lineRule="exact" w:before="3"/>
        <w:ind w:left="4247" w:right="127" w:firstLine="0"/>
        <w:jc w:val="left"/>
        <w:rPr>
          <w:sz w:val="24"/>
        </w:rPr>
      </w:pPr>
      <w:r>
        <w:rPr/>
        <w:pict>
          <v:line style="position:absolute;mso-position-horizontal-relative:page;mso-position-vertical-relative:paragraph;z-index:2560" from="255.410004pt,7.393137pt" to="290.090004pt,7.393137pt" stroked="true" strokeweight=".95999pt" strokecolor="#000000">
            <w10:wrap type="none"/>
          </v:line>
        </w:pict>
      </w:r>
      <w:r>
        <w:rPr>
          <w:rFonts w:ascii="Cambria Math"/>
          <w:w w:val="264"/>
          <w:sz w:val="28"/>
        </w:rPr>
        <w:t> </w:t>
      </w:r>
      <w:r>
        <w:rPr>
          <w:rFonts w:ascii="Cambria Math"/>
          <w:w w:val="199"/>
          <w:position w:val="-5"/>
          <w:sz w:val="20"/>
        </w:rPr>
        <w:t> </w:t>
      </w:r>
      <w:r>
        <w:rPr>
          <w:rFonts w:ascii="Cambria Math"/>
          <w:w w:val="329"/>
          <w:position w:val="-5"/>
          <w:sz w:val="20"/>
        </w:rPr>
        <w:t> </w:t>
      </w:r>
      <w:r>
        <w:rPr>
          <w:rFonts w:ascii="Cambria Math"/>
          <w:w w:val="261"/>
          <w:position w:val="-5"/>
          <w:sz w:val="20"/>
        </w:rPr>
        <w:t> </w:t>
      </w:r>
      <w:r>
        <w:rPr>
          <w:rFonts w:ascii="Cambria Math"/>
          <w:position w:val="-5"/>
          <w:sz w:val="20"/>
        </w:rPr>
        <w:t>  </w:t>
      </w:r>
      <w:r>
        <w:rPr>
          <w:rFonts w:ascii="Cambria Math"/>
          <w:w w:val="340"/>
          <w:sz w:val="28"/>
        </w:rPr>
        <w:t> </w:t>
      </w:r>
      <w:r>
        <w:rPr>
          <w:rFonts w:ascii="Cambria Math"/>
          <w:sz w:val="28"/>
        </w:rPr>
        <w:t>  </w:t>
      </w:r>
      <w:r>
        <w:rPr>
          <w:rFonts w:ascii="Cambria Math"/>
          <w:w w:val="249"/>
          <w:sz w:val="28"/>
        </w:rPr>
        <w:t>  </w:t>
      </w:r>
      <w:r>
        <w:rPr>
          <w:rFonts w:ascii="Cambria Math"/>
          <w:w w:val="199"/>
          <w:position w:val="-5"/>
          <w:sz w:val="20"/>
        </w:rPr>
        <w:t> </w:t>
      </w:r>
      <w:r>
        <w:rPr>
          <w:rFonts w:ascii="Cambria Math"/>
          <w:position w:val="-5"/>
          <w:sz w:val="20"/>
        </w:rPr>
        <w:t>    </w:t>
      </w:r>
      <w:r>
        <w:rPr>
          <w:sz w:val="24"/>
        </w:rPr>
        <w:t>(1.23)</w:t>
      </w:r>
    </w:p>
    <w:p>
      <w:pPr>
        <w:spacing w:line="184" w:lineRule="exact" w:before="0"/>
        <w:ind w:left="0" w:right="1351" w:firstLine="0"/>
        <w:jc w:val="center"/>
        <w:rPr>
          <w:rFonts w:ascii="Cambria Math"/>
          <w:sz w:val="20"/>
        </w:rPr>
      </w:pPr>
      <w:r>
        <w:rPr>
          <w:rFonts w:ascii="Cambria Math"/>
          <w:spacing w:val="1"/>
          <w:w w:val="187"/>
          <w:sz w:val="20"/>
        </w:rPr>
        <w:t> </w:t>
      </w:r>
      <w:r>
        <w:rPr>
          <w:rFonts w:ascii="Cambria Math"/>
          <w:spacing w:val="-1"/>
          <w:w w:val="261"/>
          <w:sz w:val="20"/>
        </w:rPr>
        <w:t> </w:t>
      </w:r>
      <w:r>
        <w:rPr>
          <w:rFonts w:ascii="Cambria Math"/>
          <w:spacing w:val="1"/>
          <w:w w:val="329"/>
          <w:sz w:val="20"/>
        </w:rPr>
        <w:t> </w:t>
      </w:r>
      <w:r>
        <w:rPr>
          <w:rFonts w:ascii="Cambria Math"/>
          <w:spacing w:val="-5"/>
          <w:w w:val="298"/>
          <w:sz w:val="20"/>
        </w:rPr>
        <w:t> </w:t>
      </w:r>
      <w:r>
        <w:rPr>
          <w:rFonts w:ascii="Cambria Math"/>
          <w:spacing w:val="7"/>
          <w:w w:val="215"/>
          <w:position w:val="-3"/>
          <w:sz w:val="16"/>
        </w:rPr>
        <w:t> </w:t>
      </w:r>
      <w:r>
        <w:rPr>
          <w:rFonts w:ascii="Cambria Math"/>
          <w:w w:val="187"/>
          <w:sz w:val="20"/>
        </w:rPr>
        <w:t> </w:t>
      </w:r>
    </w:p>
    <w:p>
      <w:pPr>
        <w:spacing w:line="362" w:lineRule="auto" w:before="161"/>
        <w:ind w:left="102" w:right="120" w:firstLine="707"/>
        <w:jc w:val="both"/>
        <w:rPr>
          <w:sz w:val="24"/>
        </w:rPr>
      </w:pPr>
      <w:r>
        <w:rPr>
          <w:sz w:val="24"/>
        </w:rPr>
        <w:t>En (1.23), se asume una </w:t>
      </w:r>
      <w:r>
        <w:rPr>
          <w:i/>
          <w:sz w:val="24"/>
        </w:rPr>
        <w:t>regla fiscal de deuda pública constante </w:t>
      </w:r>
      <w:r>
        <w:rPr>
          <w:sz w:val="24"/>
        </w:rPr>
        <w:t>o de variación cero en el endeudamiento público              ); por tanto, la dinámica del balance primario sigue    el</w:t>
      </w:r>
      <w:r>
        <w:rPr>
          <w:spacing w:val="-2"/>
          <w:sz w:val="24"/>
        </w:rPr>
        <w:t> </w:t>
      </w:r>
      <w:r>
        <w:rPr>
          <w:sz w:val="24"/>
        </w:rPr>
        <w:t>comportamiento:</w:t>
      </w:r>
    </w:p>
    <w:p>
      <w:pPr>
        <w:tabs>
          <w:tab w:pos="991" w:val="left" w:leader="none"/>
        </w:tabs>
        <w:spacing w:line="226" w:lineRule="exact" w:before="126"/>
        <w:ind w:left="0" w:right="1283" w:firstLine="0"/>
        <w:jc w:val="right"/>
        <w:rPr>
          <w:sz w:val="24"/>
        </w:rPr>
      </w:pPr>
      <w:r>
        <w:rPr/>
        <w:pict>
          <v:line style="position:absolute;mso-position-horizontal-relative:page;mso-position-vertical-relative:paragraph;z-index:2584" from="181.580002pt,13.543136pt" to="216.284002pt,13.543136pt" stroked="true" strokeweight=".95999pt" strokecolor="#000000">
            <w10:wrap type="none"/>
          </v:line>
        </w:pict>
      </w:r>
      <w:r>
        <w:rPr/>
        <w:pict>
          <v:line style="position:absolute;mso-position-horizontal-relative:page;mso-position-vertical-relative:paragraph;z-index:-569512" from="390.309998pt,13.543136pt" to="424.989998pt,13.543136pt" stroked="true" strokeweight=".95999pt" strokecolor="#000000">
            <w10:wrap type="none"/>
          </v:line>
        </w:pict>
      </w:r>
      <w:r>
        <w:rPr>
          <w:rFonts w:ascii="Cambria Math"/>
          <w:spacing w:val="-2"/>
          <w:w w:val="187"/>
          <w:position w:val="17"/>
          <w:sz w:val="20"/>
        </w:rPr>
        <w:t> </w:t>
      </w:r>
      <w:r>
        <w:rPr>
          <w:rFonts w:ascii="Cambria Math"/>
          <w:spacing w:val="-19"/>
          <w:w w:val="239"/>
          <w:position w:val="17"/>
          <w:sz w:val="20"/>
        </w:rPr>
        <w:t> </w:t>
      </w:r>
      <w:r>
        <w:rPr>
          <w:rFonts w:ascii="Cambria Math"/>
          <w:spacing w:val="7"/>
          <w:w w:val="215"/>
          <w:position w:val="12"/>
          <w:sz w:val="16"/>
        </w:rPr>
        <w:t> </w:t>
      </w:r>
      <w:r>
        <w:rPr>
          <w:rFonts w:ascii="Cambria Math"/>
          <w:spacing w:val="1"/>
          <w:w w:val="329"/>
          <w:position w:val="17"/>
          <w:sz w:val="20"/>
        </w:rPr>
        <w:t> </w:t>
      </w:r>
      <w:r>
        <w:rPr>
          <w:rFonts w:ascii="Cambria Math"/>
          <w:spacing w:val="-5"/>
          <w:w w:val="298"/>
          <w:position w:val="17"/>
          <w:sz w:val="20"/>
        </w:rPr>
        <w:t> </w:t>
      </w:r>
      <w:r>
        <w:rPr>
          <w:rFonts w:ascii="Cambria Math"/>
          <w:spacing w:val="7"/>
          <w:w w:val="215"/>
          <w:position w:val="12"/>
          <w:sz w:val="16"/>
        </w:rPr>
        <w:t> </w:t>
      </w:r>
      <w:r>
        <w:rPr>
          <w:rFonts w:ascii="Cambria Math"/>
          <w:w w:val="187"/>
          <w:position w:val="17"/>
          <w:sz w:val="20"/>
        </w:rPr>
        <w:t> </w:t>
      </w:r>
      <w:r>
        <w:rPr>
          <w:rFonts w:ascii="Cambria Math"/>
          <w:position w:val="17"/>
          <w:sz w:val="20"/>
        </w:rPr>
        <w:tab/>
      </w:r>
      <w:r>
        <w:rPr>
          <w:spacing w:val="-1"/>
          <w:sz w:val="24"/>
        </w:rPr>
        <w:t>(1.24)</w:t>
      </w:r>
    </w:p>
    <w:p>
      <w:pPr>
        <w:spacing w:line="184" w:lineRule="exact" w:before="0"/>
        <w:ind w:left="0" w:right="2190" w:firstLine="0"/>
        <w:jc w:val="right"/>
        <w:rPr>
          <w:rFonts w:ascii="Cambria Math"/>
          <w:sz w:val="20"/>
        </w:rPr>
      </w:pPr>
      <w:r>
        <w:rPr>
          <w:rFonts w:ascii="Cambria Math"/>
          <w:spacing w:val="-2"/>
          <w:w w:val="187"/>
          <w:sz w:val="20"/>
        </w:rPr>
        <w:t> </w:t>
      </w:r>
      <w:r>
        <w:rPr>
          <w:rFonts w:ascii="Cambria Math"/>
          <w:spacing w:val="2"/>
          <w:w w:val="261"/>
          <w:sz w:val="20"/>
        </w:rPr>
        <w:t> </w:t>
      </w:r>
      <w:r>
        <w:rPr>
          <w:rFonts w:ascii="Cambria Math"/>
          <w:spacing w:val="-1"/>
          <w:w w:val="329"/>
          <w:sz w:val="20"/>
        </w:rPr>
        <w:t> </w:t>
      </w:r>
      <w:r>
        <w:rPr>
          <w:rFonts w:ascii="Cambria Math"/>
          <w:spacing w:val="-5"/>
          <w:w w:val="298"/>
          <w:sz w:val="20"/>
        </w:rPr>
        <w:t> </w:t>
      </w:r>
      <w:r>
        <w:rPr>
          <w:rFonts w:ascii="Cambria Math"/>
          <w:spacing w:val="7"/>
          <w:w w:val="215"/>
          <w:position w:val="-3"/>
          <w:sz w:val="16"/>
        </w:rPr>
        <w:t> </w:t>
      </w:r>
      <w:r>
        <w:rPr>
          <w:rFonts w:ascii="Cambria Math"/>
          <w:w w:val="187"/>
          <w:sz w:val="20"/>
        </w:rPr>
        <w:t> </w:t>
      </w:r>
    </w:p>
    <w:p>
      <w:pPr>
        <w:pStyle w:val="BodyText"/>
        <w:tabs>
          <w:tab w:pos="809" w:val="left" w:leader="none"/>
        </w:tabs>
        <w:spacing w:line="362" w:lineRule="auto" w:before="163"/>
        <w:ind w:left="102" w:right="118"/>
        <w:jc w:val="both"/>
      </w:pPr>
      <w:r>
        <w:rPr/>
        <w:t>.</w:t>
        <w:tab/>
        <w:t>Así  por  ejemplo  en  (1.24),  si             </w:t>
      </w:r>
      <w:r>
        <w:rPr/>
        <w:t>,  se  obliga  al  gobierno  en</w:t>
      </w:r>
      <w:r>
        <w:rPr>
          <w:spacing w:val="36"/>
        </w:rPr>
        <w:t> </w:t>
      </w:r>
      <w:r>
        <w:rPr/>
        <w:t>incrementar</w:t>
      </w:r>
      <w:r>
        <w:rPr>
          <w:spacing w:val="58"/>
        </w:rPr>
        <w:t> </w:t>
      </w:r>
      <w:r>
        <w:rPr/>
        <w:t>su</w:t>
      </w:r>
      <w:r>
        <w:rPr>
          <w:w w:val="99"/>
        </w:rPr>
        <w:t> </w:t>
      </w:r>
      <w:r>
        <w:rPr/>
        <w:t>superávit fiscal primario con el propósito de buscar una convergencia en la disminución de deuda pública, lo cual implica sostenibilidad</w:t>
      </w:r>
      <w:r>
        <w:rPr>
          <w:spacing w:val="-11"/>
        </w:rPr>
        <w:t> </w:t>
      </w:r>
      <w:r>
        <w:rPr/>
        <w:t>fiscal.</w:t>
      </w:r>
    </w:p>
    <w:p>
      <w:pPr>
        <w:pStyle w:val="BodyText"/>
        <w:spacing w:line="360" w:lineRule="auto" w:before="1"/>
        <w:ind w:left="102" w:right="122" w:firstLine="707"/>
        <w:jc w:val="both"/>
      </w:pPr>
      <w:r>
        <w:rPr/>
        <w:t>La condición de sostenibilidad fiscal implica que si el gobierno incrementa su endeudamiento público en un período o el costo real de la deuda pública es mayor que el crecimiento real del producto, en el futuro se deberá incrementar el superávit fiscal  primario para que la deuda pública a PIB vuelva a su nivel inicial (condición de convergencia).</w:t>
      </w:r>
    </w:p>
    <w:p>
      <w:pPr>
        <w:pStyle w:val="BodyText"/>
        <w:spacing w:line="360" w:lineRule="auto" w:before="4"/>
        <w:ind w:left="102" w:right="123" w:firstLine="707"/>
        <w:jc w:val="both"/>
      </w:pPr>
      <w:r>
        <w:rPr/>
        <w:t>La insostenibilidad fiscal deteriora el bienestar general a través de déficits fiscales persistentes y excesiva deuda pública, generando un uso ineficiente de los recursos y provocando incremento en la tasa de inflación, así como volatilidades macroeconómicas (Agnello &amp; Sousa, 2009). Adicionalmente, la insostenibilidad fiscal involucra el riesgo  </w:t>
      </w:r>
      <w:r>
        <w:rPr>
          <w:spacing w:val="50"/>
        </w:rPr>
        <w:t> </w:t>
      </w:r>
      <w:r>
        <w:rPr/>
        <w:t>de</w:t>
      </w:r>
    </w:p>
    <w:p>
      <w:pPr>
        <w:spacing w:after="0" w:line="360" w:lineRule="auto"/>
        <w:jc w:val="both"/>
        <w:sectPr>
          <w:pgSz w:w="12250" w:h="15850"/>
          <w:pgMar w:header="0" w:footer="1037" w:top="1360" w:bottom="1220" w:left="1600" w:right="1580"/>
        </w:sectPr>
      </w:pPr>
    </w:p>
    <w:p>
      <w:pPr>
        <w:pStyle w:val="BodyText"/>
        <w:spacing w:line="360" w:lineRule="auto" w:before="50"/>
        <w:ind w:left="122" w:right="120"/>
        <w:jc w:val="both"/>
      </w:pPr>
      <w:r>
        <w:rPr/>
        <w:t>incremento de las tasas de interés futuras, con contracciones en el crecimiento económico (Castro &amp; Hernandez de Cos, 2000).</w:t>
      </w:r>
    </w:p>
    <w:p>
      <w:pPr>
        <w:pStyle w:val="BodyText"/>
        <w:spacing w:line="360" w:lineRule="auto" w:before="6"/>
        <w:ind w:left="122" w:right="119" w:firstLine="707"/>
        <w:jc w:val="both"/>
      </w:pPr>
      <w:r>
        <w:rPr/>
        <w:t>Por otra parte, se argumenta que la sostenibilidad fiscal se presenta en el comportamiento estacionario de la deuda pública (oscila en torno a una media) y por lo tanto los gobiernos no están presionados a incrementar los impuestos ni a disminuir el gasto público, revirtiendo el déficit fiscal o limitándose al endeudamiento público (Blanchard, et al., 1991).</w:t>
      </w:r>
    </w:p>
    <w:p>
      <w:pPr>
        <w:pStyle w:val="BodyText"/>
        <w:spacing w:before="7"/>
        <w:rPr>
          <w:sz w:val="21"/>
        </w:rPr>
      </w:pPr>
    </w:p>
    <w:p>
      <w:pPr>
        <w:pStyle w:val="Heading4"/>
        <w:numPr>
          <w:ilvl w:val="2"/>
          <w:numId w:val="8"/>
        </w:numPr>
        <w:tabs>
          <w:tab w:pos="983" w:val="left" w:leader="none"/>
          <w:tab w:pos="984" w:val="left" w:leader="none"/>
        </w:tabs>
        <w:spacing w:line="240" w:lineRule="auto" w:before="1" w:after="0"/>
        <w:ind w:left="983" w:right="0" w:hanging="720"/>
        <w:jc w:val="left"/>
      </w:pPr>
      <w:bookmarkStart w:name="_bookmark10" w:id="15"/>
      <w:bookmarkEnd w:id="15"/>
      <w:r>
        <w:rPr>
          <w:b w:val="0"/>
        </w:rPr>
      </w:r>
      <w:bookmarkStart w:name="_bookmark10" w:id="16"/>
      <w:bookmarkEnd w:id="16"/>
      <w:r>
        <w:rPr/>
        <w:t>E</w:t>
      </w:r>
      <w:r>
        <w:rPr/>
        <w:t>videncias empíricas de sostenibilidad</w:t>
      </w:r>
      <w:r>
        <w:rPr>
          <w:spacing w:val="-7"/>
        </w:rPr>
        <w:t> </w:t>
      </w:r>
      <w:r>
        <w:rPr/>
        <w:t>fiscal</w:t>
      </w:r>
    </w:p>
    <w:p>
      <w:pPr>
        <w:pStyle w:val="BodyText"/>
        <w:spacing w:line="360" w:lineRule="auto" w:before="194"/>
        <w:ind w:left="122" w:right="115" w:firstLine="707"/>
        <w:jc w:val="both"/>
      </w:pPr>
      <w:r>
        <w:rPr/>
        <w:t>En esta sección se explican diversas evidencias internacionales sobre sostenibilidad fiscal, en especial al hacer mención sobre los fundamentos que determinan el criterio de sostenibilidad e insostenibilidad. Se parte en un contexto de lo general a lo particular: desde países europeos, para luego abordar países de América Latina, así como países  exportadores de petróleo. Finalmente, se menciona la literatura relacionada con la sostenibilidad fiscal de</w:t>
      </w:r>
      <w:r>
        <w:rPr>
          <w:spacing w:val="-6"/>
        </w:rPr>
        <w:t> </w:t>
      </w:r>
      <w:r>
        <w:rPr/>
        <w:t>Bolivia.</w:t>
      </w:r>
    </w:p>
    <w:p>
      <w:pPr>
        <w:pStyle w:val="BodyText"/>
        <w:spacing w:before="6"/>
        <w:ind w:left="830" w:right="115"/>
      </w:pPr>
      <w:r>
        <w:rPr/>
        <w:t>En  el   contexto  europeo,  Croce   &amp;  Hugo   (2003)  demostraron  tres   tipos      de</w:t>
      </w:r>
    </w:p>
    <w:p>
      <w:pPr>
        <w:pStyle w:val="BodyText"/>
        <w:spacing w:line="352" w:lineRule="auto" w:before="137"/>
        <w:ind w:left="122" w:right="115"/>
        <w:jc w:val="both"/>
      </w:pPr>
      <w:r>
        <w:rPr>
          <w:w w:val="155"/>
        </w:rPr>
        <w:t>    </w:t>
      </w:r>
      <w:r>
        <w:rPr>
          <w:spacing w:val="-1"/>
          <w:w w:val="177"/>
        </w:rPr>
        <w:t> </w:t>
      </w:r>
      <w:r>
        <w:rPr>
          <w:w w:val="155"/>
        </w:rPr>
        <w:t>    </w:t>
      </w:r>
      <w:r>
        <w:rPr>
          <w:w w:val="111"/>
        </w:rPr>
        <w:t>  </w:t>
      </w:r>
      <w:r>
        <w:rPr>
          <w:w w:val="188"/>
        </w:rPr>
        <w:t> </w:t>
      </w:r>
      <w:r>
        <w:rPr>
          <w:spacing w:val="-1"/>
          <w:w w:val="188"/>
        </w:rPr>
        <w:t> </w:t>
      </w:r>
      <w:r>
        <w:rPr>
          <w:w w:val="200"/>
        </w:rPr>
        <w:t> </w:t>
      </w:r>
      <w:r>
        <w:rPr>
          <w:spacing w:val="4"/>
        </w:rPr>
        <w:t> </w:t>
      </w:r>
      <w:r>
        <w:rPr>
          <w:w w:val="144"/>
        </w:rPr>
        <w:t>   </w:t>
      </w:r>
      <w:r>
        <w:rPr>
          <w:spacing w:val="-1"/>
          <w:w w:val="144"/>
        </w:rPr>
        <w:t> </w:t>
      </w:r>
      <w:r>
        <w:rPr>
          <w:spacing w:val="-1"/>
          <w:w w:val="177"/>
        </w:rPr>
        <w:t> </w:t>
      </w:r>
      <w:r>
        <w:rPr>
          <w:w w:val="111"/>
        </w:rPr>
        <w:t> </w:t>
      </w:r>
      <w:r>
        <w:rPr>
          <w:spacing w:val="5"/>
        </w:rPr>
        <w:t> </w:t>
      </w:r>
      <w:r>
        <w:rPr>
          <w:spacing w:val="-1"/>
          <w:w w:val="177"/>
        </w:rPr>
        <w:t> </w:t>
      </w:r>
      <w:r>
        <w:rPr>
          <w:w w:val="200"/>
        </w:rPr>
        <w:t> </w:t>
      </w:r>
      <w:r>
        <w:rPr>
          <w:spacing w:val="4"/>
        </w:rPr>
        <w:t> </w:t>
      </w:r>
      <w:r>
        <w:rPr>
          <w:spacing w:val="-1"/>
          <w:w w:val="177"/>
        </w:rPr>
        <w:t> </w:t>
      </w:r>
      <w:r>
        <w:rPr>
          <w:spacing w:val="-2"/>
          <w:w w:val="111"/>
        </w:rPr>
        <w:t> </w:t>
      </w:r>
      <w:r>
        <w:rPr>
          <w:w w:val="188"/>
        </w:rPr>
        <w:t> </w:t>
      </w:r>
      <w:r>
        <w:rPr>
          <w:spacing w:val="-1"/>
          <w:w w:val="188"/>
        </w:rPr>
        <w:t> </w:t>
      </w:r>
      <w:r>
        <w:rPr>
          <w:w w:val="200"/>
        </w:rPr>
        <w:t> </w:t>
      </w:r>
      <w:r>
        <w:rPr>
          <w:spacing w:val="4"/>
        </w:rPr>
        <w:t> </w:t>
      </w:r>
      <w:r>
        <w:rPr>
          <w:w w:val="188"/>
        </w:rPr>
        <w:t> </w:t>
      </w:r>
      <w:r>
        <w:rPr>
          <w:spacing w:val="-1"/>
          <w:w w:val="188"/>
        </w:rPr>
        <w:t> </w:t>
      </w:r>
      <w:r>
        <w:rPr>
          <w:w w:val="150"/>
        </w:rPr>
        <w:t>    </w:t>
      </w:r>
      <w:r>
        <w:rPr>
          <w:spacing w:val="4"/>
        </w:rPr>
        <w:t> </w:t>
      </w:r>
      <w:r>
        <w:rPr>
          <w:w w:val="188"/>
        </w:rPr>
        <w:t>  </w:t>
      </w:r>
      <w:r>
        <w:rPr>
          <w:spacing w:val="3"/>
        </w:rPr>
        <w:t> </w:t>
      </w:r>
      <w:r>
        <w:rPr>
          <w:spacing w:val="-1"/>
          <w:w w:val="177"/>
        </w:rPr>
        <w:t> </w:t>
      </w:r>
      <w:r>
        <w:rPr>
          <w:w w:val="148"/>
        </w:rPr>
        <w:t>   </w:t>
      </w:r>
      <w:r>
        <w:rPr>
          <w:spacing w:val="4"/>
        </w:rPr>
        <w:t> </w:t>
      </w:r>
      <w:r>
        <w:rPr>
          <w:spacing w:val="-1"/>
          <w:w w:val="177"/>
        </w:rPr>
        <w:t> </w:t>
      </w:r>
      <w:r>
        <w:rPr>
          <w:w w:val="155"/>
        </w:rPr>
        <w:t>    </w:t>
      </w:r>
      <w:r>
        <w:rPr>
          <w:w w:val="188"/>
        </w:rPr>
        <w:t> </w:t>
      </w:r>
      <w:r>
        <w:rPr>
          <w:spacing w:val="-1"/>
          <w:w w:val="188"/>
        </w:rPr>
        <w:t> </w:t>
      </w:r>
      <w:r>
        <w:rPr>
          <w:w w:val="162"/>
        </w:rPr>
        <w:t>   </w:t>
      </w:r>
      <w:r>
        <w:rPr/>
        <w:t> </w:t>
      </w:r>
      <w:r>
        <w:rPr>
          <w:spacing w:val="8"/>
        </w:rPr>
        <w:t> </w:t>
      </w:r>
      <w:r>
        <w:rPr>
          <w:w w:val="177"/>
        </w:rPr>
        <w:t>   </w:t>
      </w:r>
      <w:r>
        <w:rPr>
          <w:spacing w:val="-2"/>
          <w:w w:val="177"/>
        </w:rPr>
        <w:t> </w:t>
      </w:r>
      <w:r>
        <w:rPr>
          <w:w w:val="162"/>
        </w:rPr>
        <w:t>   </w:t>
      </w:r>
      <w:r>
        <w:rPr>
          <w:spacing w:val="4"/>
        </w:rPr>
        <w:t> </w:t>
      </w:r>
      <w:r>
        <w:rPr>
          <w:w w:val="144"/>
        </w:rPr>
        <w:t>  </w:t>
      </w:r>
      <w:r>
        <w:rPr>
          <w:spacing w:val="4"/>
        </w:rPr>
        <w:t> </w:t>
      </w:r>
      <w:r>
        <w:rPr>
          <w:w w:val="188"/>
        </w:rPr>
        <w:t> </w:t>
      </w:r>
      <w:r>
        <w:rPr>
          <w:spacing w:val="-1"/>
          <w:w w:val="188"/>
        </w:rPr>
        <w:t> </w:t>
      </w:r>
      <w:r>
        <w:rPr>
          <w:spacing w:val="-1"/>
          <w:w w:val="177"/>
        </w:rPr>
        <w:t>  </w:t>
      </w:r>
      <w:r>
        <w:rPr>
          <w:w w:val="188"/>
        </w:rPr>
        <w:t>  </w:t>
      </w:r>
      <w:r>
        <w:rPr>
          <w:spacing w:val="3"/>
        </w:rPr>
        <w:t> </w:t>
      </w:r>
      <w:r>
        <w:rPr>
          <w:spacing w:val="2"/>
          <w:w w:val="200"/>
        </w:rPr>
        <w:t> </w:t>
      </w:r>
      <w:r>
        <w:rPr>
          <w:w w:val="177"/>
        </w:rPr>
        <w:t> </w:t>
      </w:r>
      <w:r>
        <w:rPr>
          <w:spacing w:val="3"/>
        </w:rPr>
        <w:t> </w:t>
      </w:r>
      <w:r>
        <w:rPr>
          <w:w w:val="155"/>
        </w:rPr>
        <w:t>   </w:t>
      </w:r>
      <w:r>
        <w:rPr>
          <w:spacing w:val="5"/>
        </w:rPr>
        <w:t> </w:t>
      </w:r>
      <w:r>
        <w:rPr/>
        <w:t>9    ‘ niveles fueron: </w:t>
      </w:r>
      <w:r>
        <w:rPr>
          <w:i/>
        </w:rPr>
        <w:t>sostenibles </w:t>
      </w:r>
      <w:r>
        <w:rPr/>
        <w:t>(Bélgica, Irlanda); </w:t>
      </w:r>
      <w:r>
        <w:rPr>
          <w:i/>
        </w:rPr>
        <w:t>inconcluyentes </w:t>
      </w:r>
      <w:r>
        <w:rPr/>
        <w:t>(Italia, Suiza) e </w:t>
      </w:r>
      <w:r>
        <w:rPr>
          <w:i/>
        </w:rPr>
        <w:t>insostenible </w:t>
      </w:r>
      <w:r>
        <w:rPr/>
        <w:t>(Turquía), la regla de clasificación se basó en el cumplimiento de un algoritmo en el tiempo (posición fiscal sostenible)</w:t>
      </w:r>
      <w:r>
        <w:rPr>
          <w:position w:val="11"/>
          <w:sz w:val="16"/>
        </w:rPr>
        <w:t>19</w:t>
      </w:r>
      <w:r>
        <w:rPr/>
        <w:t>. En relación con Turquía, Ucal &amp; Alici (2010) sostuvieron que este  país  tenía  sostenibilidad  </w:t>
      </w:r>
      <w:r>
        <w:rPr>
          <w:i/>
        </w:rPr>
        <w:t>débil  </w:t>
      </w:r>
      <w:r>
        <w:rPr/>
        <w:t>dada  la  limitada  relación  de  largo  plazo  entre </w:t>
      </w:r>
      <w:r>
        <w:rPr>
          <w:spacing w:val="47"/>
        </w:rPr>
        <w:t> </w:t>
      </w:r>
      <w:r>
        <w:rPr/>
        <w:t>las</w:t>
      </w:r>
    </w:p>
    <w:p>
      <w:pPr>
        <w:pStyle w:val="BodyText"/>
        <w:spacing w:line="360" w:lineRule="auto" w:before="14"/>
        <w:ind w:left="122" w:right="119"/>
        <w:jc w:val="both"/>
      </w:pPr>
      <w:r>
        <w:rPr/>
        <w:t>variables de las finanzas públicas (ingreso, gasto y deuda gubernamental) (equilibrio de las finanzas públicas en el largo plazo).</w:t>
      </w:r>
    </w:p>
    <w:p>
      <w:pPr>
        <w:pStyle w:val="BodyText"/>
        <w:spacing w:line="350" w:lineRule="auto" w:before="7"/>
        <w:ind w:left="122" w:right="119" w:firstLine="707"/>
        <w:jc w:val="both"/>
      </w:pPr>
      <w:r>
        <w:rPr/>
        <w:t>Stoian &amp; Câmpeanu (2010) evaluaron y clasificaron la sostenibilidad fiscal  de nueve países en Europa, durante 2000 – 2008, en cuyos sus resultados cuatro países fueron </w:t>
      </w:r>
      <w:r>
        <w:rPr>
          <w:i/>
        </w:rPr>
        <w:t>sostenibles</w:t>
      </w:r>
      <w:r>
        <w:rPr>
          <w:i/>
          <w:position w:val="11"/>
          <w:sz w:val="16"/>
        </w:rPr>
        <w:t>20 </w:t>
      </w:r>
      <w:r>
        <w:rPr/>
        <w:t>y cinco </w:t>
      </w:r>
      <w:r>
        <w:rPr>
          <w:i/>
        </w:rPr>
        <w:t>insostenibles</w:t>
      </w:r>
      <w:r>
        <w:rPr>
          <w:i/>
          <w:position w:val="11"/>
          <w:sz w:val="16"/>
        </w:rPr>
        <w:t>21</w:t>
      </w:r>
      <w:r>
        <w:rPr/>
        <w:t>. Los países insostenibles presentaban un deterioro del balance</w:t>
      </w:r>
      <w:r>
        <w:rPr>
          <w:spacing w:val="52"/>
        </w:rPr>
        <w:t> </w:t>
      </w:r>
      <w:r>
        <w:rPr/>
        <w:t>fiscal</w:t>
      </w:r>
      <w:r>
        <w:rPr>
          <w:spacing w:val="54"/>
        </w:rPr>
        <w:t> </w:t>
      </w:r>
      <w:r>
        <w:rPr/>
        <w:t>(aumento</w:t>
      </w:r>
      <w:r>
        <w:rPr>
          <w:spacing w:val="53"/>
        </w:rPr>
        <w:t> </w:t>
      </w:r>
      <w:r>
        <w:rPr/>
        <w:t>de</w:t>
      </w:r>
      <w:r>
        <w:rPr>
          <w:spacing w:val="50"/>
        </w:rPr>
        <w:t> </w:t>
      </w:r>
      <w:r>
        <w:rPr/>
        <w:t>déficit)</w:t>
      </w:r>
      <w:r>
        <w:rPr>
          <w:spacing w:val="50"/>
        </w:rPr>
        <w:t> </w:t>
      </w:r>
      <w:r>
        <w:rPr/>
        <w:t>ocasionado</w:t>
      </w:r>
      <w:r>
        <w:rPr>
          <w:spacing w:val="53"/>
        </w:rPr>
        <w:t> </w:t>
      </w:r>
      <w:r>
        <w:rPr/>
        <w:t>por</w:t>
      </w:r>
      <w:r>
        <w:rPr>
          <w:spacing w:val="50"/>
        </w:rPr>
        <w:t> </w:t>
      </w:r>
      <w:r>
        <w:rPr/>
        <w:t>un</w:t>
      </w:r>
      <w:r>
        <w:rPr>
          <w:spacing w:val="51"/>
        </w:rPr>
        <w:t> </w:t>
      </w:r>
      <w:r>
        <w:rPr/>
        <w:t>incremento</w:t>
      </w:r>
      <w:r>
        <w:rPr>
          <w:spacing w:val="51"/>
        </w:rPr>
        <w:t> </w:t>
      </w:r>
      <w:r>
        <w:rPr/>
        <w:t>de</w:t>
      </w:r>
      <w:r>
        <w:rPr>
          <w:spacing w:val="50"/>
        </w:rPr>
        <w:t> </w:t>
      </w:r>
      <w:r>
        <w:rPr/>
        <w:t>la</w:t>
      </w:r>
      <w:r>
        <w:rPr>
          <w:spacing w:val="50"/>
        </w:rPr>
        <w:t> </w:t>
      </w:r>
      <w:r>
        <w:rPr/>
        <w:t>deuda</w:t>
      </w:r>
      <w:r>
        <w:rPr>
          <w:spacing w:val="50"/>
        </w:rPr>
        <w:t> </w:t>
      </w:r>
      <w:r>
        <w:rPr/>
        <w:t>pública</w:t>
      </w:r>
    </w:p>
    <w:p>
      <w:pPr>
        <w:pStyle w:val="BodyText"/>
        <w:spacing w:before="8"/>
        <w:rPr>
          <w:sz w:val="16"/>
        </w:rPr>
      </w:pPr>
      <w:r>
        <w:rPr/>
        <w:pict>
          <v:line style="position:absolute;mso-position-horizontal-relative:page;mso-position-vertical-relative:paragraph;z-index:2632;mso-wrap-distance-left:0;mso-wrap-distance-right:0" from="85.103996pt,11.871344pt" to="229.123996pt,11.871344pt" stroked="true" strokeweight=".599980pt" strokecolor="#000000">
            <w10:wrap type="topAndBottom"/>
          </v:line>
        </w:pict>
      </w:r>
    </w:p>
    <w:p>
      <w:pPr>
        <w:spacing w:before="50"/>
        <w:ind w:left="122" w:right="226" w:firstLine="0"/>
        <w:jc w:val="left"/>
        <w:rPr>
          <w:sz w:val="20"/>
        </w:rPr>
      </w:pPr>
      <w:r>
        <w:rPr>
          <w:position w:val="9"/>
          <w:sz w:val="13"/>
        </w:rPr>
        <w:t>19 </w:t>
      </w:r>
      <w:r>
        <w:rPr>
          <w:sz w:val="20"/>
        </w:rPr>
        <w:t>La regla de Croce &amp; Hugo (2003) sostenía que si el parámetro de sostenibilidad era evidenciado en el 75% (o más) del periodo analizado, era catalogado como </w:t>
      </w:r>
      <w:r>
        <w:rPr>
          <w:i/>
          <w:sz w:val="20"/>
        </w:rPr>
        <w:t>sostenible de grado fuerte</w:t>
      </w:r>
      <w:r>
        <w:rPr>
          <w:sz w:val="20"/>
        </w:rPr>
        <w:t>; si oscilaba entre el 25% y 75% como </w:t>
      </w:r>
      <w:r>
        <w:rPr>
          <w:i/>
          <w:sz w:val="20"/>
        </w:rPr>
        <w:t>inconcluyente</w:t>
      </w:r>
      <w:r>
        <w:rPr>
          <w:sz w:val="20"/>
        </w:rPr>
        <w:t>; y menor del 25% era clasificado como </w:t>
      </w:r>
      <w:r>
        <w:rPr>
          <w:i/>
          <w:sz w:val="20"/>
        </w:rPr>
        <w:t>insostenible</w:t>
      </w:r>
      <w:r>
        <w:rPr>
          <w:sz w:val="20"/>
        </w:rPr>
        <w:t>.</w:t>
      </w:r>
    </w:p>
    <w:p>
      <w:pPr>
        <w:pStyle w:val="BodyText"/>
        <w:spacing w:before="10"/>
        <w:rPr>
          <w:sz w:val="17"/>
        </w:rPr>
      </w:pPr>
    </w:p>
    <w:p>
      <w:pPr>
        <w:spacing w:before="0"/>
        <w:ind w:left="122" w:right="115" w:firstLine="0"/>
        <w:jc w:val="left"/>
        <w:rPr>
          <w:sz w:val="20"/>
        </w:rPr>
      </w:pPr>
      <w:r>
        <w:rPr>
          <w:position w:val="9"/>
          <w:sz w:val="13"/>
        </w:rPr>
        <w:t>20 </w:t>
      </w:r>
      <w:r>
        <w:rPr>
          <w:sz w:val="20"/>
        </w:rPr>
        <w:t>Bulgaria, Estonia, Hungría y República Checa.</w:t>
      </w:r>
    </w:p>
    <w:p>
      <w:pPr>
        <w:pStyle w:val="BodyText"/>
        <w:spacing w:before="8"/>
        <w:rPr>
          <w:sz w:val="17"/>
        </w:rPr>
      </w:pPr>
    </w:p>
    <w:p>
      <w:pPr>
        <w:spacing w:before="0"/>
        <w:ind w:left="122" w:right="115" w:firstLine="0"/>
        <w:jc w:val="left"/>
        <w:rPr>
          <w:sz w:val="20"/>
        </w:rPr>
      </w:pPr>
      <w:r>
        <w:rPr>
          <w:position w:val="9"/>
          <w:sz w:val="13"/>
        </w:rPr>
        <w:t>21 </w:t>
      </w:r>
      <w:r>
        <w:rPr>
          <w:sz w:val="20"/>
        </w:rPr>
        <w:t>Eslovenia, Lituania, Letonia, Polonia y Rumania</w:t>
      </w:r>
    </w:p>
    <w:p>
      <w:pPr>
        <w:spacing w:after="0"/>
        <w:jc w:val="left"/>
        <w:rPr>
          <w:sz w:val="20"/>
        </w:rPr>
        <w:sectPr>
          <w:pgSz w:w="12250" w:h="15850"/>
          <w:pgMar w:header="0" w:footer="1037" w:top="1360" w:bottom="1220" w:left="1580" w:right="1580"/>
        </w:sectPr>
      </w:pPr>
    </w:p>
    <w:p>
      <w:pPr>
        <w:pStyle w:val="BodyText"/>
        <w:spacing w:line="360" w:lineRule="auto" w:before="50"/>
        <w:ind w:left="122" w:right="116"/>
        <w:jc w:val="both"/>
      </w:pPr>
      <w:r>
        <w:rPr/>
        <w:t>(función de reacción fiscal). Adicionalmente, se ha investigado que en países europeos la sostenibilidad fiscal proviene de la relación estable en el largo plazo entre el déficit fiscal y la deuda pública (Holmes, et al., 2010); la presencia de superávit fiscal en el corto plazo (Finlandia); y o sistemas de pensiones estables (Alemania, Italia y Austria) (equilibrio de  las finanzas públicas en el largo plazo). Por lo tanto, estos países tendrían menor probabilidad de entrar en cesación de pagos y por ende mayor sostenibilidad fiscal en largo plazo (Balassone, et al.,</w:t>
      </w:r>
      <w:r>
        <w:rPr>
          <w:spacing w:val="-3"/>
        </w:rPr>
        <w:t> </w:t>
      </w:r>
      <w:r>
        <w:rPr/>
        <w:t>2009).</w:t>
      </w:r>
    </w:p>
    <w:p>
      <w:pPr>
        <w:pStyle w:val="BodyText"/>
        <w:spacing w:line="360" w:lineRule="auto" w:before="4"/>
        <w:ind w:left="122" w:right="115" w:firstLine="707"/>
        <w:jc w:val="both"/>
      </w:pPr>
      <w:r>
        <w:rPr/>
        <w:t>Casos contradictorios de solvencia fiscal pueden surgir por las diferencias del período de estudio (y/o la muestra de países). En tal situación, Afonso &amp; Rault (2010) verificaron la existencia de relaciones de largo plazo (condición de solvencia) entre deuda pública, balance fiscal, ingresos y gastos gubernamentales en las quince mayores  economías de la Unión Europea (EU-15) durante el periodo 1970- 2006. Contrariamente, los mismos autores (Afonso &amp; Rault, 2008), con un mayor número de países analizados (EU – 27) y un periodo de tiempo más prolongado (1960 – 2006), llegaron a la conclusión que la política fiscal era insostenible dentro del grupo total analizado (equilibrio de las finanzas públicas en el largo plazo). Asimismo, estos resultados fueron evidenciados con la crisis de deuda pública en Grecia, cuyo nivel de endeudamiento en el 2011 bordeaba el 150% en relación con el producto interno bruto (Buchheit &amp; Gulati,</w:t>
      </w:r>
      <w:r>
        <w:rPr>
          <w:spacing w:val="-10"/>
        </w:rPr>
        <w:t> </w:t>
      </w:r>
      <w:r>
        <w:rPr/>
        <w:t>2011).</w:t>
      </w:r>
    </w:p>
    <w:p>
      <w:pPr>
        <w:pStyle w:val="BodyText"/>
        <w:spacing w:line="360" w:lineRule="auto" w:before="6"/>
        <w:ind w:left="122" w:right="119" w:firstLine="707"/>
        <w:jc w:val="both"/>
      </w:pPr>
      <w:r>
        <w:rPr/>
        <w:t>En el contexto de países de América Latina, los resultados han sido contradictorios. Así por ejemplo, se ha evidenciado sostenibilidad fiscal para Brasil y Uruguay, basado en: en el no deterioro del balance fiscal frente a incrementos de endeudamiento público; la estabilidad de la deuda gubernamental en el largo plazo; la inclusión de techos de deuda pública (cambios institucionales) en los diferentes niveles de gobierno (De Mello, 2005; Hajdenberg &amp; Romeu, 2010) (función de reacción fiscal).</w:t>
      </w:r>
    </w:p>
    <w:p>
      <w:pPr>
        <w:pStyle w:val="BodyText"/>
        <w:spacing w:line="340" w:lineRule="auto" w:before="4"/>
        <w:ind w:left="122" w:right="115" w:firstLine="707"/>
        <w:jc w:val="both"/>
      </w:pPr>
      <w:r>
        <w:rPr/>
        <w:t>De forma contraria, otros estudios indicaron que en Brasil, Uruguay, Perú y Argentina la sostenibilidad fiscal había sido </w:t>
      </w:r>
      <w:r>
        <w:rPr>
          <w:i/>
        </w:rPr>
        <w:t>débil, </w:t>
      </w:r>
      <w:r>
        <w:rPr/>
        <w:t>fundamentado en: largos períodos de déficit fiscal e incumplimiento del algoritmo de posición fiscal sostenible</w:t>
      </w:r>
      <w:r>
        <w:rPr>
          <w:position w:val="11"/>
          <w:sz w:val="16"/>
        </w:rPr>
        <w:t>22</w:t>
      </w:r>
      <w:r>
        <w:rPr/>
        <w:t>; deterioro del balance fiscal como resultado de incrementos de la deuda pública</w:t>
      </w:r>
      <w:r>
        <w:rPr>
          <w:position w:val="11"/>
          <w:sz w:val="16"/>
        </w:rPr>
        <w:t>23</w:t>
      </w:r>
      <w:r>
        <w:rPr/>
        <w:t>;         baja relación entre</w:t>
      </w:r>
    </w:p>
    <w:p>
      <w:pPr>
        <w:pStyle w:val="BodyText"/>
        <w:rPr>
          <w:sz w:val="20"/>
        </w:rPr>
      </w:pPr>
    </w:p>
    <w:p>
      <w:pPr>
        <w:pStyle w:val="BodyText"/>
        <w:spacing w:before="5"/>
        <w:rPr>
          <w:sz w:val="10"/>
        </w:rPr>
      </w:pPr>
      <w:r>
        <w:rPr/>
        <w:pict>
          <v:line style="position:absolute;mso-position-horizontal-relative:page;mso-position-vertical-relative:paragraph;z-index:2656;mso-wrap-distance-left:0;mso-wrap-distance-right:0" from="85.103996pt,8.250944pt" to="229.123996pt,8.250944pt" stroked="true" strokeweight=".599980pt" strokecolor="#000000">
            <w10:wrap type="topAndBottom"/>
          </v:line>
        </w:pict>
      </w:r>
    </w:p>
    <w:p>
      <w:pPr>
        <w:spacing w:before="50"/>
        <w:ind w:left="122" w:right="115" w:firstLine="0"/>
        <w:jc w:val="left"/>
        <w:rPr>
          <w:sz w:val="20"/>
        </w:rPr>
      </w:pPr>
      <w:r>
        <w:rPr>
          <w:position w:val="9"/>
          <w:sz w:val="13"/>
        </w:rPr>
        <w:t>22 </w:t>
      </w:r>
      <w:r>
        <w:rPr>
          <w:sz w:val="20"/>
        </w:rPr>
        <w:t>Argentina y Brasil. Véase Croce &amp; Hugo (2003).</w:t>
      </w:r>
    </w:p>
    <w:p>
      <w:pPr>
        <w:pStyle w:val="BodyText"/>
        <w:spacing w:before="8"/>
        <w:rPr>
          <w:sz w:val="17"/>
        </w:rPr>
      </w:pPr>
    </w:p>
    <w:p>
      <w:pPr>
        <w:spacing w:before="0"/>
        <w:ind w:left="122" w:right="115" w:firstLine="0"/>
        <w:jc w:val="left"/>
        <w:rPr>
          <w:sz w:val="20"/>
        </w:rPr>
      </w:pPr>
      <w:r>
        <w:rPr>
          <w:position w:val="9"/>
          <w:sz w:val="13"/>
        </w:rPr>
        <w:t>23  </w:t>
      </w:r>
      <w:r>
        <w:rPr>
          <w:sz w:val="20"/>
        </w:rPr>
        <w:t>Perú (Ghatak &amp; Sánchez, 2007).</w:t>
      </w:r>
    </w:p>
    <w:p>
      <w:pPr>
        <w:spacing w:after="0"/>
        <w:jc w:val="left"/>
        <w:rPr>
          <w:sz w:val="20"/>
        </w:rPr>
        <w:sectPr>
          <w:pgSz w:w="12250" w:h="15850"/>
          <w:pgMar w:header="0" w:footer="1037" w:top="1360" w:bottom="1220" w:left="1580" w:right="1580"/>
        </w:sectPr>
      </w:pPr>
    </w:p>
    <w:p>
      <w:pPr>
        <w:pStyle w:val="BodyText"/>
        <w:spacing w:line="360" w:lineRule="auto" w:before="55"/>
        <w:ind w:left="122" w:right="115"/>
      </w:pPr>
      <w:r>
        <w:rPr/>
        <w:t>ingresos y gastos fiscales en el largo plazo</w:t>
      </w:r>
      <w:r>
        <w:rPr>
          <w:position w:val="11"/>
          <w:sz w:val="16"/>
        </w:rPr>
        <w:t>24 </w:t>
      </w:r>
      <w:r>
        <w:rPr/>
        <w:t>(Campo, 2011; Ghatak &amp; Sánchez, 2007; Aráoz, et al., 2006; Croce &amp; Hugo, 2003) (función de reacción fiscal).</w:t>
      </w:r>
    </w:p>
    <w:p>
      <w:pPr>
        <w:pStyle w:val="BodyText"/>
        <w:spacing w:line="360" w:lineRule="auto" w:before="6"/>
        <w:ind w:left="122" w:right="119" w:firstLine="707"/>
        <w:jc w:val="both"/>
      </w:pPr>
      <w:r>
        <w:rPr/>
        <w:t>En el caso de países latinoamericanos catalogados como </w:t>
      </w:r>
      <w:r>
        <w:rPr>
          <w:i/>
        </w:rPr>
        <w:t>exportadores netos de </w:t>
      </w:r>
      <w:r>
        <w:rPr>
          <w:i/>
        </w:rPr>
        <w:t>petróleo</w:t>
      </w:r>
      <w:r>
        <w:rPr/>
        <w:t>, la literatura ofrece resultados diversos. Para Venezuela y Ecuador se ha encontrado insostenibilidad fiscal como secuencia de las altas fluctuaciones de los precios petroleros (Ríos, 2003; Izquierdo &amp; Panizza,</w:t>
      </w:r>
      <w:r>
        <w:rPr>
          <w:spacing w:val="-8"/>
        </w:rPr>
        <w:t> </w:t>
      </w:r>
      <w:r>
        <w:rPr/>
        <w:t>2004).</w:t>
      </w:r>
    </w:p>
    <w:p>
      <w:pPr>
        <w:pStyle w:val="BodyText"/>
        <w:spacing w:line="360" w:lineRule="auto" w:before="6"/>
        <w:ind w:left="122" w:right="116" w:firstLine="767"/>
        <w:jc w:val="both"/>
      </w:pPr>
      <w:r>
        <w:rPr/>
        <w:t>En el caso de Colombia, se ha evidenciado fuerte grado de sostenibilidad fiscal debido a la relación estable de largo plazo entre ingresos, gastos y deuda pública (Moreno  &amp; Pérez, 2009; Lozano &amp; Cabrera, 2009; Carrasquilla &amp; Salazar, 1992) (equilibrio de las finanzas públicas en el largo</w:t>
      </w:r>
      <w:r>
        <w:rPr>
          <w:spacing w:val="-9"/>
        </w:rPr>
        <w:t> </w:t>
      </w:r>
      <w:r>
        <w:rPr/>
        <w:t>plazo).</w:t>
      </w:r>
    </w:p>
    <w:p>
      <w:pPr>
        <w:pStyle w:val="BodyText"/>
        <w:spacing w:line="360" w:lineRule="auto" w:before="6"/>
        <w:ind w:left="122" w:right="115" w:firstLine="707"/>
        <w:jc w:val="both"/>
      </w:pPr>
      <w:r>
        <w:rPr/>
        <w:t>En la economía mexicana, Cruz (2011) empleó el algoritmo de posición fiscal sostenible para 1990 – 2004, cuyos resultados indicaron </w:t>
      </w:r>
      <w:r>
        <w:rPr>
          <w:i/>
        </w:rPr>
        <w:t>insostenibilidad fiscal </w:t>
      </w:r>
      <w:r>
        <w:rPr/>
        <w:t>en el 83% del periodo observado. Anteriormente, Tanner &amp; Samake (2006) estimaron un modelo de vectores autoregresivos (VAR), concluyendo que para México la política fiscal fue sostenible durante 1999 – 2005, además que dicha condición provenía de </w:t>
      </w:r>
      <w:r>
        <w:rPr>
          <w:i/>
        </w:rPr>
        <w:t>choques </w:t>
      </w:r>
      <w:r>
        <w:rPr/>
        <w:t>positivos de tasas de interés de deuda y del tipo de cambio real (combinados), mientras que los choques de precios del petróleo también tuvieron un efecto positivo,  pero limitado.</w:t>
      </w:r>
    </w:p>
    <w:p>
      <w:pPr>
        <w:pStyle w:val="BodyText"/>
        <w:spacing w:line="360" w:lineRule="auto" w:before="4"/>
        <w:ind w:left="122" w:right="117" w:firstLine="707"/>
        <w:jc w:val="both"/>
      </w:pPr>
      <w:r>
        <w:rPr/>
        <w:t>En el contexto de Bolivia, han existido pocas investigaciones que evalúen la posición y sostenibilidad fiscal para este país, más aún encontrándose con resultados contradictorios. Así por ejemplo, mientras que Villafuerte, et al. (2011) encontraron una mejora significativa en términos de sostenibilidad fiscal para Bolivia durante el período 2003-2009 (evaluación del balance primario no petrolero cíclicamente</w:t>
      </w:r>
      <w:r>
        <w:rPr>
          <w:spacing w:val="-10"/>
        </w:rPr>
        <w:t> </w:t>
      </w:r>
      <w:r>
        <w:rPr/>
        <w:t>ajustado).</w:t>
      </w:r>
    </w:p>
    <w:p>
      <w:pPr>
        <w:pStyle w:val="BodyText"/>
        <w:spacing w:line="360" w:lineRule="auto" w:before="6"/>
        <w:ind w:left="122" w:right="120" w:firstLine="767"/>
        <w:jc w:val="both"/>
      </w:pPr>
      <w:r>
        <w:rPr/>
        <w:t>De forma contraria, Zambrano &amp; Aguilera (2010) encontraron un deterioro de la sostenibilidad fiscal de Bolivia durante el periodo 2005 y 2009, cuyo análisis consistió en separar los ingresos públicos de los recursos provenientes del sector petrolero, lo cual  derivó en un aumento del déficit fiscal no petrolero, y por ende un aumento de la vulnerabilidad de las finanzas públicas (evaluación del balance primario no petrolero cíclicamente</w:t>
      </w:r>
      <w:r>
        <w:rPr>
          <w:spacing w:val="-5"/>
        </w:rPr>
        <w:t> </w:t>
      </w:r>
      <w:r>
        <w:rPr/>
        <w:t>ajustado).</w:t>
      </w:r>
    </w:p>
    <w:p>
      <w:pPr>
        <w:pStyle w:val="BodyText"/>
        <w:spacing w:line="360" w:lineRule="auto" w:before="4"/>
        <w:ind w:left="122" w:right="119" w:firstLine="770"/>
        <w:jc w:val="both"/>
      </w:pPr>
      <w:r>
        <w:rPr>
          <w:spacing w:val="-3"/>
        </w:rPr>
        <w:t>La </w:t>
      </w:r>
      <w:r>
        <w:rPr/>
        <w:t>conclusión principal del trabajo de Zambrano &amp; Aguilera (2009) mostró, que pese al buen pasado reciente (2006- 2009) en términos de superávits fiscales positivos,  </w:t>
      </w:r>
      <w:r>
        <w:rPr>
          <w:spacing w:val="53"/>
        </w:rPr>
        <w:t> </w:t>
      </w:r>
      <w:r>
        <w:rPr/>
        <w:t>las</w:t>
      </w:r>
    </w:p>
    <w:p>
      <w:pPr>
        <w:pStyle w:val="BodyText"/>
        <w:spacing w:before="10"/>
        <w:rPr>
          <w:sz w:val="17"/>
        </w:rPr>
      </w:pPr>
      <w:r>
        <w:rPr/>
        <w:pict>
          <v:line style="position:absolute;mso-position-horizontal-relative:page;mso-position-vertical-relative:paragraph;z-index:2680;mso-wrap-distance-left:0;mso-wrap-distance-right:0" from="85.103996pt,12.559748pt" to="229.123996pt,12.559748pt" stroked="true" strokeweight=".60004pt" strokecolor="#000000">
            <w10:wrap type="topAndBottom"/>
          </v:line>
        </w:pict>
      </w:r>
    </w:p>
    <w:p>
      <w:pPr>
        <w:spacing w:before="50"/>
        <w:ind w:left="122" w:right="115" w:firstLine="0"/>
        <w:jc w:val="left"/>
        <w:rPr>
          <w:sz w:val="20"/>
        </w:rPr>
      </w:pPr>
      <w:r>
        <w:rPr>
          <w:position w:val="9"/>
          <w:sz w:val="13"/>
        </w:rPr>
        <w:t>24  </w:t>
      </w:r>
      <w:r>
        <w:rPr>
          <w:sz w:val="20"/>
        </w:rPr>
        <w:t>Argentina, Perú y Uruguay (Campo, 2011; Aráoz, et al., 2006).</w:t>
      </w:r>
    </w:p>
    <w:p>
      <w:pPr>
        <w:spacing w:after="0"/>
        <w:jc w:val="left"/>
        <w:rPr>
          <w:sz w:val="20"/>
        </w:rPr>
        <w:sectPr>
          <w:pgSz w:w="12250" w:h="15850"/>
          <w:pgMar w:header="0" w:footer="1037" w:top="1320" w:bottom="1220" w:left="1580" w:right="1580"/>
        </w:sectPr>
      </w:pPr>
    </w:p>
    <w:p>
      <w:pPr>
        <w:pStyle w:val="BodyText"/>
        <w:spacing w:line="360" w:lineRule="auto" w:before="50"/>
        <w:ind w:left="102" w:right="116"/>
        <w:jc w:val="both"/>
      </w:pPr>
      <w:r>
        <w:rPr/>
        <w:t>tendencias de las finanzas públicas resultaban insostenibles en el largo plazo, lo cual ameritaba la aplicación de reglas fiscales para generar mejores prospectos. De  forma aterior, Lora, et al. (2002) realizaron proyecciones macroeconómicas para el periodo 2002- 2015, cuyas conclusiones estimaron un superávit primario sostenible del 1.5% a PIB. Posteriormente, los autores recomendaron la realización de ajustes a la política fiscal con el fin de reducir el déficit público.</w:t>
      </w:r>
    </w:p>
    <w:p>
      <w:pPr>
        <w:pStyle w:val="BodyText"/>
        <w:spacing w:before="9"/>
        <w:rPr>
          <w:sz w:val="21"/>
        </w:rPr>
      </w:pPr>
    </w:p>
    <w:p>
      <w:pPr>
        <w:pStyle w:val="Heading4"/>
        <w:numPr>
          <w:ilvl w:val="1"/>
          <w:numId w:val="8"/>
        </w:numPr>
        <w:tabs>
          <w:tab w:pos="678" w:val="left" w:leader="none"/>
        </w:tabs>
        <w:spacing w:line="240" w:lineRule="auto" w:before="0" w:after="0"/>
        <w:ind w:left="678" w:right="0" w:hanging="576"/>
        <w:jc w:val="both"/>
      </w:pPr>
      <w:bookmarkStart w:name="_bookmark11" w:id="17"/>
      <w:bookmarkEnd w:id="17"/>
      <w:r>
        <w:rPr>
          <w:b w:val="0"/>
        </w:rPr>
      </w:r>
      <w:bookmarkStart w:name="_bookmark11" w:id="18"/>
      <w:bookmarkEnd w:id="18"/>
      <w:r>
        <w:rPr/>
        <w:t>La</w:t>
      </w:r>
      <w:r>
        <w:rPr/>
        <w:t> orientación  de la política fiscal en países dependientes de recursos</w:t>
      </w:r>
      <w:r>
        <w:rPr>
          <w:spacing w:val="-17"/>
        </w:rPr>
        <w:t> </w:t>
      </w:r>
      <w:r>
        <w:rPr/>
        <w:t>naturales</w:t>
      </w:r>
    </w:p>
    <w:p>
      <w:pPr>
        <w:pStyle w:val="BodyText"/>
        <w:spacing w:before="4"/>
        <w:rPr>
          <w:b/>
          <w:sz w:val="32"/>
        </w:rPr>
      </w:pPr>
    </w:p>
    <w:p>
      <w:pPr>
        <w:pStyle w:val="BodyText"/>
        <w:spacing w:line="360" w:lineRule="auto"/>
        <w:ind w:left="102" w:right="118" w:firstLine="707"/>
        <w:jc w:val="both"/>
      </w:pPr>
      <w:r>
        <w:rPr/>
        <w:t>El análisis tradicional de la política fiscal se centra en las variaciones del gasto público con relación los movimientos del producto real. Para países dependientes de recursos naturales se analiza el comportamiento del gasto público en comparación con las fluctuaciones de los precios de los recursos naturales.</w:t>
      </w:r>
    </w:p>
    <w:p>
      <w:pPr>
        <w:pStyle w:val="BodyText"/>
        <w:spacing w:line="360" w:lineRule="auto" w:before="6"/>
        <w:ind w:left="102" w:right="115" w:firstLine="707"/>
        <w:jc w:val="both"/>
      </w:pPr>
      <w:r>
        <w:rPr/>
        <w:t>En consecuencia, esta sección se encuentra estructurada en dos segmentos: el primero aborda los elementos relacionados con la ciclicalidad de la posición fiscal con especial énfasis a países dependientes de recursos naturales; el segundo, brinda una argumentación teórica sobre los movimientos cíclicos asociados a los cambios institucionales en las finanzas públicas.</w:t>
      </w:r>
    </w:p>
    <w:p>
      <w:pPr>
        <w:pStyle w:val="BodyText"/>
        <w:spacing w:line="360" w:lineRule="auto" w:before="4"/>
        <w:ind w:left="102" w:right="118" w:firstLine="707"/>
        <w:jc w:val="both"/>
      </w:pPr>
      <w:r>
        <w:rPr/>
        <w:t>En el primer segmento, se presentan tres propósitos: (i) revisar los distintos enfoques para la medición de los movimientos cíclicos de la política fiscal; (ii) debatir  sobre la orientación que debería tener el gasto público (rol fiscal) con relación a  dos posturas filosóficas: la perspectiva Keynesiana y la neoclásica; (iii) explicar el por qué se argumenta que  países en desarrollo presentan políticas fiscales</w:t>
      </w:r>
      <w:r>
        <w:rPr>
          <w:spacing w:val="-14"/>
        </w:rPr>
        <w:t> </w:t>
      </w:r>
      <w:r>
        <w:rPr/>
        <w:t>procíclicas.</w:t>
      </w:r>
    </w:p>
    <w:p>
      <w:pPr>
        <w:pStyle w:val="BodyText"/>
        <w:spacing w:line="360" w:lineRule="auto" w:before="6"/>
        <w:ind w:left="102" w:right="122" w:firstLine="707"/>
        <w:jc w:val="both"/>
      </w:pPr>
      <w:r>
        <w:rPr/>
        <w:t>En la segunda parte de la sección, se abordan los cambios institucionales y sus implicaciones en la política fiscal desde la perspectiva de la teoría institucional y el nuevo institucionalismo económico. Al final del aportado se brindan las inferencias teóricas realizadas.</w:t>
      </w:r>
    </w:p>
    <w:p>
      <w:pPr>
        <w:pStyle w:val="BodyText"/>
        <w:spacing w:before="9"/>
        <w:rPr>
          <w:sz w:val="21"/>
        </w:rPr>
      </w:pPr>
    </w:p>
    <w:p>
      <w:pPr>
        <w:pStyle w:val="Heading4"/>
        <w:numPr>
          <w:ilvl w:val="2"/>
          <w:numId w:val="8"/>
        </w:numPr>
        <w:tabs>
          <w:tab w:pos="1517" w:val="left" w:leader="none"/>
          <w:tab w:pos="1518" w:val="left" w:leader="none"/>
        </w:tabs>
        <w:spacing w:line="360" w:lineRule="auto" w:before="0" w:after="0"/>
        <w:ind w:left="1506" w:right="792" w:hanging="720"/>
        <w:jc w:val="left"/>
      </w:pPr>
      <w:bookmarkStart w:name="_bookmark12" w:id="19"/>
      <w:bookmarkEnd w:id="19"/>
      <w:r>
        <w:rPr/>
        <w:t>M</w:t>
      </w:r>
      <w:r>
        <w:rPr/>
        <w:t>ovimientos cíclicos de la política fiscal en países dependientes de recursos</w:t>
      </w:r>
      <w:r>
        <w:rPr>
          <w:spacing w:val="-6"/>
        </w:rPr>
        <w:t> </w:t>
      </w:r>
      <w:r>
        <w:rPr/>
        <w:t>naturales</w:t>
      </w:r>
    </w:p>
    <w:p>
      <w:pPr>
        <w:pStyle w:val="BodyText"/>
        <w:spacing w:line="360" w:lineRule="auto" w:before="61"/>
        <w:ind w:left="102" w:right="122" w:firstLine="707"/>
        <w:jc w:val="both"/>
      </w:pPr>
      <w:r>
        <w:rPr/>
        <w:t>La política fiscal es procíclica cuando el gasto público y el resultado fiscal se mueven en la misma dirección que la actividad económica. En el caso de economías ricas</w:t>
      </w:r>
    </w:p>
    <w:p>
      <w:pPr>
        <w:spacing w:after="0" w:line="360" w:lineRule="auto"/>
        <w:jc w:val="both"/>
        <w:sectPr>
          <w:pgSz w:w="12250" w:h="15850"/>
          <w:pgMar w:header="0" w:footer="1037" w:top="1360" w:bottom="1220" w:left="1600" w:right="1580"/>
        </w:sectPr>
      </w:pPr>
    </w:p>
    <w:p>
      <w:pPr>
        <w:pStyle w:val="BodyText"/>
        <w:spacing w:line="360" w:lineRule="auto" w:before="50"/>
        <w:ind w:left="102" w:right="118"/>
        <w:jc w:val="both"/>
      </w:pPr>
      <w:r>
        <w:rPr/>
        <w:t>en algún recurso natural, se sostiene la procíclicalidad cuando los precios del petróleo y el balance no petrolero presentan una relación inversa – a mayores precios del recurso natural mayor                                                      déficit                                                      fiscal global con un déficit en el balance no petrolero indicaría que los resultados fiscales se están financiando con ingresos petroleros, por tanto, la relación es procíclica (Gurvich, et al., 2009).</w:t>
      </w:r>
    </w:p>
    <w:p>
      <w:pPr>
        <w:pStyle w:val="BodyText"/>
        <w:spacing w:line="360" w:lineRule="auto" w:before="6"/>
        <w:ind w:left="102" w:right="118" w:firstLine="707"/>
        <w:jc w:val="both"/>
      </w:pPr>
      <w:r>
        <w:rPr/>
        <w:t>A la hora de evaluar los movimientos cíclicos de la política fiscal, se ha recomendado que el balance fiscal no es una medida adecuada para dictaminar la orientación de política fiscal: los ingresos pueden ser procíclicos y los gastos contracíclicos de tal forma que el resultado  neto  sería  procíclico  (Ilzetzki  &amp;  Végh,  2008).  </w:t>
      </w:r>
      <w:r>
        <w:rPr>
          <w:spacing w:val="-3"/>
        </w:rPr>
        <w:t>Lo  </w:t>
      </w:r>
      <w:r>
        <w:rPr/>
        <w:t>más aco                                                                                                                         componentes cíclicos de los gastos públicos (consumo del gobierno, transferencias y gasto de capital) y compararlos con las fluctuaciones de la actividad económica y de los precios de exportación  (Ilzetzki,</w:t>
      </w:r>
      <w:r>
        <w:rPr>
          <w:spacing w:val="-4"/>
        </w:rPr>
        <w:t> </w:t>
      </w:r>
      <w:r>
        <w:rPr/>
        <w:t>2006).</w:t>
      </w:r>
    </w:p>
    <w:p>
      <w:pPr>
        <w:pStyle w:val="BodyText"/>
        <w:spacing w:line="360" w:lineRule="auto" w:before="6"/>
        <w:ind w:left="102" w:right="117" w:firstLine="707"/>
        <w:jc w:val="both"/>
      </w:pPr>
      <w:r>
        <w:rPr/>
        <w:t>Una medición alternativa para apreciar los movimientos cíclicos del balance primario no petrolero consiste en ajustar cíclicamente los ingresos y gastos fiscales a las fluctuaciones de los precios del petróleo y la brecha del producto, llamado el balance cíclicamente ajustado (Villafuerte, et al., 2011). Esta especificación permite captar la orientación expansiva o contractiva de la posición fi                                                             –</w:t>
      </w:r>
    </w:p>
    <w:p>
      <w:pPr>
        <w:pStyle w:val="BodyText"/>
        <w:spacing w:before="4"/>
        <w:ind w:left="102"/>
        <w:jc w:val="both"/>
      </w:pPr>
      <w:r>
        <w:rPr>
          <w:w w:val="166"/>
        </w:rPr>
        <w:t> </w:t>
      </w:r>
      <w:r>
        <w:rPr>
          <w:spacing w:val="-1"/>
          <w:w w:val="166"/>
        </w:rPr>
        <w:t> </w:t>
      </w:r>
      <w:r>
        <w:rPr>
          <w:w w:val="188"/>
        </w:rPr>
        <w:t> </w:t>
      </w:r>
      <w:r>
        <w:rPr>
          <w:spacing w:val="-1"/>
          <w:w w:val="188"/>
        </w:rPr>
        <w:t> </w:t>
      </w:r>
      <w:r>
        <w:rPr>
          <w:w w:val="144"/>
        </w:rPr>
        <w:t>     </w:t>
      </w:r>
      <w:r>
        <w:rPr>
          <w:spacing w:val="-2"/>
          <w:w w:val="144"/>
        </w:rPr>
        <w:t> </w:t>
      </w:r>
      <w:r>
        <w:rPr/>
        <w:t> </w:t>
      </w:r>
      <w:r>
        <w:rPr>
          <w:spacing w:val="2"/>
        </w:rPr>
        <w:t> </w:t>
      </w:r>
      <w:r>
        <w:rPr>
          <w:spacing w:val="-1"/>
          <w:w w:val="177"/>
        </w:rPr>
        <w:t> </w:t>
      </w:r>
      <w:r>
        <w:rPr>
          <w:w w:val="164"/>
        </w:rPr>
        <w:t>    </w:t>
      </w:r>
      <w:r>
        <w:rPr>
          <w:spacing w:val="-2"/>
          <w:w w:val="164"/>
        </w:rPr>
        <w:t> </w:t>
      </w:r>
      <w:r>
        <w:rPr>
          <w:spacing w:val="-1"/>
          <w:w w:val="177"/>
        </w:rPr>
        <w:t> </w:t>
      </w:r>
      <w:r>
        <w:rPr>
          <w:spacing w:val="2"/>
          <w:w w:val="111"/>
        </w:rPr>
        <w:t> </w:t>
      </w:r>
      <w:r>
        <w:rPr>
          <w:spacing w:val="-1"/>
          <w:w w:val="177"/>
        </w:rPr>
        <w:t> </w:t>
      </w:r>
      <w:r>
        <w:rPr>
          <w:w w:val="111"/>
        </w:rPr>
        <w:t>  </w:t>
      </w:r>
      <w:r>
        <w:rPr>
          <w:spacing w:val="-1"/>
          <w:w w:val="177"/>
        </w:rPr>
        <w:t> </w:t>
      </w:r>
      <w:r>
        <w:rPr>
          <w:w w:val="177"/>
        </w:rPr>
        <w:t> </w:t>
      </w:r>
      <w:r>
        <w:rPr>
          <w:spacing w:val="1"/>
        </w:rPr>
        <w:t> </w:t>
      </w:r>
      <w:r>
        <w:rPr>
          <w:w w:val="200"/>
        </w:rPr>
        <w:t> </w:t>
      </w:r>
      <w:r>
        <w:rPr/>
        <w:t> </w:t>
      </w:r>
      <w:r>
        <w:rPr>
          <w:w w:val="188"/>
        </w:rPr>
        <w:t> </w:t>
      </w:r>
      <w:r>
        <w:rPr>
          <w:spacing w:val="-1"/>
          <w:w w:val="188"/>
        </w:rPr>
        <w:t> </w:t>
      </w:r>
      <w:r>
        <w:rPr>
          <w:w w:val="155"/>
        </w:rPr>
        <w:t>   </w:t>
      </w:r>
      <w:r>
        <w:rPr>
          <w:spacing w:val="-2"/>
          <w:w w:val="155"/>
        </w:rPr>
        <w:t> </w:t>
      </w:r>
      <w:r>
        <w:rPr>
          <w:w w:val="111"/>
        </w:rPr>
        <w:t> </w:t>
      </w:r>
      <w:r>
        <w:rPr/>
        <w:t> </w:t>
      </w:r>
      <w:r>
        <w:rPr>
          <w:w w:val="50"/>
        </w:rPr>
        <w:t>  </w:t>
      </w:r>
    </w:p>
    <w:p>
      <w:pPr>
        <w:pStyle w:val="BodyText"/>
        <w:spacing w:line="360" w:lineRule="auto" w:before="139"/>
        <w:ind w:left="102" w:right="124" w:firstLine="707"/>
        <w:jc w:val="both"/>
      </w:pPr>
      <w:r>
        <w:rPr/>
        <w:t>El tipo de orientación fiscal es un cuestionamiento importante para determinar en qué medida  un gobierno cumple su rol fiscal. Para ello, existen dos posturas filosóficas:</w:t>
      </w:r>
      <w:r>
        <w:rPr>
          <w:spacing w:val="55"/>
        </w:rPr>
        <w:t> </w:t>
      </w:r>
      <w:r>
        <w:rPr/>
        <w:t>(i)</w:t>
      </w:r>
    </w:p>
    <w:p>
      <w:pPr>
        <w:pStyle w:val="BodyText"/>
        <w:spacing w:before="6"/>
        <w:ind w:left="102"/>
        <w:jc w:val="both"/>
      </w:pPr>
      <w:r>
        <w:rPr>
          <w:w w:val="144"/>
        </w:rPr>
        <w:t>  </w:t>
      </w:r>
      <w:r>
        <w:rPr/>
        <w:t>  </w:t>
      </w:r>
      <w:r>
        <w:rPr>
          <w:w w:val="233"/>
        </w:rPr>
        <w:t>  </w:t>
      </w:r>
      <w:r>
        <w:rPr>
          <w:w w:val="200"/>
        </w:rPr>
        <w:t>  </w:t>
      </w:r>
      <w:r>
        <w:rPr>
          <w:w w:val="177"/>
        </w:rPr>
        <w:t> </w:t>
      </w:r>
      <w:r>
        <w:rPr>
          <w:w w:val="164"/>
        </w:rPr>
        <w:t>     </w:t>
      </w:r>
      <w:r>
        <w:rPr/>
        <w:t>  </w:t>
      </w:r>
      <w:r>
        <w:rPr>
          <w:w w:val="200"/>
        </w:rPr>
        <w:t>  </w:t>
      </w:r>
      <w:r>
        <w:rPr>
          <w:w w:val="177"/>
        </w:rPr>
        <w:t> </w:t>
      </w:r>
      <w:r>
        <w:rPr/>
        <w:t> </w:t>
      </w:r>
      <w:r>
        <w:rPr>
          <w:w w:val="177"/>
        </w:rPr>
        <w:t>  </w:t>
      </w:r>
      <w:r>
        <w:rPr>
          <w:w w:val="200"/>
        </w:rPr>
        <w:t> </w:t>
      </w:r>
      <w:r>
        <w:rPr>
          <w:w w:val="111"/>
        </w:rPr>
        <w:t> </w:t>
      </w:r>
      <w:r>
        <w:rPr>
          <w:w w:val="177"/>
        </w:rPr>
        <w:t> </w:t>
      </w:r>
      <w:r>
        <w:rPr>
          <w:w w:val="155"/>
        </w:rPr>
        <w:t>  </w:t>
      </w:r>
      <w:r>
        <w:rPr/>
        <w:t> </w:t>
      </w:r>
      <w:r>
        <w:rPr>
          <w:w w:val="200"/>
        </w:rPr>
        <w:t>  </w:t>
      </w:r>
      <w:r>
        <w:rPr>
          <w:w w:val="177"/>
        </w:rPr>
        <w:t> </w:t>
      </w:r>
      <w:r>
        <w:rPr/>
        <w:t> </w:t>
      </w:r>
      <w:r>
        <w:rPr>
          <w:w w:val="166"/>
        </w:rPr>
        <w:t>  </w:t>
      </w:r>
      <w:r>
        <w:rPr>
          <w:w w:val="111"/>
        </w:rPr>
        <w:t> </w:t>
      </w:r>
      <w:r>
        <w:rPr>
          <w:w w:val="177"/>
        </w:rPr>
        <w:t> </w:t>
      </w:r>
      <w:r>
        <w:rPr>
          <w:w w:val="166"/>
        </w:rPr>
        <w:t>    </w:t>
      </w:r>
      <w:r>
        <w:rPr>
          <w:w w:val="170"/>
        </w:rPr>
        <w:t>   </w:t>
      </w:r>
      <w:r>
        <w:rPr/>
        <w:t> </w:t>
      </w:r>
      <w:r>
        <w:rPr>
          <w:w w:val="177"/>
        </w:rPr>
        <w:t> </w:t>
      </w:r>
      <w:r>
        <w:rPr>
          <w:w w:val="161"/>
        </w:rPr>
        <w:t>    </w:t>
      </w:r>
      <w:r>
        <w:rPr>
          <w:w w:val="177"/>
        </w:rPr>
        <w:t>  </w:t>
      </w:r>
      <w:r>
        <w:rPr>
          <w:w w:val="144"/>
        </w:rPr>
        <w:t>      </w:t>
      </w:r>
      <w:r>
        <w:rPr/>
        <w:t> </w:t>
      </w:r>
      <w:r>
        <w:rPr>
          <w:w w:val="177"/>
        </w:rPr>
        <w:t> </w:t>
      </w:r>
      <w:r>
        <w:rPr>
          <w:w w:val="200"/>
        </w:rPr>
        <w:t> </w:t>
      </w:r>
      <w:r>
        <w:rPr/>
        <w:t> </w:t>
      </w:r>
      <w:r>
        <w:rPr>
          <w:w w:val="111"/>
        </w:rPr>
        <w:t>  </w:t>
      </w:r>
      <w:r>
        <w:rPr>
          <w:w w:val="177"/>
        </w:rPr>
        <w:t> </w:t>
      </w:r>
      <w:r>
        <w:rPr>
          <w:w w:val="216"/>
        </w:rPr>
        <w:t>    </w:t>
      </w:r>
      <w:r>
        <w:rPr/>
        <w:t> </w:t>
      </w:r>
      <w:r>
        <w:rPr>
          <w:w w:val="200"/>
        </w:rPr>
        <w:t> </w:t>
      </w:r>
      <w:r>
        <w:rPr>
          <w:w w:val="177"/>
        </w:rPr>
        <w:t> </w:t>
      </w:r>
      <w:r>
        <w:rPr/>
        <w:t> </w:t>
      </w:r>
      <w:r>
        <w:rPr>
          <w:w w:val="133"/>
        </w:rPr>
        <w:t> </w:t>
      </w:r>
      <w:r>
        <w:rPr>
          <w:w w:val="177"/>
        </w:rPr>
        <w:t>   </w:t>
      </w:r>
      <w:r>
        <w:rPr>
          <w:w w:val="166"/>
        </w:rPr>
        <w:t>    </w:t>
      </w:r>
      <w:r>
        <w:rPr/>
        <w:t> – </w:t>
      </w:r>
      <w:r>
        <w:rPr>
          <w:w w:val="177"/>
        </w:rPr>
        <w:t> </w:t>
      </w:r>
      <w:r>
        <w:rPr>
          <w:w w:val="111"/>
        </w:rPr>
        <w:t> </w:t>
      </w:r>
      <w:r>
        <w:rPr/>
        <w:t> </w:t>
      </w:r>
      <w:r>
        <w:rPr>
          <w:w w:val="188"/>
        </w:rPr>
        <w:t>  </w:t>
      </w:r>
      <w:r>
        <w:rPr>
          <w:w w:val="155"/>
        </w:rPr>
        <w:t>   </w:t>
      </w:r>
    </w:p>
    <w:p>
      <w:pPr>
        <w:pStyle w:val="BodyText"/>
        <w:spacing w:line="360" w:lineRule="auto" w:before="137"/>
        <w:ind w:left="102" w:right="118"/>
        <w:jc w:val="both"/>
      </w:pPr>
      <w:r>
        <w:rPr>
          <w:w w:val="164"/>
        </w:rPr>
        <w:t>     </w:t>
      </w:r>
      <w:r>
        <w:rPr>
          <w:spacing w:val="-1"/>
          <w:w w:val="177"/>
        </w:rPr>
        <w:t> </w:t>
      </w:r>
      <w:r>
        <w:rPr>
          <w:w w:val="200"/>
        </w:rPr>
        <w:t> </w:t>
      </w:r>
      <w:r>
        <w:rPr/>
        <w:t> </w:t>
      </w:r>
      <w:r>
        <w:rPr>
          <w:spacing w:val="-20"/>
        </w:rPr>
        <w:t> </w:t>
      </w:r>
      <w:r>
        <w:rPr>
          <w:spacing w:val="-1"/>
          <w:w w:val="177"/>
        </w:rPr>
        <w:t> </w:t>
      </w:r>
      <w:r>
        <w:rPr>
          <w:w w:val="126"/>
        </w:rPr>
        <w:t>   </w:t>
      </w:r>
      <w:r>
        <w:rPr>
          <w:w w:val="207"/>
        </w:rPr>
        <w:t>   </w:t>
      </w:r>
      <w:r>
        <w:rPr>
          <w:w w:val="177"/>
        </w:rPr>
        <w:t> </w:t>
      </w:r>
      <w:r>
        <w:rPr/>
        <w:t> </w:t>
      </w:r>
      <w:r>
        <w:rPr>
          <w:spacing w:val="-21"/>
        </w:rPr>
        <w:t> </w:t>
      </w:r>
      <w:r>
        <w:rPr>
          <w:w w:val="144"/>
        </w:rPr>
        <w:t>  </w:t>
      </w:r>
      <w:r>
        <w:rPr/>
        <w:t> </w:t>
      </w:r>
      <w:r>
        <w:rPr>
          <w:spacing w:val="-20"/>
        </w:rPr>
        <w:t> </w:t>
      </w:r>
      <w:r>
        <w:rPr>
          <w:w w:val="188"/>
        </w:rPr>
        <w:t> </w:t>
      </w:r>
      <w:r>
        <w:rPr>
          <w:spacing w:val="-1"/>
          <w:w w:val="188"/>
        </w:rPr>
        <w:t> </w:t>
      </w:r>
      <w:r>
        <w:rPr>
          <w:spacing w:val="-2"/>
          <w:w w:val="311"/>
        </w:rPr>
        <w:t> </w:t>
      </w:r>
      <w:r>
        <w:rPr>
          <w:spacing w:val="-1"/>
          <w:w w:val="177"/>
        </w:rPr>
        <w:t> </w:t>
      </w:r>
      <w:r>
        <w:rPr>
          <w:w w:val="192"/>
        </w:rPr>
        <w:t>   </w:t>
      </w:r>
      <w:r>
        <w:rPr/>
        <w:t> </w:t>
      </w:r>
      <w:r>
        <w:rPr>
          <w:spacing w:val="-21"/>
        </w:rPr>
        <w:t> </w:t>
      </w:r>
      <w:r>
        <w:rPr>
          <w:spacing w:val="1"/>
          <w:w w:val="177"/>
        </w:rPr>
        <w:t> </w:t>
      </w:r>
      <w:r>
        <w:rPr>
          <w:spacing w:val="-3"/>
          <w:w w:val="200"/>
        </w:rPr>
        <w:t> </w:t>
      </w:r>
      <w:r>
        <w:rPr>
          <w:w w:val="155"/>
        </w:rPr>
        <w:t>  </w:t>
      </w:r>
      <w:r>
        <w:rPr>
          <w:w w:val="188"/>
        </w:rPr>
        <w:t> </w:t>
      </w:r>
      <w:r>
        <w:rPr>
          <w:spacing w:val="-1"/>
          <w:w w:val="188"/>
        </w:rPr>
        <w:t> </w:t>
      </w:r>
      <w:r>
        <w:rPr>
          <w:w w:val="188"/>
        </w:rPr>
        <w:t>  </w:t>
      </w:r>
      <w:r>
        <w:rPr>
          <w:spacing w:val="-1"/>
        </w:rPr>
        <w:t> </w:t>
      </w:r>
      <w:r>
        <w:rPr>
          <w:w w:val="1"/>
        </w:rPr>
        <w:t> </w:t>
      </w:r>
      <w:r>
        <w:rPr/>
        <w:t> </w:t>
      </w:r>
      <w:r>
        <w:rPr>
          <w:spacing w:val="-20"/>
        </w:rPr>
        <w:t> </w:t>
      </w:r>
      <w:r>
        <w:rPr/>
        <w:t>;                                                              mantenerse de forma neutral –acíclica - bajo el supuesto de la influencia del gasto público sobre la actividad económica (Kaminsky, 2009).  Para economías dependientes del</w:t>
      </w:r>
      <w:r>
        <w:rPr>
          <w:spacing w:val="16"/>
        </w:rPr>
        <w:t> </w:t>
      </w:r>
      <w:r>
        <w:rPr/>
        <w:t>petróleo</w:t>
      </w:r>
    </w:p>
    <w:p>
      <w:pPr>
        <w:pStyle w:val="BodyText"/>
        <w:spacing w:line="360" w:lineRule="auto" w:before="4"/>
        <w:ind w:left="102" w:right="124"/>
        <w:jc w:val="both"/>
      </w:pPr>
      <w:r>
        <w:rPr/>
        <w:t>– o algún recurso natural -, se ha mencionado que el gobierno cumple su rol fiscal cuando  la política fiscal es contracíclica a los precios del petróleo o, en su defecto, neutral (Gurvich, et al.,</w:t>
      </w:r>
      <w:r>
        <w:rPr>
          <w:spacing w:val="-7"/>
        </w:rPr>
        <w:t> </w:t>
      </w:r>
      <w:r>
        <w:rPr/>
        <w:t>2009).</w:t>
      </w:r>
    </w:p>
    <w:p>
      <w:pPr>
        <w:pStyle w:val="BodyText"/>
        <w:spacing w:before="6"/>
        <w:ind w:left="810"/>
      </w:pPr>
      <w:r>
        <w:rPr>
          <w:spacing w:val="-3"/>
          <w:w w:val="244"/>
        </w:rPr>
        <w:t> </w:t>
      </w:r>
      <w:r>
        <w:rPr>
          <w:w w:val="177"/>
        </w:rPr>
        <w:t> </w:t>
      </w:r>
      <w:r>
        <w:rPr/>
        <w:t> </w:t>
      </w:r>
      <w:r>
        <w:rPr>
          <w:spacing w:val="-11"/>
        </w:rPr>
        <w:t> </w:t>
      </w:r>
      <w:r>
        <w:rPr>
          <w:spacing w:val="-1"/>
          <w:w w:val="177"/>
        </w:rPr>
        <w:t> </w:t>
      </w:r>
      <w:r>
        <w:rPr>
          <w:w w:val="177"/>
        </w:rPr>
        <w:t>     </w:t>
      </w:r>
      <w:r>
        <w:rPr>
          <w:spacing w:val="-2"/>
          <w:w w:val="177"/>
        </w:rPr>
        <w:t> </w:t>
      </w:r>
      <w:r>
        <w:rPr>
          <w:w w:val="144"/>
        </w:rPr>
        <w:t>  </w:t>
      </w:r>
      <w:r>
        <w:rPr/>
        <w:t> </w:t>
      </w:r>
      <w:r>
        <w:rPr>
          <w:spacing w:val="-11"/>
        </w:rPr>
        <w:t> </w:t>
      </w:r>
      <w:r>
        <w:rPr>
          <w:spacing w:val="-1"/>
          <w:w w:val="177"/>
        </w:rPr>
        <w:t> </w:t>
      </w:r>
      <w:r>
        <w:rPr>
          <w:w w:val="207"/>
        </w:rPr>
        <w:t>   </w:t>
      </w:r>
      <w:r>
        <w:rPr>
          <w:w w:val="140"/>
        </w:rPr>
        <w:t>  </w:t>
      </w:r>
      <w:r>
        <w:rPr>
          <w:spacing w:val="-2"/>
          <w:w w:val="140"/>
        </w:rPr>
        <w:t> </w:t>
      </w:r>
      <w:r>
        <w:rPr>
          <w:w w:val="177"/>
        </w:rPr>
        <w:t> </w:t>
      </w:r>
      <w:r>
        <w:rPr/>
        <w:t> </w:t>
      </w:r>
      <w:r>
        <w:rPr>
          <w:spacing w:val="-14"/>
        </w:rPr>
        <w:t> </w:t>
      </w:r>
      <w:r>
        <w:rPr>
          <w:spacing w:val="2"/>
          <w:w w:val="155"/>
        </w:rPr>
        <w:t> </w:t>
      </w:r>
      <w:r>
        <w:rPr>
          <w:spacing w:val="-1"/>
          <w:w w:val="177"/>
        </w:rPr>
        <w:t> </w:t>
      </w:r>
      <w:r>
        <w:rPr>
          <w:w w:val="188"/>
        </w:rPr>
        <w:t> </w:t>
      </w:r>
      <w:r>
        <w:rPr>
          <w:spacing w:val="-1"/>
          <w:w w:val="188"/>
        </w:rPr>
        <w:t> </w:t>
      </w:r>
      <w:r>
        <w:rPr>
          <w:w w:val="144"/>
        </w:rPr>
        <w:t>  </w:t>
      </w:r>
      <w:r>
        <w:rPr/>
        <w:t> </w:t>
      </w:r>
      <w:r>
        <w:rPr>
          <w:spacing w:val="-13"/>
        </w:rPr>
        <w:t> </w:t>
      </w:r>
      <w:r>
        <w:rPr>
          <w:w w:val="192"/>
        </w:rPr>
        <w:t>   </w:t>
      </w:r>
      <w:r>
        <w:rPr/>
        <w:t> </w:t>
      </w:r>
      <w:r>
        <w:rPr>
          <w:spacing w:val="-14"/>
        </w:rPr>
        <w:t> </w:t>
      </w:r>
      <w:r>
        <w:rPr>
          <w:spacing w:val="1"/>
          <w:w w:val="177"/>
        </w:rPr>
        <w:t> </w:t>
      </w:r>
      <w:r>
        <w:rPr>
          <w:spacing w:val="-1"/>
          <w:w w:val="177"/>
        </w:rPr>
        <w:t> </w:t>
      </w:r>
      <w:r>
        <w:rPr>
          <w:w w:val="204"/>
        </w:rPr>
        <w:t>     </w:t>
      </w:r>
      <w:r>
        <w:rPr>
          <w:spacing w:val="-1"/>
          <w:w w:val="177"/>
        </w:rPr>
        <w:t> </w:t>
      </w:r>
      <w:r>
        <w:rPr>
          <w:w w:val="155"/>
        </w:rPr>
        <w:t> </w:t>
      </w:r>
      <w:r>
        <w:rPr/>
        <w:t> </w:t>
      </w:r>
      <w:r>
        <w:rPr>
          <w:spacing w:val="-12"/>
        </w:rPr>
        <w:t> </w:t>
      </w:r>
      <w:r>
        <w:rPr>
          <w:spacing w:val="-1"/>
          <w:w w:val="177"/>
        </w:rPr>
        <w:t> </w:t>
      </w:r>
      <w:r>
        <w:rPr>
          <w:w w:val="200"/>
        </w:rPr>
        <w:t> </w:t>
      </w:r>
      <w:r>
        <w:rPr/>
        <w:t> </w:t>
      </w:r>
      <w:r>
        <w:rPr>
          <w:spacing w:val="-11"/>
        </w:rPr>
        <w:t> </w:t>
      </w:r>
      <w:r>
        <w:rPr>
          <w:w w:val="188"/>
        </w:rPr>
        <w:t> </w:t>
      </w:r>
      <w:r>
        <w:rPr>
          <w:spacing w:val="-1"/>
          <w:w w:val="188"/>
        </w:rPr>
        <w:t> </w:t>
      </w:r>
      <w:r>
        <w:rPr>
          <w:w w:val="166"/>
        </w:rPr>
        <w:t> </w:t>
      </w:r>
      <w:r>
        <w:rPr>
          <w:spacing w:val="-1"/>
          <w:w w:val="166"/>
        </w:rPr>
        <w:t> </w:t>
      </w:r>
      <w:r>
        <w:rPr>
          <w:w w:val="133"/>
        </w:rPr>
        <w:t> </w:t>
      </w:r>
      <w:r>
        <w:rPr>
          <w:spacing w:val="-2"/>
          <w:w w:val="133"/>
        </w:rPr>
        <w:t> </w:t>
      </w:r>
      <w:r>
        <w:rPr>
          <w:w w:val="140"/>
        </w:rPr>
        <w:t>   </w:t>
      </w:r>
      <w:r>
        <w:rPr>
          <w:w w:val="200"/>
        </w:rPr>
        <w:t> </w:t>
      </w:r>
      <w:r>
        <w:rPr/>
        <w:t> </w:t>
      </w:r>
      <w:r>
        <w:rPr>
          <w:w w:val="1"/>
        </w:rPr>
        <w:t> </w:t>
      </w:r>
      <w:r>
        <w:rPr/>
        <w:t> </w:t>
      </w:r>
      <w:r>
        <w:rPr>
          <w:spacing w:val="-13"/>
        </w:rPr>
        <w:t> </w:t>
      </w:r>
      <w:r>
        <w:rPr>
          <w:spacing w:val="-1"/>
          <w:w w:val="177"/>
        </w:rPr>
        <w:t> </w:t>
      </w:r>
      <w:r>
        <w:rPr>
          <w:w w:val="237"/>
        </w:rPr>
        <w:t>   </w:t>
      </w:r>
      <w:r>
        <w:rPr/>
        <w:t> </w:t>
      </w:r>
      <w:r>
        <w:rPr>
          <w:spacing w:val="-12"/>
        </w:rPr>
        <w:t> </w:t>
      </w:r>
      <w:r>
        <w:rPr>
          <w:w w:val="148"/>
        </w:rPr>
        <w:t>   </w:t>
      </w:r>
      <w:r>
        <w:rPr/>
        <w:t> </w:t>
      </w:r>
      <w:r>
        <w:rPr>
          <w:spacing w:val="-13"/>
        </w:rPr>
        <w:t> </w:t>
      </w:r>
      <w:r>
        <w:rPr>
          <w:spacing w:val="1"/>
          <w:w w:val="177"/>
        </w:rPr>
        <w:t> </w:t>
      </w:r>
      <w:r>
        <w:rPr>
          <w:spacing w:val="-1"/>
          <w:w w:val="177"/>
        </w:rPr>
        <w:t> </w:t>
      </w:r>
      <w:r>
        <w:rPr>
          <w:w w:val="204"/>
        </w:rPr>
        <w:t>     </w:t>
      </w:r>
      <w:r>
        <w:rPr>
          <w:spacing w:val="-1"/>
          <w:w w:val="177"/>
        </w:rPr>
        <w:t> </w:t>
      </w:r>
      <w:r>
        <w:rPr>
          <w:w w:val="155"/>
        </w:rPr>
        <w:t> </w:t>
      </w:r>
    </w:p>
    <w:p>
      <w:pPr>
        <w:pStyle w:val="BodyText"/>
        <w:spacing w:before="137"/>
        <w:ind w:left="102"/>
        <w:jc w:val="both"/>
      </w:pPr>
      <w:r>
        <w:rPr>
          <w:w w:val="175"/>
        </w:rPr>
        <w:t>         </w:t>
      </w:r>
      <w:r>
        <w:rPr>
          <w:w w:val="140"/>
        </w:rPr>
        <w:t>   </w:t>
      </w:r>
      <w:r>
        <w:rPr>
          <w:w w:val="177"/>
        </w:rPr>
        <w:t> </w:t>
      </w:r>
      <w:r>
        <w:rPr>
          <w:w w:val="200"/>
        </w:rPr>
        <w:t> </w:t>
      </w:r>
      <w:r>
        <w:rPr>
          <w:w w:val="177"/>
        </w:rPr>
        <w:t> </w:t>
      </w:r>
      <w:r>
        <w:rPr>
          <w:w w:val="155"/>
        </w:rPr>
        <w:t> </w:t>
      </w:r>
      <w:r>
        <w:rPr/>
        <w:t> </w:t>
      </w:r>
      <w:r>
        <w:rPr>
          <w:w w:val="1"/>
        </w:rPr>
        <w:t> </w:t>
      </w:r>
      <w:r>
        <w:rPr/>
        <w:t>  </w:t>
      </w:r>
      <w:r>
        <w:rPr>
          <w:w w:val="166"/>
        </w:rPr>
        <w:t>  </w:t>
      </w:r>
      <w:r>
        <w:rPr>
          <w:w w:val="177"/>
        </w:rPr>
        <w:t> </w:t>
      </w:r>
      <w:r>
        <w:rPr>
          <w:w w:val="166"/>
        </w:rPr>
        <w:t>  </w:t>
      </w:r>
      <w:r>
        <w:rPr>
          <w:w w:val="200"/>
        </w:rPr>
        <w:t> </w:t>
      </w:r>
      <w:r>
        <w:rPr>
          <w:w w:val="162"/>
        </w:rPr>
        <w:t>   </w:t>
      </w:r>
      <w:r>
        <w:rPr/>
        <w:t> </w:t>
      </w:r>
      <w:r>
        <w:rPr>
          <w:w w:val="155"/>
        </w:rPr>
        <w:t>    </w:t>
      </w:r>
      <w:r>
        <w:rPr>
          <w:w w:val="111"/>
        </w:rPr>
        <w:t>  </w:t>
      </w:r>
      <w:r>
        <w:rPr>
          <w:w w:val="177"/>
        </w:rPr>
        <w:t>  </w:t>
      </w:r>
      <w:r>
        <w:rPr>
          <w:w w:val="155"/>
        </w:rPr>
        <w:t> </w:t>
      </w:r>
      <w:r>
        <w:rPr/>
        <w:t> </w:t>
      </w:r>
      <w:r>
        <w:rPr>
          <w:w w:val="144"/>
        </w:rPr>
        <w:t>    </w:t>
      </w:r>
      <w:r>
        <w:rPr>
          <w:w w:val="177"/>
        </w:rPr>
        <w:t> </w:t>
      </w:r>
      <w:r>
        <w:rPr>
          <w:w w:val="148"/>
        </w:rPr>
        <w:t>   </w:t>
      </w:r>
      <w:r>
        <w:rPr/>
        <w:t> </w:t>
      </w:r>
      <w:r>
        <w:rPr>
          <w:w w:val="166"/>
        </w:rPr>
        <w:t>  </w:t>
      </w:r>
      <w:r>
        <w:rPr>
          <w:w w:val="188"/>
        </w:rPr>
        <w:t>  </w:t>
      </w:r>
      <w:r>
        <w:rPr>
          <w:w w:val="144"/>
        </w:rPr>
        <w:t>      </w:t>
      </w:r>
      <w:r>
        <w:rPr>
          <w:w w:val="155"/>
        </w:rPr>
        <w:t> </w:t>
      </w:r>
      <w:r>
        <w:rPr/>
        <w:t> </w:t>
      </w:r>
      <w:r>
        <w:rPr>
          <w:w w:val="177"/>
        </w:rPr>
        <w:t> </w:t>
      </w:r>
      <w:r>
        <w:rPr/>
        <w:t>n torno a las fluctuaciones de los</w:t>
      </w:r>
    </w:p>
    <w:p>
      <w:pPr>
        <w:spacing w:after="0"/>
        <w:jc w:val="both"/>
        <w:sectPr>
          <w:pgSz w:w="12250" w:h="15850"/>
          <w:pgMar w:header="0" w:footer="1037" w:top="1360" w:bottom="1220" w:left="1600" w:right="1580"/>
        </w:sectPr>
      </w:pPr>
    </w:p>
    <w:p>
      <w:pPr>
        <w:pStyle w:val="BodyText"/>
        <w:spacing w:line="360" w:lineRule="auto" w:before="50"/>
        <w:ind w:left="102" w:right="119"/>
        <w:jc w:val="both"/>
      </w:pPr>
      <w:r>
        <w:rPr/>
        <w:t>precios de los recursos naturales, los términos de intercambio y la actividad económica en general (Frankel, 2010; Kaminsky, 2009). Contrariamente, economías desarrolladas exhiben políticas fiscales contracíclicas, o al menos acíclicas, fundamentadas por los gastos de transferencias y bonos de desempleo que son utilizados durante tiempos de</w:t>
      </w:r>
      <w:r>
        <w:rPr>
          <w:spacing w:val="-13"/>
        </w:rPr>
        <w:t> </w:t>
      </w:r>
      <w:r>
        <w:rPr/>
        <w:t>recesión.</w:t>
      </w:r>
    </w:p>
    <w:p>
      <w:pPr>
        <w:pStyle w:val="BodyText"/>
        <w:spacing w:line="360" w:lineRule="auto" w:before="6"/>
        <w:ind w:left="102" w:right="116" w:firstLine="707"/>
        <w:jc w:val="both"/>
      </w:pPr>
      <w:r>
        <w:rPr/>
        <w:t>Algunas explicaciones sobre el origen de las políticas procíclicas se fundamentan  en: 1] las presiones sociales derivadas de la acumulación de riquezas petroleras, es decir, donde se observa el caso de la piscina común con muchos participantes involucrados y cada uno se orienta por su interés propio (Dabla-Norris, et al., 2010), de tal forma que se incrementa el gasto público y la política fiscal se vuelva procíclica (Talvi &amp; Végh, 2005);  2] países con escasez de capital, tasas de interés de deuda pública mayores a la tasa de crecimiento del consumo privado y acceso limitado al mercado de deuda externa (van der Ploeg      &amp;      Venables,      2009);      3]                                                                  – conduce a un oportunismo del gobierno con el fin de maximizar su beneficio y direccionar la política fiscal  (Dabla-Norris, et al.,</w:t>
      </w:r>
      <w:r>
        <w:rPr>
          <w:spacing w:val="-12"/>
        </w:rPr>
        <w:t> </w:t>
      </w:r>
      <w:r>
        <w:rPr/>
        <w:t>2010).</w:t>
      </w:r>
    </w:p>
    <w:p>
      <w:pPr>
        <w:pStyle w:val="BodyText"/>
        <w:spacing w:line="360" w:lineRule="auto" w:before="6"/>
        <w:ind w:left="102" w:right="118" w:firstLine="707"/>
        <w:jc w:val="both"/>
      </w:pPr>
      <w:r>
        <w:rPr/>
        <w:t>El problema de la política fiscal procíclica se origina en tiempos de auge, donde se incrementa el gasto público, al igual que la inversión pública improductiva y, por tanto, donde el aumento del gasto no tiene posibilidad de retorno, aun cuando los precios internacionales de los recursos naturales pudieran disminuír substantivamente (Frankel, 2011; Medina, 2010).</w:t>
      </w:r>
    </w:p>
    <w:p>
      <w:pPr>
        <w:pStyle w:val="BodyText"/>
        <w:spacing w:line="360" w:lineRule="auto" w:before="4"/>
        <w:ind w:left="102" w:right="115" w:firstLine="707"/>
        <w:jc w:val="both"/>
      </w:pPr>
      <w:r>
        <w:rPr/>
        <w:t>En suma, la orientación fiscal puede ser medida mediante la evaluación de las movimientos cíclicos de la posición fiscal y los componentes deseagregados del gasto público relacionado con las fluctuaciones de la actividad económica y los precios internacionales de los recursos naturales. Un enfoque alternativo se centra en ajustar cíclicamente los balances fiscales al entorno interno y precios externos. La perspectiva Keynesiana y neoclásica sostienen posturas diferentes en relación con la orientación de</w:t>
      </w:r>
      <w:r>
        <w:rPr>
          <w:w w:val="111"/>
        </w:rPr>
        <w:t> </w:t>
      </w:r>
    </w:p>
    <w:p>
      <w:pPr>
        <w:pStyle w:val="BodyText"/>
        <w:spacing w:before="6"/>
        <w:ind w:left="102"/>
        <w:jc w:val="both"/>
      </w:pPr>
      <w:r>
        <w:rPr>
          <w:w w:val="200"/>
        </w:rPr>
        <w:t> </w:t>
      </w:r>
      <w:r>
        <w:rPr>
          <w:w w:val="177"/>
        </w:rPr>
        <w:t> </w:t>
      </w:r>
      <w:r>
        <w:rPr>
          <w:w w:val="155"/>
        </w:rPr>
        <w:t>   </w:t>
      </w:r>
      <w:r>
        <w:rPr/>
        <w:t>  </w:t>
      </w:r>
      <w:r>
        <w:rPr>
          <w:w w:val="164"/>
        </w:rPr>
        <w:t>     </w:t>
      </w:r>
      <w:r>
        <w:rPr>
          <w:w w:val="177"/>
        </w:rPr>
        <w:t> </w:t>
      </w:r>
      <w:r>
        <w:rPr>
          <w:w w:val="147"/>
        </w:rPr>
        <w:t> </w:t>
      </w:r>
      <w:r>
        <w:rPr>
          <w:w w:val="145"/>
        </w:rPr>
        <w:t>:</w:t>
      </w:r>
      <w:r>
        <w:rPr/>
        <w:t>  </w:t>
      </w:r>
      <w:r>
        <w:rPr>
          <w:w w:val="177"/>
        </w:rPr>
        <w:t> </w:t>
      </w:r>
      <w:r>
        <w:rPr>
          <w:w w:val="161"/>
        </w:rPr>
        <w:t>    </w:t>
      </w:r>
      <w:r>
        <w:rPr>
          <w:w w:val="177"/>
        </w:rPr>
        <w:t>  </w:t>
      </w:r>
      <w:r>
        <w:rPr>
          <w:w w:val="144"/>
        </w:rPr>
        <w:t>  </w:t>
      </w:r>
      <w:r>
        <w:rPr>
          <w:w w:val="111"/>
        </w:rPr>
        <w:t>  </w:t>
      </w:r>
      <w:r>
        <w:rPr>
          <w:w w:val="177"/>
        </w:rPr>
        <w:t> </w:t>
      </w:r>
      <w:r>
        <w:rPr>
          <w:w w:val="200"/>
        </w:rPr>
        <w:t> </w:t>
      </w:r>
      <w:r>
        <w:rPr/>
        <w:t>  </w:t>
      </w:r>
      <w:r>
        <w:rPr>
          <w:w w:val="200"/>
        </w:rPr>
        <w:t> </w:t>
      </w:r>
      <w:r>
        <w:rPr/>
        <w:t>  </w:t>
      </w:r>
      <w:r>
        <w:rPr>
          <w:w w:val="188"/>
        </w:rPr>
        <w:t>  </w:t>
      </w:r>
      <w:r>
        <w:rPr>
          <w:w w:val="148"/>
        </w:rPr>
        <w:t>   </w:t>
      </w:r>
      <w:r>
        <w:rPr>
          <w:w w:val="177"/>
        </w:rPr>
        <w:t> </w:t>
      </w:r>
      <w:r>
        <w:rPr>
          <w:w w:val="111"/>
        </w:rPr>
        <w:t> </w:t>
      </w:r>
      <w:r>
        <w:rPr/>
        <w:t>  </w:t>
      </w:r>
      <w:r>
        <w:rPr>
          <w:w w:val="155"/>
        </w:rPr>
        <w:t>  </w:t>
      </w:r>
      <w:r>
        <w:rPr>
          <w:w w:val="177"/>
        </w:rPr>
        <w:t>   </w:t>
      </w:r>
      <w:r>
        <w:rPr>
          <w:w w:val="177"/>
        </w:rPr>
        <w:t> </w:t>
      </w:r>
      <w:r>
        <w:rPr>
          <w:w w:val="111"/>
        </w:rPr>
        <w:t>  </w:t>
      </w:r>
      <w:r>
        <w:rPr>
          <w:w w:val="188"/>
        </w:rPr>
        <w:t>  </w:t>
      </w:r>
      <w:r>
        <w:rPr>
          <w:w w:val="195"/>
        </w:rPr>
        <w:t>     </w:t>
      </w:r>
      <w:r>
        <w:rPr/>
        <w:t>   </w:t>
      </w:r>
      <w:r>
        <w:rPr>
          <w:w w:val="222"/>
        </w:rPr>
        <w:t> </w:t>
      </w:r>
      <w:r>
        <w:rPr>
          <w:w w:val="155"/>
        </w:rPr>
        <w:t>  </w:t>
      </w:r>
      <w:r>
        <w:rPr>
          <w:w w:val="166"/>
        </w:rPr>
        <w:t>      </w:t>
      </w:r>
      <w:r>
        <w:rPr/>
        <w:t>  </w:t>
      </w:r>
      <w:r>
        <w:rPr>
          <w:w w:val="155"/>
        </w:rPr>
        <w:t>    </w:t>
      </w:r>
      <w:r>
        <w:rPr>
          <w:w w:val="111"/>
        </w:rPr>
        <w:t>  </w:t>
      </w:r>
      <w:r>
        <w:rPr>
          <w:w w:val="177"/>
        </w:rPr>
        <w:t>  </w:t>
      </w:r>
      <w:r>
        <w:rPr>
          <w:w w:val="127"/>
        </w:rPr>
        <w:t>  </w:t>
      </w:r>
      <w:r>
        <w:rPr/>
        <w:t>  </w:t>
      </w:r>
      <w:r>
        <w:rPr>
          <w:w w:val="164"/>
        </w:rPr>
        <w:t>     </w:t>
      </w:r>
      <w:r>
        <w:rPr>
          <w:w w:val="148"/>
        </w:rPr>
        <w:t>   </w:t>
      </w:r>
      <w:r>
        <w:rPr/>
        <w:t>  </w:t>
      </w:r>
      <w:r>
        <w:rPr>
          <w:w w:val="200"/>
        </w:rPr>
        <w:t> </w:t>
      </w:r>
    </w:p>
    <w:p>
      <w:pPr>
        <w:pStyle w:val="BodyText"/>
        <w:spacing w:before="137"/>
        <w:ind w:left="102"/>
        <w:jc w:val="both"/>
      </w:pPr>
      <w:r>
        <w:rPr>
          <w:spacing w:val="-1"/>
          <w:w w:val="177"/>
        </w:rPr>
        <w:t>  </w:t>
      </w:r>
      <w:r>
        <w:rPr>
          <w:w w:val="204"/>
        </w:rPr>
        <w:t>     </w:t>
      </w:r>
      <w:r>
        <w:rPr>
          <w:spacing w:val="-1"/>
          <w:w w:val="177"/>
        </w:rPr>
        <w:t>  </w:t>
      </w:r>
      <w:r>
        <w:rPr>
          <w:w w:val="155"/>
        </w:rPr>
        <w:t> </w:t>
      </w:r>
      <w:r>
        <w:rPr/>
        <w:t> </w:t>
      </w:r>
      <w:r>
        <w:rPr>
          <w:spacing w:val="2"/>
        </w:rPr>
        <w:t> </w:t>
      </w:r>
      <w:r>
        <w:rPr>
          <w:w w:val="155"/>
        </w:rPr>
        <w:t> </w:t>
      </w:r>
      <w:r>
        <w:rPr>
          <w:spacing w:val="-2"/>
          <w:w w:val="155"/>
        </w:rPr>
        <w:t> </w:t>
      </w:r>
      <w:r>
        <w:rPr>
          <w:spacing w:val="2"/>
          <w:w w:val="155"/>
        </w:rPr>
        <w:t> </w:t>
      </w:r>
      <w:r>
        <w:rPr>
          <w:spacing w:val="-1"/>
          <w:w w:val="177"/>
        </w:rPr>
        <w:t>  </w:t>
      </w:r>
      <w:r>
        <w:rPr>
          <w:w w:val="166"/>
        </w:rPr>
        <w:t> </w:t>
      </w:r>
      <w:r>
        <w:rPr>
          <w:spacing w:val="-1"/>
          <w:w w:val="166"/>
        </w:rPr>
        <w:t> </w:t>
      </w:r>
      <w:r>
        <w:rPr>
          <w:w w:val="177"/>
        </w:rPr>
        <w:t> </w:t>
      </w:r>
      <w:r>
        <w:rPr/>
        <w:t> </w:t>
      </w:r>
      <w:r>
        <w:rPr>
          <w:spacing w:val="3"/>
        </w:rPr>
        <w:t> </w:t>
      </w:r>
      <w:r>
        <w:rPr>
          <w:w w:val="188"/>
        </w:rPr>
        <w:t>  </w:t>
      </w:r>
      <w:r>
        <w:rPr/>
        <w:t> </w:t>
      </w:r>
      <w:r>
        <w:rPr>
          <w:spacing w:val="3"/>
        </w:rPr>
        <w:t> </w:t>
      </w:r>
      <w:r>
        <w:rPr>
          <w:spacing w:val="-1"/>
          <w:w w:val="177"/>
        </w:rPr>
        <w:t>  </w:t>
      </w:r>
      <w:r>
        <w:rPr>
          <w:w w:val="140"/>
        </w:rPr>
        <w:t>   </w:t>
      </w:r>
      <w:r>
        <w:rPr>
          <w:spacing w:val="-1"/>
          <w:w w:val="177"/>
        </w:rPr>
        <w:t> </w:t>
      </w:r>
      <w:r>
        <w:rPr>
          <w:w w:val="122"/>
        </w:rPr>
        <w:t>  </w:t>
      </w:r>
      <w:r>
        <w:rPr/>
        <w:t> </w:t>
      </w:r>
      <w:r>
        <w:rPr>
          <w:spacing w:val="1"/>
        </w:rPr>
        <w:t> </w:t>
      </w:r>
      <w:r>
        <w:rPr>
          <w:w w:val="185"/>
        </w:rPr>
        <w:t>   </w:t>
      </w:r>
      <w:r>
        <w:rPr/>
        <w:t> </w:t>
      </w:r>
      <w:r>
        <w:rPr>
          <w:spacing w:val="2"/>
        </w:rPr>
        <w:t> </w:t>
      </w:r>
      <w:r>
        <w:rPr>
          <w:w w:val="155"/>
        </w:rPr>
        <w:t>   </w:t>
      </w:r>
      <w:r>
        <w:rPr/>
        <w:t> </w:t>
      </w:r>
      <w:r>
        <w:rPr>
          <w:spacing w:val="2"/>
        </w:rPr>
        <w:t> </w:t>
      </w:r>
      <w:r>
        <w:rPr>
          <w:w w:val="182"/>
        </w:rPr>
        <w:t>    </w:t>
      </w:r>
      <w:r>
        <w:rPr>
          <w:spacing w:val="-2"/>
          <w:w w:val="182"/>
        </w:rPr>
        <w:t> </w:t>
      </w:r>
      <w:r>
        <w:rPr>
          <w:w w:val="192"/>
        </w:rPr>
        <w:t>      </w:t>
      </w:r>
      <w:r>
        <w:rPr/>
        <w:t> </w:t>
      </w:r>
      <w:r>
        <w:rPr>
          <w:spacing w:val="2"/>
        </w:rPr>
        <w:t> </w:t>
      </w:r>
      <w:r>
        <w:rPr>
          <w:spacing w:val="-1"/>
          <w:w w:val="177"/>
        </w:rPr>
        <w:t> </w:t>
      </w:r>
      <w:r>
        <w:rPr>
          <w:spacing w:val="2"/>
          <w:w w:val="200"/>
        </w:rPr>
        <w:t> </w:t>
      </w:r>
      <w:r>
        <w:rPr>
          <w:w w:val="155"/>
        </w:rPr>
        <w:t> </w:t>
      </w:r>
      <w:r>
        <w:rPr>
          <w:spacing w:val="-2"/>
          <w:w w:val="155"/>
        </w:rPr>
        <w:t> </w:t>
      </w:r>
      <w:r>
        <w:rPr>
          <w:w w:val="155"/>
        </w:rPr>
        <w:t>  </w:t>
      </w:r>
      <w:r>
        <w:rPr>
          <w:spacing w:val="-2"/>
          <w:w w:val="155"/>
        </w:rPr>
        <w:t> </w:t>
      </w:r>
      <w:r>
        <w:rPr>
          <w:w w:val="111"/>
        </w:rPr>
        <w:t>  </w:t>
      </w:r>
      <w:r>
        <w:rPr>
          <w:w w:val="185"/>
        </w:rPr>
        <w:t>   </w:t>
      </w:r>
      <w:r>
        <w:rPr/>
        <w:t> </w:t>
      </w:r>
      <w:r>
        <w:rPr>
          <w:spacing w:val="2"/>
        </w:rPr>
        <w:t> </w:t>
      </w:r>
      <w:r>
        <w:rPr>
          <w:spacing w:val="-1"/>
          <w:w w:val="177"/>
        </w:rPr>
        <w:t> </w:t>
      </w:r>
      <w:r>
        <w:rPr>
          <w:w w:val="200"/>
        </w:rPr>
        <w:t> </w:t>
      </w:r>
      <w:r>
        <w:rPr/>
        <w:t> </w:t>
      </w:r>
      <w:r>
        <w:rPr>
          <w:spacing w:val="-1"/>
        </w:rPr>
        <w:t> </w:t>
      </w:r>
      <w:r>
        <w:rPr>
          <w:w w:val="144"/>
        </w:rPr>
        <w:t>  </w:t>
      </w:r>
      <w:r>
        <w:rPr/>
        <w:t> </w:t>
      </w:r>
      <w:r>
        <w:rPr>
          <w:spacing w:val="1"/>
        </w:rPr>
        <w:t> </w:t>
      </w:r>
      <w:r>
        <w:rPr>
          <w:spacing w:val="-1"/>
          <w:w w:val="177"/>
        </w:rPr>
        <w:t> </w:t>
      </w:r>
      <w:r>
        <w:rPr>
          <w:w w:val="140"/>
        </w:rPr>
        <w:t>   </w:t>
      </w:r>
      <w:r>
        <w:rPr>
          <w:spacing w:val="-1"/>
          <w:w w:val="177"/>
        </w:rPr>
        <w:t>   </w:t>
      </w:r>
      <w:r>
        <w:rPr>
          <w:w w:val="170"/>
        </w:rPr>
        <w:t>   </w:t>
      </w:r>
      <w:r>
        <w:rPr/>
        <w:t> </w:t>
      </w:r>
      <w:r>
        <w:rPr>
          <w:spacing w:val="2"/>
        </w:rPr>
        <w:t> </w:t>
      </w:r>
      <w:r>
        <w:rPr>
          <w:w w:val="188"/>
        </w:rPr>
        <w:t>  </w:t>
      </w:r>
    </w:p>
    <w:p>
      <w:pPr>
        <w:pStyle w:val="BodyText"/>
        <w:spacing w:before="139"/>
        <w:ind w:left="102"/>
        <w:jc w:val="both"/>
      </w:pPr>
      <w:r>
        <w:rPr>
          <w:w w:val="155"/>
        </w:rPr>
        <w:t>    </w:t>
      </w:r>
      <w:r>
        <w:rPr>
          <w:w w:val="111"/>
        </w:rPr>
        <w:t>  </w:t>
      </w:r>
      <w:r>
        <w:rPr>
          <w:spacing w:val="-1"/>
          <w:w w:val="177"/>
        </w:rPr>
        <w:t>  </w:t>
      </w:r>
      <w:r>
        <w:rPr>
          <w:w w:val="155"/>
        </w:rPr>
        <w:t> </w:t>
      </w:r>
      <w:r>
        <w:rPr/>
        <w:t> </w:t>
      </w:r>
      <w:r>
        <w:rPr>
          <w:spacing w:val="12"/>
        </w:rPr>
        <w:t> </w:t>
      </w:r>
      <w:r>
        <w:rPr>
          <w:w w:val="144"/>
        </w:rPr>
        <w:t>   </w:t>
      </w:r>
      <w:r>
        <w:rPr>
          <w:spacing w:val="-1"/>
          <w:w w:val="144"/>
        </w:rPr>
        <w:t> </w:t>
      </w:r>
      <w:r>
        <w:rPr>
          <w:spacing w:val="-1"/>
          <w:w w:val="177"/>
        </w:rPr>
        <w:t> </w:t>
      </w:r>
      <w:r>
        <w:rPr>
          <w:w w:val="148"/>
        </w:rPr>
        <w:t>   </w:t>
      </w:r>
      <w:r>
        <w:rPr/>
        <w:t> </w:t>
      </w:r>
      <w:r>
        <w:rPr>
          <w:spacing w:val="11"/>
        </w:rPr>
        <w:t> </w:t>
      </w:r>
      <w:r>
        <w:rPr>
          <w:w w:val="166"/>
        </w:rPr>
        <w:t> </w:t>
      </w:r>
      <w:r>
        <w:rPr>
          <w:spacing w:val="-1"/>
          <w:w w:val="166"/>
        </w:rPr>
        <w:t> </w:t>
      </w:r>
      <w:r>
        <w:rPr>
          <w:w w:val="188"/>
        </w:rPr>
        <w:t> </w:t>
      </w:r>
      <w:r>
        <w:rPr>
          <w:spacing w:val="-1"/>
          <w:w w:val="188"/>
        </w:rPr>
        <w:t> </w:t>
      </w:r>
      <w:r>
        <w:rPr>
          <w:w w:val="144"/>
        </w:rPr>
        <w:t> </w:t>
      </w:r>
      <w:r>
        <w:rPr>
          <w:spacing w:val="1"/>
          <w:w w:val="144"/>
        </w:rPr>
        <w:t> </w:t>
      </w:r>
      <w:r>
        <w:rPr>
          <w:w w:val="111"/>
        </w:rPr>
        <w:t>  </w:t>
      </w:r>
      <w:r>
        <w:rPr>
          <w:spacing w:val="-1"/>
          <w:w w:val="177"/>
        </w:rPr>
        <w:t>  </w:t>
      </w:r>
      <w:r>
        <w:rPr>
          <w:w w:val="155"/>
        </w:rPr>
        <w:t> </w:t>
      </w:r>
      <w:r>
        <w:rPr/>
        <w:t> </w:t>
      </w:r>
      <w:r>
        <w:rPr>
          <w:spacing w:val="12"/>
        </w:rPr>
        <w:t> </w:t>
      </w:r>
      <w:r>
        <w:rPr>
          <w:w w:val="188"/>
        </w:rPr>
        <w:t> </w:t>
      </w:r>
      <w:r>
        <w:rPr>
          <w:spacing w:val="-1"/>
          <w:w w:val="188"/>
        </w:rPr>
        <w:t> </w:t>
      </w:r>
      <w:r>
        <w:rPr>
          <w:w w:val="155"/>
        </w:rPr>
        <w:t>  </w:t>
      </w:r>
      <w:r>
        <w:rPr/>
        <w:t> </w:t>
      </w:r>
      <w:r>
        <w:rPr>
          <w:spacing w:val="10"/>
        </w:rPr>
        <w:t> </w:t>
      </w:r>
      <w:r>
        <w:rPr>
          <w:spacing w:val="2"/>
          <w:w w:val="200"/>
        </w:rPr>
        <w:t> </w:t>
      </w:r>
      <w:r>
        <w:rPr>
          <w:spacing w:val="-1"/>
          <w:w w:val="177"/>
        </w:rPr>
        <w:t> </w:t>
      </w:r>
      <w:r>
        <w:rPr>
          <w:w w:val="150"/>
        </w:rPr>
        <w:t>    </w:t>
      </w:r>
      <w:r>
        <w:rPr/>
        <w:t> </w:t>
      </w:r>
      <w:r>
        <w:rPr>
          <w:spacing w:val="11"/>
        </w:rPr>
        <w:t> </w:t>
      </w:r>
      <w:r>
        <w:rPr>
          <w:spacing w:val="-1"/>
          <w:w w:val="177"/>
        </w:rPr>
        <w:t> </w:t>
      </w:r>
      <w:r>
        <w:rPr>
          <w:w w:val="200"/>
        </w:rPr>
        <w:t> </w:t>
      </w:r>
      <w:r>
        <w:rPr/>
        <w:t> </w:t>
      </w:r>
      <w:r>
        <w:rPr>
          <w:spacing w:val="11"/>
        </w:rPr>
        <w:t> </w:t>
      </w:r>
      <w:r>
        <w:rPr>
          <w:w w:val="188"/>
        </w:rPr>
        <w:t> </w:t>
      </w:r>
      <w:r>
        <w:rPr>
          <w:spacing w:val="1"/>
          <w:w w:val="188"/>
        </w:rPr>
        <w:t> </w:t>
      </w:r>
      <w:r>
        <w:rPr>
          <w:w w:val="166"/>
        </w:rPr>
        <w:t> </w:t>
      </w:r>
      <w:r>
        <w:rPr>
          <w:spacing w:val="-1"/>
          <w:w w:val="166"/>
        </w:rPr>
        <w:t> </w:t>
      </w:r>
      <w:r>
        <w:rPr>
          <w:w w:val="133"/>
        </w:rPr>
        <w:t> </w:t>
      </w:r>
      <w:r>
        <w:rPr>
          <w:spacing w:val="-2"/>
          <w:w w:val="133"/>
        </w:rPr>
        <w:t> </w:t>
      </w:r>
      <w:r>
        <w:rPr>
          <w:w w:val="140"/>
        </w:rPr>
        <w:t>   </w:t>
      </w:r>
      <w:r>
        <w:rPr>
          <w:w w:val="200"/>
        </w:rPr>
        <w:t> </w:t>
      </w:r>
      <w:r>
        <w:rPr/>
        <w:t>  </w:t>
      </w:r>
      <w:r>
        <w:rPr>
          <w:spacing w:val="11"/>
        </w:rPr>
        <w:t> </w:t>
      </w:r>
      <w:r>
        <w:rPr>
          <w:w w:val="1"/>
        </w:rPr>
        <w:t> </w:t>
      </w:r>
      <w:r>
        <w:rPr/>
        <w:t> </w:t>
      </w:r>
      <w:r>
        <w:rPr>
          <w:spacing w:val="11"/>
        </w:rPr>
        <w:t> </w:t>
      </w:r>
      <w:r>
        <w:rPr>
          <w:spacing w:val="-1"/>
          <w:w w:val="177"/>
        </w:rPr>
        <w:t> </w:t>
      </w:r>
      <w:r>
        <w:rPr>
          <w:w w:val="188"/>
        </w:rPr>
        <w:t> </w:t>
      </w:r>
      <w:r>
        <w:rPr>
          <w:spacing w:val="-1"/>
          <w:w w:val="188"/>
        </w:rPr>
        <w:t> </w:t>
      </w:r>
      <w:r>
        <w:rPr>
          <w:w w:val="214"/>
        </w:rPr>
        <w:t>   </w:t>
      </w:r>
      <w:r>
        <w:rPr/>
        <w:t> </w:t>
      </w:r>
      <w:r>
        <w:rPr>
          <w:spacing w:val="11"/>
        </w:rPr>
        <w:t> </w:t>
      </w:r>
      <w:r>
        <w:rPr>
          <w:spacing w:val="2"/>
          <w:w w:val="200"/>
        </w:rPr>
        <w:t> </w:t>
      </w:r>
      <w:r>
        <w:rPr>
          <w:w w:val="177"/>
        </w:rPr>
        <w:t> </w:t>
      </w:r>
      <w:r>
        <w:rPr/>
        <w:t> </w:t>
      </w:r>
      <w:r>
        <w:rPr>
          <w:spacing w:val="10"/>
        </w:rPr>
        <w:t> </w:t>
      </w:r>
      <w:r>
        <w:rPr>
          <w:w w:val="144"/>
        </w:rPr>
        <w:t> </w:t>
      </w:r>
      <w:r>
        <w:rPr>
          <w:spacing w:val="1"/>
          <w:w w:val="144"/>
        </w:rPr>
        <w:t> </w:t>
      </w:r>
      <w:r>
        <w:rPr>
          <w:w w:val="155"/>
        </w:rPr>
        <w:t> </w:t>
      </w:r>
      <w:r>
        <w:rPr/>
        <w:t> </w:t>
      </w:r>
      <w:r>
        <w:rPr>
          <w:spacing w:val="12"/>
        </w:rPr>
        <w:t> </w:t>
      </w:r>
      <w:r>
        <w:rPr>
          <w:spacing w:val="-1"/>
          <w:w w:val="177"/>
        </w:rPr>
        <w:t>  </w:t>
      </w:r>
      <w:r>
        <w:rPr>
          <w:w w:val="155"/>
        </w:rPr>
        <w:t>  </w:t>
      </w:r>
      <w:r>
        <w:rPr>
          <w:spacing w:val="-1"/>
          <w:w w:val="177"/>
        </w:rPr>
        <w:t> </w:t>
      </w:r>
      <w:r>
        <w:rPr>
          <w:w w:val="144"/>
        </w:rPr>
        <w:t> </w:t>
      </w:r>
      <w:r>
        <w:rPr>
          <w:spacing w:val="6"/>
          <w:w w:val="144"/>
        </w:rPr>
        <w:t> </w:t>
      </w:r>
      <w:r>
        <w:rPr>
          <w:w w:val="124"/>
        </w:rPr>
        <w:t>     </w:t>
      </w:r>
      <w:r>
        <w:rPr>
          <w:spacing w:val="-1"/>
          <w:w w:val="177"/>
        </w:rPr>
        <w:t>  </w:t>
      </w:r>
      <w:r>
        <w:rPr>
          <w:w w:val="155"/>
        </w:rPr>
        <w:t> </w:t>
      </w:r>
    </w:p>
    <w:p>
      <w:pPr>
        <w:pStyle w:val="BodyText"/>
        <w:spacing w:before="137"/>
        <w:ind w:left="102"/>
        <w:jc w:val="both"/>
      </w:pPr>
      <w:r>
        <w:rPr>
          <w:w w:val="144"/>
        </w:rPr>
        <w:t>    </w:t>
      </w:r>
      <w:r>
        <w:rPr>
          <w:w w:val="111"/>
        </w:rPr>
        <w:t>  </w:t>
      </w:r>
      <w:r>
        <w:rPr>
          <w:w w:val="188"/>
        </w:rPr>
        <w:t> </w:t>
      </w:r>
      <w:r>
        <w:rPr>
          <w:spacing w:val="-1"/>
          <w:w w:val="188"/>
        </w:rPr>
        <w:t> </w:t>
      </w:r>
      <w:r>
        <w:rPr>
          <w:w w:val="162"/>
        </w:rPr>
        <w:t>     </w:t>
      </w:r>
      <w:r>
        <w:rPr>
          <w:spacing w:val="-1"/>
          <w:w w:val="162"/>
        </w:rPr>
        <w:t> </w:t>
      </w:r>
      <w:r>
        <w:rPr>
          <w:w w:val="155"/>
        </w:rPr>
        <w:t> </w:t>
      </w:r>
      <w:r>
        <w:rPr/>
        <w:t> </w:t>
      </w:r>
      <w:r>
        <w:rPr>
          <w:w w:val="50"/>
        </w:rPr>
        <w:t>  </w:t>
      </w:r>
    </w:p>
    <w:p>
      <w:pPr>
        <w:spacing w:after="0"/>
        <w:jc w:val="both"/>
        <w:sectPr>
          <w:pgSz w:w="12250" w:h="15850"/>
          <w:pgMar w:header="0" w:footer="1037" w:top="1360" w:bottom="1220" w:left="1600" w:right="1580"/>
        </w:sectPr>
      </w:pPr>
    </w:p>
    <w:p>
      <w:pPr>
        <w:pStyle w:val="Heading4"/>
        <w:numPr>
          <w:ilvl w:val="2"/>
          <w:numId w:val="8"/>
        </w:numPr>
        <w:tabs>
          <w:tab w:pos="1505" w:val="left" w:leader="none"/>
          <w:tab w:pos="1506" w:val="left" w:leader="none"/>
        </w:tabs>
        <w:spacing w:line="240" w:lineRule="auto" w:before="55" w:after="0"/>
        <w:ind w:left="1506" w:right="0" w:hanging="720"/>
        <w:jc w:val="left"/>
      </w:pPr>
      <w:bookmarkStart w:name="_bookmark13" w:id="20"/>
      <w:bookmarkEnd w:id="20"/>
      <w:r>
        <w:rPr>
          <w:b w:val="0"/>
        </w:rPr>
      </w:r>
      <w:bookmarkStart w:name="_bookmark13" w:id="21"/>
      <w:bookmarkEnd w:id="21"/>
      <w:r>
        <w:rPr/>
        <w:t>C</w:t>
      </w:r>
      <w:r>
        <w:rPr/>
        <w:t>ambios institucionales y sus implicaciones en la política</w:t>
      </w:r>
      <w:r>
        <w:rPr>
          <w:spacing w:val="-14"/>
        </w:rPr>
        <w:t> </w:t>
      </w:r>
      <w:r>
        <w:rPr/>
        <w:t>fiscal</w:t>
      </w:r>
    </w:p>
    <w:p>
      <w:pPr>
        <w:pStyle w:val="BodyText"/>
        <w:rPr>
          <w:b/>
        </w:rPr>
      </w:pPr>
    </w:p>
    <w:p>
      <w:pPr>
        <w:pStyle w:val="BodyText"/>
        <w:spacing w:before="5"/>
        <w:rPr>
          <w:b/>
          <w:sz w:val="20"/>
        </w:rPr>
      </w:pPr>
    </w:p>
    <w:p>
      <w:pPr>
        <w:pStyle w:val="BodyText"/>
        <w:spacing w:line="360" w:lineRule="auto"/>
        <w:ind w:left="102" w:right="116" w:firstLine="707"/>
        <w:jc w:val="both"/>
      </w:pPr>
      <w:r>
        <w:rPr/>
        <w:t>Tal como se mencionó anteriormente, la calidad de las normas institucionales es un factor explicativo en la orientación de la política fiscal, especialmente para un contexto de asignación de ingresos petroleros mediante el establecimiento de legislación en la implementación del gasto público o bajo criterios de reglas fiscales (Ossowski,  et  al., 2008).</w:t>
      </w:r>
    </w:p>
    <w:p>
      <w:pPr>
        <w:pStyle w:val="BodyText"/>
        <w:spacing w:line="360" w:lineRule="auto" w:before="6"/>
        <w:ind w:left="102" w:right="118" w:firstLine="707"/>
        <w:jc w:val="both"/>
      </w:pPr>
      <w:r>
        <w:rPr/>
        <w:t>Los cambios institucionales y sus implicanciones en la política fiscal, se puede afrontar desde dos perspectivas teóricas: (i) el establecimiento de normas y contratos que direcciona la organización económica del gobierno y mejora la eficiencia  pública  (problema de agentes y principales; nuevo institucionalismo económico); (ii) la teoría institucional que considera la imposición normativa y coercitiva derivada de las decisiones políticas (isomorfismo</w:t>
      </w:r>
      <w:r>
        <w:rPr>
          <w:spacing w:val="-5"/>
        </w:rPr>
        <w:t> </w:t>
      </w:r>
      <w:r>
        <w:rPr/>
        <w:t>normativo).</w:t>
      </w:r>
    </w:p>
    <w:p>
      <w:pPr>
        <w:pStyle w:val="BodyText"/>
        <w:spacing w:line="360" w:lineRule="auto" w:before="6"/>
        <w:ind w:left="102" w:right="118" w:firstLine="707"/>
        <w:jc w:val="both"/>
      </w:pPr>
      <w:r>
        <w:rPr/>
        <w:t>Para abordar la eficiencia del rol fiscal, se parte desde la perspectiva </w:t>
      </w:r>
      <w:r>
        <w:rPr>
          <w:spacing w:val="2"/>
        </w:rPr>
        <w:t>del </w:t>
      </w:r>
      <w:r>
        <w:rPr/>
        <w:t>nuevo institucionalismo económico, el cual considera los cambios institucionales como un nuevo rumbo en la organización económica del Estado, que produce cambios en los costos de transacción del gobierno y de la economía en su conjunto. Así por ejemplo, las instituciones son eficientes cuando minimizan sus costos de transacción (Williamson, 1996; Bachev, 2010). Inclusive para economías ricas en algún recurso natural se podría evaluar la eficiencia bajo la medida que los ingresos petroleros fueran redistribuídos (Olson, 1969) o invertidos a favor de la sociedad- especialmente para economías en desarrollo que  presentan escasez de</w:t>
      </w:r>
      <w:r>
        <w:rPr>
          <w:spacing w:val="-5"/>
        </w:rPr>
        <w:t> </w:t>
      </w:r>
      <w:r>
        <w:rPr/>
        <w:t>capital-.</w:t>
      </w:r>
    </w:p>
    <w:p>
      <w:pPr>
        <w:pStyle w:val="BodyText"/>
        <w:spacing w:line="360" w:lineRule="auto" w:before="4"/>
        <w:ind w:left="102" w:right="114" w:firstLine="707"/>
        <w:jc w:val="both"/>
      </w:pPr>
      <w:r>
        <w:rPr/>
        <w:t>En el marco de la teoría institucional, para el contexto de Bolivia, en el 2006 se realizó la nacionalización de los hidrocarburos como una medida de cambio institucional formal. Los factores teóricos asociados con la nacionalización de una industria petrolera se centran en: i) altos precios del petróleo e institucionalidad débil (Guriev, et al., 2011), ii) industrias selectivas y estratégicas para un país (Kobrin, 1980), iii) motivos ideológicos (de forma alternativa).</w:t>
      </w:r>
    </w:p>
    <w:p>
      <w:pPr>
        <w:pStyle w:val="BodyText"/>
        <w:spacing w:line="360" w:lineRule="auto" w:before="4"/>
        <w:ind w:left="102" w:right="120" w:firstLine="707"/>
        <w:jc w:val="both"/>
      </w:pPr>
      <w:r>
        <w:rPr/>
        <w:t>De acuerdo con Scott &amp; Davis (2007) las fuentes de cambio que influyen en una institución,   se   fundamentan   en   factores   formales   de   regulación   (ejemplo:        una</w:t>
      </w:r>
    </w:p>
    <w:p>
      <w:pPr>
        <w:spacing w:after="0" w:line="360" w:lineRule="auto"/>
        <w:jc w:val="both"/>
        <w:sectPr>
          <w:pgSz w:w="12250" w:h="15850"/>
          <w:pgMar w:header="0" w:footer="1037" w:top="1360" w:bottom="1220" w:left="1600" w:right="1580"/>
        </w:sectPr>
      </w:pPr>
    </w:p>
    <w:p>
      <w:pPr>
        <w:pStyle w:val="BodyText"/>
        <w:spacing w:line="360" w:lineRule="auto" w:before="50"/>
        <w:ind w:left="102" w:right="127"/>
      </w:pPr>
      <w:r>
        <w:rPr/>
        <w:t>nacionalización) y cambios informales que no están normados tal como es el caso de la asignación de ingresos fiscales petroleros y no petroleros al gasto público.</w:t>
      </w:r>
    </w:p>
    <w:p>
      <w:pPr>
        <w:pStyle w:val="BodyText"/>
        <w:spacing w:line="360" w:lineRule="auto" w:before="6"/>
        <w:ind w:left="102" w:right="118" w:firstLine="767"/>
        <w:jc w:val="both"/>
      </w:pPr>
      <w:r>
        <w:rPr/>
        <w:t>Adicionalmente, a manera de inferencia teórica, se propone que la eficiencia del gasto público se vincule con la posición fiscal al considerar un producto final y un costo de organización económica. El producto está vinculado con dos medidas: a) el balance fiscal (con y sin petróleo) y b) la deuda pública. La asignación de los ingresos fiscales al gasto público es el costo de organización económica dada su asignación respectiva a la inversión pública y al gasto corriente (cambios institucionales informales) toda vez que no existe una normativa que regule la asignación y los fines sobre la totalidad de los ingresos del recurso natural para el gasto público.</w:t>
      </w:r>
    </w:p>
    <w:p>
      <w:pPr>
        <w:pStyle w:val="BodyText"/>
        <w:spacing w:line="360" w:lineRule="auto" w:before="6"/>
        <w:ind w:left="102" w:right="115" w:firstLine="707"/>
        <w:jc w:val="both"/>
      </w:pPr>
      <w:r>
        <w:rPr/>
        <w:t>Adicionalmente, a partir de la nacionalización de los recursos naturales es posible evaluar la eficiencia institucional fiscal de manera endógena y a </w:t>
      </w:r>
      <w:r>
        <w:rPr>
          <w:i/>
        </w:rPr>
        <w:t>posteriori</w:t>
      </w:r>
      <w:r>
        <w:rPr/>
        <w:t>, bajo las siguientes consideraciones: i) la asignación de ingresos fiscales (con y sin recurso natural) no se asocia con un deterioro del balance primario petrolero y no petrolero; ii) existe una orientación contracíclica de la política fiscal (postura Keynesiana) o netural (postura neoclásica), lo anterior implicaría la generación de ahorros petroleros que permiten realizar políticas antichoques frente a épocas de recesión, los ingresos petroleros pueden canalizarse a la inversión pública (de forma alternativa); iii) los precios del recurso natural no han llevado a una participación progresiva en el balance fiscal cíclico; iv) el balance primario  no petrolero no evidencia un comportamiento de insostenibilidad</w:t>
      </w:r>
      <w:r>
        <w:rPr>
          <w:spacing w:val="-9"/>
        </w:rPr>
        <w:t> </w:t>
      </w:r>
      <w:r>
        <w:rPr/>
        <w:t>fiscal.</w:t>
      </w:r>
    </w:p>
    <w:p>
      <w:pPr>
        <w:pStyle w:val="BodyText"/>
        <w:spacing w:before="7"/>
        <w:rPr>
          <w:sz w:val="21"/>
        </w:rPr>
      </w:pPr>
    </w:p>
    <w:p>
      <w:pPr>
        <w:pStyle w:val="Heading4"/>
        <w:numPr>
          <w:ilvl w:val="1"/>
          <w:numId w:val="8"/>
        </w:numPr>
        <w:tabs>
          <w:tab w:pos="677" w:val="left" w:leader="none"/>
          <w:tab w:pos="678" w:val="left" w:leader="none"/>
        </w:tabs>
        <w:spacing w:line="240" w:lineRule="auto" w:before="0" w:after="0"/>
        <w:ind w:left="678" w:right="0" w:hanging="576"/>
        <w:jc w:val="left"/>
      </w:pPr>
      <w:bookmarkStart w:name="_bookmark14" w:id="22"/>
      <w:bookmarkEnd w:id="22"/>
      <w:r>
        <w:rPr>
          <w:b w:val="0"/>
        </w:rPr>
      </w:r>
      <w:bookmarkStart w:name="_bookmark14" w:id="23"/>
      <w:bookmarkEnd w:id="23"/>
      <w:r>
        <w:rPr/>
        <w:t>E</w:t>
      </w:r>
      <w:r>
        <w:rPr/>
        <w:t>structura institucional de los mercados de recursos</w:t>
      </w:r>
      <w:r>
        <w:rPr>
          <w:spacing w:val="-12"/>
        </w:rPr>
        <w:t> </w:t>
      </w:r>
      <w:r>
        <w:rPr/>
        <w:t>naturales</w:t>
      </w:r>
    </w:p>
    <w:p>
      <w:pPr>
        <w:pStyle w:val="BodyText"/>
        <w:rPr>
          <w:b/>
          <w:sz w:val="29"/>
        </w:rPr>
      </w:pPr>
    </w:p>
    <w:p>
      <w:pPr>
        <w:pStyle w:val="BodyText"/>
        <w:spacing w:line="360" w:lineRule="auto"/>
        <w:ind w:left="102" w:right="117" w:firstLine="707"/>
        <w:jc w:val="both"/>
      </w:pPr>
      <w:r>
        <w:rPr/>
        <w:t>Los cambios institucionales (por ejemplo una decisión de nacionalización) pueden surgir a raíz de cambios provenientes del mercado, esto es, precios internacionales altos </w:t>
      </w:r>
      <w:r>
        <w:rPr>
          <w:spacing w:val="-3"/>
        </w:rPr>
        <w:t>y, </w:t>
      </w:r>
      <w:r>
        <w:rPr/>
        <w:t>por tanto, emanan nuevas legislaciones sobre industrias estratégicas para un país (Kobrin, 1980). La estructura de mercado de los recursos naturales puede apreciarse desde dos perspectivas: </w:t>
      </w:r>
      <w:r>
        <w:rPr>
          <w:i/>
        </w:rPr>
        <w:t>a nivel internacional</w:t>
      </w:r>
      <w:r>
        <w:rPr/>
        <w:t>, en cuanto a los factores que influyen en la determinación de precios en los mercados internacionales; y a </w:t>
      </w:r>
      <w:r>
        <w:rPr>
          <w:i/>
        </w:rPr>
        <w:t>nivel local</w:t>
      </w:r>
      <w:r>
        <w:rPr/>
        <w:t>, caracterizado por el proceso de exploración, explotación y producción de un recurso</w:t>
      </w:r>
      <w:r>
        <w:rPr>
          <w:spacing w:val="-11"/>
        </w:rPr>
        <w:t> </w:t>
      </w:r>
      <w:r>
        <w:rPr/>
        <w:t>natural.</w:t>
      </w:r>
    </w:p>
    <w:p>
      <w:pPr>
        <w:spacing w:after="0" w:line="360" w:lineRule="auto"/>
        <w:jc w:val="both"/>
        <w:sectPr>
          <w:pgSz w:w="12250" w:h="15850"/>
          <w:pgMar w:header="0" w:footer="1037" w:top="1360" w:bottom="1220" w:left="1600" w:right="1580"/>
        </w:sectPr>
      </w:pPr>
    </w:p>
    <w:p>
      <w:pPr>
        <w:pStyle w:val="BodyText"/>
        <w:spacing w:line="360" w:lineRule="auto" w:before="50"/>
        <w:ind w:left="122" w:right="120" w:firstLine="707"/>
        <w:jc w:val="both"/>
      </w:pPr>
      <w:r>
        <w:rPr/>
        <w:t>El propósito de este apartado es abordar el marco conceptual que sustente la correlación de precios internacionales de un recurso natural con las decisiones de nacionalización o privatización de industrias energéticas.</w:t>
      </w:r>
    </w:p>
    <w:p>
      <w:pPr>
        <w:pStyle w:val="BodyText"/>
        <w:spacing w:before="4"/>
        <w:rPr>
          <w:sz w:val="21"/>
        </w:rPr>
      </w:pPr>
    </w:p>
    <w:p>
      <w:pPr>
        <w:pStyle w:val="Heading4"/>
        <w:numPr>
          <w:ilvl w:val="2"/>
          <w:numId w:val="8"/>
        </w:numPr>
        <w:tabs>
          <w:tab w:pos="983" w:val="left" w:leader="none"/>
          <w:tab w:pos="984" w:val="left" w:leader="none"/>
        </w:tabs>
        <w:spacing w:line="240" w:lineRule="auto" w:before="1" w:after="0"/>
        <w:ind w:left="983" w:right="0" w:hanging="720"/>
        <w:jc w:val="left"/>
      </w:pPr>
      <w:bookmarkStart w:name="_bookmark15" w:id="24"/>
      <w:bookmarkEnd w:id="24"/>
      <w:r>
        <w:rPr>
          <w:b w:val="0"/>
        </w:rPr>
      </w:r>
      <w:bookmarkStart w:name="_bookmark15" w:id="25"/>
      <w:bookmarkEnd w:id="25"/>
      <w:r>
        <w:rPr/>
        <w:t>Organi</w:t>
      </w:r>
      <w:r>
        <w:rPr/>
        <w:t>zación de mercados de recursos</w:t>
      </w:r>
      <w:r>
        <w:rPr>
          <w:spacing w:val="-12"/>
        </w:rPr>
        <w:t> </w:t>
      </w:r>
      <w:r>
        <w:rPr/>
        <w:t>naturales</w:t>
      </w:r>
    </w:p>
    <w:p>
      <w:pPr>
        <w:pStyle w:val="BodyText"/>
        <w:rPr>
          <w:b/>
          <w:sz w:val="29"/>
        </w:rPr>
      </w:pPr>
    </w:p>
    <w:p>
      <w:pPr>
        <w:pStyle w:val="BodyText"/>
        <w:spacing w:line="360" w:lineRule="auto"/>
        <w:ind w:left="122" w:right="118" w:firstLine="707"/>
        <w:jc w:val="both"/>
      </w:pPr>
      <w:r>
        <w:rPr/>
        <w:t>El mercado de un recurso natural comprende la oferta y demanda del bien en cuestión; por el lado de la oferta, pueden existir una o más empresas encargadas de la etapa de producción, transformación, distribución y comercialización, existiendo o no sustitutos cercanos para el consumo, </w:t>
      </w:r>
      <w:r>
        <w:rPr>
          <w:spacing w:val="-3"/>
        </w:rPr>
        <w:t>ya </w:t>
      </w:r>
      <w:r>
        <w:rPr/>
        <w:t>sean demandantes residenciales nacionales, clientes industriales y consumidores extranjeros (Fosco &amp; Saavedra, 2003) La importancia de la estructura de mercado está relacionada con dos factores: i) el sendero de extracción de recursos naturales (a nivel local) y ii) la determinación de los precios (a nivel  internacional).</w:t>
      </w:r>
    </w:p>
    <w:p>
      <w:pPr>
        <w:pStyle w:val="BodyText"/>
        <w:spacing w:line="352" w:lineRule="auto" w:before="4"/>
        <w:ind w:left="122" w:right="116" w:firstLine="707"/>
        <w:jc w:val="both"/>
      </w:pPr>
      <w:r>
        <w:rPr/>
        <w:t>En cuanto al </w:t>
      </w:r>
      <w:r>
        <w:rPr>
          <w:i/>
        </w:rPr>
        <w:t>sendero de extracción de recursos naturales</w:t>
      </w:r>
      <w:r>
        <w:rPr/>
        <w:t>, Rötheli (1995) argumentó que bajo condiciones de competencia perfecta</w:t>
      </w:r>
      <w:r>
        <w:rPr>
          <w:position w:val="11"/>
          <w:sz w:val="16"/>
        </w:rPr>
        <w:t>25</w:t>
      </w:r>
      <w:r>
        <w:rPr/>
        <w:t>, al productor le es igual explotar un recurso natural hoy o después. Sin embargo, bajo una estructura de monopolio (o en su defecto bajo oligopolio de tipo cartel)</w:t>
      </w:r>
      <w:r>
        <w:rPr>
          <w:position w:val="11"/>
          <w:sz w:val="16"/>
        </w:rPr>
        <w:t>26</w:t>
      </w:r>
      <w:r>
        <w:rPr/>
        <w:t>, la decisión del precio afecta la decisión de extracción actual y por ende la producción, esto significa que el inversionista intenta maximizar su valor presente neto (VPN) haciendo más conservadora su decisión de explotación con una extracción menor. La formación de carteles podría incrementar o contraer la producción del recurso natural, conforme los precios de mercado estén dados. En suma, cuando se  observan los precios del mercado, el monopolio o el cartel tienen la posibilidad de incrementar los precios del recurso natural vía incremento o desaceleración del proceso de exploración y</w:t>
      </w:r>
      <w:r>
        <w:rPr>
          <w:spacing w:val="-4"/>
        </w:rPr>
        <w:t> </w:t>
      </w:r>
      <w:r>
        <w:rPr/>
        <w:t>explotación.</w:t>
      </w:r>
    </w:p>
    <w:p>
      <w:pPr>
        <w:pStyle w:val="BodyText"/>
        <w:spacing w:line="360" w:lineRule="auto" w:before="12"/>
        <w:ind w:left="122" w:right="115" w:firstLine="707"/>
        <w:jc w:val="both"/>
      </w:pPr>
      <w:r>
        <w:rPr/>
        <w:pict>
          <v:line style="position:absolute;mso-position-horizontal-relative:page;mso-position-vertical-relative:paragraph;z-index:2704;mso-wrap-distance-left:0;mso-wrap-distance-right:0" from="85.103996pt,44.02314pt" to="229.123996pt,44.02314pt" stroked="true" strokeweight=".599980pt" strokecolor="#000000">
            <w10:wrap type="topAndBottom"/>
          </v:line>
        </w:pict>
      </w:r>
      <w:r>
        <w:rPr/>
        <w:t>A nivel internacional, en relación con </w:t>
      </w:r>
      <w:r>
        <w:rPr>
          <w:i/>
        </w:rPr>
        <w:t>la determinación de precios</w:t>
      </w:r>
      <w:r>
        <w:rPr/>
        <w:t>, Stiglitz &amp; Dasgupta (1981) sostuvieron que bajo estructuras de mercados monopólicos en el control</w:t>
      </w:r>
    </w:p>
    <w:p>
      <w:pPr>
        <w:spacing w:before="50"/>
        <w:ind w:left="122" w:right="123" w:firstLine="0"/>
        <w:jc w:val="both"/>
        <w:rPr>
          <w:sz w:val="20"/>
        </w:rPr>
      </w:pPr>
      <w:r>
        <w:rPr>
          <w:position w:val="9"/>
          <w:sz w:val="13"/>
        </w:rPr>
        <w:t>25 </w:t>
      </w:r>
      <w:r>
        <w:rPr>
          <w:sz w:val="20"/>
        </w:rPr>
        <w:t>Mercado conformado por un gran número de consumidores y productores, donde los individuos y empresas son tomadores de precios, existe información completa entre individuos y empresas. Los precios se derivan de las fuerzas del mercado (Nicholson y Snyder, 2011, pg. 346).</w:t>
      </w:r>
    </w:p>
    <w:p>
      <w:pPr>
        <w:pStyle w:val="BodyText"/>
        <w:spacing w:before="10"/>
        <w:rPr>
          <w:sz w:val="17"/>
        </w:rPr>
      </w:pPr>
    </w:p>
    <w:p>
      <w:pPr>
        <w:spacing w:before="0"/>
        <w:ind w:left="122" w:right="117" w:firstLine="0"/>
        <w:jc w:val="both"/>
        <w:rPr>
          <w:sz w:val="20"/>
        </w:rPr>
      </w:pPr>
      <w:r>
        <w:rPr>
          <w:position w:val="9"/>
          <w:sz w:val="13"/>
        </w:rPr>
        <w:t>26 </w:t>
      </w:r>
      <w:r>
        <w:rPr>
          <w:sz w:val="20"/>
        </w:rPr>
        <w:t>El monopolio se presenta en la situación que un mercado tiene un sólo proveedor. El precio del producto está determinado por la decisión de producción del monopolio. El oligopolio es una estructura de mercado de competencia imperfecta donde existen pocas empresas, el cartel se forma cuando éstas deciden coordinar los niveles de precios con el fin de direccionar los precios del mercados y maximizar sus beneficios (Nicholson y Snyder, 2011, pg.</w:t>
      </w:r>
      <w:r>
        <w:rPr>
          <w:spacing w:val="-6"/>
          <w:sz w:val="20"/>
        </w:rPr>
        <w:t> </w:t>
      </w:r>
      <w:r>
        <w:rPr>
          <w:sz w:val="20"/>
        </w:rPr>
        <w:t>377-408).</w:t>
      </w:r>
    </w:p>
    <w:p>
      <w:pPr>
        <w:spacing w:after="0"/>
        <w:jc w:val="both"/>
        <w:rPr>
          <w:sz w:val="20"/>
        </w:rPr>
        <w:sectPr>
          <w:pgSz w:w="12250" w:h="15850"/>
          <w:pgMar w:header="0" w:footer="1037" w:top="1360" w:bottom="1220" w:left="1580" w:right="1580"/>
        </w:sectPr>
      </w:pPr>
    </w:p>
    <w:p>
      <w:pPr>
        <w:pStyle w:val="BodyText"/>
        <w:spacing w:line="360" w:lineRule="auto" w:before="50"/>
        <w:ind w:left="122" w:right="118"/>
        <w:jc w:val="both"/>
      </w:pPr>
      <w:r>
        <w:rPr/>
        <w:t>de un recurso natural y otro monopolio en el control de los sustitutos (es decir duopolios) los precios de mercado son los más elevados, luego, los segundos precios más elevados se presentan en la situación donde un monopolio controla el recurso natural (caso de la OPEP) y sus sustitutos son producidos competitivamente. De todos los casos, los autores argumentan que bajo estructuras de mercado competitivo se obtienen los precios más bajos de los recursos</w:t>
      </w:r>
      <w:r>
        <w:rPr>
          <w:spacing w:val="-7"/>
        </w:rPr>
        <w:t> </w:t>
      </w:r>
      <w:r>
        <w:rPr/>
        <w:t>naturales.</w:t>
      </w:r>
    </w:p>
    <w:p>
      <w:pPr>
        <w:pStyle w:val="BodyText"/>
        <w:spacing w:line="360" w:lineRule="auto" w:before="6"/>
        <w:ind w:left="122" w:right="118" w:firstLine="707"/>
        <w:jc w:val="both"/>
      </w:pPr>
      <w:r>
        <w:rPr/>
        <w:t>En segundo lugar, Zwart (2009) señala que las dinámicas en el largo plazo juegan  un papel importante entre el poder de mercado y el agotamiento de los recursos, demostrando que un incremento en la estructura competitiva de mercado lleva a una ligera aceleración del agotamiento de recursos, lo cual reduce el precio de un recurso natural en el corto plazo a expensas de incrementos de precios en el largo</w:t>
      </w:r>
      <w:r>
        <w:rPr>
          <w:spacing w:val="-14"/>
        </w:rPr>
        <w:t> </w:t>
      </w:r>
      <w:r>
        <w:rPr/>
        <w:t>plazo.</w:t>
      </w:r>
    </w:p>
    <w:p>
      <w:pPr>
        <w:pStyle w:val="BodyText"/>
        <w:spacing w:line="360" w:lineRule="auto" w:before="4"/>
        <w:ind w:left="122" w:right="117" w:firstLine="707"/>
        <w:jc w:val="both"/>
      </w:pPr>
      <w:r>
        <w:rPr/>
        <w:t>En mercados locales (a nivel país), los cambios de estructuras de mercado de los recursos naturales han estado acompañados de ciclos de nacionalizaciones y  privatizaciones, cuyas decisiones se han correlacionado con cambios en los precios internacionales de los recursos no</w:t>
      </w:r>
      <w:r>
        <w:rPr>
          <w:spacing w:val="-8"/>
        </w:rPr>
        <w:t> </w:t>
      </w:r>
      <w:r>
        <w:rPr/>
        <w:t>renovables.</w:t>
      </w:r>
    </w:p>
    <w:p>
      <w:pPr>
        <w:pStyle w:val="BodyText"/>
        <w:spacing w:line="350" w:lineRule="auto" w:before="4"/>
        <w:ind w:left="122" w:right="116" w:firstLine="707"/>
        <w:jc w:val="both"/>
      </w:pPr>
      <w:r>
        <w:rPr/>
        <w:t>En la década de los 60s y 70s, varios países petroleros nacionalizaron su industria como consecuencia de los altos precios internacionales, posteriormente, durante la década de los 80s</w:t>
      </w:r>
      <w:r>
        <w:rPr>
          <w:position w:val="11"/>
          <w:sz w:val="16"/>
        </w:rPr>
        <w:t>27</w:t>
      </w:r>
      <w:r>
        <w:rPr/>
        <w:t>, existió una tendencia a la privatización de industrias energéticas como consecuencia de la  caída de los precios y la ineficiencia de las empresas públicas.</w:t>
      </w:r>
    </w:p>
    <w:p>
      <w:pPr>
        <w:pStyle w:val="BodyText"/>
        <w:spacing w:line="360" w:lineRule="auto" w:before="14"/>
        <w:ind w:left="122" w:right="119" w:firstLine="707"/>
        <w:jc w:val="both"/>
      </w:pPr>
      <w:r>
        <w:rPr/>
        <w:t>En la primera década del siglo XXI, existió un contexto favorable de precios internacionales, por lo cual, varios países tendieron a nacionalizar la industria de recursos energéticos (petróleo y gas), así por ejemplo en el 2006, lo hicieron los países de Bolivia, Ecuador, Rusia y Venezuela (Guriev, et al., 2011).</w:t>
      </w:r>
    </w:p>
    <w:p>
      <w:pPr>
        <w:pStyle w:val="BodyText"/>
        <w:spacing w:line="360" w:lineRule="auto" w:before="4"/>
        <w:ind w:left="122" w:right="116" w:firstLine="707"/>
        <w:jc w:val="both"/>
      </w:pPr>
      <w:r>
        <w:rPr/>
        <w:t>Anteriormente, Jodice (1980) sostuvo que países devastados por la guerra y  naciones de escasos recursos son más propensos a nacionalizar. Posteriormente, Thomas &amp; Worrall (1994) señalaron que países con bajos derechos de propiedad tienden a realizar mayor número de nacionalizaciones y consecutivamente, Acemoglu &amp; Robinson (2001) sustentaron que el ámbito de la nacionalización se presenta en contextos de una economía en</w:t>
      </w:r>
      <w:r>
        <w:rPr>
          <w:spacing w:val="24"/>
        </w:rPr>
        <w:t> </w:t>
      </w:r>
      <w:r>
        <w:rPr/>
        <w:t>recesión,</w:t>
      </w:r>
      <w:r>
        <w:rPr>
          <w:spacing w:val="24"/>
        </w:rPr>
        <w:t> </w:t>
      </w:r>
      <w:r>
        <w:rPr/>
        <w:t>argumentando</w:t>
      </w:r>
      <w:r>
        <w:rPr>
          <w:spacing w:val="24"/>
        </w:rPr>
        <w:t> </w:t>
      </w:r>
      <w:r>
        <w:rPr/>
        <w:t>que</w:t>
      </w:r>
      <w:r>
        <w:rPr>
          <w:spacing w:val="23"/>
        </w:rPr>
        <w:t> </w:t>
      </w:r>
      <w:r>
        <w:rPr/>
        <w:t>industrias</w:t>
      </w:r>
      <w:r>
        <w:rPr>
          <w:spacing w:val="23"/>
        </w:rPr>
        <w:t> </w:t>
      </w:r>
      <w:r>
        <w:rPr/>
        <w:t>importantes</w:t>
      </w:r>
      <w:r>
        <w:rPr>
          <w:spacing w:val="24"/>
        </w:rPr>
        <w:t> </w:t>
      </w:r>
      <w:r>
        <w:rPr/>
        <w:t>para</w:t>
      </w:r>
      <w:r>
        <w:rPr>
          <w:spacing w:val="22"/>
        </w:rPr>
        <w:t> </w:t>
      </w:r>
      <w:r>
        <w:rPr/>
        <w:t>un</w:t>
      </w:r>
      <w:r>
        <w:rPr>
          <w:spacing w:val="24"/>
        </w:rPr>
        <w:t> </w:t>
      </w:r>
      <w:r>
        <w:rPr/>
        <w:t>país,</w:t>
      </w:r>
      <w:r>
        <w:rPr>
          <w:spacing w:val="24"/>
        </w:rPr>
        <w:t> </w:t>
      </w:r>
      <w:r>
        <w:rPr/>
        <w:t>al</w:t>
      </w:r>
      <w:r>
        <w:rPr>
          <w:spacing w:val="24"/>
        </w:rPr>
        <w:t> </w:t>
      </w:r>
      <w:r>
        <w:rPr/>
        <w:t>ser</w:t>
      </w:r>
      <w:r>
        <w:rPr>
          <w:spacing w:val="23"/>
        </w:rPr>
        <w:t> </w:t>
      </w:r>
      <w:r>
        <w:rPr/>
        <w:t>nacionalizadas,</w:t>
      </w:r>
    </w:p>
    <w:p>
      <w:pPr>
        <w:pStyle w:val="BodyText"/>
        <w:spacing w:before="1"/>
        <w:rPr>
          <w:sz w:val="14"/>
        </w:rPr>
      </w:pPr>
      <w:r>
        <w:rPr/>
        <w:pict>
          <v:line style="position:absolute;mso-position-horizontal-relative:page;mso-position-vertical-relative:paragraph;z-index:2728;mso-wrap-distance-left:0;mso-wrap-distance-right:0" from="85.103996pt,10.379772pt" to="229.123996pt,10.379772pt" stroked="true" strokeweight=".599980pt" strokecolor="#000000">
            <w10:wrap type="topAndBottom"/>
          </v:line>
        </w:pict>
      </w:r>
    </w:p>
    <w:p>
      <w:pPr>
        <w:spacing w:before="50"/>
        <w:ind w:left="122" w:right="119" w:firstLine="0"/>
        <w:jc w:val="both"/>
        <w:rPr>
          <w:sz w:val="20"/>
        </w:rPr>
      </w:pPr>
      <w:r>
        <w:rPr>
          <w:position w:val="9"/>
          <w:sz w:val="13"/>
        </w:rPr>
        <w:t>27 </w:t>
      </w:r>
      <w:r>
        <w:rPr>
          <w:sz w:val="20"/>
        </w:rPr>
        <w:t>Algunos ejemplos de nacionalización de compañías de petróleos en América Latina:  Argentina (1963);  Perú (1968; 1985); Bolivia (1969); Colombia (1972); Ecuador (1972; 73; 74; 75);   Venezuela (1971; 1975)    [ (Guriev, et al., 2011, p.</w:t>
      </w:r>
      <w:r>
        <w:rPr>
          <w:spacing w:val="-7"/>
          <w:sz w:val="20"/>
        </w:rPr>
        <w:t> </w:t>
      </w:r>
      <w:r>
        <w:rPr>
          <w:sz w:val="20"/>
        </w:rPr>
        <w:t>26)].</w:t>
      </w:r>
    </w:p>
    <w:p>
      <w:pPr>
        <w:spacing w:after="0"/>
        <w:jc w:val="both"/>
        <w:rPr>
          <w:sz w:val="20"/>
        </w:rPr>
        <w:sectPr>
          <w:pgSz w:w="12250" w:h="15850"/>
          <w:pgMar w:header="0" w:footer="1037" w:top="1360" w:bottom="1220" w:left="1580" w:right="1580"/>
        </w:sectPr>
      </w:pPr>
    </w:p>
    <w:p>
      <w:pPr>
        <w:spacing w:line="360" w:lineRule="auto" w:before="50"/>
        <w:ind w:left="102" w:right="117" w:firstLine="0"/>
        <w:jc w:val="both"/>
        <w:rPr>
          <w:sz w:val="24"/>
        </w:rPr>
      </w:pPr>
      <w:r>
        <w:rPr>
          <w:sz w:val="24"/>
        </w:rPr>
        <w:t>se convierten en fuentes generadoras de ingresos públicos. Rosa &amp; Pérard (2010)  soportaron que los principales motivos de privatización y nacionalización de empresas públicas se basan en tres justificaciones</w:t>
      </w:r>
      <w:r>
        <w:rPr>
          <w:i/>
          <w:sz w:val="24"/>
        </w:rPr>
        <w:t>: (i) la eficiencia de las organizaciones; (ii) la </w:t>
      </w:r>
      <w:r>
        <w:rPr>
          <w:i/>
          <w:sz w:val="24"/>
        </w:rPr>
        <w:t>ideología política dominante; y (iii) la restricción presupuestaria</w:t>
      </w:r>
      <w:r>
        <w:rPr>
          <w:i/>
          <w:spacing w:val="-13"/>
          <w:sz w:val="24"/>
        </w:rPr>
        <w:t> </w:t>
      </w:r>
      <w:r>
        <w:rPr>
          <w:i/>
          <w:sz w:val="24"/>
        </w:rPr>
        <w:t>fiscal</w:t>
      </w:r>
      <w:r>
        <w:rPr>
          <w:sz w:val="24"/>
        </w:rPr>
        <w:t>.</w:t>
      </w:r>
    </w:p>
    <w:p>
      <w:pPr>
        <w:pStyle w:val="BodyText"/>
        <w:spacing w:line="360" w:lineRule="auto" w:before="6"/>
        <w:ind w:left="102" w:right="118" w:firstLine="770"/>
        <w:jc w:val="both"/>
      </w:pPr>
      <w:r>
        <w:rPr/>
        <w:t>La </w:t>
      </w:r>
      <w:r>
        <w:rPr>
          <w:i/>
        </w:rPr>
        <w:t>teoría de la eficiencia </w:t>
      </w:r>
      <w:r>
        <w:rPr/>
        <w:t>sostiene que el gobierno trata de satisfacer al electorado mediante la selección de un modo de producción que maximicé la producción y en consecuencia el bienestar de los ciudadanos, a pesar que las empresas públicas son consideradas menos eficientes que las empresas privadas en temas relacionados con la reducción de costos administrativos y la productividad (Alchian, 1965; Yarrow, 1986; Vickers &amp; Yarrow, 1991).</w:t>
      </w:r>
    </w:p>
    <w:p>
      <w:pPr>
        <w:pStyle w:val="BodyText"/>
        <w:spacing w:line="360" w:lineRule="auto" w:before="6"/>
        <w:ind w:left="102" w:right="118" w:firstLine="767"/>
        <w:jc w:val="both"/>
      </w:pPr>
      <w:r>
        <w:rPr/>
        <w:t>En el caso de gobiernos que buscan maximizar el bienestar social, otros autores argumentan la justificación por la privatización de empresas públicas (Choksi, 1979; Labra, 1980; Millward, 1976; Willner, 1996), basado en que operar con empresas públicas conlleva a mayores costos de producción y menor eficiencia (en comparación con empresas privadas) (Willner, 1999, p.</w:t>
      </w:r>
      <w:r>
        <w:rPr>
          <w:spacing w:val="-5"/>
        </w:rPr>
        <w:t> </w:t>
      </w:r>
      <w:r>
        <w:rPr/>
        <w:t>144).</w:t>
      </w:r>
    </w:p>
    <w:p>
      <w:pPr>
        <w:pStyle w:val="BodyText"/>
        <w:spacing w:line="360" w:lineRule="auto" w:before="4"/>
        <w:ind w:left="102" w:right="118" w:firstLine="707"/>
        <w:jc w:val="both"/>
      </w:pPr>
      <w:r>
        <w:rPr/>
        <w:t>Contrariamente, existen otras investigaciones que señalan que el proceso de privatizaciones tiene limitaciones (Shapiro, 1990). En consecuencia, bajo ciertos contextos es conveniente la administración privada y no así la pública (viceversa), ¿de qué depende?, la respuesta es de los costos de transacción económica (CTE), si la producción de un servicio es muy costoso para un gobierno conviene la privatización, en otro caso la provisión de bienes y servicios debe ser pública  (Sappington &amp; Stiglitz, 1987, p. 579).</w:t>
      </w:r>
    </w:p>
    <w:p>
      <w:pPr>
        <w:pStyle w:val="BodyText"/>
        <w:spacing w:line="360" w:lineRule="auto" w:before="4"/>
        <w:ind w:left="102" w:right="118" w:firstLine="707"/>
        <w:jc w:val="both"/>
      </w:pPr>
      <w:r>
        <w:rPr/>
        <w:t>La </w:t>
      </w:r>
      <w:r>
        <w:rPr>
          <w:i/>
        </w:rPr>
        <w:t>teoría de la ideología </w:t>
      </w:r>
      <w:r>
        <w:rPr/>
        <w:t>aborda el cambio en el pensamiento del mundo gubernamental al pasar de la tendencia de nacionalizar al campo de privatizar (Shleifer, 1998). Así por ejemplo, Megginson &amp; Netter (2001) señalaron que la ideología de nacionalización fue predominante en los años posteriores de la segunda guerra mundial. Sin embargo, las ideologías pueden cambiar en el mediano plazo, por consiguiente, la crítica de esta teoría se centra en no tener la capacidad de poder explicar el comportamiento psicológico y el cambio de preferencia de los gobernantes (Rosa &amp; Pérard, 2010).</w:t>
      </w:r>
    </w:p>
    <w:p>
      <w:pPr>
        <w:pStyle w:val="BodyText"/>
        <w:spacing w:line="360" w:lineRule="auto" w:before="4"/>
        <w:ind w:left="102" w:right="120" w:firstLine="707"/>
        <w:jc w:val="both"/>
      </w:pPr>
      <w:r>
        <w:rPr/>
        <w:t>La </w:t>
      </w:r>
      <w:r>
        <w:rPr>
          <w:i/>
        </w:rPr>
        <w:t>teoría de la restricción presupuestaria fiscal </w:t>
      </w:r>
      <w:r>
        <w:rPr/>
        <w:t>está relacionada con las crisis macroeconómicas internas y las recesiones internacionales, por lo cual muchas veces es mejor privatizar la explotación de un recurso natural (o una empresa pública) en vez de</w:t>
      </w:r>
    </w:p>
    <w:p>
      <w:pPr>
        <w:spacing w:after="0" w:line="360" w:lineRule="auto"/>
        <w:jc w:val="both"/>
        <w:sectPr>
          <w:pgSz w:w="12250" w:h="15850"/>
          <w:pgMar w:header="0" w:footer="1037" w:top="1360" w:bottom="1220" w:left="1600" w:right="1580"/>
        </w:sectPr>
      </w:pPr>
    </w:p>
    <w:p>
      <w:pPr>
        <w:pStyle w:val="BodyText"/>
        <w:spacing w:line="360" w:lineRule="auto" w:before="50"/>
        <w:ind w:left="102" w:right="127"/>
      </w:pPr>
      <w:r>
        <w:rPr/>
        <w:t>incrementar la deuda y el déficit fiscal o en lugar de incrementar los impuestos (Bel, 2009; Yarrow, 1986).</w:t>
      </w:r>
    </w:p>
    <w:p>
      <w:pPr>
        <w:pStyle w:val="BodyText"/>
        <w:spacing w:line="360" w:lineRule="auto" w:before="6"/>
        <w:ind w:left="102" w:right="122" w:firstLine="707"/>
        <w:jc w:val="both"/>
      </w:pPr>
      <w:r>
        <w:rPr/>
        <w:t>En definitiva, la comprensión de las estructuras de mercados, </w:t>
      </w:r>
      <w:r>
        <w:rPr>
          <w:spacing w:val="-3"/>
        </w:rPr>
        <w:t>ya </w:t>
      </w:r>
      <w:r>
        <w:rPr/>
        <w:t>sean internacionales o locales, es un factor decisivo para  comprender el proceso de exploración y explotación de los recursos naturales para nacionalizar o privatizar la industria petrolera, así como también un mecanismo para poder explicar los principales factores en la determinación de sus</w:t>
      </w:r>
      <w:r>
        <w:rPr>
          <w:spacing w:val="-6"/>
        </w:rPr>
        <w:t> </w:t>
      </w:r>
      <w:r>
        <w:rPr/>
        <w:t>precios.</w:t>
      </w:r>
    </w:p>
    <w:p>
      <w:pPr>
        <w:pStyle w:val="BodyText"/>
        <w:spacing w:before="5"/>
        <w:rPr>
          <w:sz w:val="21"/>
        </w:rPr>
      </w:pPr>
    </w:p>
    <w:p>
      <w:pPr>
        <w:pStyle w:val="Heading4"/>
        <w:numPr>
          <w:ilvl w:val="2"/>
          <w:numId w:val="8"/>
        </w:numPr>
        <w:tabs>
          <w:tab w:pos="963" w:val="left" w:leader="none"/>
          <w:tab w:pos="964" w:val="left" w:leader="none"/>
        </w:tabs>
        <w:spacing w:line="240" w:lineRule="auto" w:before="0" w:after="0"/>
        <w:ind w:left="963" w:right="0" w:hanging="720"/>
        <w:jc w:val="left"/>
      </w:pPr>
      <w:bookmarkStart w:name="_bookmark16" w:id="26"/>
      <w:bookmarkEnd w:id="26"/>
      <w:r>
        <w:rPr>
          <w:b w:val="0"/>
        </w:rPr>
      </w:r>
      <w:bookmarkStart w:name="_bookmark16" w:id="27"/>
      <w:bookmarkEnd w:id="27"/>
      <w:r>
        <w:rPr/>
        <w:t>P</w:t>
      </w:r>
      <w:r>
        <w:rPr/>
        <w:t>recios de los recursos</w:t>
      </w:r>
      <w:r>
        <w:rPr>
          <w:spacing w:val="-8"/>
        </w:rPr>
        <w:t> </w:t>
      </w:r>
      <w:r>
        <w:rPr/>
        <w:t>naturales</w:t>
      </w:r>
    </w:p>
    <w:p>
      <w:pPr>
        <w:pStyle w:val="BodyText"/>
        <w:rPr>
          <w:b/>
          <w:sz w:val="29"/>
        </w:rPr>
      </w:pPr>
    </w:p>
    <w:p>
      <w:pPr>
        <w:pStyle w:val="BodyText"/>
        <w:spacing w:line="360" w:lineRule="auto"/>
        <w:ind w:left="102" w:right="120" w:firstLine="707"/>
        <w:jc w:val="both"/>
      </w:pPr>
      <w:r>
        <w:rPr/>
        <w:t>La fijación de precios de recursos naturales puede presentarse en mercados globales, mercados regionales o a través de contratos de largo plazo. Así por ejemplo, los precios del petróleo son determinados en mercados mundiales, los precios del gas natural están determinados regionalmente y los precios del carbón están establecidos mediantes contratos pactados (Mohammadi, 2011).</w:t>
      </w:r>
    </w:p>
    <w:p>
      <w:pPr>
        <w:pStyle w:val="BodyText"/>
        <w:spacing w:line="360" w:lineRule="auto" w:before="6"/>
        <w:ind w:left="102" w:right="120" w:firstLine="707"/>
        <w:jc w:val="both"/>
      </w:pPr>
      <w:r>
        <w:rPr/>
        <w:t>Krichene (2005) señala que los choques de oferta y demanda causan largos movimientos en los precios de los recursos naturales, los cuales proceden a respuestas dinámicas en los procesos de exploración y explotación, adicionalmente se argumenta que la determinación de precios de un recurso natural se cuantifica a través de la modelización de funciones de oferta y demanda del recurso mediante ecuaciones</w:t>
      </w:r>
      <w:r>
        <w:rPr>
          <w:spacing w:val="-12"/>
        </w:rPr>
        <w:t> </w:t>
      </w:r>
      <w:r>
        <w:rPr/>
        <w:t>simultáneas:</w:t>
      </w:r>
    </w:p>
    <w:p>
      <w:pPr>
        <w:tabs>
          <w:tab w:pos="4577" w:val="left" w:leader="none"/>
        </w:tabs>
        <w:spacing w:before="4"/>
        <w:ind w:left="688" w:right="0" w:firstLine="0"/>
        <w:jc w:val="center"/>
        <w:rPr>
          <w:sz w:val="24"/>
        </w:rPr>
      </w:pPr>
      <w:r>
        <w:rPr>
          <w:i/>
          <w:sz w:val="24"/>
        </w:rPr>
        <w:t>QDx = f (Px, Y,</w:t>
      </w:r>
      <w:r>
        <w:rPr>
          <w:i/>
          <w:spacing w:val="-3"/>
          <w:sz w:val="24"/>
        </w:rPr>
        <w:t> </w:t>
      </w:r>
      <w:r>
        <w:rPr>
          <w:i/>
          <w:sz w:val="24"/>
        </w:rPr>
        <w:t>factores</w:t>
      </w:r>
      <w:r>
        <w:rPr>
          <w:i/>
          <w:spacing w:val="-1"/>
          <w:sz w:val="24"/>
        </w:rPr>
        <w:t> </w:t>
      </w:r>
      <w:r>
        <w:rPr>
          <w:i/>
          <w:sz w:val="24"/>
        </w:rPr>
        <w:t>dinámicos)</w:t>
        <w:tab/>
      </w:r>
      <w:r>
        <w:rPr>
          <w:sz w:val="24"/>
        </w:rPr>
        <w:t>(1.23)</w:t>
      </w:r>
    </w:p>
    <w:p>
      <w:pPr>
        <w:spacing w:before="139"/>
        <w:ind w:left="746" w:right="22" w:firstLine="0"/>
        <w:jc w:val="center"/>
        <w:rPr>
          <w:sz w:val="24"/>
        </w:rPr>
      </w:pPr>
      <w:r>
        <w:rPr>
          <w:i/>
          <w:sz w:val="24"/>
        </w:rPr>
        <w:t>QSx = f (Px, Px(e), Qy, factores dinámicos)</w:t>
      </w:r>
      <w:r>
        <w:rPr>
          <w:i/>
          <w:spacing w:val="51"/>
          <w:sz w:val="24"/>
        </w:rPr>
        <w:t> </w:t>
      </w:r>
      <w:r>
        <w:rPr>
          <w:sz w:val="24"/>
        </w:rPr>
        <w:t>(1.24)</w:t>
      </w:r>
    </w:p>
    <w:p>
      <w:pPr>
        <w:pStyle w:val="BodyText"/>
      </w:pPr>
    </w:p>
    <w:p>
      <w:pPr>
        <w:pStyle w:val="BodyText"/>
      </w:pPr>
    </w:p>
    <w:p>
      <w:pPr>
        <w:pStyle w:val="BodyText"/>
        <w:spacing w:line="360" w:lineRule="auto"/>
        <w:ind w:left="102" w:right="118" w:firstLine="707"/>
        <w:jc w:val="both"/>
      </w:pPr>
      <w:r>
        <w:rPr/>
        <w:t>Donde </w:t>
      </w:r>
      <w:r>
        <w:rPr>
          <w:i/>
        </w:rPr>
        <w:t>QD</w:t>
      </w:r>
      <w:r>
        <w:rPr>
          <w:i/>
          <w:sz w:val="16"/>
        </w:rPr>
        <w:t>x </w:t>
      </w:r>
      <w:r>
        <w:rPr/>
        <w:t>= </w:t>
      </w:r>
      <w:r>
        <w:rPr>
          <w:i/>
        </w:rPr>
        <w:t>QS</w:t>
      </w:r>
      <w:r>
        <w:rPr>
          <w:i/>
          <w:sz w:val="16"/>
        </w:rPr>
        <w:t>x </w:t>
      </w:r>
      <w:r>
        <w:rPr/>
        <w:t>representan las cantidades demandas y ofertadas del recurso natural; </w:t>
      </w:r>
      <w:r>
        <w:rPr>
          <w:i/>
        </w:rPr>
        <w:t>Px </w:t>
      </w:r>
      <w:r>
        <w:rPr/>
        <w:t>corresponde al precio del recurso; </w:t>
      </w:r>
      <w:r>
        <w:rPr>
          <w:i/>
        </w:rPr>
        <w:t>P</w:t>
      </w:r>
      <w:r>
        <w:rPr>
          <w:i/>
          <w:sz w:val="16"/>
        </w:rPr>
        <w:t>x(e</w:t>
      </w:r>
      <w:r>
        <w:rPr>
          <w:i/>
        </w:rPr>
        <w:t>) </w:t>
      </w:r>
      <w:r>
        <w:rPr/>
        <w:t>simboliza el precio esperado; </w:t>
      </w:r>
      <w:r>
        <w:rPr>
          <w:i/>
        </w:rPr>
        <w:t>Y </w:t>
      </w:r>
      <w:r>
        <w:rPr/>
        <w:t>representa una variable </w:t>
      </w:r>
      <w:r>
        <w:rPr>
          <w:i/>
        </w:rPr>
        <w:t>proxy </w:t>
      </w:r>
      <w:r>
        <w:rPr/>
        <w:t>de ingreso económico; </w:t>
      </w:r>
      <w:r>
        <w:rPr>
          <w:i/>
        </w:rPr>
        <w:t>Q</w:t>
      </w:r>
      <w:r>
        <w:rPr>
          <w:i/>
          <w:sz w:val="16"/>
        </w:rPr>
        <w:t>y </w:t>
      </w:r>
      <w:r>
        <w:rPr/>
        <w:t>implica la cantidad de producción del sustituto más cercano.</w:t>
      </w:r>
    </w:p>
    <w:p>
      <w:pPr>
        <w:pStyle w:val="BodyText"/>
        <w:spacing w:line="360" w:lineRule="auto" w:before="4"/>
        <w:ind w:left="102" w:right="117" w:firstLine="707"/>
        <w:jc w:val="both"/>
      </w:pPr>
      <w:r>
        <w:rPr/>
        <w:t>De las expresiones (1.23) y (1.24), el precio del recurso natural queda determinado por la intersección simultánea de las funciones de oferta y demanda. Por lo tanto, las variaciones de precios por el lado de la demanda, puede darse a través de la actividad económica  internacional;  por  el  lado  de  oferta,  los  precios  están  relacionados  con las</w:t>
      </w:r>
    </w:p>
    <w:p>
      <w:pPr>
        <w:spacing w:after="0" w:line="360" w:lineRule="auto"/>
        <w:jc w:val="both"/>
        <w:sectPr>
          <w:pgSz w:w="12250" w:h="15850"/>
          <w:pgMar w:header="0" w:footer="1037" w:top="1360" w:bottom="1220" w:left="1600" w:right="1580"/>
        </w:sectPr>
      </w:pPr>
    </w:p>
    <w:p>
      <w:pPr>
        <w:pStyle w:val="BodyText"/>
        <w:spacing w:line="328" w:lineRule="auto" w:before="50"/>
        <w:ind w:left="122" w:right="115"/>
      </w:pPr>
      <w:r>
        <w:rPr/>
        <w:t>expectativas de precios futuros y la cantidad demandada (ofertada) de sustitutos cercanos [Krichene, 2005]</w:t>
      </w:r>
      <w:r>
        <w:rPr>
          <w:position w:val="11"/>
          <w:sz w:val="16"/>
        </w:rPr>
        <w:t>28</w:t>
      </w:r>
      <w:r>
        <w:rPr/>
        <w:t>.</w:t>
      </w:r>
    </w:p>
    <w:p>
      <w:pPr>
        <w:pStyle w:val="BodyText"/>
        <w:spacing w:line="360" w:lineRule="auto" w:before="26"/>
        <w:ind w:left="122" w:right="116" w:firstLine="707"/>
        <w:jc w:val="both"/>
      </w:pPr>
      <w:r>
        <w:rPr/>
        <w:t>De forma adicional, Ibrahim (2009) señala que el precio de un recurso natural está relacionado de forma positiva con los precios del sustituto más cercano; más aún, la mayor elasticidad-precio recae en situaciones de caídas del sustituto cercano bajo el contexto de auge de precios.</w:t>
      </w:r>
    </w:p>
    <w:p>
      <w:pPr>
        <w:pStyle w:val="BodyText"/>
        <w:spacing w:before="9"/>
        <w:rPr>
          <w:sz w:val="21"/>
        </w:rPr>
      </w:pPr>
    </w:p>
    <w:p>
      <w:pPr>
        <w:pStyle w:val="Heading4"/>
        <w:numPr>
          <w:ilvl w:val="1"/>
          <w:numId w:val="8"/>
        </w:numPr>
        <w:tabs>
          <w:tab w:pos="697" w:val="left" w:leader="none"/>
          <w:tab w:pos="698" w:val="left" w:leader="none"/>
        </w:tabs>
        <w:spacing w:line="360" w:lineRule="auto" w:before="0" w:after="0"/>
        <w:ind w:left="698" w:right="124" w:hanging="576"/>
        <w:jc w:val="left"/>
      </w:pPr>
      <w:bookmarkStart w:name="_bookmark17" w:id="28"/>
      <w:bookmarkEnd w:id="28"/>
      <w:r>
        <w:rPr>
          <w:b w:val="0"/>
        </w:rPr>
      </w:r>
      <w:bookmarkStart w:name="_bookmark17" w:id="29"/>
      <w:bookmarkEnd w:id="29"/>
      <w:r>
        <w:rPr/>
        <w:t>Cho</w:t>
      </w:r>
      <w:r>
        <w:rPr/>
        <w:t>ques de precios internacionales para países exportadores de recursos naturales</w:t>
      </w:r>
    </w:p>
    <w:p>
      <w:pPr>
        <w:pStyle w:val="BodyText"/>
        <w:spacing w:before="4"/>
        <w:rPr>
          <w:b/>
          <w:sz w:val="29"/>
        </w:rPr>
      </w:pPr>
    </w:p>
    <w:p>
      <w:pPr>
        <w:pStyle w:val="BodyText"/>
        <w:spacing w:line="360" w:lineRule="auto"/>
        <w:ind w:left="122" w:right="120" w:firstLine="707"/>
        <w:jc w:val="both"/>
      </w:pPr>
      <w:r>
        <w:rPr/>
        <w:t>La variabilidad de precios internacionales de recursos energéticos se materializa en un choque al producir efectos positivos (o negativos) en los agregados macroeconómicos de un país, dependiendo si es exportador o importador neto de dicho </w:t>
      </w:r>
      <w:r>
        <w:rPr>
          <w:i/>
        </w:rPr>
        <w:t>commoditie</w:t>
      </w:r>
      <w:r>
        <w:rPr/>
        <w:t>. En esta sección se discute la estilización y confusión del término, así como otros aspectos más relevantes.</w:t>
      </w:r>
    </w:p>
    <w:p>
      <w:pPr>
        <w:pStyle w:val="BodyText"/>
        <w:spacing w:line="360" w:lineRule="auto" w:before="4"/>
        <w:ind w:left="122" w:right="116" w:firstLine="707"/>
        <w:jc w:val="both"/>
      </w:pPr>
      <w:r>
        <w:rPr/>
        <w:t>En la revisión de la literatura económica se suele utilizar como sinónimos la volatilidad de precios (</w:t>
      </w:r>
      <w:r>
        <w:rPr>
          <w:i/>
        </w:rPr>
        <w:t>ex ante </w:t>
      </w:r>
      <w:r>
        <w:rPr/>
        <w:t>que significa antes de un evento</w:t>
      </w:r>
      <w:r>
        <w:rPr>
          <w:i/>
        </w:rPr>
        <w:t>) </w:t>
      </w:r>
      <w:r>
        <w:rPr/>
        <w:t>y los choques de precios  (</w:t>
      </w:r>
      <w:r>
        <w:rPr>
          <w:i/>
        </w:rPr>
        <w:t>ex post </w:t>
      </w:r>
      <w:r>
        <w:rPr/>
        <w:t>que implica lo ocurrido después de un suceso</w:t>
      </w:r>
      <w:r>
        <w:rPr>
          <w:i/>
        </w:rPr>
        <w:t>)</w:t>
      </w:r>
      <w:r>
        <w:rPr/>
        <w:t>; sin embargo, existe  una  concepción teórica que demuestra que la diferencia entre ambos términos: 1] la variabilidad </w:t>
      </w:r>
      <w:r>
        <w:rPr>
          <w:i/>
        </w:rPr>
        <w:t>ex ante </w:t>
      </w:r>
      <w:r>
        <w:rPr/>
        <w:t>es una estimación de las volatilidades de precios, lo cual muchas veces no provoca ningún impacto en variables macroeconómicas; 2] la cuantificación de los efectos, en términos de choques,  corresponde cuando se ha evidenciado el impacto (Dehn,</w:t>
      </w:r>
      <w:r>
        <w:rPr>
          <w:spacing w:val="-12"/>
        </w:rPr>
        <w:t> </w:t>
      </w:r>
      <w:r>
        <w:rPr/>
        <w:t>2000).</w:t>
      </w:r>
    </w:p>
    <w:p>
      <w:pPr>
        <w:pStyle w:val="BodyText"/>
        <w:spacing w:line="360" w:lineRule="auto" w:before="6"/>
        <w:ind w:left="122" w:right="117" w:firstLine="707"/>
        <w:jc w:val="both"/>
      </w:pPr>
      <w:r>
        <w:rPr/>
        <w:t>Los choques también suelen ser llamados </w:t>
      </w:r>
      <w:r>
        <w:rPr>
          <w:i/>
        </w:rPr>
        <w:t>shocks</w:t>
      </w:r>
      <w:r>
        <w:rPr/>
        <w:t>, innovaciones o perturbaciones. Lo anterior se refiere a una variabilidad interna o externa sobre variables macroeconómicas de un país. Existe una clasificación de los choques, ya sea según su procedencia, impacto o clase: endógenos o exógenos (externos), reales o monetarios, de oferta o demanda, real o financiero, temporal o permanente, y aquellos que son originados por quiebres estructurales como: conflictos bélicos, revoluciones científicas, hallazgos importantes, fenómenos políticos, fenómenos sociales o en su defecto desastres naturales (Peña, 2008; Larraín &amp; Sachs, 2002).</w:t>
      </w:r>
    </w:p>
    <w:p>
      <w:pPr>
        <w:pStyle w:val="BodyText"/>
        <w:spacing w:before="8"/>
        <w:rPr>
          <w:sz w:val="19"/>
        </w:rPr>
      </w:pPr>
      <w:r>
        <w:rPr/>
        <w:pict>
          <v:line style="position:absolute;mso-position-horizontal-relative:page;mso-position-vertical-relative:paragraph;z-index:2752;mso-wrap-distance-left:0;mso-wrap-distance-right:0" from="85.103996pt,13.615746pt" to="229.123996pt,13.615746pt" stroked="true" strokeweight=".60004pt" strokecolor="#000000">
            <w10:wrap type="topAndBottom"/>
          </v:line>
        </w:pict>
      </w:r>
    </w:p>
    <w:p>
      <w:pPr>
        <w:spacing w:before="50"/>
        <w:ind w:left="122" w:right="129" w:firstLine="0"/>
        <w:jc w:val="left"/>
        <w:rPr>
          <w:sz w:val="20"/>
        </w:rPr>
      </w:pPr>
      <w:r>
        <w:rPr>
          <w:position w:val="9"/>
          <w:sz w:val="13"/>
        </w:rPr>
        <w:t>28 </w:t>
      </w:r>
      <w:r>
        <w:rPr>
          <w:sz w:val="20"/>
        </w:rPr>
        <w:t>Asimismo, se hace necesario la inclusión de variables rezagadas (factores dinámicos), inclusive utilizando un vector corrector de errores (VECM, por sus siglas en inglés)</w:t>
      </w:r>
    </w:p>
    <w:p>
      <w:pPr>
        <w:spacing w:after="0"/>
        <w:jc w:val="left"/>
        <w:rPr>
          <w:sz w:val="20"/>
        </w:rPr>
        <w:sectPr>
          <w:pgSz w:w="12250" w:h="15850"/>
          <w:pgMar w:header="0" w:footer="1037" w:top="1360" w:bottom="1220" w:left="1580" w:right="1580"/>
        </w:sectPr>
      </w:pPr>
    </w:p>
    <w:p>
      <w:pPr>
        <w:pStyle w:val="BodyText"/>
        <w:spacing w:line="360" w:lineRule="auto" w:before="50"/>
        <w:ind w:left="102" w:right="116" w:firstLine="707"/>
        <w:jc w:val="both"/>
      </w:pPr>
      <w:r>
        <w:rPr/>
        <w:t>En cuanto a la longitud del choque estos pueden ser </w:t>
      </w:r>
      <w:r>
        <w:rPr>
          <w:i/>
        </w:rPr>
        <w:t>temporales </w:t>
      </w:r>
      <w:r>
        <w:rPr/>
        <w:t>o </w:t>
      </w:r>
      <w:r>
        <w:rPr>
          <w:i/>
        </w:rPr>
        <w:t>permanentes</w:t>
      </w:r>
      <w:r>
        <w:rPr/>
        <w:t>, la definición está relacionada con el retardo en que el factor de análisis vuelve a su equilibrio inicial, así por ejemplo en el caso de existir una caída en la producción del petróleo (</w:t>
      </w:r>
      <w:r>
        <w:rPr>
          <w:i/>
        </w:rPr>
        <w:t>choque </w:t>
      </w:r>
      <w:r>
        <w:rPr/>
        <w:t>de oferta), si esta perturbación vuelve a su nivel inicial en corto tiempo es considerado un </w:t>
      </w:r>
      <w:r>
        <w:rPr>
          <w:i/>
        </w:rPr>
        <w:t>choque temporal</w:t>
      </w:r>
      <w:r>
        <w:rPr/>
        <w:t>, caso contrario si el tiempo para retomar su equilibrio inicial es prolongado, es considerado como un </w:t>
      </w:r>
      <w:r>
        <w:rPr>
          <w:i/>
        </w:rPr>
        <w:t>choque permanente </w:t>
      </w:r>
      <w:r>
        <w:rPr/>
        <w:t>(Kumar, et al., 2008). Adicionalmente, un choque temporal es tolerable o financiable, dada su pronta estabilización, sin embargo, una perturbación permanente requiere de un proceso de ajuste refiriéndose a una política de cambio en la política económica (ejemplos: cambio en el sistema tributario, nacionalización, privatización, etc.)  (Carrera, et al., 1997).</w:t>
      </w:r>
    </w:p>
    <w:p>
      <w:pPr>
        <w:pStyle w:val="BodyText"/>
        <w:spacing w:line="360" w:lineRule="auto" w:before="6"/>
        <w:ind w:left="102" w:right="115" w:firstLine="707"/>
        <w:jc w:val="both"/>
      </w:pPr>
      <w:r>
        <w:rPr/>
        <w:t>No es posible generalizar si la severidad de los </w:t>
      </w:r>
      <w:r>
        <w:rPr>
          <w:i/>
        </w:rPr>
        <w:t>choques </w:t>
      </w:r>
      <w:r>
        <w:rPr/>
        <w:t>externos tiene mayor impacto en la actividad económica de un país en comparación con el efecto de las perturbaciones internas (e.g.: inflación, déficit fiscal, etc). Así por ejemplo, Mora (2008),  en Venezuela, destaca que los precios del petróleo y las fluctuaciones en la actividad económica internacional (</w:t>
      </w:r>
      <w:r>
        <w:rPr>
          <w:i/>
        </w:rPr>
        <w:t>choques </w:t>
      </w:r>
      <w:r>
        <w:rPr/>
        <w:t>externos) tienen mayor impacto en la actividad económica nacional que las fluctuaciones provenientes de la inflación y del déficit fiscal, (</w:t>
      </w:r>
      <w:r>
        <w:rPr>
          <w:i/>
        </w:rPr>
        <w:t>choques</w:t>
      </w:r>
      <w:r>
        <w:rPr>
          <w:i/>
          <w:spacing w:val="-4"/>
        </w:rPr>
        <w:t> </w:t>
      </w:r>
      <w:r>
        <w:rPr/>
        <w:t>internos).</w:t>
      </w:r>
    </w:p>
    <w:p>
      <w:pPr>
        <w:pStyle w:val="BodyText"/>
        <w:spacing w:line="360" w:lineRule="auto" w:before="4"/>
        <w:ind w:left="102" w:right="117" w:firstLine="767"/>
        <w:jc w:val="both"/>
      </w:pPr>
      <w:r>
        <w:rPr/>
        <w:t>Contrariamente, existen otros estudios (Carrera, et al., 1997; Raddatz, 2007) que demuestran las situaciones en que </w:t>
      </w:r>
      <w:r>
        <w:rPr>
          <w:i/>
        </w:rPr>
        <w:t>choques </w:t>
      </w:r>
      <w:r>
        <w:rPr/>
        <w:t>de demanda doméstica u oferta interna (perturbaciones internas) tienen mayor influencia que las perturbaciones externas.</w:t>
      </w:r>
    </w:p>
    <w:p>
      <w:pPr>
        <w:pStyle w:val="BodyText"/>
        <w:spacing w:line="360" w:lineRule="auto" w:before="6"/>
        <w:ind w:left="102" w:right="116" w:firstLine="707"/>
        <w:jc w:val="both"/>
      </w:pPr>
      <w:r>
        <w:rPr/>
        <w:t>Los efectos de caídas de precios de los recursos naturales en </w:t>
      </w:r>
      <w:r>
        <w:rPr>
          <w:i/>
        </w:rPr>
        <w:t>economías </w:t>
      </w:r>
      <w:r>
        <w:rPr>
          <w:i/>
        </w:rPr>
        <w:t>exportadoras netas </w:t>
      </w:r>
      <w:r>
        <w:rPr/>
        <w:t>tienen consecuencias negativas en el producto en el corto plazo  (Lanteri, 2008; 2009a; 2009b). Paralelamente, se ha destacado utilizar los choques positivos de precios internacionales de recursos naturales como un mecanismo de ajuste para corregir los desequilibrios externos y promover el crecimiento económico (González &amp;  Mesa, 2007). Adicionalmente, se ha investigado que cuando un país tiene una alta concentración de las exportaciones en un solo producto (contexto de la enfermedad holandesa) conduce a una caída del sector transable y un aumento del sector no transable (Llinás,</w:t>
      </w:r>
      <w:r>
        <w:rPr>
          <w:spacing w:val="-10"/>
        </w:rPr>
        <w:t> </w:t>
      </w:r>
      <w:r>
        <w:rPr/>
        <w:t>2002).</w:t>
      </w:r>
    </w:p>
    <w:p>
      <w:pPr>
        <w:pStyle w:val="BodyText"/>
        <w:spacing w:line="360" w:lineRule="auto" w:before="4"/>
        <w:ind w:left="102" w:right="120" w:firstLine="707"/>
        <w:jc w:val="both"/>
      </w:pPr>
      <w:r>
        <w:rPr/>
        <w:t>La delimitación del contexto abordado está orientada a las perturbaciones de precios internacionales de recursos energéticos y sus implicaciones en economías emergentes exportadoras. Sin embargo, por la analogía de la alta dependencia  económica   proveniente</w:t>
      </w:r>
    </w:p>
    <w:p>
      <w:pPr>
        <w:spacing w:after="0" w:line="360" w:lineRule="auto"/>
        <w:jc w:val="both"/>
        <w:sectPr>
          <w:pgSz w:w="12250" w:h="15850"/>
          <w:pgMar w:header="0" w:footer="1037" w:top="1360" w:bottom="1220" w:left="1600" w:right="1580"/>
        </w:sectPr>
      </w:pPr>
    </w:p>
    <w:p>
      <w:pPr>
        <w:pStyle w:val="BodyText"/>
        <w:spacing w:line="360" w:lineRule="auto" w:before="50"/>
        <w:ind w:left="102" w:right="127"/>
      </w:pPr>
      <w:r>
        <w:rPr/>
        <w:t>de pocos productos exportables, se tomará en cuenta como referencia el estudio de choques de  precios de los recursos naturales (recursos renovables).</w:t>
      </w:r>
    </w:p>
    <w:p>
      <w:pPr>
        <w:pStyle w:val="BodyText"/>
        <w:spacing w:line="360" w:lineRule="auto" w:before="6"/>
        <w:ind w:left="102" w:right="119" w:firstLine="707"/>
        <w:jc w:val="both"/>
      </w:pPr>
      <w:r>
        <w:rPr/>
        <w:t>Las conclusiones de los diversos trabajos empíricos han permitido conocer la influencia directa de los precios de los recursos naturales en los saldos de la balanza comercial y por ende la influencia en el crecimiento económico desde una perspectiva de países exportadores netos de materias primas, tal como lo evidencian los resultados de Lanteri (2008) en la economía argentina por el lapso de estudio 1993– 2007; Mora (2008) en el contexto venezolano 1960 – 2004; González &amp; Mesa (2007) para la economía colombiana 2000 -2007; Nina &amp; Brooks de Alborta (2001) en el caso boliviano durante el período 1980-1999.</w:t>
      </w:r>
    </w:p>
    <w:p>
      <w:pPr>
        <w:pStyle w:val="BodyText"/>
        <w:spacing w:line="360" w:lineRule="auto" w:before="6"/>
        <w:ind w:left="102" w:right="115" w:firstLine="707"/>
        <w:jc w:val="both"/>
      </w:pPr>
      <w:r>
        <w:rPr/>
        <w:t>Asimismo, se clasifica a los impactos de choques de precios internacionales de materias primas en calidad de </w:t>
      </w:r>
      <w:r>
        <w:rPr>
          <w:i/>
        </w:rPr>
        <w:t>exportadores netos, </w:t>
      </w:r>
      <w:r>
        <w:rPr/>
        <w:t>se cita, por ejemplo, a Lanteri (2009a; 2009b), en el contexto de la economía argentina por el lapso de estudio 1980- 2008, quién explica una relación directa entre los precios internacionales de los </w:t>
      </w:r>
      <w:r>
        <w:rPr>
          <w:i/>
        </w:rPr>
        <w:t>commodities </w:t>
      </w:r>
      <w:r>
        <w:rPr/>
        <w:t>y el PIB real, adicionalmente, Argentina se beneficiaba de un fortalecimiento de la moneda local (efecto enfermedad holandesa).</w:t>
      </w:r>
    </w:p>
    <w:p>
      <w:pPr>
        <w:pStyle w:val="BodyText"/>
        <w:spacing w:line="360" w:lineRule="auto" w:before="6"/>
        <w:ind w:left="102" w:right="115" w:firstLine="707"/>
        <w:jc w:val="both"/>
      </w:pPr>
      <w:r>
        <w:rPr/>
        <w:t>En relación con la categoría de exportadores netos de petróleo, se tienen las investigaciones de Blecker (2009) para la economía mexicana en el período 1970 - 2007 y Perilla (2009) para la economía colombiana basado por el lapso 1950 -2007, en cuyos contextos se evidenciaron choques positivos del precio del petróleo sobre la producción sectorial, así como la volatilidad sobre estas economías frente a </w:t>
      </w:r>
      <w:r>
        <w:rPr>
          <w:i/>
        </w:rPr>
        <w:t>perturbaciones </w:t>
      </w:r>
      <w:r>
        <w:rPr/>
        <w:t>en los precios del petróleo.</w:t>
      </w:r>
    </w:p>
    <w:p>
      <w:pPr>
        <w:pStyle w:val="BodyText"/>
        <w:spacing w:line="360" w:lineRule="auto" w:before="6"/>
        <w:ind w:left="102" w:right="120" w:firstLine="707"/>
        <w:jc w:val="both"/>
      </w:pPr>
      <w:r>
        <w:rPr/>
        <w:t>En relación al impacto de choques de precios del petróleo se menciona el impacto económico de países dependientes de este recurso energético tales como el caso de: Venezuela, Colombia y México.</w:t>
      </w:r>
    </w:p>
    <w:p>
      <w:pPr>
        <w:pStyle w:val="BodyText"/>
        <w:spacing w:line="360" w:lineRule="auto" w:before="6"/>
        <w:ind w:left="102" w:right="116" w:firstLine="707"/>
        <w:jc w:val="both"/>
      </w:pPr>
      <w:r>
        <w:rPr/>
        <w:t>En cuanto a la economía venezolana, Cartaya, et al. (2010) explicaron la volatilidad macroeconómica ocasionada por fluctuaciones en los precios del petróleo, cuyos hallazgos indicaron, que durante 1984 – 2009, cada recesión promedio fue alrededor de seis trimestres. Adicionalmente, Mora (2008) sostuvo que las perturbaciones externas (choques del precio del petróleo y el crecimiento económico estadounidense) fueron  más severos  que  los  </w:t>
      </w:r>
      <w:r>
        <w:rPr>
          <w:i/>
        </w:rPr>
        <w:t>choques  </w:t>
      </w:r>
      <w:r>
        <w:rPr/>
        <w:t>internos  por  el  lapso  de  1960  –  2004.  Paralelamente,  Peña    </w:t>
      </w:r>
      <w:r>
        <w:rPr>
          <w:spacing w:val="10"/>
        </w:rPr>
        <w:t> </w:t>
      </w:r>
      <w:r>
        <w:rPr/>
        <w:t>(2008)</w:t>
      </w:r>
    </w:p>
    <w:p>
      <w:pPr>
        <w:spacing w:after="0" w:line="360" w:lineRule="auto"/>
        <w:jc w:val="both"/>
        <w:sectPr>
          <w:pgSz w:w="12250" w:h="15850"/>
          <w:pgMar w:header="0" w:footer="1037" w:top="1360" w:bottom="1220" w:left="1600" w:right="1580"/>
        </w:sectPr>
      </w:pPr>
    </w:p>
    <w:p>
      <w:pPr>
        <w:pStyle w:val="BodyText"/>
        <w:spacing w:line="360" w:lineRule="auto" w:before="50"/>
        <w:ind w:left="102" w:right="117"/>
        <w:jc w:val="both"/>
      </w:pPr>
      <w:r>
        <w:rPr/>
        <w:t>manifestó que las perturbaciones de los precios petroleros tuvieron un efecto directo en los términos de intercambio, los cuales generaron volatilidades en los agregados macroeconómicas e influyeron directamente en  la inversión privada durante 1968-2007.</w:t>
      </w:r>
    </w:p>
    <w:p>
      <w:pPr>
        <w:pStyle w:val="BodyText"/>
        <w:spacing w:line="360" w:lineRule="auto" w:before="4"/>
        <w:ind w:left="102" w:right="116" w:firstLine="707"/>
        <w:jc w:val="both"/>
      </w:pPr>
      <w:r>
        <w:rPr/>
        <w:t>En relación con la economía colombiana, Llinás (2002) fundamentó que esta economía sufrió síntomas de enfermedad holandesa bajo contextos de choques positivos de precios del petróleo durante 1984 -2000, es decir, una apreciación del tipo de cambio, un efecto desplazamiento del sector transable a no transable caracterizando los efectos de la dependencia petrolera de ese país. Seguidamente, las exportaciones tendieron a la alta concentración en pocos productos. Asimismo, González &amp; Mesa (2007) explicaron la importancia del sector petrolero en la actividad económica de Colombia: en términos de exportaciones, inversión extranjera directa y generación de reservas internacionales, sosteniendo que los choques de precios del petróleo fue un factor explicativo para la corrección del déficit de cuenta corriente y el crecimiento económico del país entre 2000 y 2007.</w:t>
      </w:r>
    </w:p>
    <w:p>
      <w:pPr>
        <w:pStyle w:val="BodyText"/>
        <w:spacing w:line="360" w:lineRule="auto" w:before="6"/>
        <w:ind w:left="102" w:right="117" w:firstLine="707"/>
        <w:jc w:val="both"/>
      </w:pPr>
      <w:r>
        <w:rPr/>
        <w:t>La economía de México, al ser exportadora neta de petróleo, es dependiente del sector petróleo (en términos de crecimiento económico) entre 1979 y 2007 (Blecker, 2009), además de otros factores externos como: crecimiento económico de Estados Unidos, flujos financieros internacionales y el tipo de cambio. Contrariamente, las conclusiones de Gutiérrez, et al. (2005) indicaron que el precio del petróleo, la inversión extranjera y las tasas de interés de Estados Unidos, no parecían tener una relación importante en las fluctuaciones cíclicas de la economía mexicana para el lapso 1980 – 2004 , lo cual no excluía que estas variables no tuvieran un efecto en el nivel de la economía, sin embargo,  se le otorga mayor implicancia a la sincronización cíclica entre las economías de Estados Unidos y México a partir de mediados de los años</w:t>
      </w:r>
      <w:r>
        <w:rPr>
          <w:spacing w:val="-7"/>
        </w:rPr>
        <w:t> </w:t>
      </w:r>
      <w:r>
        <w:rPr/>
        <w:t>90s.</w:t>
      </w:r>
    </w:p>
    <w:p>
      <w:pPr>
        <w:pStyle w:val="BodyText"/>
        <w:spacing w:line="360" w:lineRule="auto" w:before="4"/>
        <w:ind w:left="102" w:right="118" w:firstLine="707"/>
        <w:jc w:val="both"/>
      </w:pPr>
      <w:r>
        <w:rPr/>
        <w:t>Después de haber realizado una revisión de la literatura científica, en el tratamiento de los choque</w:t>
      </w:r>
      <w:r>
        <w:rPr>
          <w:i/>
        </w:rPr>
        <w:t>s </w:t>
      </w:r>
      <w:r>
        <w:rPr/>
        <w:t>de precios internacionales y su impacto en las economías emergentes, se ha encontrado poca evidencia empírica relacionada con la economía boliviana. Sin embargo se han resaltado los trabajos de: Nina &amp; Brooks de Alborta (2001); Jemio &amp; Wiebelt (2003); Canavire &amp; Mariscal (2010); Zambrano &amp; Aguilera (2010).</w:t>
      </w:r>
    </w:p>
    <w:p>
      <w:pPr>
        <w:pStyle w:val="BodyText"/>
        <w:spacing w:line="360" w:lineRule="auto" w:before="6"/>
        <w:ind w:left="102" w:right="117" w:firstLine="707"/>
        <w:jc w:val="both"/>
      </w:pPr>
      <w:r>
        <w:rPr/>
        <w:t>Nina &amp; Brooks de Alborta (2001) determinaron el grado de vulnerabilidad de la economía boliviana ante choques externos para 1980 – 1999 y analizaron     la existencia de</w:t>
      </w:r>
    </w:p>
    <w:p>
      <w:pPr>
        <w:spacing w:after="0" w:line="360" w:lineRule="auto"/>
        <w:jc w:val="both"/>
        <w:sectPr>
          <w:pgSz w:w="12250" w:h="15850"/>
          <w:pgMar w:header="0" w:footer="1037" w:top="1360" w:bottom="1220" w:left="1600" w:right="1580"/>
        </w:sectPr>
      </w:pPr>
    </w:p>
    <w:p>
      <w:pPr>
        <w:pStyle w:val="BodyText"/>
        <w:spacing w:line="360" w:lineRule="auto" w:before="50"/>
        <w:ind w:left="122" w:right="118"/>
        <w:jc w:val="both"/>
      </w:pPr>
      <w:r>
        <w:rPr/>
        <w:t>las condiciones necesarias para la implementación de mecanismos de estabilización para la economía boliviana; los autores sostuvieron que los precios de los principales productos primarios de exportación, evidenciaron inestabilidad a corto y largo plazo en las variables macroeconómicas analizadas. Pese a ello, las finanzas públicas mostraron una reducción en su vulnerabilidad a los cambios que se producen en los precios de los minerales y los hidrocarburos.</w:t>
      </w:r>
    </w:p>
    <w:p>
      <w:pPr>
        <w:pStyle w:val="BodyText"/>
        <w:spacing w:line="350" w:lineRule="auto" w:before="6"/>
        <w:ind w:left="122" w:right="115" w:firstLine="707"/>
        <w:jc w:val="both"/>
      </w:pPr>
      <w:r>
        <w:rPr/>
        <w:t>Jemio &amp; Wiebelt (2003) evaluaron los impactos de choques externos en la macroeconomía boliviana, concluyéndose que la economía boliviana, en términos de agregados macroeconómicos</w:t>
      </w:r>
      <w:r>
        <w:rPr>
          <w:position w:val="11"/>
          <w:sz w:val="16"/>
        </w:rPr>
        <w:t>29</w:t>
      </w:r>
      <w:r>
        <w:rPr/>
        <w:t>, es altamente vulnerable a los precios internacionales de las exportaciones y sensible a menores flujos de inversión extranjera.</w:t>
      </w:r>
    </w:p>
    <w:p>
      <w:pPr>
        <w:pStyle w:val="BodyText"/>
        <w:spacing w:line="360" w:lineRule="auto" w:before="17"/>
        <w:ind w:left="122" w:right="117" w:firstLine="707"/>
        <w:jc w:val="both"/>
      </w:pPr>
      <w:r>
        <w:rPr/>
        <w:t>Los hallazgos de Canavire &amp; Mariscal (2010) indicaron que en escenarios de reducción de precios de las materias primas (en 50%), se tendrían los siguientes efectos: déficit comercial, contracción del PIB en 13%, disminución de la inversión pública y aumento en la tasa de desempleo.</w:t>
      </w:r>
    </w:p>
    <w:p>
      <w:pPr>
        <w:pStyle w:val="BodyText"/>
        <w:spacing w:line="360" w:lineRule="auto" w:before="6"/>
        <w:ind w:left="122" w:right="121" w:firstLine="707"/>
        <w:jc w:val="both"/>
      </w:pPr>
      <w:r>
        <w:rPr/>
        <w:t>En cuanto a choques de precios internacionales y su efecto sobre las finanzas públicas, Zambrano y Aguilera (2010) evaluaron la influencia de los precios cíclicos del  gas natural en la sostenibilidad fiscal de Bolivia durante el período 2005 y 2009, cuyos hallazgos derivaron en un aumento del déficit fiscal no petrolero, y por ende vulnerabilidad e insostenibilidad de las finanzas públicas en el largo</w:t>
      </w:r>
      <w:r>
        <w:rPr>
          <w:spacing w:val="-12"/>
        </w:rPr>
        <w:t> </w:t>
      </w:r>
      <w:r>
        <w:rPr/>
        <w:t>plazo.</w:t>
      </w:r>
    </w:p>
    <w:p>
      <w:pPr>
        <w:pStyle w:val="BodyText"/>
        <w:spacing w:before="4"/>
        <w:rPr>
          <w:sz w:val="21"/>
        </w:rPr>
      </w:pPr>
    </w:p>
    <w:p>
      <w:pPr>
        <w:pStyle w:val="Heading4"/>
        <w:numPr>
          <w:ilvl w:val="1"/>
          <w:numId w:val="8"/>
        </w:numPr>
        <w:tabs>
          <w:tab w:pos="698" w:val="left" w:leader="none"/>
        </w:tabs>
        <w:spacing w:line="240" w:lineRule="auto" w:before="1" w:after="0"/>
        <w:ind w:left="698" w:right="0" w:hanging="576"/>
        <w:jc w:val="both"/>
      </w:pPr>
      <w:bookmarkStart w:name="_bookmark18" w:id="30"/>
      <w:bookmarkEnd w:id="30"/>
      <w:r>
        <w:rPr>
          <w:b w:val="0"/>
        </w:rPr>
      </w:r>
      <w:bookmarkStart w:name="_bookmark18" w:id="31"/>
      <w:bookmarkEnd w:id="31"/>
      <w:r>
        <w:rPr/>
        <w:t>P</w:t>
      </w:r>
      <w:r>
        <w:rPr/>
        <w:t>olíticas públicas para la mitigación de choques de precios</w:t>
      </w:r>
      <w:r>
        <w:rPr>
          <w:spacing w:val="-17"/>
        </w:rPr>
        <w:t> </w:t>
      </w:r>
      <w:r>
        <w:rPr/>
        <w:t>internacionales</w:t>
      </w:r>
    </w:p>
    <w:p>
      <w:pPr>
        <w:pStyle w:val="BodyText"/>
        <w:rPr>
          <w:b/>
          <w:sz w:val="29"/>
        </w:rPr>
      </w:pPr>
    </w:p>
    <w:p>
      <w:pPr>
        <w:pStyle w:val="BodyText"/>
        <w:spacing w:line="360" w:lineRule="auto"/>
        <w:ind w:left="122" w:right="120" w:firstLine="707"/>
        <w:jc w:val="both"/>
      </w:pPr>
      <w:r>
        <w:rPr/>
        <w:t>Anteriormente se apreció como la volatilidad de precios internacionales se convierte en una perturbación al producir un efecto macroeconómico sobre una economía. Sin embargo, se hace necesario el establecimiento de políticas públicas que permitan amortiguar la influencia de perturbaciones negativas sobre los precios internacionales para países exportadores de recursos</w:t>
      </w:r>
      <w:r>
        <w:rPr>
          <w:spacing w:val="-8"/>
        </w:rPr>
        <w:t> </w:t>
      </w:r>
      <w:r>
        <w:rPr/>
        <w:t>naturales.</w:t>
      </w:r>
    </w:p>
    <w:p>
      <w:pPr>
        <w:pStyle w:val="BodyText"/>
        <w:spacing w:line="360" w:lineRule="auto" w:before="4"/>
        <w:ind w:left="122" w:right="117" w:firstLine="707"/>
        <w:jc w:val="both"/>
      </w:pPr>
      <w:r>
        <w:rPr/>
        <w:t>En términos de mitigación de perturbaciones externas, el alcance de la literatura económica se ha centrado en la utilización de la política económica como una estrategia gubernamental para neutralizar los </w:t>
      </w:r>
      <w:r>
        <w:rPr>
          <w:i/>
        </w:rPr>
        <w:t>choques</w:t>
      </w:r>
      <w:r>
        <w:rPr/>
        <w:t>, es así, que un conjunto de investigaciones evalúan  la  eficacia  de  políticas  monetarias,  cambiarias,  fiscales  y  comerciales     como</w:t>
      </w:r>
    </w:p>
    <w:p>
      <w:pPr>
        <w:pStyle w:val="BodyText"/>
        <w:spacing w:before="9"/>
        <w:rPr>
          <w:sz w:val="15"/>
        </w:rPr>
      </w:pPr>
      <w:r>
        <w:rPr/>
        <w:pict>
          <v:line style="position:absolute;mso-position-horizontal-relative:page;mso-position-vertical-relative:paragraph;z-index:2776;mso-wrap-distance-left:0;mso-wrap-distance-right:0" from="85.103996pt,11.359743pt" to="229.123996pt,11.359743pt" stroked="true" strokeweight=".60004pt" strokecolor="#000000">
            <w10:wrap type="topAndBottom"/>
          </v:line>
        </w:pict>
      </w:r>
    </w:p>
    <w:p>
      <w:pPr>
        <w:spacing w:before="50"/>
        <w:ind w:left="122" w:right="115" w:firstLine="0"/>
        <w:jc w:val="left"/>
        <w:rPr>
          <w:sz w:val="20"/>
        </w:rPr>
      </w:pPr>
      <w:r>
        <w:rPr>
          <w:position w:val="9"/>
          <w:sz w:val="13"/>
        </w:rPr>
        <w:t>29 </w:t>
      </w:r>
      <w:r>
        <w:rPr>
          <w:sz w:val="20"/>
        </w:rPr>
        <w:t>Crecimiento económico, desempleo, sector externo y sector fiscal.</w:t>
      </w:r>
    </w:p>
    <w:p>
      <w:pPr>
        <w:spacing w:after="0"/>
        <w:jc w:val="left"/>
        <w:rPr>
          <w:sz w:val="20"/>
        </w:rPr>
        <w:sectPr>
          <w:pgSz w:w="12250" w:h="15850"/>
          <w:pgMar w:header="0" w:footer="1037" w:top="1360" w:bottom="1220" w:left="1580" w:right="1580"/>
        </w:sectPr>
      </w:pPr>
    </w:p>
    <w:p>
      <w:pPr>
        <w:pStyle w:val="BodyText"/>
        <w:spacing w:line="360" w:lineRule="auto" w:before="50"/>
        <w:ind w:left="122" w:right="116"/>
        <w:jc w:val="both"/>
      </w:pPr>
      <w:r>
        <w:rPr/>
        <w:t>medidas </w:t>
      </w:r>
      <w:r>
        <w:rPr>
          <w:i/>
        </w:rPr>
        <w:t>antichoques</w:t>
      </w:r>
      <w:r>
        <w:rPr/>
        <w:t>, dependiendo de las limitaciones de endeudamiento, presupuesto fiscal, transferencia, régimen cambiario e inflación (Canavire &amp; Mariscal, 2010; Jemio &amp; Wiebelt, 2003).</w:t>
      </w:r>
    </w:p>
    <w:p>
      <w:pPr>
        <w:pStyle w:val="BodyText"/>
        <w:spacing w:line="360" w:lineRule="auto" w:before="4"/>
        <w:ind w:left="122" w:right="117" w:firstLine="707"/>
        <w:jc w:val="both"/>
      </w:pPr>
      <w:r>
        <w:rPr/>
        <w:t>En países exportadores de recursos naturales, se recomienda realizar políticas monetarias y fiscales en función del régimen cambiario que adopte el país con el propósito de anular el efecto negativo sobre el producto, el nivel de precios y el tipo de cambio frente a una disminución de precios internacionales de los recursos naturales (Datancurt, 2009). Así por ejemplo, bajo un sistema cambiario de flotación sucia, puede ser efectiva una venta de dólares acompañada de una política monetaria expansiva. A través de un sistema cambiario fijo, solo basta la aplicación de una política fiscal expansiva. Seguidamente, mediante un sistema cambiario flexible, la efectividad de las medidas anti-choques recae sobre la política monetaria, por lo tanto, la política monetaria acompaña al crecimiento económico, y la política cambiaria se ajusta al equilibrio de la balanza de pagos (Levin, 2000).</w:t>
      </w:r>
    </w:p>
    <w:p>
      <w:pPr>
        <w:pStyle w:val="BodyText"/>
        <w:spacing w:line="352" w:lineRule="auto" w:before="6"/>
        <w:ind w:left="122" w:right="114" w:firstLine="707"/>
        <w:jc w:val="both"/>
      </w:pPr>
      <w:r>
        <w:rPr/>
        <w:t>En el contexto de economías latinoamericanas, Sauma &amp; Sánchez  (2011)  explicaron las políticas económicas utilizadas para siete países de la región durante el período 1990 - 2007,</w:t>
      </w:r>
      <w:r>
        <w:rPr>
          <w:position w:val="11"/>
          <w:sz w:val="16"/>
        </w:rPr>
        <w:t>30 </w:t>
      </w:r>
      <w:r>
        <w:rPr/>
        <w:t>frente a la presencia de choques externos tales como los precios internacionales de recursos naturales entre otras perturbaciones. Aplicándose tres tipos: (i) política fiscal; (ii) política monetaria; y (iii) política</w:t>
      </w:r>
      <w:r>
        <w:rPr>
          <w:spacing w:val="-17"/>
        </w:rPr>
        <w:t> </w:t>
      </w:r>
      <w:r>
        <w:rPr/>
        <w:t>cambiaria.</w:t>
      </w:r>
    </w:p>
    <w:p>
      <w:pPr>
        <w:pStyle w:val="BodyText"/>
        <w:spacing w:line="360" w:lineRule="auto" w:before="12"/>
        <w:ind w:left="122" w:right="124" w:firstLine="707"/>
        <w:jc w:val="both"/>
      </w:pPr>
      <w:r>
        <w:rPr/>
        <w:t>La primera se basaba en mantener déficit fiscales bajos (e inclusive superávit) que permita hacer frente a situaciones recesivas en forma contracíclica.</w:t>
      </w:r>
    </w:p>
    <w:p>
      <w:pPr>
        <w:pStyle w:val="BodyText"/>
        <w:spacing w:line="360" w:lineRule="auto" w:before="4"/>
        <w:ind w:left="122" w:right="120" w:firstLine="707"/>
        <w:jc w:val="both"/>
      </w:pPr>
      <w:r>
        <w:rPr/>
        <w:t>La segunda estaba orientada a mantener los agregados monetarios (emisión, base monetaria y liquidez) en función de la coyuntura económica (interna y externa), empleándose instrumentos de política monetaria (operaciones de mercado abierto, encaje legal, entre otros).</w:t>
      </w:r>
    </w:p>
    <w:p>
      <w:pPr>
        <w:pStyle w:val="BodyText"/>
        <w:spacing w:line="360" w:lineRule="auto" w:before="6"/>
        <w:ind w:left="122" w:right="120" w:firstLine="707"/>
        <w:jc w:val="both"/>
      </w:pPr>
      <w:r>
        <w:rPr/>
        <w:t>La tercera política, mediante el establecimiento de nuevos sistemas cambiarios, amortiguaba o aumentaba los choques externos. Ante ello, México en 1995 pasó de un sistema de cambio fijo a uno flexible, Nicaragua y Bolivia emplearon un sistema de flotación sucia (</w:t>
      </w:r>
      <w:r>
        <w:rPr>
          <w:i/>
        </w:rPr>
        <w:t>crawling peg</w:t>
      </w:r>
      <w:r>
        <w:rPr/>
        <w:t>), Costa Rica cambió en 2006 a un sistema de bandas y Ecuador dolarizó su economía en el 2000.</w:t>
      </w:r>
    </w:p>
    <w:p>
      <w:pPr>
        <w:spacing w:after="0" w:line="360" w:lineRule="auto"/>
        <w:jc w:val="both"/>
        <w:sectPr>
          <w:footerReference w:type="default" r:id="rId31"/>
          <w:pgSz w:w="12250" w:h="15850"/>
          <w:pgMar w:footer="1569" w:header="0" w:top="1360" w:bottom="1760" w:left="1580" w:right="1580"/>
          <w:pgNumType w:start="48"/>
        </w:sectPr>
      </w:pPr>
    </w:p>
    <w:p>
      <w:pPr>
        <w:pStyle w:val="BodyText"/>
        <w:spacing w:before="50"/>
        <w:ind w:left="830" w:right="115"/>
      </w:pPr>
      <w:r>
        <w:rPr/>
        <w:t>En el caso de Colombia, Cano (2010) realizó una propuesta basada en tres pilares:</w:t>
      </w:r>
    </w:p>
    <w:p>
      <w:pPr>
        <w:pStyle w:val="BodyText"/>
        <w:spacing w:line="360" w:lineRule="auto" w:before="137"/>
        <w:ind w:left="122" w:right="119"/>
        <w:jc w:val="both"/>
      </w:pPr>
      <w:r>
        <w:rPr/>
        <w:t>a) la desvinculación de los gastos del gobierno e ingresos públicos provenientes de actividades  extractivas;  b) la  reducción  de  deuda hasta  niveles  relacionados con </w:t>
      </w:r>
      <w:r>
        <w:rPr>
          <w:spacing w:val="59"/>
        </w:rPr>
        <w:t> </w:t>
      </w:r>
      <w:r>
        <w:rPr/>
        <w:t>países</w:t>
      </w:r>
    </w:p>
    <w:p>
      <w:pPr>
        <w:pStyle w:val="BodyText"/>
        <w:spacing w:line="280" w:lineRule="exact"/>
        <w:ind w:left="122"/>
        <w:jc w:val="both"/>
      </w:pPr>
      <w:r>
        <w:rPr>
          <w:w w:val="177"/>
        </w:rPr>
        <w:t>  </w:t>
      </w:r>
      <w:r>
        <w:rPr>
          <w:w w:val="111"/>
        </w:rPr>
        <w:t>  </w:t>
      </w:r>
      <w:r>
        <w:rPr>
          <w:w w:val="140"/>
        </w:rPr>
        <w:t>   </w:t>
      </w:r>
      <w:r>
        <w:rPr>
          <w:w w:val="177"/>
        </w:rPr>
        <w:t> </w:t>
      </w:r>
      <w:r>
        <w:rPr>
          <w:w w:val="185"/>
        </w:rPr>
        <w:t>   </w:t>
      </w:r>
      <w:r>
        <w:rPr/>
        <w:t> </w:t>
      </w:r>
      <w:r>
        <w:rPr>
          <w:w w:val="177"/>
        </w:rPr>
        <w:t> </w:t>
      </w:r>
      <w:r>
        <w:rPr>
          <w:w w:val="200"/>
        </w:rPr>
        <w:t>  </w:t>
      </w:r>
      <w:r>
        <w:rPr/>
        <w:t> </w:t>
      </w:r>
      <w:r>
        <w:rPr>
          <w:w w:val="85"/>
        </w:rPr>
        <w:t>―                                   </w:t>
      </w:r>
      <w:r>
        <w:rPr/>
        <w:t>‖</w:t>
      </w:r>
      <w:r>
        <w:rPr>
          <w:position w:val="11"/>
          <w:sz w:val="16"/>
        </w:rPr>
        <w:t>31</w:t>
      </w:r>
      <w:r>
        <w:rPr/>
        <w:t>; c) la creación de un fondo de estabilización para  el</w:t>
      </w:r>
    </w:p>
    <w:p>
      <w:pPr>
        <w:pStyle w:val="BodyText"/>
        <w:spacing w:line="360" w:lineRule="auto" w:before="139"/>
        <w:ind w:left="122" w:right="121"/>
        <w:jc w:val="both"/>
      </w:pPr>
      <w:r>
        <w:rPr/>
        <w:t>ahorro de recursos en fases expansivas del ciclo económico con el fin de mitigar caídas de precios en fases recesivas (políticas contractivas). Seguidamente, en junio de 2011, el Estado colombiano institucionalizó una nueva regla fiscal mediante el establecimiento de déficits máximos de mediano (2.3% a PIB) y largo plazo (1% a PIB), además de la creación de un fondo soberano para absorción de caídas de precios.</w:t>
      </w:r>
    </w:p>
    <w:p>
      <w:pPr>
        <w:pStyle w:val="BodyText"/>
        <w:spacing w:line="360" w:lineRule="auto" w:before="4"/>
        <w:ind w:left="122" w:right="121" w:firstLine="707"/>
        <w:jc w:val="both"/>
      </w:pPr>
      <w:r>
        <w:rPr/>
        <w:t>Para Ecuador, la estrategia mitigante, aprobada en el 2010 y aplicada desde 2011, consistió en que los ingresos provenientes del petróleo (al igual que la deuda pública gubernamental) son exclusivamente destinados a la inversión pública. Por consiguiente,  esta normatividad puede proteger la sostenibilidad fiscal derivada de las fluctuaciones del precio del petróleo  (Fondo Monetario Internacional (FMI),</w:t>
      </w:r>
      <w:r>
        <w:rPr>
          <w:spacing w:val="-12"/>
        </w:rPr>
        <w:t> </w:t>
      </w:r>
      <w:r>
        <w:rPr/>
        <w:t>2012).</w:t>
      </w:r>
    </w:p>
    <w:p>
      <w:pPr>
        <w:pStyle w:val="BodyText"/>
        <w:spacing w:line="360" w:lineRule="auto" w:before="6"/>
        <w:ind w:left="122" w:right="120" w:firstLine="707"/>
        <w:jc w:val="both"/>
      </w:pPr>
      <w:r>
        <w:rPr/>
        <w:t>El contexto de Bolivia, Zambrano &amp; Aguilera (2010) sostuvieron que para reducir vulnerabilidad de las finanzas públicas resultante de los precios internacionales, el Estado de Bolivia debería realizar ajustes en el balance fiscal no petrolero, dado su progresivo deterioro en la última</w:t>
      </w:r>
      <w:r>
        <w:rPr>
          <w:spacing w:val="-8"/>
        </w:rPr>
        <w:t> </w:t>
      </w:r>
      <w:r>
        <w:rPr/>
        <w:t>década.</w:t>
      </w:r>
    </w:p>
    <w:p>
      <w:pPr>
        <w:pStyle w:val="BodyText"/>
        <w:spacing w:line="360" w:lineRule="auto" w:before="6"/>
        <w:ind w:left="122" w:right="116" w:firstLine="707"/>
        <w:jc w:val="both"/>
      </w:pPr>
      <w:r>
        <w:rPr/>
        <w:t>Anteriormente, Jemio &amp; Wiebelt (2003), concluyeron que la utilización de acciones mitigantes basadas en una política fiscal expansiva, afectaba negativamente a la Balanza de pagos y al equilibrio fiscal. Por el contrario, estos autores argumentaron que una política cambiaria orientada a la devaluación, incrementaba el crecimiento económico, disminuía la tasa de desempleo y mejoraba el equilibrio fiscal. En consecuencia, la política monetaria (por el lado cambiario) tenía mayor peso que la política fiscal, lo cual implicaba limitaciones por parte de los instrumentos fiscales para realizar estrategias mitigantes en contra de caídas internacionales de</w:t>
      </w:r>
      <w:r>
        <w:rPr>
          <w:spacing w:val="-10"/>
        </w:rPr>
        <w:t> </w:t>
      </w:r>
      <w:r>
        <w:rPr/>
        <w:t>precios.</w:t>
      </w:r>
    </w:p>
    <w:p>
      <w:pPr>
        <w:pStyle w:val="BodyText"/>
        <w:spacing w:line="360" w:lineRule="auto" w:before="4"/>
        <w:ind w:left="122" w:right="121" w:firstLine="707"/>
        <w:jc w:val="both"/>
      </w:pPr>
      <w:r>
        <w:rPr/>
        <w:t>Asimismo, Loza (2002), bajo el contexto de alta concentración de exportaciones en productos básicos (84% en 1999), señaló que la política cambiaria debería  considerar ciertos indicadores que evalúen los términos de intercambio, además del desarrollo de una política sectorial orientada al fomento de las exportaciones manufactureras.</w:t>
      </w:r>
    </w:p>
    <w:p>
      <w:pPr>
        <w:pStyle w:val="BodyText"/>
        <w:spacing w:before="10"/>
        <w:rPr>
          <w:sz w:val="17"/>
        </w:rPr>
      </w:pPr>
      <w:r>
        <w:rPr/>
        <w:pict>
          <v:line style="position:absolute;mso-position-horizontal-relative:page;mso-position-vertical-relative:paragraph;z-index:2800;mso-wrap-distance-left:0;mso-wrap-distance-right:0" from="85.103996pt,12.559748pt" to="229.123996pt,12.559748pt" stroked="true" strokeweight=".60004pt" strokecolor="#000000">
            <w10:wrap type="topAndBottom"/>
          </v:line>
        </w:pict>
      </w:r>
    </w:p>
    <w:p>
      <w:pPr>
        <w:spacing w:before="50"/>
        <w:ind w:left="122" w:right="115" w:firstLine="0"/>
        <w:jc w:val="left"/>
        <w:rPr>
          <w:sz w:val="20"/>
        </w:rPr>
      </w:pPr>
      <w:r>
        <w:rPr>
          <w:position w:val="9"/>
          <w:sz w:val="13"/>
        </w:rPr>
        <w:t>31 </w:t>
      </w:r>
      <w:r>
        <w:rPr>
          <w:sz w:val="20"/>
        </w:rPr>
        <w:t>Se refiere a los países cuya calificación de deuda es de riego bajo: desde A (+) hasta AAA.</w:t>
      </w:r>
    </w:p>
    <w:p>
      <w:pPr>
        <w:spacing w:after="0"/>
        <w:jc w:val="left"/>
        <w:rPr>
          <w:sz w:val="20"/>
        </w:rPr>
        <w:sectPr>
          <w:footerReference w:type="default" r:id="rId32"/>
          <w:pgSz w:w="12250" w:h="15850"/>
          <w:pgMar w:footer="1037" w:header="0" w:top="1360" w:bottom="1220" w:left="1580" w:right="1580"/>
          <w:pgNumType w:start="49"/>
        </w:sectPr>
      </w:pPr>
    </w:p>
    <w:p>
      <w:pPr>
        <w:pStyle w:val="Heading4"/>
        <w:numPr>
          <w:ilvl w:val="1"/>
          <w:numId w:val="8"/>
        </w:numPr>
        <w:tabs>
          <w:tab w:pos="677" w:val="left" w:leader="none"/>
          <w:tab w:pos="678" w:val="left" w:leader="none"/>
        </w:tabs>
        <w:spacing w:line="360" w:lineRule="auto" w:before="55" w:after="0"/>
        <w:ind w:left="678" w:right="551" w:hanging="576"/>
        <w:jc w:val="left"/>
      </w:pPr>
      <w:bookmarkStart w:name="_bookmark19" w:id="32"/>
      <w:bookmarkEnd w:id="32"/>
      <w:r>
        <w:rPr>
          <w:b w:val="0"/>
        </w:rPr>
      </w:r>
      <w:bookmarkStart w:name="_bookmark19" w:id="33"/>
      <w:bookmarkEnd w:id="33"/>
      <w:r>
        <w:rPr/>
        <w:t>R</w:t>
      </w:r>
      <w:r>
        <w:rPr/>
        <w:t>eglas fiscales: arreglos institucionales para países dependientes de recursos naturales</w:t>
      </w:r>
    </w:p>
    <w:p>
      <w:pPr>
        <w:pStyle w:val="BodyText"/>
        <w:spacing w:before="4"/>
        <w:rPr>
          <w:b/>
          <w:sz w:val="29"/>
        </w:rPr>
      </w:pPr>
    </w:p>
    <w:p>
      <w:pPr>
        <w:pStyle w:val="BodyText"/>
        <w:spacing w:line="360" w:lineRule="auto"/>
        <w:ind w:left="102" w:right="99" w:firstLine="767"/>
        <w:jc w:val="both"/>
      </w:pPr>
      <w:r>
        <w:rPr/>
        <w:t>En la sección anterior se explicaron las políticas públicas aplicadas en América Latina para hacer frente a los caídas de precios internacionales de los recursos naturales, cuyas medidas han sido meramente económicas: bajos déficits fiscales, política monetaria en función del contexto interno y externo, así como la liberación del tipo de cambio. De forma adicional se mencionaron las principales recomendaciones de política para mitigar los choques externos: desvincular el gasto público de los ingresos externos de recursos naturales, reducción de deuda pública, creación de un fondo de establización económica, entre otras</w:t>
      </w:r>
      <w:r>
        <w:rPr>
          <w:spacing w:val="-7"/>
        </w:rPr>
        <w:t> </w:t>
      </w:r>
      <w:r>
        <w:rPr/>
        <w:t>recomendaciones.</w:t>
      </w:r>
    </w:p>
    <w:p>
      <w:pPr>
        <w:pStyle w:val="BodyText"/>
        <w:spacing w:line="360" w:lineRule="auto" w:before="6"/>
        <w:ind w:left="102" w:right="99" w:firstLine="707"/>
        <w:jc w:val="both"/>
      </w:pPr>
      <w:r>
        <w:rPr/>
        <w:t>En esta sección se complementan las políticas públicas con otro tipo de acciones mitigantes mediante la sugerencia de implementación de reglas fiscales como arreglos institucionales que direccionen el manejo de las finanzas públicas para países dependientes de recursos naturales. Para ello, se realiza una justificación sobre el por qué las  instituciones importan, por qué se deben aplicar reglas fiscales y cuál es su efecto en el desempeño de las finanzas</w:t>
      </w:r>
      <w:r>
        <w:rPr>
          <w:spacing w:val="-9"/>
        </w:rPr>
        <w:t> </w:t>
      </w:r>
      <w:r>
        <w:rPr/>
        <w:t>públicas.</w:t>
      </w:r>
    </w:p>
    <w:p>
      <w:pPr>
        <w:pStyle w:val="BodyText"/>
        <w:spacing w:line="360" w:lineRule="auto" w:before="6"/>
        <w:ind w:left="102" w:right="100" w:firstLine="767"/>
        <w:jc w:val="both"/>
      </w:pPr>
      <w:r>
        <w:rPr/>
        <w:t>Se parte desde una perspectiva de la eficiencia, y se justifica la necesidad de proponer una regla fiscal en el caso de países ricos en petróleo. Finalmente, se realiza un debate  teórico  sobre  dos  posturas  contrapuestas  a  la  hora  determinar  reglas    fiscales:</w:t>
      </w:r>
    </w:p>
    <w:p>
      <w:pPr>
        <w:pStyle w:val="BodyText"/>
        <w:spacing w:before="4"/>
        <w:ind w:left="102"/>
      </w:pPr>
      <w:r>
        <w:rPr/>
        <w:t>¿ahorrar los ingresos petroleros o invertirlos en inversión pública?</w:t>
      </w:r>
    </w:p>
    <w:p>
      <w:pPr>
        <w:pStyle w:val="BodyText"/>
        <w:spacing w:line="360" w:lineRule="auto" w:before="139"/>
        <w:ind w:left="102" w:right="101" w:firstLine="707"/>
        <w:jc w:val="both"/>
      </w:pPr>
      <w:r>
        <w:rPr/>
        <w:t>Para ello, se vincula la importancia de las instituciones y su rol con la posición fiscal, desde la perspectiva del Nuevo Institucionalismo Económico (NIE), los Costos de Transacción Económicos (CTE) y el problema de agentes y principales, cuyos enfoques abordan el concepto de la</w:t>
      </w:r>
      <w:r>
        <w:rPr>
          <w:spacing w:val="-5"/>
        </w:rPr>
        <w:t> </w:t>
      </w:r>
      <w:r>
        <w:rPr/>
        <w:t>eficiencia.</w:t>
      </w:r>
    </w:p>
    <w:p>
      <w:pPr>
        <w:pStyle w:val="BodyText"/>
        <w:spacing w:before="4"/>
        <w:rPr>
          <w:sz w:val="21"/>
        </w:rPr>
      </w:pPr>
    </w:p>
    <w:p>
      <w:pPr>
        <w:pStyle w:val="Heading4"/>
        <w:numPr>
          <w:ilvl w:val="2"/>
          <w:numId w:val="8"/>
        </w:numPr>
        <w:tabs>
          <w:tab w:pos="963" w:val="left" w:leader="none"/>
          <w:tab w:pos="964" w:val="left" w:leader="none"/>
        </w:tabs>
        <w:spacing w:line="240" w:lineRule="auto" w:before="1" w:after="0"/>
        <w:ind w:left="963" w:right="0" w:hanging="720"/>
        <w:jc w:val="left"/>
      </w:pPr>
      <w:bookmarkStart w:name="_bookmark20" w:id="34"/>
      <w:bookmarkEnd w:id="34"/>
      <w:r>
        <w:rPr>
          <w:b w:val="0"/>
        </w:rPr>
      </w:r>
      <w:bookmarkStart w:name="_bookmark20" w:id="35"/>
      <w:bookmarkEnd w:id="35"/>
      <w:r>
        <w:rPr/>
        <w:t>El</w:t>
      </w:r>
      <w:r>
        <w:rPr/>
        <w:t> rol de las instituciones en la dirección de las finanzas</w:t>
      </w:r>
      <w:r>
        <w:rPr>
          <w:spacing w:val="-15"/>
        </w:rPr>
        <w:t> </w:t>
      </w:r>
      <w:r>
        <w:rPr/>
        <w:t>públicas</w:t>
      </w:r>
    </w:p>
    <w:p>
      <w:pPr>
        <w:pStyle w:val="BodyText"/>
        <w:rPr>
          <w:b/>
          <w:sz w:val="29"/>
        </w:rPr>
      </w:pPr>
    </w:p>
    <w:p>
      <w:pPr>
        <w:pStyle w:val="BodyText"/>
        <w:spacing w:line="360" w:lineRule="auto"/>
        <w:ind w:left="102" w:right="102" w:firstLine="707"/>
        <w:jc w:val="both"/>
      </w:pPr>
      <w:r>
        <w:rPr/>
        <w:t>La importancia del rol de las instituciones se caracteriza por la manera en que son administrados los recursos petroleros (o de cualquier otro recurso natural cuantioso), mediante el establecimiento de legislación de responsabilidad fiscal o adopción de reglas fiscales (Ossowski, et al., 2008).</w:t>
      </w:r>
    </w:p>
    <w:p>
      <w:pPr>
        <w:spacing w:after="0" w:line="360" w:lineRule="auto"/>
        <w:jc w:val="both"/>
        <w:sectPr>
          <w:pgSz w:w="12250" w:h="15850"/>
          <w:pgMar w:header="0" w:footer="1037" w:top="1360" w:bottom="1220" w:left="1600" w:right="1600"/>
        </w:sectPr>
      </w:pPr>
    </w:p>
    <w:p>
      <w:pPr>
        <w:pStyle w:val="BodyText"/>
        <w:spacing w:line="360" w:lineRule="auto" w:before="50"/>
        <w:ind w:left="102" w:right="114" w:firstLine="707"/>
        <w:jc w:val="both"/>
      </w:pPr>
      <w:r>
        <w:rPr/>
        <w:t>La literatura relacionada con la presencia de un recurso natural abundante y el papel de las instituciones ha sido un foco de discusión que ha despertado la importancia de las mismas. Así por ejemplo, Sachs &amp; Werner (1995; 1997) argumentaron que los países que crecen a un menor ritmo (en términos económicos) son aquellos que poseen un recuso natural abundante, en consecuencia, este fenómeno ha sido llamado la maldición de los recursos naturales. Contrariamente, Mehlum, et al. (2006) destacaron el papel de las instituciones como un factor determinante para la maldición del recurso natural (o en todo caso la bendición).</w:t>
      </w:r>
    </w:p>
    <w:p>
      <w:pPr>
        <w:pStyle w:val="BodyText"/>
        <w:spacing w:line="360" w:lineRule="auto" w:before="7"/>
        <w:ind w:left="102" w:right="119" w:firstLine="707"/>
        <w:jc w:val="both"/>
      </w:pPr>
      <w:r>
        <w:rPr/>
        <w:t>Las instituciones, según Scott &amp; Davis (2007), se definen como aquellas organizaciones que están acompañadas de un proceso de inculcación de  valores acompañada de una realidad social, cuyo objetivo es la estabilidad estructural y la permanencia en el tiempo. Paralelamente, la institucionalidad se modela con base en la función social del Estado y a partir de las creencias lógicas que asume la sociedad respecto al papel del Gobierno, el cual tiende a uniformizar políticas de reglas fiscales en virtud de</w:t>
      </w:r>
    </w:p>
    <w:p>
      <w:pPr>
        <w:pStyle w:val="BodyText"/>
        <w:spacing w:line="360" w:lineRule="auto" w:before="6"/>
        <w:ind w:left="102" w:right="257"/>
      </w:pPr>
      <w:r>
        <w:rPr>
          <w:spacing w:val="-1"/>
          <w:w w:val="177"/>
        </w:rPr>
        <w:t> </w:t>
      </w:r>
      <w:r>
        <w:rPr>
          <w:w w:val="140"/>
        </w:rPr>
        <w:t>  </w:t>
      </w:r>
      <w:r>
        <w:rPr>
          <w:spacing w:val="-2"/>
          <w:w w:val="140"/>
        </w:rPr>
        <w:t> </w:t>
      </w:r>
      <w:r>
        <w:rPr>
          <w:w w:val="155"/>
        </w:rPr>
        <w:t>  </w:t>
      </w:r>
      <w:r>
        <w:rPr>
          <w:spacing w:val="2"/>
        </w:rPr>
        <w:t> </w:t>
      </w:r>
      <w:r>
        <w:rPr>
          <w:spacing w:val="-3"/>
          <w:w w:val="200"/>
        </w:rPr>
        <w:t> </w:t>
      </w:r>
      <w:r>
        <w:rPr>
          <w:spacing w:val="1"/>
          <w:w w:val="133"/>
        </w:rPr>
        <w:t> </w:t>
      </w:r>
      <w:r>
        <w:rPr>
          <w:spacing w:val="-1"/>
          <w:w w:val="177"/>
        </w:rPr>
        <w:t> </w:t>
      </w:r>
      <w:r>
        <w:rPr>
          <w:w w:val="200"/>
        </w:rPr>
        <w:t>  </w:t>
      </w:r>
      <w:r>
        <w:rPr/>
        <w:t> </w:t>
      </w:r>
      <w:r>
        <w:rPr>
          <w:w w:val="188"/>
        </w:rPr>
        <w:t>  </w:t>
      </w:r>
      <w:r>
        <w:rPr>
          <w:spacing w:val="1"/>
        </w:rPr>
        <w:t> </w:t>
      </w:r>
      <w:r>
        <w:rPr>
          <w:w w:val="227"/>
        </w:rPr>
        <w:t>   </w:t>
      </w:r>
      <w:r>
        <w:rPr>
          <w:spacing w:val="2"/>
          <w:w w:val="227"/>
        </w:rPr>
        <w:t> </w:t>
      </w:r>
      <w:r>
        <w:rPr>
          <w:spacing w:val="-3"/>
          <w:w w:val="200"/>
        </w:rPr>
        <w:t> </w:t>
      </w:r>
      <w:r>
        <w:rPr>
          <w:spacing w:val="-1"/>
          <w:w w:val="177"/>
        </w:rPr>
        <w:t> </w:t>
      </w:r>
      <w:r>
        <w:rPr>
          <w:spacing w:val="2"/>
          <w:w w:val="200"/>
        </w:rPr>
        <w:t> </w:t>
      </w:r>
      <w:r>
        <w:rPr>
          <w:spacing w:val="-1"/>
          <w:w w:val="177"/>
        </w:rPr>
        <w:t> </w:t>
      </w:r>
      <w:r>
        <w:rPr>
          <w:w w:val="172"/>
        </w:rPr>
        <w:t>    </w:t>
      </w:r>
      <w:r>
        <w:rPr/>
        <w:t> </w:t>
      </w:r>
      <w:r>
        <w:rPr>
          <w:w w:val="144"/>
        </w:rPr>
        <w:t>    </w:t>
      </w:r>
      <w:r>
        <w:rPr>
          <w:w w:val="111"/>
        </w:rPr>
        <w:t>  </w:t>
      </w:r>
      <w:r>
        <w:rPr>
          <w:w w:val="188"/>
        </w:rPr>
        <w:t> </w:t>
      </w:r>
      <w:r>
        <w:rPr>
          <w:spacing w:val="-1"/>
          <w:w w:val="188"/>
        </w:rPr>
        <w:t> </w:t>
      </w:r>
      <w:r>
        <w:rPr>
          <w:w w:val="160"/>
        </w:rPr>
        <w:t>     </w:t>
      </w:r>
      <w:r>
        <w:rPr/>
        <w:t> </w:t>
      </w:r>
      <w:r>
        <w:rPr>
          <w:w w:val="166"/>
        </w:rPr>
        <w:t> </w:t>
      </w:r>
      <w:r>
        <w:rPr>
          <w:spacing w:val="-1"/>
          <w:w w:val="166"/>
        </w:rPr>
        <w:t> </w:t>
      </w:r>
      <w:r>
        <w:rPr>
          <w:spacing w:val="2"/>
          <w:w w:val="111"/>
        </w:rPr>
        <w:t> </w:t>
      </w:r>
      <w:r>
        <w:rPr>
          <w:spacing w:val="-3"/>
          <w:w w:val="200"/>
        </w:rPr>
        <w:t> </w:t>
      </w:r>
      <w:r>
        <w:rPr>
          <w:w w:val="155"/>
        </w:rPr>
        <w:t> </w:t>
      </w:r>
      <w:r>
        <w:rPr>
          <w:spacing w:val="2"/>
          <w:w w:val="155"/>
        </w:rPr>
        <w:t> </w:t>
      </w:r>
      <w:r>
        <w:rPr>
          <w:spacing w:val="-1"/>
          <w:w w:val="177"/>
        </w:rPr>
        <w:t> </w:t>
      </w:r>
      <w:r>
        <w:rPr>
          <w:w w:val="188"/>
        </w:rPr>
        <w:t> </w:t>
      </w:r>
      <w:r>
        <w:rPr>
          <w:spacing w:val="-1"/>
          <w:w w:val="188"/>
        </w:rPr>
        <w:t> </w:t>
      </w:r>
      <w:r>
        <w:rPr>
          <w:w w:val="155"/>
        </w:rPr>
        <w:t> </w:t>
      </w:r>
      <w:r>
        <w:rPr/>
        <w:t> </w:t>
      </w:r>
      <w:r>
        <w:rPr>
          <w:w w:val="188"/>
        </w:rPr>
        <w:t>  </w:t>
      </w:r>
      <w:r>
        <w:rPr>
          <w:spacing w:val="1"/>
        </w:rPr>
        <w:t> </w:t>
      </w:r>
      <w:r>
        <w:rPr>
          <w:spacing w:val="-1"/>
          <w:w w:val="177"/>
        </w:rPr>
        <w:t> </w:t>
      </w:r>
      <w:r>
        <w:rPr>
          <w:w w:val="111"/>
        </w:rPr>
        <w:t> </w:t>
      </w:r>
      <w:r>
        <w:rPr>
          <w:spacing w:val="2"/>
        </w:rPr>
        <w:t> </w:t>
      </w:r>
      <w:r>
        <w:rPr>
          <w:w w:val="85"/>
        </w:rPr>
        <w:t>―       </w:t>
      </w:r>
      <w:r>
        <w:rPr>
          <w:w w:val="150"/>
        </w:rPr>
        <w:t>‖  </w:t>
      </w:r>
      <w:r>
        <w:rPr/>
        <w:t>sto es, adoptar cambios institucionales derivado de la misma aplicabilidad</w:t>
      </w:r>
      <w:r>
        <w:rPr>
          <w:spacing w:val="-13"/>
        </w:rPr>
        <w:t> </w:t>
      </w:r>
      <w:r>
        <w:rPr/>
        <w:t>internacional.</w:t>
      </w:r>
    </w:p>
    <w:p>
      <w:pPr>
        <w:pStyle w:val="BodyText"/>
        <w:spacing w:line="360" w:lineRule="auto" w:before="6"/>
        <w:ind w:left="102" w:right="119" w:firstLine="707"/>
        <w:jc w:val="both"/>
      </w:pPr>
      <w:r>
        <w:rPr/>
        <w:t>El incumplimiento de la función social del Estado lleva al proceso de desinstitucionalización, lo cual se define como el colapso que sufren las organizaciones en sus pilares de aceptación autoritaria, valores organizaciones y aceptación social (Maguirre &amp; Hardy,</w:t>
      </w:r>
      <w:r>
        <w:rPr>
          <w:spacing w:val="-6"/>
        </w:rPr>
        <w:t> </w:t>
      </w:r>
      <w:r>
        <w:rPr/>
        <w:t>2009).</w:t>
      </w:r>
    </w:p>
    <w:p>
      <w:pPr>
        <w:pStyle w:val="BodyText"/>
        <w:spacing w:line="360" w:lineRule="auto" w:before="6"/>
        <w:ind w:left="102" w:right="118" w:firstLine="707"/>
        <w:jc w:val="both"/>
      </w:pPr>
      <w:r>
        <w:rPr/>
        <w:t>El problema de la eficiencia en las organizaciones económicas se remonta desde Coase (1937) hasta tiempos más actuales (Williamson, 1996) y se ha basado  en  las reformas estructurales de las instituciones (Bachev, 2010). La mejor organización económica, y por ende la más eficiente, será aquella que minimice sus costos de transacción o máximice los beneficios en favor de la sociedad.</w:t>
      </w:r>
    </w:p>
    <w:p>
      <w:pPr>
        <w:pStyle w:val="BodyText"/>
        <w:spacing w:line="360" w:lineRule="auto" w:before="6"/>
        <w:ind w:left="102" w:right="121" w:firstLine="707"/>
        <w:jc w:val="both"/>
      </w:pPr>
      <w:r>
        <w:rPr/>
        <w:t>El Nuevo Institucionalismo Económico (NIE) y los Costos de Transacción Económicos (CTE) explican la existencia de instituciones  económicamente  eficientes según su rol de maximizar los beneficios de la sociedad o minimizar los costos de transacción, así como en fundamentar el por qué algunos estados fallan en crear instituciones  efecientes   o  en  justificar  la  persistencia  de  aquellas  catalogadas     como</w:t>
      </w:r>
    </w:p>
    <w:p>
      <w:pPr>
        <w:pStyle w:val="BodyText"/>
        <w:spacing w:before="4"/>
        <w:ind w:left="102" w:right="127"/>
      </w:pPr>
      <w:r>
        <w:rPr>
          <w:w w:val="85"/>
        </w:rPr>
        <w:t>―                    </w:t>
      </w:r>
      <w:r>
        <w:rPr>
          <w:w w:val="130"/>
        </w:rPr>
        <w:t>‖ </w:t>
      </w:r>
      <w:r>
        <w:rPr/>
        <w:t>(Coase, 1937; Williamson, 1996; Heydemann, 2008; Bachev, 2010).</w:t>
      </w:r>
    </w:p>
    <w:p>
      <w:pPr>
        <w:spacing w:after="0"/>
        <w:sectPr>
          <w:pgSz w:w="12250" w:h="15850"/>
          <w:pgMar w:header="0" w:footer="1037" w:top="1360" w:bottom="1220" w:left="1600" w:right="1580"/>
        </w:sectPr>
      </w:pPr>
    </w:p>
    <w:p>
      <w:pPr>
        <w:pStyle w:val="BodyText"/>
        <w:spacing w:line="360" w:lineRule="auto" w:before="50"/>
        <w:ind w:left="102" w:right="120" w:firstLine="707"/>
        <w:jc w:val="both"/>
      </w:pPr>
      <w:r>
        <w:rPr/>
        <w:t>El problema central de los costos de transacción se basa en la asignación de los recursos y en administrar el problema de la escasez. La ventaja de abordar la minimización de los costos de transacción ayuda a comprender el signficado de la eficiencia. Por tanto, la eficiencia económica se traduce en minimizar los costos de transacción.</w:t>
      </w:r>
    </w:p>
    <w:p>
      <w:pPr>
        <w:pStyle w:val="BodyText"/>
        <w:tabs>
          <w:tab w:pos="8765" w:val="left" w:leader="none"/>
        </w:tabs>
        <w:spacing w:line="360" w:lineRule="auto" w:before="6"/>
        <w:ind w:left="102" w:right="116" w:firstLine="707"/>
        <w:jc w:val="right"/>
      </w:pPr>
      <w:r>
        <w:rPr/>
        <w:t>La forma en que el Estado organiza la actividad económica determina los</w:t>
      </w:r>
      <w:r>
        <w:rPr>
          <w:spacing w:val="56"/>
        </w:rPr>
        <w:t> </w:t>
      </w:r>
      <w:r>
        <w:rPr/>
        <w:t>costos</w:t>
      </w:r>
      <w:r>
        <w:rPr>
          <w:spacing w:val="10"/>
        </w:rPr>
        <w:t> </w:t>
      </w:r>
      <w:r>
        <w:rPr/>
        <w:t>de transacción  y por  tanto  su  desempeño.  La  existencia  de  reglas  informales,</w:t>
      </w:r>
      <w:r>
        <w:rPr>
          <w:spacing w:val="-17"/>
        </w:rPr>
        <w:t> </w:t>
      </w:r>
      <w:r>
        <w:rPr/>
        <w:t>es</w:t>
      </w:r>
      <w:r>
        <w:rPr>
          <w:spacing w:val="47"/>
        </w:rPr>
        <w:t> </w:t>
      </w:r>
      <w:r>
        <w:rPr/>
        <w:t>decir</w:t>
        <w:tab/>
        <w:t>la ausencia de normas debidamente legisladas,  es una causa del  bajo desempeño </w:t>
      </w:r>
      <w:r>
        <w:rPr>
          <w:spacing w:val="14"/>
        </w:rPr>
        <w:t> </w:t>
      </w:r>
      <w:r>
        <w:rPr/>
        <w:t>económico.</w:t>
      </w:r>
    </w:p>
    <w:p>
      <w:pPr>
        <w:pStyle w:val="BodyText"/>
        <w:spacing w:line="360" w:lineRule="auto" w:before="4"/>
        <w:ind w:left="102" w:right="116" w:firstLine="707"/>
        <w:jc w:val="both"/>
      </w:pPr>
      <w:r>
        <w:rPr/>
        <w:t>Las instituciones ineficientes existen por la ausencia de regulaciones debido al mal uso de los derechos de propiedad, lo cual conlleva a mayores costos de transacción. En suma, la ineficiencia existe porque es coercitivamente planificada y ejecutada  (Heydemann, 2008). En otras palabras, no existen normas que regulen el accionar del gobierno porque es la manera más fácil de alcanzar sus objetivos y dicho libertinaje institucional conlleva a la</w:t>
      </w:r>
      <w:r>
        <w:rPr>
          <w:spacing w:val="-8"/>
        </w:rPr>
        <w:t> </w:t>
      </w:r>
      <w:r>
        <w:rPr/>
        <w:t>ineficiencia.</w:t>
      </w:r>
    </w:p>
    <w:p>
      <w:pPr>
        <w:pStyle w:val="BodyText"/>
        <w:spacing w:line="360" w:lineRule="auto" w:before="4"/>
        <w:ind w:left="102" w:right="117" w:firstLine="707"/>
        <w:jc w:val="both"/>
      </w:pPr>
      <w:r>
        <w:rPr/>
        <w:t>Una acción es económica, y por tanto eficiente, cuando se mejora el resultado, manteniendo constante el gasto o en la situación que el resultado se mantiene constante y existe una reducción de gasto. Por lo tanto, las actividades de la administración pública son consideradas eficientes cuando logran un determinado propósito de forma efectiva y económica.</w:t>
      </w:r>
    </w:p>
    <w:p>
      <w:pPr>
        <w:pStyle w:val="BodyText"/>
        <w:spacing w:line="360" w:lineRule="auto" w:before="6"/>
        <w:ind w:left="102" w:right="117" w:firstLine="707"/>
        <w:jc w:val="both"/>
      </w:pPr>
      <w:r>
        <w:rPr/>
        <w:t>La eficiencia pública puede explicarse a través de la teoría institucional, la misma que expone las fuentes de cambio que influyen en las instituciones como consecuencias del ambiente externo, </w:t>
      </w:r>
      <w:r>
        <w:rPr>
          <w:spacing w:val="-3"/>
        </w:rPr>
        <w:t>ya </w:t>
      </w:r>
      <w:r>
        <w:rPr/>
        <w:t>sea por normas formales y factores informales  (Scott &amp; Davis,  2007).</w:t>
      </w:r>
    </w:p>
    <w:p>
      <w:pPr>
        <w:pStyle w:val="BodyText"/>
        <w:spacing w:line="360" w:lineRule="auto" w:before="6"/>
        <w:ind w:left="102" w:right="118" w:firstLine="707"/>
        <w:jc w:val="both"/>
      </w:pPr>
      <w:r>
        <w:rPr/>
        <w:t>La primera fuente de cambio se fundamenta en la implementación de normas de regulación, las cuales se centran en reglas de gobernación y con base en un marco legal definido (Estado-Nación) [normas formales], las mismas que se internalizan como la guía para el desempeño institucional. Por otra parte, las normas informales (cambios  informales) corresponden a aspectos culturales-cognitivos, elementos  que  no  se encuentran regulados o instrumentados de manera formal, donde el papel de la cultura determina las decisiones más importantes para las</w:t>
      </w:r>
      <w:r>
        <w:rPr>
          <w:spacing w:val="-9"/>
        </w:rPr>
        <w:t> </w:t>
      </w:r>
      <w:r>
        <w:rPr/>
        <w:t>instituciones.</w:t>
      </w:r>
    </w:p>
    <w:p>
      <w:pPr>
        <w:pStyle w:val="BodyText"/>
        <w:spacing w:line="360" w:lineRule="auto" w:before="6"/>
        <w:ind w:left="102" w:right="121" w:firstLine="707"/>
        <w:jc w:val="both"/>
      </w:pPr>
      <w:r>
        <w:rPr/>
        <w:t>Dimaggio &amp; Powell (1983) señalan que la teoría institucional, es una fuente de explicación  sobre  la  similitud  estructural  de  las  instituciones.  En  consecuencia,   estos</w:t>
      </w:r>
    </w:p>
    <w:p>
      <w:pPr>
        <w:spacing w:after="0" w:line="360" w:lineRule="auto"/>
        <w:jc w:val="both"/>
        <w:sectPr>
          <w:pgSz w:w="12250" w:h="15850"/>
          <w:pgMar w:header="0" w:footer="1037" w:top="1360" w:bottom="1220" w:left="1600" w:right="1580"/>
        </w:sectPr>
      </w:pPr>
    </w:p>
    <w:p>
      <w:pPr>
        <w:pStyle w:val="BodyText"/>
        <w:spacing w:before="50"/>
        <w:ind w:left="102"/>
      </w:pPr>
      <w:r>
        <w:rPr/>
        <w:t>autores argumentan tres fuentes de cambios institucionales, mediante procesos    isomorfos:</w:t>
      </w:r>
    </w:p>
    <w:p>
      <w:pPr>
        <w:pStyle w:val="ListParagraph"/>
        <w:numPr>
          <w:ilvl w:val="0"/>
          <w:numId w:val="9"/>
        </w:numPr>
        <w:tabs>
          <w:tab w:pos="388" w:val="left" w:leader="none"/>
        </w:tabs>
        <w:spacing w:line="240" w:lineRule="auto" w:before="137" w:after="0"/>
        <w:ind w:left="122" w:right="0" w:hanging="20"/>
        <w:jc w:val="left"/>
        <w:rPr>
          <w:sz w:val="24"/>
        </w:rPr>
      </w:pPr>
      <w:r>
        <w:rPr>
          <w:i/>
          <w:sz w:val="24"/>
        </w:rPr>
        <w:t>isomorfismo coercitivo</w:t>
      </w:r>
      <w:r>
        <w:rPr>
          <w:sz w:val="24"/>
        </w:rPr>
        <w:t>, (ii) </w:t>
      </w:r>
      <w:r>
        <w:rPr>
          <w:i/>
          <w:sz w:val="24"/>
        </w:rPr>
        <w:t>isomorfismo mimético </w:t>
      </w:r>
      <w:r>
        <w:rPr>
          <w:sz w:val="24"/>
        </w:rPr>
        <w:t>e (iii) </w:t>
      </w:r>
      <w:r>
        <w:rPr>
          <w:i/>
          <w:sz w:val="24"/>
        </w:rPr>
        <w:t>isomorfismo</w:t>
      </w:r>
      <w:r>
        <w:rPr>
          <w:i/>
          <w:spacing w:val="-13"/>
          <w:sz w:val="24"/>
        </w:rPr>
        <w:t> </w:t>
      </w:r>
      <w:r>
        <w:rPr>
          <w:i/>
          <w:sz w:val="24"/>
        </w:rPr>
        <w:t>normativo</w:t>
      </w:r>
      <w:r>
        <w:rPr>
          <w:sz w:val="24"/>
        </w:rPr>
        <w:t>.</w:t>
      </w:r>
    </w:p>
    <w:p>
      <w:pPr>
        <w:pStyle w:val="BodyText"/>
        <w:spacing w:line="360" w:lineRule="auto" w:before="139"/>
        <w:ind w:left="102" w:right="117" w:firstLine="707"/>
        <w:jc w:val="both"/>
      </w:pPr>
      <w:r>
        <w:rPr/>
        <w:t>El primer tipo de isomorfismo está asociado con la influencia intra-organizacional: organizaciones externas que influyen en el cumplimiento de ciertas normas. El isomorfismo mimético está asociado con la incertidumbre en la medición y control de fenómenos económicos, como la fijación de objetivos, por consiguiente, los gobiernos aplican modelos de medición, así como también fijan objetivos ya utilizados por otros gobiernos e instituciones multilaterales. El isomorfismo normativo está derivado de la profesionalización influenciada por la formación, asociación, y experiencia de los recursos humanos que ejercen la dirección económica de las naciones.</w:t>
      </w:r>
    </w:p>
    <w:p>
      <w:pPr>
        <w:pStyle w:val="BodyText"/>
        <w:spacing w:line="360" w:lineRule="auto" w:before="6"/>
        <w:ind w:left="102" w:right="118" w:firstLine="707"/>
        <w:jc w:val="both"/>
      </w:pPr>
      <w:r>
        <w:rPr/>
        <w:t>Un ejemplo en la incorporación de cambios institucionales, mediante procesos isomorfos, sería la adopción de reglas fiscales o normas que promuevan una mejora de la eficiencia pública, sin embargo esto no significa que las instituciones sean más eficientes, (en teoría deberían serlo). Aunque, las razones se deben a motivos de legitimización social  e internacional, con el fin de mejorar la reputación gubernamental y con el propósito de realizar el manejo de la política fiscal de la manera más fácil</w:t>
      </w:r>
      <w:r>
        <w:rPr>
          <w:spacing w:val="-12"/>
        </w:rPr>
        <w:t> </w:t>
      </w:r>
      <w:r>
        <w:rPr/>
        <w:t>posible.</w:t>
      </w:r>
    </w:p>
    <w:p>
      <w:pPr>
        <w:pStyle w:val="BodyText"/>
        <w:spacing w:before="7"/>
        <w:rPr>
          <w:sz w:val="21"/>
        </w:rPr>
      </w:pPr>
    </w:p>
    <w:p>
      <w:pPr>
        <w:pStyle w:val="Heading4"/>
        <w:numPr>
          <w:ilvl w:val="2"/>
          <w:numId w:val="8"/>
        </w:numPr>
        <w:tabs>
          <w:tab w:pos="963" w:val="left" w:leader="none"/>
          <w:tab w:pos="964" w:val="left" w:leader="none"/>
        </w:tabs>
        <w:spacing w:line="240" w:lineRule="auto" w:before="0" w:after="0"/>
        <w:ind w:left="963" w:right="0" w:hanging="720"/>
        <w:jc w:val="left"/>
      </w:pPr>
      <w:bookmarkStart w:name="_bookmark21" w:id="36"/>
      <w:bookmarkEnd w:id="36"/>
      <w:r>
        <w:rPr>
          <w:b w:val="0"/>
        </w:rPr>
      </w:r>
      <w:bookmarkStart w:name="_bookmark21" w:id="37"/>
      <w:bookmarkEnd w:id="37"/>
      <w:r>
        <w:rPr/>
        <w:t>Justi</w:t>
      </w:r>
      <w:r>
        <w:rPr/>
        <w:t>ficación teórica: ¿por qué son importantes las reglas</w:t>
      </w:r>
      <w:r>
        <w:rPr>
          <w:spacing w:val="-14"/>
        </w:rPr>
        <w:t> </w:t>
      </w:r>
      <w:r>
        <w:rPr/>
        <w:t>fiscales?</w:t>
      </w:r>
    </w:p>
    <w:p>
      <w:pPr>
        <w:pStyle w:val="BodyText"/>
        <w:rPr>
          <w:b/>
          <w:sz w:val="29"/>
        </w:rPr>
      </w:pPr>
    </w:p>
    <w:p>
      <w:pPr>
        <w:pStyle w:val="BodyText"/>
        <w:spacing w:line="360" w:lineRule="auto"/>
        <w:ind w:left="102" w:right="116" w:firstLine="707"/>
        <w:jc w:val="both"/>
      </w:pPr>
      <w:r>
        <w:rPr/>
        <w:t>Quizás una pregunta contraria a la anterior sería: ¿por qué los gobiernos no implementan reglas fiscales? La respuesta más plausible se centra en el conflicto de intereses y oportunismo del gobierno para maximizar su propio beneficio, cuya concepción se basa en el problema de agentes y principales.</w:t>
      </w:r>
    </w:p>
    <w:p>
      <w:pPr>
        <w:pStyle w:val="BodyText"/>
        <w:spacing w:line="360" w:lineRule="auto" w:before="6"/>
        <w:ind w:left="102" w:right="118" w:firstLine="707"/>
        <w:jc w:val="both"/>
      </w:pPr>
      <w:r>
        <w:rPr/>
        <w:t>En términos de posición fiscal y objetivos de sostenibilidad fiscal, se pueden inferir dos problemas relacionados con el problema de agentes y principales [el gobierno y la sociedad respectivamente: Eisenhardt (1988)]. El primero, relacionado con el conflicto de establecimiento de objetivos de déficit fiscal y deuda pública,. El segundo, cuando existen diferentes perspectivas de riesgo entre ambas partes (en relación al gobierno y la sociedad).</w:t>
      </w:r>
    </w:p>
    <w:p>
      <w:pPr>
        <w:pStyle w:val="BodyText"/>
        <w:spacing w:line="360" w:lineRule="auto" w:before="6"/>
        <w:ind w:left="102" w:right="120" w:firstLine="707"/>
        <w:jc w:val="both"/>
      </w:pPr>
      <w:r>
        <w:rPr/>
        <w:t>Por tanto, la propuesta central es que los contratos basados en resultados (reglas fiscales) reducen el oportunismo del agente (el gobierno), que puede venir por tres vías: (i) utilización de información asimétrica para la determinación de resultados fiscales inadecuados;  (ii)  la  posibilidad  que  la  sociedad  no  pueda  monitorear  y  fiscalizar  una</w:t>
      </w:r>
    </w:p>
    <w:p>
      <w:pPr>
        <w:spacing w:after="0" w:line="360" w:lineRule="auto"/>
        <w:jc w:val="both"/>
        <w:sectPr>
          <w:pgSz w:w="12250" w:h="15850"/>
          <w:pgMar w:header="0" w:footer="1037" w:top="1360" w:bottom="1220" w:left="1600" w:right="1580"/>
        </w:sectPr>
      </w:pPr>
    </w:p>
    <w:p>
      <w:pPr>
        <w:pStyle w:val="BodyText"/>
        <w:spacing w:line="360" w:lineRule="auto" w:before="50"/>
        <w:ind w:left="122" w:right="115"/>
      </w:pPr>
      <w:r>
        <w:rPr/>
        <w:t>posición fiscal adecuada; (iii) los beneficios no son proporcionalmente distribuidos (Olson, 1969).</w:t>
      </w:r>
    </w:p>
    <w:p>
      <w:pPr>
        <w:pStyle w:val="BodyText"/>
        <w:spacing w:line="360" w:lineRule="auto" w:before="6"/>
        <w:ind w:left="122" w:right="115" w:firstLine="707"/>
        <w:jc w:val="both"/>
      </w:pPr>
      <w:r>
        <w:rPr/>
        <w:t>Asimismo, la sociedad es una fuente importante para minimizar los diversos tipos  de oportunismo del gobierno cuando controla el cumplimiento de las reglas fiscales. Desde la perspectiva de agentes y principales, se deduce que las reglas fiscales (un contrato) es un mecanismo efectivo para que las finanzas públicas se administren de manera eficiente en escenarios de incertidumbre, aversión al riesgo y bajo criterios de información. En consecuencia, la recurrencia de un contrato entre la sociedad y gobierno (cambio institucional), permite una minimización de sus costos de transacción (evitando oportunismo, riesgo y mejorando mecanismos de ajuste y control social sobre la dirección de las finanzas</w:t>
      </w:r>
      <w:r>
        <w:rPr>
          <w:spacing w:val="-6"/>
        </w:rPr>
        <w:t> </w:t>
      </w:r>
      <w:r>
        <w:rPr/>
        <w:t>públicas).</w:t>
      </w:r>
    </w:p>
    <w:p>
      <w:pPr>
        <w:pStyle w:val="BodyText"/>
        <w:spacing w:before="4"/>
        <w:rPr>
          <w:sz w:val="21"/>
        </w:rPr>
      </w:pPr>
    </w:p>
    <w:p>
      <w:pPr>
        <w:pStyle w:val="Heading4"/>
        <w:numPr>
          <w:ilvl w:val="2"/>
          <w:numId w:val="8"/>
        </w:numPr>
        <w:tabs>
          <w:tab w:pos="983" w:val="left" w:leader="none"/>
          <w:tab w:pos="984" w:val="left" w:leader="none"/>
        </w:tabs>
        <w:spacing w:line="240" w:lineRule="auto" w:before="1" w:after="0"/>
        <w:ind w:left="983" w:right="0" w:hanging="720"/>
        <w:jc w:val="left"/>
      </w:pPr>
      <w:bookmarkStart w:name="_bookmark22" w:id="38"/>
      <w:bookmarkEnd w:id="38"/>
      <w:r>
        <w:rPr>
          <w:b w:val="0"/>
        </w:rPr>
      </w:r>
      <w:bookmarkStart w:name="_bookmark22" w:id="39"/>
      <w:bookmarkEnd w:id="39"/>
      <w:r>
        <w:rPr/>
        <w:t>C</w:t>
      </w:r>
      <w:r>
        <w:rPr/>
        <w:t>riterios generales de reglas</w:t>
      </w:r>
      <w:r>
        <w:rPr>
          <w:spacing w:val="-8"/>
        </w:rPr>
        <w:t> </w:t>
      </w:r>
      <w:r>
        <w:rPr/>
        <w:t>fiscales</w:t>
      </w:r>
    </w:p>
    <w:p>
      <w:pPr>
        <w:pStyle w:val="BodyText"/>
        <w:rPr>
          <w:b/>
          <w:sz w:val="29"/>
        </w:rPr>
      </w:pPr>
    </w:p>
    <w:p>
      <w:pPr>
        <w:pStyle w:val="BodyText"/>
        <w:spacing w:line="350" w:lineRule="auto"/>
        <w:ind w:left="122" w:right="117" w:firstLine="707"/>
        <w:jc w:val="both"/>
      </w:pPr>
      <w:r>
        <w:rPr/>
        <w:t>Diversos tratados internacionales, así como recomendaciones de organismos especializados (como el FMI) han recomendado reglas fiscales,</w:t>
      </w:r>
      <w:r>
        <w:rPr>
          <w:position w:val="11"/>
          <w:sz w:val="16"/>
        </w:rPr>
        <w:t>32 </w:t>
      </w:r>
      <w:r>
        <w:rPr/>
        <w:t>como normas de buenas prácticas que reducen el oportunismo del gobierno a tomar decisiones deliberadas en términos de deuda pública y déficit fiscal.</w:t>
      </w:r>
    </w:p>
    <w:p>
      <w:pPr>
        <w:pStyle w:val="BodyText"/>
        <w:tabs>
          <w:tab w:pos="3995" w:val="left" w:leader="none"/>
        </w:tabs>
        <w:spacing w:line="360" w:lineRule="auto" w:before="14"/>
        <w:ind w:left="122" w:right="117" w:firstLine="707"/>
        <w:jc w:val="right"/>
      </w:pPr>
      <w:r>
        <w:rPr/>
        <w:t>Estos cambios institucionales (imposición de reglas fiscales)</w:t>
      </w:r>
      <w:r>
        <w:rPr>
          <w:spacing w:val="32"/>
        </w:rPr>
        <w:t> </w:t>
      </w:r>
      <w:r>
        <w:rPr/>
        <w:t>permiten una</w:t>
      </w:r>
      <w:r>
        <w:rPr>
          <w:spacing w:val="40"/>
        </w:rPr>
        <w:t> </w:t>
      </w:r>
      <w:r>
        <w:rPr/>
        <w:t>mejor organización  económica</w:t>
      </w:r>
      <w:r>
        <w:rPr>
          <w:spacing w:val="52"/>
        </w:rPr>
        <w:t> </w:t>
      </w:r>
      <w:r>
        <w:rPr/>
        <w:t>del</w:t>
      </w:r>
      <w:r>
        <w:rPr>
          <w:spacing w:val="55"/>
        </w:rPr>
        <w:t> </w:t>
      </w:r>
      <w:r>
        <w:rPr/>
        <w:t>Estado,</w:t>
        <w:tab/>
        <w:t>minimizándose  los  costos  de  transacción</w:t>
      </w:r>
      <w:r>
        <w:rPr>
          <w:spacing w:val="44"/>
        </w:rPr>
        <w:t> </w:t>
      </w:r>
      <w:r>
        <w:rPr/>
        <w:t>para</w:t>
      </w:r>
      <w:r>
        <w:rPr>
          <w:spacing w:val="57"/>
        </w:rPr>
        <w:t> </w:t>
      </w:r>
      <w:r>
        <w:rPr/>
        <w:t>la economía, y en consecuencia, las instituciones son más eficientes</w:t>
      </w:r>
      <w:r>
        <w:rPr>
          <w:spacing w:val="21"/>
        </w:rPr>
        <w:t> </w:t>
      </w:r>
      <w:r>
        <w:rPr/>
        <w:t>(Williamson,</w:t>
      </w:r>
      <w:r>
        <w:rPr>
          <w:spacing w:val="1"/>
        </w:rPr>
        <w:t> </w:t>
      </w:r>
      <w:r>
        <w:rPr/>
        <w:t>1996; Heydemann, 2008; Bachev, 2010). En el caso de países ricos en petróleo,</w:t>
      </w:r>
      <w:r>
        <w:rPr>
          <w:spacing w:val="1"/>
        </w:rPr>
        <w:t> </w:t>
      </w:r>
      <w:r>
        <w:rPr/>
        <w:t>si</w:t>
      </w:r>
      <w:r>
        <w:rPr>
          <w:spacing w:val="35"/>
        </w:rPr>
        <w:t> </w:t>
      </w:r>
      <w:r>
        <w:rPr/>
        <w:t>las</w:t>
      </w:r>
      <w:r>
        <w:rPr>
          <w:w w:val="99"/>
        </w:rPr>
        <w:t> </w:t>
      </w:r>
      <w:r>
        <w:rPr/>
        <w:t>instituciones son eficientes los recursos económicos son mejor distribuídos</w:t>
      </w:r>
      <w:r>
        <w:rPr>
          <w:spacing w:val="47"/>
        </w:rPr>
        <w:t> </w:t>
      </w:r>
      <w:r>
        <w:rPr/>
        <w:t>(Olson,</w:t>
      </w:r>
      <w:r>
        <w:rPr>
          <w:spacing w:val="-1"/>
        </w:rPr>
        <w:t> </w:t>
      </w:r>
      <w:r>
        <w:rPr/>
        <w:t>1969). De forma adicional, se han recomendado algunos lineamientos generales</w:t>
      </w:r>
      <w:r>
        <w:rPr>
          <w:spacing w:val="19"/>
        </w:rPr>
        <w:t> </w:t>
      </w:r>
      <w:r>
        <w:rPr/>
        <w:t>para</w:t>
      </w:r>
      <w:r>
        <w:rPr>
          <w:spacing w:val="41"/>
        </w:rPr>
        <w:t> </w:t>
      </w:r>
      <w:r>
        <w:rPr/>
        <w:t>la adopción de reglas fiscales: i) orientación contracíclica de la política fiscal</w:t>
      </w:r>
      <w:r>
        <w:rPr>
          <w:spacing w:val="8"/>
        </w:rPr>
        <w:t> </w:t>
      </w:r>
      <w:r>
        <w:rPr/>
        <w:t>basada</w:t>
      </w:r>
      <w:r>
        <w:rPr>
          <w:spacing w:val="56"/>
        </w:rPr>
        <w:t> </w:t>
      </w:r>
      <w:r>
        <w:rPr/>
        <w:t>en balances fiscales cíclicamente ajustados (límites); ii) restricciones sobre el gasto público  </w:t>
      </w:r>
      <w:r>
        <w:rPr>
          <w:spacing w:val="50"/>
        </w:rPr>
        <w:t> </w:t>
      </w:r>
      <w:r>
        <w:rPr/>
        <w:t>y</w:t>
      </w:r>
    </w:p>
    <w:p>
      <w:pPr>
        <w:pStyle w:val="BodyText"/>
        <w:rPr>
          <w:sz w:val="20"/>
        </w:rPr>
      </w:pPr>
    </w:p>
    <w:p>
      <w:pPr>
        <w:pStyle w:val="BodyText"/>
        <w:rPr>
          <w:sz w:val="11"/>
        </w:rPr>
      </w:pPr>
      <w:r>
        <w:rPr/>
        <w:pict>
          <v:line style="position:absolute;mso-position-horizontal-relative:page;mso-position-vertical-relative:paragraph;z-index:2824;mso-wrap-distance-left:0;mso-wrap-distance-right:0" from="85.103996pt,8.600756pt" to="229.123996pt,8.600756pt" stroked="true" strokeweight=".599980pt" strokecolor="#000000">
            <w10:wrap type="topAndBottom"/>
          </v:line>
        </w:pict>
      </w:r>
    </w:p>
    <w:p>
      <w:pPr>
        <w:spacing w:line="278" w:lineRule="auto" w:before="40"/>
        <w:ind w:left="122" w:right="118" w:firstLine="707"/>
        <w:jc w:val="both"/>
        <w:rPr>
          <w:sz w:val="20"/>
        </w:rPr>
      </w:pPr>
      <w:r>
        <w:rPr>
          <w:position w:val="11"/>
          <w:sz w:val="16"/>
        </w:rPr>
        <w:t>32 </w:t>
      </w:r>
      <w:r>
        <w:rPr>
          <w:sz w:val="20"/>
        </w:rPr>
        <w:t>Una regla fiscal es definida como una restricción permanente sobre la política fiscal a través de simples límites numéricos sobre agregados presupuestarios, esto está caracterizado por la simplicidad en el monitoreo y control público. Por consiguiente, lo más importante de las reglas es promover la sostenibilidad fiscal, estableciendo límites (en términos del PIB), en cuanto a: (i) Balance entre ingresos y gastos del gobierno [ya sea Global, cíclico o estructural]; (ii) Endeudamiento gubernamental; (iii) Gasto [Global, primario, corriente, o en términos de tasas de crecimiento]; (iv) Ingreso fiscal (FMI, 2009).</w:t>
      </w:r>
    </w:p>
    <w:p>
      <w:pPr>
        <w:spacing w:after="0" w:line="278" w:lineRule="auto"/>
        <w:jc w:val="both"/>
        <w:rPr>
          <w:sz w:val="20"/>
        </w:rPr>
        <w:sectPr>
          <w:pgSz w:w="12250" w:h="15850"/>
          <w:pgMar w:header="0" w:footer="1037" w:top="1360" w:bottom="1220" w:left="1580" w:right="1580"/>
        </w:sectPr>
      </w:pPr>
    </w:p>
    <w:p>
      <w:pPr>
        <w:pStyle w:val="BodyText"/>
        <w:spacing w:line="360" w:lineRule="auto" w:before="50"/>
        <w:ind w:left="102" w:right="124"/>
        <w:jc w:val="both"/>
      </w:pPr>
      <w:r>
        <w:rPr/>
        <w:t>deuda pública máxima; iii) diseño de corto, mediano y largo plazo; iv) mejora en aspectos institucionales (e.j. creación de una agencia independiente para la administración de la regla fiscal) (Schick, 2010).</w:t>
      </w:r>
    </w:p>
    <w:p>
      <w:pPr>
        <w:pStyle w:val="BodyText"/>
        <w:spacing w:line="360" w:lineRule="auto" w:before="4"/>
        <w:ind w:left="102" w:right="121" w:firstLine="707"/>
        <w:jc w:val="both"/>
      </w:pPr>
      <w:r>
        <w:rPr/>
        <w:t>Desde el inicio de la Zona Euro, el pacto de estabilidad fue el establecimiento de un límite del 3% sobre el déficit fiscal y un techo máximo del 60% sobre el nivel de endeudamiento, empero, 12 países incumplieron el límite de deuda en 1999,  posteriormente, seis de ellos lo habían incumplido en el 2006. A pesar de ello, las reglas fiscales fueron diseñadas con el fin de preservar finanzas públicas sostenibles en términos de deuda y mantener la credibilidad fiscal en base a déficits bajos (Hughes, 2008a;</w:t>
      </w:r>
      <w:r>
        <w:rPr>
          <w:spacing w:val="-9"/>
        </w:rPr>
        <w:t> </w:t>
      </w:r>
      <w:r>
        <w:rPr/>
        <w:t>2008b).</w:t>
      </w:r>
    </w:p>
    <w:p>
      <w:pPr>
        <w:pStyle w:val="BodyText"/>
        <w:spacing w:line="360" w:lineRule="auto" w:before="4"/>
        <w:ind w:left="102" w:right="119" w:firstLine="707"/>
        <w:jc w:val="both"/>
      </w:pPr>
      <w:r>
        <w:rPr/>
        <w:t>Desde el punto de vista institucional, De Mello (2005) argumentó que la introducción de normas institucionales relacionadas con techos presupuestarios de deuda  era un factor importante en la sostenibilidad de deuda de largo plazo. Anteriormente, Manasse (2007) estudió los efectos de reglas fiscales de varias economías de Europa del Este, comparándose gobiernos en ausencia de disciplina fiscal durante épocas de recesión. Los resultados mostraron que los límites de presupuestos actuaban inefectivamente ante la presencia largos déficits históricos, y de forma general, estos límites eran incumplidos en la mayoría del tiempo. Ante ello, el incumplimiento de las reglas fiscales no implicaba que fueran inefectivas, sin embargo, en ausencia de las mismas, probablemente los resultados hubieran sido</w:t>
      </w:r>
      <w:r>
        <w:rPr>
          <w:spacing w:val="-5"/>
        </w:rPr>
        <w:t> </w:t>
      </w:r>
      <w:r>
        <w:rPr/>
        <w:t>peores.</w:t>
      </w:r>
    </w:p>
    <w:p>
      <w:pPr>
        <w:pStyle w:val="BodyText"/>
        <w:spacing w:line="360" w:lineRule="auto" w:before="4"/>
        <w:ind w:left="102" w:right="116" w:firstLine="707"/>
        <w:jc w:val="both"/>
      </w:pPr>
      <w:r>
        <w:rPr/>
        <w:t>Las reglas fiscales usualmente acostumbraban a introducir una cláusula de escape acorde a los tiempos cíclicos, por lo cual, eran incumplidas en épocas de recesión (Flood &amp; Isard, 1989; Lohmann, 1992).</w:t>
      </w:r>
    </w:p>
    <w:p>
      <w:pPr>
        <w:pStyle w:val="BodyText"/>
        <w:spacing w:line="360" w:lineRule="auto" w:before="6"/>
        <w:ind w:left="102" w:right="115" w:firstLine="707"/>
        <w:jc w:val="both"/>
      </w:pPr>
      <w:r>
        <w:rPr/>
        <w:t>En el </w:t>
      </w:r>
      <w:r>
        <w:rPr>
          <w:i/>
        </w:rPr>
        <w:t>anexo 1.1</w:t>
      </w:r>
      <w:r>
        <w:rPr/>
        <w:t>. se enlistan las reglas fiscales que han sido adoptadas por diversos países. De forma general, las evidencias empíricas demuestran que las normas  de  disciplina fiscal consisten en la fijación de límites de </w:t>
      </w:r>
      <w:r>
        <w:rPr>
          <w:i/>
        </w:rPr>
        <w:t>déficit, endeudamiento </w:t>
      </w:r>
      <w:r>
        <w:rPr/>
        <w:t>y </w:t>
      </w:r>
      <w:r>
        <w:rPr>
          <w:i/>
        </w:rPr>
        <w:t>gasto </w:t>
      </w:r>
      <w:r>
        <w:rPr>
          <w:i/>
        </w:rPr>
        <w:t>público</w:t>
      </w:r>
      <w:r>
        <w:rPr/>
        <w:t>, orientados al mediano y largo plazo. En ciertos casos estas directrices están direccionadas a ajustes presupuestarios en función del ciclo económico (Reino Unido); a suavizar el gasto público en función de </w:t>
      </w:r>
      <w:r>
        <w:rPr>
          <w:i/>
        </w:rPr>
        <w:t>choques </w:t>
      </w:r>
      <w:r>
        <w:rPr/>
        <w:t>al ingreso, </w:t>
      </w:r>
      <w:r>
        <w:rPr>
          <w:spacing w:val="-3"/>
        </w:rPr>
        <w:t>ya </w:t>
      </w:r>
      <w:r>
        <w:rPr/>
        <w:t>sean permanentes o temporales (Japón); con base en los límites establecidos por uniones económicas (Eurozona); en consideración con el crecimiento económico proyectado (Rumania); o a partir de recortes presupuestarios con el fin de crear fondos de estabilización</w:t>
      </w:r>
      <w:r>
        <w:rPr>
          <w:spacing w:val="-16"/>
        </w:rPr>
        <w:t> </w:t>
      </w:r>
      <w:r>
        <w:rPr/>
        <w:t>(EEUU).</w:t>
      </w:r>
    </w:p>
    <w:p>
      <w:pPr>
        <w:spacing w:after="0" w:line="360" w:lineRule="auto"/>
        <w:jc w:val="both"/>
        <w:sectPr>
          <w:pgSz w:w="12250" w:h="15850"/>
          <w:pgMar w:header="0" w:footer="1037" w:top="1360" w:bottom="1220" w:left="1600" w:right="1580"/>
        </w:sectPr>
      </w:pPr>
    </w:p>
    <w:p>
      <w:pPr>
        <w:pStyle w:val="BodyText"/>
        <w:spacing w:line="360" w:lineRule="auto" w:before="50"/>
        <w:ind w:left="102" w:right="115" w:firstLine="707"/>
        <w:jc w:val="both"/>
      </w:pPr>
      <w:r>
        <w:rPr/>
        <w:t>En el caso de las economías latinoamericanas, se han implementado diversos tipos de reglas fiscales: a) el incremento del gasto público no puede exceder a la tasa estimada de crecimiento del PIB nominal (Argentina); b) senda decreciente del déficit fiscal y de la deuda pública para el mediano y largo plazo (Colombia); c) la regla fiscal de oro donde el gasto corriente se limita al ingreso corriente (México); d) techos presupuestarios de gasto y de deuda pública (Brasil); e) límites en el déficit fiscal y en el incremento del consumo del gobierno (Perú); f) balances fiscales cíclicamente ajustados (Chile) (Rodríguez,</w:t>
      </w:r>
      <w:r>
        <w:rPr>
          <w:spacing w:val="-11"/>
        </w:rPr>
        <w:t> </w:t>
      </w:r>
      <w:r>
        <w:rPr/>
        <w:t>2011).</w:t>
      </w:r>
    </w:p>
    <w:p>
      <w:pPr>
        <w:pStyle w:val="BodyText"/>
        <w:spacing w:before="5"/>
        <w:rPr>
          <w:sz w:val="21"/>
        </w:rPr>
      </w:pPr>
    </w:p>
    <w:p>
      <w:pPr>
        <w:pStyle w:val="Heading4"/>
        <w:numPr>
          <w:ilvl w:val="2"/>
          <w:numId w:val="8"/>
        </w:numPr>
        <w:tabs>
          <w:tab w:pos="963" w:val="left" w:leader="none"/>
          <w:tab w:pos="964" w:val="left" w:leader="none"/>
        </w:tabs>
        <w:spacing w:line="240" w:lineRule="auto" w:before="0" w:after="0"/>
        <w:ind w:left="963" w:right="0" w:hanging="720"/>
        <w:jc w:val="left"/>
      </w:pPr>
      <w:bookmarkStart w:name="_bookmark23" w:id="40"/>
      <w:bookmarkEnd w:id="40"/>
      <w:r>
        <w:rPr>
          <w:b w:val="0"/>
        </w:rPr>
      </w:r>
      <w:bookmarkStart w:name="_bookmark23" w:id="41"/>
      <w:bookmarkEnd w:id="41"/>
      <w:r>
        <w:rPr/>
        <w:t>R</w:t>
      </w:r>
      <w:r>
        <w:rPr/>
        <w:t>eglas fiscales para países dependientes de recursos</w:t>
      </w:r>
      <w:r>
        <w:rPr>
          <w:spacing w:val="-11"/>
        </w:rPr>
        <w:t> </w:t>
      </w:r>
      <w:r>
        <w:rPr/>
        <w:t>naturales</w:t>
      </w:r>
    </w:p>
    <w:p>
      <w:pPr>
        <w:pStyle w:val="BodyText"/>
        <w:rPr>
          <w:b/>
          <w:sz w:val="29"/>
        </w:rPr>
      </w:pPr>
    </w:p>
    <w:p>
      <w:pPr>
        <w:pStyle w:val="BodyText"/>
        <w:spacing w:line="360" w:lineRule="auto"/>
        <w:ind w:left="102" w:right="118" w:firstLine="707"/>
        <w:jc w:val="both"/>
      </w:pPr>
      <w:r>
        <w:rPr/>
        <w:t>De acuerdo con el FMI (2005), aquellos países petroleros que presentan  bajos índices de efectividad gubernamental y ausencia de reglas fiscales tienden a incrementar su nivel de gasto y a deteriorar su sostenibilidad fiscal de largo plazo.</w:t>
      </w:r>
    </w:p>
    <w:p>
      <w:pPr>
        <w:pStyle w:val="BodyText"/>
        <w:spacing w:line="360" w:lineRule="auto" w:before="6"/>
        <w:ind w:left="102" w:right="117" w:firstLine="707"/>
        <w:jc w:val="both"/>
      </w:pPr>
      <w:r>
        <w:rPr/>
        <w:t>Adicionalmente, se ha evidenciado que en países como Venezuela, Colombia y Argentina, han existido choques permanentes en el gasto público derivados del incremento en los precios de las materias primas de exportación  (Medina, 2010).</w:t>
      </w:r>
    </w:p>
    <w:p>
      <w:pPr>
        <w:pStyle w:val="BodyText"/>
        <w:spacing w:line="360" w:lineRule="auto" w:before="4"/>
        <w:ind w:left="102" w:right="114" w:firstLine="707"/>
        <w:jc w:val="both"/>
      </w:pPr>
      <w:r>
        <w:rPr/>
        <w:t>La experiencia con el </w:t>
      </w:r>
      <w:r>
        <w:rPr>
          <w:i/>
        </w:rPr>
        <w:t>boom </w:t>
      </w:r>
      <w:r>
        <w:rPr/>
        <w:t>de precios enfatiza la importancia de las instituciones con el fin de determinar la sostenibilidad de la política fiscal. La evidencia empírica revela que la calidad de las instituciones es relevante en la política fiscal. Así por ejemplo, se ha demostrado que la transparencia de la administración pública genera menores niveles de corrupción y efectos favorables en la variación del gasto público (austeridad); el balance fiscal no petrolero; o  en la actividad económica (Ossowski, et al., 2008; Manasse, 2006).</w:t>
      </w:r>
    </w:p>
    <w:p>
      <w:pPr>
        <w:pStyle w:val="BodyText"/>
        <w:spacing w:line="360" w:lineRule="auto" w:before="4"/>
        <w:ind w:left="102" w:right="116" w:firstLine="707"/>
        <w:jc w:val="both"/>
      </w:pPr>
      <w:r>
        <w:rPr/>
        <w:t>La discusión teórica se centra en cómo establecer las reglas fiscales apropiadas para una economía petrolera. Por un lado, se argumenta que la generación de fondos de reservas, durante épocas de auge, es el mecanismo más adecuado. Los países petroleros deben restringir su máximo déficit petrolero a los ingresos generados por dicho fondo (Medas &amp; Zakharova, 2009). Por otra parte, se justifica que no necesariamente se debe constituir un fondo para depositar los ingresos petroleros, puesto que ciertas economías  emergentes (ricas en petroleo), presentan restricciones de capital, por tanto, los ingresos petroleros deben canalizarse hacia la inversión pública (Baunsgaard, et al., 2012; Venables, 2010; Collier, et al., 2009).</w:t>
      </w:r>
    </w:p>
    <w:p>
      <w:pPr>
        <w:spacing w:after="0" w:line="360" w:lineRule="auto"/>
        <w:jc w:val="both"/>
        <w:sectPr>
          <w:pgSz w:w="12250" w:h="15850"/>
          <w:pgMar w:header="0" w:footer="1037" w:top="1360" w:bottom="1220" w:left="1600" w:right="1580"/>
        </w:sectPr>
      </w:pPr>
    </w:p>
    <w:p>
      <w:pPr>
        <w:pStyle w:val="BodyText"/>
        <w:spacing w:line="360" w:lineRule="auto" w:before="50"/>
        <w:ind w:left="102" w:right="117" w:firstLine="707"/>
        <w:jc w:val="both"/>
      </w:pPr>
      <w:r>
        <w:rPr/>
        <w:t>La intuición y lógica económica podría sugerir que países que tienen la abundancia de un recurso natural, y a la vez tienen escacez de capital (e.g. Bolivia, Colombia, Venezuela, México) deberían canalizar sus ingresos petroleros hacia la inversión pública. Sin embargo, esta postura trae dos contraposiciones más: (i) a mayor inversión pública mayor crecimiento del sector no transable y mayor estancamiento en el largo plazo (Sachs &amp; Warner, 1995); (ii) la inversión pública tiene baja productividad y su impacto social es mínimo  (Robinson, et al.,</w:t>
      </w:r>
      <w:r>
        <w:rPr>
          <w:spacing w:val="-4"/>
        </w:rPr>
        <w:t> </w:t>
      </w:r>
      <w:r>
        <w:rPr/>
        <w:t>2006).</w:t>
      </w:r>
    </w:p>
    <w:p>
      <w:pPr>
        <w:pStyle w:val="BodyText"/>
        <w:spacing w:line="360" w:lineRule="auto" w:before="4"/>
        <w:ind w:left="102" w:right="117" w:firstLine="707"/>
        <w:jc w:val="both"/>
      </w:pPr>
      <w:r>
        <w:rPr/>
        <w:t>En resumen, una regla fiscal basada en canalizar los ingresos petroleros a la inversión pública sería una  alternativa más coherente para economías emergentes, siempre y cuando esté basada en criterios de alta productividad y de rendimiento social  significativo. Aunque, esta recomendación de política podría con llevar a algunas características de enfermedad holandesa en el largo plazo. Para ello, se hace necesario un diseño con características que incluyan las fases del ciclo económico, encierren límites sobre los instrumentos fiscales y la deuda pública, así como la consideración de una prospectiva temporal y elementos</w:t>
      </w:r>
      <w:r>
        <w:rPr>
          <w:spacing w:val="-7"/>
        </w:rPr>
        <w:t> </w:t>
      </w:r>
      <w:r>
        <w:rPr/>
        <w:t>institucionales.</w:t>
      </w:r>
    </w:p>
    <w:p>
      <w:pPr>
        <w:pStyle w:val="BodyText"/>
        <w:spacing w:before="1"/>
        <w:rPr>
          <w:sz w:val="32"/>
        </w:rPr>
      </w:pPr>
    </w:p>
    <w:p>
      <w:pPr>
        <w:pStyle w:val="Heading4"/>
        <w:ind w:left="102" w:right="127" w:firstLine="0"/>
      </w:pPr>
      <w:bookmarkStart w:name="_bookmark24" w:id="42"/>
      <w:bookmarkEnd w:id="42"/>
      <w:r>
        <w:rPr>
          <w:b w:val="0"/>
        </w:rPr>
      </w:r>
      <w:r>
        <w:rPr/>
        <w:t>Síntesis</w:t>
      </w:r>
    </w:p>
    <w:p>
      <w:pPr>
        <w:pStyle w:val="BodyText"/>
        <w:spacing w:before="3"/>
        <w:rPr>
          <w:b/>
          <w:sz w:val="27"/>
        </w:rPr>
      </w:pPr>
    </w:p>
    <w:p>
      <w:pPr>
        <w:pStyle w:val="BodyText"/>
        <w:spacing w:line="360" w:lineRule="auto" w:before="1"/>
        <w:ind w:left="102" w:right="115" w:firstLine="707"/>
        <w:jc w:val="both"/>
      </w:pPr>
      <w:r>
        <w:rPr/>
        <w:t>Existe una diferenciación entre posición y sostenibilidad fiscal en función del tiempo. </w:t>
      </w:r>
      <w:r>
        <w:rPr>
          <w:spacing w:val="-3"/>
        </w:rPr>
        <w:t>La </w:t>
      </w:r>
      <w:r>
        <w:rPr/>
        <w:t>primera comprende el corto y mediano plazo, la segunda implica niveles estables en el largo plazo entre balance fiscal y el endeudamiento público, por tanto, existe sostenibilidad fiscal cuando los gobiernos tienen solvencia y capacidad para garantizar el pago de la deuda soberana, dicha evaluación puede ser realizada mediante tres mecanismos: el equilibrio de las finanzas públicas en el largo plazo; la función de reacción fiscal; el análisis de la posición fiscal</w:t>
      </w:r>
      <w:r>
        <w:rPr>
          <w:spacing w:val="-6"/>
        </w:rPr>
        <w:t> </w:t>
      </w:r>
      <w:r>
        <w:rPr/>
        <w:t>sostenible.</w:t>
      </w:r>
    </w:p>
    <w:p>
      <w:pPr>
        <w:pStyle w:val="BodyText"/>
        <w:spacing w:line="360" w:lineRule="auto" w:before="4"/>
        <w:ind w:left="102" w:right="120" w:firstLine="707"/>
        <w:jc w:val="both"/>
      </w:pPr>
      <w:r>
        <w:rPr/>
        <w:t>En países cuyas finanzas públicas dependen en gran medida de un recurso natural (mayor o igual al 20% de los ingresos fiscales totales) es conveniente hacer una diferenciación entre el balance fiscal petrolero y no petrolero, debido a que la omisión de esta comparación podría derivar en conclusiones erradas sobre la sostenibilidad fiscal del país.</w:t>
      </w:r>
    </w:p>
    <w:p>
      <w:pPr>
        <w:pStyle w:val="BodyText"/>
        <w:spacing w:line="362" w:lineRule="auto" w:before="4"/>
        <w:ind w:left="102" w:firstLine="707"/>
      </w:pPr>
      <w:r>
        <w:rPr/>
        <w:t>En el contexto latinoamericano, se ha evidenciado sostenibilidad fiscal en aquellos países donde: la deuda pública ha sido estable en el largo plazo; no ha existido un  deterioro</w:t>
      </w:r>
    </w:p>
    <w:p>
      <w:pPr>
        <w:spacing w:after="0" w:line="362" w:lineRule="auto"/>
        <w:sectPr>
          <w:pgSz w:w="12250" w:h="15850"/>
          <w:pgMar w:header="0" w:footer="1037" w:top="1360" w:bottom="1220" w:left="1600" w:right="1580"/>
        </w:sectPr>
      </w:pPr>
    </w:p>
    <w:p>
      <w:pPr>
        <w:pStyle w:val="BodyText"/>
        <w:spacing w:line="360" w:lineRule="auto" w:before="50"/>
        <w:ind w:left="102" w:right="118"/>
        <w:jc w:val="both"/>
      </w:pPr>
      <w:r>
        <w:rPr/>
        <w:t>del balance fiscal frente a incrementos de la deuda pública; y se han incluido techos de deuda en los diferentes niveles de gobierno. De forma contraria, la insostenibilidad fiscal ha provenido de: largos períodos de balances fiscales negativos; aumento de déficits originado por incrementos de deuda pública; baja relación de largo plazo entre los ingresos y gastos fiscales.</w:t>
      </w:r>
    </w:p>
    <w:p>
      <w:pPr>
        <w:pStyle w:val="BodyText"/>
        <w:spacing w:line="360" w:lineRule="auto" w:before="4"/>
        <w:ind w:left="102" w:right="114" w:firstLine="707"/>
        <w:jc w:val="both"/>
      </w:pPr>
      <w:r>
        <w:rPr/>
        <w:t>En el contexto de la economía boliviana, los estudios relacionados revelaron insostenibilidad fiscal dado el deterioro progresivo del balance fiscal no petrolero y frente a impactos negativos provenientes de los precios de las materias primas.</w:t>
      </w:r>
    </w:p>
    <w:p>
      <w:pPr>
        <w:pStyle w:val="BodyText"/>
        <w:spacing w:line="360" w:lineRule="auto" w:before="7"/>
        <w:ind w:left="102" w:right="118" w:firstLine="707"/>
        <w:jc w:val="both"/>
      </w:pPr>
      <w:r>
        <w:rPr/>
        <w:t>Para países exportadores que dependen de recursos naturales, se suele medir la orientación de la política fiscal en función de los componentes cíclicos desagregados del gasto público con relación al precio del recurso natural y de la actividad económica. Otra medición alternativa consiste en observar los cambios en el balance primario no petrolero al ajustar los componentes de ingreso y gasto a las fluctuaciones de precios internacionales y la brecha del producto, determinando de esta forma la orientación de la posición fiscal (expansiva o contractiva) y su orientación fiscal (procíclica, contracíclica o</w:t>
      </w:r>
      <w:r>
        <w:rPr>
          <w:spacing w:val="-17"/>
        </w:rPr>
        <w:t> </w:t>
      </w:r>
      <w:r>
        <w:rPr/>
        <w:t>neutral).</w:t>
      </w:r>
    </w:p>
    <w:p>
      <w:pPr>
        <w:pStyle w:val="BodyText"/>
        <w:spacing w:line="360" w:lineRule="auto" w:before="4"/>
        <w:ind w:left="102" w:right="115" w:firstLine="707"/>
        <w:jc w:val="both"/>
      </w:pPr>
      <w:r>
        <w:rPr/>
        <w:t>La orientación de la política fiscal permite determinar si el gobierno cumple su rol fiscal: la postura neoclásica sugiere una orientación neutral y la postura Keynesiana recomienda una orientación contracíclica. Economías latinoamericanas exportadoras de recursos naturales han evidenciado una orientación fiscal procíclica a las fluctuaciones de precios internacionales y a la actividad económica interna.</w:t>
      </w:r>
    </w:p>
    <w:p>
      <w:pPr>
        <w:pStyle w:val="BodyText"/>
        <w:spacing w:line="360" w:lineRule="auto" w:before="6"/>
        <w:ind w:left="102" w:right="116" w:firstLine="707"/>
        <w:jc w:val="both"/>
      </w:pPr>
      <w:r>
        <w:rPr/>
        <w:t>Para comprender las fluctuaciones de precios internacionales de recursos naturales  es necesario estudiar los factores teóricos que inciden en la organización de mercados de  los recursos naturales y sus aspectos institucionales. La teoría económica demuestra que mercados imperfectos (monopolios, duopolios y carteles) asignan precios más elevados en comparación con mercados competitivos. A nivel de mercados locales, ha existido una tendencia cíclica de nacionalización y privatización de industrias energéticas, cuyas decisiones han estado correlacionadas con el nivel de precios de los mercados internacionales y el nivel de eficiencia pública (aspectos</w:t>
      </w:r>
      <w:r>
        <w:rPr>
          <w:spacing w:val="-11"/>
        </w:rPr>
        <w:t> </w:t>
      </w:r>
      <w:r>
        <w:rPr/>
        <w:t>institucionales).</w:t>
      </w:r>
    </w:p>
    <w:p>
      <w:pPr>
        <w:pStyle w:val="BodyText"/>
        <w:spacing w:line="360" w:lineRule="auto" w:before="4"/>
        <w:ind w:left="102" w:right="114" w:firstLine="707"/>
        <w:jc w:val="both"/>
      </w:pPr>
      <w:r>
        <w:rPr/>
        <w:t>En el contexto de países exportadores de petróleo se ha evidenciado que las perturbaciones negativas en los precios de los recursos naturales influyen en: a)  generación</w:t>
      </w:r>
    </w:p>
    <w:p>
      <w:pPr>
        <w:spacing w:after="0" w:line="360" w:lineRule="auto"/>
        <w:jc w:val="both"/>
        <w:sectPr>
          <w:pgSz w:w="12250" w:h="15850"/>
          <w:pgMar w:header="0" w:footer="1037" w:top="1360" w:bottom="1220" w:left="1600" w:right="1580"/>
        </w:sectPr>
      </w:pPr>
    </w:p>
    <w:p>
      <w:pPr>
        <w:pStyle w:val="BodyText"/>
        <w:spacing w:line="360" w:lineRule="auto" w:before="50"/>
        <w:ind w:left="102" w:right="127"/>
      </w:pPr>
      <w:r>
        <w:rPr/>
        <w:t>de fases de recesión económica; b) incremento de la volatilidad macroeconómica; c) insostenibilidad fiscal.</w:t>
      </w:r>
    </w:p>
    <w:p>
      <w:pPr>
        <w:pStyle w:val="BodyText"/>
        <w:spacing w:line="360" w:lineRule="auto" w:before="6"/>
        <w:ind w:left="102" w:right="117" w:firstLine="707"/>
        <w:jc w:val="both"/>
      </w:pPr>
      <w:r>
        <w:rPr/>
        <w:t>Para mitigar los choques de precios internacionales de recursos naturales en  América Latina se han utilizado políticas públicas basadas en la política económica:  política fiscal (bajos déficits fiscales), política monetaria (oferta monetaria en función de choques externos e internos) y política cambiaria (tipo de cambio flexible o</w:t>
      </w:r>
      <w:r>
        <w:rPr>
          <w:spacing w:val="-12"/>
        </w:rPr>
        <w:t> </w:t>
      </w:r>
      <w:r>
        <w:rPr/>
        <w:t>dirigido).</w:t>
      </w:r>
    </w:p>
    <w:p>
      <w:pPr>
        <w:pStyle w:val="BodyText"/>
        <w:spacing w:line="360" w:lineRule="auto" w:before="6"/>
        <w:ind w:left="102" w:right="122" w:firstLine="707"/>
        <w:jc w:val="both"/>
      </w:pPr>
      <w:r>
        <w:rPr/>
        <w:t>Las reglas fiscales son arreglos institucionales alternativos para la mitigación de choques de precios internacionales. Desde el punto de vista teórico, las reglas fiscales reducen el oportunismo del gobierno y mejoran la eficiencia de las instituciones, así como coadyuvan a promover la sostenibilidad fiscal.</w:t>
      </w:r>
    </w:p>
    <w:p>
      <w:pPr>
        <w:pStyle w:val="BodyText"/>
        <w:spacing w:line="360" w:lineRule="auto" w:before="6"/>
        <w:ind w:left="102" w:right="117" w:firstLine="707"/>
        <w:jc w:val="both"/>
      </w:pPr>
      <w:r>
        <w:rPr/>
        <w:t>Las reglas fiscales tradicionales se basan en límites cuantitativos para techos de deuda pública, déficit fiscal y gasto público. En el caso de países que dependen de recursos naturales existen dos posturas contrarias sobre el establecimiento de reglas fiscales: ahorrar los ingresos fiscales derivados del recurso natural (postura neoclásica) o canalizarlos a la inversión pública (postura Keynesiana).</w:t>
      </w:r>
    </w:p>
    <w:p>
      <w:pPr>
        <w:spacing w:after="0" w:line="360" w:lineRule="auto"/>
        <w:jc w:val="both"/>
        <w:sectPr>
          <w:pgSz w:w="12250" w:h="15850"/>
          <w:pgMar w:header="0" w:footer="1037" w:top="1360" w:bottom="1220" w:left="1600" w:right="1580"/>
        </w:sectPr>
      </w:pPr>
    </w:p>
    <w:p>
      <w:pPr>
        <w:tabs>
          <w:tab w:pos="1508" w:val="left" w:leader="none"/>
          <w:tab w:pos="2021" w:val="left" w:leader="none"/>
          <w:tab w:pos="5768" w:val="left" w:leader="none"/>
        </w:tabs>
        <w:spacing w:line="400" w:lineRule="auto" w:before="54"/>
        <w:ind w:left="102" w:right="114" w:firstLine="0"/>
        <w:jc w:val="left"/>
        <w:rPr>
          <w:b/>
          <w:sz w:val="22"/>
        </w:rPr>
      </w:pPr>
      <w:bookmarkStart w:name="_bookmark25" w:id="43"/>
      <w:bookmarkEnd w:id="43"/>
      <w:r>
        <w:rPr/>
      </w:r>
      <w:r>
        <w:rPr>
          <w:b/>
          <w:sz w:val="28"/>
        </w:rPr>
        <w:t>C</w:t>
      </w:r>
      <w:r>
        <w:rPr>
          <w:b/>
          <w:sz w:val="22"/>
        </w:rPr>
        <w:t>APÍTULO</w:t>
        <w:tab/>
      </w:r>
      <w:r>
        <w:rPr>
          <w:b/>
          <w:sz w:val="28"/>
        </w:rPr>
        <w:t>II:</w:t>
        <w:tab/>
        <w:t>E</w:t>
      </w:r>
      <w:r>
        <w:rPr>
          <w:b/>
          <w:sz w:val="22"/>
        </w:rPr>
        <w:t>STRUCTURA  </w:t>
      </w:r>
      <w:r>
        <w:rPr>
          <w:b/>
          <w:spacing w:val="19"/>
          <w:sz w:val="22"/>
        </w:rPr>
        <w:t> </w:t>
      </w:r>
      <w:r>
        <w:rPr>
          <w:b/>
          <w:sz w:val="22"/>
        </w:rPr>
        <w:t>DEL  </w:t>
      </w:r>
      <w:r>
        <w:rPr>
          <w:b/>
          <w:spacing w:val="19"/>
          <w:sz w:val="22"/>
        </w:rPr>
        <w:t> </w:t>
      </w:r>
      <w:r>
        <w:rPr>
          <w:b/>
          <w:sz w:val="22"/>
        </w:rPr>
        <w:t>MERCADO</w:t>
        <w:tab/>
        <w:t>INTERNACIONAL  </w:t>
      </w:r>
      <w:r>
        <w:rPr>
          <w:b/>
          <w:spacing w:val="17"/>
          <w:sz w:val="22"/>
        </w:rPr>
        <w:t> </w:t>
      </w:r>
      <w:r>
        <w:rPr>
          <w:b/>
          <w:sz w:val="22"/>
        </w:rPr>
        <w:t>DEL  </w:t>
      </w:r>
      <w:r>
        <w:rPr>
          <w:b/>
          <w:spacing w:val="19"/>
          <w:sz w:val="22"/>
        </w:rPr>
        <w:t> </w:t>
      </w:r>
      <w:r>
        <w:rPr>
          <w:b/>
          <w:sz w:val="22"/>
        </w:rPr>
        <w:t>GAS</w:t>
      </w:r>
      <w:r>
        <w:rPr>
          <w:b/>
          <w:w w:val="100"/>
          <w:sz w:val="22"/>
        </w:rPr>
        <w:t> </w:t>
      </w:r>
      <w:r>
        <w:rPr>
          <w:b/>
          <w:spacing w:val="-4"/>
          <w:sz w:val="22"/>
        </w:rPr>
        <w:t>NATURAL</w:t>
      </w:r>
      <w:r>
        <w:rPr>
          <w:b/>
          <w:spacing w:val="-18"/>
          <w:sz w:val="22"/>
        </w:rPr>
        <w:t> </w:t>
      </w:r>
      <w:r>
        <w:rPr>
          <w:b/>
          <w:sz w:val="22"/>
        </w:rPr>
        <w:t>Y</w:t>
      </w:r>
      <w:r>
        <w:rPr>
          <w:b/>
          <w:spacing w:val="-3"/>
          <w:sz w:val="22"/>
        </w:rPr>
        <w:t> </w:t>
      </w:r>
      <w:r>
        <w:rPr>
          <w:b/>
          <w:sz w:val="22"/>
        </w:rPr>
        <w:t>SU</w:t>
      </w:r>
      <w:r>
        <w:rPr>
          <w:b/>
          <w:spacing w:val="1"/>
          <w:sz w:val="22"/>
        </w:rPr>
        <w:t> </w:t>
      </w:r>
      <w:r>
        <w:rPr>
          <w:b/>
          <w:spacing w:val="-4"/>
          <w:sz w:val="22"/>
        </w:rPr>
        <w:t>IMPORTANCIA</w:t>
      </w:r>
      <w:r>
        <w:rPr>
          <w:b/>
          <w:spacing w:val="-11"/>
          <w:sz w:val="22"/>
        </w:rPr>
        <w:t> </w:t>
      </w:r>
      <w:r>
        <w:rPr>
          <w:b/>
          <w:sz w:val="22"/>
        </w:rPr>
        <w:t>EN</w:t>
      </w:r>
      <w:r>
        <w:rPr>
          <w:b/>
          <w:spacing w:val="2"/>
          <w:sz w:val="22"/>
        </w:rPr>
        <w:t> </w:t>
      </w:r>
      <w:r>
        <w:rPr>
          <w:b/>
          <w:sz w:val="22"/>
        </w:rPr>
        <w:t>LA</w:t>
      </w:r>
      <w:r>
        <w:rPr>
          <w:b/>
          <w:spacing w:val="-11"/>
          <w:sz w:val="22"/>
        </w:rPr>
        <w:t> </w:t>
      </w:r>
      <w:r>
        <w:rPr>
          <w:b/>
          <w:sz w:val="22"/>
        </w:rPr>
        <w:t>ECONOMÍA</w:t>
      </w:r>
      <w:r>
        <w:rPr>
          <w:b/>
          <w:spacing w:val="-12"/>
          <w:sz w:val="22"/>
        </w:rPr>
        <w:t> </w:t>
      </w:r>
      <w:r>
        <w:rPr>
          <w:b/>
          <w:sz w:val="22"/>
        </w:rPr>
        <w:t>BOLIVIANA</w:t>
      </w:r>
    </w:p>
    <w:p>
      <w:pPr>
        <w:pStyle w:val="BodyText"/>
        <w:spacing w:line="360" w:lineRule="auto" w:before="186"/>
        <w:ind w:left="102" w:right="117" w:firstLine="707"/>
        <w:jc w:val="both"/>
      </w:pPr>
      <w:r>
        <w:rPr/>
        <w:t>En el capítulo anterior, se concluyó que las reglas fiscales para países dependientes de recursos naturales son arreglos institucionales para la asignación de los ingresos fiscales del recurso natural con determinaciones sobre el gasto público, los resultados fiscales y la deuda pública. Para el caso de Bolivia, es necesario conocer el funcionamiento  del  mercado del gas natural debido a que es el recurso natural que más incide sobre sus  finanzas públicas, tal como se demuestra en lo</w:t>
      </w:r>
      <w:r>
        <w:rPr>
          <w:spacing w:val="-7"/>
        </w:rPr>
        <w:t> </w:t>
      </w:r>
      <w:r>
        <w:rPr/>
        <w:t>posterior.</w:t>
      </w:r>
    </w:p>
    <w:p>
      <w:pPr>
        <w:pStyle w:val="BodyText"/>
        <w:spacing w:line="360" w:lineRule="auto" w:before="4"/>
        <w:ind w:left="102" w:right="119" w:firstLine="707"/>
        <w:jc w:val="both"/>
      </w:pPr>
      <w:r>
        <w:rPr/>
        <w:t>El gas natural se caracteriza por ser el combustible fósil de mayor crecimiento en la producción y el consumo mundial. Las fortalezas de este energético se centran en la economicidad de su precio y en una baja emisión de dióxido de carbono en comparación con el petróleo y el carbono (Energy Information Administration EIA - U.S., 2011).</w:t>
      </w:r>
    </w:p>
    <w:p>
      <w:pPr>
        <w:pStyle w:val="BodyText"/>
        <w:spacing w:line="360" w:lineRule="auto" w:before="4"/>
        <w:ind w:left="102" w:right="119" w:firstLine="707"/>
        <w:jc w:val="both"/>
      </w:pPr>
      <w:r>
        <w:rPr/>
        <w:t>La literatura tradicional sostiene que el precio del gas natural está determinado por  la resolución simultánea de funciones de oferta y demanda de este recurso energético (Ibrahim, 2009; Gabriel, et al., 2001; Murphy, et al.,</w:t>
      </w:r>
      <w:r>
        <w:rPr>
          <w:spacing w:val="-8"/>
        </w:rPr>
        <w:t> </w:t>
      </w:r>
      <w:r>
        <w:rPr/>
        <w:t>1988).</w:t>
      </w:r>
    </w:p>
    <w:p>
      <w:pPr>
        <w:pStyle w:val="BodyText"/>
        <w:spacing w:line="360" w:lineRule="auto" w:before="6"/>
        <w:ind w:left="102" w:right="120" w:firstLine="707"/>
        <w:jc w:val="both"/>
      </w:pPr>
      <w:r>
        <w:rPr/>
        <w:t>Por el lado de la función de oferta se han considerado factores de producción, como las reservas de almacenamiento, la capacidad de producción y las expectativas de precios futuros (Secomandi, 2010; Gabriel, et al., 2005; Pepper &amp; Lo, 1971).</w:t>
      </w:r>
    </w:p>
    <w:p>
      <w:pPr>
        <w:pStyle w:val="BodyText"/>
        <w:spacing w:line="360" w:lineRule="auto" w:before="4"/>
        <w:ind w:left="102" w:right="118" w:firstLine="767"/>
        <w:jc w:val="both"/>
      </w:pPr>
      <w:r>
        <w:rPr/>
        <w:t>Por la función demanda se han tomado en cuenta factores como el PIB real de países industrializados (representando el ingreso), además del mismo precio del recurso energético (Krichene, 2005; Dahl &amp; Sterner, 1991; Bentzen &amp; Engsted,</w:t>
      </w:r>
      <w:r>
        <w:rPr>
          <w:spacing w:val="-14"/>
        </w:rPr>
        <w:t> </w:t>
      </w:r>
      <w:r>
        <w:rPr/>
        <w:t>1993).</w:t>
      </w:r>
    </w:p>
    <w:p>
      <w:pPr>
        <w:pStyle w:val="BodyText"/>
        <w:spacing w:line="360" w:lineRule="auto" w:before="6"/>
        <w:ind w:left="102" w:right="119" w:firstLine="707"/>
        <w:jc w:val="both"/>
      </w:pPr>
      <w:r>
        <w:rPr/>
        <w:t>En consecuencia la variabilidad de precios se vería explicada por desplazamientos de la función de oferta y demanda de mercado (</w:t>
      </w:r>
      <w:r>
        <w:rPr>
          <w:i/>
        </w:rPr>
        <w:t>es lo comúnmente aceptado- ad hoc</w:t>
      </w:r>
      <w:r>
        <w:rPr/>
        <w:t>). Adicionalmente, se ha evidenciado que las dinámicas de precios en el largo plazo están en función del poder de mercado y del agotamiento de los recursos (Zwart,</w:t>
      </w:r>
      <w:r>
        <w:rPr>
          <w:spacing w:val="-13"/>
        </w:rPr>
        <w:t> </w:t>
      </w:r>
      <w:r>
        <w:rPr/>
        <w:t>2009).</w:t>
      </w:r>
    </w:p>
    <w:p>
      <w:pPr>
        <w:pStyle w:val="BodyText"/>
        <w:spacing w:line="360" w:lineRule="auto" w:before="4"/>
        <w:ind w:left="102" w:right="120" w:firstLine="707"/>
        <w:jc w:val="both"/>
      </w:pPr>
      <w:r>
        <w:rPr/>
        <w:t>A diferencia del mercado mundial del petróleo, el mercado del gas natural se encuentra regionalizado, debido que los centros de explotación están localizados próximos  a sus centros de consumo, con el fin de evitar fuertes gastos representativos en transporte, [ya sea por tubería o por gas líquido</w:t>
      </w:r>
      <w:r>
        <w:rPr>
          <w:spacing w:val="-10"/>
        </w:rPr>
        <w:t> </w:t>
      </w:r>
      <w:r>
        <w:rPr/>
        <w:t>(LNG)].</w:t>
      </w:r>
    </w:p>
    <w:p>
      <w:pPr>
        <w:spacing w:after="0" w:line="360" w:lineRule="auto"/>
        <w:jc w:val="both"/>
        <w:sectPr>
          <w:pgSz w:w="12250" w:h="15850"/>
          <w:pgMar w:header="0" w:footer="1037" w:top="1360" w:bottom="1220" w:left="1600" w:right="1580"/>
        </w:sectPr>
      </w:pPr>
    </w:p>
    <w:p>
      <w:pPr>
        <w:pStyle w:val="BodyText"/>
        <w:spacing w:line="345" w:lineRule="auto" w:before="50"/>
        <w:ind w:left="122" w:right="114" w:firstLine="707"/>
        <w:jc w:val="both"/>
      </w:pPr>
      <w:r>
        <w:rPr/>
        <w:t>No obstante, mercados regionales utilizan precios referenciales provenientes de </w:t>
      </w:r>
      <w:r>
        <w:rPr>
          <w:i/>
        </w:rPr>
        <w:t>Henry Hub </w:t>
      </w:r>
      <w:r>
        <w:rPr/>
        <w:t>(HB-EEUU) y de </w:t>
      </w:r>
      <w:r>
        <w:rPr>
          <w:i/>
        </w:rPr>
        <w:t>National Balancing Point </w:t>
      </w:r>
      <w:r>
        <w:rPr/>
        <w:t>(NBP de Reino Unido - RU)</w:t>
      </w:r>
      <w:r>
        <w:rPr>
          <w:position w:val="11"/>
          <w:sz w:val="16"/>
        </w:rPr>
        <w:t>33 </w:t>
      </w:r>
      <w:r>
        <w:rPr/>
        <w:t>por caracterizarse como mercados competitivos (Mazighi, 2005).</w:t>
      </w:r>
    </w:p>
    <w:p>
      <w:pPr>
        <w:pStyle w:val="BodyText"/>
        <w:spacing w:line="360" w:lineRule="auto" w:before="20"/>
        <w:ind w:left="122" w:right="118" w:firstLine="707"/>
        <w:jc w:val="both"/>
      </w:pPr>
      <w:r>
        <w:rPr/>
        <w:t>Se ha demostrado que los precios del gas natural en EEUU, en términos generales, son más baratos (al tener una estructura de mercado más competitiva); el mercado asiático tiene los precios más altos por indexar los precio del gas natural a los precios del petróleo;  y los precios del gas europeo se sitúan entre las dos bandas anteriores debido a la estructura de mercados imperfectos  (Saif,</w:t>
      </w:r>
      <w:r>
        <w:rPr>
          <w:spacing w:val="-5"/>
        </w:rPr>
        <w:t> </w:t>
      </w:r>
      <w:r>
        <w:rPr/>
        <w:t>2006).</w:t>
      </w:r>
    </w:p>
    <w:p>
      <w:pPr>
        <w:pStyle w:val="BodyText"/>
        <w:spacing w:line="360" w:lineRule="auto" w:before="7"/>
        <w:ind w:left="122" w:right="115" w:firstLine="707"/>
        <w:jc w:val="both"/>
      </w:pPr>
      <w:r>
        <w:rPr/>
        <w:t>Otras investigaciones han demostrado una causalidad bivariada entre los precios del gas natural entre </w:t>
      </w:r>
      <w:r>
        <w:rPr>
          <w:i/>
        </w:rPr>
        <w:t>Henry Hub </w:t>
      </w:r>
      <w:r>
        <w:rPr/>
        <w:t>(EEUU) y </w:t>
      </w:r>
      <w:r>
        <w:rPr>
          <w:i/>
        </w:rPr>
        <w:t>National Balancing Point </w:t>
      </w:r>
      <w:r>
        <w:rPr/>
        <w:t>(RU), argumentándose que los envíos de gas líquido (LNG) a través del tras-atlántico, han fortalecido las co- variaciones de precios entre EEUU y Europa (Brown &amp; Yücel, 2008; 2009; Neumann, 2008; Kao &amp; Wan,</w:t>
      </w:r>
      <w:r>
        <w:rPr>
          <w:spacing w:val="-3"/>
        </w:rPr>
        <w:t> </w:t>
      </w:r>
      <w:r>
        <w:rPr/>
        <w:t>2009).</w:t>
      </w:r>
    </w:p>
    <w:p>
      <w:pPr>
        <w:pStyle w:val="BodyText"/>
        <w:spacing w:line="360" w:lineRule="auto" w:before="4"/>
        <w:ind w:left="122" w:right="114" w:firstLine="707"/>
        <w:jc w:val="both"/>
      </w:pPr>
      <w:r>
        <w:rPr/>
        <w:t>La importancia del gas natural en la economía boliviana se fundamenta en su alta participación en los ingresos fiscales de Bolivia, por lo que es considerado como un posible factor determinante de la posición fiscal para este país.</w:t>
      </w:r>
    </w:p>
    <w:p>
      <w:pPr>
        <w:pStyle w:val="BodyText"/>
        <w:spacing w:line="360" w:lineRule="auto" w:before="6"/>
        <w:ind w:left="122" w:right="116" w:firstLine="707"/>
        <w:jc w:val="both"/>
      </w:pPr>
      <w:r>
        <w:rPr/>
        <w:t>De  esta  manera,  se  presentan  tres  objetivos   particulares  para  este   capítulo:   1] explicar la estructura del mercado internacional del gas natural y su perspectiva de largo plazo;  2] abordar una comprensión teórica sobre los factores que influyen en los precios  del  gas  natural,  en  especial  la  relación     proveniente  de  los  precios  del  petróleo;      3] explicar la importancia del gas natural en la economía boliviana, </w:t>
      </w:r>
      <w:r>
        <w:rPr>
          <w:spacing w:val="2"/>
        </w:rPr>
        <w:t>con </w:t>
      </w:r>
      <w:r>
        <w:rPr/>
        <w:t>principal énfasis en la fijación de los precios de exportación, la industria del gas natural, las inversiones, los mercados de exportación, la producción y el consumo, además de ofrecer una introducción sobre la importancia de este recurso natural en las finanzas públicas de</w:t>
      </w:r>
      <w:r>
        <w:rPr>
          <w:spacing w:val="-9"/>
        </w:rPr>
        <w:t> </w:t>
      </w:r>
      <w:r>
        <w:rPr/>
        <w:t>Bolivia.</w:t>
      </w:r>
    </w:p>
    <w:p>
      <w:pPr>
        <w:pStyle w:val="BodyText"/>
        <w:spacing w:line="360" w:lineRule="auto" w:before="4"/>
        <w:ind w:left="122" w:right="119" w:firstLine="707"/>
        <w:jc w:val="both"/>
      </w:pPr>
      <w:r>
        <w:rPr/>
        <w:t>Al final se explica el régimen actual de la asignación y distribución de ingresos hidrocarburíferos en Bolivia, así como una justificación sobre la asignación de ingresos fiscales al gasto e inversión pública al explicar por qué la postura neoclásica no es aplicable para este país basado en la contracción del producto real como criterio de bienestar social.</w:t>
      </w:r>
    </w:p>
    <w:p>
      <w:pPr>
        <w:pStyle w:val="BodyText"/>
        <w:rPr>
          <w:sz w:val="20"/>
        </w:rPr>
      </w:pPr>
    </w:p>
    <w:p>
      <w:pPr>
        <w:pStyle w:val="BodyText"/>
        <w:rPr>
          <w:sz w:val="10"/>
        </w:rPr>
      </w:pPr>
      <w:r>
        <w:rPr/>
        <w:pict>
          <v:line style="position:absolute;mso-position-horizontal-relative:page;mso-position-vertical-relative:paragraph;z-index:2848;mso-wrap-distance-left:0;mso-wrap-distance-right:0" from="85.103996pt,8.000749pt" to="229.123996pt,8.000749pt" stroked="true" strokeweight=".599980pt" strokecolor="#000000">
            <w10:wrap type="topAndBottom"/>
          </v:line>
        </w:pict>
      </w:r>
    </w:p>
    <w:p>
      <w:pPr>
        <w:spacing w:before="50"/>
        <w:ind w:left="122" w:right="123" w:firstLine="0"/>
        <w:jc w:val="both"/>
        <w:rPr>
          <w:sz w:val="20"/>
        </w:rPr>
      </w:pPr>
      <w:r>
        <w:rPr>
          <w:position w:val="9"/>
          <w:sz w:val="13"/>
        </w:rPr>
        <w:t>33 </w:t>
      </w:r>
      <w:r>
        <w:rPr>
          <w:sz w:val="20"/>
        </w:rPr>
        <w:t>Henry Hub es uno de los principales centros físicos para precios referenciales del gas natural en EEUU (Lousiana – Onshore South) (Cuddington &amp; Wang, 2006, p. 201). El National Balancing Point (NBP) es un centro referencial de precios para contratos futuros de gas natural que funciona como eje virtual y físico (Cartea &amp; Williams, 2007, p. 3)</w:t>
      </w:r>
    </w:p>
    <w:p>
      <w:pPr>
        <w:spacing w:after="0"/>
        <w:jc w:val="both"/>
        <w:rPr>
          <w:sz w:val="20"/>
        </w:rPr>
        <w:sectPr>
          <w:pgSz w:w="12250" w:h="15850"/>
          <w:pgMar w:header="0" w:footer="1037" w:top="1360" w:bottom="1220" w:left="1580" w:right="1580"/>
        </w:sectPr>
      </w:pPr>
    </w:p>
    <w:p>
      <w:pPr>
        <w:pStyle w:val="BodyText"/>
        <w:spacing w:line="360" w:lineRule="auto" w:before="50"/>
        <w:ind w:left="102" w:right="116" w:firstLine="707"/>
        <w:jc w:val="both"/>
      </w:pPr>
      <w:r>
        <w:rPr/>
        <w:t>Con base en lo explicado, este capítulo servirá como insumo de proyección para los precios y la producción del gas natural, cuyo propósito posterior (capítulo IV) será evaluar la trayectoria de la deuda pública en el corto y mediano plazo (2012 – 2016). Al final el documento se presenta una síntesis de los tópicos abordados.</w:t>
      </w:r>
    </w:p>
    <w:p>
      <w:pPr>
        <w:pStyle w:val="BodyText"/>
        <w:spacing w:before="7"/>
        <w:rPr>
          <w:sz w:val="21"/>
        </w:rPr>
      </w:pPr>
    </w:p>
    <w:p>
      <w:pPr>
        <w:pStyle w:val="Heading4"/>
        <w:numPr>
          <w:ilvl w:val="1"/>
          <w:numId w:val="10"/>
        </w:numPr>
        <w:tabs>
          <w:tab w:pos="677" w:val="left" w:leader="none"/>
          <w:tab w:pos="678" w:val="left" w:leader="none"/>
        </w:tabs>
        <w:spacing w:line="240" w:lineRule="auto" w:before="0" w:after="0"/>
        <w:ind w:left="678" w:right="0" w:hanging="576"/>
        <w:jc w:val="left"/>
      </w:pPr>
      <w:bookmarkStart w:name="_bookmark26" w:id="44"/>
      <w:bookmarkEnd w:id="44"/>
      <w:r>
        <w:rPr>
          <w:b w:val="0"/>
        </w:rPr>
      </w:r>
      <w:bookmarkStart w:name="_bookmark26" w:id="45"/>
      <w:bookmarkEnd w:id="45"/>
      <w:r>
        <w:rPr/>
        <w:t>E</w:t>
      </w:r>
      <w:r>
        <w:rPr/>
        <w:t>structura del mercado internacional de gas</w:t>
      </w:r>
      <w:r>
        <w:rPr>
          <w:spacing w:val="-8"/>
        </w:rPr>
        <w:t> </w:t>
      </w:r>
      <w:r>
        <w:rPr/>
        <w:t>natural</w:t>
      </w:r>
    </w:p>
    <w:p>
      <w:pPr>
        <w:pStyle w:val="BodyText"/>
        <w:rPr>
          <w:b/>
          <w:sz w:val="29"/>
        </w:rPr>
      </w:pPr>
    </w:p>
    <w:p>
      <w:pPr>
        <w:pStyle w:val="BodyText"/>
        <w:spacing w:line="360" w:lineRule="auto"/>
        <w:ind w:left="102" w:right="122" w:firstLine="707"/>
        <w:jc w:val="both"/>
      </w:pPr>
      <w:r>
        <w:rPr/>
        <w:t>La teoría microeconómica argumenta que la estructura del mercado es un factor decisivo para la determinación de precios de los bienes y servicios. En tal sentido, Siliverstovs, et al. (2005) al analizar los precios del gas natural entre Norte América, Europa y Asia, llegaron a la conclusión que existe una relación de largo plazo entre los precios de Europa y Japón, pero no así entre EEUU y las regiones</w:t>
      </w:r>
      <w:r>
        <w:rPr>
          <w:spacing w:val="-16"/>
        </w:rPr>
        <w:t> </w:t>
      </w:r>
      <w:r>
        <w:rPr/>
        <w:t>anteriores.</w:t>
      </w:r>
    </w:p>
    <w:p>
      <w:pPr>
        <w:pStyle w:val="BodyText"/>
        <w:spacing w:line="360" w:lineRule="auto" w:before="4"/>
        <w:ind w:left="102" w:right="116" w:firstLine="707"/>
        <w:jc w:val="both"/>
      </w:pPr>
      <w:r>
        <w:rPr/>
        <w:t>Por otra parte, se ha examinado que una posible formación de un cártel internacional proveniente de países exportadores del gas natural (como una estructura de mercado imperfecta) podría reducir el abastecimiento mundial y generar un incremento superior al 20% en su precio, afectando principalmente a Europa y Norte América (Egging, et al., 2009).</w:t>
      </w:r>
    </w:p>
    <w:p>
      <w:pPr>
        <w:pStyle w:val="BodyText"/>
        <w:spacing w:line="360" w:lineRule="auto" w:before="6"/>
        <w:ind w:left="102" w:right="118" w:firstLine="707"/>
        <w:jc w:val="both"/>
      </w:pPr>
      <w:r>
        <w:rPr/>
        <w:t>En el </w:t>
      </w:r>
      <w:r>
        <w:rPr>
          <w:i/>
        </w:rPr>
        <w:t>cuadro 2.1 </w:t>
      </w:r>
      <w:r>
        <w:rPr/>
        <w:t>se puede apreciar que Norte América representa la región con el mayor consumo y producción del gas natural mundial. Sin embargo, el Medio Oriente y Eurasia comprenden las mayores reservas de gas natural (76% del total mundial).</w:t>
      </w:r>
    </w:p>
    <w:p>
      <w:pPr>
        <w:pStyle w:val="BodyText"/>
        <w:spacing w:line="360" w:lineRule="auto" w:before="4"/>
        <w:ind w:left="102" w:right="116" w:firstLine="707"/>
        <w:jc w:val="both"/>
      </w:pPr>
      <w:r>
        <w:rPr/>
        <w:t>Las regiones de Medio Oriente, Centro y Sudamérica se han caracterizado por tener las mayores tasas de crecimiento en la producción y consumo del gas natural. No obstante, la zona de Eurasia presenta una de las mayores reservas mundiales, sin embargo, se han evidenciado en los últimos años tasas negativas en el crecimiento de la producción (</w:t>
      </w:r>
      <w:r>
        <w:rPr>
          <w:i/>
        </w:rPr>
        <w:t>véase </w:t>
      </w:r>
      <w:r>
        <w:rPr>
          <w:i/>
        </w:rPr>
        <w:t>cuadro 2.2</w:t>
      </w:r>
      <w:r>
        <w:rPr/>
        <w:t>), adicionalmente, también se ha observado una contracción en la producción del gas natural en Europa.</w:t>
      </w:r>
    </w:p>
    <w:p>
      <w:pPr>
        <w:pStyle w:val="BodyText"/>
        <w:spacing w:line="360" w:lineRule="auto" w:before="6"/>
        <w:ind w:left="102" w:right="122" w:firstLine="707"/>
        <w:jc w:val="both"/>
      </w:pPr>
      <w:r>
        <w:rPr/>
        <w:t>En esta sección se describen las principales características del mercado del gas natural en América, en la región europea y asiática, poniendo principal atención en los mecanismos de fijación de precio, el pronóstico de largo plazo en términos de demanda, producción y precios del recurso energético, así como los riesgos para estas regiones.</w:t>
      </w:r>
    </w:p>
    <w:p>
      <w:pPr>
        <w:spacing w:after="0" w:line="360" w:lineRule="auto"/>
        <w:jc w:val="both"/>
        <w:sectPr>
          <w:pgSz w:w="12250" w:h="15850"/>
          <w:pgMar w:header="0" w:footer="1037" w:top="1360" w:bottom="1220" w:left="1600" w:right="1580"/>
        </w:sectPr>
      </w:pPr>
    </w:p>
    <w:p>
      <w:pPr>
        <w:pStyle w:val="BodyText"/>
        <w:spacing w:before="48"/>
        <w:ind w:left="186"/>
      </w:pPr>
      <w:bookmarkStart w:name="_bookmark27" w:id="46"/>
      <w:bookmarkEnd w:id="46"/>
      <w:r>
        <w:rPr/>
      </w:r>
      <w:r>
        <w:rPr/>
        <w:t>Cuadro 2. 1: Consumo,  producción y reserva de gas natural por regiones (1992 – 2010)</w:t>
      </w:r>
    </w:p>
    <w:p>
      <w:pPr>
        <w:pStyle w:val="BodyText"/>
        <w:spacing w:before="6"/>
        <w:rPr>
          <w:sz w:val="21"/>
        </w:rPr>
      </w:pPr>
      <w:r>
        <w:rPr/>
        <w:pict>
          <v:group style="position:absolute;margin-left:121.073906pt;margin-top:14.364002pt;width:391.25pt;height:11.95pt;mso-position-horizontal-relative:page;mso-position-vertical-relative:paragraph;z-index:2896;mso-wrap-distance-left:0;mso-wrap-distance-right:0" coordorigin="2421,287" coordsize="7825,239">
            <v:rect style="position:absolute;left:2421;top:294;width:7824;height:226" filled="true" fillcolor="#dbedf3" stroked="false">
              <v:fill type="solid"/>
            </v:rect>
            <v:line style="position:absolute" from="10239,294" to="10239,520" stroked="true" strokeweight=".623886pt" strokecolor="#ffffff"/>
            <v:shape style="position:absolute;left:2421;top:294;width:7818;height:226" type="#_x0000_t202" filled="false" stroked="false">
              <v:textbox inset="0,0,0,0">
                <w:txbxContent>
                  <w:p>
                    <w:pPr>
                      <w:spacing w:before="13"/>
                      <w:ind w:left="87" w:right="0" w:firstLine="0"/>
                      <w:jc w:val="left"/>
                      <w:rPr>
                        <w:b/>
                        <w:sz w:val="17"/>
                      </w:rPr>
                    </w:pPr>
                    <w:r>
                      <w:rPr>
                        <w:b/>
                        <w:w w:val="120"/>
                        <w:sz w:val="17"/>
                      </w:rPr>
                      <w:t>CONSUMO DE GAS NATURAL</w:t>
                    </w:r>
                  </w:p>
                </w:txbxContent>
              </v:textbox>
              <w10:wrap type="none"/>
            </v:shape>
            <w10:wrap type="topAndBottom"/>
          </v:group>
        </w:pict>
      </w:r>
    </w:p>
    <w:p>
      <w:pPr>
        <w:spacing w:line="173" w:lineRule="exact" w:before="0" w:after="7"/>
        <w:ind w:left="0" w:right="864" w:firstLine="0"/>
        <w:jc w:val="right"/>
        <w:rPr>
          <w:sz w:val="17"/>
        </w:rPr>
      </w:pPr>
      <w:r>
        <w:rPr>
          <w:w w:val="120"/>
          <w:sz w:val="17"/>
        </w:rPr>
        <w:t>Tasas de crecimiento</w:t>
      </w:r>
    </w:p>
    <w:tbl>
      <w:tblPr>
        <w:tblW w:w="0" w:type="auto"/>
        <w:jc w:val="left"/>
        <w:tblInd w:w="7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06"/>
        <w:gridCol w:w="1681"/>
        <w:gridCol w:w="1196"/>
        <w:gridCol w:w="1187"/>
        <w:gridCol w:w="1348"/>
      </w:tblGrid>
      <w:tr>
        <w:trPr>
          <w:trHeight w:val="592" w:hRule="exact"/>
        </w:trPr>
        <w:tc>
          <w:tcPr>
            <w:tcW w:w="7818" w:type="dxa"/>
            <w:gridSpan w:val="5"/>
            <w:tcBorders>
              <w:bottom w:val="double" w:sz="4" w:space="0" w:color="000000"/>
              <w:right w:val="single" w:sz="5" w:space="0" w:color="FFFFFF"/>
            </w:tcBorders>
            <w:shd w:val="clear" w:color="auto" w:fill="DBEDF3"/>
          </w:tcPr>
          <w:p>
            <w:pPr>
              <w:pStyle w:val="TableParagraph"/>
              <w:tabs>
                <w:tab w:pos="3936" w:val="left" w:leader="none"/>
              </w:tabs>
              <w:spacing w:line="187" w:lineRule="exact" w:before="26"/>
              <w:ind w:left="2474"/>
              <w:jc w:val="left"/>
              <w:rPr>
                <w:sz w:val="17"/>
              </w:rPr>
            </w:pPr>
            <w:r>
              <w:rPr>
                <w:spacing w:val="-3"/>
                <w:w w:val="120"/>
                <w:position w:val="3"/>
                <w:sz w:val="17"/>
              </w:rPr>
              <w:t>Cons</w:t>
            </w:r>
            <w:r>
              <w:rPr>
                <w:spacing w:val="-10"/>
                <w:w w:val="120"/>
                <w:position w:val="3"/>
                <w:sz w:val="17"/>
              </w:rPr>
              <w:t> </w:t>
            </w:r>
            <w:r>
              <w:rPr>
                <w:w w:val="120"/>
                <w:position w:val="3"/>
                <w:sz w:val="17"/>
              </w:rPr>
              <w:t>en</w:t>
            </w:r>
            <w:r>
              <w:rPr>
                <w:spacing w:val="-19"/>
                <w:w w:val="120"/>
                <w:position w:val="3"/>
                <w:sz w:val="17"/>
              </w:rPr>
              <w:t> </w:t>
            </w:r>
            <w:r>
              <w:rPr>
                <w:w w:val="120"/>
                <w:position w:val="3"/>
                <w:sz w:val="17"/>
              </w:rPr>
              <w:t>bpc*</w:t>
              <w:tab/>
            </w:r>
            <w:r>
              <w:rPr>
                <w:spacing w:val="-6"/>
                <w:w w:val="120"/>
                <w:sz w:val="17"/>
              </w:rPr>
              <w:t>Participación</w:t>
            </w:r>
          </w:p>
          <w:p>
            <w:pPr>
              <w:pStyle w:val="TableParagraph"/>
              <w:tabs>
                <w:tab w:pos="1387" w:val="left" w:leader="none"/>
              </w:tabs>
              <w:spacing w:line="114" w:lineRule="exact"/>
              <w:ind w:right="161"/>
              <w:jc w:val="right"/>
              <w:rPr>
                <w:sz w:val="17"/>
              </w:rPr>
            </w:pPr>
            <w:r>
              <w:rPr>
                <w:w w:val="120"/>
                <w:sz w:val="17"/>
              </w:rPr>
              <w:t>1992</w:t>
            </w:r>
            <w:r>
              <w:rPr>
                <w:spacing w:val="-7"/>
                <w:w w:val="120"/>
                <w:sz w:val="17"/>
              </w:rPr>
              <w:t> </w:t>
            </w:r>
            <w:r>
              <w:rPr>
                <w:w w:val="120"/>
                <w:sz w:val="17"/>
              </w:rPr>
              <w:t>-</w:t>
            </w:r>
            <w:r>
              <w:rPr>
                <w:spacing w:val="1"/>
                <w:w w:val="120"/>
                <w:sz w:val="17"/>
              </w:rPr>
              <w:t> </w:t>
            </w:r>
            <w:r>
              <w:rPr>
                <w:w w:val="120"/>
                <w:sz w:val="17"/>
              </w:rPr>
              <w:t>2010</w:t>
              <w:tab/>
              <w:t>2003 -</w:t>
            </w:r>
            <w:r>
              <w:rPr>
                <w:spacing w:val="-15"/>
                <w:w w:val="120"/>
                <w:sz w:val="17"/>
              </w:rPr>
              <w:t> </w:t>
            </w:r>
            <w:r>
              <w:rPr>
                <w:w w:val="120"/>
                <w:sz w:val="17"/>
              </w:rPr>
              <w:t>2010</w:t>
            </w:r>
          </w:p>
          <w:p>
            <w:pPr>
              <w:pStyle w:val="TableParagraph"/>
              <w:tabs>
                <w:tab w:pos="3199" w:val="left" w:leader="none"/>
                <w:tab w:pos="4111" w:val="left" w:leader="none"/>
              </w:tabs>
              <w:spacing w:line="193" w:lineRule="exact"/>
              <w:ind w:left="87"/>
              <w:jc w:val="left"/>
              <w:rPr>
                <w:sz w:val="17"/>
              </w:rPr>
            </w:pPr>
            <w:r>
              <w:rPr>
                <w:spacing w:val="-8"/>
                <w:w w:val="120"/>
                <w:sz w:val="17"/>
              </w:rPr>
              <w:t>Región</w:t>
              <w:tab/>
            </w:r>
            <w:r>
              <w:rPr>
                <w:w w:val="120"/>
                <w:sz w:val="17"/>
              </w:rPr>
              <w:t>2,010</w:t>
              <w:tab/>
            </w:r>
            <w:r>
              <w:rPr>
                <w:spacing w:val="-10"/>
                <w:w w:val="120"/>
                <w:position w:val="4"/>
                <w:sz w:val="17"/>
              </w:rPr>
              <w:t>mundial</w:t>
            </w:r>
          </w:p>
        </w:tc>
      </w:tr>
      <w:tr>
        <w:trPr>
          <w:trHeight w:val="181" w:hRule="exact"/>
        </w:trPr>
        <w:tc>
          <w:tcPr>
            <w:tcW w:w="2406" w:type="dxa"/>
            <w:tcBorders>
              <w:top w:val="double" w:sz="4" w:space="0" w:color="000000"/>
            </w:tcBorders>
          </w:tcPr>
          <w:p>
            <w:pPr>
              <w:pStyle w:val="TableParagraph"/>
              <w:spacing w:before="13"/>
              <w:ind w:left="87"/>
              <w:jc w:val="left"/>
              <w:rPr>
                <w:sz w:val="17"/>
              </w:rPr>
            </w:pPr>
            <w:r>
              <w:rPr>
                <w:w w:val="120"/>
                <w:sz w:val="17"/>
              </w:rPr>
              <w:t>Norte América</w:t>
            </w:r>
          </w:p>
        </w:tc>
        <w:tc>
          <w:tcPr>
            <w:tcW w:w="1681" w:type="dxa"/>
            <w:tcBorders>
              <w:top w:val="double" w:sz="4" w:space="0" w:color="000000"/>
            </w:tcBorders>
          </w:tcPr>
          <w:p>
            <w:pPr>
              <w:pStyle w:val="TableParagraph"/>
              <w:spacing w:before="13"/>
              <w:ind w:right="435"/>
              <w:jc w:val="right"/>
              <w:rPr>
                <w:sz w:val="17"/>
              </w:rPr>
            </w:pPr>
            <w:r>
              <w:rPr>
                <w:w w:val="115"/>
                <w:sz w:val="17"/>
              </w:rPr>
              <w:t>28,974</w:t>
            </w:r>
          </w:p>
        </w:tc>
        <w:tc>
          <w:tcPr>
            <w:tcW w:w="1196" w:type="dxa"/>
            <w:tcBorders>
              <w:top w:val="double" w:sz="4" w:space="0" w:color="000000"/>
            </w:tcBorders>
          </w:tcPr>
          <w:p>
            <w:pPr>
              <w:pStyle w:val="TableParagraph"/>
              <w:spacing w:before="13"/>
              <w:ind w:right="252"/>
              <w:jc w:val="right"/>
              <w:rPr>
                <w:sz w:val="17"/>
              </w:rPr>
            </w:pPr>
            <w:r>
              <w:rPr>
                <w:w w:val="115"/>
                <w:sz w:val="17"/>
              </w:rPr>
              <w:t>26%</w:t>
            </w:r>
          </w:p>
        </w:tc>
        <w:tc>
          <w:tcPr>
            <w:tcW w:w="1187" w:type="dxa"/>
            <w:tcBorders>
              <w:top w:val="double" w:sz="4" w:space="0" w:color="000000"/>
            </w:tcBorders>
          </w:tcPr>
          <w:p>
            <w:pPr>
              <w:pStyle w:val="TableParagraph"/>
              <w:spacing w:before="13"/>
              <w:ind w:left="291"/>
              <w:jc w:val="left"/>
              <w:rPr>
                <w:sz w:val="17"/>
              </w:rPr>
            </w:pPr>
            <w:r>
              <w:rPr>
                <w:w w:val="120"/>
                <w:sz w:val="17"/>
              </w:rPr>
              <w:t>1.1%</w:t>
            </w:r>
          </w:p>
        </w:tc>
        <w:tc>
          <w:tcPr>
            <w:tcW w:w="1348" w:type="dxa"/>
            <w:tcBorders>
              <w:top w:val="double" w:sz="4" w:space="0" w:color="000000"/>
            </w:tcBorders>
          </w:tcPr>
          <w:p>
            <w:pPr>
              <w:pStyle w:val="TableParagraph"/>
              <w:spacing w:before="13"/>
              <w:ind w:left="420" w:right="394"/>
              <w:rPr>
                <w:sz w:val="17"/>
              </w:rPr>
            </w:pPr>
            <w:r>
              <w:rPr>
                <w:w w:val="120"/>
                <w:sz w:val="17"/>
              </w:rPr>
              <w:t>0.9%</w:t>
            </w:r>
          </w:p>
        </w:tc>
      </w:tr>
      <w:tr>
        <w:trPr>
          <w:trHeight w:val="236" w:hRule="exact"/>
        </w:trPr>
        <w:tc>
          <w:tcPr>
            <w:tcW w:w="2406" w:type="dxa"/>
            <w:shd w:val="clear" w:color="auto" w:fill="DBEDF3"/>
          </w:tcPr>
          <w:p>
            <w:pPr>
              <w:pStyle w:val="TableParagraph"/>
              <w:spacing w:before="24"/>
              <w:ind w:left="87"/>
              <w:jc w:val="left"/>
              <w:rPr>
                <w:sz w:val="17"/>
              </w:rPr>
            </w:pPr>
            <w:r>
              <w:rPr>
                <w:w w:val="120"/>
                <w:sz w:val="17"/>
              </w:rPr>
              <w:t>Centro y Sud-América</w:t>
            </w:r>
          </w:p>
        </w:tc>
        <w:tc>
          <w:tcPr>
            <w:tcW w:w="1681" w:type="dxa"/>
            <w:shd w:val="clear" w:color="auto" w:fill="DBEDF3"/>
          </w:tcPr>
          <w:p>
            <w:pPr>
              <w:pStyle w:val="TableParagraph"/>
              <w:spacing w:before="24"/>
              <w:ind w:right="435"/>
              <w:jc w:val="right"/>
              <w:rPr>
                <w:sz w:val="17"/>
              </w:rPr>
            </w:pPr>
            <w:r>
              <w:rPr>
                <w:w w:val="115"/>
                <w:sz w:val="17"/>
              </w:rPr>
              <w:t>5,106</w:t>
            </w:r>
          </w:p>
        </w:tc>
        <w:tc>
          <w:tcPr>
            <w:tcW w:w="1196" w:type="dxa"/>
            <w:shd w:val="clear" w:color="auto" w:fill="DBEDF3"/>
          </w:tcPr>
          <w:p>
            <w:pPr>
              <w:pStyle w:val="TableParagraph"/>
              <w:spacing w:before="24"/>
              <w:ind w:right="252"/>
              <w:jc w:val="right"/>
              <w:rPr>
                <w:sz w:val="17"/>
              </w:rPr>
            </w:pPr>
            <w:r>
              <w:rPr>
                <w:w w:val="115"/>
                <w:sz w:val="17"/>
              </w:rPr>
              <w:t>5%</w:t>
            </w:r>
          </w:p>
        </w:tc>
        <w:tc>
          <w:tcPr>
            <w:tcW w:w="1187" w:type="dxa"/>
            <w:shd w:val="clear" w:color="auto" w:fill="DBEDF3"/>
          </w:tcPr>
          <w:p>
            <w:pPr>
              <w:pStyle w:val="TableParagraph"/>
              <w:spacing w:before="24"/>
              <w:ind w:left="291"/>
              <w:jc w:val="left"/>
              <w:rPr>
                <w:sz w:val="17"/>
              </w:rPr>
            </w:pPr>
            <w:r>
              <w:rPr>
                <w:w w:val="120"/>
                <w:sz w:val="17"/>
              </w:rPr>
              <w:t>5.0%</w:t>
            </w:r>
          </w:p>
        </w:tc>
        <w:tc>
          <w:tcPr>
            <w:tcW w:w="1348" w:type="dxa"/>
            <w:tcBorders>
              <w:right w:val="single" w:sz="5" w:space="0" w:color="FFFFFF"/>
            </w:tcBorders>
            <w:shd w:val="clear" w:color="auto" w:fill="DBEDF3"/>
          </w:tcPr>
          <w:p>
            <w:pPr>
              <w:pStyle w:val="TableParagraph"/>
              <w:spacing w:before="24"/>
              <w:ind w:left="169" w:right="137"/>
              <w:rPr>
                <w:sz w:val="17"/>
              </w:rPr>
            </w:pPr>
            <w:r>
              <w:rPr>
                <w:w w:val="120"/>
                <w:sz w:val="17"/>
              </w:rPr>
              <w:t>4.8%</w:t>
            </w:r>
          </w:p>
        </w:tc>
      </w:tr>
      <w:tr>
        <w:trPr>
          <w:trHeight w:val="215" w:hRule="exact"/>
        </w:trPr>
        <w:tc>
          <w:tcPr>
            <w:tcW w:w="2406" w:type="dxa"/>
          </w:tcPr>
          <w:p>
            <w:pPr>
              <w:pStyle w:val="TableParagraph"/>
              <w:spacing w:before="13"/>
              <w:ind w:left="87"/>
              <w:jc w:val="left"/>
              <w:rPr>
                <w:sz w:val="17"/>
              </w:rPr>
            </w:pPr>
            <w:r>
              <w:rPr>
                <w:w w:val="120"/>
                <w:sz w:val="17"/>
              </w:rPr>
              <w:t>Europa</w:t>
            </w:r>
          </w:p>
        </w:tc>
        <w:tc>
          <w:tcPr>
            <w:tcW w:w="1681" w:type="dxa"/>
          </w:tcPr>
          <w:p>
            <w:pPr>
              <w:pStyle w:val="TableParagraph"/>
              <w:spacing w:before="13"/>
              <w:ind w:right="435"/>
              <w:jc w:val="right"/>
              <w:rPr>
                <w:sz w:val="17"/>
              </w:rPr>
            </w:pPr>
            <w:r>
              <w:rPr>
                <w:w w:val="115"/>
                <w:sz w:val="17"/>
              </w:rPr>
              <w:t>20,378</w:t>
            </w:r>
          </w:p>
        </w:tc>
        <w:tc>
          <w:tcPr>
            <w:tcW w:w="1196" w:type="dxa"/>
          </w:tcPr>
          <w:p>
            <w:pPr>
              <w:pStyle w:val="TableParagraph"/>
              <w:spacing w:before="13"/>
              <w:ind w:right="252"/>
              <w:jc w:val="right"/>
              <w:rPr>
                <w:sz w:val="17"/>
              </w:rPr>
            </w:pPr>
            <w:r>
              <w:rPr>
                <w:w w:val="115"/>
                <w:sz w:val="17"/>
              </w:rPr>
              <w:t>18%</w:t>
            </w:r>
          </w:p>
        </w:tc>
        <w:tc>
          <w:tcPr>
            <w:tcW w:w="1187" w:type="dxa"/>
          </w:tcPr>
          <w:p>
            <w:pPr>
              <w:pStyle w:val="TableParagraph"/>
              <w:spacing w:before="13"/>
              <w:ind w:left="291"/>
              <w:jc w:val="left"/>
              <w:rPr>
                <w:sz w:val="17"/>
              </w:rPr>
            </w:pPr>
            <w:r>
              <w:rPr>
                <w:w w:val="120"/>
                <w:sz w:val="17"/>
              </w:rPr>
              <w:t>2.3%</w:t>
            </w:r>
          </w:p>
        </w:tc>
        <w:tc>
          <w:tcPr>
            <w:tcW w:w="1348" w:type="dxa"/>
          </w:tcPr>
          <w:p>
            <w:pPr>
              <w:pStyle w:val="TableParagraph"/>
              <w:spacing w:before="13"/>
              <w:ind w:left="420" w:right="394"/>
              <w:rPr>
                <w:sz w:val="17"/>
              </w:rPr>
            </w:pPr>
            <w:r>
              <w:rPr>
                <w:w w:val="120"/>
                <w:sz w:val="17"/>
              </w:rPr>
              <w:t>0.8%</w:t>
            </w:r>
          </w:p>
        </w:tc>
      </w:tr>
      <w:tr>
        <w:trPr>
          <w:trHeight w:val="236" w:hRule="exact"/>
        </w:trPr>
        <w:tc>
          <w:tcPr>
            <w:tcW w:w="2406" w:type="dxa"/>
            <w:shd w:val="clear" w:color="auto" w:fill="DBEDF3"/>
          </w:tcPr>
          <w:p>
            <w:pPr>
              <w:pStyle w:val="TableParagraph"/>
              <w:spacing w:before="24"/>
              <w:ind w:left="87"/>
              <w:jc w:val="left"/>
              <w:rPr>
                <w:sz w:val="17"/>
              </w:rPr>
            </w:pPr>
            <w:r>
              <w:rPr>
                <w:w w:val="120"/>
                <w:sz w:val="17"/>
              </w:rPr>
              <w:t>Eurasia</w:t>
            </w:r>
          </w:p>
        </w:tc>
        <w:tc>
          <w:tcPr>
            <w:tcW w:w="1681" w:type="dxa"/>
            <w:shd w:val="clear" w:color="auto" w:fill="DBEDF3"/>
          </w:tcPr>
          <w:p>
            <w:pPr>
              <w:pStyle w:val="TableParagraph"/>
              <w:spacing w:before="24"/>
              <w:ind w:right="435"/>
              <w:jc w:val="right"/>
              <w:rPr>
                <w:sz w:val="17"/>
              </w:rPr>
            </w:pPr>
            <w:r>
              <w:rPr>
                <w:w w:val="115"/>
                <w:sz w:val="17"/>
              </w:rPr>
              <w:t>21,005</w:t>
            </w:r>
          </w:p>
        </w:tc>
        <w:tc>
          <w:tcPr>
            <w:tcW w:w="1196" w:type="dxa"/>
            <w:shd w:val="clear" w:color="auto" w:fill="DBEDF3"/>
          </w:tcPr>
          <w:p>
            <w:pPr>
              <w:pStyle w:val="TableParagraph"/>
              <w:spacing w:before="24"/>
              <w:ind w:right="252"/>
              <w:jc w:val="right"/>
              <w:rPr>
                <w:sz w:val="17"/>
              </w:rPr>
            </w:pPr>
            <w:r>
              <w:rPr>
                <w:w w:val="115"/>
                <w:sz w:val="17"/>
              </w:rPr>
              <w:t>19%</w:t>
            </w:r>
          </w:p>
        </w:tc>
        <w:tc>
          <w:tcPr>
            <w:tcW w:w="1187" w:type="dxa"/>
            <w:shd w:val="clear" w:color="auto" w:fill="DBEDF3"/>
          </w:tcPr>
          <w:p>
            <w:pPr>
              <w:pStyle w:val="TableParagraph"/>
              <w:spacing w:before="24"/>
              <w:ind w:left="254"/>
              <w:jc w:val="left"/>
              <w:rPr>
                <w:sz w:val="17"/>
              </w:rPr>
            </w:pPr>
            <w:r>
              <w:rPr>
                <w:w w:val="120"/>
                <w:sz w:val="17"/>
              </w:rPr>
              <w:t>-0.7%</w:t>
            </w:r>
          </w:p>
        </w:tc>
        <w:tc>
          <w:tcPr>
            <w:tcW w:w="1348" w:type="dxa"/>
            <w:tcBorders>
              <w:right w:val="single" w:sz="5" w:space="0" w:color="FFFFFF"/>
            </w:tcBorders>
            <w:shd w:val="clear" w:color="auto" w:fill="DBEDF3"/>
          </w:tcPr>
          <w:p>
            <w:pPr>
              <w:pStyle w:val="TableParagraph"/>
              <w:spacing w:before="24"/>
              <w:ind w:left="170" w:right="137"/>
              <w:rPr>
                <w:sz w:val="17"/>
              </w:rPr>
            </w:pPr>
            <w:r>
              <w:rPr>
                <w:w w:val="120"/>
                <w:sz w:val="17"/>
              </w:rPr>
              <w:t>-0.1%</w:t>
            </w:r>
          </w:p>
        </w:tc>
      </w:tr>
      <w:tr>
        <w:trPr>
          <w:trHeight w:val="215" w:hRule="exact"/>
        </w:trPr>
        <w:tc>
          <w:tcPr>
            <w:tcW w:w="2406" w:type="dxa"/>
          </w:tcPr>
          <w:p>
            <w:pPr>
              <w:pStyle w:val="TableParagraph"/>
              <w:spacing w:before="13"/>
              <w:ind w:left="87"/>
              <w:jc w:val="left"/>
              <w:rPr>
                <w:sz w:val="17"/>
              </w:rPr>
            </w:pPr>
            <w:r>
              <w:rPr>
                <w:w w:val="120"/>
                <w:sz w:val="17"/>
              </w:rPr>
              <w:t>Medio Oriente</w:t>
            </w:r>
          </w:p>
        </w:tc>
        <w:tc>
          <w:tcPr>
            <w:tcW w:w="1681" w:type="dxa"/>
          </w:tcPr>
          <w:p>
            <w:pPr>
              <w:pStyle w:val="TableParagraph"/>
              <w:spacing w:before="13"/>
              <w:ind w:right="435"/>
              <w:jc w:val="right"/>
              <w:rPr>
                <w:sz w:val="17"/>
              </w:rPr>
            </w:pPr>
            <w:r>
              <w:rPr>
                <w:w w:val="115"/>
                <w:sz w:val="17"/>
              </w:rPr>
              <w:t>13,277</w:t>
            </w:r>
          </w:p>
        </w:tc>
        <w:tc>
          <w:tcPr>
            <w:tcW w:w="1196" w:type="dxa"/>
          </w:tcPr>
          <w:p>
            <w:pPr>
              <w:pStyle w:val="TableParagraph"/>
              <w:spacing w:before="13"/>
              <w:ind w:right="252"/>
              <w:jc w:val="right"/>
              <w:rPr>
                <w:sz w:val="17"/>
              </w:rPr>
            </w:pPr>
            <w:r>
              <w:rPr>
                <w:w w:val="115"/>
                <w:sz w:val="17"/>
              </w:rPr>
              <w:t>12%</w:t>
            </w:r>
          </w:p>
        </w:tc>
        <w:tc>
          <w:tcPr>
            <w:tcW w:w="1187" w:type="dxa"/>
          </w:tcPr>
          <w:p>
            <w:pPr>
              <w:pStyle w:val="TableParagraph"/>
              <w:spacing w:before="13"/>
              <w:ind w:left="291"/>
              <w:jc w:val="left"/>
              <w:rPr>
                <w:sz w:val="17"/>
              </w:rPr>
            </w:pPr>
            <w:r>
              <w:rPr>
                <w:w w:val="120"/>
                <w:sz w:val="17"/>
              </w:rPr>
              <w:t>6.9%</w:t>
            </w:r>
          </w:p>
        </w:tc>
        <w:tc>
          <w:tcPr>
            <w:tcW w:w="1348" w:type="dxa"/>
          </w:tcPr>
          <w:p>
            <w:pPr>
              <w:pStyle w:val="TableParagraph"/>
              <w:spacing w:before="13"/>
              <w:ind w:left="420" w:right="394"/>
              <w:rPr>
                <w:sz w:val="17"/>
              </w:rPr>
            </w:pPr>
            <w:r>
              <w:rPr>
                <w:w w:val="120"/>
                <w:sz w:val="17"/>
              </w:rPr>
              <w:t>7.5%</w:t>
            </w:r>
          </w:p>
        </w:tc>
      </w:tr>
      <w:tr>
        <w:trPr>
          <w:trHeight w:val="236" w:hRule="exact"/>
        </w:trPr>
        <w:tc>
          <w:tcPr>
            <w:tcW w:w="2406" w:type="dxa"/>
            <w:shd w:val="clear" w:color="auto" w:fill="DBEDF3"/>
          </w:tcPr>
          <w:p>
            <w:pPr>
              <w:pStyle w:val="TableParagraph"/>
              <w:spacing w:before="24"/>
              <w:ind w:left="87"/>
              <w:jc w:val="left"/>
              <w:rPr>
                <w:sz w:val="17"/>
              </w:rPr>
            </w:pPr>
            <w:r>
              <w:rPr>
                <w:w w:val="120"/>
                <w:sz w:val="17"/>
              </w:rPr>
              <w:t>África</w:t>
            </w:r>
          </w:p>
        </w:tc>
        <w:tc>
          <w:tcPr>
            <w:tcW w:w="1681" w:type="dxa"/>
            <w:shd w:val="clear" w:color="auto" w:fill="DBEDF3"/>
          </w:tcPr>
          <w:p>
            <w:pPr>
              <w:pStyle w:val="TableParagraph"/>
              <w:spacing w:before="24"/>
              <w:ind w:right="435"/>
              <w:jc w:val="right"/>
              <w:rPr>
                <w:sz w:val="17"/>
              </w:rPr>
            </w:pPr>
            <w:r>
              <w:rPr>
                <w:w w:val="115"/>
                <w:sz w:val="17"/>
              </w:rPr>
              <w:t>3,558</w:t>
            </w:r>
          </w:p>
        </w:tc>
        <w:tc>
          <w:tcPr>
            <w:tcW w:w="1196" w:type="dxa"/>
            <w:shd w:val="clear" w:color="auto" w:fill="DBEDF3"/>
          </w:tcPr>
          <w:p>
            <w:pPr>
              <w:pStyle w:val="TableParagraph"/>
              <w:spacing w:before="24"/>
              <w:ind w:right="252"/>
              <w:jc w:val="right"/>
              <w:rPr>
                <w:sz w:val="17"/>
              </w:rPr>
            </w:pPr>
            <w:r>
              <w:rPr>
                <w:w w:val="115"/>
                <w:sz w:val="17"/>
              </w:rPr>
              <w:t>3%</w:t>
            </w:r>
          </w:p>
        </w:tc>
        <w:tc>
          <w:tcPr>
            <w:tcW w:w="1187" w:type="dxa"/>
            <w:shd w:val="clear" w:color="auto" w:fill="DBEDF3"/>
          </w:tcPr>
          <w:p>
            <w:pPr>
              <w:pStyle w:val="TableParagraph"/>
              <w:spacing w:before="24"/>
              <w:ind w:left="291"/>
              <w:jc w:val="left"/>
              <w:rPr>
                <w:sz w:val="17"/>
              </w:rPr>
            </w:pPr>
            <w:r>
              <w:rPr>
                <w:w w:val="120"/>
                <w:sz w:val="17"/>
              </w:rPr>
              <w:t>5.0%</w:t>
            </w:r>
          </w:p>
        </w:tc>
        <w:tc>
          <w:tcPr>
            <w:tcW w:w="1348" w:type="dxa"/>
            <w:tcBorders>
              <w:right w:val="single" w:sz="5" w:space="0" w:color="FFFFFF"/>
            </w:tcBorders>
            <w:shd w:val="clear" w:color="auto" w:fill="DBEDF3"/>
          </w:tcPr>
          <w:p>
            <w:pPr>
              <w:pStyle w:val="TableParagraph"/>
              <w:spacing w:before="24"/>
              <w:ind w:left="169" w:right="137"/>
              <w:rPr>
                <w:sz w:val="17"/>
              </w:rPr>
            </w:pPr>
            <w:r>
              <w:rPr>
                <w:w w:val="120"/>
                <w:sz w:val="17"/>
              </w:rPr>
              <w:t>4.7%</w:t>
            </w:r>
          </w:p>
        </w:tc>
      </w:tr>
      <w:tr>
        <w:trPr>
          <w:trHeight w:val="231" w:hRule="exact"/>
        </w:trPr>
        <w:tc>
          <w:tcPr>
            <w:tcW w:w="2406" w:type="dxa"/>
            <w:tcBorders>
              <w:bottom w:val="double" w:sz="4" w:space="0" w:color="000000"/>
            </w:tcBorders>
          </w:tcPr>
          <w:p>
            <w:pPr>
              <w:pStyle w:val="TableParagraph"/>
              <w:spacing w:before="13"/>
              <w:ind w:left="87"/>
              <w:jc w:val="left"/>
              <w:rPr>
                <w:sz w:val="17"/>
              </w:rPr>
            </w:pPr>
            <w:r>
              <w:rPr>
                <w:w w:val="120"/>
                <w:sz w:val="17"/>
              </w:rPr>
              <w:t>Asia y Oceanía</w:t>
            </w:r>
          </w:p>
        </w:tc>
        <w:tc>
          <w:tcPr>
            <w:tcW w:w="1681" w:type="dxa"/>
            <w:tcBorders>
              <w:bottom w:val="double" w:sz="4" w:space="0" w:color="000000"/>
            </w:tcBorders>
          </w:tcPr>
          <w:p>
            <w:pPr>
              <w:pStyle w:val="TableParagraph"/>
              <w:spacing w:before="13"/>
              <w:ind w:right="435"/>
              <w:jc w:val="right"/>
              <w:rPr>
                <w:sz w:val="17"/>
              </w:rPr>
            </w:pPr>
            <w:r>
              <w:rPr>
                <w:w w:val="115"/>
                <w:sz w:val="17"/>
              </w:rPr>
              <w:t>20,565</w:t>
            </w:r>
          </w:p>
        </w:tc>
        <w:tc>
          <w:tcPr>
            <w:tcW w:w="1196" w:type="dxa"/>
            <w:tcBorders>
              <w:bottom w:val="double" w:sz="4" w:space="0" w:color="000000"/>
            </w:tcBorders>
          </w:tcPr>
          <w:p>
            <w:pPr>
              <w:pStyle w:val="TableParagraph"/>
              <w:spacing w:before="13"/>
              <w:ind w:right="252"/>
              <w:jc w:val="right"/>
              <w:rPr>
                <w:sz w:val="17"/>
              </w:rPr>
            </w:pPr>
            <w:r>
              <w:rPr>
                <w:w w:val="115"/>
                <w:sz w:val="17"/>
              </w:rPr>
              <w:t>18%</w:t>
            </w:r>
          </w:p>
        </w:tc>
        <w:tc>
          <w:tcPr>
            <w:tcW w:w="1187" w:type="dxa"/>
            <w:tcBorders>
              <w:bottom w:val="double" w:sz="4" w:space="0" w:color="000000"/>
            </w:tcBorders>
          </w:tcPr>
          <w:p>
            <w:pPr>
              <w:pStyle w:val="TableParagraph"/>
              <w:spacing w:before="13"/>
              <w:ind w:left="291"/>
              <w:jc w:val="left"/>
              <w:rPr>
                <w:sz w:val="17"/>
              </w:rPr>
            </w:pPr>
            <w:r>
              <w:rPr>
                <w:w w:val="120"/>
                <w:sz w:val="17"/>
              </w:rPr>
              <w:t>6.5%</w:t>
            </w:r>
          </w:p>
        </w:tc>
        <w:tc>
          <w:tcPr>
            <w:tcW w:w="1348" w:type="dxa"/>
            <w:tcBorders>
              <w:bottom w:val="double" w:sz="4" w:space="0" w:color="000000"/>
            </w:tcBorders>
          </w:tcPr>
          <w:p>
            <w:pPr>
              <w:pStyle w:val="TableParagraph"/>
              <w:spacing w:before="13"/>
              <w:ind w:left="420" w:right="394"/>
              <w:rPr>
                <w:sz w:val="17"/>
              </w:rPr>
            </w:pPr>
            <w:r>
              <w:rPr>
                <w:w w:val="120"/>
                <w:sz w:val="17"/>
              </w:rPr>
              <w:t>7.8%</w:t>
            </w:r>
          </w:p>
        </w:tc>
      </w:tr>
      <w:tr>
        <w:trPr>
          <w:trHeight w:val="242" w:hRule="exact"/>
        </w:trPr>
        <w:tc>
          <w:tcPr>
            <w:tcW w:w="2406" w:type="dxa"/>
            <w:tcBorders>
              <w:top w:val="double" w:sz="4" w:space="0" w:color="000000"/>
            </w:tcBorders>
            <w:shd w:val="clear" w:color="auto" w:fill="DBEDF3"/>
          </w:tcPr>
          <w:p>
            <w:pPr>
              <w:pStyle w:val="TableParagraph"/>
              <w:spacing w:before="13"/>
              <w:ind w:left="87"/>
              <w:jc w:val="left"/>
              <w:rPr>
                <w:b/>
                <w:sz w:val="17"/>
              </w:rPr>
            </w:pPr>
            <w:r>
              <w:rPr>
                <w:b/>
                <w:w w:val="120"/>
                <w:sz w:val="17"/>
              </w:rPr>
              <w:t>Mundial</w:t>
            </w:r>
          </w:p>
        </w:tc>
        <w:tc>
          <w:tcPr>
            <w:tcW w:w="1681" w:type="dxa"/>
            <w:tcBorders>
              <w:top w:val="double" w:sz="4" w:space="0" w:color="000000"/>
            </w:tcBorders>
            <w:shd w:val="clear" w:color="auto" w:fill="DBEDF3"/>
          </w:tcPr>
          <w:p>
            <w:pPr>
              <w:pStyle w:val="TableParagraph"/>
              <w:spacing w:before="13"/>
              <w:ind w:right="435"/>
              <w:jc w:val="right"/>
              <w:rPr>
                <w:b/>
                <w:sz w:val="17"/>
              </w:rPr>
            </w:pPr>
            <w:r>
              <w:rPr>
                <w:b/>
                <w:w w:val="115"/>
                <w:sz w:val="17"/>
              </w:rPr>
              <w:t>112,864</w:t>
            </w:r>
          </w:p>
        </w:tc>
        <w:tc>
          <w:tcPr>
            <w:tcW w:w="1196" w:type="dxa"/>
            <w:tcBorders>
              <w:top w:val="double" w:sz="4" w:space="0" w:color="000000"/>
            </w:tcBorders>
            <w:shd w:val="clear" w:color="auto" w:fill="DBEDF3"/>
          </w:tcPr>
          <w:p>
            <w:pPr>
              <w:pStyle w:val="TableParagraph"/>
              <w:spacing w:before="13"/>
              <w:ind w:right="256"/>
              <w:jc w:val="right"/>
              <w:rPr>
                <w:b/>
                <w:sz w:val="17"/>
              </w:rPr>
            </w:pPr>
            <w:r>
              <w:rPr>
                <w:b/>
                <w:w w:val="115"/>
                <w:sz w:val="17"/>
              </w:rPr>
              <w:t>100%</w:t>
            </w:r>
          </w:p>
        </w:tc>
        <w:tc>
          <w:tcPr>
            <w:tcW w:w="1187" w:type="dxa"/>
            <w:tcBorders>
              <w:top w:val="double" w:sz="4" w:space="0" w:color="000000"/>
            </w:tcBorders>
            <w:shd w:val="clear" w:color="auto" w:fill="DBEDF3"/>
          </w:tcPr>
          <w:p>
            <w:pPr>
              <w:pStyle w:val="TableParagraph"/>
              <w:spacing w:before="13"/>
              <w:ind w:left="266"/>
              <w:jc w:val="left"/>
              <w:rPr>
                <w:b/>
                <w:sz w:val="17"/>
              </w:rPr>
            </w:pPr>
            <w:r>
              <w:rPr>
                <w:b/>
                <w:w w:val="120"/>
                <w:sz w:val="17"/>
              </w:rPr>
              <w:t>2.3%</w:t>
            </w:r>
          </w:p>
        </w:tc>
        <w:tc>
          <w:tcPr>
            <w:tcW w:w="1348" w:type="dxa"/>
            <w:tcBorders>
              <w:top w:val="double" w:sz="4" w:space="0" w:color="000000"/>
              <w:right w:val="single" w:sz="5" w:space="0" w:color="FFFFFF"/>
            </w:tcBorders>
            <w:shd w:val="clear" w:color="auto" w:fill="DBEDF3"/>
          </w:tcPr>
          <w:p>
            <w:pPr>
              <w:pStyle w:val="TableParagraph"/>
              <w:spacing w:before="13"/>
              <w:ind w:left="177" w:right="136"/>
              <w:rPr>
                <w:b/>
                <w:sz w:val="17"/>
              </w:rPr>
            </w:pPr>
            <w:r>
              <w:rPr>
                <w:b/>
                <w:w w:val="120"/>
                <w:sz w:val="17"/>
              </w:rPr>
              <w:t>2.6%</w:t>
            </w:r>
          </w:p>
        </w:tc>
      </w:tr>
    </w:tbl>
    <w:p>
      <w:pPr>
        <w:pStyle w:val="BodyText"/>
        <w:spacing w:before="8"/>
        <w:rPr>
          <w:sz w:val="14"/>
        </w:rPr>
      </w:pPr>
      <w:r>
        <w:rPr/>
        <w:pict>
          <v:group style="position:absolute;margin-left:121.073906pt;margin-top:10.422326pt;width:391.25pt;height:12.5pt;mso-position-horizontal-relative:page;mso-position-vertical-relative:paragraph;z-index:2944;mso-wrap-distance-left:0;mso-wrap-distance-right:0" coordorigin="2421,208" coordsize="7825,250">
            <v:rect style="position:absolute;left:2421;top:215;width:7824;height:236" filled="true" fillcolor="#dbedf3" stroked="false">
              <v:fill type="solid"/>
            </v:rect>
            <v:line style="position:absolute" from="10239,215" to="10239,451" stroked="true" strokeweight=".623886pt" strokecolor="#ffffff"/>
            <v:shape style="position:absolute;left:2421;top:215;width:7818;height:237" type="#_x0000_t202" filled="false" stroked="false">
              <v:textbox inset="0,0,0,0">
                <w:txbxContent>
                  <w:p>
                    <w:pPr>
                      <w:spacing w:before="23"/>
                      <w:ind w:left="87" w:right="0" w:firstLine="0"/>
                      <w:jc w:val="left"/>
                      <w:rPr>
                        <w:b/>
                        <w:sz w:val="17"/>
                      </w:rPr>
                    </w:pPr>
                    <w:r>
                      <w:rPr>
                        <w:b/>
                        <w:w w:val="120"/>
                        <w:sz w:val="17"/>
                      </w:rPr>
                      <w:t>PRODUCCIÓN DE GAS NATURAL</w:t>
                    </w:r>
                  </w:p>
                </w:txbxContent>
              </v:textbox>
              <w10:wrap type="none"/>
            </v:shape>
            <w10:wrap type="topAndBottom"/>
          </v:group>
        </w:pict>
      </w:r>
    </w:p>
    <w:p>
      <w:pPr>
        <w:spacing w:line="173" w:lineRule="exact" w:before="0" w:after="6"/>
        <w:ind w:left="0" w:right="864" w:firstLine="0"/>
        <w:jc w:val="right"/>
        <w:rPr>
          <w:sz w:val="17"/>
        </w:rPr>
      </w:pPr>
      <w:r>
        <w:rPr>
          <w:w w:val="120"/>
          <w:sz w:val="17"/>
        </w:rPr>
        <w:t>Tasas de crecimiento</w:t>
      </w:r>
    </w:p>
    <w:tbl>
      <w:tblPr>
        <w:tblW w:w="0" w:type="auto"/>
        <w:jc w:val="left"/>
        <w:tblInd w:w="7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75"/>
        <w:gridCol w:w="1712"/>
        <w:gridCol w:w="1196"/>
        <w:gridCol w:w="1187"/>
        <w:gridCol w:w="1348"/>
      </w:tblGrid>
      <w:tr>
        <w:trPr>
          <w:trHeight w:val="468" w:hRule="exact"/>
        </w:trPr>
        <w:tc>
          <w:tcPr>
            <w:tcW w:w="2375" w:type="dxa"/>
            <w:tcBorders>
              <w:bottom w:val="double" w:sz="4" w:space="0" w:color="000000"/>
            </w:tcBorders>
            <w:shd w:val="clear" w:color="auto" w:fill="DBEDF3"/>
          </w:tcPr>
          <w:p>
            <w:pPr>
              <w:pStyle w:val="TableParagraph"/>
              <w:spacing w:before="7"/>
              <w:jc w:val="left"/>
              <w:rPr>
                <w:sz w:val="21"/>
              </w:rPr>
            </w:pPr>
          </w:p>
          <w:p>
            <w:pPr>
              <w:pStyle w:val="TableParagraph"/>
              <w:spacing w:before="1"/>
              <w:ind w:left="137"/>
              <w:jc w:val="left"/>
              <w:rPr>
                <w:sz w:val="17"/>
              </w:rPr>
            </w:pPr>
            <w:r>
              <w:rPr>
                <w:w w:val="120"/>
                <w:sz w:val="17"/>
              </w:rPr>
              <w:t>Región</w:t>
            </w:r>
          </w:p>
        </w:tc>
        <w:tc>
          <w:tcPr>
            <w:tcW w:w="1712" w:type="dxa"/>
            <w:tcBorders>
              <w:bottom w:val="double" w:sz="4" w:space="0" w:color="000000"/>
            </w:tcBorders>
            <w:shd w:val="clear" w:color="auto" w:fill="DBEDF3"/>
          </w:tcPr>
          <w:p>
            <w:pPr>
              <w:pStyle w:val="TableParagraph"/>
              <w:tabs>
                <w:tab w:pos="1562" w:val="left" w:leader="none"/>
              </w:tabs>
              <w:spacing w:before="24"/>
              <w:ind w:left="100"/>
              <w:jc w:val="left"/>
              <w:rPr>
                <w:sz w:val="17"/>
              </w:rPr>
            </w:pPr>
            <w:r>
              <w:rPr>
                <w:w w:val="120"/>
                <w:sz w:val="17"/>
              </w:rPr>
              <w:t>Prod</w:t>
            </w:r>
            <w:r>
              <w:rPr>
                <w:spacing w:val="-9"/>
                <w:w w:val="120"/>
                <w:sz w:val="17"/>
              </w:rPr>
              <w:t> </w:t>
            </w:r>
            <w:r>
              <w:rPr>
                <w:w w:val="120"/>
                <w:sz w:val="17"/>
              </w:rPr>
              <w:t>en</w:t>
            </w:r>
            <w:r>
              <w:rPr>
                <w:spacing w:val="-21"/>
                <w:w w:val="120"/>
                <w:sz w:val="17"/>
              </w:rPr>
              <w:t> </w:t>
            </w:r>
            <w:r>
              <w:rPr>
                <w:w w:val="120"/>
                <w:sz w:val="17"/>
              </w:rPr>
              <w:t>bpc*</w:t>
              <w:tab/>
              <w:t>P</w:t>
            </w:r>
          </w:p>
          <w:p>
            <w:pPr>
              <w:pStyle w:val="TableParagraph"/>
              <w:spacing w:before="30"/>
              <w:ind w:left="824"/>
              <w:jc w:val="left"/>
              <w:rPr>
                <w:sz w:val="17"/>
              </w:rPr>
            </w:pPr>
            <w:r>
              <w:rPr>
                <w:w w:val="120"/>
                <w:sz w:val="17"/>
              </w:rPr>
              <w:t>2,010</w:t>
            </w:r>
          </w:p>
        </w:tc>
        <w:tc>
          <w:tcPr>
            <w:tcW w:w="1196" w:type="dxa"/>
            <w:tcBorders>
              <w:bottom w:val="double" w:sz="4" w:space="0" w:color="000000"/>
            </w:tcBorders>
            <w:shd w:val="clear" w:color="auto" w:fill="DBEDF3"/>
          </w:tcPr>
          <w:p>
            <w:pPr>
              <w:pStyle w:val="TableParagraph"/>
              <w:spacing w:before="24"/>
              <w:ind w:left="-38"/>
              <w:jc w:val="left"/>
              <w:rPr>
                <w:sz w:val="17"/>
              </w:rPr>
            </w:pPr>
            <w:r>
              <w:rPr>
                <w:w w:val="120"/>
                <w:sz w:val="17"/>
              </w:rPr>
              <w:t>articipación</w:t>
            </w:r>
          </w:p>
        </w:tc>
        <w:tc>
          <w:tcPr>
            <w:tcW w:w="1187" w:type="dxa"/>
            <w:tcBorders>
              <w:bottom w:val="double" w:sz="4" w:space="0" w:color="000000"/>
            </w:tcBorders>
            <w:shd w:val="clear" w:color="auto" w:fill="DBEDF3"/>
          </w:tcPr>
          <w:p>
            <w:pPr>
              <w:pStyle w:val="TableParagraph"/>
              <w:spacing w:before="131"/>
              <w:ind w:right="203"/>
              <w:rPr>
                <w:sz w:val="17"/>
              </w:rPr>
            </w:pPr>
            <w:r>
              <w:rPr>
                <w:w w:val="120"/>
                <w:sz w:val="17"/>
              </w:rPr>
              <w:t>1992 -</w:t>
            </w:r>
            <w:r>
              <w:rPr>
                <w:spacing w:val="-15"/>
                <w:w w:val="120"/>
                <w:sz w:val="17"/>
              </w:rPr>
              <w:t> </w:t>
            </w:r>
            <w:r>
              <w:rPr>
                <w:w w:val="120"/>
                <w:sz w:val="17"/>
              </w:rPr>
              <w:t>2010</w:t>
            </w:r>
          </w:p>
        </w:tc>
        <w:tc>
          <w:tcPr>
            <w:tcW w:w="1348" w:type="dxa"/>
            <w:tcBorders>
              <w:bottom w:val="double" w:sz="4" w:space="0" w:color="000000"/>
              <w:right w:val="single" w:sz="5" w:space="0" w:color="FFFFFF"/>
            </w:tcBorders>
            <w:shd w:val="clear" w:color="auto" w:fill="DBEDF3"/>
          </w:tcPr>
          <w:p>
            <w:pPr>
              <w:pStyle w:val="TableParagraph"/>
              <w:spacing w:before="131"/>
              <w:ind w:left="177" w:right="137"/>
              <w:rPr>
                <w:sz w:val="17"/>
              </w:rPr>
            </w:pPr>
            <w:r>
              <w:rPr>
                <w:w w:val="120"/>
                <w:sz w:val="17"/>
              </w:rPr>
              <w:t>2003 - 2010</w:t>
            </w:r>
          </w:p>
        </w:tc>
      </w:tr>
      <w:tr>
        <w:trPr>
          <w:trHeight w:val="231" w:hRule="exact"/>
        </w:trPr>
        <w:tc>
          <w:tcPr>
            <w:tcW w:w="2375" w:type="dxa"/>
            <w:tcBorders>
              <w:top w:val="double" w:sz="4" w:space="0" w:color="000000"/>
            </w:tcBorders>
          </w:tcPr>
          <w:p>
            <w:pPr>
              <w:pStyle w:val="TableParagraph"/>
              <w:spacing w:before="13"/>
              <w:ind w:left="87"/>
              <w:jc w:val="left"/>
              <w:rPr>
                <w:sz w:val="17"/>
              </w:rPr>
            </w:pPr>
            <w:r>
              <w:rPr>
                <w:w w:val="120"/>
                <w:sz w:val="17"/>
              </w:rPr>
              <w:t>Norte América</w:t>
            </w:r>
          </w:p>
        </w:tc>
        <w:tc>
          <w:tcPr>
            <w:tcW w:w="1712" w:type="dxa"/>
            <w:tcBorders>
              <w:top w:val="double" w:sz="4" w:space="0" w:color="000000"/>
            </w:tcBorders>
          </w:tcPr>
          <w:p>
            <w:pPr>
              <w:pStyle w:val="TableParagraph"/>
              <w:spacing w:before="13"/>
              <w:ind w:right="435"/>
              <w:jc w:val="right"/>
              <w:rPr>
                <w:sz w:val="17"/>
              </w:rPr>
            </w:pPr>
            <w:r>
              <w:rPr>
                <w:w w:val="115"/>
                <w:sz w:val="17"/>
              </w:rPr>
              <w:t>28,520</w:t>
            </w:r>
          </w:p>
        </w:tc>
        <w:tc>
          <w:tcPr>
            <w:tcW w:w="1196" w:type="dxa"/>
            <w:tcBorders>
              <w:top w:val="double" w:sz="4" w:space="0" w:color="000000"/>
            </w:tcBorders>
          </w:tcPr>
          <w:p>
            <w:pPr>
              <w:pStyle w:val="TableParagraph"/>
              <w:spacing w:before="13"/>
              <w:ind w:right="252"/>
              <w:jc w:val="right"/>
              <w:rPr>
                <w:sz w:val="17"/>
              </w:rPr>
            </w:pPr>
            <w:r>
              <w:rPr>
                <w:w w:val="115"/>
                <w:sz w:val="17"/>
              </w:rPr>
              <w:t>26%</w:t>
            </w:r>
          </w:p>
        </w:tc>
        <w:tc>
          <w:tcPr>
            <w:tcW w:w="1187" w:type="dxa"/>
            <w:tcBorders>
              <w:top w:val="double" w:sz="4" w:space="0" w:color="000000"/>
            </w:tcBorders>
          </w:tcPr>
          <w:p>
            <w:pPr>
              <w:pStyle w:val="TableParagraph"/>
              <w:spacing w:before="13"/>
              <w:ind w:right="186"/>
              <w:rPr>
                <w:sz w:val="17"/>
              </w:rPr>
            </w:pPr>
            <w:r>
              <w:rPr>
                <w:w w:val="120"/>
                <w:sz w:val="17"/>
              </w:rPr>
              <w:t>1.1%</w:t>
            </w:r>
          </w:p>
        </w:tc>
        <w:tc>
          <w:tcPr>
            <w:tcW w:w="1348" w:type="dxa"/>
            <w:tcBorders>
              <w:top w:val="double" w:sz="4" w:space="0" w:color="000000"/>
            </w:tcBorders>
          </w:tcPr>
          <w:p>
            <w:pPr>
              <w:pStyle w:val="TableParagraph"/>
              <w:spacing w:before="13"/>
              <w:ind w:left="420" w:right="394"/>
              <w:rPr>
                <w:sz w:val="17"/>
              </w:rPr>
            </w:pPr>
            <w:r>
              <w:rPr>
                <w:w w:val="120"/>
                <w:sz w:val="17"/>
              </w:rPr>
              <w:t>0.8%</w:t>
            </w:r>
          </w:p>
        </w:tc>
      </w:tr>
      <w:tr>
        <w:trPr>
          <w:trHeight w:val="236" w:hRule="exact"/>
        </w:trPr>
        <w:tc>
          <w:tcPr>
            <w:tcW w:w="2375" w:type="dxa"/>
            <w:shd w:val="clear" w:color="auto" w:fill="DBEDF3"/>
          </w:tcPr>
          <w:p>
            <w:pPr>
              <w:pStyle w:val="TableParagraph"/>
              <w:spacing w:before="24"/>
              <w:ind w:left="87"/>
              <w:jc w:val="left"/>
              <w:rPr>
                <w:sz w:val="17"/>
              </w:rPr>
            </w:pPr>
            <w:r>
              <w:rPr>
                <w:w w:val="120"/>
                <w:sz w:val="17"/>
              </w:rPr>
              <w:t>Centro y Sud-América</w:t>
            </w:r>
          </w:p>
        </w:tc>
        <w:tc>
          <w:tcPr>
            <w:tcW w:w="1712" w:type="dxa"/>
            <w:shd w:val="clear" w:color="auto" w:fill="DBEDF3"/>
          </w:tcPr>
          <w:p>
            <w:pPr>
              <w:pStyle w:val="TableParagraph"/>
              <w:spacing w:before="24"/>
              <w:ind w:right="435"/>
              <w:jc w:val="right"/>
              <w:rPr>
                <w:sz w:val="17"/>
              </w:rPr>
            </w:pPr>
            <w:r>
              <w:rPr>
                <w:w w:val="115"/>
                <w:sz w:val="17"/>
              </w:rPr>
              <w:t>5,517</w:t>
            </w:r>
          </w:p>
        </w:tc>
        <w:tc>
          <w:tcPr>
            <w:tcW w:w="1196" w:type="dxa"/>
            <w:shd w:val="clear" w:color="auto" w:fill="DBEDF3"/>
          </w:tcPr>
          <w:p>
            <w:pPr>
              <w:pStyle w:val="TableParagraph"/>
              <w:spacing w:before="24"/>
              <w:ind w:right="252"/>
              <w:jc w:val="right"/>
              <w:rPr>
                <w:sz w:val="17"/>
              </w:rPr>
            </w:pPr>
            <w:r>
              <w:rPr>
                <w:w w:val="115"/>
                <w:sz w:val="17"/>
              </w:rPr>
              <w:t>5%</w:t>
            </w:r>
          </w:p>
        </w:tc>
        <w:tc>
          <w:tcPr>
            <w:tcW w:w="1187" w:type="dxa"/>
            <w:shd w:val="clear" w:color="auto" w:fill="DBEDF3"/>
          </w:tcPr>
          <w:p>
            <w:pPr>
              <w:pStyle w:val="TableParagraph"/>
              <w:spacing w:before="24"/>
              <w:ind w:right="186"/>
              <w:rPr>
                <w:sz w:val="17"/>
              </w:rPr>
            </w:pPr>
            <w:r>
              <w:rPr>
                <w:w w:val="120"/>
                <w:sz w:val="17"/>
              </w:rPr>
              <w:t>5.4%</w:t>
            </w:r>
          </w:p>
        </w:tc>
        <w:tc>
          <w:tcPr>
            <w:tcW w:w="1348" w:type="dxa"/>
            <w:tcBorders>
              <w:right w:val="single" w:sz="5" w:space="0" w:color="FFFFFF"/>
            </w:tcBorders>
            <w:shd w:val="clear" w:color="auto" w:fill="DBEDF3"/>
          </w:tcPr>
          <w:p>
            <w:pPr>
              <w:pStyle w:val="TableParagraph"/>
              <w:spacing w:before="24"/>
              <w:ind w:left="169" w:right="137"/>
              <w:rPr>
                <w:sz w:val="17"/>
              </w:rPr>
            </w:pPr>
            <w:r>
              <w:rPr>
                <w:w w:val="120"/>
                <w:sz w:val="17"/>
              </w:rPr>
              <w:t>4.4%</w:t>
            </w:r>
          </w:p>
        </w:tc>
      </w:tr>
      <w:tr>
        <w:trPr>
          <w:trHeight w:val="215" w:hRule="exact"/>
        </w:trPr>
        <w:tc>
          <w:tcPr>
            <w:tcW w:w="2375" w:type="dxa"/>
          </w:tcPr>
          <w:p>
            <w:pPr>
              <w:pStyle w:val="TableParagraph"/>
              <w:spacing w:before="13"/>
              <w:ind w:left="87"/>
              <w:jc w:val="left"/>
              <w:rPr>
                <w:sz w:val="17"/>
              </w:rPr>
            </w:pPr>
            <w:r>
              <w:rPr>
                <w:w w:val="120"/>
                <w:sz w:val="17"/>
              </w:rPr>
              <w:t>Europa</w:t>
            </w:r>
          </w:p>
        </w:tc>
        <w:tc>
          <w:tcPr>
            <w:tcW w:w="1712" w:type="dxa"/>
          </w:tcPr>
          <w:p>
            <w:pPr>
              <w:pStyle w:val="TableParagraph"/>
              <w:spacing w:before="13"/>
              <w:ind w:right="435"/>
              <w:jc w:val="right"/>
              <w:rPr>
                <w:sz w:val="17"/>
              </w:rPr>
            </w:pPr>
            <w:r>
              <w:rPr>
                <w:w w:val="115"/>
                <w:sz w:val="17"/>
              </w:rPr>
              <w:t>10,836</w:t>
            </w:r>
          </w:p>
        </w:tc>
        <w:tc>
          <w:tcPr>
            <w:tcW w:w="1196" w:type="dxa"/>
          </w:tcPr>
          <w:p>
            <w:pPr>
              <w:pStyle w:val="TableParagraph"/>
              <w:spacing w:before="13"/>
              <w:ind w:right="252"/>
              <w:jc w:val="right"/>
              <w:rPr>
                <w:sz w:val="17"/>
              </w:rPr>
            </w:pPr>
            <w:r>
              <w:rPr>
                <w:w w:val="115"/>
                <w:sz w:val="17"/>
              </w:rPr>
              <w:t>10%</w:t>
            </w:r>
          </w:p>
        </w:tc>
        <w:tc>
          <w:tcPr>
            <w:tcW w:w="1187" w:type="dxa"/>
          </w:tcPr>
          <w:p>
            <w:pPr>
              <w:pStyle w:val="TableParagraph"/>
              <w:spacing w:before="13"/>
              <w:ind w:right="186"/>
              <w:rPr>
                <w:sz w:val="17"/>
              </w:rPr>
            </w:pPr>
            <w:r>
              <w:rPr>
                <w:w w:val="120"/>
                <w:sz w:val="17"/>
              </w:rPr>
              <w:t>1.0%</w:t>
            </w:r>
          </w:p>
        </w:tc>
        <w:tc>
          <w:tcPr>
            <w:tcW w:w="1348" w:type="dxa"/>
          </w:tcPr>
          <w:p>
            <w:pPr>
              <w:pStyle w:val="TableParagraph"/>
              <w:spacing w:before="13"/>
              <w:ind w:left="421" w:right="394"/>
              <w:rPr>
                <w:sz w:val="17"/>
              </w:rPr>
            </w:pPr>
            <w:r>
              <w:rPr>
                <w:w w:val="120"/>
                <w:sz w:val="17"/>
              </w:rPr>
              <w:t>-0.8%</w:t>
            </w:r>
          </w:p>
        </w:tc>
      </w:tr>
      <w:tr>
        <w:trPr>
          <w:trHeight w:val="236" w:hRule="exact"/>
        </w:trPr>
        <w:tc>
          <w:tcPr>
            <w:tcW w:w="2375" w:type="dxa"/>
            <w:shd w:val="clear" w:color="auto" w:fill="DBEDF3"/>
          </w:tcPr>
          <w:p>
            <w:pPr>
              <w:pStyle w:val="TableParagraph"/>
              <w:spacing w:before="24"/>
              <w:ind w:left="87"/>
              <w:jc w:val="left"/>
              <w:rPr>
                <w:sz w:val="17"/>
              </w:rPr>
            </w:pPr>
            <w:r>
              <w:rPr>
                <w:w w:val="120"/>
                <w:sz w:val="17"/>
              </w:rPr>
              <w:t>Eurasia</w:t>
            </w:r>
          </w:p>
        </w:tc>
        <w:tc>
          <w:tcPr>
            <w:tcW w:w="1712" w:type="dxa"/>
            <w:shd w:val="clear" w:color="auto" w:fill="DBEDF3"/>
          </w:tcPr>
          <w:p>
            <w:pPr>
              <w:pStyle w:val="TableParagraph"/>
              <w:spacing w:before="24"/>
              <w:ind w:right="435"/>
              <w:jc w:val="right"/>
              <w:rPr>
                <w:sz w:val="17"/>
              </w:rPr>
            </w:pPr>
            <w:r>
              <w:rPr>
                <w:w w:val="115"/>
                <w:sz w:val="17"/>
              </w:rPr>
              <w:t>26,227</w:t>
            </w:r>
          </w:p>
        </w:tc>
        <w:tc>
          <w:tcPr>
            <w:tcW w:w="1196" w:type="dxa"/>
            <w:shd w:val="clear" w:color="auto" w:fill="DBEDF3"/>
          </w:tcPr>
          <w:p>
            <w:pPr>
              <w:pStyle w:val="TableParagraph"/>
              <w:spacing w:before="24"/>
              <w:ind w:right="252"/>
              <w:jc w:val="right"/>
              <w:rPr>
                <w:sz w:val="17"/>
              </w:rPr>
            </w:pPr>
            <w:r>
              <w:rPr>
                <w:w w:val="115"/>
                <w:sz w:val="17"/>
              </w:rPr>
              <w:t>24%</w:t>
            </w:r>
          </w:p>
        </w:tc>
        <w:tc>
          <w:tcPr>
            <w:tcW w:w="1187" w:type="dxa"/>
            <w:shd w:val="clear" w:color="auto" w:fill="DBEDF3"/>
          </w:tcPr>
          <w:p>
            <w:pPr>
              <w:pStyle w:val="TableParagraph"/>
              <w:spacing w:before="24"/>
              <w:ind w:right="185"/>
              <w:rPr>
                <w:sz w:val="17"/>
              </w:rPr>
            </w:pPr>
            <w:r>
              <w:rPr>
                <w:w w:val="120"/>
                <w:sz w:val="17"/>
              </w:rPr>
              <w:t>-0.3%</w:t>
            </w:r>
          </w:p>
        </w:tc>
        <w:tc>
          <w:tcPr>
            <w:tcW w:w="1348" w:type="dxa"/>
            <w:tcBorders>
              <w:right w:val="single" w:sz="5" w:space="0" w:color="FFFFFF"/>
            </w:tcBorders>
            <w:shd w:val="clear" w:color="auto" w:fill="DBEDF3"/>
          </w:tcPr>
          <w:p>
            <w:pPr>
              <w:pStyle w:val="TableParagraph"/>
              <w:spacing w:before="24"/>
              <w:ind w:left="169" w:right="137"/>
              <w:rPr>
                <w:sz w:val="17"/>
              </w:rPr>
            </w:pPr>
            <w:r>
              <w:rPr>
                <w:w w:val="120"/>
                <w:sz w:val="17"/>
              </w:rPr>
              <w:t>0.3%</w:t>
            </w:r>
          </w:p>
        </w:tc>
      </w:tr>
      <w:tr>
        <w:trPr>
          <w:trHeight w:val="215" w:hRule="exact"/>
        </w:trPr>
        <w:tc>
          <w:tcPr>
            <w:tcW w:w="2375" w:type="dxa"/>
          </w:tcPr>
          <w:p>
            <w:pPr>
              <w:pStyle w:val="TableParagraph"/>
              <w:spacing w:before="13"/>
              <w:ind w:left="87"/>
              <w:jc w:val="left"/>
              <w:rPr>
                <w:sz w:val="17"/>
              </w:rPr>
            </w:pPr>
            <w:r>
              <w:rPr>
                <w:w w:val="120"/>
                <w:sz w:val="17"/>
              </w:rPr>
              <w:t>Medio Oriente</w:t>
            </w:r>
          </w:p>
        </w:tc>
        <w:tc>
          <w:tcPr>
            <w:tcW w:w="1712" w:type="dxa"/>
          </w:tcPr>
          <w:p>
            <w:pPr>
              <w:pStyle w:val="TableParagraph"/>
              <w:spacing w:before="13"/>
              <w:ind w:right="435"/>
              <w:jc w:val="right"/>
              <w:rPr>
                <w:sz w:val="17"/>
              </w:rPr>
            </w:pPr>
            <w:r>
              <w:rPr>
                <w:w w:val="115"/>
                <w:sz w:val="17"/>
              </w:rPr>
              <w:t>15,937</w:t>
            </w:r>
          </w:p>
        </w:tc>
        <w:tc>
          <w:tcPr>
            <w:tcW w:w="1196" w:type="dxa"/>
          </w:tcPr>
          <w:p>
            <w:pPr>
              <w:pStyle w:val="TableParagraph"/>
              <w:spacing w:before="13"/>
              <w:ind w:right="252"/>
              <w:jc w:val="right"/>
              <w:rPr>
                <w:sz w:val="17"/>
              </w:rPr>
            </w:pPr>
            <w:r>
              <w:rPr>
                <w:w w:val="115"/>
                <w:sz w:val="17"/>
              </w:rPr>
              <w:t>14%</w:t>
            </w:r>
          </w:p>
        </w:tc>
        <w:tc>
          <w:tcPr>
            <w:tcW w:w="1187" w:type="dxa"/>
          </w:tcPr>
          <w:p>
            <w:pPr>
              <w:pStyle w:val="TableParagraph"/>
              <w:spacing w:before="13"/>
              <w:ind w:right="186"/>
              <w:rPr>
                <w:sz w:val="17"/>
              </w:rPr>
            </w:pPr>
            <w:r>
              <w:rPr>
                <w:w w:val="120"/>
                <w:sz w:val="17"/>
              </w:rPr>
              <w:t>7.8%</w:t>
            </w:r>
          </w:p>
        </w:tc>
        <w:tc>
          <w:tcPr>
            <w:tcW w:w="1348" w:type="dxa"/>
          </w:tcPr>
          <w:p>
            <w:pPr>
              <w:pStyle w:val="TableParagraph"/>
              <w:spacing w:before="13"/>
              <w:ind w:left="420" w:right="394"/>
              <w:rPr>
                <w:sz w:val="17"/>
              </w:rPr>
            </w:pPr>
            <w:r>
              <w:rPr>
                <w:w w:val="120"/>
                <w:sz w:val="17"/>
              </w:rPr>
              <w:t>8.2%</w:t>
            </w:r>
          </w:p>
        </w:tc>
      </w:tr>
      <w:tr>
        <w:trPr>
          <w:trHeight w:val="236" w:hRule="exact"/>
        </w:trPr>
        <w:tc>
          <w:tcPr>
            <w:tcW w:w="2375" w:type="dxa"/>
            <w:shd w:val="clear" w:color="auto" w:fill="DBEDF3"/>
          </w:tcPr>
          <w:p>
            <w:pPr>
              <w:pStyle w:val="TableParagraph"/>
              <w:spacing w:before="23"/>
              <w:ind w:left="87"/>
              <w:jc w:val="left"/>
              <w:rPr>
                <w:sz w:val="17"/>
              </w:rPr>
            </w:pPr>
            <w:r>
              <w:rPr>
                <w:w w:val="120"/>
                <w:sz w:val="17"/>
              </w:rPr>
              <w:t>África</w:t>
            </w:r>
          </w:p>
        </w:tc>
        <w:tc>
          <w:tcPr>
            <w:tcW w:w="1712" w:type="dxa"/>
            <w:shd w:val="clear" w:color="auto" w:fill="DBEDF3"/>
          </w:tcPr>
          <w:p>
            <w:pPr>
              <w:pStyle w:val="TableParagraph"/>
              <w:spacing w:before="23"/>
              <w:ind w:right="435"/>
              <w:jc w:val="right"/>
              <w:rPr>
                <w:sz w:val="17"/>
              </w:rPr>
            </w:pPr>
            <w:r>
              <w:rPr>
                <w:w w:val="115"/>
                <w:sz w:val="17"/>
              </w:rPr>
              <w:t>7,373</w:t>
            </w:r>
          </w:p>
        </w:tc>
        <w:tc>
          <w:tcPr>
            <w:tcW w:w="1196" w:type="dxa"/>
            <w:shd w:val="clear" w:color="auto" w:fill="DBEDF3"/>
          </w:tcPr>
          <w:p>
            <w:pPr>
              <w:pStyle w:val="TableParagraph"/>
              <w:spacing w:before="23"/>
              <w:ind w:right="252"/>
              <w:jc w:val="right"/>
              <w:rPr>
                <w:sz w:val="17"/>
              </w:rPr>
            </w:pPr>
            <w:r>
              <w:rPr>
                <w:w w:val="115"/>
                <w:sz w:val="17"/>
              </w:rPr>
              <w:t>7%</w:t>
            </w:r>
          </w:p>
        </w:tc>
        <w:tc>
          <w:tcPr>
            <w:tcW w:w="1187" w:type="dxa"/>
            <w:shd w:val="clear" w:color="auto" w:fill="DBEDF3"/>
          </w:tcPr>
          <w:p>
            <w:pPr>
              <w:pStyle w:val="TableParagraph"/>
              <w:spacing w:before="23"/>
              <w:ind w:right="186"/>
              <w:rPr>
                <w:sz w:val="17"/>
              </w:rPr>
            </w:pPr>
            <w:r>
              <w:rPr>
                <w:w w:val="120"/>
                <w:sz w:val="17"/>
              </w:rPr>
              <w:t>5.6%</w:t>
            </w:r>
          </w:p>
        </w:tc>
        <w:tc>
          <w:tcPr>
            <w:tcW w:w="1348" w:type="dxa"/>
            <w:tcBorders>
              <w:right w:val="single" w:sz="5" w:space="0" w:color="FFFFFF"/>
            </w:tcBorders>
            <w:shd w:val="clear" w:color="auto" w:fill="DBEDF3"/>
          </w:tcPr>
          <w:p>
            <w:pPr>
              <w:pStyle w:val="TableParagraph"/>
              <w:spacing w:before="23"/>
              <w:ind w:left="169" w:right="137"/>
              <w:rPr>
                <w:sz w:val="17"/>
              </w:rPr>
            </w:pPr>
            <w:r>
              <w:rPr>
                <w:w w:val="120"/>
                <w:sz w:val="17"/>
              </w:rPr>
              <w:t>5.4%</w:t>
            </w:r>
          </w:p>
        </w:tc>
      </w:tr>
      <w:tr>
        <w:trPr>
          <w:trHeight w:val="226" w:hRule="exact"/>
        </w:trPr>
        <w:tc>
          <w:tcPr>
            <w:tcW w:w="2375" w:type="dxa"/>
            <w:tcBorders>
              <w:bottom w:val="double" w:sz="4" w:space="0" w:color="000000"/>
            </w:tcBorders>
          </w:tcPr>
          <w:p>
            <w:pPr>
              <w:pStyle w:val="TableParagraph"/>
              <w:spacing w:before="13"/>
              <w:ind w:left="87"/>
              <w:jc w:val="left"/>
              <w:rPr>
                <w:sz w:val="17"/>
              </w:rPr>
            </w:pPr>
            <w:r>
              <w:rPr>
                <w:w w:val="120"/>
                <w:sz w:val="17"/>
              </w:rPr>
              <w:t>Asia y Oceanía</w:t>
            </w:r>
          </w:p>
        </w:tc>
        <w:tc>
          <w:tcPr>
            <w:tcW w:w="1712" w:type="dxa"/>
          </w:tcPr>
          <w:p>
            <w:pPr>
              <w:pStyle w:val="TableParagraph"/>
              <w:spacing w:before="13"/>
              <w:ind w:right="435"/>
              <w:jc w:val="right"/>
              <w:rPr>
                <w:sz w:val="17"/>
              </w:rPr>
            </w:pPr>
            <w:r>
              <w:rPr>
                <w:w w:val="115"/>
                <w:sz w:val="17"/>
              </w:rPr>
              <w:t>16,936</w:t>
            </w:r>
          </w:p>
        </w:tc>
        <w:tc>
          <w:tcPr>
            <w:tcW w:w="1196" w:type="dxa"/>
          </w:tcPr>
          <w:p>
            <w:pPr>
              <w:pStyle w:val="TableParagraph"/>
              <w:spacing w:before="13"/>
              <w:ind w:right="252"/>
              <w:jc w:val="right"/>
              <w:rPr>
                <w:sz w:val="17"/>
              </w:rPr>
            </w:pPr>
            <w:r>
              <w:rPr>
                <w:w w:val="115"/>
                <w:sz w:val="17"/>
              </w:rPr>
              <w:t>15%</w:t>
            </w:r>
          </w:p>
        </w:tc>
        <w:tc>
          <w:tcPr>
            <w:tcW w:w="1187" w:type="dxa"/>
          </w:tcPr>
          <w:p>
            <w:pPr>
              <w:pStyle w:val="TableParagraph"/>
              <w:spacing w:before="13"/>
              <w:ind w:right="186"/>
              <w:rPr>
                <w:sz w:val="17"/>
              </w:rPr>
            </w:pPr>
            <w:r>
              <w:rPr>
                <w:w w:val="120"/>
                <w:sz w:val="17"/>
              </w:rPr>
              <w:t>5.6%</w:t>
            </w:r>
          </w:p>
        </w:tc>
        <w:tc>
          <w:tcPr>
            <w:tcW w:w="1348" w:type="dxa"/>
          </w:tcPr>
          <w:p>
            <w:pPr>
              <w:pStyle w:val="TableParagraph"/>
              <w:spacing w:before="13"/>
              <w:ind w:left="420" w:right="394"/>
              <w:rPr>
                <w:sz w:val="17"/>
              </w:rPr>
            </w:pPr>
            <w:r>
              <w:rPr>
                <w:w w:val="120"/>
                <w:sz w:val="17"/>
              </w:rPr>
              <w:t>6.5%</w:t>
            </w:r>
          </w:p>
        </w:tc>
      </w:tr>
      <w:tr>
        <w:trPr>
          <w:trHeight w:val="247" w:hRule="exact"/>
        </w:trPr>
        <w:tc>
          <w:tcPr>
            <w:tcW w:w="2375" w:type="dxa"/>
            <w:tcBorders>
              <w:top w:val="double" w:sz="4" w:space="0" w:color="000000"/>
            </w:tcBorders>
          </w:tcPr>
          <w:p>
            <w:pPr>
              <w:pStyle w:val="TableParagraph"/>
              <w:spacing w:before="13"/>
              <w:ind w:left="87"/>
              <w:jc w:val="left"/>
              <w:rPr>
                <w:b/>
                <w:sz w:val="17"/>
              </w:rPr>
            </w:pPr>
            <w:r>
              <w:rPr>
                <w:b/>
                <w:w w:val="120"/>
                <w:sz w:val="17"/>
              </w:rPr>
              <w:t>Mundial</w:t>
            </w:r>
          </w:p>
        </w:tc>
        <w:tc>
          <w:tcPr>
            <w:tcW w:w="1712" w:type="dxa"/>
            <w:shd w:val="clear" w:color="auto" w:fill="DBEDF3"/>
          </w:tcPr>
          <w:p>
            <w:pPr>
              <w:pStyle w:val="TableParagraph"/>
              <w:spacing w:before="35"/>
              <w:ind w:right="435"/>
              <w:jc w:val="right"/>
              <w:rPr>
                <w:b/>
                <w:sz w:val="17"/>
              </w:rPr>
            </w:pPr>
            <w:r>
              <w:rPr>
                <w:b/>
                <w:w w:val="115"/>
                <w:sz w:val="17"/>
              </w:rPr>
              <w:t>111,346</w:t>
            </w:r>
          </w:p>
        </w:tc>
        <w:tc>
          <w:tcPr>
            <w:tcW w:w="1196" w:type="dxa"/>
            <w:shd w:val="clear" w:color="auto" w:fill="DBEDF3"/>
          </w:tcPr>
          <w:p>
            <w:pPr>
              <w:pStyle w:val="TableParagraph"/>
              <w:spacing w:before="35"/>
              <w:ind w:right="256"/>
              <w:jc w:val="right"/>
              <w:rPr>
                <w:b/>
                <w:sz w:val="17"/>
              </w:rPr>
            </w:pPr>
            <w:r>
              <w:rPr>
                <w:b/>
                <w:w w:val="115"/>
                <w:sz w:val="17"/>
              </w:rPr>
              <w:t>100%</w:t>
            </w:r>
          </w:p>
        </w:tc>
        <w:tc>
          <w:tcPr>
            <w:tcW w:w="1187" w:type="dxa"/>
            <w:shd w:val="clear" w:color="auto" w:fill="DBEDF3"/>
          </w:tcPr>
          <w:p>
            <w:pPr>
              <w:pStyle w:val="TableParagraph"/>
              <w:spacing w:before="35"/>
              <w:ind w:right="202"/>
              <w:rPr>
                <w:b/>
                <w:sz w:val="17"/>
              </w:rPr>
            </w:pPr>
            <w:r>
              <w:rPr>
                <w:b/>
                <w:w w:val="120"/>
                <w:sz w:val="17"/>
              </w:rPr>
              <w:t>2.2%</w:t>
            </w:r>
          </w:p>
        </w:tc>
        <w:tc>
          <w:tcPr>
            <w:tcW w:w="1348" w:type="dxa"/>
            <w:tcBorders>
              <w:right w:val="single" w:sz="5" w:space="0" w:color="FFFFFF"/>
            </w:tcBorders>
            <w:shd w:val="clear" w:color="auto" w:fill="DBEDF3"/>
          </w:tcPr>
          <w:p>
            <w:pPr>
              <w:pStyle w:val="TableParagraph"/>
              <w:spacing w:before="35"/>
              <w:ind w:left="177" w:right="136"/>
              <w:rPr>
                <w:b/>
                <w:sz w:val="17"/>
              </w:rPr>
            </w:pPr>
            <w:r>
              <w:rPr>
                <w:b/>
                <w:w w:val="120"/>
                <w:sz w:val="17"/>
              </w:rPr>
              <w:t>2.5%</w:t>
            </w:r>
          </w:p>
        </w:tc>
      </w:tr>
    </w:tbl>
    <w:p>
      <w:pPr>
        <w:pStyle w:val="BodyText"/>
        <w:spacing w:before="8"/>
        <w:rPr>
          <w:sz w:val="14"/>
        </w:rPr>
      </w:pPr>
      <w:r>
        <w:rPr/>
        <w:pict>
          <v:group style="position:absolute;margin-left:121.073906pt;margin-top:10.425903pt;width:391.25pt;height:12.5pt;mso-position-horizontal-relative:page;mso-position-vertical-relative:paragraph;z-index:2992;mso-wrap-distance-left:0;mso-wrap-distance-right:0" coordorigin="2421,209" coordsize="7825,250">
            <v:rect style="position:absolute;left:2421;top:215;width:7824;height:236" filled="true" fillcolor="#dbedf3" stroked="false">
              <v:fill type="solid"/>
            </v:rect>
            <v:line style="position:absolute" from="10239,215" to="10239,452" stroked="true" strokeweight=".623886pt" strokecolor="#ffffff"/>
            <v:shape style="position:absolute;left:2421;top:215;width:7818;height:237" type="#_x0000_t202" filled="false" stroked="false">
              <v:textbox inset="0,0,0,0">
                <w:txbxContent>
                  <w:p>
                    <w:pPr>
                      <w:spacing w:before="23"/>
                      <w:ind w:left="87" w:right="0" w:firstLine="0"/>
                      <w:jc w:val="left"/>
                      <w:rPr>
                        <w:b/>
                        <w:sz w:val="17"/>
                      </w:rPr>
                    </w:pPr>
                    <w:r>
                      <w:rPr>
                        <w:b/>
                        <w:w w:val="120"/>
                        <w:sz w:val="17"/>
                      </w:rPr>
                      <w:t>RESERVAS PROBADAS DE GAS NATURAL</w:t>
                    </w:r>
                  </w:p>
                </w:txbxContent>
              </v:textbox>
              <w10:wrap type="none"/>
            </v:shape>
            <w10:wrap type="topAndBottom"/>
          </v:group>
        </w:pict>
      </w:r>
    </w:p>
    <w:p>
      <w:pPr>
        <w:spacing w:line="173" w:lineRule="exact" w:before="0" w:after="6"/>
        <w:ind w:left="0" w:right="864" w:firstLine="0"/>
        <w:jc w:val="right"/>
        <w:rPr>
          <w:sz w:val="17"/>
        </w:rPr>
      </w:pPr>
      <w:r>
        <w:rPr>
          <w:w w:val="120"/>
          <w:sz w:val="17"/>
        </w:rPr>
        <w:t>Tasas de crecimiento</w:t>
      </w:r>
    </w:p>
    <w:tbl>
      <w:tblPr>
        <w:tblW w:w="0" w:type="auto"/>
        <w:jc w:val="left"/>
        <w:tblInd w:w="69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06"/>
        <w:gridCol w:w="1581"/>
        <w:gridCol w:w="1196"/>
        <w:gridCol w:w="1187"/>
        <w:gridCol w:w="1348"/>
      </w:tblGrid>
      <w:tr>
        <w:trPr>
          <w:trHeight w:val="517" w:hRule="exact"/>
        </w:trPr>
        <w:tc>
          <w:tcPr>
            <w:tcW w:w="7818" w:type="dxa"/>
            <w:gridSpan w:val="5"/>
            <w:tcBorders>
              <w:bottom w:val="double" w:sz="4" w:space="0" w:color="000000"/>
              <w:right w:val="single" w:sz="5" w:space="0" w:color="FFFFFF"/>
            </w:tcBorders>
            <w:shd w:val="clear" w:color="auto" w:fill="DBEDF3"/>
          </w:tcPr>
          <w:p>
            <w:pPr>
              <w:pStyle w:val="TableParagraph"/>
              <w:tabs>
                <w:tab w:pos="3936" w:val="left" w:leader="none"/>
                <w:tab w:pos="5286" w:val="left" w:leader="none"/>
                <w:tab w:pos="6674" w:val="left" w:leader="none"/>
              </w:tabs>
              <w:spacing w:line="266" w:lineRule="exact" w:before="24"/>
              <w:ind w:left="2474"/>
              <w:jc w:val="left"/>
              <w:rPr>
                <w:sz w:val="17"/>
              </w:rPr>
            </w:pPr>
            <w:r>
              <w:rPr>
                <w:spacing w:val="-4"/>
                <w:w w:val="120"/>
                <w:position w:val="1"/>
                <w:sz w:val="17"/>
              </w:rPr>
              <w:t>Reser</w:t>
            </w:r>
            <w:r>
              <w:rPr>
                <w:spacing w:val="-11"/>
                <w:w w:val="120"/>
                <w:position w:val="1"/>
                <w:sz w:val="17"/>
              </w:rPr>
              <w:t> </w:t>
            </w:r>
            <w:r>
              <w:rPr>
                <w:w w:val="120"/>
                <w:position w:val="1"/>
                <w:sz w:val="17"/>
              </w:rPr>
              <w:t>en</w:t>
            </w:r>
            <w:r>
              <w:rPr>
                <w:spacing w:val="-19"/>
                <w:w w:val="120"/>
                <w:position w:val="1"/>
                <w:sz w:val="17"/>
              </w:rPr>
              <w:t> </w:t>
            </w:r>
            <w:r>
              <w:rPr>
                <w:w w:val="120"/>
                <w:position w:val="1"/>
                <w:sz w:val="17"/>
              </w:rPr>
              <w:t>tpc**</w:t>
              <w:tab/>
            </w:r>
            <w:r>
              <w:rPr>
                <w:spacing w:val="-6"/>
                <w:w w:val="120"/>
                <w:sz w:val="17"/>
              </w:rPr>
              <w:t>Participación</w:t>
              <w:tab/>
            </w:r>
            <w:r>
              <w:rPr>
                <w:w w:val="120"/>
                <w:position w:val="-9"/>
                <w:sz w:val="17"/>
              </w:rPr>
              <w:t>1992</w:t>
            </w:r>
            <w:r>
              <w:rPr>
                <w:spacing w:val="-6"/>
                <w:w w:val="120"/>
                <w:position w:val="-9"/>
                <w:sz w:val="17"/>
              </w:rPr>
              <w:t> </w:t>
            </w:r>
            <w:r>
              <w:rPr>
                <w:w w:val="120"/>
                <w:position w:val="-9"/>
                <w:sz w:val="17"/>
              </w:rPr>
              <w:t>-</w:t>
            </w:r>
            <w:r>
              <w:rPr>
                <w:spacing w:val="2"/>
                <w:w w:val="120"/>
                <w:position w:val="-9"/>
                <w:sz w:val="17"/>
              </w:rPr>
              <w:t> </w:t>
            </w:r>
            <w:r>
              <w:rPr>
                <w:w w:val="120"/>
                <w:position w:val="-9"/>
                <w:sz w:val="17"/>
              </w:rPr>
              <w:t>2010</w:t>
              <w:tab/>
              <w:t>2003 -</w:t>
            </w:r>
            <w:r>
              <w:rPr>
                <w:spacing w:val="-15"/>
                <w:w w:val="120"/>
                <w:position w:val="-9"/>
                <w:sz w:val="17"/>
              </w:rPr>
              <w:t> </w:t>
            </w:r>
            <w:r>
              <w:rPr>
                <w:w w:val="120"/>
                <w:position w:val="-9"/>
                <w:sz w:val="17"/>
              </w:rPr>
              <w:t>2010</w:t>
            </w:r>
          </w:p>
          <w:p>
            <w:pPr>
              <w:pStyle w:val="TableParagraph"/>
              <w:tabs>
                <w:tab w:pos="3199" w:val="left" w:leader="none"/>
                <w:tab w:pos="4111" w:val="left" w:leader="none"/>
              </w:tabs>
              <w:spacing w:line="166" w:lineRule="exact"/>
              <w:ind w:left="87"/>
              <w:jc w:val="left"/>
              <w:rPr>
                <w:sz w:val="17"/>
              </w:rPr>
            </w:pPr>
            <w:r>
              <w:rPr>
                <w:spacing w:val="-8"/>
                <w:w w:val="120"/>
                <w:position w:val="1"/>
                <w:sz w:val="17"/>
              </w:rPr>
              <w:t>Región</w:t>
              <w:tab/>
            </w:r>
            <w:r>
              <w:rPr>
                <w:w w:val="120"/>
                <w:position w:val="1"/>
                <w:sz w:val="17"/>
              </w:rPr>
              <w:t>2,011</w:t>
              <w:tab/>
            </w:r>
            <w:r>
              <w:rPr>
                <w:spacing w:val="-10"/>
                <w:w w:val="120"/>
                <w:sz w:val="17"/>
              </w:rPr>
              <w:t>mundial</w:t>
            </w:r>
          </w:p>
        </w:tc>
      </w:tr>
      <w:tr>
        <w:trPr>
          <w:trHeight w:val="181" w:hRule="exact"/>
        </w:trPr>
        <w:tc>
          <w:tcPr>
            <w:tcW w:w="2506" w:type="dxa"/>
            <w:tcBorders>
              <w:top w:val="double" w:sz="4" w:space="0" w:color="000000"/>
            </w:tcBorders>
          </w:tcPr>
          <w:p>
            <w:pPr>
              <w:pStyle w:val="TableParagraph"/>
              <w:spacing w:before="13"/>
              <w:ind w:left="87"/>
              <w:jc w:val="left"/>
              <w:rPr>
                <w:sz w:val="17"/>
              </w:rPr>
            </w:pPr>
            <w:r>
              <w:rPr>
                <w:w w:val="120"/>
                <w:sz w:val="17"/>
              </w:rPr>
              <w:t>Norte América</w:t>
            </w:r>
          </w:p>
        </w:tc>
        <w:tc>
          <w:tcPr>
            <w:tcW w:w="1581" w:type="dxa"/>
            <w:tcBorders>
              <w:top w:val="double" w:sz="4" w:space="0" w:color="000000"/>
            </w:tcBorders>
          </w:tcPr>
          <w:p>
            <w:pPr>
              <w:pStyle w:val="TableParagraph"/>
              <w:spacing w:before="13"/>
              <w:ind w:right="435"/>
              <w:jc w:val="right"/>
              <w:rPr>
                <w:sz w:val="17"/>
              </w:rPr>
            </w:pPr>
            <w:r>
              <w:rPr>
                <w:w w:val="115"/>
                <w:sz w:val="17"/>
              </w:rPr>
              <w:t>346</w:t>
            </w:r>
          </w:p>
        </w:tc>
        <w:tc>
          <w:tcPr>
            <w:tcW w:w="1196" w:type="dxa"/>
            <w:tcBorders>
              <w:top w:val="double" w:sz="4" w:space="0" w:color="000000"/>
            </w:tcBorders>
          </w:tcPr>
          <w:p>
            <w:pPr>
              <w:pStyle w:val="TableParagraph"/>
              <w:spacing w:before="13"/>
              <w:ind w:right="252"/>
              <w:jc w:val="right"/>
              <w:rPr>
                <w:sz w:val="17"/>
              </w:rPr>
            </w:pPr>
            <w:r>
              <w:rPr>
                <w:w w:val="115"/>
                <w:sz w:val="17"/>
              </w:rPr>
              <w:t>5%</w:t>
            </w:r>
          </w:p>
        </w:tc>
        <w:tc>
          <w:tcPr>
            <w:tcW w:w="1187" w:type="dxa"/>
            <w:tcBorders>
              <w:top w:val="double" w:sz="4" w:space="0" w:color="000000"/>
            </w:tcBorders>
          </w:tcPr>
          <w:p>
            <w:pPr>
              <w:pStyle w:val="TableParagraph"/>
              <w:spacing w:before="13"/>
              <w:ind w:left="291"/>
              <w:jc w:val="left"/>
              <w:rPr>
                <w:sz w:val="17"/>
              </w:rPr>
            </w:pPr>
            <w:r>
              <w:rPr>
                <w:w w:val="120"/>
                <w:sz w:val="17"/>
              </w:rPr>
              <w:t>0.2%</w:t>
            </w:r>
          </w:p>
        </w:tc>
        <w:tc>
          <w:tcPr>
            <w:tcW w:w="1348" w:type="dxa"/>
            <w:tcBorders>
              <w:top w:val="double" w:sz="4" w:space="0" w:color="000000"/>
            </w:tcBorders>
          </w:tcPr>
          <w:p>
            <w:pPr>
              <w:pStyle w:val="TableParagraph"/>
              <w:spacing w:before="13"/>
              <w:ind w:left="420" w:right="394"/>
              <w:rPr>
                <w:sz w:val="17"/>
              </w:rPr>
            </w:pPr>
            <w:r>
              <w:rPr>
                <w:w w:val="120"/>
                <w:sz w:val="17"/>
              </w:rPr>
              <w:t>4.2%</w:t>
            </w:r>
          </w:p>
        </w:tc>
      </w:tr>
      <w:tr>
        <w:trPr>
          <w:trHeight w:val="236" w:hRule="exact"/>
        </w:trPr>
        <w:tc>
          <w:tcPr>
            <w:tcW w:w="2506" w:type="dxa"/>
            <w:shd w:val="clear" w:color="auto" w:fill="DBEDF3"/>
          </w:tcPr>
          <w:p>
            <w:pPr>
              <w:pStyle w:val="TableParagraph"/>
              <w:spacing w:before="23"/>
              <w:ind w:left="87"/>
              <w:jc w:val="left"/>
              <w:rPr>
                <w:sz w:val="17"/>
              </w:rPr>
            </w:pPr>
            <w:r>
              <w:rPr>
                <w:w w:val="120"/>
                <w:sz w:val="17"/>
              </w:rPr>
              <w:t>Centro y Sud-América</w:t>
            </w:r>
          </w:p>
        </w:tc>
        <w:tc>
          <w:tcPr>
            <w:tcW w:w="1581" w:type="dxa"/>
            <w:shd w:val="clear" w:color="auto" w:fill="DBEDF3"/>
          </w:tcPr>
          <w:p>
            <w:pPr>
              <w:pStyle w:val="TableParagraph"/>
              <w:spacing w:before="23"/>
              <w:ind w:right="435"/>
              <w:jc w:val="right"/>
              <w:rPr>
                <w:sz w:val="17"/>
              </w:rPr>
            </w:pPr>
            <w:r>
              <w:rPr>
                <w:w w:val="115"/>
                <w:sz w:val="17"/>
              </w:rPr>
              <w:t>269</w:t>
            </w:r>
          </w:p>
        </w:tc>
        <w:tc>
          <w:tcPr>
            <w:tcW w:w="1196" w:type="dxa"/>
            <w:shd w:val="clear" w:color="auto" w:fill="DBEDF3"/>
          </w:tcPr>
          <w:p>
            <w:pPr>
              <w:pStyle w:val="TableParagraph"/>
              <w:spacing w:before="23"/>
              <w:ind w:right="252"/>
              <w:jc w:val="right"/>
              <w:rPr>
                <w:sz w:val="17"/>
              </w:rPr>
            </w:pPr>
            <w:r>
              <w:rPr>
                <w:w w:val="115"/>
                <w:sz w:val="17"/>
              </w:rPr>
              <w:t>4%</w:t>
            </w:r>
          </w:p>
        </w:tc>
        <w:tc>
          <w:tcPr>
            <w:tcW w:w="1187" w:type="dxa"/>
            <w:shd w:val="clear" w:color="auto" w:fill="DBEDF3"/>
          </w:tcPr>
          <w:p>
            <w:pPr>
              <w:pStyle w:val="TableParagraph"/>
              <w:spacing w:before="23"/>
              <w:ind w:left="291"/>
              <w:jc w:val="left"/>
              <w:rPr>
                <w:sz w:val="17"/>
              </w:rPr>
            </w:pPr>
            <w:r>
              <w:rPr>
                <w:w w:val="120"/>
                <w:sz w:val="17"/>
              </w:rPr>
              <w:t>2.6%</w:t>
            </w:r>
          </w:p>
        </w:tc>
        <w:tc>
          <w:tcPr>
            <w:tcW w:w="1348" w:type="dxa"/>
            <w:tcBorders>
              <w:right w:val="single" w:sz="5" w:space="0" w:color="FFFFFF"/>
            </w:tcBorders>
            <w:shd w:val="clear" w:color="auto" w:fill="DBEDF3"/>
          </w:tcPr>
          <w:p>
            <w:pPr>
              <w:pStyle w:val="TableParagraph"/>
              <w:spacing w:before="23"/>
              <w:ind w:left="169" w:right="137"/>
              <w:rPr>
                <w:sz w:val="17"/>
              </w:rPr>
            </w:pPr>
            <w:r>
              <w:rPr>
                <w:w w:val="120"/>
                <w:sz w:val="17"/>
              </w:rPr>
              <w:t>0.9%</w:t>
            </w:r>
          </w:p>
        </w:tc>
      </w:tr>
      <w:tr>
        <w:trPr>
          <w:trHeight w:val="215" w:hRule="exact"/>
        </w:trPr>
        <w:tc>
          <w:tcPr>
            <w:tcW w:w="2506" w:type="dxa"/>
          </w:tcPr>
          <w:p>
            <w:pPr>
              <w:pStyle w:val="TableParagraph"/>
              <w:spacing w:before="13"/>
              <w:ind w:left="87"/>
              <w:jc w:val="left"/>
              <w:rPr>
                <w:sz w:val="17"/>
              </w:rPr>
            </w:pPr>
            <w:r>
              <w:rPr>
                <w:w w:val="120"/>
                <w:sz w:val="17"/>
              </w:rPr>
              <w:t>Europa</w:t>
            </w:r>
          </w:p>
        </w:tc>
        <w:tc>
          <w:tcPr>
            <w:tcW w:w="1581" w:type="dxa"/>
          </w:tcPr>
          <w:p>
            <w:pPr>
              <w:pStyle w:val="TableParagraph"/>
              <w:spacing w:before="13"/>
              <w:ind w:right="435"/>
              <w:jc w:val="right"/>
              <w:rPr>
                <w:sz w:val="17"/>
              </w:rPr>
            </w:pPr>
            <w:r>
              <w:rPr>
                <w:w w:val="115"/>
                <w:sz w:val="17"/>
              </w:rPr>
              <w:t>152</w:t>
            </w:r>
          </w:p>
        </w:tc>
        <w:tc>
          <w:tcPr>
            <w:tcW w:w="1196" w:type="dxa"/>
          </w:tcPr>
          <w:p>
            <w:pPr>
              <w:pStyle w:val="TableParagraph"/>
              <w:spacing w:before="13"/>
              <w:ind w:right="252"/>
              <w:jc w:val="right"/>
              <w:rPr>
                <w:sz w:val="17"/>
              </w:rPr>
            </w:pPr>
            <w:r>
              <w:rPr>
                <w:w w:val="115"/>
                <w:sz w:val="17"/>
              </w:rPr>
              <w:t>3%</w:t>
            </w:r>
          </w:p>
        </w:tc>
        <w:tc>
          <w:tcPr>
            <w:tcW w:w="1187" w:type="dxa"/>
          </w:tcPr>
          <w:p>
            <w:pPr>
              <w:pStyle w:val="TableParagraph"/>
              <w:spacing w:before="13"/>
              <w:ind w:left="254"/>
              <w:jc w:val="left"/>
              <w:rPr>
                <w:sz w:val="17"/>
              </w:rPr>
            </w:pPr>
            <w:r>
              <w:rPr>
                <w:w w:val="120"/>
                <w:sz w:val="17"/>
              </w:rPr>
              <w:t>-0.9%</w:t>
            </w:r>
          </w:p>
        </w:tc>
        <w:tc>
          <w:tcPr>
            <w:tcW w:w="1348" w:type="dxa"/>
          </w:tcPr>
          <w:p>
            <w:pPr>
              <w:pStyle w:val="TableParagraph"/>
              <w:spacing w:before="13"/>
              <w:ind w:left="421" w:right="394"/>
              <w:rPr>
                <w:sz w:val="17"/>
              </w:rPr>
            </w:pPr>
            <w:r>
              <w:rPr>
                <w:w w:val="120"/>
                <w:sz w:val="17"/>
              </w:rPr>
              <w:t>-2.8%</w:t>
            </w:r>
          </w:p>
        </w:tc>
      </w:tr>
      <w:tr>
        <w:trPr>
          <w:trHeight w:val="236" w:hRule="exact"/>
        </w:trPr>
        <w:tc>
          <w:tcPr>
            <w:tcW w:w="2506" w:type="dxa"/>
            <w:shd w:val="clear" w:color="auto" w:fill="DBEDF3"/>
          </w:tcPr>
          <w:p>
            <w:pPr>
              <w:pStyle w:val="TableParagraph"/>
              <w:spacing w:before="24"/>
              <w:ind w:left="87"/>
              <w:jc w:val="left"/>
              <w:rPr>
                <w:sz w:val="17"/>
              </w:rPr>
            </w:pPr>
            <w:r>
              <w:rPr>
                <w:w w:val="120"/>
                <w:sz w:val="17"/>
              </w:rPr>
              <w:t>Eurasia</w:t>
            </w:r>
          </w:p>
        </w:tc>
        <w:tc>
          <w:tcPr>
            <w:tcW w:w="1581" w:type="dxa"/>
            <w:shd w:val="clear" w:color="auto" w:fill="DBEDF3"/>
          </w:tcPr>
          <w:p>
            <w:pPr>
              <w:pStyle w:val="TableParagraph"/>
              <w:spacing w:before="24"/>
              <w:ind w:right="436"/>
              <w:jc w:val="right"/>
              <w:rPr>
                <w:sz w:val="17"/>
              </w:rPr>
            </w:pPr>
            <w:r>
              <w:rPr>
                <w:w w:val="115"/>
                <w:sz w:val="17"/>
              </w:rPr>
              <w:t>2,167</w:t>
            </w:r>
          </w:p>
        </w:tc>
        <w:tc>
          <w:tcPr>
            <w:tcW w:w="1196" w:type="dxa"/>
            <w:shd w:val="clear" w:color="auto" w:fill="DBEDF3"/>
          </w:tcPr>
          <w:p>
            <w:pPr>
              <w:pStyle w:val="TableParagraph"/>
              <w:spacing w:before="24"/>
              <w:ind w:right="252"/>
              <w:jc w:val="right"/>
              <w:rPr>
                <w:sz w:val="17"/>
              </w:rPr>
            </w:pPr>
            <w:r>
              <w:rPr>
                <w:w w:val="115"/>
                <w:sz w:val="17"/>
              </w:rPr>
              <w:t>34%</w:t>
            </w:r>
          </w:p>
        </w:tc>
        <w:tc>
          <w:tcPr>
            <w:tcW w:w="1187" w:type="dxa"/>
            <w:shd w:val="clear" w:color="auto" w:fill="DBEDF3"/>
          </w:tcPr>
          <w:p>
            <w:pPr>
              <w:pStyle w:val="TableParagraph"/>
              <w:spacing w:before="24"/>
              <w:ind w:left="291"/>
              <w:jc w:val="left"/>
              <w:rPr>
                <w:sz w:val="17"/>
              </w:rPr>
            </w:pPr>
            <w:r>
              <w:rPr>
                <w:w w:val="120"/>
                <w:sz w:val="17"/>
              </w:rPr>
              <w:t>1.2%</w:t>
            </w:r>
          </w:p>
        </w:tc>
        <w:tc>
          <w:tcPr>
            <w:tcW w:w="1348" w:type="dxa"/>
            <w:tcBorders>
              <w:right w:val="single" w:sz="5" w:space="0" w:color="FFFFFF"/>
            </w:tcBorders>
            <w:shd w:val="clear" w:color="auto" w:fill="DBEDF3"/>
          </w:tcPr>
          <w:p>
            <w:pPr>
              <w:pStyle w:val="TableParagraph"/>
              <w:spacing w:before="24"/>
              <w:ind w:left="169" w:right="137"/>
              <w:rPr>
                <w:sz w:val="17"/>
              </w:rPr>
            </w:pPr>
            <w:r>
              <w:rPr>
                <w:w w:val="120"/>
                <w:sz w:val="17"/>
              </w:rPr>
              <w:t>1.5%</w:t>
            </w:r>
          </w:p>
        </w:tc>
      </w:tr>
      <w:tr>
        <w:trPr>
          <w:trHeight w:val="215" w:hRule="exact"/>
        </w:trPr>
        <w:tc>
          <w:tcPr>
            <w:tcW w:w="2506" w:type="dxa"/>
          </w:tcPr>
          <w:p>
            <w:pPr>
              <w:pStyle w:val="TableParagraph"/>
              <w:spacing w:before="13"/>
              <w:ind w:left="87"/>
              <w:jc w:val="left"/>
              <w:rPr>
                <w:sz w:val="17"/>
              </w:rPr>
            </w:pPr>
            <w:r>
              <w:rPr>
                <w:w w:val="120"/>
                <w:sz w:val="17"/>
              </w:rPr>
              <w:t>Medio Oriente</w:t>
            </w:r>
          </w:p>
        </w:tc>
        <w:tc>
          <w:tcPr>
            <w:tcW w:w="1581" w:type="dxa"/>
          </w:tcPr>
          <w:p>
            <w:pPr>
              <w:pStyle w:val="TableParagraph"/>
              <w:spacing w:before="13"/>
              <w:ind w:right="436"/>
              <w:jc w:val="right"/>
              <w:rPr>
                <w:sz w:val="17"/>
              </w:rPr>
            </w:pPr>
            <w:r>
              <w:rPr>
                <w:w w:val="115"/>
                <w:sz w:val="17"/>
              </w:rPr>
              <w:t>2,686</w:t>
            </w:r>
          </w:p>
        </w:tc>
        <w:tc>
          <w:tcPr>
            <w:tcW w:w="1196" w:type="dxa"/>
          </w:tcPr>
          <w:p>
            <w:pPr>
              <w:pStyle w:val="TableParagraph"/>
              <w:spacing w:before="13"/>
              <w:ind w:right="252"/>
              <w:jc w:val="right"/>
              <w:rPr>
                <w:sz w:val="17"/>
              </w:rPr>
            </w:pPr>
            <w:r>
              <w:rPr>
                <w:w w:val="115"/>
                <w:sz w:val="17"/>
              </w:rPr>
              <w:t>42%</w:t>
            </w:r>
          </w:p>
        </w:tc>
        <w:tc>
          <w:tcPr>
            <w:tcW w:w="1187" w:type="dxa"/>
          </w:tcPr>
          <w:p>
            <w:pPr>
              <w:pStyle w:val="TableParagraph"/>
              <w:spacing w:before="13"/>
              <w:ind w:left="291"/>
              <w:jc w:val="left"/>
              <w:rPr>
                <w:sz w:val="17"/>
              </w:rPr>
            </w:pPr>
            <w:r>
              <w:rPr>
                <w:w w:val="120"/>
                <w:sz w:val="17"/>
              </w:rPr>
              <w:t>4.0%</w:t>
            </w:r>
          </w:p>
        </w:tc>
        <w:tc>
          <w:tcPr>
            <w:tcW w:w="1348" w:type="dxa"/>
          </w:tcPr>
          <w:p>
            <w:pPr>
              <w:pStyle w:val="TableParagraph"/>
              <w:spacing w:before="13"/>
              <w:ind w:left="420" w:right="394"/>
              <w:rPr>
                <w:sz w:val="17"/>
              </w:rPr>
            </w:pPr>
            <w:r>
              <w:rPr>
                <w:w w:val="120"/>
                <w:sz w:val="17"/>
              </w:rPr>
              <w:t>4.3%</w:t>
            </w:r>
          </w:p>
        </w:tc>
      </w:tr>
      <w:tr>
        <w:trPr>
          <w:trHeight w:val="236" w:hRule="exact"/>
        </w:trPr>
        <w:tc>
          <w:tcPr>
            <w:tcW w:w="2506" w:type="dxa"/>
            <w:shd w:val="clear" w:color="auto" w:fill="DBEDF3"/>
          </w:tcPr>
          <w:p>
            <w:pPr>
              <w:pStyle w:val="TableParagraph"/>
              <w:spacing w:before="23"/>
              <w:ind w:left="87"/>
              <w:jc w:val="left"/>
              <w:rPr>
                <w:sz w:val="17"/>
              </w:rPr>
            </w:pPr>
            <w:r>
              <w:rPr>
                <w:w w:val="120"/>
                <w:sz w:val="17"/>
              </w:rPr>
              <w:t>África</w:t>
            </w:r>
          </w:p>
        </w:tc>
        <w:tc>
          <w:tcPr>
            <w:tcW w:w="1581" w:type="dxa"/>
            <w:shd w:val="clear" w:color="auto" w:fill="DBEDF3"/>
          </w:tcPr>
          <w:p>
            <w:pPr>
              <w:pStyle w:val="TableParagraph"/>
              <w:spacing w:before="23"/>
              <w:ind w:right="435"/>
              <w:jc w:val="right"/>
              <w:rPr>
                <w:sz w:val="17"/>
              </w:rPr>
            </w:pPr>
            <w:r>
              <w:rPr>
                <w:w w:val="115"/>
                <w:sz w:val="17"/>
              </w:rPr>
              <w:t>518</w:t>
            </w:r>
          </w:p>
        </w:tc>
        <w:tc>
          <w:tcPr>
            <w:tcW w:w="1196" w:type="dxa"/>
            <w:shd w:val="clear" w:color="auto" w:fill="DBEDF3"/>
          </w:tcPr>
          <w:p>
            <w:pPr>
              <w:pStyle w:val="TableParagraph"/>
              <w:spacing w:before="23"/>
              <w:ind w:right="252"/>
              <w:jc w:val="right"/>
              <w:rPr>
                <w:sz w:val="17"/>
              </w:rPr>
            </w:pPr>
            <w:r>
              <w:rPr>
                <w:w w:val="115"/>
                <w:sz w:val="17"/>
              </w:rPr>
              <w:t>8%</w:t>
            </w:r>
          </w:p>
        </w:tc>
        <w:tc>
          <w:tcPr>
            <w:tcW w:w="1187" w:type="dxa"/>
            <w:shd w:val="clear" w:color="auto" w:fill="DBEDF3"/>
          </w:tcPr>
          <w:p>
            <w:pPr>
              <w:pStyle w:val="TableParagraph"/>
              <w:spacing w:before="23"/>
              <w:ind w:left="291"/>
              <w:jc w:val="left"/>
              <w:rPr>
                <w:sz w:val="17"/>
              </w:rPr>
            </w:pPr>
            <w:r>
              <w:rPr>
                <w:w w:val="120"/>
                <w:sz w:val="17"/>
              </w:rPr>
              <w:t>2.6%</w:t>
            </w:r>
          </w:p>
        </w:tc>
        <w:tc>
          <w:tcPr>
            <w:tcW w:w="1348" w:type="dxa"/>
            <w:tcBorders>
              <w:right w:val="single" w:sz="5" w:space="0" w:color="FFFFFF"/>
            </w:tcBorders>
            <w:shd w:val="clear" w:color="auto" w:fill="DBEDF3"/>
          </w:tcPr>
          <w:p>
            <w:pPr>
              <w:pStyle w:val="TableParagraph"/>
              <w:spacing w:before="23"/>
              <w:ind w:left="169" w:right="137"/>
              <w:rPr>
                <w:sz w:val="17"/>
              </w:rPr>
            </w:pPr>
            <w:r>
              <w:rPr>
                <w:w w:val="120"/>
                <w:sz w:val="17"/>
              </w:rPr>
              <w:t>2.4%</w:t>
            </w:r>
          </w:p>
        </w:tc>
      </w:tr>
      <w:tr>
        <w:trPr>
          <w:trHeight w:val="231" w:hRule="exact"/>
        </w:trPr>
        <w:tc>
          <w:tcPr>
            <w:tcW w:w="2506" w:type="dxa"/>
            <w:tcBorders>
              <w:bottom w:val="double" w:sz="4" w:space="0" w:color="000000"/>
            </w:tcBorders>
          </w:tcPr>
          <w:p>
            <w:pPr>
              <w:pStyle w:val="TableParagraph"/>
              <w:spacing w:before="13"/>
              <w:ind w:left="87"/>
              <w:jc w:val="left"/>
              <w:rPr>
                <w:sz w:val="17"/>
              </w:rPr>
            </w:pPr>
            <w:r>
              <w:rPr>
                <w:w w:val="120"/>
                <w:sz w:val="17"/>
              </w:rPr>
              <w:t>Asia y Oceanía</w:t>
            </w:r>
          </w:p>
        </w:tc>
        <w:tc>
          <w:tcPr>
            <w:tcW w:w="1581" w:type="dxa"/>
            <w:tcBorders>
              <w:bottom w:val="double" w:sz="4" w:space="0" w:color="000000"/>
            </w:tcBorders>
          </w:tcPr>
          <w:p>
            <w:pPr>
              <w:pStyle w:val="TableParagraph"/>
              <w:spacing w:before="13"/>
              <w:ind w:right="435"/>
              <w:jc w:val="right"/>
              <w:rPr>
                <w:sz w:val="17"/>
              </w:rPr>
            </w:pPr>
            <w:r>
              <w:rPr>
                <w:w w:val="115"/>
                <w:sz w:val="17"/>
              </w:rPr>
              <w:t>538</w:t>
            </w:r>
          </w:p>
        </w:tc>
        <w:tc>
          <w:tcPr>
            <w:tcW w:w="1196" w:type="dxa"/>
            <w:tcBorders>
              <w:bottom w:val="double" w:sz="4" w:space="0" w:color="000000"/>
            </w:tcBorders>
          </w:tcPr>
          <w:p>
            <w:pPr>
              <w:pStyle w:val="TableParagraph"/>
              <w:spacing w:before="13"/>
              <w:ind w:right="252"/>
              <w:jc w:val="right"/>
              <w:rPr>
                <w:sz w:val="17"/>
              </w:rPr>
            </w:pPr>
            <w:r>
              <w:rPr>
                <w:w w:val="115"/>
                <w:sz w:val="17"/>
              </w:rPr>
              <w:t>9%</w:t>
            </w:r>
          </w:p>
        </w:tc>
        <w:tc>
          <w:tcPr>
            <w:tcW w:w="1187" w:type="dxa"/>
            <w:tcBorders>
              <w:bottom w:val="double" w:sz="4" w:space="0" w:color="000000"/>
            </w:tcBorders>
          </w:tcPr>
          <w:p>
            <w:pPr>
              <w:pStyle w:val="TableParagraph"/>
              <w:spacing w:before="13"/>
              <w:ind w:left="291"/>
              <w:jc w:val="left"/>
              <w:rPr>
                <w:sz w:val="17"/>
              </w:rPr>
            </w:pPr>
            <w:r>
              <w:rPr>
                <w:w w:val="120"/>
                <w:sz w:val="17"/>
              </w:rPr>
              <w:t>3.3%</w:t>
            </w:r>
          </w:p>
        </w:tc>
        <w:tc>
          <w:tcPr>
            <w:tcW w:w="1348" w:type="dxa"/>
            <w:tcBorders>
              <w:bottom w:val="double" w:sz="4" w:space="0" w:color="000000"/>
            </w:tcBorders>
          </w:tcPr>
          <w:p>
            <w:pPr>
              <w:pStyle w:val="TableParagraph"/>
              <w:spacing w:before="13"/>
              <w:ind w:left="420" w:right="394"/>
              <w:rPr>
                <w:sz w:val="17"/>
              </w:rPr>
            </w:pPr>
            <w:r>
              <w:rPr>
                <w:w w:val="120"/>
                <w:sz w:val="17"/>
              </w:rPr>
              <w:t>2.8%</w:t>
            </w:r>
          </w:p>
        </w:tc>
      </w:tr>
      <w:tr>
        <w:trPr>
          <w:trHeight w:val="236" w:hRule="exact"/>
        </w:trPr>
        <w:tc>
          <w:tcPr>
            <w:tcW w:w="2506" w:type="dxa"/>
            <w:tcBorders>
              <w:top w:val="double" w:sz="4" w:space="0" w:color="000000"/>
              <w:bottom w:val="single" w:sz="4" w:space="0" w:color="FFFFFF"/>
            </w:tcBorders>
            <w:shd w:val="clear" w:color="auto" w:fill="DBEDF3"/>
          </w:tcPr>
          <w:p>
            <w:pPr>
              <w:pStyle w:val="TableParagraph"/>
              <w:spacing w:before="13"/>
              <w:ind w:left="87"/>
              <w:jc w:val="left"/>
              <w:rPr>
                <w:b/>
                <w:sz w:val="17"/>
              </w:rPr>
            </w:pPr>
            <w:r>
              <w:rPr>
                <w:b/>
                <w:w w:val="120"/>
                <w:sz w:val="17"/>
              </w:rPr>
              <w:t>Mundial</w:t>
            </w:r>
          </w:p>
        </w:tc>
        <w:tc>
          <w:tcPr>
            <w:tcW w:w="1581" w:type="dxa"/>
            <w:tcBorders>
              <w:top w:val="double" w:sz="4" w:space="0" w:color="000000"/>
              <w:bottom w:val="single" w:sz="4" w:space="0" w:color="FFFFFF"/>
            </w:tcBorders>
            <w:shd w:val="clear" w:color="auto" w:fill="DBEDF3"/>
          </w:tcPr>
          <w:p>
            <w:pPr>
              <w:pStyle w:val="TableParagraph"/>
              <w:spacing w:before="13"/>
              <w:ind w:right="436"/>
              <w:jc w:val="right"/>
              <w:rPr>
                <w:b/>
                <w:sz w:val="17"/>
              </w:rPr>
            </w:pPr>
            <w:r>
              <w:rPr>
                <w:b/>
                <w:w w:val="115"/>
                <w:sz w:val="17"/>
              </w:rPr>
              <w:t>6,676</w:t>
            </w:r>
          </w:p>
        </w:tc>
        <w:tc>
          <w:tcPr>
            <w:tcW w:w="1196" w:type="dxa"/>
            <w:tcBorders>
              <w:top w:val="double" w:sz="4" w:space="0" w:color="000000"/>
              <w:bottom w:val="single" w:sz="4" w:space="0" w:color="FFFFFF"/>
            </w:tcBorders>
            <w:shd w:val="clear" w:color="auto" w:fill="DBEDF3"/>
          </w:tcPr>
          <w:p>
            <w:pPr>
              <w:pStyle w:val="TableParagraph"/>
              <w:spacing w:before="13"/>
              <w:ind w:right="256"/>
              <w:jc w:val="right"/>
              <w:rPr>
                <w:b/>
                <w:sz w:val="17"/>
              </w:rPr>
            </w:pPr>
            <w:r>
              <w:rPr>
                <w:b/>
                <w:w w:val="115"/>
                <w:sz w:val="17"/>
              </w:rPr>
              <w:t>100%</w:t>
            </w:r>
          </w:p>
        </w:tc>
        <w:tc>
          <w:tcPr>
            <w:tcW w:w="1187" w:type="dxa"/>
            <w:tcBorders>
              <w:top w:val="double" w:sz="4" w:space="0" w:color="000000"/>
              <w:bottom w:val="single" w:sz="4" w:space="0" w:color="FFFFFF"/>
            </w:tcBorders>
            <w:shd w:val="clear" w:color="auto" w:fill="DBEDF3"/>
          </w:tcPr>
          <w:p>
            <w:pPr>
              <w:pStyle w:val="TableParagraph"/>
              <w:spacing w:before="13"/>
              <w:ind w:left="266"/>
              <w:jc w:val="left"/>
              <w:rPr>
                <w:b/>
                <w:sz w:val="17"/>
              </w:rPr>
            </w:pPr>
            <w:r>
              <w:rPr>
                <w:b/>
                <w:w w:val="120"/>
                <w:sz w:val="17"/>
              </w:rPr>
              <w:t>2.0%</w:t>
            </w:r>
          </w:p>
        </w:tc>
        <w:tc>
          <w:tcPr>
            <w:tcW w:w="1348" w:type="dxa"/>
            <w:tcBorders>
              <w:top w:val="double" w:sz="4" w:space="0" w:color="000000"/>
              <w:bottom w:val="single" w:sz="4" w:space="0" w:color="FFFFFF"/>
              <w:right w:val="single" w:sz="5" w:space="0" w:color="FFFFFF"/>
            </w:tcBorders>
            <w:shd w:val="clear" w:color="auto" w:fill="DBEDF3"/>
          </w:tcPr>
          <w:p>
            <w:pPr>
              <w:pStyle w:val="TableParagraph"/>
              <w:spacing w:before="13"/>
              <w:ind w:left="177" w:right="136"/>
              <w:rPr>
                <w:b/>
                <w:sz w:val="17"/>
              </w:rPr>
            </w:pPr>
            <w:r>
              <w:rPr>
                <w:b/>
                <w:w w:val="120"/>
                <w:sz w:val="17"/>
              </w:rPr>
              <w:t>1.9%</w:t>
            </w:r>
          </w:p>
        </w:tc>
      </w:tr>
    </w:tbl>
    <w:p>
      <w:pPr>
        <w:spacing w:before="129"/>
        <w:ind w:left="730" w:right="0" w:firstLine="0"/>
        <w:jc w:val="left"/>
        <w:rPr>
          <w:sz w:val="16"/>
        </w:rPr>
      </w:pPr>
      <w:r>
        <w:rPr>
          <w:sz w:val="16"/>
        </w:rPr>
        <w:t>Fuente: Energy Information Administration EIA - U.S. (2011)</w:t>
      </w:r>
    </w:p>
    <w:p>
      <w:pPr>
        <w:spacing w:line="183" w:lineRule="exact" w:before="92"/>
        <w:ind w:left="690" w:right="0" w:firstLine="0"/>
        <w:jc w:val="left"/>
        <w:rPr>
          <w:sz w:val="16"/>
        </w:rPr>
      </w:pPr>
      <w:r>
        <w:rPr>
          <w:sz w:val="16"/>
        </w:rPr>
        <w:t>*Billones de pies cúbicos (bpc)</w:t>
      </w:r>
    </w:p>
    <w:p>
      <w:pPr>
        <w:spacing w:line="183" w:lineRule="exact" w:before="0"/>
        <w:ind w:left="690" w:right="0" w:firstLine="0"/>
        <w:jc w:val="left"/>
        <w:rPr>
          <w:sz w:val="16"/>
        </w:rPr>
      </w:pPr>
      <w:r>
        <w:rPr>
          <w:sz w:val="16"/>
        </w:rPr>
        <w:t>** Trillones de pies cúbicos (tpc)</w:t>
      </w:r>
    </w:p>
    <w:p>
      <w:pPr>
        <w:spacing w:after="0" w:line="183" w:lineRule="exact"/>
        <w:jc w:val="left"/>
        <w:rPr>
          <w:sz w:val="16"/>
        </w:rPr>
        <w:sectPr>
          <w:pgSz w:w="12250" w:h="15850"/>
          <w:pgMar w:header="0" w:footer="1037" w:top="1360" w:bottom="1220" w:left="1720" w:right="1720"/>
        </w:sectPr>
      </w:pPr>
    </w:p>
    <w:p>
      <w:pPr>
        <w:pStyle w:val="BodyText"/>
        <w:spacing w:line="480" w:lineRule="auto" w:before="48"/>
        <w:ind w:left="2281" w:right="127" w:hanging="1997"/>
      </w:pPr>
      <w:r>
        <w:rPr/>
        <w:pict>
          <v:shape style="position:absolute;margin-left:85.3237pt;margin-top:44.707993pt;width:442.3pt;height:537.75pt;mso-position-horizontal-relative:page;mso-position-vertical-relative:paragraph;z-index:301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24"/>
                    <w:gridCol w:w="2247"/>
                    <w:gridCol w:w="1875"/>
                    <w:gridCol w:w="1008"/>
                    <w:gridCol w:w="888"/>
                    <w:gridCol w:w="893"/>
                  </w:tblGrid>
                  <w:tr>
                    <w:trPr>
                      <w:trHeight w:val="492" w:hRule="exact"/>
                    </w:trPr>
                    <w:tc>
                      <w:tcPr>
                        <w:tcW w:w="8835" w:type="dxa"/>
                        <w:gridSpan w:val="6"/>
                        <w:shd w:val="clear" w:color="auto" w:fill="DBEDF3"/>
                      </w:tcPr>
                      <w:p>
                        <w:pPr>
                          <w:pStyle w:val="TableParagraph"/>
                          <w:tabs>
                            <w:tab w:pos="2740" w:val="left" w:leader="none"/>
                            <w:tab w:pos="4691" w:val="left" w:leader="none"/>
                            <w:tab w:pos="5996" w:val="left" w:leader="none"/>
                            <w:tab w:pos="7114" w:val="left" w:leader="none"/>
                            <w:tab w:pos="7991" w:val="left" w:leader="none"/>
                          </w:tabs>
                          <w:spacing w:line="268" w:lineRule="exact" w:before="15"/>
                          <w:ind w:right="195"/>
                          <w:jc w:val="right"/>
                          <w:rPr>
                            <w:b/>
                            <w:sz w:val="17"/>
                          </w:rPr>
                        </w:pPr>
                        <w:r>
                          <w:rPr>
                            <w:b/>
                            <w:spacing w:val="-3"/>
                            <w:w w:val="105"/>
                            <w:sz w:val="17"/>
                          </w:rPr>
                          <w:t>Posición</w:t>
                        </w:r>
                        <w:r>
                          <w:rPr>
                            <w:b/>
                            <w:spacing w:val="-15"/>
                            <w:w w:val="105"/>
                            <w:sz w:val="17"/>
                          </w:rPr>
                          <w:t> </w:t>
                        </w:r>
                        <w:r>
                          <w:rPr>
                            <w:b/>
                            <w:spacing w:val="-8"/>
                            <w:w w:val="105"/>
                            <w:sz w:val="17"/>
                          </w:rPr>
                          <w:t>mundial</w:t>
                        </w:r>
                        <w:r>
                          <w:rPr>
                            <w:b/>
                            <w:spacing w:val="-10"/>
                            <w:w w:val="105"/>
                            <w:sz w:val="17"/>
                          </w:rPr>
                          <w:t> </w:t>
                        </w:r>
                        <w:r>
                          <w:rPr>
                            <w:b/>
                            <w:w w:val="105"/>
                            <w:sz w:val="17"/>
                          </w:rPr>
                          <w:t>2010</w:t>
                          <w:tab/>
                        </w:r>
                        <w:r>
                          <w:rPr>
                            <w:b/>
                            <w:spacing w:val="-4"/>
                            <w:w w:val="105"/>
                            <w:sz w:val="17"/>
                          </w:rPr>
                          <w:t>País</w:t>
                          <w:tab/>
                        </w:r>
                        <w:r>
                          <w:rPr>
                            <w:b/>
                            <w:w w:val="105"/>
                            <w:sz w:val="17"/>
                          </w:rPr>
                          <w:t>Región</w:t>
                          <w:tab/>
                        </w:r>
                        <w:r>
                          <w:rPr>
                            <w:b/>
                            <w:spacing w:val="-6"/>
                            <w:w w:val="105"/>
                            <w:position w:val="11"/>
                            <w:sz w:val="17"/>
                          </w:rPr>
                          <w:t>Producción</w:t>
                          <w:tab/>
                        </w:r>
                        <w:r>
                          <w:rPr>
                            <w:b/>
                            <w:spacing w:val="-5"/>
                            <w:w w:val="105"/>
                            <w:position w:val="11"/>
                            <w:sz w:val="17"/>
                          </w:rPr>
                          <w:t>Partic.</w:t>
                          <w:tab/>
                        </w:r>
                        <w:r>
                          <w:rPr>
                            <w:b/>
                            <w:spacing w:val="-5"/>
                            <w:position w:val="11"/>
                            <w:sz w:val="17"/>
                          </w:rPr>
                          <w:t>Partic.</w:t>
                        </w:r>
                      </w:p>
                      <w:p>
                        <w:pPr>
                          <w:pStyle w:val="TableParagraph"/>
                          <w:tabs>
                            <w:tab w:pos="822" w:val="left" w:leader="none"/>
                            <w:tab w:pos="1786" w:val="left" w:leader="none"/>
                          </w:tabs>
                          <w:spacing w:line="158" w:lineRule="exact"/>
                          <w:ind w:right="217"/>
                          <w:jc w:val="right"/>
                          <w:rPr>
                            <w:b/>
                            <w:sz w:val="17"/>
                          </w:rPr>
                        </w:pPr>
                        <w:r>
                          <w:rPr>
                            <w:b/>
                            <w:spacing w:val="-6"/>
                            <w:w w:val="105"/>
                            <w:sz w:val="17"/>
                          </w:rPr>
                          <w:t>(bpc)</w:t>
                          <w:tab/>
                        </w:r>
                        <w:r>
                          <w:rPr>
                            <w:b/>
                            <w:spacing w:val="-5"/>
                            <w:w w:val="105"/>
                            <w:sz w:val="17"/>
                          </w:rPr>
                          <w:t>Mundial</w:t>
                          <w:tab/>
                        </w:r>
                        <w:r>
                          <w:rPr>
                            <w:b/>
                            <w:spacing w:val="-8"/>
                            <w:sz w:val="17"/>
                          </w:rPr>
                          <w:t>Acum.</w:t>
                        </w:r>
                      </w:p>
                    </w:tc>
                  </w:tr>
                  <w:tr>
                    <w:trPr>
                      <w:trHeight w:val="184" w:hRule="exact"/>
                    </w:trPr>
                    <w:tc>
                      <w:tcPr>
                        <w:tcW w:w="1924" w:type="dxa"/>
                      </w:tcPr>
                      <w:p>
                        <w:pPr>
                          <w:pStyle w:val="TableParagraph"/>
                          <w:spacing w:line="177" w:lineRule="exact"/>
                          <w:ind w:right="58"/>
                          <w:rPr>
                            <w:sz w:val="17"/>
                          </w:rPr>
                        </w:pPr>
                        <w:r>
                          <w:rPr>
                            <w:w w:val="103"/>
                            <w:sz w:val="17"/>
                          </w:rPr>
                          <w:t>1</w:t>
                        </w:r>
                      </w:p>
                    </w:tc>
                    <w:tc>
                      <w:tcPr>
                        <w:tcW w:w="2247" w:type="dxa"/>
                      </w:tcPr>
                      <w:p>
                        <w:pPr>
                          <w:pStyle w:val="TableParagraph"/>
                          <w:spacing w:line="177" w:lineRule="exact"/>
                          <w:ind w:left="82"/>
                          <w:jc w:val="left"/>
                          <w:rPr>
                            <w:sz w:val="17"/>
                          </w:rPr>
                        </w:pPr>
                        <w:r>
                          <w:rPr>
                            <w:w w:val="105"/>
                            <w:sz w:val="17"/>
                          </w:rPr>
                          <w:t>Estados Unidos de América</w:t>
                        </w:r>
                      </w:p>
                    </w:tc>
                    <w:tc>
                      <w:tcPr>
                        <w:tcW w:w="1875" w:type="dxa"/>
                      </w:tcPr>
                      <w:p>
                        <w:pPr>
                          <w:pStyle w:val="TableParagraph"/>
                          <w:spacing w:line="177" w:lineRule="exact"/>
                          <w:ind w:left="82" w:right="163"/>
                          <w:jc w:val="left"/>
                          <w:rPr>
                            <w:sz w:val="17"/>
                          </w:rPr>
                        </w:pPr>
                        <w:r>
                          <w:rPr>
                            <w:w w:val="105"/>
                            <w:sz w:val="17"/>
                          </w:rPr>
                          <w:t>Norte América</w:t>
                        </w:r>
                      </w:p>
                    </w:tc>
                    <w:tc>
                      <w:tcPr>
                        <w:tcW w:w="1008" w:type="dxa"/>
                      </w:tcPr>
                      <w:p>
                        <w:pPr>
                          <w:pStyle w:val="TableParagraph"/>
                          <w:spacing w:line="177" w:lineRule="exact"/>
                          <w:ind w:right="80"/>
                          <w:jc w:val="right"/>
                          <w:rPr>
                            <w:sz w:val="17"/>
                          </w:rPr>
                        </w:pPr>
                        <w:r>
                          <w:rPr>
                            <w:sz w:val="17"/>
                          </w:rPr>
                          <w:t>21,332</w:t>
                        </w:r>
                      </w:p>
                    </w:tc>
                    <w:tc>
                      <w:tcPr>
                        <w:tcW w:w="888" w:type="dxa"/>
                      </w:tcPr>
                      <w:p>
                        <w:pPr>
                          <w:pStyle w:val="TableParagraph"/>
                          <w:spacing w:line="177" w:lineRule="exact"/>
                          <w:ind w:right="21"/>
                          <w:jc w:val="right"/>
                          <w:rPr>
                            <w:sz w:val="17"/>
                          </w:rPr>
                        </w:pPr>
                        <w:r>
                          <w:rPr>
                            <w:sz w:val="17"/>
                          </w:rPr>
                          <w:t>19%</w:t>
                        </w:r>
                      </w:p>
                    </w:tc>
                    <w:tc>
                      <w:tcPr>
                        <w:tcW w:w="893" w:type="dxa"/>
                      </w:tcPr>
                      <w:p>
                        <w:pPr>
                          <w:pStyle w:val="TableParagraph"/>
                          <w:spacing w:line="177" w:lineRule="exact"/>
                          <w:ind w:right="27"/>
                          <w:jc w:val="right"/>
                          <w:rPr>
                            <w:sz w:val="17"/>
                          </w:rPr>
                        </w:pPr>
                        <w:r>
                          <w:rPr>
                            <w:sz w:val="17"/>
                          </w:rPr>
                          <w:t>19%</w:t>
                        </w:r>
                      </w:p>
                    </w:tc>
                  </w:tr>
                  <w:tr>
                    <w:trPr>
                      <w:trHeight w:val="240" w:hRule="exact"/>
                    </w:trPr>
                    <w:tc>
                      <w:tcPr>
                        <w:tcW w:w="1924" w:type="dxa"/>
                        <w:shd w:val="clear" w:color="auto" w:fill="DBEDF3"/>
                      </w:tcPr>
                      <w:p>
                        <w:pPr>
                          <w:pStyle w:val="TableParagraph"/>
                          <w:spacing w:before="27"/>
                          <w:ind w:right="58"/>
                          <w:rPr>
                            <w:sz w:val="17"/>
                          </w:rPr>
                        </w:pPr>
                        <w:r>
                          <w:rPr>
                            <w:w w:val="103"/>
                            <w:sz w:val="17"/>
                          </w:rPr>
                          <w:t>2</w:t>
                        </w:r>
                      </w:p>
                    </w:tc>
                    <w:tc>
                      <w:tcPr>
                        <w:tcW w:w="2247" w:type="dxa"/>
                        <w:shd w:val="clear" w:color="auto" w:fill="DBEDF3"/>
                      </w:tcPr>
                      <w:p>
                        <w:pPr>
                          <w:pStyle w:val="TableParagraph"/>
                          <w:spacing w:before="27"/>
                          <w:ind w:left="82"/>
                          <w:jc w:val="left"/>
                          <w:rPr>
                            <w:sz w:val="17"/>
                          </w:rPr>
                        </w:pPr>
                        <w:r>
                          <w:rPr>
                            <w:w w:val="105"/>
                            <w:sz w:val="17"/>
                          </w:rPr>
                          <w:t>Rusia</w:t>
                        </w:r>
                      </w:p>
                    </w:tc>
                    <w:tc>
                      <w:tcPr>
                        <w:tcW w:w="1875" w:type="dxa"/>
                        <w:shd w:val="clear" w:color="auto" w:fill="DBEDF3"/>
                      </w:tcPr>
                      <w:p>
                        <w:pPr>
                          <w:pStyle w:val="TableParagraph"/>
                          <w:spacing w:before="27"/>
                          <w:ind w:left="82" w:right="163"/>
                          <w:jc w:val="left"/>
                          <w:rPr>
                            <w:sz w:val="17"/>
                          </w:rPr>
                        </w:pPr>
                        <w:r>
                          <w:rPr>
                            <w:w w:val="105"/>
                            <w:sz w:val="17"/>
                          </w:rPr>
                          <w:t>Eurasia</w:t>
                        </w:r>
                      </w:p>
                    </w:tc>
                    <w:tc>
                      <w:tcPr>
                        <w:tcW w:w="1008" w:type="dxa"/>
                        <w:shd w:val="clear" w:color="auto" w:fill="DBEDF3"/>
                      </w:tcPr>
                      <w:p>
                        <w:pPr>
                          <w:pStyle w:val="TableParagraph"/>
                          <w:spacing w:before="27"/>
                          <w:ind w:right="80"/>
                          <w:jc w:val="right"/>
                          <w:rPr>
                            <w:sz w:val="17"/>
                          </w:rPr>
                        </w:pPr>
                        <w:r>
                          <w:rPr>
                            <w:sz w:val="17"/>
                          </w:rPr>
                          <w:t>20,915</w:t>
                        </w:r>
                      </w:p>
                    </w:tc>
                    <w:tc>
                      <w:tcPr>
                        <w:tcW w:w="888" w:type="dxa"/>
                        <w:shd w:val="clear" w:color="auto" w:fill="DBEDF3"/>
                      </w:tcPr>
                      <w:p>
                        <w:pPr>
                          <w:pStyle w:val="TableParagraph"/>
                          <w:spacing w:before="27"/>
                          <w:ind w:right="21"/>
                          <w:jc w:val="right"/>
                          <w:rPr>
                            <w:sz w:val="17"/>
                          </w:rPr>
                        </w:pPr>
                        <w:r>
                          <w:rPr>
                            <w:sz w:val="17"/>
                          </w:rPr>
                          <w:t>19%</w:t>
                        </w:r>
                      </w:p>
                    </w:tc>
                    <w:tc>
                      <w:tcPr>
                        <w:tcW w:w="893" w:type="dxa"/>
                        <w:shd w:val="clear" w:color="auto" w:fill="DBEDF3"/>
                      </w:tcPr>
                      <w:p>
                        <w:pPr>
                          <w:pStyle w:val="TableParagraph"/>
                          <w:spacing w:before="27"/>
                          <w:ind w:right="27"/>
                          <w:jc w:val="right"/>
                          <w:rPr>
                            <w:sz w:val="17"/>
                          </w:rPr>
                        </w:pPr>
                        <w:r>
                          <w:rPr>
                            <w:sz w:val="17"/>
                          </w:rPr>
                          <w:t>38%</w:t>
                        </w:r>
                      </w:p>
                    </w:tc>
                  </w:tr>
                  <w:tr>
                    <w:trPr>
                      <w:trHeight w:val="218" w:hRule="exact"/>
                    </w:trPr>
                    <w:tc>
                      <w:tcPr>
                        <w:tcW w:w="1924" w:type="dxa"/>
                      </w:tcPr>
                      <w:p>
                        <w:pPr>
                          <w:pStyle w:val="TableParagraph"/>
                          <w:spacing w:before="15"/>
                          <w:ind w:right="58"/>
                          <w:rPr>
                            <w:sz w:val="17"/>
                          </w:rPr>
                        </w:pPr>
                        <w:r>
                          <w:rPr>
                            <w:w w:val="103"/>
                            <w:sz w:val="17"/>
                          </w:rPr>
                          <w:t>3</w:t>
                        </w:r>
                      </w:p>
                    </w:tc>
                    <w:tc>
                      <w:tcPr>
                        <w:tcW w:w="2247" w:type="dxa"/>
                      </w:tcPr>
                      <w:p>
                        <w:pPr>
                          <w:pStyle w:val="TableParagraph"/>
                          <w:spacing w:before="15"/>
                          <w:ind w:left="82"/>
                          <w:jc w:val="left"/>
                          <w:rPr>
                            <w:sz w:val="17"/>
                          </w:rPr>
                        </w:pPr>
                        <w:r>
                          <w:rPr>
                            <w:w w:val="105"/>
                            <w:sz w:val="17"/>
                          </w:rPr>
                          <w:t>Canada</w:t>
                        </w:r>
                      </w:p>
                    </w:tc>
                    <w:tc>
                      <w:tcPr>
                        <w:tcW w:w="1875" w:type="dxa"/>
                      </w:tcPr>
                      <w:p>
                        <w:pPr>
                          <w:pStyle w:val="TableParagraph"/>
                          <w:spacing w:before="15"/>
                          <w:ind w:left="82" w:right="163"/>
                          <w:jc w:val="left"/>
                          <w:rPr>
                            <w:sz w:val="17"/>
                          </w:rPr>
                        </w:pPr>
                        <w:r>
                          <w:rPr>
                            <w:w w:val="105"/>
                            <w:sz w:val="17"/>
                          </w:rPr>
                          <w:t>Norte América</w:t>
                        </w:r>
                      </w:p>
                    </w:tc>
                    <w:tc>
                      <w:tcPr>
                        <w:tcW w:w="1008" w:type="dxa"/>
                      </w:tcPr>
                      <w:p>
                        <w:pPr>
                          <w:pStyle w:val="TableParagraph"/>
                          <w:spacing w:before="15"/>
                          <w:ind w:right="80"/>
                          <w:jc w:val="right"/>
                          <w:rPr>
                            <w:sz w:val="17"/>
                          </w:rPr>
                        </w:pPr>
                        <w:r>
                          <w:rPr>
                            <w:sz w:val="17"/>
                          </w:rPr>
                          <w:t>5,390</w:t>
                        </w:r>
                      </w:p>
                    </w:tc>
                    <w:tc>
                      <w:tcPr>
                        <w:tcW w:w="888" w:type="dxa"/>
                      </w:tcPr>
                      <w:p>
                        <w:pPr>
                          <w:pStyle w:val="TableParagraph"/>
                          <w:spacing w:before="15"/>
                          <w:ind w:right="21"/>
                          <w:jc w:val="right"/>
                          <w:rPr>
                            <w:sz w:val="17"/>
                          </w:rPr>
                        </w:pPr>
                        <w:r>
                          <w:rPr>
                            <w:sz w:val="17"/>
                          </w:rPr>
                          <w:t>5%</w:t>
                        </w:r>
                      </w:p>
                    </w:tc>
                    <w:tc>
                      <w:tcPr>
                        <w:tcW w:w="893" w:type="dxa"/>
                      </w:tcPr>
                      <w:p>
                        <w:pPr>
                          <w:pStyle w:val="TableParagraph"/>
                          <w:spacing w:before="15"/>
                          <w:ind w:right="27"/>
                          <w:jc w:val="right"/>
                          <w:rPr>
                            <w:sz w:val="17"/>
                          </w:rPr>
                        </w:pPr>
                        <w:r>
                          <w:rPr>
                            <w:sz w:val="17"/>
                          </w:rPr>
                          <w:t>43%</w:t>
                        </w:r>
                      </w:p>
                    </w:tc>
                  </w:tr>
                  <w:tr>
                    <w:trPr>
                      <w:trHeight w:val="240" w:hRule="exact"/>
                    </w:trPr>
                    <w:tc>
                      <w:tcPr>
                        <w:tcW w:w="1924" w:type="dxa"/>
                        <w:shd w:val="clear" w:color="auto" w:fill="DBEDF3"/>
                      </w:tcPr>
                      <w:p>
                        <w:pPr>
                          <w:pStyle w:val="TableParagraph"/>
                          <w:spacing w:before="26"/>
                          <w:ind w:right="58"/>
                          <w:rPr>
                            <w:sz w:val="17"/>
                          </w:rPr>
                        </w:pPr>
                        <w:r>
                          <w:rPr>
                            <w:w w:val="103"/>
                            <w:sz w:val="17"/>
                          </w:rPr>
                          <w:t>4</w:t>
                        </w:r>
                      </w:p>
                    </w:tc>
                    <w:tc>
                      <w:tcPr>
                        <w:tcW w:w="2247" w:type="dxa"/>
                        <w:shd w:val="clear" w:color="auto" w:fill="DBEDF3"/>
                      </w:tcPr>
                      <w:p>
                        <w:pPr>
                          <w:pStyle w:val="TableParagraph"/>
                          <w:spacing w:before="26"/>
                          <w:ind w:left="82"/>
                          <w:jc w:val="left"/>
                          <w:rPr>
                            <w:sz w:val="17"/>
                          </w:rPr>
                        </w:pPr>
                        <w:r>
                          <w:rPr>
                            <w:w w:val="105"/>
                            <w:sz w:val="17"/>
                          </w:rPr>
                          <w:t>Irán</w:t>
                        </w:r>
                      </w:p>
                    </w:tc>
                    <w:tc>
                      <w:tcPr>
                        <w:tcW w:w="1875" w:type="dxa"/>
                        <w:shd w:val="clear" w:color="auto" w:fill="DBEDF3"/>
                      </w:tcPr>
                      <w:p>
                        <w:pPr>
                          <w:pStyle w:val="TableParagraph"/>
                          <w:spacing w:before="26"/>
                          <w:ind w:left="82" w:right="163"/>
                          <w:jc w:val="left"/>
                          <w:rPr>
                            <w:sz w:val="17"/>
                          </w:rPr>
                        </w:pPr>
                        <w:r>
                          <w:rPr>
                            <w:w w:val="105"/>
                            <w:sz w:val="17"/>
                          </w:rPr>
                          <w:t>Medio Oriente</w:t>
                        </w:r>
                      </w:p>
                    </w:tc>
                    <w:tc>
                      <w:tcPr>
                        <w:tcW w:w="1008" w:type="dxa"/>
                        <w:shd w:val="clear" w:color="auto" w:fill="DBEDF3"/>
                      </w:tcPr>
                      <w:p>
                        <w:pPr>
                          <w:pStyle w:val="TableParagraph"/>
                          <w:spacing w:before="26"/>
                          <w:ind w:right="80"/>
                          <w:jc w:val="right"/>
                          <w:rPr>
                            <w:sz w:val="17"/>
                          </w:rPr>
                        </w:pPr>
                        <w:r>
                          <w:rPr>
                            <w:sz w:val="17"/>
                          </w:rPr>
                          <w:t>5,161</w:t>
                        </w:r>
                      </w:p>
                    </w:tc>
                    <w:tc>
                      <w:tcPr>
                        <w:tcW w:w="888" w:type="dxa"/>
                        <w:shd w:val="clear" w:color="auto" w:fill="DBEDF3"/>
                      </w:tcPr>
                      <w:p>
                        <w:pPr>
                          <w:pStyle w:val="TableParagraph"/>
                          <w:spacing w:before="26"/>
                          <w:ind w:right="21"/>
                          <w:jc w:val="right"/>
                          <w:rPr>
                            <w:sz w:val="17"/>
                          </w:rPr>
                        </w:pPr>
                        <w:r>
                          <w:rPr>
                            <w:sz w:val="17"/>
                          </w:rPr>
                          <w:t>5%</w:t>
                        </w:r>
                      </w:p>
                    </w:tc>
                    <w:tc>
                      <w:tcPr>
                        <w:tcW w:w="893" w:type="dxa"/>
                        <w:shd w:val="clear" w:color="auto" w:fill="DBEDF3"/>
                      </w:tcPr>
                      <w:p>
                        <w:pPr>
                          <w:pStyle w:val="TableParagraph"/>
                          <w:spacing w:before="26"/>
                          <w:ind w:right="27"/>
                          <w:jc w:val="right"/>
                          <w:rPr>
                            <w:sz w:val="17"/>
                          </w:rPr>
                        </w:pPr>
                        <w:r>
                          <w:rPr>
                            <w:sz w:val="17"/>
                          </w:rPr>
                          <w:t>47%</w:t>
                        </w:r>
                      </w:p>
                    </w:tc>
                  </w:tr>
                  <w:tr>
                    <w:trPr>
                      <w:trHeight w:val="218" w:hRule="exact"/>
                    </w:trPr>
                    <w:tc>
                      <w:tcPr>
                        <w:tcW w:w="1924" w:type="dxa"/>
                      </w:tcPr>
                      <w:p>
                        <w:pPr>
                          <w:pStyle w:val="TableParagraph"/>
                          <w:spacing w:before="15"/>
                          <w:ind w:right="58"/>
                          <w:rPr>
                            <w:sz w:val="17"/>
                          </w:rPr>
                        </w:pPr>
                        <w:r>
                          <w:rPr>
                            <w:w w:val="103"/>
                            <w:sz w:val="17"/>
                          </w:rPr>
                          <w:t>5</w:t>
                        </w:r>
                      </w:p>
                    </w:tc>
                    <w:tc>
                      <w:tcPr>
                        <w:tcW w:w="2247" w:type="dxa"/>
                      </w:tcPr>
                      <w:p>
                        <w:pPr>
                          <w:pStyle w:val="TableParagraph"/>
                          <w:spacing w:before="15"/>
                          <w:ind w:left="82"/>
                          <w:jc w:val="left"/>
                          <w:rPr>
                            <w:sz w:val="17"/>
                          </w:rPr>
                        </w:pPr>
                        <w:r>
                          <w:rPr>
                            <w:w w:val="105"/>
                            <w:sz w:val="17"/>
                          </w:rPr>
                          <w:t>Noruega</w:t>
                        </w:r>
                      </w:p>
                    </w:tc>
                    <w:tc>
                      <w:tcPr>
                        <w:tcW w:w="1875" w:type="dxa"/>
                      </w:tcPr>
                      <w:p>
                        <w:pPr>
                          <w:pStyle w:val="TableParagraph"/>
                          <w:spacing w:before="15"/>
                          <w:ind w:left="82" w:right="163"/>
                          <w:jc w:val="left"/>
                          <w:rPr>
                            <w:sz w:val="17"/>
                          </w:rPr>
                        </w:pPr>
                        <w:r>
                          <w:rPr>
                            <w:w w:val="105"/>
                            <w:sz w:val="17"/>
                          </w:rPr>
                          <w:t>Europa</w:t>
                        </w:r>
                      </w:p>
                    </w:tc>
                    <w:tc>
                      <w:tcPr>
                        <w:tcW w:w="1008" w:type="dxa"/>
                      </w:tcPr>
                      <w:p>
                        <w:pPr>
                          <w:pStyle w:val="TableParagraph"/>
                          <w:spacing w:before="15"/>
                          <w:ind w:right="80"/>
                          <w:jc w:val="right"/>
                          <w:rPr>
                            <w:sz w:val="17"/>
                          </w:rPr>
                        </w:pPr>
                        <w:r>
                          <w:rPr>
                            <w:sz w:val="17"/>
                          </w:rPr>
                          <w:t>3,756</w:t>
                        </w:r>
                      </w:p>
                    </w:tc>
                    <w:tc>
                      <w:tcPr>
                        <w:tcW w:w="888" w:type="dxa"/>
                      </w:tcPr>
                      <w:p>
                        <w:pPr>
                          <w:pStyle w:val="TableParagraph"/>
                          <w:spacing w:before="15"/>
                          <w:ind w:right="21"/>
                          <w:jc w:val="right"/>
                          <w:rPr>
                            <w:sz w:val="17"/>
                          </w:rPr>
                        </w:pPr>
                        <w:r>
                          <w:rPr>
                            <w:sz w:val="17"/>
                          </w:rPr>
                          <w:t>3%</w:t>
                        </w:r>
                      </w:p>
                    </w:tc>
                    <w:tc>
                      <w:tcPr>
                        <w:tcW w:w="893" w:type="dxa"/>
                      </w:tcPr>
                      <w:p>
                        <w:pPr>
                          <w:pStyle w:val="TableParagraph"/>
                          <w:spacing w:before="15"/>
                          <w:ind w:right="27"/>
                          <w:jc w:val="right"/>
                          <w:rPr>
                            <w:sz w:val="17"/>
                          </w:rPr>
                        </w:pPr>
                        <w:r>
                          <w:rPr>
                            <w:sz w:val="17"/>
                          </w:rPr>
                          <w:t>51%</w:t>
                        </w:r>
                      </w:p>
                    </w:tc>
                  </w:tr>
                  <w:tr>
                    <w:trPr>
                      <w:trHeight w:val="240" w:hRule="exact"/>
                    </w:trPr>
                    <w:tc>
                      <w:tcPr>
                        <w:tcW w:w="1924" w:type="dxa"/>
                        <w:shd w:val="clear" w:color="auto" w:fill="DBEDF3"/>
                      </w:tcPr>
                      <w:p>
                        <w:pPr>
                          <w:pStyle w:val="TableParagraph"/>
                          <w:spacing w:before="26"/>
                          <w:ind w:right="58"/>
                          <w:rPr>
                            <w:sz w:val="17"/>
                          </w:rPr>
                        </w:pPr>
                        <w:r>
                          <w:rPr>
                            <w:w w:val="103"/>
                            <w:sz w:val="17"/>
                          </w:rPr>
                          <w:t>6</w:t>
                        </w:r>
                      </w:p>
                    </w:tc>
                    <w:tc>
                      <w:tcPr>
                        <w:tcW w:w="2247" w:type="dxa"/>
                        <w:shd w:val="clear" w:color="auto" w:fill="DBEDF3"/>
                      </w:tcPr>
                      <w:p>
                        <w:pPr>
                          <w:pStyle w:val="TableParagraph"/>
                          <w:spacing w:before="26"/>
                          <w:ind w:left="82"/>
                          <w:jc w:val="left"/>
                          <w:rPr>
                            <w:sz w:val="17"/>
                          </w:rPr>
                        </w:pPr>
                        <w:r>
                          <w:rPr>
                            <w:w w:val="105"/>
                            <w:sz w:val="17"/>
                          </w:rPr>
                          <w:t>Qatar</w:t>
                        </w:r>
                      </w:p>
                    </w:tc>
                    <w:tc>
                      <w:tcPr>
                        <w:tcW w:w="1875" w:type="dxa"/>
                        <w:shd w:val="clear" w:color="auto" w:fill="DBEDF3"/>
                      </w:tcPr>
                      <w:p>
                        <w:pPr>
                          <w:pStyle w:val="TableParagraph"/>
                          <w:spacing w:before="26"/>
                          <w:ind w:left="82" w:right="163"/>
                          <w:jc w:val="left"/>
                          <w:rPr>
                            <w:sz w:val="17"/>
                          </w:rPr>
                        </w:pPr>
                        <w:r>
                          <w:rPr>
                            <w:w w:val="105"/>
                            <w:sz w:val="17"/>
                          </w:rPr>
                          <w:t>Medio Oriente</w:t>
                        </w:r>
                      </w:p>
                    </w:tc>
                    <w:tc>
                      <w:tcPr>
                        <w:tcW w:w="1008" w:type="dxa"/>
                        <w:shd w:val="clear" w:color="auto" w:fill="DBEDF3"/>
                      </w:tcPr>
                      <w:p>
                        <w:pPr>
                          <w:pStyle w:val="TableParagraph"/>
                          <w:spacing w:before="26"/>
                          <w:ind w:right="80"/>
                          <w:jc w:val="right"/>
                          <w:rPr>
                            <w:sz w:val="17"/>
                          </w:rPr>
                        </w:pPr>
                        <w:r>
                          <w:rPr>
                            <w:sz w:val="17"/>
                          </w:rPr>
                          <w:t>3,402</w:t>
                        </w:r>
                      </w:p>
                    </w:tc>
                    <w:tc>
                      <w:tcPr>
                        <w:tcW w:w="888" w:type="dxa"/>
                        <w:shd w:val="clear" w:color="auto" w:fill="DBEDF3"/>
                      </w:tcPr>
                      <w:p>
                        <w:pPr>
                          <w:pStyle w:val="TableParagraph"/>
                          <w:spacing w:before="26"/>
                          <w:ind w:right="21"/>
                          <w:jc w:val="right"/>
                          <w:rPr>
                            <w:sz w:val="17"/>
                          </w:rPr>
                        </w:pPr>
                        <w:r>
                          <w:rPr>
                            <w:sz w:val="17"/>
                          </w:rPr>
                          <w:t>3%</w:t>
                        </w:r>
                      </w:p>
                    </w:tc>
                    <w:tc>
                      <w:tcPr>
                        <w:tcW w:w="893" w:type="dxa"/>
                        <w:shd w:val="clear" w:color="auto" w:fill="DBEDF3"/>
                      </w:tcPr>
                      <w:p>
                        <w:pPr>
                          <w:pStyle w:val="TableParagraph"/>
                          <w:spacing w:before="26"/>
                          <w:ind w:right="27"/>
                          <w:jc w:val="right"/>
                          <w:rPr>
                            <w:sz w:val="17"/>
                          </w:rPr>
                        </w:pPr>
                        <w:r>
                          <w:rPr>
                            <w:sz w:val="17"/>
                          </w:rPr>
                          <w:t>54%</w:t>
                        </w:r>
                      </w:p>
                    </w:tc>
                  </w:tr>
                  <w:tr>
                    <w:trPr>
                      <w:trHeight w:val="218" w:hRule="exact"/>
                    </w:trPr>
                    <w:tc>
                      <w:tcPr>
                        <w:tcW w:w="1924" w:type="dxa"/>
                      </w:tcPr>
                      <w:p>
                        <w:pPr>
                          <w:pStyle w:val="TableParagraph"/>
                          <w:spacing w:before="16"/>
                          <w:ind w:right="58"/>
                          <w:rPr>
                            <w:sz w:val="17"/>
                          </w:rPr>
                        </w:pPr>
                        <w:r>
                          <w:rPr>
                            <w:w w:val="103"/>
                            <w:sz w:val="17"/>
                          </w:rPr>
                          <w:t>7</w:t>
                        </w:r>
                      </w:p>
                    </w:tc>
                    <w:tc>
                      <w:tcPr>
                        <w:tcW w:w="2247" w:type="dxa"/>
                      </w:tcPr>
                      <w:p>
                        <w:pPr>
                          <w:pStyle w:val="TableParagraph"/>
                          <w:spacing w:before="16"/>
                          <w:ind w:left="82"/>
                          <w:jc w:val="left"/>
                          <w:rPr>
                            <w:sz w:val="17"/>
                          </w:rPr>
                        </w:pPr>
                        <w:r>
                          <w:rPr>
                            <w:w w:val="105"/>
                            <w:sz w:val="17"/>
                          </w:rPr>
                          <w:t>China</w:t>
                        </w:r>
                      </w:p>
                    </w:tc>
                    <w:tc>
                      <w:tcPr>
                        <w:tcW w:w="1875" w:type="dxa"/>
                      </w:tcPr>
                      <w:p>
                        <w:pPr>
                          <w:pStyle w:val="TableParagraph"/>
                          <w:spacing w:before="16"/>
                          <w:ind w:left="82" w:right="163"/>
                          <w:jc w:val="left"/>
                          <w:rPr>
                            <w:sz w:val="17"/>
                          </w:rPr>
                        </w:pPr>
                        <w:r>
                          <w:rPr>
                            <w:w w:val="105"/>
                            <w:sz w:val="17"/>
                          </w:rPr>
                          <w:t>Asia y Oceanía</w:t>
                        </w:r>
                      </w:p>
                    </w:tc>
                    <w:tc>
                      <w:tcPr>
                        <w:tcW w:w="1008" w:type="dxa"/>
                      </w:tcPr>
                      <w:p>
                        <w:pPr>
                          <w:pStyle w:val="TableParagraph"/>
                          <w:spacing w:before="16"/>
                          <w:ind w:right="80"/>
                          <w:jc w:val="right"/>
                          <w:rPr>
                            <w:sz w:val="17"/>
                          </w:rPr>
                        </w:pPr>
                        <w:r>
                          <w:rPr>
                            <w:sz w:val="17"/>
                          </w:rPr>
                          <w:t>3,334</w:t>
                        </w:r>
                      </w:p>
                    </w:tc>
                    <w:tc>
                      <w:tcPr>
                        <w:tcW w:w="888" w:type="dxa"/>
                      </w:tcPr>
                      <w:p>
                        <w:pPr>
                          <w:pStyle w:val="TableParagraph"/>
                          <w:spacing w:before="16"/>
                          <w:ind w:right="21"/>
                          <w:jc w:val="right"/>
                          <w:rPr>
                            <w:sz w:val="17"/>
                          </w:rPr>
                        </w:pPr>
                        <w:r>
                          <w:rPr>
                            <w:sz w:val="17"/>
                          </w:rPr>
                          <w:t>3%</w:t>
                        </w:r>
                      </w:p>
                    </w:tc>
                    <w:tc>
                      <w:tcPr>
                        <w:tcW w:w="893" w:type="dxa"/>
                      </w:tcPr>
                      <w:p>
                        <w:pPr>
                          <w:pStyle w:val="TableParagraph"/>
                          <w:spacing w:before="16"/>
                          <w:ind w:right="27"/>
                          <w:jc w:val="right"/>
                          <w:rPr>
                            <w:sz w:val="17"/>
                          </w:rPr>
                        </w:pPr>
                        <w:r>
                          <w:rPr>
                            <w:sz w:val="17"/>
                          </w:rPr>
                          <w:t>57%</w:t>
                        </w:r>
                      </w:p>
                    </w:tc>
                  </w:tr>
                  <w:tr>
                    <w:trPr>
                      <w:trHeight w:val="240" w:hRule="exact"/>
                    </w:trPr>
                    <w:tc>
                      <w:tcPr>
                        <w:tcW w:w="1924" w:type="dxa"/>
                        <w:shd w:val="clear" w:color="auto" w:fill="DBEDF3"/>
                      </w:tcPr>
                      <w:p>
                        <w:pPr>
                          <w:pStyle w:val="TableParagraph"/>
                          <w:spacing w:before="26"/>
                          <w:ind w:right="58"/>
                          <w:rPr>
                            <w:sz w:val="17"/>
                          </w:rPr>
                        </w:pPr>
                        <w:r>
                          <w:rPr>
                            <w:w w:val="103"/>
                            <w:sz w:val="17"/>
                          </w:rPr>
                          <w:t>8</w:t>
                        </w:r>
                      </w:p>
                    </w:tc>
                    <w:tc>
                      <w:tcPr>
                        <w:tcW w:w="2247" w:type="dxa"/>
                        <w:shd w:val="clear" w:color="auto" w:fill="DBEDF3"/>
                      </w:tcPr>
                      <w:p>
                        <w:pPr>
                          <w:pStyle w:val="TableParagraph"/>
                          <w:spacing w:before="26"/>
                          <w:ind w:left="82"/>
                          <w:jc w:val="left"/>
                          <w:rPr>
                            <w:sz w:val="17"/>
                          </w:rPr>
                        </w:pPr>
                        <w:r>
                          <w:rPr>
                            <w:w w:val="105"/>
                            <w:sz w:val="17"/>
                          </w:rPr>
                          <w:t>Holanda</w:t>
                        </w:r>
                      </w:p>
                    </w:tc>
                    <w:tc>
                      <w:tcPr>
                        <w:tcW w:w="1875" w:type="dxa"/>
                        <w:shd w:val="clear" w:color="auto" w:fill="DBEDF3"/>
                      </w:tcPr>
                      <w:p>
                        <w:pPr>
                          <w:pStyle w:val="TableParagraph"/>
                          <w:spacing w:before="26"/>
                          <w:ind w:left="82" w:right="163"/>
                          <w:jc w:val="left"/>
                          <w:rPr>
                            <w:sz w:val="17"/>
                          </w:rPr>
                        </w:pPr>
                        <w:r>
                          <w:rPr>
                            <w:w w:val="105"/>
                            <w:sz w:val="17"/>
                          </w:rPr>
                          <w:t>Europa</w:t>
                        </w:r>
                      </w:p>
                    </w:tc>
                    <w:tc>
                      <w:tcPr>
                        <w:tcW w:w="1008" w:type="dxa"/>
                        <w:shd w:val="clear" w:color="auto" w:fill="DBEDF3"/>
                      </w:tcPr>
                      <w:p>
                        <w:pPr>
                          <w:pStyle w:val="TableParagraph"/>
                          <w:spacing w:before="26"/>
                          <w:ind w:right="80"/>
                          <w:jc w:val="right"/>
                          <w:rPr>
                            <w:sz w:val="17"/>
                          </w:rPr>
                        </w:pPr>
                        <w:r>
                          <w:rPr>
                            <w:sz w:val="17"/>
                          </w:rPr>
                          <w:t>3,131</w:t>
                        </w:r>
                      </w:p>
                    </w:tc>
                    <w:tc>
                      <w:tcPr>
                        <w:tcW w:w="888" w:type="dxa"/>
                        <w:shd w:val="clear" w:color="auto" w:fill="DBEDF3"/>
                      </w:tcPr>
                      <w:p>
                        <w:pPr>
                          <w:pStyle w:val="TableParagraph"/>
                          <w:spacing w:before="26"/>
                          <w:ind w:right="21"/>
                          <w:jc w:val="right"/>
                          <w:rPr>
                            <w:sz w:val="17"/>
                          </w:rPr>
                        </w:pPr>
                        <w:r>
                          <w:rPr>
                            <w:sz w:val="17"/>
                          </w:rPr>
                          <w:t>3%</w:t>
                        </w:r>
                      </w:p>
                    </w:tc>
                    <w:tc>
                      <w:tcPr>
                        <w:tcW w:w="893" w:type="dxa"/>
                        <w:shd w:val="clear" w:color="auto" w:fill="DBEDF3"/>
                      </w:tcPr>
                      <w:p>
                        <w:pPr>
                          <w:pStyle w:val="TableParagraph"/>
                          <w:spacing w:before="26"/>
                          <w:ind w:right="27"/>
                          <w:jc w:val="right"/>
                          <w:rPr>
                            <w:sz w:val="17"/>
                          </w:rPr>
                        </w:pPr>
                        <w:r>
                          <w:rPr>
                            <w:sz w:val="17"/>
                          </w:rPr>
                          <w:t>60%</w:t>
                        </w:r>
                      </w:p>
                    </w:tc>
                  </w:tr>
                  <w:tr>
                    <w:trPr>
                      <w:trHeight w:val="218" w:hRule="exact"/>
                    </w:trPr>
                    <w:tc>
                      <w:tcPr>
                        <w:tcW w:w="1924" w:type="dxa"/>
                      </w:tcPr>
                      <w:p>
                        <w:pPr>
                          <w:pStyle w:val="TableParagraph"/>
                          <w:spacing w:before="16"/>
                          <w:ind w:right="58"/>
                          <w:rPr>
                            <w:sz w:val="17"/>
                          </w:rPr>
                        </w:pPr>
                        <w:r>
                          <w:rPr>
                            <w:w w:val="103"/>
                            <w:sz w:val="17"/>
                          </w:rPr>
                          <w:t>9</w:t>
                        </w:r>
                      </w:p>
                    </w:tc>
                    <w:tc>
                      <w:tcPr>
                        <w:tcW w:w="2247" w:type="dxa"/>
                      </w:tcPr>
                      <w:p>
                        <w:pPr>
                          <w:pStyle w:val="TableParagraph"/>
                          <w:spacing w:before="16"/>
                          <w:ind w:left="82"/>
                          <w:jc w:val="left"/>
                          <w:rPr>
                            <w:sz w:val="17"/>
                          </w:rPr>
                        </w:pPr>
                        <w:r>
                          <w:rPr>
                            <w:w w:val="105"/>
                            <w:sz w:val="17"/>
                          </w:rPr>
                          <w:t>Arabia Saudita</w:t>
                        </w:r>
                      </w:p>
                    </w:tc>
                    <w:tc>
                      <w:tcPr>
                        <w:tcW w:w="1875" w:type="dxa"/>
                      </w:tcPr>
                      <w:p>
                        <w:pPr>
                          <w:pStyle w:val="TableParagraph"/>
                          <w:spacing w:before="16"/>
                          <w:ind w:left="82" w:right="163"/>
                          <w:jc w:val="left"/>
                          <w:rPr>
                            <w:sz w:val="17"/>
                          </w:rPr>
                        </w:pPr>
                        <w:r>
                          <w:rPr>
                            <w:w w:val="105"/>
                            <w:sz w:val="17"/>
                          </w:rPr>
                          <w:t>Medio Oriente</w:t>
                        </w:r>
                      </w:p>
                    </w:tc>
                    <w:tc>
                      <w:tcPr>
                        <w:tcW w:w="1008" w:type="dxa"/>
                      </w:tcPr>
                      <w:p>
                        <w:pPr>
                          <w:pStyle w:val="TableParagraph"/>
                          <w:spacing w:before="16"/>
                          <w:ind w:right="80"/>
                          <w:jc w:val="right"/>
                          <w:rPr>
                            <w:sz w:val="17"/>
                          </w:rPr>
                        </w:pPr>
                        <w:r>
                          <w:rPr>
                            <w:sz w:val="17"/>
                          </w:rPr>
                          <w:t>3,096</w:t>
                        </w:r>
                      </w:p>
                    </w:tc>
                    <w:tc>
                      <w:tcPr>
                        <w:tcW w:w="888" w:type="dxa"/>
                      </w:tcPr>
                      <w:p>
                        <w:pPr>
                          <w:pStyle w:val="TableParagraph"/>
                          <w:spacing w:before="16"/>
                          <w:ind w:right="21"/>
                          <w:jc w:val="right"/>
                          <w:rPr>
                            <w:sz w:val="17"/>
                          </w:rPr>
                        </w:pPr>
                        <w:r>
                          <w:rPr>
                            <w:sz w:val="17"/>
                          </w:rPr>
                          <w:t>3%</w:t>
                        </w:r>
                      </w:p>
                    </w:tc>
                    <w:tc>
                      <w:tcPr>
                        <w:tcW w:w="893" w:type="dxa"/>
                      </w:tcPr>
                      <w:p>
                        <w:pPr>
                          <w:pStyle w:val="TableParagraph"/>
                          <w:spacing w:before="16"/>
                          <w:ind w:right="27"/>
                          <w:jc w:val="right"/>
                          <w:rPr>
                            <w:sz w:val="17"/>
                          </w:rPr>
                        </w:pPr>
                        <w:r>
                          <w:rPr>
                            <w:sz w:val="17"/>
                          </w:rPr>
                          <w:t>62%</w:t>
                        </w:r>
                      </w:p>
                    </w:tc>
                  </w:tr>
                  <w:tr>
                    <w:trPr>
                      <w:trHeight w:val="234" w:hRule="exact"/>
                    </w:trPr>
                    <w:tc>
                      <w:tcPr>
                        <w:tcW w:w="1924" w:type="dxa"/>
                        <w:tcBorders>
                          <w:bottom w:val="single" w:sz="4" w:space="0" w:color="FFFFFF"/>
                        </w:tcBorders>
                        <w:shd w:val="clear" w:color="auto" w:fill="DBEDF3"/>
                      </w:tcPr>
                      <w:p>
                        <w:pPr>
                          <w:pStyle w:val="TableParagraph"/>
                          <w:spacing w:before="26"/>
                          <w:ind w:left="8" w:right="66"/>
                          <w:rPr>
                            <w:sz w:val="17"/>
                          </w:rPr>
                        </w:pPr>
                        <w:r>
                          <w:rPr>
                            <w:w w:val="105"/>
                            <w:sz w:val="17"/>
                          </w:rPr>
                          <w:t>10</w:t>
                        </w:r>
                      </w:p>
                    </w:tc>
                    <w:tc>
                      <w:tcPr>
                        <w:tcW w:w="2247" w:type="dxa"/>
                        <w:tcBorders>
                          <w:bottom w:val="single" w:sz="4" w:space="0" w:color="FFFFFF"/>
                        </w:tcBorders>
                        <w:shd w:val="clear" w:color="auto" w:fill="DBEDF3"/>
                      </w:tcPr>
                      <w:p>
                        <w:pPr>
                          <w:pStyle w:val="TableParagraph"/>
                          <w:spacing w:before="26"/>
                          <w:ind w:left="82"/>
                          <w:jc w:val="left"/>
                          <w:rPr>
                            <w:sz w:val="17"/>
                          </w:rPr>
                        </w:pPr>
                        <w:r>
                          <w:rPr>
                            <w:w w:val="105"/>
                            <w:sz w:val="17"/>
                          </w:rPr>
                          <w:t>Argelia</w:t>
                        </w:r>
                      </w:p>
                    </w:tc>
                    <w:tc>
                      <w:tcPr>
                        <w:tcW w:w="1875" w:type="dxa"/>
                        <w:tcBorders>
                          <w:bottom w:val="single" w:sz="4" w:space="0" w:color="FFFFFF"/>
                        </w:tcBorders>
                        <w:shd w:val="clear" w:color="auto" w:fill="DBEDF3"/>
                      </w:tcPr>
                      <w:p>
                        <w:pPr>
                          <w:pStyle w:val="TableParagraph"/>
                          <w:spacing w:before="26"/>
                          <w:ind w:left="82" w:right="163"/>
                          <w:jc w:val="left"/>
                          <w:rPr>
                            <w:sz w:val="17"/>
                          </w:rPr>
                        </w:pPr>
                        <w:r>
                          <w:rPr>
                            <w:w w:val="105"/>
                            <w:sz w:val="17"/>
                          </w:rPr>
                          <w:t>Africa</w:t>
                        </w:r>
                      </w:p>
                    </w:tc>
                    <w:tc>
                      <w:tcPr>
                        <w:tcW w:w="1008" w:type="dxa"/>
                        <w:tcBorders>
                          <w:bottom w:val="single" w:sz="4" w:space="0" w:color="FFFFFF"/>
                        </w:tcBorders>
                        <w:shd w:val="clear" w:color="auto" w:fill="DBEDF3"/>
                      </w:tcPr>
                      <w:p>
                        <w:pPr>
                          <w:pStyle w:val="TableParagraph"/>
                          <w:spacing w:before="26"/>
                          <w:ind w:right="80"/>
                          <w:jc w:val="right"/>
                          <w:rPr>
                            <w:sz w:val="17"/>
                          </w:rPr>
                        </w:pPr>
                        <w:r>
                          <w:rPr>
                            <w:sz w:val="17"/>
                          </w:rPr>
                          <w:t>2,988</w:t>
                        </w:r>
                      </w:p>
                    </w:tc>
                    <w:tc>
                      <w:tcPr>
                        <w:tcW w:w="888" w:type="dxa"/>
                        <w:tcBorders>
                          <w:bottom w:val="single" w:sz="4" w:space="0" w:color="FFFFFF"/>
                        </w:tcBorders>
                        <w:shd w:val="clear" w:color="auto" w:fill="DBEDF3"/>
                      </w:tcPr>
                      <w:p>
                        <w:pPr>
                          <w:pStyle w:val="TableParagraph"/>
                          <w:spacing w:before="26"/>
                          <w:ind w:right="21"/>
                          <w:jc w:val="right"/>
                          <w:rPr>
                            <w:sz w:val="17"/>
                          </w:rPr>
                        </w:pPr>
                        <w:r>
                          <w:rPr>
                            <w:sz w:val="17"/>
                          </w:rPr>
                          <w:t>3%</w:t>
                        </w:r>
                      </w:p>
                    </w:tc>
                    <w:tc>
                      <w:tcPr>
                        <w:tcW w:w="893" w:type="dxa"/>
                        <w:tcBorders>
                          <w:bottom w:val="single" w:sz="4" w:space="0" w:color="FFFFFF"/>
                        </w:tcBorders>
                        <w:shd w:val="clear" w:color="auto" w:fill="DBEDF3"/>
                      </w:tcPr>
                      <w:p>
                        <w:pPr>
                          <w:pStyle w:val="TableParagraph"/>
                          <w:spacing w:before="26"/>
                          <w:ind w:right="32"/>
                          <w:jc w:val="right"/>
                          <w:rPr>
                            <w:sz w:val="17"/>
                          </w:rPr>
                        </w:pPr>
                        <w:r>
                          <w:rPr>
                            <w:sz w:val="17"/>
                          </w:rPr>
                          <w:t>65%</w:t>
                        </w:r>
                      </w:p>
                    </w:tc>
                  </w:tr>
                  <w:tr>
                    <w:trPr>
                      <w:trHeight w:val="463" w:hRule="exact"/>
                    </w:trPr>
                    <w:tc>
                      <w:tcPr>
                        <w:tcW w:w="1924" w:type="dxa"/>
                        <w:tcBorders>
                          <w:top w:val="single" w:sz="4" w:space="0" w:color="FFFFFF"/>
                        </w:tcBorders>
                        <w:shd w:val="clear" w:color="auto" w:fill="FFFF00"/>
                      </w:tcPr>
                      <w:p>
                        <w:pPr>
                          <w:pStyle w:val="TableParagraph"/>
                          <w:spacing w:before="16"/>
                          <w:ind w:left="8" w:right="66"/>
                          <w:rPr>
                            <w:b/>
                            <w:sz w:val="17"/>
                          </w:rPr>
                        </w:pPr>
                        <w:r>
                          <w:rPr>
                            <w:b/>
                            <w:w w:val="105"/>
                            <w:sz w:val="17"/>
                          </w:rPr>
                          <w:t>18</w:t>
                        </w:r>
                      </w:p>
                      <w:p>
                        <w:pPr>
                          <w:pStyle w:val="TableParagraph"/>
                          <w:spacing w:before="33"/>
                          <w:ind w:left="8" w:right="66"/>
                          <w:rPr>
                            <w:b/>
                            <w:sz w:val="17"/>
                          </w:rPr>
                        </w:pPr>
                        <w:r>
                          <w:rPr>
                            <w:b/>
                            <w:w w:val="105"/>
                            <w:sz w:val="17"/>
                          </w:rPr>
                          <w:t>32</w:t>
                        </w:r>
                      </w:p>
                    </w:tc>
                    <w:tc>
                      <w:tcPr>
                        <w:tcW w:w="2247" w:type="dxa"/>
                        <w:tcBorders>
                          <w:top w:val="single" w:sz="4" w:space="0" w:color="FFFFFF"/>
                        </w:tcBorders>
                        <w:shd w:val="clear" w:color="auto" w:fill="FFFF00"/>
                      </w:tcPr>
                      <w:p>
                        <w:pPr>
                          <w:pStyle w:val="TableParagraph"/>
                          <w:spacing w:line="280" w:lineRule="auto" w:before="16"/>
                          <w:ind w:left="82" w:right="1589"/>
                          <w:jc w:val="left"/>
                          <w:rPr>
                            <w:b/>
                            <w:sz w:val="17"/>
                          </w:rPr>
                        </w:pPr>
                        <w:r>
                          <w:rPr>
                            <w:b/>
                            <w:w w:val="105"/>
                            <w:sz w:val="17"/>
                          </w:rPr>
                          <w:t>México Bolivia</w:t>
                        </w:r>
                      </w:p>
                    </w:tc>
                    <w:tc>
                      <w:tcPr>
                        <w:tcW w:w="1875" w:type="dxa"/>
                        <w:tcBorders>
                          <w:top w:val="single" w:sz="4" w:space="0" w:color="FFFFFF"/>
                        </w:tcBorders>
                        <w:shd w:val="clear" w:color="auto" w:fill="FFFF00"/>
                      </w:tcPr>
                      <w:p>
                        <w:pPr>
                          <w:pStyle w:val="TableParagraph"/>
                          <w:spacing w:line="280" w:lineRule="auto" w:before="16"/>
                          <w:ind w:left="82" w:right="163"/>
                          <w:jc w:val="left"/>
                          <w:rPr>
                            <w:b/>
                            <w:sz w:val="17"/>
                          </w:rPr>
                        </w:pPr>
                        <w:r>
                          <w:rPr>
                            <w:b/>
                            <w:spacing w:val="-3"/>
                            <w:w w:val="105"/>
                            <w:sz w:val="17"/>
                          </w:rPr>
                          <w:t>Norte  </w:t>
                        </w:r>
                        <w:r>
                          <w:rPr>
                            <w:b/>
                            <w:spacing w:val="-5"/>
                            <w:w w:val="105"/>
                            <w:sz w:val="17"/>
                          </w:rPr>
                          <w:t>América Centro </w:t>
                        </w:r>
                        <w:r>
                          <w:rPr>
                            <w:b/>
                            <w:w w:val="105"/>
                            <w:sz w:val="17"/>
                          </w:rPr>
                          <w:t>y </w:t>
                        </w:r>
                        <w:r>
                          <w:rPr>
                            <w:b/>
                            <w:spacing w:val="-4"/>
                            <w:w w:val="105"/>
                            <w:sz w:val="17"/>
                          </w:rPr>
                          <w:t>Sud </w:t>
                        </w:r>
                        <w:r>
                          <w:rPr>
                            <w:b/>
                            <w:spacing w:val="-5"/>
                            <w:w w:val="105"/>
                            <w:sz w:val="17"/>
                          </w:rPr>
                          <w:t>América</w:t>
                        </w:r>
                      </w:p>
                    </w:tc>
                    <w:tc>
                      <w:tcPr>
                        <w:tcW w:w="1008" w:type="dxa"/>
                        <w:tcBorders>
                          <w:top w:val="single" w:sz="4" w:space="0" w:color="FFFFFF"/>
                        </w:tcBorders>
                        <w:shd w:val="clear" w:color="auto" w:fill="FFFF00"/>
                      </w:tcPr>
                      <w:p>
                        <w:pPr>
                          <w:pStyle w:val="TableParagraph"/>
                          <w:spacing w:before="16"/>
                          <w:ind w:left="507" w:right="58"/>
                          <w:rPr>
                            <w:b/>
                            <w:sz w:val="17"/>
                          </w:rPr>
                        </w:pPr>
                        <w:r>
                          <w:rPr>
                            <w:b/>
                            <w:w w:val="105"/>
                            <w:sz w:val="17"/>
                          </w:rPr>
                          <w:t>1,946</w:t>
                        </w:r>
                      </w:p>
                      <w:p>
                        <w:pPr>
                          <w:pStyle w:val="TableParagraph"/>
                          <w:spacing w:before="33"/>
                          <w:ind w:left="638" w:right="58"/>
                          <w:rPr>
                            <w:b/>
                            <w:sz w:val="17"/>
                          </w:rPr>
                        </w:pPr>
                        <w:r>
                          <w:rPr>
                            <w:b/>
                            <w:w w:val="105"/>
                            <w:sz w:val="17"/>
                          </w:rPr>
                          <w:t>507</w:t>
                        </w:r>
                      </w:p>
                    </w:tc>
                    <w:tc>
                      <w:tcPr>
                        <w:tcW w:w="888" w:type="dxa"/>
                        <w:tcBorders>
                          <w:top w:val="single" w:sz="4" w:space="0" w:color="FFFFFF"/>
                        </w:tcBorders>
                        <w:shd w:val="clear" w:color="auto" w:fill="FFFF00"/>
                      </w:tcPr>
                      <w:p>
                        <w:pPr>
                          <w:pStyle w:val="TableParagraph"/>
                          <w:spacing w:before="16"/>
                          <w:ind w:left="378" w:right="-2"/>
                          <w:jc w:val="left"/>
                          <w:rPr>
                            <w:b/>
                            <w:sz w:val="17"/>
                          </w:rPr>
                        </w:pPr>
                        <w:r>
                          <w:rPr>
                            <w:b/>
                            <w:w w:val="105"/>
                            <w:sz w:val="17"/>
                          </w:rPr>
                          <w:t>1.62%</w:t>
                        </w:r>
                      </w:p>
                      <w:p>
                        <w:pPr>
                          <w:pStyle w:val="TableParagraph"/>
                          <w:spacing w:before="33"/>
                          <w:ind w:left="378" w:right="-2"/>
                          <w:jc w:val="left"/>
                          <w:rPr>
                            <w:b/>
                            <w:sz w:val="17"/>
                          </w:rPr>
                        </w:pPr>
                        <w:r>
                          <w:rPr>
                            <w:b/>
                            <w:w w:val="105"/>
                            <w:sz w:val="17"/>
                          </w:rPr>
                          <w:t>0.46%</w:t>
                        </w:r>
                      </w:p>
                    </w:tc>
                    <w:tc>
                      <w:tcPr>
                        <w:tcW w:w="893" w:type="dxa"/>
                        <w:tcBorders>
                          <w:top w:val="single" w:sz="4" w:space="0" w:color="FFFFFF"/>
                        </w:tcBorders>
                      </w:tcPr>
                      <w:p>
                        <w:pPr/>
                      </w:p>
                    </w:tc>
                  </w:tr>
                  <w:tr>
                    <w:trPr>
                      <w:trHeight w:val="563" w:hRule="exact"/>
                    </w:trPr>
                    <w:tc>
                      <w:tcPr>
                        <w:tcW w:w="8835" w:type="dxa"/>
                        <w:gridSpan w:val="6"/>
                      </w:tcPr>
                      <w:p>
                        <w:pPr>
                          <w:pStyle w:val="TableParagraph"/>
                          <w:spacing w:before="4"/>
                          <w:jc w:val="left"/>
                          <w:rPr>
                            <w:sz w:val="23"/>
                          </w:rPr>
                        </w:pPr>
                      </w:p>
                      <w:p>
                        <w:pPr>
                          <w:pStyle w:val="TableParagraph"/>
                          <w:ind w:left="2243"/>
                          <w:jc w:val="left"/>
                          <w:rPr>
                            <w:sz w:val="24"/>
                          </w:rPr>
                        </w:pPr>
                        <w:r>
                          <w:rPr>
                            <w:sz w:val="24"/>
                          </w:rPr>
                          <w:t>Ranking del consumo mundial de gas natural</w:t>
                        </w:r>
                      </w:p>
                    </w:tc>
                  </w:tr>
                  <w:tr>
                    <w:trPr>
                      <w:trHeight w:val="458" w:hRule="exact"/>
                    </w:trPr>
                    <w:tc>
                      <w:tcPr>
                        <w:tcW w:w="1924" w:type="dxa"/>
                        <w:shd w:val="clear" w:color="auto" w:fill="DBEDF3"/>
                      </w:tcPr>
                      <w:p>
                        <w:pPr>
                          <w:pStyle w:val="TableParagraph"/>
                          <w:spacing w:before="125"/>
                          <w:ind w:left="102" w:right="66"/>
                          <w:rPr>
                            <w:b/>
                            <w:sz w:val="17"/>
                          </w:rPr>
                        </w:pPr>
                        <w:r>
                          <w:rPr>
                            <w:b/>
                            <w:w w:val="105"/>
                            <w:sz w:val="17"/>
                          </w:rPr>
                          <w:t>Posición mundial 2010</w:t>
                        </w:r>
                      </w:p>
                    </w:tc>
                    <w:tc>
                      <w:tcPr>
                        <w:tcW w:w="2247" w:type="dxa"/>
                        <w:shd w:val="clear" w:color="auto" w:fill="DBEDF3"/>
                      </w:tcPr>
                      <w:p>
                        <w:pPr>
                          <w:pStyle w:val="TableParagraph"/>
                          <w:spacing w:before="125"/>
                          <w:ind w:left="962" w:right="927"/>
                          <w:rPr>
                            <w:b/>
                            <w:sz w:val="17"/>
                          </w:rPr>
                        </w:pPr>
                        <w:r>
                          <w:rPr>
                            <w:b/>
                            <w:w w:val="105"/>
                            <w:sz w:val="17"/>
                          </w:rPr>
                          <w:t>País</w:t>
                        </w:r>
                      </w:p>
                    </w:tc>
                    <w:tc>
                      <w:tcPr>
                        <w:tcW w:w="1875" w:type="dxa"/>
                        <w:shd w:val="clear" w:color="auto" w:fill="DBEDF3"/>
                      </w:tcPr>
                      <w:p>
                        <w:pPr>
                          <w:pStyle w:val="TableParagraph"/>
                          <w:spacing w:before="125"/>
                          <w:ind w:left="676" w:right="623"/>
                          <w:rPr>
                            <w:b/>
                            <w:sz w:val="17"/>
                          </w:rPr>
                        </w:pPr>
                        <w:r>
                          <w:rPr>
                            <w:b/>
                            <w:w w:val="105"/>
                            <w:sz w:val="17"/>
                          </w:rPr>
                          <w:t>Región</w:t>
                        </w:r>
                      </w:p>
                    </w:tc>
                    <w:tc>
                      <w:tcPr>
                        <w:tcW w:w="1008" w:type="dxa"/>
                        <w:shd w:val="clear" w:color="auto" w:fill="DBEDF3"/>
                      </w:tcPr>
                      <w:p>
                        <w:pPr>
                          <w:pStyle w:val="TableParagraph"/>
                          <w:spacing w:line="280" w:lineRule="auto" w:before="16"/>
                          <w:ind w:left="323" w:hanging="143"/>
                          <w:jc w:val="left"/>
                          <w:rPr>
                            <w:b/>
                            <w:sz w:val="17"/>
                          </w:rPr>
                        </w:pPr>
                        <w:r>
                          <w:rPr>
                            <w:b/>
                            <w:sz w:val="17"/>
                          </w:rPr>
                          <w:t>Consumo </w:t>
                        </w:r>
                        <w:r>
                          <w:rPr>
                            <w:b/>
                            <w:w w:val="105"/>
                            <w:sz w:val="17"/>
                          </w:rPr>
                          <w:t>(bpc)</w:t>
                        </w:r>
                      </w:p>
                    </w:tc>
                    <w:tc>
                      <w:tcPr>
                        <w:tcW w:w="888" w:type="dxa"/>
                        <w:shd w:val="clear" w:color="auto" w:fill="DBEDF3"/>
                      </w:tcPr>
                      <w:p>
                        <w:pPr>
                          <w:pStyle w:val="TableParagraph"/>
                          <w:spacing w:line="280" w:lineRule="auto" w:before="16"/>
                          <w:ind w:left="137" w:right="-2" w:firstLine="98"/>
                          <w:jc w:val="left"/>
                          <w:rPr>
                            <w:b/>
                            <w:sz w:val="17"/>
                          </w:rPr>
                        </w:pPr>
                        <w:r>
                          <w:rPr>
                            <w:b/>
                            <w:w w:val="105"/>
                            <w:sz w:val="17"/>
                          </w:rPr>
                          <w:t>Partic. </w:t>
                        </w:r>
                        <w:r>
                          <w:rPr>
                            <w:b/>
                            <w:sz w:val="17"/>
                          </w:rPr>
                          <w:t>Mundial</w:t>
                        </w:r>
                      </w:p>
                    </w:tc>
                    <w:tc>
                      <w:tcPr>
                        <w:tcW w:w="893" w:type="dxa"/>
                        <w:shd w:val="clear" w:color="auto" w:fill="DBEDF3"/>
                      </w:tcPr>
                      <w:p>
                        <w:pPr>
                          <w:pStyle w:val="TableParagraph"/>
                          <w:spacing w:line="280" w:lineRule="auto" w:before="16"/>
                          <w:ind w:left="213" w:firstLine="11"/>
                          <w:jc w:val="left"/>
                          <w:rPr>
                            <w:b/>
                            <w:sz w:val="17"/>
                          </w:rPr>
                        </w:pPr>
                        <w:r>
                          <w:rPr>
                            <w:b/>
                            <w:sz w:val="17"/>
                          </w:rPr>
                          <w:t>Partic. </w:t>
                        </w:r>
                        <w:r>
                          <w:rPr>
                            <w:b/>
                            <w:w w:val="105"/>
                            <w:sz w:val="17"/>
                          </w:rPr>
                          <w:t>Acum.</w:t>
                        </w:r>
                      </w:p>
                    </w:tc>
                  </w:tr>
                  <w:tr>
                    <w:trPr>
                      <w:trHeight w:val="218" w:hRule="exact"/>
                    </w:trPr>
                    <w:tc>
                      <w:tcPr>
                        <w:tcW w:w="1924" w:type="dxa"/>
                        <w:tcBorders>
                          <w:left w:val="single" w:sz="4" w:space="0" w:color="D0D6E4"/>
                          <w:right w:val="single" w:sz="4" w:space="0" w:color="D0D6E4"/>
                        </w:tcBorders>
                      </w:tcPr>
                      <w:p>
                        <w:pPr>
                          <w:pStyle w:val="TableParagraph"/>
                          <w:spacing w:before="16"/>
                          <w:ind w:right="58"/>
                          <w:rPr>
                            <w:sz w:val="17"/>
                          </w:rPr>
                        </w:pPr>
                        <w:r>
                          <w:rPr>
                            <w:w w:val="103"/>
                            <w:sz w:val="17"/>
                          </w:rPr>
                          <w:t>1</w:t>
                        </w:r>
                      </w:p>
                    </w:tc>
                    <w:tc>
                      <w:tcPr>
                        <w:tcW w:w="2247" w:type="dxa"/>
                        <w:tcBorders>
                          <w:left w:val="single" w:sz="4" w:space="0" w:color="D0D6E4"/>
                          <w:right w:val="single" w:sz="4" w:space="0" w:color="D0D6E4"/>
                        </w:tcBorders>
                      </w:tcPr>
                      <w:p>
                        <w:pPr>
                          <w:pStyle w:val="TableParagraph"/>
                          <w:spacing w:before="16"/>
                          <w:ind w:left="76"/>
                          <w:jc w:val="left"/>
                          <w:rPr>
                            <w:sz w:val="17"/>
                          </w:rPr>
                        </w:pPr>
                        <w:r>
                          <w:rPr>
                            <w:w w:val="105"/>
                            <w:sz w:val="17"/>
                          </w:rPr>
                          <w:t>Estados Unidos de América</w:t>
                        </w:r>
                      </w:p>
                    </w:tc>
                    <w:tc>
                      <w:tcPr>
                        <w:tcW w:w="1875" w:type="dxa"/>
                        <w:tcBorders>
                          <w:left w:val="single" w:sz="4" w:space="0" w:color="D0D6E4"/>
                          <w:right w:val="single" w:sz="4" w:space="0" w:color="D0D6E4"/>
                        </w:tcBorders>
                      </w:tcPr>
                      <w:p>
                        <w:pPr>
                          <w:pStyle w:val="TableParagraph"/>
                          <w:spacing w:before="16"/>
                          <w:ind w:left="77"/>
                          <w:jc w:val="left"/>
                          <w:rPr>
                            <w:sz w:val="17"/>
                          </w:rPr>
                        </w:pPr>
                        <w:r>
                          <w:rPr>
                            <w:w w:val="105"/>
                            <w:sz w:val="17"/>
                          </w:rPr>
                          <w:t>Norte América</w:t>
                        </w:r>
                      </w:p>
                    </w:tc>
                    <w:tc>
                      <w:tcPr>
                        <w:tcW w:w="1008" w:type="dxa"/>
                        <w:tcBorders>
                          <w:left w:val="single" w:sz="4" w:space="0" w:color="D0D6E4"/>
                          <w:right w:val="single" w:sz="4" w:space="0" w:color="D0D6E4"/>
                        </w:tcBorders>
                      </w:tcPr>
                      <w:p>
                        <w:pPr>
                          <w:pStyle w:val="TableParagraph"/>
                          <w:spacing w:before="16"/>
                          <w:ind w:right="74"/>
                          <w:jc w:val="right"/>
                          <w:rPr>
                            <w:sz w:val="17"/>
                          </w:rPr>
                        </w:pPr>
                        <w:r>
                          <w:rPr>
                            <w:sz w:val="17"/>
                          </w:rPr>
                          <w:t>23,775</w:t>
                        </w:r>
                      </w:p>
                    </w:tc>
                    <w:tc>
                      <w:tcPr>
                        <w:tcW w:w="888" w:type="dxa"/>
                        <w:tcBorders>
                          <w:left w:val="single" w:sz="4" w:space="0" w:color="D0D6E4"/>
                          <w:right w:val="single" w:sz="4" w:space="0" w:color="D0D6E4"/>
                        </w:tcBorders>
                      </w:tcPr>
                      <w:p>
                        <w:pPr>
                          <w:pStyle w:val="TableParagraph"/>
                          <w:spacing w:before="16"/>
                          <w:ind w:right="16"/>
                          <w:jc w:val="right"/>
                          <w:rPr>
                            <w:sz w:val="17"/>
                          </w:rPr>
                        </w:pPr>
                        <w:r>
                          <w:rPr>
                            <w:sz w:val="17"/>
                          </w:rPr>
                          <w:t>20%</w:t>
                        </w:r>
                      </w:p>
                    </w:tc>
                    <w:tc>
                      <w:tcPr>
                        <w:tcW w:w="893" w:type="dxa"/>
                        <w:tcBorders>
                          <w:left w:val="single" w:sz="4" w:space="0" w:color="D0D6E4"/>
                          <w:right w:val="single" w:sz="4" w:space="0" w:color="D0D6E4"/>
                        </w:tcBorders>
                      </w:tcPr>
                      <w:p>
                        <w:pPr>
                          <w:pStyle w:val="TableParagraph"/>
                          <w:spacing w:before="16"/>
                          <w:ind w:right="21"/>
                          <w:jc w:val="right"/>
                          <w:rPr>
                            <w:sz w:val="17"/>
                          </w:rPr>
                        </w:pPr>
                        <w:r>
                          <w:rPr>
                            <w:sz w:val="17"/>
                          </w:rPr>
                          <w:t>20%</w:t>
                        </w:r>
                      </w:p>
                    </w:tc>
                  </w:tr>
                  <w:tr>
                    <w:trPr>
                      <w:trHeight w:val="240" w:hRule="exact"/>
                    </w:trPr>
                    <w:tc>
                      <w:tcPr>
                        <w:tcW w:w="1924" w:type="dxa"/>
                        <w:shd w:val="clear" w:color="auto" w:fill="DBEDF3"/>
                      </w:tcPr>
                      <w:p>
                        <w:pPr>
                          <w:pStyle w:val="TableParagraph"/>
                          <w:spacing w:before="27"/>
                          <w:ind w:right="58"/>
                          <w:rPr>
                            <w:sz w:val="17"/>
                          </w:rPr>
                        </w:pPr>
                        <w:r>
                          <w:rPr>
                            <w:w w:val="103"/>
                            <w:sz w:val="17"/>
                          </w:rPr>
                          <w:t>2</w:t>
                        </w:r>
                      </w:p>
                    </w:tc>
                    <w:tc>
                      <w:tcPr>
                        <w:tcW w:w="2247" w:type="dxa"/>
                        <w:shd w:val="clear" w:color="auto" w:fill="DBEDF3"/>
                      </w:tcPr>
                      <w:p>
                        <w:pPr>
                          <w:pStyle w:val="TableParagraph"/>
                          <w:spacing w:before="27"/>
                          <w:ind w:left="82"/>
                          <w:jc w:val="left"/>
                          <w:rPr>
                            <w:sz w:val="17"/>
                          </w:rPr>
                        </w:pPr>
                        <w:r>
                          <w:rPr>
                            <w:w w:val="105"/>
                            <w:sz w:val="17"/>
                          </w:rPr>
                          <w:t>Rusia</w:t>
                        </w:r>
                      </w:p>
                    </w:tc>
                    <w:tc>
                      <w:tcPr>
                        <w:tcW w:w="1875" w:type="dxa"/>
                        <w:shd w:val="clear" w:color="auto" w:fill="DBEDF3"/>
                      </w:tcPr>
                      <w:p>
                        <w:pPr>
                          <w:pStyle w:val="TableParagraph"/>
                          <w:spacing w:before="27"/>
                          <w:ind w:left="82" w:right="163"/>
                          <w:jc w:val="left"/>
                          <w:rPr>
                            <w:sz w:val="17"/>
                          </w:rPr>
                        </w:pPr>
                        <w:r>
                          <w:rPr>
                            <w:w w:val="105"/>
                            <w:sz w:val="17"/>
                          </w:rPr>
                          <w:t>Eurasia</w:t>
                        </w:r>
                      </w:p>
                    </w:tc>
                    <w:tc>
                      <w:tcPr>
                        <w:tcW w:w="1008" w:type="dxa"/>
                        <w:shd w:val="clear" w:color="auto" w:fill="DBEDF3"/>
                      </w:tcPr>
                      <w:p>
                        <w:pPr>
                          <w:pStyle w:val="TableParagraph"/>
                          <w:spacing w:before="27"/>
                          <w:ind w:right="80"/>
                          <w:jc w:val="right"/>
                          <w:rPr>
                            <w:sz w:val="17"/>
                          </w:rPr>
                        </w:pPr>
                        <w:r>
                          <w:rPr>
                            <w:sz w:val="17"/>
                          </w:rPr>
                          <w:t>14,961</w:t>
                        </w:r>
                      </w:p>
                    </w:tc>
                    <w:tc>
                      <w:tcPr>
                        <w:tcW w:w="888" w:type="dxa"/>
                        <w:shd w:val="clear" w:color="auto" w:fill="DBEDF3"/>
                      </w:tcPr>
                      <w:p>
                        <w:pPr>
                          <w:pStyle w:val="TableParagraph"/>
                          <w:spacing w:before="27"/>
                          <w:ind w:right="21"/>
                          <w:jc w:val="right"/>
                          <w:rPr>
                            <w:sz w:val="17"/>
                          </w:rPr>
                        </w:pPr>
                        <w:r>
                          <w:rPr>
                            <w:sz w:val="17"/>
                          </w:rPr>
                          <w:t>13%</w:t>
                        </w:r>
                      </w:p>
                    </w:tc>
                    <w:tc>
                      <w:tcPr>
                        <w:tcW w:w="893" w:type="dxa"/>
                        <w:shd w:val="clear" w:color="auto" w:fill="DBEDF3"/>
                      </w:tcPr>
                      <w:p>
                        <w:pPr>
                          <w:pStyle w:val="TableParagraph"/>
                          <w:spacing w:before="27"/>
                          <w:ind w:right="27"/>
                          <w:jc w:val="right"/>
                          <w:rPr>
                            <w:sz w:val="17"/>
                          </w:rPr>
                        </w:pPr>
                        <w:r>
                          <w:rPr>
                            <w:sz w:val="17"/>
                          </w:rPr>
                          <w:t>33%</w:t>
                        </w:r>
                      </w:p>
                    </w:tc>
                  </w:tr>
                  <w:tr>
                    <w:trPr>
                      <w:trHeight w:val="218" w:hRule="exact"/>
                    </w:trPr>
                    <w:tc>
                      <w:tcPr>
                        <w:tcW w:w="1924" w:type="dxa"/>
                        <w:tcBorders>
                          <w:left w:val="single" w:sz="4" w:space="0" w:color="D0D6E4"/>
                          <w:right w:val="single" w:sz="4" w:space="0" w:color="D0D6E4"/>
                        </w:tcBorders>
                      </w:tcPr>
                      <w:p>
                        <w:pPr>
                          <w:pStyle w:val="TableParagraph"/>
                          <w:spacing w:before="15"/>
                          <w:ind w:right="58"/>
                          <w:rPr>
                            <w:sz w:val="17"/>
                          </w:rPr>
                        </w:pPr>
                        <w:r>
                          <w:rPr>
                            <w:w w:val="103"/>
                            <w:sz w:val="17"/>
                          </w:rPr>
                          <w:t>3</w:t>
                        </w:r>
                      </w:p>
                    </w:tc>
                    <w:tc>
                      <w:tcPr>
                        <w:tcW w:w="2247" w:type="dxa"/>
                        <w:tcBorders>
                          <w:left w:val="single" w:sz="4" w:space="0" w:color="D0D6E4"/>
                          <w:right w:val="single" w:sz="4" w:space="0" w:color="D0D6E4"/>
                        </w:tcBorders>
                      </w:tcPr>
                      <w:p>
                        <w:pPr>
                          <w:pStyle w:val="TableParagraph"/>
                          <w:spacing w:before="15"/>
                          <w:ind w:left="76"/>
                          <w:jc w:val="left"/>
                          <w:rPr>
                            <w:sz w:val="17"/>
                          </w:rPr>
                        </w:pPr>
                        <w:r>
                          <w:rPr>
                            <w:w w:val="105"/>
                            <w:sz w:val="17"/>
                          </w:rPr>
                          <w:t>Irán</w:t>
                        </w:r>
                      </w:p>
                    </w:tc>
                    <w:tc>
                      <w:tcPr>
                        <w:tcW w:w="1875" w:type="dxa"/>
                        <w:tcBorders>
                          <w:left w:val="single" w:sz="4" w:space="0" w:color="D0D6E4"/>
                          <w:right w:val="single" w:sz="4" w:space="0" w:color="D0D6E4"/>
                        </w:tcBorders>
                      </w:tcPr>
                      <w:p>
                        <w:pPr>
                          <w:pStyle w:val="TableParagraph"/>
                          <w:spacing w:before="15"/>
                          <w:ind w:left="77"/>
                          <w:jc w:val="left"/>
                          <w:rPr>
                            <w:sz w:val="17"/>
                          </w:rPr>
                        </w:pPr>
                        <w:r>
                          <w:rPr>
                            <w:w w:val="105"/>
                            <w:sz w:val="17"/>
                          </w:rPr>
                          <w:t>Medio Oriente</w:t>
                        </w:r>
                      </w:p>
                    </w:tc>
                    <w:tc>
                      <w:tcPr>
                        <w:tcW w:w="1008" w:type="dxa"/>
                        <w:tcBorders>
                          <w:left w:val="single" w:sz="4" w:space="0" w:color="D0D6E4"/>
                          <w:right w:val="single" w:sz="4" w:space="0" w:color="D0D6E4"/>
                        </w:tcBorders>
                      </w:tcPr>
                      <w:p>
                        <w:pPr>
                          <w:pStyle w:val="TableParagraph"/>
                          <w:spacing w:before="15"/>
                          <w:ind w:right="74"/>
                          <w:jc w:val="right"/>
                          <w:rPr>
                            <w:sz w:val="17"/>
                          </w:rPr>
                        </w:pPr>
                        <w:r>
                          <w:rPr>
                            <w:sz w:val="17"/>
                          </w:rPr>
                          <w:t>5,106</w:t>
                        </w:r>
                      </w:p>
                    </w:tc>
                    <w:tc>
                      <w:tcPr>
                        <w:tcW w:w="888" w:type="dxa"/>
                        <w:tcBorders>
                          <w:left w:val="single" w:sz="4" w:space="0" w:color="D0D6E4"/>
                          <w:right w:val="single" w:sz="4" w:space="0" w:color="D0D6E4"/>
                        </w:tcBorders>
                      </w:tcPr>
                      <w:p>
                        <w:pPr>
                          <w:pStyle w:val="TableParagraph"/>
                          <w:spacing w:before="15"/>
                          <w:ind w:right="16"/>
                          <w:jc w:val="right"/>
                          <w:rPr>
                            <w:sz w:val="17"/>
                          </w:rPr>
                        </w:pPr>
                        <w:r>
                          <w:rPr>
                            <w:sz w:val="17"/>
                          </w:rPr>
                          <w:t>4%</w:t>
                        </w:r>
                      </w:p>
                    </w:tc>
                    <w:tc>
                      <w:tcPr>
                        <w:tcW w:w="893" w:type="dxa"/>
                        <w:tcBorders>
                          <w:left w:val="single" w:sz="4" w:space="0" w:color="D0D6E4"/>
                          <w:right w:val="single" w:sz="4" w:space="0" w:color="D0D6E4"/>
                        </w:tcBorders>
                      </w:tcPr>
                      <w:p>
                        <w:pPr>
                          <w:pStyle w:val="TableParagraph"/>
                          <w:spacing w:before="15"/>
                          <w:ind w:right="21"/>
                          <w:jc w:val="right"/>
                          <w:rPr>
                            <w:sz w:val="17"/>
                          </w:rPr>
                        </w:pPr>
                        <w:r>
                          <w:rPr>
                            <w:sz w:val="17"/>
                          </w:rPr>
                          <w:t>38%</w:t>
                        </w:r>
                      </w:p>
                    </w:tc>
                  </w:tr>
                  <w:tr>
                    <w:trPr>
                      <w:trHeight w:val="240" w:hRule="exact"/>
                    </w:trPr>
                    <w:tc>
                      <w:tcPr>
                        <w:tcW w:w="1924" w:type="dxa"/>
                        <w:shd w:val="clear" w:color="auto" w:fill="DBEDF3"/>
                      </w:tcPr>
                      <w:p>
                        <w:pPr>
                          <w:pStyle w:val="TableParagraph"/>
                          <w:spacing w:before="26"/>
                          <w:ind w:right="58"/>
                          <w:rPr>
                            <w:sz w:val="17"/>
                          </w:rPr>
                        </w:pPr>
                        <w:r>
                          <w:rPr>
                            <w:w w:val="103"/>
                            <w:sz w:val="17"/>
                          </w:rPr>
                          <w:t>4</w:t>
                        </w:r>
                      </w:p>
                    </w:tc>
                    <w:tc>
                      <w:tcPr>
                        <w:tcW w:w="2247" w:type="dxa"/>
                        <w:shd w:val="clear" w:color="auto" w:fill="DBEDF3"/>
                      </w:tcPr>
                      <w:p>
                        <w:pPr>
                          <w:pStyle w:val="TableParagraph"/>
                          <w:spacing w:before="26"/>
                          <w:ind w:left="82"/>
                          <w:jc w:val="left"/>
                          <w:rPr>
                            <w:sz w:val="17"/>
                          </w:rPr>
                        </w:pPr>
                        <w:r>
                          <w:rPr>
                            <w:w w:val="105"/>
                            <w:sz w:val="17"/>
                          </w:rPr>
                          <w:t>Japon</w:t>
                        </w:r>
                      </w:p>
                    </w:tc>
                    <w:tc>
                      <w:tcPr>
                        <w:tcW w:w="1875" w:type="dxa"/>
                        <w:shd w:val="clear" w:color="auto" w:fill="DBEDF3"/>
                      </w:tcPr>
                      <w:p>
                        <w:pPr>
                          <w:pStyle w:val="TableParagraph"/>
                          <w:spacing w:before="26"/>
                          <w:ind w:left="82" w:right="163"/>
                          <w:jc w:val="left"/>
                          <w:rPr>
                            <w:sz w:val="17"/>
                          </w:rPr>
                        </w:pPr>
                        <w:r>
                          <w:rPr>
                            <w:w w:val="105"/>
                            <w:sz w:val="17"/>
                          </w:rPr>
                          <w:t>Asia y Oceanía</w:t>
                        </w:r>
                      </w:p>
                    </w:tc>
                    <w:tc>
                      <w:tcPr>
                        <w:tcW w:w="1008" w:type="dxa"/>
                        <w:shd w:val="clear" w:color="auto" w:fill="DBEDF3"/>
                      </w:tcPr>
                      <w:p>
                        <w:pPr>
                          <w:pStyle w:val="TableParagraph"/>
                          <w:spacing w:before="26"/>
                          <w:ind w:right="80"/>
                          <w:jc w:val="right"/>
                          <w:rPr>
                            <w:sz w:val="17"/>
                          </w:rPr>
                        </w:pPr>
                        <w:r>
                          <w:rPr>
                            <w:sz w:val="17"/>
                          </w:rPr>
                          <w:t>3,848</w:t>
                        </w:r>
                      </w:p>
                    </w:tc>
                    <w:tc>
                      <w:tcPr>
                        <w:tcW w:w="888" w:type="dxa"/>
                        <w:shd w:val="clear" w:color="auto" w:fill="DBEDF3"/>
                      </w:tcPr>
                      <w:p>
                        <w:pPr>
                          <w:pStyle w:val="TableParagraph"/>
                          <w:spacing w:before="26"/>
                          <w:ind w:right="21"/>
                          <w:jc w:val="right"/>
                          <w:rPr>
                            <w:sz w:val="17"/>
                          </w:rPr>
                        </w:pPr>
                        <w:r>
                          <w:rPr>
                            <w:sz w:val="17"/>
                          </w:rPr>
                          <w:t>3%</w:t>
                        </w:r>
                      </w:p>
                    </w:tc>
                    <w:tc>
                      <w:tcPr>
                        <w:tcW w:w="893" w:type="dxa"/>
                        <w:shd w:val="clear" w:color="auto" w:fill="DBEDF3"/>
                      </w:tcPr>
                      <w:p>
                        <w:pPr>
                          <w:pStyle w:val="TableParagraph"/>
                          <w:spacing w:before="26"/>
                          <w:ind w:right="27"/>
                          <w:jc w:val="right"/>
                          <w:rPr>
                            <w:sz w:val="17"/>
                          </w:rPr>
                        </w:pPr>
                        <w:r>
                          <w:rPr>
                            <w:sz w:val="17"/>
                          </w:rPr>
                          <w:t>41%</w:t>
                        </w:r>
                      </w:p>
                    </w:tc>
                  </w:tr>
                  <w:tr>
                    <w:trPr>
                      <w:trHeight w:val="218" w:hRule="exact"/>
                    </w:trPr>
                    <w:tc>
                      <w:tcPr>
                        <w:tcW w:w="1924" w:type="dxa"/>
                        <w:tcBorders>
                          <w:left w:val="single" w:sz="4" w:space="0" w:color="D0D6E4"/>
                          <w:right w:val="single" w:sz="4" w:space="0" w:color="D0D6E4"/>
                        </w:tcBorders>
                      </w:tcPr>
                      <w:p>
                        <w:pPr>
                          <w:pStyle w:val="TableParagraph"/>
                          <w:spacing w:before="15"/>
                          <w:ind w:right="58"/>
                          <w:rPr>
                            <w:sz w:val="17"/>
                          </w:rPr>
                        </w:pPr>
                        <w:r>
                          <w:rPr>
                            <w:w w:val="103"/>
                            <w:sz w:val="17"/>
                          </w:rPr>
                          <w:t>5</w:t>
                        </w:r>
                      </w:p>
                    </w:tc>
                    <w:tc>
                      <w:tcPr>
                        <w:tcW w:w="2247" w:type="dxa"/>
                        <w:tcBorders>
                          <w:left w:val="single" w:sz="4" w:space="0" w:color="D0D6E4"/>
                          <w:right w:val="single" w:sz="4" w:space="0" w:color="D0D6E4"/>
                        </w:tcBorders>
                      </w:tcPr>
                      <w:p>
                        <w:pPr>
                          <w:pStyle w:val="TableParagraph"/>
                          <w:spacing w:before="15"/>
                          <w:ind w:left="76"/>
                          <w:jc w:val="left"/>
                          <w:rPr>
                            <w:sz w:val="17"/>
                          </w:rPr>
                        </w:pPr>
                        <w:r>
                          <w:rPr>
                            <w:w w:val="105"/>
                            <w:sz w:val="17"/>
                          </w:rPr>
                          <w:t>China</w:t>
                        </w:r>
                      </w:p>
                    </w:tc>
                    <w:tc>
                      <w:tcPr>
                        <w:tcW w:w="1875" w:type="dxa"/>
                        <w:tcBorders>
                          <w:left w:val="single" w:sz="4" w:space="0" w:color="D0D6E4"/>
                          <w:right w:val="single" w:sz="4" w:space="0" w:color="D0D6E4"/>
                        </w:tcBorders>
                      </w:tcPr>
                      <w:p>
                        <w:pPr>
                          <w:pStyle w:val="TableParagraph"/>
                          <w:spacing w:before="15"/>
                          <w:ind w:left="77"/>
                          <w:jc w:val="left"/>
                          <w:rPr>
                            <w:sz w:val="17"/>
                          </w:rPr>
                        </w:pPr>
                        <w:r>
                          <w:rPr>
                            <w:w w:val="105"/>
                            <w:sz w:val="17"/>
                          </w:rPr>
                          <w:t>Asia y Oceanía</w:t>
                        </w:r>
                      </w:p>
                    </w:tc>
                    <w:tc>
                      <w:tcPr>
                        <w:tcW w:w="1008" w:type="dxa"/>
                        <w:tcBorders>
                          <w:left w:val="single" w:sz="4" w:space="0" w:color="D0D6E4"/>
                          <w:right w:val="single" w:sz="4" w:space="0" w:color="D0D6E4"/>
                        </w:tcBorders>
                      </w:tcPr>
                      <w:p>
                        <w:pPr>
                          <w:pStyle w:val="TableParagraph"/>
                          <w:spacing w:before="15"/>
                          <w:ind w:right="74"/>
                          <w:jc w:val="right"/>
                          <w:rPr>
                            <w:sz w:val="17"/>
                          </w:rPr>
                        </w:pPr>
                        <w:r>
                          <w:rPr>
                            <w:sz w:val="17"/>
                          </w:rPr>
                          <w:t>3,768</w:t>
                        </w:r>
                      </w:p>
                    </w:tc>
                    <w:tc>
                      <w:tcPr>
                        <w:tcW w:w="888" w:type="dxa"/>
                        <w:tcBorders>
                          <w:left w:val="single" w:sz="4" w:space="0" w:color="D0D6E4"/>
                          <w:right w:val="single" w:sz="4" w:space="0" w:color="D0D6E4"/>
                        </w:tcBorders>
                      </w:tcPr>
                      <w:p>
                        <w:pPr>
                          <w:pStyle w:val="TableParagraph"/>
                          <w:spacing w:before="15"/>
                          <w:ind w:right="16"/>
                          <w:jc w:val="right"/>
                          <w:rPr>
                            <w:sz w:val="17"/>
                          </w:rPr>
                        </w:pPr>
                        <w:r>
                          <w:rPr>
                            <w:sz w:val="17"/>
                          </w:rPr>
                          <w:t>3%</w:t>
                        </w:r>
                      </w:p>
                    </w:tc>
                    <w:tc>
                      <w:tcPr>
                        <w:tcW w:w="893" w:type="dxa"/>
                        <w:tcBorders>
                          <w:left w:val="single" w:sz="4" w:space="0" w:color="D0D6E4"/>
                          <w:right w:val="single" w:sz="4" w:space="0" w:color="D0D6E4"/>
                        </w:tcBorders>
                      </w:tcPr>
                      <w:p>
                        <w:pPr>
                          <w:pStyle w:val="TableParagraph"/>
                          <w:spacing w:before="15"/>
                          <w:ind w:right="21"/>
                          <w:jc w:val="right"/>
                          <w:rPr>
                            <w:sz w:val="17"/>
                          </w:rPr>
                        </w:pPr>
                        <w:r>
                          <w:rPr>
                            <w:sz w:val="17"/>
                          </w:rPr>
                          <w:t>44%</w:t>
                        </w:r>
                      </w:p>
                    </w:tc>
                  </w:tr>
                  <w:tr>
                    <w:trPr>
                      <w:trHeight w:val="240" w:hRule="exact"/>
                    </w:trPr>
                    <w:tc>
                      <w:tcPr>
                        <w:tcW w:w="1924" w:type="dxa"/>
                        <w:shd w:val="clear" w:color="auto" w:fill="DBEDF3"/>
                      </w:tcPr>
                      <w:p>
                        <w:pPr>
                          <w:pStyle w:val="TableParagraph"/>
                          <w:spacing w:before="26"/>
                          <w:ind w:right="58"/>
                          <w:rPr>
                            <w:sz w:val="17"/>
                          </w:rPr>
                        </w:pPr>
                        <w:r>
                          <w:rPr>
                            <w:w w:val="103"/>
                            <w:sz w:val="17"/>
                          </w:rPr>
                          <w:t>6</w:t>
                        </w:r>
                      </w:p>
                    </w:tc>
                    <w:tc>
                      <w:tcPr>
                        <w:tcW w:w="2247" w:type="dxa"/>
                        <w:shd w:val="clear" w:color="auto" w:fill="DBEDF3"/>
                      </w:tcPr>
                      <w:p>
                        <w:pPr>
                          <w:pStyle w:val="TableParagraph"/>
                          <w:spacing w:before="26"/>
                          <w:ind w:left="82"/>
                          <w:jc w:val="left"/>
                          <w:rPr>
                            <w:sz w:val="17"/>
                          </w:rPr>
                        </w:pPr>
                        <w:r>
                          <w:rPr>
                            <w:w w:val="105"/>
                            <w:sz w:val="17"/>
                          </w:rPr>
                          <w:t>Reino Unido</w:t>
                        </w:r>
                      </w:p>
                    </w:tc>
                    <w:tc>
                      <w:tcPr>
                        <w:tcW w:w="1875" w:type="dxa"/>
                        <w:shd w:val="clear" w:color="auto" w:fill="DBEDF3"/>
                      </w:tcPr>
                      <w:p>
                        <w:pPr>
                          <w:pStyle w:val="TableParagraph"/>
                          <w:spacing w:before="26"/>
                          <w:ind w:left="82" w:right="163"/>
                          <w:jc w:val="left"/>
                          <w:rPr>
                            <w:sz w:val="17"/>
                          </w:rPr>
                        </w:pPr>
                        <w:r>
                          <w:rPr>
                            <w:w w:val="105"/>
                            <w:sz w:val="17"/>
                          </w:rPr>
                          <w:t>Europa</w:t>
                        </w:r>
                      </w:p>
                    </w:tc>
                    <w:tc>
                      <w:tcPr>
                        <w:tcW w:w="1008" w:type="dxa"/>
                        <w:shd w:val="clear" w:color="auto" w:fill="DBEDF3"/>
                      </w:tcPr>
                      <w:p>
                        <w:pPr>
                          <w:pStyle w:val="TableParagraph"/>
                          <w:spacing w:before="26"/>
                          <w:ind w:right="80"/>
                          <w:jc w:val="right"/>
                          <w:rPr>
                            <w:sz w:val="17"/>
                          </w:rPr>
                        </w:pPr>
                        <w:r>
                          <w:rPr>
                            <w:sz w:val="17"/>
                          </w:rPr>
                          <w:t>3,337</w:t>
                        </w:r>
                      </w:p>
                    </w:tc>
                    <w:tc>
                      <w:tcPr>
                        <w:tcW w:w="888" w:type="dxa"/>
                        <w:shd w:val="clear" w:color="auto" w:fill="DBEDF3"/>
                      </w:tcPr>
                      <w:p>
                        <w:pPr>
                          <w:pStyle w:val="TableParagraph"/>
                          <w:spacing w:before="26"/>
                          <w:ind w:right="21"/>
                          <w:jc w:val="right"/>
                          <w:rPr>
                            <w:sz w:val="17"/>
                          </w:rPr>
                        </w:pPr>
                        <w:r>
                          <w:rPr>
                            <w:sz w:val="17"/>
                          </w:rPr>
                          <w:t>3%</w:t>
                        </w:r>
                      </w:p>
                    </w:tc>
                    <w:tc>
                      <w:tcPr>
                        <w:tcW w:w="893" w:type="dxa"/>
                        <w:shd w:val="clear" w:color="auto" w:fill="DBEDF3"/>
                      </w:tcPr>
                      <w:p>
                        <w:pPr>
                          <w:pStyle w:val="TableParagraph"/>
                          <w:spacing w:before="26"/>
                          <w:ind w:right="27"/>
                          <w:jc w:val="right"/>
                          <w:rPr>
                            <w:sz w:val="17"/>
                          </w:rPr>
                        </w:pPr>
                        <w:r>
                          <w:rPr>
                            <w:sz w:val="17"/>
                          </w:rPr>
                          <w:t>47%</w:t>
                        </w:r>
                      </w:p>
                    </w:tc>
                  </w:tr>
                  <w:tr>
                    <w:trPr>
                      <w:trHeight w:val="218" w:hRule="exact"/>
                    </w:trPr>
                    <w:tc>
                      <w:tcPr>
                        <w:tcW w:w="1924" w:type="dxa"/>
                        <w:tcBorders>
                          <w:left w:val="single" w:sz="4" w:space="0" w:color="D0D6E4"/>
                          <w:right w:val="single" w:sz="4" w:space="0" w:color="D0D6E4"/>
                        </w:tcBorders>
                      </w:tcPr>
                      <w:p>
                        <w:pPr>
                          <w:pStyle w:val="TableParagraph"/>
                          <w:spacing w:before="16"/>
                          <w:ind w:right="58"/>
                          <w:rPr>
                            <w:sz w:val="17"/>
                          </w:rPr>
                        </w:pPr>
                        <w:r>
                          <w:rPr>
                            <w:w w:val="103"/>
                            <w:sz w:val="17"/>
                          </w:rPr>
                          <w:t>7</w:t>
                        </w:r>
                      </w:p>
                    </w:tc>
                    <w:tc>
                      <w:tcPr>
                        <w:tcW w:w="2247" w:type="dxa"/>
                        <w:tcBorders>
                          <w:left w:val="single" w:sz="4" w:space="0" w:color="D0D6E4"/>
                          <w:right w:val="single" w:sz="4" w:space="0" w:color="D0D6E4"/>
                        </w:tcBorders>
                      </w:tcPr>
                      <w:p>
                        <w:pPr>
                          <w:pStyle w:val="TableParagraph"/>
                          <w:spacing w:before="16"/>
                          <w:ind w:left="76"/>
                          <w:jc w:val="left"/>
                          <w:rPr>
                            <w:sz w:val="17"/>
                          </w:rPr>
                        </w:pPr>
                        <w:r>
                          <w:rPr>
                            <w:w w:val="105"/>
                            <w:sz w:val="17"/>
                          </w:rPr>
                          <w:t>Alemania</w:t>
                        </w:r>
                      </w:p>
                    </w:tc>
                    <w:tc>
                      <w:tcPr>
                        <w:tcW w:w="1875" w:type="dxa"/>
                        <w:tcBorders>
                          <w:left w:val="single" w:sz="4" w:space="0" w:color="D0D6E4"/>
                          <w:right w:val="single" w:sz="4" w:space="0" w:color="D0D6E4"/>
                        </w:tcBorders>
                      </w:tcPr>
                      <w:p>
                        <w:pPr>
                          <w:pStyle w:val="TableParagraph"/>
                          <w:spacing w:before="16"/>
                          <w:ind w:left="77"/>
                          <w:jc w:val="left"/>
                          <w:rPr>
                            <w:sz w:val="17"/>
                          </w:rPr>
                        </w:pPr>
                        <w:r>
                          <w:rPr>
                            <w:w w:val="105"/>
                            <w:sz w:val="17"/>
                          </w:rPr>
                          <w:t>Europa</w:t>
                        </w:r>
                      </w:p>
                    </w:tc>
                    <w:tc>
                      <w:tcPr>
                        <w:tcW w:w="1008" w:type="dxa"/>
                        <w:tcBorders>
                          <w:left w:val="single" w:sz="4" w:space="0" w:color="D0D6E4"/>
                          <w:right w:val="single" w:sz="4" w:space="0" w:color="D0D6E4"/>
                        </w:tcBorders>
                      </w:tcPr>
                      <w:p>
                        <w:pPr>
                          <w:pStyle w:val="TableParagraph"/>
                          <w:spacing w:before="16"/>
                          <w:ind w:right="74"/>
                          <w:jc w:val="right"/>
                          <w:rPr>
                            <w:sz w:val="17"/>
                          </w:rPr>
                        </w:pPr>
                        <w:r>
                          <w:rPr>
                            <w:sz w:val="17"/>
                          </w:rPr>
                          <w:t>3,181</w:t>
                        </w:r>
                      </w:p>
                    </w:tc>
                    <w:tc>
                      <w:tcPr>
                        <w:tcW w:w="888" w:type="dxa"/>
                        <w:tcBorders>
                          <w:left w:val="single" w:sz="4" w:space="0" w:color="D0D6E4"/>
                          <w:right w:val="single" w:sz="4" w:space="0" w:color="D0D6E4"/>
                        </w:tcBorders>
                      </w:tcPr>
                      <w:p>
                        <w:pPr>
                          <w:pStyle w:val="TableParagraph"/>
                          <w:spacing w:before="16"/>
                          <w:ind w:right="16"/>
                          <w:jc w:val="right"/>
                          <w:rPr>
                            <w:sz w:val="17"/>
                          </w:rPr>
                        </w:pPr>
                        <w:r>
                          <w:rPr>
                            <w:sz w:val="17"/>
                          </w:rPr>
                          <w:t>3%</w:t>
                        </w:r>
                      </w:p>
                    </w:tc>
                    <w:tc>
                      <w:tcPr>
                        <w:tcW w:w="893" w:type="dxa"/>
                        <w:tcBorders>
                          <w:left w:val="single" w:sz="4" w:space="0" w:color="D0D6E4"/>
                          <w:right w:val="single" w:sz="4" w:space="0" w:color="D0D6E4"/>
                        </w:tcBorders>
                      </w:tcPr>
                      <w:p>
                        <w:pPr>
                          <w:pStyle w:val="TableParagraph"/>
                          <w:spacing w:before="16"/>
                          <w:ind w:right="21"/>
                          <w:jc w:val="right"/>
                          <w:rPr>
                            <w:sz w:val="17"/>
                          </w:rPr>
                        </w:pPr>
                        <w:r>
                          <w:rPr>
                            <w:sz w:val="17"/>
                          </w:rPr>
                          <w:t>50%</w:t>
                        </w:r>
                      </w:p>
                    </w:tc>
                  </w:tr>
                  <w:tr>
                    <w:trPr>
                      <w:trHeight w:val="240" w:hRule="exact"/>
                    </w:trPr>
                    <w:tc>
                      <w:tcPr>
                        <w:tcW w:w="1924" w:type="dxa"/>
                        <w:shd w:val="clear" w:color="auto" w:fill="DBEDF3"/>
                      </w:tcPr>
                      <w:p>
                        <w:pPr>
                          <w:pStyle w:val="TableParagraph"/>
                          <w:spacing w:before="26"/>
                          <w:ind w:right="58"/>
                          <w:rPr>
                            <w:sz w:val="17"/>
                          </w:rPr>
                        </w:pPr>
                        <w:r>
                          <w:rPr>
                            <w:w w:val="103"/>
                            <w:sz w:val="17"/>
                          </w:rPr>
                          <w:t>8</w:t>
                        </w:r>
                      </w:p>
                    </w:tc>
                    <w:tc>
                      <w:tcPr>
                        <w:tcW w:w="2247" w:type="dxa"/>
                        <w:shd w:val="clear" w:color="auto" w:fill="DBEDF3"/>
                      </w:tcPr>
                      <w:p>
                        <w:pPr>
                          <w:pStyle w:val="TableParagraph"/>
                          <w:spacing w:before="26"/>
                          <w:ind w:left="82"/>
                          <w:jc w:val="left"/>
                          <w:rPr>
                            <w:sz w:val="17"/>
                          </w:rPr>
                        </w:pPr>
                        <w:r>
                          <w:rPr>
                            <w:w w:val="105"/>
                            <w:sz w:val="17"/>
                          </w:rPr>
                          <w:t>Arabia Saudita</w:t>
                        </w:r>
                      </w:p>
                    </w:tc>
                    <w:tc>
                      <w:tcPr>
                        <w:tcW w:w="1875" w:type="dxa"/>
                        <w:shd w:val="clear" w:color="auto" w:fill="DBEDF3"/>
                      </w:tcPr>
                      <w:p>
                        <w:pPr>
                          <w:pStyle w:val="TableParagraph"/>
                          <w:spacing w:before="26"/>
                          <w:ind w:left="82" w:right="163"/>
                          <w:jc w:val="left"/>
                          <w:rPr>
                            <w:sz w:val="17"/>
                          </w:rPr>
                        </w:pPr>
                        <w:r>
                          <w:rPr>
                            <w:w w:val="105"/>
                            <w:sz w:val="17"/>
                          </w:rPr>
                          <w:t>Medio Oriente</w:t>
                        </w:r>
                      </w:p>
                    </w:tc>
                    <w:tc>
                      <w:tcPr>
                        <w:tcW w:w="1008" w:type="dxa"/>
                        <w:shd w:val="clear" w:color="auto" w:fill="DBEDF3"/>
                      </w:tcPr>
                      <w:p>
                        <w:pPr>
                          <w:pStyle w:val="TableParagraph"/>
                          <w:spacing w:before="26"/>
                          <w:ind w:right="80"/>
                          <w:jc w:val="right"/>
                          <w:rPr>
                            <w:sz w:val="17"/>
                          </w:rPr>
                        </w:pPr>
                        <w:r>
                          <w:rPr>
                            <w:sz w:val="17"/>
                          </w:rPr>
                          <w:t>3,096</w:t>
                        </w:r>
                      </w:p>
                    </w:tc>
                    <w:tc>
                      <w:tcPr>
                        <w:tcW w:w="888" w:type="dxa"/>
                        <w:shd w:val="clear" w:color="auto" w:fill="DBEDF3"/>
                      </w:tcPr>
                      <w:p>
                        <w:pPr>
                          <w:pStyle w:val="TableParagraph"/>
                          <w:spacing w:before="26"/>
                          <w:ind w:right="21"/>
                          <w:jc w:val="right"/>
                          <w:rPr>
                            <w:sz w:val="17"/>
                          </w:rPr>
                        </w:pPr>
                        <w:r>
                          <w:rPr>
                            <w:sz w:val="17"/>
                          </w:rPr>
                          <w:t>3%</w:t>
                        </w:r>
                      </w:p>
                    </w:tc>
                    <w:tc>
                      <w:tcPr>
                        <w:tcW w:w="893" w:type="dxa"/>
                        <w:shd w:val="clear" w:color="auto" w:fill="DBEDF3"/>
                      </w:tcPr>
                      <w:p>
                        <w:pPr>
                          <w:pStyle w:val="TableParagraph"/>
                          <w:spacing w:before="26"/>
                          <w:ind w:right="27"/>
                          <w:jc w:val="right"/>
                          <w:rPr>
                            <w:sz w:val="17"/>
                          </w:rPr>
                        </w:pPr>
                        <w:r>
                          <w:rPr>
                            <w:sz w:val="17"/>
                          </w:rPr>
                          <w:t>52%</w:t>
                        </w:r>
                      </w:p>
                    </w:tc>
                  </w:tr>
                  <w:tr>
                    <w:trPr>
                      <w:trHeight w:val="218" w:hRule="exact"/>
                    </w:trPr>
                    <w:tc>
                      <w:tcPr>
                        <w:tcW w:w="1924" w:type="dxa"/>
                        <w:tcBorders>
                          <w:left w:val="single" w:sz="4" w:space="0" w:color="D0D6E4"/>
                          <w:right w:val="single" w:sz="4" w:space="0" w:color="D0D6E4"/>
                        </w:tcBorders>
                      </w:tcPr>
                      <w:p>
                        <w:pPr>
                          <w:pStyle w:val="TableParagraph"/>
                          <w:spacing w:before="16"/>
                          <w:ind w:right="58"/>
                          <w:rPr>
                            <w:sz w:val="17"/>
                          </w:rPr>
                        </w:pPr>
                        <w:r>
                          <w:rPr>
                            <w:w w:val="103"/>
                            <w:sz w:val="17"/>
                          </w:rPr>
                          <w:t>9</w:t>
                        </w:r>
                      </w:p>
                    </w:tc>
                    <w:tc>
                      <w:tcPr>
                        <w:tcW w:w="2247" w:type="dxa"/>
                        <w:tcBorders>
                          <w:left w:val="single" w:sz="4" w:space="0" w:color="D0D6E4"/>
                          <w:right w:val="single" w:sz="4" w:space="0" w:color="D0D6E4"/>
                        </w:tcBorders>
                      </w:tcPr>
                      <w:p>
                        <w:pPr>
                          <w:pStyle w:val="TableParagraph"/>
                          <w:spacing w:before="16"/>
                          <w:ind w:left="76"/>
                          <w:jc w:val="left"/>
                          <w:rPr>
                            <w:sz w:val="17"/>
                          </w:rPr>
                        </w:pPr>
                        <w:r>
                          <w:rPr>
                            <w:w w:val="105"/>
                            <w:sz w:val="17"/>
                          </w:rPr>
                          <w:t>Italia</w:t>
                        </w:r>
                      </w:p>
                    </w:tc>
                    <w:tc>
                      <w:tcPr>
                        <w:tcW w:w="1875" w:type="dxa"/>
                        <w:tcBorders>
                          <w:left w:val="single" w:sz="4" w:space="0" w:color="D0D6E4"/>
                          <w:right w:val="single" w:sz="4" w:space="0" w:color="D0D6E4"/>
                        </w:tcBorders>
                      </w:tcPr>
                      <w:p>
                        <w:pPr>
                          <w:pStyle w:val="TableParagraph"/>
                          <w:spacing w:before="16"/>
                          <w:ind w:left="77"/>
                          <w:jc w:val="left"/>
                          <w:rPr>
                            <w:sz w:val="17"/>
                          </w:rPr>
                        </w:pPr>
                        <w:r>
                          <w:rPr>
                            <w:w w:val="105"/>
                            <w:sz w:val="17"/>
                          </w:rPr>
                          <w:t>Europa</w:t>
                        </w:r>
                      </w:p>
                    </w:tc>
                    <w:tc>
                      <w:tcPr>
                        <w:tcW w:w="1008" w:type="dxa"/>
                        <w:tcBorders>
                          <w:left w:val="single" w:sz="4" w:space="0" w:color="D0D6E4"/>
                          <w:right w:val="single" w:sz="4" w:space="0" w:color="D0D6E4"/>
                        </w:tcBorders>
                      </w:tcPr>
                      <w:p>
                        <w:pPr>
                          <w:pStyle w:val="TableParagraph"/>
                          <w:spacing w:before="16"/>
                          <w:ind w:right="74"/>
                          <w:jc w:val="right"/>
                          <w:rPr>
                            <w:sz w:val="17"/>
                          </w:rPr>
                        </w:pPr>
                        <w:r>
                          <w:rPr>
                            <w:sz w:val="17"/>
                          </w:rPr>
                          <w:t>2,935</w:t>
                        </w:r>
                      </w:p>
                    </w:tc>
                    <w:tc>
                      <w:tcPr>
                        <w:tcW w:w="888" w:type="dxa"/>
                        <w:tcBorders>
                          <w:left w:val="single" w:sz="4" w:space="0" w:color="D0D6E4"/>
                          <w:right w:val="single" w:sz="4" w:space="0" w:color="D0D6E4"/>
                        </w:tcBorders>
                      </w:tcPr>
                      <w:p>
                        <w:pPr>
                          <w:pStyle w:val="TableParagraph"/>
                          <w:spacing w:before="16"/>
                          <w:ind w:right="16"/>
                          <w:jc w:val="right"/>
                          <w:rPr>
                            <w:sz w:val="17"/>
                          </w:rPr>
                        </w:pPr>
                        <w:r>
                          <w:rPr>
                            <w:sz w:val="17"/>
                          </w:rPr>
                          <w:t>3%</w:t>
                        </w:r>
                      </w:p>
                    </w:tc>
                    <w:tc>
                      <w:tcPr>
                        <w:tcW w:w="893" w:type="dxa"/>
                        <w:tcBorders>
                          <w:left w:val="single" w:sz="4" w:space="0" w:color="D0D6E4"/>
                          <w:right w:val="single" w:sz="4" w:space="0" w:color="D0D6E4"/>
                        </w:tcBorders>
                      </w:tcPr>
                      <w:p>
                        <w:pPr>
                          <w:pStyle w:val="TableParagraph"/>
                          <w:spacing w:before="16"/>
                          <w:ind w:right="21"/>
                          <w:jc w:val="right"/>
                          <w:rPr>
                            <w:sz w:val="17"/>
                          </w:rPr>
                        </w:pPr>
                        <w:r>
                          <w:rPr>
                            <w:sz w:val="17"/>
                          </w:rPr>
                          <w:t>55%</w:t>
                        </w:r>
                      </w:p>
                    </w:tc>
                  </w:tr>
                  <w:tr>
                    <w:trPr>
                      <w:trHeight w:val="229" w:hRule="exact"/>
                    </w:trPr>
                    <w:tc>
                      <w:tcPr>
                        <w:tcW w:w="1924" w:type="dxa"/>
                        <w:tcBorders>
                          <w:bottom w:val="single" w:sz="4" w:space="0" w:color="FFFFFF"/>
                        </w:tcBorders>
                        <w:shd w:val="clear" w:color="auto" w:fill="DBEDF3"/>
                      </w:tcPr>
                      <w:p>
                        <w:pPr>
                          <w:pStyle w:val="TableParagraph"/>
                          <w:spacing w:before="26"/>
                          <w:ind w:left="8" w:right="66"/>
                          <w:rPr>
                            <w:sz w:val="17"/>
                          </w:rPr>
                        </w:pPr>
                        <w:r>
                          <w:rPr>
                            <w:w w:val="105"/>
                            <w:sz w:val="17"/>
                          </w:rPr>
                          <w:t>10</w:t>
                        </w:r>
                      </w:p>
                    </w:tc>
                    <w:tc>
                      <w:tcPr>
                        <w:tcW w:w="2247" w:type="dxa"/>
                        <w:tcBorders>
                          <w:bottom w:val="single" w:sz="4" w:space="0" w:color="FFFFFF"/>
                        </w:tcBorders>
                        <w:shd w:val="clear" w:color="auto" w:fill="DBEDF3"/>
                      </w:tcPr>
                      <w:p>
                        <w:pPr>
                          <w:pStyle w:val="TableParagraph"/>
                          <w:spacing w:before="26"/>
                          <w:ind w:left="82"/>
                          <w:jc w:val="left"/>
                          <w:rPr>
                            <w:sz w:val="17"/>
                          </w:rPr>
                        </w:pPr>
                        <w:r>
                          <w:rPr>
                            <w:w w:val="105"/>
                            <w:sz w:val="17"/>
                          </w:rPr>
                          <w:t>Canada</w:t>
                        </w:r>
                      </w:p>
                    </w:tc>
                    <w:tc>
                      <w:tcPr>
                        <w:tcW w:w="1875" w:type="dxa"/>
                        <w:tcBorders>
                          <w:bottom w:val="single" w:sz="4" w:space="0" w:color="FFFFFF"/>
                        </w:tcBorders>
                        <w:shd w:val="clear" w:color="auto" w:fill="DBEDF3"/>
                      </w:tcPr>
                      <w:p>
                        <w:pPr>
                          <w:pStyle w:val="TableParagraph"/>
                          <w:spacing w:before="26"/>
                          <w:ind w:left="82" w:right="163"/>
                          <w:jc w:val="left"/>
                          <w:rPr>
                            <w:sz w:val="17"/>
                          </w:rPr>
                        </w:pPr>
                        <w:r>
                          <w:rPr>
                            <w:w w:val="105"/>
                            <w:sz w:val="17"/>
                          </w:rPr>
                          <w:t>Norte América</w:t>
                        </w:r>
                      </w:p>
                    </w:tc>
                    <w:tc>
                      <w:tcPr>
                        <w:tcW w:w="1008" w:type="dxa"/>
                        <w:tcBorders>
                          <w:bottom w:val="single" w:sz="4" w:space="0" w:color="FFFFFF"/>
                        </w:tcBorders>
                        <w:shd w:val="clear" w:color="auto" w:fill="DBEDF3"/>
                      </w:tcPr>
                      <w:p>
                        <w:pPr>
                          <w:pStyle w:val="TableParagraph"/>
                          <w:spacing w:before="26"/>
                          <w:ind w:right="80"/>
                          <w:jc w:val="right"/>
                          <w:rPr>
                            <w:sz w:val="17"/>
                          </w:rPr>
                        </w:pPr>
                        <w:r>
                          <w:rPr>
                            <w:sz w:val="17"/>
                          </w:rPr>
                          <w:t>2,913</w:t>
                        </w:r>
                      </w:p>
                    </w:tc>
                    <w:tc>
                      <w:tcPr>
                        <w:tcW w:w="888" w:type="dxa"/>
                        <w:tcBorders>
                          <w:bottom w:val="single" w:sz="4" w:space="0" w:color="FFFFFF"/>
                        </w:tcBorders>
                        <w:shd w:val="clear" w:color="auto" w:fill="DBEDF3"/>
                      </w:tcPr>
                      <w:p>
                        <w:pPr>
                          <w:pStyle w:val="TableParagraph"/>
                          <w:spacing w:before="26"/>
                          <w:ind w:right="21"/>
                          <w:jc w:val="right"/>
                          <w:rPr>
                            <w:sz w:val="17"/>
                          </w:rPr>
                        </w:pPr>
                        <w:r>
                          <w:rPr>
                            <w:sz w:val="17"/>
                          </w:rPr>
                          <w:t>3%</w:t>
                        </w:r>
                      </w:p>
                    </w:tc>
                    <w:tc>
                      <w:tcPr>
                        <w:tcW w:w="893" w:type="dxa"/>
                        <w:tcBorders>
                          <w:bottom w:val="single" w:sz="4" w:space="0" w:color="FFFFFF"/>
                        </w:tcBorders>
                        <w:shd w:val="clear" w:color="auto" w:fill="DBEDF3"/>
                      </w:tcPr>
                      <w:p>
                        <w:pPr>
                          <w:pStyle w:val="TableParagraph"/>
                          <w:spacing w:before="26"/>
                          <w:ind w:right="27"/>
                          <w:jc w:val="right"/>
                          <w:rPr>
                            <w:sz w:val="17"/>
                          </w:rPr>
                        </w:pPr>
                        <w:r>
                          <w:rPr>
                            <w:sz w:val="17"/>
                          </w:rPr>
                          <w:t>57%</w:t>
                        </w:r>
                      </w:p>
                    </w:tc>
                  </w:tr>
                  <w:tr>
                    <w:trPr>
                      <w:trHeight w:val="247" w:hRule="exact"/>
                    </w:trPr>
                    <w:tc>
                      <w:tcPr>
                        <w:tcW w:w="1924" w:type="dxa"/>
                        <w:tcBorders>
                          <w:top w:val="single" w:sz="4" w:space="0" w:color="FFFFFF"/>
                        </w:tcBorders>
                        <w:shd w:val="clear" w:color="auto" w:fill="FFFF00"/>
                      </w:tcPr>
                      <w:p>
                        <w:pPr>
                          <w:pStyle w:val="TableParagraph"/>
                          <w:spacing w:before="16"/>
                          <w:ind w:left="8" w:right="66"/>
                          <w:rPr>
                            <w:b/>
                            <w:sz w:val="17"/>
                          </w:rPr>
                        </w:pPr>
                        <w:r>
                          <w:rPr>
                            <w:b/>
                            <w:w w:val="105"/>
                            <w:sz w:val="17"/>
                          </w:rPr>
                          <w:t>12</w:t>
                        </w:r>
                      </w:p>
                    </w:tc>
                    <w:tc>
                      <w:tcPr>
                        <w:tcW w:w="2247" w:type="dxa"/>
                        <w:tcBorders>
                          <w:top w:val="single" w:sz="4" w:space="0" w:color="FFFFFF"/>
                        </w:tcBorders>
                        <w:shd w:val="clear" w:color="auto" w:fill="FFFF00"/>
                      </w:tcPr>
                      <w:p>
                        <w:pPr>
                          <w:pStyle w:val="TableParagraph"/>
                          <w:spacing w:before="16"/>
                          <w:ind w:left="82"/>
                          <w:jc w:val="left"/>
                          <w:rPr>
                            <w:b/>
                            <w:sz w:val="17"/>
                          </w:rPr>
                        </w:pPr>
                        <w:r>
                          <w:rPr>
                            <w:b/>
                            <w:w w:val="105"/>
                            <w:sz w:val="17"/>
                          </w:rPr>
                          <w:t>México</w:t>
                        </w:r>
                      </w:p>
                    </w:tc>
                    <w:tc>
                      <w:tcPr>
                        <w:tcW w:w="1875" w:type="dxa"/>
                        <w:tcBorders>
                          <w:top w:val="single" w:sz="4" w:space="0" w:color="FFFFFF"/>
                        </w:tcBorders>
                        <w:shd w:val="clear" w:color="auto" w:fill="FFFF00"/>
                      </w:tcPr>
                      <w:p>
                        <w:pPr>
                          <w:pStyle w:val="TableParagraph"/>
                          <w:spacing w:before="16"/>
                          <w:ind w:left="82" w:right="163"/>
                          <w:jc w:val="left"/>
                          <w:rPr>
                            <w:b/>
                            <w:sz w:val="17"/>
                          </w:rPr>
                        </w:pPr>
                        <w:r>
                          <w:rPr>
                            <w:b/>
                            <w:w w:val="105"/>
                            <w:sz w:val="17"/>
                          </w:rPr>
                          <w:t>Norte América</w:t>
                        </w:r>
                      </w:p>
                    </w:tc>
                    <w:tc>
                      <w:tcPr>
                        <w:tcW w:w="1008" w:type="dxa"/>
                        <w:tcBorders>
                          <w:top w:val="single" w:sz="4" w:space="0" w:color="FFFFFF"/>
                        </w:tcBorders>
                        <w:shd w:val="clear" w:color="auto" w:fill="FFFF00"/>
                      </w:tcPr>
                      <w:p>
                        <w:pPr>
                          <w:pStyle w:val="TableParagraph"/>
                          <w:spacing w:before="16"/>
                          <w:ind w:right="80"/>
                          <w:jc w:val="right"/>
                          <w:rPr>
                            <w:b/>
                            <w:sz w:val="17"/>
                          </w:rPr>
                        </w:pPr>
                        <w:r>
                          <w:rPr>
                            <w:b/>
                            <w:sz w:val="17"/>
                          </w:rPr>
                          <w:t>2,286</w:t>
                        </w:r>
                      </w:p>
                    </w:tc>
                    <w:tc>
                      <w:tcPr>
                        <w:tcW w:w="888" w:type="dxa"/>
                        <w:tcBorders>
                          <w:top w:val="single" w:sz="4" w:space="0" w:color="FFFFFF"/>
                        </w:tcBorders>
                        <w:shd w:val="clear" w:color="auto" w:fill="FFFF00"/>
                      </w:tcPr>
                      <w:p>
                        <w:pPr>
                          <w:pStyle w:val="TableParagraph"/>
                          <w:spacing w:before="16"/>
                          <w:ind w:right="24"/>
                          <w:jc w:val="right"/>
                          <w:rPr>
                            <w:b/>
                            <w:sz w:val="17"/>
                          </w:rPr>
                        </w:pPr>
                        <w:r>
                          <w:rPr>
                            <w:b/>
                            <w:sz w:val="17"/>
                          </w:rPr>
                          <w:t>1.96%</w:t>
                        </w:r>
                      </w:p>
                    </w:tc>
                    <w:tc>
                      <w:tcPr>
                        <w:tcW w:w="893" w:type="dxa"/>
                        <w:tcBorders>
                          <w:top w:val="single" w:sz="4" w:space="0" w:color="FFFFFF"/>
                        </w:tcBorders>
                      </w:tcPr>
                      <w:p>
                        <w:pPr/>
                      </w:p>
                    </w:tc>
                  </w:tr>
                  <w:tr>
                    <w:trPr>
                      <w:trHeight w:val="222" w:hRule="exact"/>
                    </w:trPr>
                    <w:tc>
                      <w:tcPr>
                        <w:tcW w:w="1924" w:type="dxa"/>
                        <w:shd w:val="clear" w:color="auto" w:fill="FFFF00"/>
                      </w:tcPr>
                      <w:p>
                        <w:pPr>
                          <w:pStyle w:val="TableParagraph"/>
                          <w:spacing w:before="9"/>
                          <w:ind w:left="8" w:right="66"/>
                          <w:rPr>
                            <w:b/>
                            <w:sz w:val="17"/>
                          </w:rPr>
                        </w:pPr>
                        <w:r>
                          <w:rPr>
                            <w:b/>
                            <w:w w:val="105"/>
                            <w:sz w:val="17"/>
                          </w:rPr>
                          <w:t>76</w:t>
                        </w:r>
                      </w:p>
                    </w:tc>
                    <w:tc>
                      <w:tcPr>
                        <w:tcW w:w="2247" w:type="dxa"/>
                        <w:shd w:val="clear" w:color="auto" w:fill="FFFF00"/>
                      </w:tcPr>
                      <w:p>
                        <w:pPr>
                          <w:pStyle w:val="TableParagraph"/>
                          <w:spacing w:before="9"/>
                          <w:ind w:left="82"/>
                          <w:jc w:val="left"/>
                          <w:rPr>
                            <w:b/>
                            <w:sz w:val="17"/>
                          </w:rPr>
                        </w:pPr>
                        <w:r>
                          <w:rPr>
                            <w:b/>
                            <w:w w:val="105"/>
                            <w:sz w:val="17"/>
                          </w:rPr>
                          <w:t>Bolivia</w:t>
                        </w:r>
                      </w:p>
                    </w:tc>
                    <w:tc>
                      <w:tcPr>
                        <w:tcW w:w="1875" w:type="dxa"/>
                        <w:shd w:val="clear" w:color="auto" w:fill="FFFF00"/>
                      </w:tcPr>
                      <w:p>
                        <w:pPr>
                          <w:pStyle w:val="TableParagraph"/>
                          <w:spacing w:before="9"/>
                          <w:ind w:left="82"/>
                          <w:jc w:val="left"/>
                          <w:rPr>
                            <w:b/>
                            <w:sz w:val="17"/>
                          </w:rPr>
                        </w:pPr>
                        <w:r>
                          <w:rPr>
                            <w:b/>
                            <w:w w:val="105"/>
                            <w:sz w:val="17"/>
                          </w:rPr>
                          <w:t>Centro y Sud América</w:t>
                        </w:r>
                      </w:p>
                    </w:tc>
                    <w:tc>
                      <w:tcPr>
                        <w:tcW w:w="1008" w:type="dxa"/>
                        <w:shd w:val="clear" w:color="auto" w:fill="FFFF00"/>
                      </w:tcPr>
                      <w:p>
                        <w:pPr>
                          <w:pStyle w:val="TableParagraph"/>
                          <w:spacing w:before="9"/>
                          <w:ind w:right="80"/>
                          <w:jc w:val="right"/>
                          <w:rPr>
                            <w:b/>
                            <w:sz w:val="17"/>
                          </w:rPr>
                        </w:pPr>
                        <w:r>
                          <w:rPr>
                            <w:b/>
                            <w:sz w:val="17"/>
                          </w:rPr>
                          <w:t>96</w:t>
                        </w:r>
                      </w:p>
                    </w:tc>
                    <w:tc>
                      <w:tcPr>
                        <w:tcW w:w="888" w:type="dxa"/>
                        <w:shd w:val="clear" w:color="auto" w:fill="FFFF00"/>
                      </w:tcPr>
                      <w:p>
                        <w:pPr>
                          <w:pStyle w:val="TableParagraph"/>
                          <w:spacing w:before="9"/>
                          <w:ind w:right="24"/>
                          <w:jc w:val="right"/>
                          <w:rPr>
                            <w:b/>
                            <w:sz w:val="17"/>
                          </w:rPr>
                        </w:pPr>
                        <w:r>
                          <w:rPr>
                            <w:b/>
                            <w:sz w:val="17"/>
                          </w:rPr>
                          <w:t>0.08%</w:t>
                        </w:r>
                      </w:p>
                    </w:tc>
                    <w:tc>
                      <w:tcPr>
                        <w:tcW w:w="893" w:type="dxa"/>
                      </w:tcPr>
                      <w:p>
                        <w:pPr/>
                      </w:p>
                    </w:tc>
                  </w:tr>
                  <w:tr>
                    <w:trPr>
                      <w:trHeight w:val="563" w:hRule="exact"/>
                    </w:trPr>
                    <w:tc>
                      <w:tcPr>
                        <w:tcW w:w="8835" w:type="dxa"/>
                        <w:gridSpan w:val="6"/>
                      </w:tcPr>
                      <w:p>
                        <w:pPr>
                          <w:pStyle w:val="TableParagraph"/>
                          <w:spacing w:before="6"/>
                          <w:jc w:val="left"/>
                          <w:rPr>
                            <w:sz w:val="23"/>
                          </w:rPr>
                        </w:pPr>
                      </w:p>
                      <w:p>
                        <w:pPr>
                          <w:pStyle w:val="TableParagraph"/>
                          <w:ind w:left="2277"/>
                          <w:jc w:val="left"/>
                          <w:rPr>
                            <w:sz w:val="24"/>
                          </w:rPr>
                        </w:pPr>
                        <w:r>
                          <w:rPr>
                            <w:sz w:val="24"/>
                          </w:rPr>
                          <w:t>Ranking de reservas probadas de gas natural</w:t>
                        </w:r>
                      </w:p>
                    </w:tc>
                  </w:tr>
                  <w:tr>
                    <w:trPr>
                      <w:trHeight w:val="458" w:hRule="exact"/>
                    </w:trPr>
                    <w:tc>
                      <w:tcPr>
                        <w:tcW w:w="1924" w:type="dxa"/>
                        <w:shd w:val="clear" w:color="auto" w:fill="DBEDF3"/>
                      </w:tcPr>
                      <w:p>
                        <w:pPr>
                          <w:pStyle w:val="TableParagraph"/>
                          <w:spacing w:before="125"/>
                          <w:ind w:left="102" w:right="66"/>
                          <w:rPr>
                            <w:b/>
                            <w:sz w:val="17"/>
                          </w:rPr>
                        </w:pPr>
                        <w:r>
                          <w:rPr>
                            <w:b/>
                            <w:w w:val="105"/>
                            <w:sz w:val="17"/>
                          </w:rPr>
                          <w:t>Posición mundial 2010</w:t>
                        </w:r>
                      </w:p>
                    </w:tc>
                    <w:tc>
                      <w:tcPr>
                        <w:tcW w:w="2247" w:type="dxa"/>
                        <w:shd w:val="clear" w:color="auto" w:fill="DBEDF3"/>
                      </w:tcPr>
                      <w:p>
                        <w:pPr>
                          <w:pStyle w:val="TableParagraph"/>
                          <w:spacing w:before="125"/>
                          <w:ind w:left="962" w:right="927"/>
                          <w:rPr>
                            <w:b/>
                            <w:sz w:val="17"/>
                          </w:rPr>
                        </w:pPr>
                        <w:r>
                          <w:rPr>
                            <w:b/>
                            <w:w w:val="105"/>
                            <w:sz w:val="17"/>
                          </w:rPr>
                          <w:t>País</w:t>
                        </w:r>
                      </w:p>
                    </w:tc>
                    <w:tc>
                      <w:tcPr>
                        <w:tcW w:w="1875" w:type="dxa"/>
                        <w:shd w:val="clear" w:color="auto" w:fill="DBEDF3"/>
                      </w:tcPr>
                      <w:p>
                        <w:pPr>
                          <w:pStyle w:val="TableParagraph"/>
                          <w:spacing w:before="125"/>
                          <w:ind w:left="676" w:right="623"/>
                          <w:rPr>
                            <w:b/>
                            <w:sz w:val="17"/>
                          </w:rPr>
                        </w:pPr>
                        <w:r>
                          <w:rPr>
                            <w:b/>
                            <w:w w:val="105"/>
                            <w:sz w:val="17"/>
                          </w:rPr>
                          <w:t>Región</w:t>
                        </w:r>
                      </w:p>
                    </w:tc>
                    <w:tc>
                      <w:tcPr>
                        <w:tcW w:w="1008" w:type="dxa"/>
                        <w:shd w:val="clear" w:color="auto" w:fill="DBEDF3"/>
                      </w:tcPr>
                      <w:p>
                        <w:pPr>
                          <w:pStyle w:val="TableParagraph"/>
                          <w:spacing w:line="280" w:lineRule="auto" w:before="16"/>
                          <w:ind w:left="334" w:right="135" w:hanging="165"/>
                          <w:jc w:val="left"/>
                          <w:rPr>
                            <w:b/>
                            <w:sz w:val="17"/>
                          </w:rPr>
                        </w:pPr>
                        <w:r>
                          <w:rPr>
                            <w:b/>
                            <w:w w:val="105"/>
                            <w:sz w:val="17"/>
                          </w:rPr>
                          <w:t>Reservas (tpc)</w:t>
                        </w:r>
                      </w:p>
                    </w:tc>
                    <w:tc>
                      <w:tcPr>
                        <w:tcW w:w="888" w:type="dxa"/>
                        <w:shd w:val="clear" w:color="auto" w:fill="DBEDF3"/>
                      </w:tcPr>
                      <w:p>
                        <w:pPr>
                          <w:pStyle w:val="TableParagraph"/>
                          <w:spacing w:line="280" w:lineRule="auto" w:before="16"/>
                          <w:ind w:left="137" w:right="-2" w:firstLine="98"/>
                          <w:jc w:val="left"/>
                          <w:rPr>
                            <w:b/>
                            <w:sz w:val="17"/>
                          </w:rPr>
                        </w:pPr>
                        <w:r>
                          <w:rPr>
                            <w:b/>
                            <w:w w:val="105"/>
                            <w:sz w:val="17"/>
                          </w:rPr>
                          <w:t>Partic. </w:t>
                        </w:r>
                        <w:r>
                          <w:rPr>
                            <w:b/>
                            <w:sz w:val="17"/>
                          </w:rPr>
                          <w:t>Mundial</w:t>
                        </w:r>
                      </w:p>
                    </w:tc>
                    <w:tc>
                      <w:tcPr>
                        <w:tcW w:w="893" w:type="dxa"/>
                        <w:shd w:val="clear" w:color="auto" w:fill="DBEDF3"/>
                      </w:tcPr>
                      <w:p>
                        <w:pPr>
                          <w:pStyle w:val="TableParagraph"/>
                          <w:spacing w:line="280" w:lineRule="auto" w:before="16"/>
                          <w:ind w:left="213" w:firstLine="11"/>
                          <w:jc w:val="left"/>
                          <w:rPr>
                            <w:b/>
                            <w:sz w:val="17"/>
                          </w:rPr>
                        </w:pPr>
                        <w:r>
                          <w:rPr>
                            <w:b/>
                            <w:sz w:val="17"/>
                          </w:rPr>
                          <w:t>Partic. </w:t>
                        </w:r>
                        <w:r>
                          <w:rPr>
                            <w:b/>
                            <w:w w:val="105"/>
                            <w:sz w:val="17"/>
                          </w:rPr>
                          <w:t>Acum.</w:t>
                        </w:r>
                      </w:p>
                    </w:tc>
                  </w:tr>
                  <w:tr>
                    <w:trPr>
                      <w:trHeight w:val="218" w:hRule="exact"/>
                    </w:trPr>
                    <w:tc>
                      <w:tcPr>
                        <w:tcW w:w="1924" w:type="dxa"/>
                        <w:tcBorders>
                          <w:left w:val="single" w:sz="4" w:space="0" w:color="D0D6E4"/>
                          <w:right w:val="single" w:sz="4" w:space="0" w:color="D0D6E4"/>
                        </w:tcBorders>
                      </w:tcPr>
                      <w:p>
                        <w:pPr>
                          <w:pStyle w:val="TableParagraph"/>
                          <w:spacing w:before="16"/>
                          <w:ind w:right="58"/>
                          <w:rPr>
                            <w:sz w:val="17"/>
                          </w:rPr>
                        </w:pPr>
                        <w:r>
                          <w:rPr>
                            <w:w w:val="103"/>
                            <w:sz w:val="17"/>
                          </w:rPr>
                          <w:t>1</w:t>
                        </w:r>
                      </w:p>
                    </w:tc>
                    <w:tc>
                      <w:tcPr>
                        <w:tcW w:w="2247" w:type="dxa"/>
                        <w:tcBorders>
                          <w:left w:val="single" w:sz="4" w:space="0" w:color="D0D6E4"/>
                          <w:right w:val="single" w:sz="4" w:space="0" w:color="D0D6E4"/>
                        </w:tcBorders>
                      </w:tcPr>
                      <w:p>
                        <w:pPr>
                          <w:pStyle w:val="TableParagraph"/>
                          <w:spacing w:before="16"/>
                          <w:ind w:left="76"/>
                          <w:jc w:val="left"/>
                          <w:rPr>
                            <w:sz w:val="17"/>
                          </w:rPr>
                        </w:pPr>
                        <w:r>
                          <w:rPr>
                            <w:w w:val="105"/>
                            <w:sz w:val="17"/>
                          </w:rPr>
                          <w:t>Rusia</w:t>
                        </w:r>
                      </w:p>
                    </w:tc>
                    <w:tc>
                      <w:tcPr>
                        <w:tcW w:w="1875" w:type="dxa"/>
                        <w:tcBorders>
                          <w:left w:val="single" w:sz="4" w:space="0" w:color="D0D6E4"/>
                          <w:right w:val="single" w:sz="4" w:space="0" w:color="D0D6E4"/>
                        </w:tcBorders>
                      </w:tcPr>
                      <w:p>
                        <w:pPr>
                          <w:pStyle w:val="TableParagraph"/>
                          <w:spacing w:before="16"/>
                          <w:ind w:left="77"/>
                          <w:jc w:val="left"/>
                          <w:rPr>
                            <w:sz w:val="17"/>
                          </w:rPr>
                        </w:pPr>
                        <w:r>
                          <w:rPr>
                            <w:w w:val="105"/>
                            <w:sz w:val="17"/>
                          </w:rPr>
                          <w:t>Eurasia</w:t>
                        </w:r>
                      </w:p>
                    </w:tc>
                    <w:tc>
                      <w:tcPr>
                        <w:tcW w:w="1008" w:type="dxa"/>
                        <w:tcBorders>
                          <w:left w:val="single" w:sz="4" w:space="0" w:color="D0D6E4"/>
                          <w:right w:val="single" w:sz="4" w:space="0" w:color="D0D6E4"/>
                        </w:tcBorders>
                      </w:tcPr>
                      <w:p>
                        <w:pPr>
                          <w:pStyle w:val="TableParagraph"/>
                          <w:spacing w:before="16"/>
                          <w:ind w:right="74"/>
                          <w:jc w:val="right"/>
                          <w:rPr>
                            <w:sz w:val="17"/>
                          </w:rPr>
                        </w:pPr>
                        <w:r>
                          <w:rPr>
                            <w:sz w:val="17"/>
                          </w:rPr>
                          <w:t>1,680</w:t>
                        </w:r>
                      </w:p>
                    </w:tc>
                    <w:tc>
                      <w:tcPr>
                        <w:tcW w:w="888" w:type="dxa"/>
                        <w:tcBorders>
                          <w:left w:val="single" w:sz="4" w:space="0" w:color="D0D6E4"/>
                          <w:right w:val="single" w:sz="4" w:space="0" w:color="D0D6E4"/>
                        </w:tcBorders>
                      </w:tcPr>
                      <w:p>
                        <w:pPr>
                          <w:pStyle w:val="TableParagraph"/>
                          <w:spacing w:before="16"/>
                          <w:ind w:right="16"/>
                          <w:jc w:val="right"/>
                          <w:rPr>
                            <w:sz w:val="17"/>
                          </w:rPr>
                        </w:pPr>
                        <w:r>
                          <w:rPr>
                            <w:sz w:val="17"/>
                          </w:rPr>
                          <w:t>25%</w:t>
                        </w:r>
                      </w:p>
                    </w:tc>
                    <w:tc>
                      <w:tcPr>
                        <w:tcW w:w="893" w:type="dxa"/>
                        <w:tcBorders>
                          <w:left w:val="single" w:sz="4" w:space="0" w:color="D0D6E4"/>
                          <w:right w:val="single" w:sz="4" w:space="0" w:color="D0D6E4"/>
                        </w:tcBorders>
                      </w:tcPr>
                      <w:p>
                        <w:pPr>
                          <w:pStyle w:val="TableParagraph"/>
                          <w:spacing w:before="16"/>
                          <w:ind w:right="21"/>
                          <w:jc w:val="right"/>
                          <w:rPr>
                            <w:sz w:val="17"/>
                          </w:rPr>
                        </w:pPr>
                        <w:r>
                          <w:rPr>
                            <w:sz w:val="17"/>
                          </w:rPr>
                          <w:t>25%</w:t>
                        </w:r>
                      </w:p>
                    </w:tc>
                  </w:tr>
                  <w:tr>
                    <w:trPr>
                      <w:trHeight w:val="240" w:hRule="exact"/>
                    </w:trPr>
                    <w:tc>
                      <w:tcPr>
                        <w:tcW w:w="1924" w:type="dxa"/>
                        <w:shd w:val="clear" w:color="auto" w:fill="DBEDF3"/>
                      </w:tcPr>
                      <w:p>
                        <w:pPr>
                          <w:pStyle w:val="TableParagraph"/>
                          <w:spacing w:before="27"/>
                          <w:ind w:right="58"/>
                          <w:rPr>
                            <w:sz w:val="17"/>
                          </w:rPr>
                        </w:pPr>
                        <w:r>
                          <w:rPr>
                            <w:w w:val="103"/>
                            <w:sz w:val="17"/>
                          </w:rPr>
                          <w:t>2</w:t>
                        </w:r>
                      </w:p>
                    </w:tc>
                    <w:tc>
                      <w:tcPr>
                        <w:tcW w:w="2247" w:type="dxa"/>
                        <w:shd w:val="clear" w:color="auto" w:fill="DBEDF3"/>
                      </w:tcPr>
                      <w:p>
                        <w:pPr>
                          <w:pStyle w:val="TableParagraph"/>
                          <w:spacing w:before="27"/>
                          <w:ind w:left="82"/>
                          <w:jc w:val="left"/>
                          <w:rPr>
                            <w:sz w:val="17"/>
                          </w:rPr>
                        </w:pPr>
                        <w:r>
                          <w:rPr>
                            <w:w w:val="105"/>
                            <w:sz w:val="17"/>
                          </w:rPr>
                          <w:t>Irán</w:t>
                        </w:r>
                      </w:p>
                    </w:tc>
                    <w:tc>
                      <w:tcPr>
                        <w:tcW w:w="1875" w:type="dxa"/>
                        <w:shd w:val="clear" w:color="auto" w:fill="DBEDF3"/>
                      </w:tcPr>
                      <w:p>
                        <w:pPr>
                          <w:pStyle w:val="TableParagraph"/>
                          <w:spacing w:before="27"/>
                          <w:ind w:left="82" w:right="163"/>
                          <w:jc w:val="left"/>
                          <w:rPr>
                            <w:sz w:val="17"/>
                          </w:rPr>
                        </w:pPr>
                        <w:r>
                          <w:rPr>
                            <w:w w:val="105"/>
                            <w:sz w:val="17"/>
                          </w:rPr>
                          <w:t>Medio Oriente</w:t>
                        </w:r>
                      </w:p>
                    </w:tc>
                    <w:tc>
                      <w:tcPr>
                        <w:tcW w:w="1008" w:type="dxa"/>
                        <w:shd w:val="clear" w:color="auto" w:fill="DBEDF3"/>
                      </w:tcPr>
                      <w:p>
                        <w:pPr>
                          <w:pStyle w:val="TableParagraph"/>
                          <w:spacing w:before="27"/>
                          <w:ind w:right="80"/>
                          <w:jc w:val="right"/>
                          <w:rPr>
                            <w:sz w:val="17"/>
                          </w:rPr>
                        </w:pPr>
                        <w:r>
                          <w:rPr>
                            <w:sz w:val="17"/>
                          </w:rPr>
                          <w:t>1,046</w:t>
                        </w:r>
                      </w:p>
                    </w:tc>
                    <w:tc>
                      <w:tcPr>
                        <w:tcW w:w="888" w:type="dxa"/>
                        <w:shd w:val="clear" w:color="auto" w:fill="DBEDF3"/>
                      </w:tcPr>
                      <w:p>
                        <w:pPr>
                          <w:pStyle w:val="TableParagraph"/>
                          <w:spacing w:before="27"/>
                          <w:ind w:right="21"/>
                          <w:jc w:val="right"/>
                          <w:rPr>
                            <w:sz w:val="17"/>
                          </w:rPr>
                        </w:pPr>
                        <w:r>
                          <w:rPr>
                            <w:sz w:val="17"/>
                          </w:rPr>
                          <w:t>16%</w:t>
                        </w:r>
                      </w:p>
                    </w:tc>
                    <w:tc>
                      <w:tcPr>
                        <w:tcW w:w="893" w:type="dxa"/>
                        <w:shd w:val="clear" w:color="auto" w:fill="DBEDF3"/>
                      </w:tcPr>
                      <w:p>
                        <w:pPr>
                          <w:pStyle w:val="TableParagraph"/>
                          <w:spacing w:before="27"/>
                          <w:ind w:right="27"/>
                          <w:jc w:val="right"/>
                          <w:rPr>
                            <w:sz w:val="17"/>
                          </w:rPr>
                        </w:pPr>
                        <w:r>
                          <w:rPr>
                            <w:sz w:val="17"/>
                          </w:rPr>
                          <w:t>41%</w:t>
                        </w:r>
                      </w:p>
                    </w:tc>
                  </w:tr>
                  <w:tr>
                    <w:trPr>
                      <w:trHeight w:val="218" w:hRule="exact"/>
                    </w:trPr>
                    <w:tc>
                      <w:tcPr>
                        <w:tcW w:w="1924" w:type="dxa"/>
                        <w:tcBorders>
                          <w:left w:val="single" w:sz="4" w:space="0" w:color="D0D6E4"/>
                          <w:right w:val="single" w:sz="4" w:space="0" w:color="D0D6E4"/>
                        </w:tcBorders>
                      </w:tcPr>
                      <w:p>
                        <w:pPr>
                          <w:pStyle w:val="TableParagraph"/>
                          <w:spacing w:before="15"/>
                          <w:ind w:right="58"/>
                          <w:rPr>
                            <w:sz w:val="17"/>
                          </w:rPr>
                        </w:pPr>
                        <w:r>
                          <w:rPr>
                            <w:w w:val="103"/>
                            <w:sz w:val="17"/>
                          </w:rPr>
                          <w:t>3</w:t>
                        </w:r>
                      </w:p>
                    </w:tc>
                    <w:tc>
                      <w:tcPr>
                        <w:tcW w:w="2247" w:type="dxa"/>
                        <w:tcBorders>
                          <w:left w:val="single" w:sz="4" w:space="0" w:color="D0D6E4"/>
                          <w:right w:val="single" w:sz="4" w:space="0" w:color="D0D6E4"/>
                        </w:tcBorders>
                      </w:tcPr>
                      <w:p>
                        <w:pPr>
                          <w:pStyle w:val="TableParagraph"/>
                          <w:spacing w:before="15"/>
                          <w:ind w:left="76"/>
                          <w:jc w:val="left"/>
                          <w:rPr>
                            <w:sz w:val="17"/>
                          </w:rPr>
                        </w:pPr>
                        <w:r>
                          <w:rPr>
                            <w:w w:val="105"/>
                            <w:sz w:val="17"/>
                          </w:rPr>
                          <w:t>Qatar</w:t>
                        </w:r>
                      </w:p>
                    </w:tc>
                    <w:tc>
                      <w:tcPr>
                        <w:tcW w:w="1875" w:type="dxa"/>
                        <w:tcBorders>
                          <w:left w:val="single" w:sz="4" w:space="0" w:color="D0D6E4"/>
                          <w:right w:val="single" w:sz="4" w:space="0" w:color="D0D6E4"/>
                        </w:tcBorders>
                      </w:tcPr>
                      <w:p>
                        <w:pPr>
                          <w:pStyle w:val="TableParagraph"/>
                          <w:spacing w:before="15"/>
                          <w:ind w:left="77"/>
                          <w:jc w:val="left"/>
                          <w:rPr>
                            <w:sz w:val="17"/>
                          </w:rPr>
                        </w:pPr>
                        <w:r>
                          <w:rPr>
                            <w:w w:val="105"/>
                            <w:sz w:val="17"/>
                          </w:rPr>
                          <w:t>Medio Oriente</w:t>
                        </w:r>
                      </w:p>
                    </w:tc>
                    <w:tc>
                      <w:tcPr>
                        <w:tcW w:w="1008" w:type="dxa"/>
                        <w:tcBorders>
                          <w:left w:val="single" w:sz="4" w:space="0" w:color="D0D6E4"/>
                          <w:right w:val="single" w:sz="4" w:space="0" w:color="D0D6E4"/>
                        </w:tcBorders>
                      </w:tcPr>
                      <w:p>
                        <w:pPr>
                          <w:pStyle w:val="TableParagraph"/>
                          <w:spacing w:before="15"/>
                          <w:ind w:right="74"/>
                          <w:jc w:val="right"/>
                          <w:rPr>
                            <w:sz w:val="17"/>
                          </w:rPr>
                        </w:pPr>
                        <w:r>
                          <w:rPr>
                            <w:sz w:val="17"/>
                          </w:rPr>
                          <w:t>899</w:t>
                        </w:r>
                      </w:p>
                    </w:tc>
                    <w:tc>
                      <w:tcPr>
                        <w:tcW w:w="888" w:type="dxa"/>
                        <w:tcBorders>
                          <w:left w:val="single" w:sz="4" w:space="0" w:color="D0D6E4"/>
                          <w:right w:val="single" w:sz="4" w:space="0" w:color="D0D6E4"/>
                        </w:tcBorders>
                      </w:tcPr>
                      <w:p>
                        <w:pPr>
                          <w:pStyle w:val="TableParagraph"/>
                          <w:spacing w:before="15"/>
                          <w:ind w:right="16"/>
                          <w:jc w:val="right"/>
                          <w:rPr>
                            <w:sz w:val="17"/>
                          </w:rPr>
                        </w:pPr>
                        <w:r>
                          <w:rPr>
                            <w:sz w:val="17"/>
                          </w:rPr>
                          <w:t>14%</w:t>
                        </w:r>
                      </w:p>
                    </w:tc>
                    <w:tc>
                      <w:tcPr>
                        <w:tcW w:w="893" w:type="dxa"/>
                        <w:tcBorders>
                          <w:left w:val="single" w:sz="4" w:space="0" w:color="D0D6E4"/>
                          <w:right w:val="single" w:sz="4" w:space="0" w:color="D0D6E4"/>
                        </w:tcBorders>
                      </w:tcPr>
                      <w:p>
                        <w:pPr>
                          <w:pStyle w:val="TableParagraph"/>
                          <w:spacing w:before="15"/>
                          <w:ind w:right="21"/>
                          <w:jc w:val="right"/>
                          <w:rPr>
                            <w:sz w:val="17"/>
                          </w:rPr>
                        </w:pPr>
                        <w:r>
                          <w:rPr>
                            <w:sz w:val="17"/>
                          </w:rPr>
                          <w:t>55%</w:t>
                        </w:r>
                      </w:p>
                    </w:tc>
                  </w:tr>
                  <w:tr>
                    <w:trPr>
                      <w:trHeight w:val="240" w:hRule="exact"/>
                    </w:trPr>
                    <w:tc>
                      <w:tcPr>
                        <w:tcW w:w="1924" w:type="dxa"/>
                        <w:shd w:val="clear" w:color="auto" w:fill="DBEDF3"/>
                      </w:tcPr>
                      <w:p>
                        <w:pPr>
                          <w:pStyle w:val="TableParagraph"/>
                          <w:spacing w:before="26"/>
                          <w:ind w:right="58"/>
                          <w:rPr>
                            <w:sz w:val="17"/>
                          </w:rPr>
                        </w:pPr>
                        <w:r>
                          <w:rPr>
                            <w:w w:val="103"/>
                            <w:sz w:val="17"/>
                          </w:rPr>
                          <w:t>4</w:t>
                        </w:r>
                      </w:p>
                    </w:tc>
                    <w:tc>
                      <w:tcPr>
                        <w:tcW w:w="2247" w:type="dxa"/>
                        <w:shd w:val="clear" w:color="auto" w:fill="DBEDF3"/>
                      </w:tcPr>
                      <w:p>
                        <w:pPr>
                          <w:pStyle w:val="TableParagraph"/>
                          <w:spacing w:before="26"/>
                          <w:ind w:left="82"/>
                          <w:jc w:val="left"/>
                          <w:rPr>
                            <w:sz w:val="17"/>
                          </w:rPr>
                        </w:pPr>
                        <w:r>
                          <w:rPr>
                            <w:w w:val="105"/>
                            <w:sz w:val="17"/>
                          </w:rPr>
                          <w:t>Estados Unidos de América</w:t>
                        </w:r>
                      </w:p>
                    </w:tc>
                    <w:tc>
                      <w:tcPr>
                        <w:tcW w:w="1875" w:type="dxa"/>
                        <w:shd w:val="clear" w:color="auto" w:fill="DBEDF3"/>
                      </w:tcPr>
                      <w:p>
                        <w:pPr>
                          <w:pStyle w:val="TableParagraph"/>
                          <w:spacing w:before="26"/>
                          <w:ind w:left="82" w:right="163"/>
                          <w:jc w:val="left"/>
                          <w:rPr>
                            <w:sz w:val="17"/>
                          </w:rPr>
                        </w:pPr>
                        <w:r>
                          <w:rPr>
                            <w:w w:val="105"/>
                            <w:sz w:val="17"/>
                          </w:rPr>
                          <w:t>Norte América</w:t>
                        </w:r>
                      </w:p>
                    </w:tc>
                    <w:tc>
                      <w:tcPr>
                        <w:tcW w:w="1008" w:type="dxa"/>
                        <w:shd w:val="clear" w:color="auto" w:fill="DBEDF3"/>
                      </w:tcPr>
                      <w:p>
                        <w:pPr>
                          <w:pStyle w:val="TableParagraph"/>
                          <w:spacing w:before="26"/>
                          <w:ind w:right="80"/>
                          <w:jc w:val="right"/>
                          <w:rPr>
                            <w:sz w:val="17"/>
                          </w:rPr>
                        </w:pPr>
                        <w:r>
                          <w:rPr>
                            <w:sz w:val="17"/>
                          </w:rPr>
                          <w:t>273</w:t>
                        </w:r>
                      </w:p>
                    </w:tc>
                    <w:tc>
                      <w:tcPr>
                        <w:tcW w:w="888" w:type="dxa"/>
                        <w:shd w:val="clear" w:color="auto" w:fill="DBEDF3"/>
                      </w:tcPr>
                      <w:p>
                        <w:pPr>
                          <w:pStyle w:val="TableParagraph"/>
                          <w:spacing w:before="26"/>
                          <w:ind w:right="21"/>
                          <w:jc w:val="right"/>
                          <w:rPr>
                            <w:sz w:val="17"/>
                          </w:rPr>
                        </w:pPr>
                        <w:r>
                          <w:rPr>
                            <w:sz w:val="17"/>
                          </w:rPr>
                          <w:t>4%</w:t>
                        </w:r>
                      </w:p>
                    </w:tc>
                    <w:tc>
                      <w:tcPr>
                        <w:tcW w:w="893" w:type="dxa"/>
                        <w:shd w:val="clear" w:color="auto" w:fill="DBEDF3"/>
                      </w:tcPr>
                      <w:p>
                        <w:pPr>
                          <w:pStyle w:val="TableParagraph"/>
                          <w:spacing w:before="26"/>
                          <w:ind w:right="27"/>
                          <w:jc w:val="right"/>
                          <w:rPr>
                            <w:sz w:val="17"/>
                          </w:rPr>
                        </w:pPr>
                        <w:r>
                          <w:rPr>
                            <w:sz w:val="17"/>
                          </w:rPr>
                          <w:t>59%</w:t>
                        </w:r>
                      </w:p>
                    </w:tc>
                  </w:tr>
                  <w:tr>
                    <w:trPr>
                      <w:trHeight w:val="218" w:hRule="exact"/>
                    </w:trPr>
                    <w:tc>
                      <w:tcPr>
                        <w:tcW w:w="1924" w:type="dxa"/>
                        <w:tcBorders>
                          <w:left w:val="single" w:sz="4" w:space="0" w:color="D0D6E4"/>
                          <w:right w:val="single" w:sz="4" w:space="0" w:color="D0D6E4"/>
                        </w:tcBorders>
                      </w:tcPr>
                      <w:p>
                        <w:pPr>
                          <w:pStyle w:val="TableParagraph"/>
                          <w:spacing w:before="15"/>
                          <w:ind w:right="58"/>
                          <w:rPr>
                            <w:sz w:val="17"/>
                          </w:rPr>
                        </w:pPr>
                        <w:r>
                          <w:rPr>
                            <w:w w:val="103"/>
                            <w:sz w:val="17"/>
                          </w:rPr>
                          <w:t>5</w:t>
                        </w:r>
                      </w:p>
                    </w:tc>
                    <w:tc>
                      <w:tcPr>
                        <w:tcW w:w="2247" w:type="dxa"/>
                        <w:tcBorders>
                          <w:left w:val="single" w:sz="4" w:space="0" w:color="D0D6E4"/>
                          <w:right w:val="single" w:sz="4" w:space="0" w:color="D0D6E4"/>
                        </w:tcBorders>
                      </w:tcPr>
                      <w:p>
                        <w:pPr>
                          <w:pStyle w:val="TableParagraph"/>
                          <w:spacing w:before="15"/>
                          <w:ind w:left="76"/>
                          <w:jc w:val="left"/>
                          <w:rPr>
                            <w:sz w:val="17"/>
                          </w:rPr>
                        </w:pPr>
                        <w:r>
                          <w:rPr>
                            <w:w w:val="105"/>
                            <w:sz w:val="17"/>
                          </w:rPr>
                          <w:t>Turkmenistan</w:t>
                        </w:r>
                      </w:p>
                    </w:tc>
                    <w:tc>
                      <w:tcPr>
                        <w:tcW w:w="1875" w:type="dxa"/>
                        <w:tcBorders>
                          <w:left w:val="single" w:sz="4" w:space="0" w:color="D0D6E4"/>
                          <w:right w:val="single" w:sz="4" w:space="0" w:color="D0D6E4"/>
                        </w:tcBorders>
                      </w:tcPr>
                      <w:p>
                        <w:pPr>
                          <w:pStyle w:val="TableParagraph"/>
                          <w:spacing w:before="15"/>
                          <w:ind w:left="77"/>
                          <w:jc w:val="left"/>
                          <w:rPr>
                            <w:sz w:val="17"/>
                          </w:rPr>
                        </w:pPr>
                        <w:r>
                          <w:rPr>
                            <w:w w:val="105"/>
                            <w:sz w:val="17"/>
                          </w:rPr>
                          <w:t>Eurasia</w:t>
                        </w:r>
                      </w:p>
                    </w:tc>
                    <w:tc>
                      <w:tcPr>
                        <w:tcW w:w="1008" w:type="dxa"/>
                        <w:tcBorders>
                          <w:left w:val="single" w:sz="4" w:space="0" w:color="D0D6E4"/>
                          <w:right w:val="single" w:sz="4" w:space="0" w:color="D0D6E4"/>
                        </w:tcBorders>
                      </w:tcPr>
                      <w:p>
                        <w:pPr>
                          <w:pStyle w:val="TableParagraph"/>
                          <w:spacing w:before="15"/>
                          <w:ind w:right="74"/>
                          <w:jc w:val="right"/>
                          <w:rPr>
                            <w:sz w:val="17"/>
                          </w:rPr>
                        </w:pPr>
                        <w:r>
                          <w:rPr>
                            <w:sz w:val="17"/>
                          </w:rPr>
                          <w:t>265</w:t>
                        </w:r>
                      </w:p>
                    </w:tc>
                    <w:tc>
                      <w:tcPr>
                        <w:tcW w:w="888" w:type="dxa"/>
                        <w:tcBorders>
                          <w:left w:val="single" w:sz="4" w:space="0" w:color="D0D6E4"/>
                          <w:right w:val="single" w:sz="4" w:space="0" w:color="D0D6E4"/>
                        </w:tcBorders>
                      </w:tcPr>
                      <w:p>
                        <w:pPr>
                          <w:pStyle w:val="TableParagraph"/>
                          <w:spacing w:before="15"/>
                          <w:ind w:right="16"/>
                          <w:jc w:val="right"/>
                          <w:rPr>
                            <w:sz w:val="17"/>
                          </w:rPr>
                        </w:pPr>
                        <w:r>
                          <w:rPr>
                            <w:sz w:val="17"/>
                          </w:rPr>
                          <w:t>4%</w:t>
                        </w:r>
                      </w:p>
                    </w:tc>
                    <w:tc>
                      <w:tcPr>
                        <w:tcW w:w="893" w:type="dxa"/>
                        <w:tcBorders>
                          <w:left w:val="single" w:sz="4" w:space="0" w:color="D0D6E4"/>
                          <w:right w:val="single" w:sz="4" w:space="0" w:color="D0D6E4"/>
                        </w:tcBorders>
                      </w:tcPr>
                      <w:p>
                        <w:pPr>
                          <w:pStyle w:val="TableParagraph"/>
                          <w:spacing w:before="15"/>
                          <w:ind w:right="21"/>
                          <w:jc w:val="right"/>
                          <w:rPr>
                            <w:sz w:val="17"/>
                          </w:rPr>
                        </w:pPr>
                        <w:r>
                          <w:rPr>
                            <w:sz w:val="17"/>
                          </w:rPr>
                          <w:t>63%</w:t>
                        </w:r>
                      </w:p>
                    </w:tc>
                  </w:tr>
                  <w:tr>
                    <w:trPr>
                      <w:trHeight w:val="240" w:hRule="exact"/>
                    </w:trPr>
                    <w:tc>
                      <w:tcPr>
                        <w:tcW w:w="1924" w:type="dxa"/>
                        <w:shd w:val="clear" w:color="auto" w:fill="DBEDF3"/>
                      </w:tcPr>
                      <w:p>
                        <w:pPr>
                          <w:pStyle w:val="TableParagraph"/>
                          <w:spacing w:before="26"/>
                          <w:ind w:right="58"/>
                          <w:rPr>
                            <w:sz w:val="17"/>
                          </w:rPr>
                        </w:pPr>
                        <w:r>
                          <w:rPr>
                            <w:w w:val="103"/>
                            <w:sz w:val="17"/>
                          </w:rPr>
                          <w:t>6</w:t>
                        </w:r>
                      </w:p>
                    </w:tc>
                    <w:tc>
                      <w:tcPr>
                        <w:tcW w:w="2247" w:type="dxa"/>
                        <w:shd w:val="clear" w:color="auto" w:fill="DBEDF3"/>
                      </w:tcPr>
                      <w:p>
                        <w:pPr>
                          <w:pStyle w:val="TableParagraph"/>
                          <w:spacing w:before="26"/>
                          <w:ind w:left="82"/>
                          <w:jc w:val="left"/>
                          <w:rPr>
                            <w:sz w:val="17"/>
                          </w:rPr>
                        </w:pPr>
                        <w:r>
                          <w:rPr>
                            <w:w w:val="105"/>
                            <w:sz w:val="17"/>
                          </w:rPr>
                          <w:t>Arabia Saudita</w:t>
                        </w:r>
                      </w:p>
                    </w:tc>
                    <w:tc>
                      <w:tcPr>
                        <w:tcW w:w="1875" w:type="dxa"/>
                        <w:shd w:val="clear" w:color="auto" w:fill="DBEDF3"/>
                      </w:tcPr>
                      <w:p>
                        <w:pPr>
                          <w:pStyle w:val="TableParagraph"/>
                          <w:spacing w:before="26"/>
                          <w:ind w:left="82" w:right="163"/>
                          <w:jc w:val="left"/>
                          <w:rPr>
                            <w:sz w:val="17"/>
                          </w:rPr>
                        </w:pPr>
                        <w:r>
                          <w:rPr>
                            <w:w w:val="105"/>
                            <w:sz w:val="17"/>
                          </w:rPr>
                          <w:t>Medio Oriente</w:t>
                        </w:r>
                      </w:p>
                    </w:tc>
                    <w:tc>
                      <w:tcPr>
                        <w:tcW w:w="1008" w:type="dxa"/>
                        <w:shd w:val="clear" w:color="auto" w:fill="DBEDF3"/>
                      </w:tcPr>
                      <w:p>
                        <w:pPr>
                          <w:pStyle w:val="TableParagraph"/>
                          <w:spacing w:before="26"/>
                          <w:ind w:right="80"/>
                          <w:jc w:val="right"/>
                          <w:rPr>
                            <w:sz w:val="17"/>
                          </w:rPr>
                        </w:pPr>
                        <w:r>
                          <w:rPr>
                            <w:sz w:val="17"/>
                          </w:rPr>
                          <w:t>264</w:t>
                        </w:r>
                      </w:p>
                    </w:tc>
                    <w:tc>
                      <w:tcPr>
                        <w:tcW w:w="888" w:type="dxa"/>
                        <w:shd w:val="clear" w:color="auto" w:fill="DBEDF3"/>
                      </w:tcPr>
                      <w:p>
                        <w:pPr>
                          <w:pStyle w:val="TableParagraph"/>
                          <w:spacing w:before="26"/>
                          <w:ind w:right="21"/>
                          <w:jc w:val="right"/>
                          <w:rPr>
                            <w:sz w:val="17"/>
                          </w:rPr>
                        </w:pPr>
                        <w:r>
                          <w:rPr>
                            <w:sz w:val="17"/>
                          </w:rPr>
                          <w:t>4%</w:t>
                        </w:r>
                      </w:p>
                    </w:tc>
                    <w:tc>
                      <w:tcPr>
                        <w:tcW w:w="893" w:type="dxa"/>
                        <w:shd w:val="clear" w:color="auto" w:fill="DBEDF3"/>
                      </w:tcPr>
                      <w:p>
                        <w:pPr>
                          <w:pStyle w:val="TableParagraph"/>
                          <w:spacing w:before="26"/>
                          <w:ind w:right="27"/>
                          <w:jc w:val="right"/>
                          <w:rPr>
                            <w:sz w:val="17"/>
                          </w:rPr>
                        </w:pPr>
                        <w:r>
                          <w:rPr>
                            <w:sz w:val="17"/>
                          </w:rPr>
                          <w:t>67%</w:t>
                        </w:r>
                      </w:p>
                    </w:tc>
                  </w:tr>
                  <w:tr>
                    <w:trPr>
                      <w:trHeight w:val="218" w:hRule="exact"/>
                    </w:trPr>
                    <w:tc>
                      <w:tcPr>
                        <w:tcW w:w="1924" w:type="dxa"/>
                        <w:tcBorders>
                          <w:left w:val="single" w:sz="4" w:space="0" w:color="D0D6E4"/>
                          <w:right w:val="single" w:sz="4" w:space="0" w:color="D0D6E4"/>
                        </w:tcBorders>
                      </w:tcPr>
                      <w:p>
                        <w:pPr>
                          <w:pStyle w:val="TableParagraph"/>
                          <w:spacing w:before="16"/>
                          <w:ind w:right="58"/>
                          <w:rPr>
                            <w:sz w:val="17"/>
                          </w:rPr>
                        </w:pPr>
                        <w:r>
                          <w:rPr>
                            <w:w w:val="103"/>
                            <w:sz w:val="17"/>
                          </w:rPr>
                          <w:t>7</w:t>
                        </w:r>
                      </w:p>
                    </w:tc>
                    <w:tc>
                      <w:tcPr>
                        <w:tcW w:w="2247" w:type="dxa"/>
                        <w:tcBorders>
                          <w:left w:val="single" w:sz="4" w:space="0" w:color="D0D6E4"/>
                          <w:right w:val="single" w:sz="4" w:space="0" w:color="D0D6E4"/>
                        </w:tcBorders>
                      </w:tcPr>
                      <w:p>
                        <w:pPr>
                          <w:pStyle w:val="TableParagraph"/>
                          <w:spacing w:before="16"/>
                          <w:ind w:left="76"/>
                          <w:jc w:val="left"/>
                          <w:rPr>
                            <w:sz w:val="17"/>
                          </w:rPr>
                        </w:pPr>
                        <w:r>
                          <w:rPr>
                            <w:w w:val="105"/>
                            <w:sz w:val="17"/>
                          </w:rPr>
                          <w:t>Emiratos Arabes Unidos</w:t>
                        </w:r>
                      </w:p>
                    </w:tc>
                    <w:tc>
                      <w:tcPr>
                        <w:tcW w:w="1875" w:type="dxa"/>
                        <w:tcBorders>
                          <w:left w:val="single" w:sz="4" w:space="0" w:color="D0D6E4"/>
                          <w:right w:val="single" w:sz="4" w:space="0" w:color="D0D6E4"/>
                        </w:tcBorders>
                      </w:tcPr>
                      <w:p>
                        <w:pPr>
                          <w:pStyle w:val="TableParagraph"/>
                          <w:spacing w:before="16"/>
                          <w:ind w:left="77"/>
                          <w:jc w:val="left"/>
                          <w:rPr>
                            <w:sz w:val="17"/>
                          </w:rPr>
                        </w:pPr>
                        <w:r>
                          <w:rPr>
                            <w:w w:val="105"/>
                            <w:sz w:val="17"/>
                          </w:rPr>
                          <w:t>Medio Oriente</w:t>
                        </w:r>
                      </w:p>
                    </w:tc>
                    <w:tc>
                      <w:tcPr>
                        <w:tcW w:w="1008" w:type="dxa"/>
                        <w:tcBorders>
                          <w:left w:val="single" w:sz="4" w:space="0" w:color="D0D6E4"/>
                          <w:right w:val="single" w:sz="4" w:space="0" w:color="D0D6E4"/>
                        </w:tcBorders>
                      </w:tcPr>
                      <w:p>
                        <w:pPr>
                          <w:pStyle w:val="TableParagraph"/>
                          <w:spacing w:before="16"/>
                          <w:ind w:right="74"/>
                          <w:jc w:val="right"/>
                          <w:rPr>
                            <w:sz w:val="17"/>
                          </w:rPr>
                        </w:pPr>
                        <w:r>
                          <w:rPr>
                            <w:sz w:val="17"/>
                          </w:rPr>
                          <w:t>214</w:t>
                        </w:r>
                      </w:p>
                    </w:tc>
                    <w:tc>
                      <w:tcPr>
                        <w:tcW w:w="888" w:type="dxa"/>
                        <w:tcBorders>
                          <w:left w:val="single" w:sz="4" w:space="0" w:color="D0D6E4"/>
                          <w:right w:val="single" w:sz="4" w:space="0" w:color="D0D6E4"/>
                        </w:tcBorders>
                      </w:tcPr>
                      <w:p>
                        <w:pPr>
                          <w:pStyle w:val="TableParagraph"/>
                          <w:spacing w:before="16"/>
                          <w:ind w:right="16"/>
                          <w:jc w:val="right"/>
                          <w:rPr>
                            <w:sz w:val="17"/>
                          </w:rPr>
                        </w:pPr>
                        <w:r>
                          <w:rPr>
                            <w:sz w:val="17"/>
                          </w:rPr>
                          <w:t>3%</w:t>
                        </w:r>
                      </w:p>
                    </w:tc>
                    <w:tc>
                      <w:tcPr>
                        <w:tcW w:w="893" w:type="dxa"/>
                        <w:tcBorders>
                          <w:left w:val="single" w:sz="4" w:space="0" w:color="D0D6E4"/>
                          <w:right w:val="single" w:sz="4" w:space="0" w:color="D0D6E4"/>
                        </w:tcBorders>
                      </w:tcPr>
                      <w:p>
                        <w:pPr>
                          <w:pStyle w:val="TableParagraph"/>
                          <w:spacing w:before="16"/>
                          <w:ind w:right="21"/>
                          <w:jc w:val="right"/>
                          <w:rPr>
                            <w:sz w:val="17"/>
                          </w:rPr>
                        </w:pPr>
                        <w:r>
                          <w:rPr>
                            <w:sz w:val="17"/>
                          </w:rPr>
                          <w:t>70%</w:t>
                        </w:r>
                      </w:p>
                    </w:tc>
                  </w:tr>
                  <w:tr>
                    <w:trPr>
                      <w:trHeight w:val="240" w:hRule="exact"/>
                    </w:trPr>
                    <w:tc>
                      <w:tcPr>
                        <w:tcW w:w="1924" w:type="dxa"/>
                        <w:shd w:val="clear" w:color="auto" w:fill="DBEDF3"/>
                      </w:tcPr>
                      <w:p>
                        <w:pPr>
                          <w:pStyle w:val="TableParagraph"/>
                          <w:spacing w:before="26"/>
                          <w:ind w:right="58"/>
                          <w:rPr>
                            <w:sz w:val="17"/>
                          </w:rPr>
                        </w:pPr>
                        <w:r>
                          <w:rPr>
                            <w:w w:val="103"/>
                            <w:sz w:val="17"/>
                          </w:rPr>
                          <w:t>8</w:t>
                        </w:r>
                      </w:p>
                    </w:tc>
                    <w:tc>
                      <w:tcPr>
                        <w:tcW w:w="2247" w:type="dxa"/>
                        <w:shd w:val="clear" w:color="auto" w:fill="DBEDF3"/>
                      </w:tcPr>
                      <w:p>
                        <w:pPr>
                          <w:pStyle w:val="TableParagraph"/>
                          <w:spacing w:before="26"/>
                          <w:ind w:left="82"/>
                          <w:jc w:val="left"/>
                          <w:rPr>
                            <w:sz w:val="17"/>
                          </w:rPr>
                        </w:pPr>
                        <w:r>
                          <w:rPr>
                            <w:w w:val="105"/>
                            <w:sz w:val="17"/>
                          </w:rPr>
                          <w:t>Nigeria</w:t>
                        </w:r>
                      </w:p>
                    </w:tc>
                    <w:tc>
                      <w:tcPr>
                        <w:tcW w:w="1875" w:type="dxa"/>
                        <w:shd w:val="clear" w:color="auto" w:fill="DBEDF3"/>
                      </w:tcPr>
                      <w:p>
                        <w:pPr>
                          <w:pStyle w:val="TableParagraph"/>
                          <w:spacing w:before="26"/>
                          <w:ind w:left="82" w:right="163"/>
                          <w:jc w:val="left"/>
                          <w:rPr>
                            <w:sz w:val="17"/>
                          </w:rPr>
                        </w:pPr>
                        <w:r>
                          <w:rPr>
                            <w:w w:val="105"/>
                            <w:sz w:val="17"/>
                          </w:rPr>
                          <w:t>Africa</w:t>
                        </w:r>
                      </w:p>
                    </w:tc>
                    <w:tc>
                      <w:tcPr>
                        <w:tcW w:w="1008" w:type="dxa"/>
                        <w:shd w:val="clear" w:color="auto" w:fill="DBEDF3"/>
                      </w:tcPr>
                      <w:p>
                        <w:pPr>
                          <w:pStyle w:val="TableParagraph"/>
                          <w:spacing w:before="26"/>
                          <w:ind w:right="80"/>
                          <w:jc w:val="right"/>
                          <w:rPr>
                            <w:sz w:val="17"/>
                          </w:rPr>
                        </w:pPr>
                        <w:r>
                          <w:rPr>
                            <w:sz w:val="17"/>
                          </w:rPr>
                          <w:t>185</w:t>
                        </w:r>
                      </w:p>
                    </w:tc>
                    <w:tc>
                      <w:tcPr>
                        <w:tcW w:w="888" w:type="dxa"/>
                        <w:shd w:val="clear" w:color="auto" w:fill="DBEDF3"/>
                      </w:tcPr>
                      <w:p>
                        <w:pPr>
                          <w:pStyle w:val="TableParagraph"/>
                          <w:spacing w:before="26"/>
                          <w:ind w:right="21"/>
                          <w:jc w:val="right"/>
                          <w:rPr>
                            <w:sz w:val="17"/>
                          </w:rPr>
                        </w:pPr>
                        <w:r>
                          <w:rPr>
                            <w:sz w:val="17"/>
                          </w:rPr>
                          <w:t>3%</w:t>
                        </w:r>
                      </w:p>
                    </w:tc>
                    <w:tc>
                      <w:tcPr>
                        <w:tcW w:w="893" w:type="dxa"/>
                        <w:shd w:val="clear" w:color="auto" w:fill="DBEDF3"/>
                      </w:tcPr>
                      <w:p>
                        <w:pPr>
                          <w:pStyle w:val="TableParagraph"/>
                          <w:spacing w:before="26"/>
                          <w:ind w:right="27"/>
                          <w:jc w:val="right"/>
                          <w:rPr>
                            <w:sz w:val="17"/>
                          </w:rPr>
                        </w:pPr>
                        <w:r>
                          <w:rPr>
                            <w:sz w:val="17"/>
                          </w:rPr>
                          <w:t>73%</w:t>
                        </w:r>
                      </w:p>
                    </w:tc>
                  </w:tr>
                  <w:tr>
                    <w:trPr>
                      <w:trHeight w:val="218" w:hRule="exact"/>
                    </w:trPr>
                    <w:tc>
                      <w:tcPr>
                        <w:tcW w:w="1924" w:type="dxa"/>
                        <w:tcBorders>
                          <w:left w:val="single" w:sz="4" w:space="0" w:color="D0D6E4"/>
                          <w:right w:val="single" w:sz="4" w:space="0" w:color="D0D6E4"/>
                        </w:tcBorders>
                      </w:tcPr>
                      <w:p>
                        <w:pPr>
                          <w:pStyle w:val="TableParagraph"/>
                          <w:spacing w:before="16"/>
                          <w:ind w:right="58"/>
                          <w:rPr>
                            <w:sz w:val="17"/>
                          </w:rPr>
                        </w:pPr>
                        <w:r>
                          <w:rPr>
                            <w:w w:val="103"/>
                            <w:sz w:val="17"/>
                          </w:rPr>
                          <w:t>9</w:t>
                        </w:r>
                      </w:p>
                    </w:tc>
                    <w:tc>
                      <w:tcPr>
                        <w:tcW w:w="2247" w:type="dxa"/>
                        <w:tcBorders>
                          <w:left w:val="single" w:sz="4" w:space="0" w:color="D0D6E4"/>
                          <w:right w:val="single" w:sz="4" w:space="0" w:color="D0D6E4"/>
                        </w:tcBorders>
                      </w:tcPr>
                      <w:p>
                        <w:pPr>
                          <w:pStyle w:val="TableParagraph"/>
                          <w:spacing w:before="16"/>
                          <w:ind w:left="76"/>
                          <w:jc w:val="left"/>
                          <w:rPr>
                            <w:sz w:val="17"/>
                          </w:rPr>
                        </w:pPr>
                        <w:r>
                          <w:rPr>
                            <w:w w:val="105"/>
                            <w:sz w:val="17"/>
                          </w:rPr>
                          <w:t>Venezuela</w:t>
                        </w:r>
                      </w:p>
                    </w:tc>
                    <w:tc>
                      <w:tcPr>
                        <w:tcW w:w="1875" w:type="dxa"/>
                        <w:tcBorders>
                          <w:left w:val="single" w:sz="4" w:space="0" w:color="D0D6E4"/>
                          <w:right w:val="single" w:sz="4" w:space="0" w:color="D0D6E4"/>
                        </w:tcBorders>
                      </w:tcPr>
                      <w:p>
                        <w:pPr>
                          <w:pStyle w:val="TableParagraph"/>
                          <w:spacing w:before="16"/>
                          <w:ind w:left="77"/>
                          <w:jc w:val="left"/>
                          <w:rPr>
                            <w:sz w:val="17"/>
                          </w:rPr>
                        </w:pPr>
                        <w:r>
                          <w:rPr>
                            <w:w w:val="105"/>
                            <w:sz w:val="17"/>
                          </w:rPr>
                          <w:t>Centro y Sud América</w:t>
                        </w:r>
                      </w:p>
                    </w:tc>
                    <w:tc>
                      <w:tcPr>
                        <w:tcW w:w="1008" w:type="dxa"/>
                        <w:tcBorders>
                          <w:left w:val="single" w:sz="4" w:space="0" w:color="D0D6E4"/>
                          <w:right w:val="single" w:sz="4" w:space="0" w:color="D0D6E4"/>
                        </w:tcBorders>
                      </w:tcPr>
                      <w:p>
                        <w:pPr>
                          <w:pStyle w:val="TableParagraph"/>
                          <w:spacing w:before="16"/>
                          <w:ind w:right="74"/>
                          <w:jc w:val="right"/>
                          <w:rPr>
                            <w:sz w:val="17"/>
                          </w:rPr>
                        </w:pPr>
                        <w:r>
                          <w:rPr>
                            <w:sz w:val="17"/>
                          </w:rPr>
                          <w:t>176</w:t>
                        </w:r>
                      </w:p>
                    </w:tc>
                    <w:tc>
                      <w:tcPr>
                        <w:tcW w:w="888" w:type="dxa"/>
                        <w:tcBorders>
                          <w:left w:val="single" w:sz="4" w:space="0" w:color="D0D6E4"/>
                          <w:right w:val="single" w:sz="4" w:space="0" w:color="D0D6E4"/>
                        </w:tcBorders>
                      </w:tcPr>
                      <w:p>
                        <w:pPr>
                          <w:pStyle w:val="TableParagraph"/>
                          <w:spacing w:before="16"/>
                          <w:ind w:right="16"/>
                          <w:jc w:val="right"/>
                          <w:rPr>
                            <w:sz w:val="17"/>
                          </w:rPr>
                        </w:pPr>
                        <w:r>
                          <w:rPr>
                            <w:sz w:val="17"/>
                          </w:rPr>
                          <w:t>3%</w:t>
                        </w:r>
                      </w:p>
                    </w:tc>
                    <w:tc>
                      <w:tcPr>
                        <w:tcW w:w="893" w:type="dxa"/>
                        <w:tcBorders>
                          <w:left w:val="single" w:sz="4" w:space="0" w:color="D0D6E4"/>
                          <w:right w:val="single" w:sz="4" w:space="0" w:color="D0D6E4"/>
                        </w:tcBorders>
                      </w:tcPr>
                      <w:p>
                        <w:pPr>
                          <w:pStyle w:val="TableParagraph"/>
                          <w:spacing w:before="16"/>
                          <w:ind w:right="21"/>
                          <w:jc w:val="right"/>
                          <w:rPr>
                            <w:sz w:val="17"/>
                          </w:rPr>
                        </w:pPr>
                        <w:r>
                          <w:rPr>
                            <w:sz w:val="17"/>
                          </w:rPr>
                          <w:t>76%</w:t>
                        </w:r>
                      </w:p>
                    </w:tc>
                  </w:tr>
                  <w:tr>
                    <w:trPr>
                      <w:trHeight w:val="229" w:hRule="exact"/>
                    </w:trPr>
                    <w:tc>
                      <w:tcPr>
                        <w:tcW w:w="1924" w:type="dxa"/>
                        <w:tcBorders>
                          <w:bottom w:val="single" w:sz="4" w:space="0" w:color="FFFFFF"/>
                        </w:tcBorders>
                        <w:shd w:val="clear" w:color="auto" w:fill="DBEDF3"/>
                      </w:tcPr>
                      <w:p>
                        <w:pPr>
                          <w:pStyle w:val="TableParagraph"/>
                          <w:spacing w:before="26"/>
                          <w:ind w:left="8" w:right="66"/>
                          <w:rPr>
                            <w:sz w:val="17"/>
                          </w:rPr>
                        </w:pPr>
                        <w:r>
                          <w:rPr>
                            <w:w w:val="105"/>
                            <w:sz w:val="17"/>
                          </w:rPr>
                          <w:t>10</w:t>
                        </w:r>
                      </w:p>
                    </w:tc>
                    <w:tc>
                      <w:tcPr>
                        <w:tcW w:w="2247" w:type="dxa"/>
                        <w:tcBorders>
                          <w:bottom w:val="single" w:sz="4" w:space="0" w:color="FFFFFF"/>
                        </w:tcBorders>
                        <w:shd w:val="clear" w:color="auto" w:fill="DBEDF3"/>
                      </w:tcPr>
                      <w:p>
                        <w:pPr>
                          <w:pStyle w:val="TableParagraph"/>
                          <w:spacing w:before="26"/>
                          <w:ind w:left="82"/>
                          <w:jc w:val="left"/>
                          <w:rPr>
                            <w:sz w:val="17"/>
                          </w:rPr>
                        </w:pPr>
                        <w:r>
                          <w:rPr>
                            <w:w w:val="105"/>
                            <w:sz w:val="17"/>
                          </w:rPr>
                          <w:t>Argelia</w:t>
                        </w:r>
                      </w:p>
                    </w:tc>
                    <w:tc>
                      <w:tcPr>
                        <w:tcW w:w="1875" w:type="dxa"/>
                        <w:tcBorders>
                          <w:bottom w:val="single" w:sz="4" w:space="0" w:color="FFFFFF"/>
                        </w:tcBorders>
                        <w:shd w:val="clear" w:color="auto" w:fill="DBEDF3"/>
                      </w:tcPr>
                      <w:p>
                        <w:pPr>
                          <w:pStyle w:val="TableParagraph"/>
                          <w:spacing w:before="26"/>
                          <w:ind w:left="82" w:right="163"/>
                          <w:jc w:val="left"/>
                          <w:rPr>
                            <w:sz w:val="17"/>
                          </w:rPr>
                        </w:pPr>
                        <w:r>
                          <w:rPr>
                            <w:w w:val="105"/>
                            <w:sz w:val="17"/>
                          </w:rPr>
                          <w:t>Africa</w:t>
                        </w:r>
                      </w:p>
                    </w:tc>
                    <w:tc>
                      <w:tcPr>
                        <w:tcW w:w="1008" w:type="dxa"/>
                        <w:tcBorders>
                          <w:bottom w:val="single" w:sz="4" w:space="0" w:color="FFFFFF"/>
                        </w:tcBorders>
                        <w:shd w:val="clear" w:color="auto" w:fill="DBEDF3"/>
                      </w:tcPr>
                      <w:p>
                        <w:pPr>
                          <w:pStyle w:val="TableParagraph"/>
                          <w:spacing w:before="26"/>
                          <w:ind w:right="80"/>
                          <w:jc w:val="right"/>
                          <w:rPr>
                            <w:sz w:val="17"/>
                          </w:rPr>
                        </w:pPr>
                        <w:r>
                          <w:rPr>
                            <w:sz w:val="17"/>
                          </w:rPr>
                          <w:t>159</w:t>
                        </w:r>
                      </w:p>
                    </w:tc>
                    <w:tc>
                      <w:tcPr>
                        <w:tcW w:w="888" w:type="dxa"/>
                        <w:tcBorders>
                          <w:bottom w:val="single" w:sz="4" w:space="0" w:color="FFFFFF"/>
                        </w:tcBorders>
                        <w:shd w:val="clear" w:color="auto" w:fill="DBEDF3"/>
                      </w:tcPr>
                      <w:p>
                        <w:pPr>
                          <w:pStyle w:val="TableParagraph"/>
                          <w:spacing w:before="26"/>
                          <w:ind w:right="21"/>
                          <w:jc w:val="right"/>
                          <w:rPr>
                            <w:sz w:val="17"/>
                          </w:rPr>
                        </w:pPr>
                        <w:r>
                          <w:rPr>
                            <w:sz w:val="17"/>
                          </w:rPr>
                          <w:t>2%</w:t>
                        </w:r>
                      </w:p>
                    </w:tc>
                    <w:tc>
                      <w:tcPr>
                        <w:tcW w:w="893" w:type="dxa"/>
                        <w:tcBorders>
                          <w:bottom w:val="single" w:sz="4" w:space="0" w:color="FFFFFF"/>
                        </w:tcBorders>
                        <w:shd w:val="clear" w:color="auto" w:fill="DBEDF3"/>
                      </w:tcPr>
                      <w:p>
                        <w:pPr>
                          <w:pStyle w:val="TableParagraph"/>
                          <w:spacing w:before="26"/>
                          <w:ind w:right="27"/>
                          <w:jc w:val="right"/>
                          <w:rPr>
                            <w:sz w:val="17"/>
                          </w:rPr>
                        </w:pPr>
                        <w:r>
                          <w:rPr>
                            <w:sz w:val="17"/>
                          </w:rPr>
                          <w:t>78%</w:t>
                        </w:r>
                      </w:p>
                    </w:tc>
                  </w:tr>
                  <w:tr>
                    <w:trPr>
                      <w:trHeight w:val="247" w:hRule="exact"/>
                    </w:trPr>
                    <w:tc>
                      <w:tcPr>
                        <w:tcW w:w="1924" w:type="dxa"/>
                        <w:tcBorders>
                          <w:top w:val="single" w:sz="4" w:space="0" w:color="FFFFFF"/>
                        </w:tcBorders>
                        <w:shd w:val="clear" w:color="auto" w:fill="FFFF00"/>
                      </w:tcPr>
                      <w:p>
                        <w:pPr>
                          <w:pStyle w:val="TableParagraph"/>
                          <w:spacing w:before="16"/>
                          <w:ind w:left="8" w:right="66"/>
                          <w:rPr>
                            <w:b/>
                            <w:sz w:val="17"/>
                          </w:rPr>
                        </w:pPr>
                        <w:r>
                          <w:rPr>
                            <w:b/>
                            <w:w w:val="105"/>
                            <w:sz w:val="17"/>
                          </w:rPr>
                          <w:t>29</w:t>
                        </w:r>
                      </w:p>
                    </w:tc>
                    <w:tc>
                      <w:tcPr>
                        <w:tcW w:w="2247" w:type="dxa"/>
                        <w:tcBorders>
                          <w:top w:val="single" w:sz="4" w:space="0" w:color="FFFFFF"/>
                        </w:tcBorders>
                        <w:shd w:val="clear" w:color="auto" w:fill="FFFF00"/>
                      </w:tcPr>
                      <w:p>
                        <w:pPr>
                          <w:pStyle w:val="TableParagraph"/>
                          <w:spacing w:before="16"/>
                          <w:ind w:left="82"/>
                          <w:jc w:val="left"/>
                          <w:rPr>
                            <w:b/>
                            <w:sz w:val="17"/>
                          </w:rPr>
                        </w:pPr>
                        <w:r>
                          <w:rPr>
                            <w:b/>
                            <w:w w:val="105"/>
                            <w:sz w:val="17"/>
                          </w:rPr>
                          <w:t>Bolivia</w:t>
                        </w:r>
                      </w:p>
                    </w:tc>
                    <w:tc>
                      <w:tcPr>
                        <w:tcW w:w="1875" w:type="dxa"/>
                        <w:tcBorders>
                          <w:top w:val="single" w:sz="4" w:space="0" w:color="FFFFFF"/>
                        </w:tcBorders>
                        <w:shd w:val="clear" w:color="auto" w:fill="FFFF00"/>
                      </w:tcPr>
                      <w:p>
                        <w:pPr>
                          <w:pStyle w:val="TableParagraph"/>
                          <w:spacing w:before="16"/>
                          <w:ind w:left="82"/>
                          <w:jc w:val="left"/>
                          <w:rPr>
                            <w:b/>
                            <w:sz w:val="17"/>
                          </w:rPr>
                        </w:pPr>
                        <w:r>
                          <w:rPr>
                            <w:b/>
                            <w:w w:val="105"/>
                            <w:sz w:val="17"/>
                          </w:rPr>
                          <w:t>Centro y Sud América</w:t>
                        </w:r>
                      </w:p>
                    </w:tc>
                    <w:tc>
                      <w:tcPr>
                        <w:tcW w:w="1008" w:type="dxa"/>
                        <w:tcBorders>
                          <w:top w:val="single" w:sz="4" w:space="0" w:color="FFFFFF"/>
                        </w:tcBorders>
                        <w:shd w:val="clear" w:color="auto" w:fill="FFFF00"/>
                      </w:tcPr>
                      <w:p>
                        <w:pPr>
                          <w:pStyle w:val="TableParagraph"/>
                          <w:spacing w:before="16"/>
                          <w:ind w:right="80"/>
                          <w:jc w:val="right"/>
                          <w:rPr>
                            <w:b/>
                            <w:sz w:val="17"/>
                          </w:rPr>
                        </w:pPr>
                        <w:r>
                          <w:rPr>
                            <w:b/>
                            <w:sz w:val="17"/>
                          </w:rPr>
                          <w:t>27</w:t>
                        </w:r>
                      </w:p>
                    </w:tc>
                    <w:tc>
                      <w:tcPr>
                        <w:tcW w:w="888" w:type="dxa"/>
                        <w:tcBorders>
                          <w:top w:val="single" w:sz="4" w:space="0" w:color="FFFFFF"/>
                        </w:tcBorders>
                        <w:shd w:val="clear" w:color="auto" w:fill="FFFF00"/>
                      </w:tcPr>
                      <w:p>
                        <w:pPr>
                          <w:pStyle w:val="TableParagraph"/>
                          <w:spacing w:before="16"/>
                          <w:ind w:right="24"/>
                          <w:jc w:val="right"/>
                          <w:rPr>
                            <w:b/>
                            <w:sz w:val="17"/>
                          </w:rPr>
                        </w:pPr>
                        <w:r>
                          <w:rPr>
                            <w:b/>
                            <w:sz w:val="17"/>
                          </w:rPr>
                          <w:t>0.40%</w:t>
                        </w:r>
                      </w:p>
                    </w:tc>
                    <w:tc>
                      <w:tcPr>
                        <w:tcW w:w="893" w:type="dxa"/>
                        <w:tcBorders>
                          <w:top w:val="single" w:sz="4" w:space="0" w:color="FFFFFF"/>
                        </w:tcBorders>
                      </w:tcPr>
                      <w:p>
                        <w:pPr/>
                      </w:p>
                    </w:tc>
                  </w:tr>
                  <w:tr>
                    <w:trPr>
                      <w:trHeight w:val="222" w:hRule="exact"/>
                    </w:trPr>
                    <w:tc>
                      <w:tcPr>
                        <w:tcW w:w="1924" w:type="dxa"/>
                        <w:shd w:val="clear" w:color="auto" w:fill="FFFF00"/>
                      </w:tcPr>
                      <w:p>
                        <w:pPr>
                          <w:pStyle w:val="TableParagraph"/>
                          <w:spacing w:before="9"/>
                          <w:ind w:left="8" w:right="66"/>
                          <w:rPr>
                            <w:b/>
                            <w:sz w:val="17"/>
                          </w:rPr>
                        </w:pPr>
                        <w:r>
                          <w:rPr>
                            <w:b/>
                            <w:w w:val="105"/>
                            <w:sz w:val="17"/>
                          </w:rPr>
                          <w:t>35</w:t>
                        </w:r>
                      </w:p>
                    </w:tc>
                    <w:tc>
                      <w:tcPr>
                        <w:tcW w:w="2247" w:type="dxa"/>
                        <w:shd w:val="clear" w:color="auto" w:fill="FFFF00"/>
                      </w:tcPr>
                      <w:p>
                        <w:pPr>
                          <w:pStyle w:val="TableParagraph"/>
                          <w:spacing w:before="9"/>
                          <w:ind w:left="82"/>
                          <w:jc w:val="left"/>
                          <w:rPr>
                            <w:b/>
                            <w:sz w:val="17"/>
                          </w:rPr>
                        </w:pPr>
                        <w:r>
                          <w:rPr>
                            <w:b/>
                            <w:w w:val="105"/>
                            <w:sz w:val="17"/>
                          </w:rPr>
                          <w:t>México</w:t>
                        </w:r>
                      </w:p>
                    </w:tc>
                    <w:tc>
                      <w:tcPr>
                        <w:tcW w:w="1875" w:type="dxa"/>
                        <w:shd w:val="clear" w:color="auto" w:fill="FFFF00"/>
                      </w:tcPr>
                      <w:p>
                        <w:pPr>
                          <w:pStyle w:val="TableParagraph"/>
                          <w:spacing w:before="9"/>
                          <w:ind w:left="82" w:right="163"/>
                          <w:jc w:val="left"/>
                          <w:rPr>
                            <w:b/>
                            <w:sz w:val="17"/>
                          </w:rPr>
                        </w:pPr>
                        <w:r>
                          <w:rPr>
                            <w:b/>
                            <w:w w:val="105"/>
                            <w:sz w:val="17"/>
                          </w:rPr>
                          <w:t>Norte América</w:t>
                        </w:r>
                      </w:p>
                    </w:tc>
                    <w:tc>
                      <w:tcPr>
                        <w:tcW w:w="1008" w:type="dxa"/>
                        <w:shd w:val="clear" w:color="auto" w:fill="FFFF00"/>
                      </w:tcPr>
                      <w:p>
                        <w:pPr>
                          <w:pStyle w:val="TableParagraph"/>
                          <w:spacing w:before="9"/>
                          <w:ind w:right="80"/>
                          <w:jc w:val="right"/>
                          <w:rPr>
                            <w:b/>
                            <w:sz w:val="17"/>
                          </w:rPr>
                        </w:pPr>
                        <w:r>
                          <w:rPr>
                            <w:b/>
                            <w:sz w:val="17"/>
                          </w:rPr>
                          <w:t>13</w:t>
                        </w:r>
                      </w:p>
                    </w:tc>
                    <w:tc>
                      <w:tcPr>
                        <w:tcW w:w="888" w:type="dxa"/>
                        <w:shd w:val="clear" w:color="auto" w:fill="FFFF00"/>
                      </w:tcPr>
                      <w:p>
                        <w:pPr>
                          <w:pStyle w:val="TableParagraph"/>
                          <w:spacing w:before="9"/>
                          <w:ind w:right="24"/>
                          <w:jc w:val="right"/>
                          <w:rPr>
                            <w:b/>
                            <w:sz w:val="17"/>
                          </w:rPr>
                        </w:pPr>
                        <w:r>
                          <w:rPr>
                            <w:b/>
                            <w:sz w:val="17"/>
                          </w:rPr>
                          <w:t>0.19%</w:t>
                        </w:r>
                      </w:p>
                    </w:tc>
                    <w:tc>
                      <w:tcPr>
                        <w:tcW w:w="893" w:type="dxa"/>
                      </w:tcPr>
                      <w:p>
                        <w:pPr/>
                      </w:p>
                    </w:tc>
                  </w:tr>
                </w:tbl>
                <w:p>
                  <w:pPr>
                    <w:pStyle w:val="BodyText"/>
                  </w:pPr>
                </w:p>
              </w:txbxContent>
            </v:textbox>
            <w10:wrap type="none"/>
          </v:shape>
        </w:pict>
      </w:r>
      <w:bookmarkStart w:name="_bookmark28" w:id="47"/>
      <w:bookmarkEnd w:id="47"/>
      <w:r>
        <w:rPr/>
      </w:r>
      <w:r>
        <w:rPr/>
        <w:t>Cuadro 2. 2: Ranking mundial de producción, consumo y reserva de gas natural (2010) Ranking de producción mundial de gas natural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p>
    <w:p>
      <w:pPr>
        <w:spacing w:before="80"/>
        <w:ind w:left="102" w:right="127" w:firstLine="0"/>
        <w:jc w:val="left"/>
        <w:rPr>
          <w:sz w:val="16"/>
        </w:rPr>
      </w:pPr>
      <w:r>
        <w:rPr>
          <w:sz w:val="16"/>
        </w:rPr>
        <w:t>Fuente:  Energy Information Administration EIA - U.S. (2011)</w:t>
      </w:r>
    </w:p>
    <w:p>
      <w:pPr>
        <w:spacing w:after="0"/>
        <w:jc w:val="left"/>
        <w:rPr>
          <w:sz w:val="16"/>
        </w:rPr>
        <w:sectPr>
          <w:pgSz w:w="12250" w:h="15850"/>
          <w:pgMar w:header="0" w:footer="1037" w:top="1360" w:bottom="1220" w:left="1600" w:right="1580"/>
        </w:sectPr>
      </w:pPr>
    </w:p>
    <w:p>
      <w:pPr>
        <w:pStyle w:val="BodyText"/>
        <w:spacing w:line="360" w:lineRule="auto" w:before="50"/>
        <w:ind w:left="102" w:right="118" w:firstLine="707"/>
        <w:jc w:val="both"/>
      </w:pPr>
      <w:r>
        <w:rPr/>
        <w:t>En el </w:t>
      </w:r>
      <w:r>
        <w:rPr>
          <w:i/>
        </w:rPr>
        <w:t>cuadro 2.2 </w:t>
      </w:r>
      <w:r>
        <w:rPr/>
        <w:t>se puede apreciar que Estados Unidos es líder en el consumo y la producción mundial de gas natural. Sin embargo Rusia, Irán y Qatar representan más del 50% de las reservas mundiales del recurso energético.</w:t>
      </w:r>
    </w:p>
    <w:p>
      <w:pPr>
        <w:pStyle w:val="BodyText"/>
        <w:spacing w:line="360" w:lineRule="auto" w:before="4"/>
        <w:ind w:left="102" w:right="118" w:firstLine="707"/>
        <w:jc w:val="both"/>
      </w:pPr>
      <w:r>
        <w:rPr/>
        <w:t>En el caso de Bolivia, este país ocupa el puesto 32 a nivel mundial en la escala de producción; lugar 76 en el nivel de consumo; lugar 29 en nivel de reservas mundiales de  gas natural. Resulta claro que Bolivia es un país exportador neto del recurso</w:t>
      </w:r>
      <w:r>
        <w:rPr>
          <w:spacing w:val="-19"/>
        </w:rPr>
        <w:t> </w:t>
      </w:r>
      <w:r>
        <w:rPr/>
        <w:t>energético.</w:t>
      </w:r>
    </w:p>
    <w:p>
      <w:pPr>
        <w:pStyle w:val="BodyText"/>
        <w:spacing w:line="360" w:lineRule="auto" w:before="6"/>
        <w:ind w:left="102" w:right="118" w:firstLine="707"/>
        <w:jc w:val="both"/>
      </w:pPr>
      <w:r>
        <w:rPr/>
        <w:t>Dentro del contexto regional, Bolivia representa el 10% de las reservas gasíferas de Centro y Sudamérica, cabe mencionar que Venezuela es el país con las mayores reservas de la región (65%).</w:t>
      </w:r>
    </w:p>
    <w:p>
      <w:pPr>
        <w:pStyle w:val="BodyText"/>
        <w:spacing w:line="360" w:lineRule="auto" w:before="4"/>
        <w:ind w:left="102" w:right="120" w:firstLine="707"/>
        <w:jc w:val="both"/>
        <w:rPr>
          <w:i/>
        </w:rPr>
      </w:pPr>
      <w:r>
        <w:rPr/>
        <w:t>Por otra parte, es posible evidenciar que México tiene un abastecimiento deficitario en el gas natural: el consumo es mayor que su nivel de producción. En todo caso, los  niveles de producción y consumo de gas natural son mayores en México en comparación de Bolivia, sin embargo, este último país tiene mayores reservas probadas de gas natural  (</w:t>
      </w:r>
      <w:r>
        <w:rPr>
          <w:i/>
        </w:rPr>
        <w:t>véase cuadro</w:t>
      </w:r>
      <w:r>
        <w:rPr>
          <w:i/>
          <w:spacing w:val="-2"/>
        </w:rPr>
        <w:t> </w:t>
      </w:r>
      <w:r>
        <w:rPr>
          <w:i/>
        </w:rPr>
        <w:t>2.2)</w:t>
      </w:r>
    </w:p>
    <w:p>
      <w:pPr>
        <w:pStyle w:val="BodyText"/>
        <w:spacing w:before="7"/>
        <w:rPr>
          <w:i/>
          <w:sz w:val="21"/>
        </w:rPr>
      </w:pPr>
    </w:p>
    <w:p>
      <w:pPr>
        <w:pStyle w:val="Heading4"/>
        <w:numPr>
          <w:ilvl w:val="2"/>
          <w:numId w:val="10"/>
        </w:numPr>
        <w:tabs>
          <w:tab w:pos="963" w:val="left" w:leader="none"/>
          <w:tab w:pos="964" w:val="left" w:leader="none"/>
        </w:tabs>
        <w:spacing w:line="240" w:lineRule="auto" w:before="0" w:after="0"/>
        <w:ind w:left="963" w:right="270" w:hanging="720"/>
        <w:jc w:val="left"/>
      </w:pPr>
      <w:bookmarkStart w:name="_bookmark29" w:id="48"/>
      <w:bookmarkEnd w:id="48"/>
      <w:r>
        <w:rPr>
          <w:b w:val="0"/>
        </w:rPr>
      </w:r>
      <w:bookmarkStart w:name="_bookmark29" w:id="49"/>
      <w:bookmarkEnd w:id="49"/>
      <w:r>
        <w:rPr/>
        <w:t>Organi</w:t>
      </w:r>
      <w:r>
        <w:rPr/>
        <w:t>zación del mercado internacional y mecanismos de fijación de precios del gas</w:t>
      </w:r>
      <w:r>
        <w:rPr>
          <w:spacing w:val="-4"/>
        </w:rPr>
        <w:t> </w:t>
      </w:r>
      <w:r>
        <w:rPr/>
        <w:t>natural</w:t>
      </w:r>
    </w:p>
    <w:p>
      <w:pPr>
        <w:pStyle w:val="BodyText"/>
        <w:rPr>
          <w:b/>
          <w:sz w:val="29"/>
        </w:rPr>
      </w:pPr>
    </w:p>
    <w:p>
      <w:pPr>
        <w:pStyle w:val="BodyText"/>
        <w:spacing w:line="360" w:lineRule="auto"/>
        <w:ind w:left="102" w:right="119" w:firstLine="707"/>
        <w:jc w:val="both"/>
      </w:pPr>
      <w:r>
        <w:rPr/>
        <w:t>En la sección anterior se pudo observar que Norte América contempla el 26% del consumo y producción mundial del gas natural (región líder). Luego, las regiones de Centro y Sudamérica tienen una participación alrededor del 5% mundial (tanto en producción  como en</w:t>
      </w:r>
      <w:r>
        <w:rPr>
          <w:spacing w:val="-4"/>
        </w:rPr>
        <w:t> </w:t>
      </w:r>
      <w:r>
        <w:rPr/>
        <w:t>consumo).</w:t>
      </w:r>
    </w:p>
    <w:p>
      <w:pPr>
        <w:pStyle w:val="BodyText"/>
        <w:spacing w:line="360" w:lineRule="auto" w:before="6"/>
        <w:ind w:left="102" w:right="116" w:firstLine="707"/>
        <w:jc w:val="both"/>
      </w:pPr>
      <w:r>
        <w:rPr/>
        <w:t>Es necesario mencionar, la relevancia de Estados Unidos en el mercado del gas natural americano: con una participación del 63% en el consumo total; 70% de la producción total; 45% de las reservas totales del continente. Asimismo, la literatura relacionada caracteriza al mercado del gas natural estadounidense por ser de tipo competitivo (Saif, 2006; Siliverstovs, et al., 2005).</w:t>
      </w:r>
    </w:p>
    <w:p>
      <w:pPr>
        <w:pStyle w:val="BodyText"/>
        <w:spacing w:line="360" w:lineRule="auto" w:before="6"/>
        <w:ind w:left="102" w:right="117" w:firstLine="707"/>
        <w:jc w:val="both"/>
      </w:pPr>
      <w:r>
        <w:rPr/>
        <w:t>Esta justificación se debe a una integración de cuatro sectores con características competitivas: productores, compañías de tuberías, operadores de almacenamiento y compañías de comercialización de gas, conformándose más de 8000 compañías en  la cadena de producción y más de 600 comercializadores de gas natural, con especificidad de unidades tomadoras de precios (Gabriel, et al., 2005).</w:t>
      </w:r>
    </w:p>
    <w:p>
      <w:pPr>
        <w:spacing w:after="0" w:line="360" w:lineRule="auto"/>
        <w:jc w:val="both"/>
        <w:sectPr>
          <w:pgSz w:w="12250" w:h="15850"/>
          <w:pgMar w:header="0" w:footer="1037" w:top="1360" w:bottom="1220" w:left="1600" w:right="1580"/>
        </w:sectPr>
      </w:pPr>
    </w:p>
    <w:p>
      <w:pPr>
        <w:pStyle w:val="BodyText"/>
        <w:spacing w:line="360" w:lineRule="auto" w:before="50"/>
        <w:ind w:left="122" w:right="116" w:firstLine="707"/>
        <w:jc w:val="both"/>
      </w:pPr>
      <w:r>
        <w:rPr/>
        <w:t>Adicionalmente, en el mercado estadounidense existen dos tipos de mercados del  gas natural: </w:t>
      </w:r>
      <w:r>
        <w:rPr>
          <w:i/>
        </w:rPr>
        <w:t>físicos </w:t>
      </w:r>
      <w:r>
        <w:rPr/>
        <w:t>y </w:t>
      </w:r>
      <w:r>
        <w:rPr>
          <w:i/>
        </w:rPr>
        <w:t>financieros</w:t>
      </w:r>
      <w:r>
        <w:rPr/>
        <w:t>. En mercados físicos se pueden realizar transacciones de compra de gas natural en contratos de corto, mediano y largo plazo. En mercados financieros se tolera el riesgo de volatilidad de precio basado en precios futuros (Kebede &amp; Marian,</w:t>
      </w:r>
      <w:r>
        <w:rPr>
          <w:spacing w:val="-6"/>
        </w:rPr>
        <w:t> </w:t>
      </w:r>
      <w:r>
        <w:rPr/>
        <w:t>2011).</w:t>
      </w:r>
    </w:p>
    <w:p>
      <w:pPr>
        <w:pStyle w:val="BodyText"/>
        <w:spacing w:line="360" w:lineRule="auto" w:before="4"/>
        <w:ind w:left="122" w:right="116" w:firstLine="767"/>
        <w:jc w:val="both"/>
      </w:pPr>
      <w:r>
        <w:rPr/>
        <w:t>En consecuencia para Estados Unidos, los precios del gas natural se encuentran integrados en 19 centros físicos (</w:t>
      </w:r>
      <w:r>
        <w:rPr>
          <w:i/>
        </w:rPr>
        <w:t>hubs</w:t>
      </w:r>
      <w:r>
        <w:rPr/>
        <w:t>), para lo cual, se suele emplear los precios futuros de </w:t>
      </w:r>
      <w:r>
        <w:rPr>
          <w:i/>
        </w:rPr>
        <w:t>commodities </w:t>
      </w:r>
      <w:r>
        <w:rPr/>
        <w:t>de la bolsa mercantil de Nueva York (NYMEX) como comparación </w:t>
      </w:r>
      <w:r>
        <w:rPr>
          <w:i/>
        </w:rPr>
        <w:t>proxy </w:t>
      </w:r>
      <w:r>
        <w:rPr/>
        <w:t>de precios competitivos dadas las características de la estructura de mercado.</w:t>
      </w:r>
    </w:p>
    <w:p>
      <w:pPr>
        <w:pStyle w:val="BodyText"/>
        <w:spacing w:line="360" w:lineRule="auto" w:before="4"/>
        <w:ind w:left="122" w:right="118" w:firstLine="707"/>
        <w:jc w:val="both"/>
      </w:pPr>
      <w:r>
        <w:rPr/>
        <w:t>Murry &amp; Zhu (2008) encontraron una relación de largo plazo entre los precios de los distintos centros, no obstante, los precios responden de manera diversa según el poder de mercado respectivo (oferta y demanda), por tanto, se evidencia una respuesta asimétrica en el sentido que los precios de los centros regionales no están influídos por las cotizaciones  de la estructura competitiva [NYMEX (existen efectos</w:t>
      </w:r>
      <w:r>
        <w:rPr>
          <w:spacing w:val="-9"/>
        </w:rPr>
        <w:t> </w:t>
      </w:r>
      <w:r>
        <w:rPr/>
        <w:t>aleatorios)].</w:t>
      </w:r>
    </w:p>
    <w:p>
      <w:pPr>
        <w:pStyle w:val="BodyText"/>
        <w:spacing w:line="352" w:lineRule="auto" w:before="6"/>
        <w:ind w:left="122" w:right="118" w:firstLine="707"/>
        <w:jc w:val="both"/>
      </w:pPr>
      <w:r>
        <w:rPr/>
        <w:t>Dada la importancia, de los mercados financieros en la fijación de precios de </w:t>
      </w:r>
      <w:r>
        <w:rPr>
          <w:i/>
        </w:rPr>
        <w:t>commodities</w:t>
      </w:r>
      <w:r>
        <w:rPr/>
        <w:t>, se ha establecido una relación directa entre los precios </w:t>
      </w:r>
      <w:r>
        <w:rPr>
          <w:i/>
        </w:rPr>
        <w:t>spots </w:t>
      </w:r>
      <w:r>
        <w:rPr/>
        <w:t>y los precios futuros del gas natural (Zan Chiou Wei &amp; Zhu, 2006)</w:t>
      </w:r>
      <w:r>
        <w:rPr>
          <w:position w:val="11"/>
          <w:sz w:val="16"/>
        </w:rPr>
        <w:t>34</w:t>
      </w:r>
      <w:r>
        <w:rPr/>
        <w:t>, encontrándose que los precios  spots ejercen una causalidad directa sobre los precios futuros en contratos de corto plazo (1- 12 meses) y los precios futuros ejercen una causalidad directa sobre los precios spots en contratos de largo plazo (mayor a 12 meses) (Kebede &amp; Marian,</w:t>
      </w:r>
      <w:r>
        <w:rPr>
          <w:spacing w:val="-13"/>
        </w:rPr>
        <w:t> </w:t>
      </w:r>
      <w:r>
        <w:rPr/>
        <w:t>2011).</w:t>
      </w:r>
    </w:p>
    <w:p>
      <w:pPr>
        <w:pStyle w:val="BodyText"/>
        <w:spacing w:line="352" w:lineRule="auto" w:before="14"/>
        <w:ind w:left="122" w:right="117" w:firstLine="707"/>
        <w:jc w:val="both"/>
      </w:pPr>
      <w:r>
        <w:rPr/>
        <w:t>En el mercado del gas natural europeo existe una alta dependencia del abastecimiento proveniente de Rusia (40% de importación según Finon &amp; Locatelli  (2007)), en consecuencia, a principios de 2009 la región del sud-este-europeo</w:t>
      </w:r>
      <w:r>
        <w:rPr>
          <w:position w:val="11"/>
          <w:sz w:val="16"/>
        </w:rPr>
        <w:t>35 </w:t>
      </w:r>
      <w:r>
        <w:rPr/>
        <w:t>sufrió una discontinuidad en el suministro energético proveniente de Rusia y Ucrania (en algunos países  con  dependencia              </w:t>
      </w:r>
      <w:r>
        <w:rPr>
          <w:w w:val="130"/>
        </w:rPr>
        <w:t>%                                          </w:t>
      </w:r>
      <w:r>
        <w:rPr>
          <w:spacing w:val="78"/>
          <w:w w:val="130"/>
        </w:rPr>
        <w:t> </w:t>
      </w:r>
      <w:r>
        <w:rPr>
          <w:w w:val="85"/>
        </w:rPr>
        <w:t>―     </w:t>
      </w:r>
      <w:r>
        <w:rPr>
          <w:w w:val="130"/>
        </w:rPr>
        <w:t>‖ </w:t>
      </w:r>
      <w:r>
        <w:rPr/>
        <w:t>diversificación en el abastecimiento (Kovacevic,</w:t>
      </w:r>
      <w:r>
        <w:rPr>
          <w:spacing w:val="-7"/>
        </w:rPr>
        <w:t> </w:t>
      </w:r>
      <w:r>
        <w:rPr/>
        <w:t>2009).</w:t>
      </w:r>
    </w:p>
    <w:p>
      <w:pPr>
        <w:pStyle w:val="BodyText"/>
        <w:rPr>
          <w:sz w:val="20"/>
        </w:rPr>
      </w:pPr>
    </w:p>
    <w:p>
      <w:pPr>
        <w:pStyle w:val="BodyText"/>
        <w:rPr>
          <w:sz w:val="20"/>
        </w:rPr>
      </w:pPr>
    </w:p>
    <w:p>
      <w:pPr>
        <w:pStyle w:val="BodyText"/>
        <w:spacing w:before="7"/>
        <w:rPr>
          <w:sz w:val="22"/>
        </w:rPr>
      </w:pPr>
      <w:r>
        <w:rPr/>
        <w:pict>
          <v:line style="position:absolute;mso-position-horizontal-relative:page;mso-position-vertical-relative:paragraph;z-index:3040;mso-wrap-distance-left:0;mso-wrap-distance-right:0" from="85.103996pt,15.260406pt" to="229.123996pt,15.260406pt" stroked="true" strokeweight=".599980pt" strokecolor="#000000">
            <w10:wrap type="topAndBottom"/>
          </v:line>
        </w:pict>
      </w:r>
    </w:p>
    <w:p>
      <w:pPr>
        <w:spacing w:before="50"/>
        <w:ind w:left="122" w:right="117" w:firstLine="0"/>
        <w:jc w:val="both"/>
        <w:rPr>
          <w:sz w:val="20"/>
        </w:rPr>
      </w:pPr>
      <w:r>
        <w:rPr>
          <w:position w:val="9"/>
          <w:sz w:val="13"/>
        </w:rPr>
        <w:t>34 </w:t>
      </w:r>
      <w:r>
        <w:rPr>
          <w:sz w:val="20"/>
        </w:rPr>
        <w:t>Los precios </w:t>
      </w:r>
      <w:r>
        <w:rPr>
          <w:i/>
          <w:sz w:val="20"/>
        </w:rPr>
        <w:t>spots </w:t>
      </w:r>
      <w:r>
        <w:rPr>
          <w:sz w:val="20"/>
        </w:rPr>
        <w:t>se refieren a las cotizaciones al contado de los </w:t>
      </w:r>
      <w:r>
        <w:rPr>
          <w:i/>
          <w:sz w:val="20"/>
          <w:u w:val="single"/>
        </w:rPr>
        <w:t>commodities </w:t>
      </w:r>
      <w:r>
        <w:rPr>
          <w:sz w:val="20"/>
        </w:rPr>
        <w:t>(para la compra y venta). Los precios futuros son contratos a plazo, en el cual dos partes se comprometen a vender y/o comprar un </w:t>
      </w:r>
      <w:r>
        <w:rPr>
          <w:i/>
          <w:sz w:val="20"/>
        </w:rPr>
        <w:t>commoditie </w:t>
      </w:r>
      <w:r>
        <w:rPr>
          <w:sz w:val="20"/>
        </w:rPr>
        <w:t>en una fecha determinada, fijándose  el precio respectivo (de forma anticipada), en este caso,  juega un papel especial la fecha de vencimiento (ej.: 30, 60, 90</w:t>
      </w:r>
      <w:r>
        <w:rPr>
          <w:spacing w:val="-13"/>
          <w:sz w:val="20"/>
        </w:rPr>
        <w:t> </w:t>
      </w:r>
      <w:r>
        <w:rPr>
          <w:sz w:val="20"/>
        </w:rPr>
        <w:t>días).</w:t>
      </w:r>
    </w:p>
    <w:p>
      <w:pPr>
        <w:pStyle w:val="BodyText"/>
        <w:spacing w:before="8"/>
        <w:rPr>
          <w:sz w:val="17"/>
        </w:rPr>
      </w:pPr>
    </w:p>
    <w:p>
      <w:pPr>
        <w:spacing w:before="0"/>
        <w:ind w:left="122" w:right="0" w:firstLine="0"/>
        <w:jc w:val="both"/>
        <w:rPr>
          <w:sz w:val="20"/>
        </w:rPr>
      </w:pPr>
      <w:r>
        <w:rPr>
          <w:position w:val="9"/>
          <w:sz w:val="13"/>
        </w:rPr>
        <w:t>35</w:t>
      </w:r>
      <w:r>
        <w:rPr>
          <w:sz w:val="20"/>
        </w:rPr>
        <w:t>Bulgaria, Serbia, Bosnia-Herzegovina, Macedonia, Croacia, Moldavia, Romania y Grecia.</w:t>
      </w:r>
    </w:p>
    <w:p>
      <w:pPr>
        <w:spacing w:after="0"/>
        <w:jc w:val="both"/>
        <w:rPr>
          <w:sz w:val="20"/>
        </w:rPr>
        <w:sectPr>
          <w:pgSz w:w="12250" w:h="15850"/>
          <w:pgMar w:header="0" w:footer="1037" w:top="1360" w:bottom="1220" w:left="1580" w:right="1580"/>
        </w:sectPr>
      </w:pPr>
    </w:p>
    <w:p>
      <w:pPr>
        <w:pStyle w:val="BodyText"/>
        <w:spacing w:line="360" w:lineRule="auto" w:before="50"/>
        <w:ind w:left="102" w:right="116" w:firstLine="707"/>
        <w:jc w:val="both"/>
      </w:pPr>
      <w:r>
        <w:rPr/>
        <w:t>Por lo cual, el debate se ha centrado en la emergencia de la oferta energética del gas natural en Europa y su tendencia hacia la escasez (Vahtra, 2009). Contrariamente, se ha evidenciado una mejor proyección de largo plazo y reducción de costos de extracción (Aguilera, 2010). Frente a ello, surge la necesidad de abordar la perspectiva futura en términos de demanda, producción, costos y precios del gas natural para Europa, el cuál será abordado en un punto posterior.</w:t>
      </w:r>
    </w:p>
    <w:p>
      <w:pPr>
        <w:pStyle w:val="BodyText"/>
        <w:spacing w:line="360" w:lineRule="auto" w:before="6"/>
        <w:ind w:left="102" w:right="118" w:firstLine="707"/>
        <w:jc w:val="both"/>
      </w:pPr>
      <w:r>
        <w:rPr/>
        <w:t>Finalmente, el mercado asiático se caracteriza por tener los precios de gas natural más altos en comparación con los precios europeos y los precios de Norte América, debido a que los precios de este recurso están indexados a los precios del petróleo (Saif, 2006; Siliverstovs, et al.,</w:t>
      </w:r>
      <w:r>
        <w:rPr>
          <w:spacing w:val="-6"/>
        </w:rPr>
        <w:t> </w:t>
      </w:r>
      <w:r>
        <w:rPr/>
        <w:t>2005).</w:t>
      </w:r>
    </w:p>
    <w:p>
      <w:pPr>
        <w:pStyle w:val="BodyText"/>
        <w:spacing w:line="360" w:lineRule="auto" w:before="6"/>
        <w:ind w:left="102" w:right="116" w:firstLine="707"/>
        <w:jc w:val="both"/>
      </w:pPr>
      <w:r>
        <w:rPr/>
        <w:t>En resumen, la región de Norte América es el principal mercado de consumo y producción mundial de gas natural, destacándose la participación de Estados Unidos (en la zona), país que presenta una estructura de mercado del gas natural de tipo competitiva en centros físicos, con una fijación alternativa de precios en mercados financieros. Por su  parte, el mercado europeo está caracterizado por una alta concentración en la oferta de gas ruso (mercado de competencia imperfecta) y en el contexto asiático los precios del gas natural están determinados por los precios del petróleo. Por lo tanto, los precios del gas natural en EEUU son más baratos (dada una estructura de mercado competitiva),  los precios más altos se encuentran en Asia (indexados al precio del petróleo) y los precios del gas natural en Europa se sitúan entre las dos bandas anteriores (norte americano y</w:t>
      </w:r>
      <w:r>
        <w:rPr>
          <w:spacing w:val="-12"/>
        </w:rPr>
        <w:t> </w:t>
      </w:r>
      <w:r>
        <w:rPr/>
        <w:t>asiático).</w:t>
      </w:r>
    </w:p>
    <w:p>
      <w:pPr>
        <w:pStyle w:val="BodyText"/>
        <w:spacing w:before="9"/>
        <w:rPr>
          <w:sz w:val="21"/>
        </w:rPr>
      </w:pPr>
    </w:p>
    <w:p>
      <w:pPr>
        <w:pStyle w:val="Heading4"/>
        <w:numPr>
          <w:ilvl w:val="2"/>
          <w:numId w:val="10"/>
        </w:numPr>
        <w:tabs>
          <w:tab w:pos="963" w:val="left" w:leader="none"/>
          <w:tab w:pos="964" w:val="left" w:leader="none"/>
        </w:tabs>
        <w:spacing w:line="240" w:lineRule="auto" w:before="0" w:after="0"/>
        <w:ind w:left="963" w:right="0" w:hanging="720"/>
        <w:jc w:val="left"/>
      </w:pPr>
      <w:bookmarkStart w:name="_bookmark30" w:id="50"/>
      <w:bookmarkEnd w:id="50"/>
      <w:r>
        <w:rPr>
          <w:b w:val="0"/>
        </w:rPr>
      </w:r>
      <w:bookmarkStart w:name="_bookmark30" w:id="51"/>
      <w:bookmarkEnd w:id="51"/>
      <w:r>
        <w:rPr/>
        <w:t>P</w:t>
      </w:r>
      <w:r>
        <w:rPr/>
        <w:t>erspectivas de largo plazo en mercados internacionales del gas</w:t>
      </w:r>
      <w:r>
        <w:rPr>
          <w:spacing w:val="-13"/>
        </w:rPr>
        <w:t> </w:t>
      </w:r>
      <w:r>
        <w:rPr/>
        <w:t>natural</w:t>
      </w:r>
    </w:p>
    <w:p>
      <w:pPr>
        <w:pStyle w:val="BodyText"/>
        <w:spacing w:line="360" w:lineRule="auto" w:before="192"/>
        <w:ind w:left="102" w:right="119" w:firstLine="707"/>
        <w:jc w:val="both"/>
      </w:pPr>
      <w:r>
        <w:rPr/>
        <w:t>A continuación, se explican las prospectivas de largo plazo en los diferentes mercados de gas natural, para ello, se realiza una clasificación de las regiones en dos grupos: perspectivas favorables y expectativas con incertidumbre.</w:t>
      </w:r>
    </w:p>
    <w:p>
      <w:pPr>
        <w:pStyle w:val="BodyText"/>
        <w:spacing w:line="360" w:lineRule="auto" w:before="4"/>
        <w:ind w:left="102" w:right="117" w:firstLine="767"/>
        <w:jc w:val="both"/>
      </w:pPr>
      <w:r>
        <w:rPr/>
        <w:t>En el primer grupo, se incluyen las regiones en las cuales existe un buen rumbo esperado (América, Medio Oriente, África del Norte y Asia Central), tanto en consumo como en producción de este recurso natural; adicionalmente, se mencionan aspectos positivos ligados al curso previsto para los precios del gas natural y su relación con los precios del petróleo.</w:t>
      </w:r>
    </w:p>
    <w:p>
      <w:pPr>
        <w:spacing w:after="0" w:line="360" w:lineRule="auto"/>
        <w:jc w:val="both"/>
        <w:sectPr>
          <w:pgSz w:w="12250" w:h="15850"/>
          <w:pgMar w:header="0" w:footer="1037" w:top="1360" w:bottom="1220" w:left="1600" w:right="1580"/>
        </w:sectPr>
      </w:pPr>
    </w:p>
    <w:p>
      <w:pPr>
        <w:pStyle w:val="BodyText"/>
        <w:spacing w:line="345" w:lineRule="auto" w:before="50"/>
        <w:ind w:left="122" w:right="118" w:firstLine="707"/>
        <w:jc w:val="both"/>
        <w:rPr>
          <w:sz w:val="16"/>
        </w:rPr>
      </w:pPr>
      <w:r>
        <w:rPr/>
        <w:t>En el segundo grupo, se incluye a países Europeos de la Organización de Cooperación para el Desarrollo Económico (OECD), en cuya región se evidencian posibles riesgos de escasez del  gas natural. </w:t>
      </w:r>
      <w:r>
        <w:rPr>
          <w:position w:val="11"/>
          <w:sz w:val="16"/>
        </w:rPr>
        <w:t>36</w:t>
      </w:r>
    </w:p>
    <w:p>
      <w:pPr>
        <w:spacing w:before="3"/>
        <w:ind w:left="830" w:right="115" w:firstLine="0"/>
        <w:jc w:val="left"/>
        <w:rPr>
          <w:i/>
          <w:sz w:val="24"/>
        </w:rPr>
      </w:pPr>
      <w:r>
        <w:rPr>
          <w:i/>
          <w:sz w:val="24"/>
        </w:rPr>
        <w:t>Perspectivas favorables: América, África del Norte,  Medio Oriente y Asia</w:t>
      </w:r>
    </w:p>
    <w:p>
      <w:pPr>
        <w:pStyle w:val="BodyText"/>
        <w:spacing w:line="360" w:lineRule="auto" w:before="139"/>
        <w:ind w:left="122" w:right="114" w:firstLine="707"/>
        <w:jc w:val="both"/>
      </w:pPr>
      <w:r>
        <w:rPr/>
        <w:t>De forma general, se prevé un crecimiento superior al 1% anual en el consumo mundial del gas natural para el período 2012 – 2035: Las mayores tasas de crecimiento se presentan en economías que no forman parte de la OECD (</w:t>
      </w:r>
      <w:r>
        <w:rPr>
          <w:i/>
        </w:rPr>
        <w:t>véase figura 2.1</w:t>
      </w:r>
      <w:r>
        <w:rPr/>
        <w:t>), asimismo, se proyecta una continuidad creciente en el sendero de la producción en las diversas regiones, con mayor participación proveniente de Rusia, Estados Unidos y del Medio Oriente  (Energy Information Administration EIA - U.S., 2011; Lochner &amp; Bothe, 2009; Remme, et al.,</w:t>
      </w:r>
      <w:r>
        <w:rPr>
          <w:spacing w:val="-3"/>
        </w:rPr>
        <w:t> </w:t>
      </w:r>
      <w:r>
        <w:rPr/>
        <w:t>2007).</w:t>
      </w:r>
    </w:p>
    <w:p>
      <w:pPr>
        <w:pStyle w:val="BodyText"/>
        <w:spacing w:line="360" w:lineRule="auto" w:before="4"/>
        <w:ind w:left="122" w:right="116" w:firstLine="707"/>
        <w:jc w:val="both"/>
      </w:pPr>
      <w:r>
        <w:rPr/>
        <w:t>Es destacable, para América Latina y el Caribe, la prospectiva favorable de crecimiento en la producción de gas natural hasta el 2035. En consecuencia, se esperan tasas de incremento anual alrededor del 2% (</w:t>
      </w:r>
      <w:r>
        <w:rPr>
          <w:i/>
        </w:rPr>
        <w:t>véase figura</w:t>
      </w:r>
      <w:r>
        <w:rPr>
          <w:i/>
          <w:spacing w:val="-11"/>
        </w:rPr>
        <w:t> </w:t>
      </w:r>
      <w:r>
        <w:rPr>
          <w:i/>
        </w:rPr>
        <w:t>2.2</w:t>
      </w:r>
      <w:r>
        <w:rPr/>
        <w:t>).</w:t>
      </w:r>
    </w:p>
    <w:p>
      <w:pPr>
        <w:pStyle w:val="BodyText"/>
        <w:spacing w:line="360" w:lineRule="auto" w:before="6"/>
        <w:ind w:left="122" w:right="120" w:firstLine="707"/>
        <w:jc w:val="both"/>
      </w:pPr>
      <w:r>
        <w:rPr/>
        <w:t>La utilización de gas natural por parte de las regiones continuará como una opción económica de combustible, especialmente para el sector industrial y la generación de energía eléctrica, debido a su baja emisión de dióxido de carbono comparado con  el petróleo y el carbono (Paltsev, et al., 2010).</w:t>
      </w:r>
    </w:p>
    <w:p>
      <w:pPr>
        <w:pStyle w:val="BodyText"/>
        <w:spacing w:line="360" w:lineRule="auto" w:before="6"/>
        <w:ind w:left="122" w:right="116" w:firstLine="707"/>
        <w:jc w:val="both"/>
      </w:pPr>
      <w:r>
        <w:rPr/>
        <w:t>La posición del gas natural es competitiva frente a otras fuentes de energía, tanto en disponibilidad de reservas como en volúmenes de producción, considerándose tendencias significativas en la oferta de gas natural y la continuidad en la expansión del gas natural líquido (LNG), así como la capacidad de producción, lo cual contribuye a menores precios  y a un consumo mayor en función del escenario base de proyección (2011, realizado por la agencia internacional de energía-</w:t>
      </w:r>
      <w:r>
        <w:rPr>
          <w:spacing w:val="-10"/>
        </w:rPr>
        <w:t> </w:t>
      </w:r>
      <w:r>
        <w:rPr/>
        <w:t>EIA).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4"/>
        </w:rPr>
      </w:pPr>
      <w:r>
        <w:rPr/>
        <w:pict>
          <v:line style="position:absolute;mso-position-horizontal-relative:page;mso-position-vertical-relative:paragraph;z-index:3064;mso-wrap-distance-left:0;mso-wrap-distance-right:0" from="85.103996pt,10.328564pt" to="229.123996pt,10.328564pt" stroked="true" strokeweight=".599980pt" strokecolor="#000000">
            <w10:wrap type="topAndBottom"/>
          </v:line>
        </w:pict>
      </w:r>
    </w:p>
    <w:p>
      <w:pPr>
        <w:spacing w:before="50"/>
        <w:ind w:left="122" w:right="117" w:firstLine="0"/>
        <w:jc w:val="both"/>
        <w:rPr>
          <w:sz w:val="20"/>
        </w:rPr>
      </w:pPr>
      <w:r>
        <w:rPr>
          <w:position w:val="9"/>
          <w:sz w:val="13"/>
        </w:rPr>
        <w:t>36 </w:t>
      </w:r>
      <w:r>
        <w:rPr>
          <w:sz w:val="20"/>
        </w:rPr>
        <w:t>Para tal efecto, se ha considerado las proyecciones de largo plazo de la Agencia de Información y Administración de Energía de EEUU (Energy Information Administration EIA - U.S., 2011), así como a la revisión de la literatura encontrada.</w:t>
      </w:r>
    </w:p>
    <w:p>
      <w:pPr>
        <w:spacing w:after="0"/>
        <w:jc w:val="both"/>
        <w:rPr>
          <w:sz w:val="20"/>
        </w:rPr>
        <w:sectPr>
          <w:pgSz w:w="12250" w:h="15850"/>
          <w:pgMar w:header="0" w:footer="1037" w:top="1360" w:bottom="1220" w:left="1580" w:right="1580"/>
        </w:sectPr>
      </w:pPr>
    </w:p>
    <w:p>
      <w:pPr>
        <w:pStyle w:val="BodyText"/>
        <w:spacing w:line="360" w:lineRule="auto" w:before="50"/>
        <w:ind w:left="2783" w:right="1489" w:hanging="1614"/>
      </w:pPr>
      <w:r>
        <w:rPr/>
        <w:pict>
          <v:group style="position:absolute;margin-left:193.785217pt;margin-top:44.65551pt;width:259.8500pt;height:152.35pt;mso-position-horizontal-relative:page;mso-position-vertical-relative:paragraph;z-index:-568840" coordorigin="3876,893" coordsize="5197,3047">
            <v:line style="position:absolute" from="4432,3291" to="7414,3291" stroked="true" strokeweight=".526991pt" strokecolor="#858585"/>
            <v:shape style="position:absolute;left:4578;top:2812;width:194;height:759" type="#_x0000_t75" stroked="false">
              <v:imagedata r:id="rId33" o:title=""/>
            </v:shape>
            <v:line style="position:absolute" from="4432,2733" to="7414,2733" stroked="true" strokeweight=".526991pt" strokecolor="#858585"/>
            <v:shape style="position:absolute;left:5075;top:2769;width:205;height:801" type="#_x0000_t75" stroked="false">
              <v:imagedata r:id="rId34" o:title=""/>
            </v:shape>
            <v:shape style="position:absolute;left:5572;top:2738;width:205;height:833" type="#_x0000_t75" stroked="false">
              <v:imagedata r:id="rId35" o:title=""/>
            </v:shape>
            <v:shape style="position:absolute;left:6069;top:2706;width:205;height:864" type="#_x0000_t75" stroked="false">
              <v:imagedata r:id="rId36" o:title=""/>
            </v:shape>
            <v:shape style="position:absolute;left:6566;top:2664;width:205;height:906" type="#_x0000_t75" stroked="false">
              <v:imagedata r:id="rId37" o:title=""/>
            </v:shape>
            <v:shape style="position:absolute;left:7073;top:2611;width:194;height:959" type="#_x0000_t75" stroked="false">
              <v:imagedata r:id="rId38" o:title=""/>
            </v:shape>
            <v:shape style="position:absolute;left:788;top:11952;width:4141;height:390" coordorigin="788,11952" coordsize="4141,390" path="m4432,2448l7414,2448m4432,2174l7414,2174e" filled="false" stroked="true" strokeweight=".533567pt" strokecolor="#858585">
              <v:path arrowok="t"/>
            </v:shape>
            <v:shape style="position:absolute;left:4578;top:2021;width:194;height:790" type="#_x0000_t75" stroked="false">
              <v:imagedata r:id="rId39" o:title=""/>
            </v:shape>
            <v:line style="position:absolute" from="4432,1889" to="7414,1889" stroked="true" strokeweight=".526991pt" strokecolor="#858585"/>
            <v:shape style="position:absolute;left:5075;top:1842;width:205;height:928" type="#_x0000_t75" stroked="false">
              <v:imagedata r:id="rId40" o:title=""/>
            </v:shape>
            <v:shape style="position:absolute;left:5572;top:1705;width:205;height:1033" type="#_x0000_t75" stroked="false">
              <v:imagedata r:id="rId41" o:title=""/>
            </v:shape>
            <v:line style="position:absolute" from="4432,1605" to="7414,1605" stroked="true" strokeweight=".526991pt" strokecolor="#858585"/>
            <v:shape style="position:absolute;left:6069;top:1547;width:205;height:1159" type="#_x0000_t75" stroked="false">
              <v:imagedata r:id="rId42" o:title=""/>
            </v:shape>
            <v:line style="position:absolute" from="4432,1331" to="7414,1331" stroked="true" strokeweight=".526991pt" strokecolor="#858585"/>
            <v:shape style="position:absolute;left:6566;top:1378;width:205;height:1286" type="#_x0000_t75" stroked="false">
              <v:imagedata r:id="rId43" o:title=""/>
            </v:shape>
            <v:shape style="position:absolute;left:7073;top:1210;width:194;height:1402" type="#_x0000_t75" stroked="false">
              <v:imagedata r:id="rId44" o:title=""/>
            </v:shape>
            <v:shape style="position:absolute;left:713;top:10347;width:4216;height:3660" coordorigin="713,10347" coordsize="4216,3660" path="m4432,1046l7414,1046m4432,3576l4432,1046m4378,3291l4432,3291m4378,2733l4432,2733m4378,2448l4432,2448m4378,2174l4432,2174m4378,1889l4432,1889m4378,1605l4432,1605m4378,1331l4432,1331m4378,1046l4432,1046m4432,3576l4432,3618e" filled="false" stroked="true" strokeweight=".533567pt" strokecolor="#858585">
              <v:path arrowok="t"/>
            </v:shape>
            <v:shape style="position:absolute;left:7646;top:2042;width:86;height:84" type="#_x0000_t75" stroked="false">
              <v:imagedata r:id="rId45" o:title=""/>
            </v:shape>
            <v:shape style="position:absolute;left:7646;top:2506;width:86;height:84" type="#_x0000_t75" stroked="false">
              <v:imagedata r:id="rId46" o:title=""/>
            </v:shape>
            <v:rect style="position:absolute;left:3881;top:899;width:5185;height:3035" filled="false" stroked="true" strokeweight=".530878pt" strokecolor="#858585"/>
            <v:shape style="position:absolute;left:3958;top:990;width:331;height:982" type="#_x0000_t202" filled="false" stroked="false">
              <v:textbox inset="0,0,0,0">
                <w:txbxContent>
                  <w:p>
                    <w:pPr>
                      <w:spacing w:line="138" w:lineRule="exact" w:before="0"/>
                      <w:ind w:left="0" w:right="-15" w:firstLine="0"/>
                      <w:jc w:val="left"/>
                      <w:rPr>
                        <w:rFonts w:ascii="Calibri"/>
                        <w:sz w:val="13"/>
                      </w:rPr>
                    </w:pPr>
                    <w:r>
                      <w:rPr>
                        <w:rFonts w:ascii="Calibri"/>
                        <w:w w:val="110"/>
                        <w:sz w:val="13"/>
                      </w:rPr>
                      <w:t>180.0</w:t>
                    </w:r>
                  </w:p>
                  <w:p>
                    <w:pPr>
                      <w:spacing w:before="122"/>
                      <w:ind w:left="0" w:right="-15" w:firstLine="0"/>
                      <w:jc w:val="left"/>
                      <w:rPr>
                        <w:rFonts w:ascii="Calibri"/>
                        <w:sz w:val="13"/>
                      </w:rPr>
                    </w:pPr>
                    <w:r>
                      <w:rPr>
                        <w:rFonts w:ascii="Calibri"/>
                        <w:w w:val="110"/>
                        <w:sz w:val="13"/>
                      </w:rPr>
                      <w:t>160.0</w:t>
                    </w:r>
                  </w:p>
                  <w:p>
                    <w:pPr>
                      <w:spacing w:before="122"/>
                      <w:ind w:left="0" w:right="-15" w:firstLine="0"/>
                      <w:jc w:val="left"/>
                      <w:rPr>
                        <w:rFonts w:ascii="Calibri"/>
                        <w:sz w:val="13"/>
                      </w:rPr>
                    </w:pPr>
                    <w:r>
                      <w:rPr>
                        <w:rFonts w:ascii="Calibri"/>
                        <w:w w:val="110"/>
                        <w:sz w:val="13"/>
                      </w:rPr>
                      <w:t>140.0</w:t>
                    </w:r>
                  </w:p>
                  <w:p>
                    <w:pPr>
                      <w:spacing w:line="158" w:lineRule="exact" w:before="122"/>
                      <w:ind w:left="0" w:right="-15" w:firstLine="0"/>
                      <w:jc w:val="left"/>
                      <w:rPr>
                        <w:rFonts w:ascii="Calibri"/>
                        <w:sz w:val="13"/>
                      </w:rPr>
                    </w:pPr>
                    <w:r>
                      <w:rPr>
                        <w:rFonts w:ascii="Calibri"/>
                        <w:w w:val="110"/>
                        <w:sz w:val="13"/>
                      </w:rPr>
                      <w:t>120.0</w:t>
                    </w:r>
                  </w:p>
                </w:txbxContent>
              </v:textbox>
              <w10:wrap type="none"/>
            </v:shape>
            <v:shape style="position:absolute;left:6991;top:1821;width:358;height:223" type="#_x0000_t202" filled="false" stroked="false">
              <v:textbox inset="0,0,0,0">
                <w:txbxContent>
                  <w:p>
                    <w:pPr>
                      <w:spacing w:line="222" w:lineRule="exact" w:before="0"/>
                      <w:ind w:left="0" w:right="0" w:firstLine="0"/>
                      <w:jc w:val="left"/>
                      <w:rPr>
                        <w:rFonts w:ascii="Calibri"/>
                        <w:sz w:val="22"/>
                      </w:rPr>
                    </w:pPr>
                    <w:r>
                      <w:rPr>
                        <w:rFonts w:ascii="Calibri"/>
                        <w:sz w:val="22"/>
                      </w:rPr>
                      <w:t>100</w:t>
                    </w:r>
                  </w:p>
                </w:txbxContent>
              </v:textbox>
              <w10:wrap type="none"/>
            </v:shape>
            <v:shape style="position:absolute;left:3958;top:2115;width:336;height:1545" type="#_x0000_t202" filled="false" stroked="false">
              <v:textbox inset="0,0,0,0">
                <w:txbxContent>
                  <w:p>
                    <w:pPr>
                      <w:spacing w:line="138" w:lineRule="exact" w:before="0"/>
                      <w:ind w:left="-1" w:right="3" w:firstLine="0"/>
                      <w:jc w:val="center"/>
                      <w:rPr>
                        <w:rFonts w:ascii="Calibri"/>
                        <w:sz w:val="13"/>
                      </w:rPr>
                    </w:pPr>
                    <w:r>
                      <w:rPr>
                        <w:rFonts w:ascii="Calibri"/>
                        <w:w w:val="110"/>
                        <w:sz w:val="13"/>
                      </w:rPr>
                      <w:t>100.0</w:t>
                    </w:r>
                  </w:p>
                  <w:p>
                    <w:pPr>
                      <w:spacing w:before="122"/>
                      <w:ind w:left="79" w:right="-17" w:firstLine="0"/>
                      <w:jc w:val="left"/>
                      <w:rPr>
                        <w:rFonts w:ascii="Calibri"/>
                        <w:sz w:val="13"/>
                      </w:rPr>
                    </w:pPr>
                    <w:r>
                      <w:rPr>
                        <w:rFonts w:ascii="Calibri"/>
                        <w:w w:val="110"/>
                        <w:sz w:val="13"/>
                      </w:rPr>
                      <w:t>80.0</w:t>
                    </w:r>
                  </w:p>
                  <w:p>
                    <w:pPr>
                      <w:spacing w:before="122"/>
                      <w:ind w:left="79" w:right="-17" w:firstLine="0"/>
                      <w:jc w:val="left"/>
                      <w:rPr>
                        <w:rFonts w:ascii="Calibri"/>
                        <w:sz w:val="13"/>
                      </w:rPr>
                    </w:pPr>
                    <w:r>
                      <w:rPr>
                        <w:rFonts w:ascii="Calibri"/>
                        <w:w w:val="110"/>
                        <w:sz w:val="13"/>
                      </w:rPr>
                      <w:t>60.0</w:t>
                    </w:r>
                  </w:p>
                  <w:p>
                    <w:pPr>
                      <w:spacing w:before="122"/>
                      <w:ind w:left="79" w:right="-17" w:firstLine="0"/>
                      <w:jc w:val="left"/>
                      <w:rPr>
                        <w:rFonts w:ascii="Calibri"/>
                        <w:sz w:val="13"/>
                      </w:rPr>
                    </w:pPr>
                    <w:r>
                      <w:rPr>
                        <w:rFonts w:ascii="Calibri"/>
                        <w:w w:val="110"/>
                        <w:sz w:val="13"/>
                      </w:rPr>
                      <w:t>40.0</w:t>
                    </w:r>
                  </w:p>
                  <w:p>
                    <w:pPr>
                      <w:spacing w:before="122"/>
                      <w:ind w:left="79" w:right="-17" w:firstLine="0"/>
                      <w:jc w:val="left"/>
                      <w:rPr>
                        <w:rFonts w:ascii="Calibri"/>
                        <w:sz w:val="13"/>
                      </w:rPr>
                    </w:pPr>
                    <w:r>
                      <w:rPr>
                        <w:rFonts w:ascii="Calibri"/>
                        <w:w w:val="110"/>
                        <w:sz w:val="13"/>
                      </w:rPr>
                      <w:t>20.0</w:t>
                    </w:r>
                  </w:p>
                  <w:p>
                    <w:pPr>
                      <w:spacing w:line="158" w:lineRule="exact" w:before="122"/>
                      <w:ind w:left="141" w:right="0" w:firstLine="0"/>
                      <w:jc w:val="center"/>
                      <w:rPr>
                        <w:rFonts w:ascii="Calibri"/>
                        <w:sz w:val="13"/>
                      </w:rPr>
                    </w:pPr>
                    <w:r>
                      <w:rPr>
                        <w:rFonts w:ascii="Calibri"/>
                        <w:w w:val="110"/>
                        <w:sz w:val="13"/>
                      </w:rPr>
                      <w:t>0.0</w:t>
                    </w:r>
                  </w:p>
                </w:txbxContent>
              </v:textbox>
              <w10:wrap type="none"/>
            </v:shape>
            <v:shape style="position:absolute;left:5558;top:2132;width:238;height:223" type="#_x0000_t202" filled="false" stroked="false">
              <v:textbox inset="0,0,0,0">
                <w:txbxContent>
                  <w:p>
                    <w:pPr>
                      <w:spacing w:line="222" w:lineRule="exact" w:before="0"/>
                      <w:ind w:left="0" w:right="-5" w:firstLine="0"/>
                      <w:jc w:val="left"/>
                      <w:rPr>
                        <w:rFonts w:ascii="Calibri"/>
                        <w:sz w:val="22"/>
                      </w:rPr>
                    </w:pPr>
                    <w:r>
                      <w:rPr>
                        <w:rFonts w:ascii="Calibri"/>
                        <w:sz w:val="22"/>
                      </w:rPr>
                      <w:t>74</w:t>
                    </w:r>
                  </w:p>
                </w:txbxContent>
              </v:textbox>
              <w10:wrap type="none"/>
            </v:shape>
            <v:shape style="position:absolute;left:6058;top:1929;width:738;height:334" type="#_x0000_t202" filled="false" stroked="false">
              <v:textbox inset="0,0,0,0">
                <w:txbxContent>
                  <w:p>
                    <w:pPr>
                      <w:tabs>
                        <w:tab w:pos="499" w:val="left" w:leader="none"/>
                      </w:tabs>
                      <w:spacing w:line="334" w:lineRule="exact" w:before="0"/>
                      <w:ind w:left="0" w:right="0" w:firstLine="0"/>
                      <w:jc w:val="left"/>
                      <w:rPr>
                        <w:rFonts w:ascii="Calibri"/>
                        <w:sz w:val="22"/>
                      </w:rPr>
                    </w:pPr>
                    <w:r>
                      <w:rPr>
                        <w:rFonts w:ascii="Calibri"/>
                        <w:w w:val="105"/>
                        <w:position w:val="-10"/>
                        <w:sz w:val="22"/>
                      </w:rPr>
                      <w:t>83</w:t>
                      <w:tab/>
                    </w:r>
                    <w:r>
                      <w:rPr>
                        <w:rFonts w:ascii="Calibri"/>
                        <w:spacing w:val="3"/>
                        <w:sz w:val="22"/>
                      </w:rPr>
                      <w:t>92</w:t>
                    </w:r>
                  </w:p>
                </w:txbxContent>
              </v:textbox>
              <w10:wrap type="none"/>
            </v:shape>
            <v:shape style="position:absolute;left:4560;top:2327;width:238;height:223" type="#_x0000_t202" filled="false" stroked="false">
              <v:textbox inset="0,0,0,0">
                <w:txbxContent>
                  <w:p>
                    <w:pPr>
                      <w:spacing w:line="222" w:lineRule="exact" w:before="0"/>
                      <w:ind w:left="0" w:right="-5" w:firstLine="0"/>
                      <w:jc w:val="left"/>
                      <w:rPr>
                        <w:rFonts w:ascii="Calibri"/>
                        <w:sz w:val="22"/>
                      </w:rPr>
                    </w:pPr>
                    <w:r>
                      <w:rPr>
                        <w:rFonts w:ascii="Calibri"/>
                        <w:sz w:val="22"/>
                      </w:rPr>
                      <w:t>56</w:t>
                    </w:r>
                  </w:p>
                </w:txbxContent>
              </v:textbox>
              <w10:wrap type="none"/>
            </v:shape>
            <v:shape style="position:absolute;left:5059;top:2219;width:239;height:223" type="#_x0000_t202" filled="false" stroked="false">
              <v:textbox inset="0,0,0,0">
                <w:txbxContent>
                  <w:p>
                    <w:pPr>
                      <w:spacing w:line="222" w:lineRule="exact" w:before="0"/>
                      <w:ind w:left="0" w:right="-4" w:firstLine="0"/>
                      <w:jc w:val="left"/>
                      <w:rPr>
                        <w:rFonts w:ascii="Calibri"/>
                        <w:sz w:val="22"/>
                      </w:rPr>
                    </w:pPr>
                    <w:r>
                      <w:rPr>
                        <w:rFonts w:ascii="Calibri"/>
                        <w:sz w:val="22"/>
                      </w:rPr>
                      <w:t>66</w:t>
                    </w:r>
                  </w:p>
                </w:txbxContent>
              </v:textbox>
              <w10:wrap type="none"/>
            </v:shape>
            <v:shape style="position:absolute;left:7783;top:2018;width:1142;height:626" type="#_x0000_t202" filled="false" stroked="false">
              <v:textbox inset="0,0,0,0">
                <w:txbxContent>
                  <w:p>
                    <w:pPr>
                      <w:spacing w:line="171" w:lineRule="exact" w:before="0"/>
                      <w:ind w:left="0" w:right="-7" w:firstLine="0"/>
                      <w:jc w:val="left"/>
                      <w:rPr>
                        <w:b/>
                        <w:sz w:val="17"/>
                      </w:rPr>
                    </w:pPr>
                    <w:r>
                      <w:rPr>
                        <w:b/>
                        <w:sz w:val="17"/>
                      </w:rPr>
                      <w:t>RESTO DEL</w:t>
                    </w:r>
                  </w:p>
                  <w:p>
                    <w:pPr>
                      <w:spacing w:line="193" w:lineRule="exact" w:before="0"/>
                      <w:ind w:left="0" w:right="-7" w:firstLine="0"/>
                      <w:jc w:val="left"/>
                      <w:rPr>
                        <w:b/>
                        <w:sz w:val="17"/>
                      </w:rPr>
                    </w:pPr>
                    <w:r>
                      <w:rPr>
                        <w:b/>
                        <w:sz w:val="17"/>
                      </w:rPr>
                      <w:t>MUNDO</w:t>
                    </w:r>
                  </w:p>
                  <w:p>
                    <w:pPr>
                      <w:spacing w:line="192" w:lineRule="exact" w:before="69"/>
                      <w:ind w:left="0" w:right="-7" w:firstLine="0"/>
                      <w:jc w:val="left"/>
                      <w:rPr>
                        <w:b/>
                        <w:sz w:val="17"/>
                      </w:rPr>
                    </w:pPr>
                    <w:r>
                      <w:rPr>
                        <w:b/>
                        <w:sz w:val="17"/>
                      </w:rPr>
                      <w:t>PAÍSES OECD</w:t>
                    </w:r>
                  </w:p>
                </w:txbxContent>
              </v:textbox>
              <w10:wrap type="none"/>
            </v:shape>
            <w10:wrap type="none"/>
          </v:group>
        </w:pict>
      </w:r>
      <w:bookmarkStart w:name="_bookmark31" w:id="52"/>
      <w:bookmarkEnd w:id="52"/>
      <w:r>
        <w:rPr/>
      </w:r>
      <w:r>
        <w:rPr/>
        <w:t>Figura 2. 1: Volumen proyectado de consumo mundial de gas natural (En trillones de pies cúbicos  hasta el 2035)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5"/>
        </w:rPr>
      </w:pPr>
    </w:p>
    <w:tbl>
      <w:tblPr>
        <w:tblW w:w="0" w:type="auto"/>
        <w:jc w:val="left"/>
        <w:tblInd w:w="283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95"/>
        <w:gridCol w:w="500"/>
        <w:gridCol w:w="499"/>
        <w:gridCol w:w="499"/>
        <w:gridCol w:w="500"/>
        <w:gridCol w:w="435"/>
      </w:tblGrid>
      <w:tr>
        <w:trPr>
          <w:trHeight w:val="569" w:hRule="exact"/>
        </w:trPr>
        <w:tc>
          <w:tcPr>
            <w:tcW w:w="495" w:type="dxa"/>
            <w:tcBorders>
              <w:top w:val="single" w:sz="4" w:space="0" w:color="858585"/>
              <w:bottom w:val="single" w:sz="4" w:space="0" w:color="858585"/>
            </w:tcBorders>
          </w:tcPr>
          <w:p>
            <w:pPr>
              <w:pStyle w:val="TableParagraph"/>
              <w:spacing w:before="51"/>
              <w:ind w:left="81" w:right="82"/>
              <w:rPr>
                <w:rFonts w:ascii="Calibri"/>
                <w:b/>
                <w:sz w:val="22"/>
              </w:rPr>
            </w:pPr>
            <w:r>
              <w:rPr>
                <w:rFonts w:ascii="Calibri"/>
                <w:b/>
                <w:color w:val="DBEDF4"/>
                <w:w w:val="105"/>
                <w:sz w:val="22"/>
              </w:rPr>
              <w:t>55</w:t>
            </w:r>
          </w:p>
        </w:tc>
        <w:tc>
          <w:tcPr>
            <w:tcW w:w="500" w:type="dxa"/>
            <w:tcBorders>
              <w:top w:val="single" w:sz="4" w:space="0" w:color="858585"/>
              <w:bottom w:val="single" w:sz="4" w:space="0" w:color="858585"/>
            </w:tcBorders>
          </w:tcPr>
          <w:p>
            <w:pPr>
              <w:pStyle w:val="TableParagraph"/>
              <w:spacing w:before="31"/>
              <w:ind w:left="131"/>
              <w:jc w:val="left"/>
              <w:rPr>
                <w:rFonts w:ascii="Calibri"/>
                <w:b/>
                <w:sz w:val="22"/>
              </w:rPr>
            </w:pPr>
            <w:r>
              <w:rPr>
                <w:rFonts w:ascii="Calibri"/>
                <w:b/>
                <w:color w:val="DBEDF4"/>
                <w:w w:val="105"/>
                <w:sz w:val="22"/>
              </w:rPr>
              <w:t>57</w:t>
            </w:r>
          </w:p>
        </w:tc>
        <w:tc>
          <w:tcPr>
            <w:tcW w:w="499" w:type="dxa"/>
            <w:tcBorders>
              <w:top w:val="single" w:sz="4" w:space="0" w:color="858585"/>
              <w:bottom w:val="single" w:sz="4" w:space="0" w:color="858585"/>
            </w:tcBorders>
          </w:tcPr>
          <w:p>
            <w:pPr>
              <w:pStyle w:val="TableParagraph"/>
              <w:spacing w:before="15"/>
              <w:ind w:left="130"/>
              <w:jc w:val="left"/>
              <w:rPr>
                <w:rFonts w:ascii="Calibri"/>
                <w:b/>
                <w:sz w:val="22"/>
              </w:rPr>
            </w:pPr>
            <w:r>
              <w:rPr>
                <w:rFonts w:ascii="Calibri"/>
                <w:b/>
                <w:color w:val="DBEDF4"/>
                <w:w w:val="105"/>
                <w:sz w:val="22"/>
              </w:rPr>
              <w:t>60</w:t>
            </w:r>
          </w:p>
        </w:tc>
        <w:tc>
          <w:tcPr>
            <w:tcW w:w="499" w:type="dxa"/>
            <w:tcBorders>
              <w:top w:val="single" w:sz="4" w:space="0" w:color="858585"/>
              <w:bottom w:val="single" w:sz="4" w:space="0" w:color="858585"/>
            </w:tcBorders>
          </w:tcPr>
          <w:p>
            <w:pPr>
              <w:pStyle w:val="TableParagraph"/>
              <w:spacing w:before="1"/>
              <w:ind w:left="84" w:right="82"/>
              <w:rPr>
                <w:rFonts w:ascii="Calibri"/>
                <w:b/>
                <w:sz w:val="22"/>
              </w:rPr>
            </w:pPr>
            <w:r>
              <w:rPr>
                <w:rFonts w:ascii="Calibri"/>
                <w:b/>
                <w:color w:val="DBEDF4"/>
                <w:w w:val="105"/>
                <w:sz w:val="22"/>
              </w:rPr>
              <w:t>62</w:t>
            </w:r>
          </w:p>
        </w:tc>
        <w:tc>
          <w:tcPr>
            <w:tcW w:w="500" w:type="dxa"/>
            <w:tcBorders>
              <w:top w:val="single" w:sz="4" w:space="0" w:color="858585"/>
              <w:bottom w:val="single" w:sz="4" w:space="0" w:color="858585"/>
            </w:tcBorders>
          </w:tcPr>
          <w:p>
            <w:pPr>
              <w:pStyle w:val="TableParagraph"/>
              <w:spacing w:line="245" w:lineRule="exact"/>
              <w:ind w:left="85" w:right="84"/>
              <w:rPr>
                <w:rFonts w:ascii="Calibri"/>
                <w:b/>
                <w:sz w:val="22"/>
              </w:rPr>
            </w:pPr>
            <w:r>
              <w:rPr>
                <w:rFonts w:ascii="Calibri"/>
                <w:b/>
                <w:color w:val="DBEDF4"/>
                <w:w w:val="105"/>
                <w:sz w:val="22"/>
              </w:rPr>
              <w:t>65</w:t>
            </w:r>
          </w:p>
        </w:tc>
        <w:tc>
          <w:tcPr>
            <w:tcW w:w="435" w:type="dxa"/>
            <w:tcBorders>
              <w:top w:val="single" w:sz="4" w:space="0" w:color="858585"/>
              <w:bottom w:val="single" w:sz="4" w:space="0" w:color="858585"/>
            </w:tcBorders>
          </w:tcPr>
          <w:p>
            <w:pPr>
              <w:pStyle w:val="TableParagraph"/>
              <w:spacing w:line="222" w:lineRule="exact"/>
              <w:ind w:left="83" w:right="19"/>
              <w:rPr>
                <w:rFonts w:ascii="Calibri"/>
                <w:b/>
                <w:sz w:val="22"/>
              </w:rPr>
            </w:pPr>
            <w:r>
              <w:rPr>
                <w:rFonts w:ascii="Calibri"/>
                <w:b/>
                <w:color w:val="DBEDF4"/>
                <w:w w:val="105"/>
                <w:sz w:val="22"/>
              </w:rPr>
              <w:t>68</w:t>
            </w:r>
          </w:p>
        </w:tc>
      </w:tr>
      <w:tr>
        <w:trPr>
          <w:trHeight w:val="368" w:hRule="exact"/>
        </w:trPr>
        <w:tc>
          <w:tcPr>
            <w:tcW w:w="495" w:type="dxa"/>
            <w:tcBorders>
              <w:top w:val="single" w:sz="4" w:space="0" w:color="858585"/>
            </w:tcBorders>
          </w:tcPr>
          <w:p>
            <w:pPr>
              <w:pStyle w:val="TableParagraph"/>
              <w:spacing w:before="104"/>
              <w:ind w:left="81" w:right="83"/>
              <w:rPr>
                <w:rFonts w:ascii="Calibri"/>
                <w:sz w:val="13"/>
              </w:rPr>
            </w:pPr>
            <w:r>
              <w:rPr>
                <w:rFonts w:ascii="Calibri"/>
                <w:w w:val="110"/>
                <w:sz w:val="13"/>
              </w:rPr>
              <w:t>2008</w:t>
            </w:r>
          </w:p>
        </w:tc>
        <w:tc>
          <w:tcPr>
            <w:tcW w:w="500" w:type="dxa"/>
            <w:tcBorders>
              <w:top w:val="single" w:sz="4" w:space="0" w:color="858585"/>
            </w:tcBorders>
          </w:tcPr>
          <w:p>
            <w:pPr>
              <w:pStyle w:val="TableParagraph"/>
              <w:spacing w:before="104"/>
              <w:ind w:left="98"/>
              <w:jc w:val="left"/>
              <w:rPr>
                <w:rFonts w:ascii="Calibri"/>
                <w:sz w:val="13"/>
              </w:rPr>
            </w:pPr>
            <w:r>
              <w:rPr>
                <w:rFonts w:ascii="Calibri"/>
                <w:w w:val="110"/>
                <w:sz w:val="13"/>
              </w:rPr>
              <w:t>2015</w:t>
            </w:r>
          </w:p>
        </w:tc>
        <w:tc>
          <w:tcPr>
            <w:tcW w:w="499" w:type="dxa"/>
            <w:tcBorders>
              <w:top w:val="single" w:sz="4" w:space="0" w:color="858585"/>
            </w:tcBorders>
          </w:tcPr>
          <w:p>
            <w:pPr>
              <w:pStyle w:val="TableParagraph"/>
              <w:spacing w:before="104"/>
              <w:ind w:left="97"/>
              <w:jc w:val="left"/>
              <w:rPr>
                <w:rFonts w:ascii="Calibri"/>
                <w:sz w:val="13"/>
              </w:rPr>
            </w:pPr>
            <w:r>
              <w:rPr>
                <w:rFonts w:ascii="Calibri"/>
                <w:w w:val="110"/>
                <w:sz w:val="13"/>
              </w:rPr>
              <w:t>2020</w:t>
            </w:r>
          </w:p>
        </w:tc>
        <w:tc>
          <w:tcPr>
            <w:tcW w:w="499" w:type="dxa"/>
            <w:tcBorders>
              <w:top w:val="single" w:sz="4" w:space="0" w:color="858585"/>
            </w:tcBorders>
          </w:tcPr>
          <w:p>
            <w:pPr>
              <w:pStyle w:val="TableParagraph"/>
              <w:spacing w:before="104"/>
              <w:ind w:left="84" w:right="84"/>
              <w:rPr>
                <w:rFonts w:ascii="Calibri"/>
                <w:sz w:val="13"/>
              </w:rPr>
            </w:pPr>
            <w:r>
              <w:rPr>
                <w:rFonts w:ascii="Calibri"/>
                <w:w w:val="110"/>
                <w:sz w:val="13"/>
              </w:rPr>
              <w:t>2025</w:t>
            </w:r>
          </w:p>
        </w:tc>
        <w:tc>
          <w:tcPr>
            <w:tcW w:w="500" w:type="dxa"/>
            <w:tcBorders>
              <w:top w:val="single" w:sz="4" w:space="0" w:color="858585"/>
            </w:tcBorders>
          </w:tcPr>
          <w:p>
            <w:pPr>
              <w:pStyle w:val="TableParagraph"/>
              <w:spacing w:before="104"/>
              <w:ind w:left="85" w:right="85"/>
              <w:rPr>
                <w:rFonts w:ascii="Calibri"/>
                <w:sz w:val="13"/>
              </w:rPr>
            </w:pPr>
            <w:r>
              <w:rPr>
                <w:rFonts w:ascii="Calibri"/>
                <w:w w:val="110"/>
                <w:sz w:val="13"/>
              </w:rPr>
              <w:t>2030</w:t>
            </w:r>
          </w:p>
        </w:tc>
        <w:tc>
          <w:tcPr>
            <w:tcW w:w="435" w:type="dxa"/>
            <w:tcBorders>
              <w:top w:val="single" w:sz="4" w:space="0" w:color="858585"/>
            </w:tcBorders>
          </w:tcPr>
          <w:p>
            <w:pPr>
              <w:pStyle w:val="TableParagraph"/>
              <w:spacing w:before="104"/>
              <w:ind w:left="83" w:right="21"/>
              <w:rPr>
                <w:rFonts w:ascii="Calibri"/>
                <w:sz w:val="13"/>
              </w:rPr>
            </w:pPr>
            <w:r>
              <w:rPr>
                <w:rFonts w:ascii="Calibri"/>
                <w:w w:val="110"/>
                <w:sz w:val="13"/>
              </w:rPr>
              <w:t>2035</w:t>
            </w:r>
          </w:p>
        </w:tc>
      </w:tr>
    </w:tbl>
    <w:p>
      <w:pPr>
        <w:spacing w:before="139"/>
        <w:ind w:left="2226" w:right="1489" w:firstLine="0"/>
        <w:jc w:val="left"/>
        <w:rPr>
          <w:sz w:val="16"/>
        </w:rPr>
      </w:pPr>
      <w:r>
        <w:rPr>
          <w:sz w:val="16"/>
        </w:rPr>
        <w:t>Fuente: Energy Information Administration EIA - U.S. (2011)</w:t>
      </w:r>
    </w:p>
    <w:p>
      <w:pPr>
        <w:pStyle w:val="BodyText"/>
        <w:spacing w:line="360" w:lineRule="auto" w:before="91"/>
        <w:ind w:left="4187" w:right="678" w:hanging="4079"/>
      </w:pPr>
      <w:bookmarkStart w:name="_bookmark32" w:id="53"/>
      <w:bookmarkEnd w:id="53"/>
      <w:r>
        <w:rPr/>
      </w:r>
      <w:r>
        <w:rPr/>
        <w:t>Figura 2. 2: Proyección del sendero de la producción de gas natural en diversas regiones del mundo</w:t>
      </w:r>
    </w:p>
    <w:p>
      <w:pPr>
        <w:pStyle w:val="BodyText"/>
        <w:spacing w:before="4"/>
        <w:ind w:left="2831" w:right="1489"/>
      </w:pPr>
      <w:r>
        <w:rPr/>
        <w:pict>
          <v:group style="position:absolute;margin-left:133.481812pt;margin-top:26.433989pt;width:351.05pt;height:279.75pt;mso-position-horizontal-relative:page;mso-position-vertical-relative:paragraph;z-index:-568672" coordorigin="2670,529" coordsize="7021,5595">
            <v:line style="position:absolute" from="3052,689" to="3052,2010" stroked="true" strokeweight=".55376pt" strokecolor="#858585"/>
            <v:line style="position:absolute" from="3008,1966" to="3052,1966" stroked="true" strokeweight=".553830pt" strokecolor="#858585"/>
            <v:line style="position:absolute" from="3008,1688" to="3052,1688" stroked="true" strokeweight=".568599pt" strokecolor="#858585"/>
            <v:shape style="position:absolute;left:3008;top:878;width:2019;height:1088" coordorigin="3008,878" coordsize="2019,1088" path="m3008,1422l3052,1422m3008,1145l3052,1145m3008,878l3052,878m3052,1966l5026,1966e" filled="false" stroked="true" strokeweight=".553830pt" strokecolor="#858585">
              <v:path arrowok="t"/>
            </v:shape>
            <v:shape style="position:absolute;left:3124;top:1988;width:1908;height:2" coordorigin="3124,1988" coordsize="1908,0" path="m3124,1988l3135,1988m3213,1988l3224,1988m3291,1988l3302,1988m3368,1988l3379,1988m3457,1988l3468,1988m3535,1988l3546,1988m3623,1988l3634,1988m3701,1988l3712,1988m3790,1988l3801,1988m3867,1988l3878,1988m3945,1988l3956,1988m4034,1988l4045,1988m4111,1988l4122,1988m4200,1988l4211,1988m4277,1988l4288,1988m4366,1988l4377,1988m4444,1988l4455,1988m4521,1988l4532,1988m4610,1988l4622,1988m4688,1988l4699,1988m4777,1988l4788,1988m4854,1988l4865,1988m4943,1988l4954,1988m5021,1988l5032,1988e" filled="false" stroked="true" strokeweight="2.215320pt" strokecolor="#858585">
              <v:path arrowok="t"/>
            </v:shape>
            <v:shape style="position:absolute;left:3067;top:927;width:1933;height:842" coordorigin="3067,927" coordsize="1933,842" path="m3083,1706l3074,1711,3070,1719,3067,1728,3071,1738,3080,1741,3142,1766,3144,1767,3147,1767,3167,1768,3169,1769,3172,1768,3174,1767,3195,1759,3196,1758,3198,1757,3198,1757,3219,1742,3228,1736,3162,1736,3165,1735,3155,1735,3154,1735,3149,1734,3153,1734,3134,1727,3113,1718,3092,1710,3083,1706xm3165,1735l3162,1736,3169,1735,3165,1735xm3182,1728l3165,1735,3169,1735,3162,1736,3228,1736,3236,1730,3180,1730,3182,1728xm3149,1734l3154,1735,3154,1734,3149,1734xm3154,1734l3154,1735,3155,1735,3154,1734xm3153,1734l3149,1734,3154,1734,3153,1734xm3183,1728l3182,1728,3180,1730,3183,1728xm3239,1728l3183,1728,3180,1730,3236,1730,3239,1728xm3903,1444l3885,1452,3867,1458,3844,1461,3821,1469,3780,1488,3738,1509,3656,1549,3533,1611,3493,1629,3453,1641,3411,1652,3370,1663,3329,1674,3332,1674,3291,1678,3268,1680,3247,1685,3246,1686,3243,1686,3242,1687,3220,1700,3201,1715,3182,1728,3183,1728,3239,1728,3241,1726,3256,1717,3254,1717,3260,1715,3263,1715,3275,1712,3334,1707,3338,1707,3379,1696,3420,1683,3461,1674,3502,1660,3546,1641,3588,1620,3670,1579,3753,1539,3795,1517,3835,1499,3853,1494,3872,1491,3894,1485,3917,1475,3918,1475,3919,1474,3921,1473,3941,1458,3954,1446,3900,1446,3903,1444xm3260,1715l3254,1717,3258,1717,3260,1715xm3258,1717l3254,1717,3256,1717,3258,1717xm3263,1715l3260,1715,3258,1717,3263,1715xm3904,1444l3903,1444,3900,1446,3904,1444xm3956,1444l3904,1444,3900,1446,3954,1446,3956,1444xm4988,927l4979,929,4896,943,4812,968,4729,997,4481,1108,4398,1149,4315,1191,4232,1237,4068,1334,4027,1352,4006,1363,3985,1375,3984,1375,3983,1375,3982,1376,3961,1393,3941,1413,3921,1431,3903,1444,3904,1444,3956,1444,3983,1418,4002,1403,4001,1403,4022,1391,4042,1382,4082,1364,4249,1266,4331,1220,4413,1179,4495,1138,4577,1100,4659,1063,4742,1029,4823,1000,4905,975,4985,961,4994,960,5000,951,4998,942,4997,933,4988,927xm4003,1402l4001,1403,4002,1403,4003,1402xe" filled="true" fillcolor="#497dba" stroked="false">
              <v:path arrowok="t"/>
              <v:fill type="solid"/>
            </v:shape>
            <v:shape style="position:absolute;left:3067;top:927;width:1933;height:842" coordorigin="3067,927" coordsize="1933,842" path="m3092,1710l3113,1718,3134,1727,3154,1735,3149,1734,3169,1735,3162,1736,3183,1728,3180,1730,3201,1715,3220,1700,3242,1687,3243,1686,3246,1686,3247,1685,3268,1680,3291,1678,3332,1674,3329,1674,3370,1663,3411,1652,3453,1641,3493,1629,3533,1611,3573,1591,3656,1549,3738,1509,3780,1488,3821,1469,3844,1461,3867,1458,3885,1452,3904,1444,3900,1446,3921,1431,3941,1413,3961,1393,3982,1376,3983,1375,3984,1375,3985,1375,4006,1363,4027,1352,4068,1334,4149,1286,4232,1237,4315,1191,4398,1149,4481,1108,4564,1070,4646,1033,4729,997,4812,968,4896,943,4979,929,4988,927,4997,933,4998,942,5000,951,4994,960,4985,961,4905,975,4823,1000,4742,1029,4659,1063,4577,1100,4495,1138,4413,1179,4331,1220,4249,1266,4167,1314,4082,1364,4042,1382,4022,1391,4001,1403,4003,1402,3983,1418,3964,1437,3941,1458,3921,1473,3919,1474,3918,1475,3917,1475,3894,1485,3872,1491,3853,1494,3835,1499,3795,1517,3753,1539,3670,1579,3588,1620,3546,1641,3502,1660,3461,1674,3420,1683,3379,1696,3338,1707,3336,1707,3336,1707,3334,1707,3294,1711,3275,1712,3254,1717,3260,1715,3241,1726,3219,1742,3198,1757,3198,1757,3196,1758,3195,1759,3174,1767,3172,1768,3169,1769,3167,1768,3147,1767,3146,1767,3144,1767,3142,1766,3121,1757,3101,1749,3080,1741,3071,1738,3067,1728,3070,1719,3074,1711,3083,1706,3092,1710xe" filled="false" stroked="true" strokeweight=".553819pt" strokecolor="#497dba">
              <v:path arrowok="t"/>
            </v:shape>
            <v:shape style="position:absolute;left:2681;top:529;width:2762;height:1798" coordorigin="2681,529" coordsize="2762,1798" path="m5440,529l2683,529,2681,531,2681,2324,2683,2326,5440,2326,5442,2324,5442,2321,2692,2321,2686,2315,2692,2315,2692,540,2686,540,2692,534,5442,534,5442,531,5440,529xm2692,2315l2686,2315,2692,2321,2692,2315xm5431,2315l2692,2315,2692,2321,5431,2321,5431,2315xm5431,534l5431,2321,5436,2315,5442,2315,5442,540,5436,540,5431,534xm5442,2315l5436,2315,5431,2321,5442,2321,5442,2315xm2692,534l2686,540,2692,540,2692,534xm5431,534l2692,534,2692,540,5431,540,5431,534xm5442,534l5431,534,5436,540,5442,540,5442,534xe" filled="true" fillcolor="#858585" stroked="false">
              <v:path arrowok="t"/>
              <v:fill type="solid"/>
            </v:shape>
            <v:line style="position:absolute" from="5814,734" to="5814,2010" stroked="true" strokeweight=".55376pt" strokecolor="#858585"/>
            <v:shape style="position:absolute;left:5769;top:1533;width:45;height:422" coordorigin="5769,1533" coordsize="45,422" path="m5769,1955l5814,1955m5769,1533l5814,1533e" filled="false" stroked="true" strokeweight=".553830pt" strokecolor="#858585">
              <v:path arrowok="t"/>
            </v:shape>
            <v:line style="position:absolute" from="5769,1100" to="5814,1100" stroked="true" strokeweight=".575983pt" strokecolor="#858585"/>
            <v:line style="position:absolute" from="5814,1955" to="7776,1955" stroked="true" strokeweight=".553830pt" strokecolor="#858585"/>
            <v:shape style="position:absolute;left:5886;top:1982;width:1897;height:2" coordorigin="5886,1982" coordsize="1897,0" path="m5886,1982l5897,1982m5963,1982l5974,1982m6052,1982l6063,1982m6130,1982l6141,1982m6218,1982l6229,1982m6296,1982l6307,1982m6374,1982l6385,1982m6462,1982l6473,1982m6540,1982l6551,1982m6628,1982l6639,1982m6706,1982l6717,1982m6784,1982l6795,1982m6872,1982l6883,1982m6950,1982l6961,1982m7028,1982l7039,1982m7116,1982l7127,1982m7194,1982l7205,1982m7283,1982l7294,1982m7360,1982l7371,1982m7438,1982l7449,1982m7527,1982l7538,1982m7604,1982l7616,1982m7693,1982l7704,1982m7771,1982l7782,1982e" filled="false" stroked="true" strokeweight="2.76915pt" strokecolor="#858585">
              <v:path arrowok="t"/>
            </v:shape>
            <v:shape style="position:absolute;left:5828;top:805;width:1923;height:1114" coordorigin="5828,805" coordsize="1923,1114" path="m7736,805l7643,834,7560,875,7477,923,7395,977,7231,1086,7149,1145,7067,1202,6986,1257,6905,1307,6823,1352,6741,1396,6660,1435,6578,1473,6496,1515,6413,1555,6250,1644,6168,1687,6084,1733,6003,1784,5921,1833,5838,1885,5830,1890,5828,1900,5833,1908,5838,1916,5848,1918,5938,1862,6020,1813,6102,1761,6183,1717,6265,1674,6429,1585,6511,1545,6592,1503,6674,1465,6756,1426,6839,1382,6921,1336,7003,1285,7086,1229,7168,1172,7250,1113,7414,1004,7496,951,7577,904,7658,864,7746,837,7751,827,7748,819,7746,809,7736,805xe" filled="true" fillcolor="#497dba" stroked="false">
              <v:path arrowok="t"/>
              <v:fill type="solid"/>
            </v:shape>
            <v:shape style="position:absolute;left:5828;top:805;width:1923;height:1114" coordorigin="5828,805" coordsize="1923,1114" path="m5838,1885l5921,1833,6003,1784,6084,1733,6168,1687,6250,1644,6331,1599,6413,1555,6496,1515,6578,1473,6660,1435,6741,1396,6823,1352,6905,1307,6986,1257,7067,1202,7149,1145,7231,1086,7313,1032,7395,977,7477,923,7560,875,7643,834,7728,807,7736,805,7746,809,7748,819,7751,827,7746,837,7736,839,7696,850,7658,864,7577,904,7496,951,7414,1004,7332,1059,7250,1113,7168,1172,7086,1229,7003,1285,6921,1336,6839,1382,6756,1426,6674,1465,6592,1503,6511,1545,6429,1585,6347,1629,6265,1674,6183,1717,6102,1761,6020,1813,5938,1862,5856,1914,5848,1918,5838,1916,5833,1908,5828,1900,5830,1890,5838,1885xe" filled="false" stroked="true" strokeweight=".553812pt" strokecolor="#497dba">
              <v:path arrowok="t"/>
            </v:shape>
            <v:shape style="position:absolute;left:5509;top:551;width:2762;height:1765" coordorigin="5509,551" coordsize="2762,1765" path="m8267,551l5511,551,5509,553,5509,2313,5511,2315,8267,2315,8270,2313,8270,2310,5520,2310,5514,2304,5520,2304,5520,562,5514,562,5520,556,8270,556,8270,553,8267,551xm5520,2304l5514,2304,5520,2310,5520,2304xm8259,2304l5520,2304,5520,2310,8259,2310,8259,2304xm8259,556l8259,2310,8264,2304,8270,2304,8270,562,8264,562,8259,556xm8270,2304l8264,2304,8259,2310,8270,2310,8270,2304xm5520,556l5514,562,5520,562,5520,556xm8259,556l5520,556,5520,562,8259,562,8259,556xm8270,556l8259,556,8264,562,8270,562,8270,556xe" filled="true" fillcolor="#858585" stroked="false">
              <v:path arrowok="t"/>
              <v:fill type="solid"/>
            </v:shape>
            <v:line style="position:absolute" from="5858,2543" to="5858,3852" stroked="true" strokeweight=".55376pt" strokecolor="#858585"/>
            <v:shape style="position:absolute;left:5814;top:2543;width:2041;height:1265" coordorigin="5814,2543" coordsize="2041,1265" path="m5814,3808l5858,3808m5814,3553l5858,3553m5814,3297l5858,3297m5814,3053l5858,3053m5814,2798l5858,2798m5814,2543l5858,2543m5858,3808l7854,3808e" filled="false" stroked="true" strokeweight=".553830pt" strokecolor="#858585">
              <v:path arrowok="t"/>
            </v:shape>
            <v:shape style="position:absolute;left:5930;top:3830;width:1930;height:2" coordorigin="5930,3830" coordsize="1930,0" path="m5930,3830l5941,3830m6018,3830l6030,3830m6096,3830l6107,3830m6185,3830l6196,3830m6262,3830l6274,3830m6351,3830l6363,3830m6429,3830l6440,3830m6518,3830l6529,3830m6595,3830l6606,3830m6684,3830l6695,3830m6762,3830l6773,3830m6850,3830l6861,3830m6928,3830l6939,3830m7017,3830l7028,3830m7094,3830l7105,3830m7183,3830l7194,3830m7272,3830l7283,3830m7349,3830l7360,3830m7438,3830l7449,3830m7515,3830l7527,3830m7604,3830l7616,3830m7682,3830l7693,3830m7771,3830l7782,3830m7848,3830l7859,3830e" filled="false" stroked="true" strokeweight="2.230089pt" strokecolor="#858585">
              <v:path arrowok="t"/>
            </v:shape>
            <v:shape style="position:absolute;left:5873;top:2681;width:1955;height:1069" coordorigin="5873,2681" coordsize="1955,1069" path="m7817,2681l7807,2682,7723,2693,7640,2711,7555,2733,7388,2784,7303,2813,7221,2842,7137,2876,6969,2950,6802,3028,6718,3069,6635,3112,6549,3160,6465,3217,6383,3276,6299,3335,6217,3395,6175,3421,6153,3435,6130,3452,6088,3495,6046,3542,6005,3584,5963,3626,5873,3726,5874,3736,5880,3743,5887,3749,5897,3748,5904,3742,5987,3649,6029,3607,6070,3564,6112,3517,6154,3476,6173,3462,6193,3449,6234,3424,6319,3362,6402,3304,6485,3244,6568,3187,6651,3141,6734,3098,6816,3058,6983,2980,7149,2905,7232,2874,7315,2844,7398,2815,7565,2764,7647,2743,7730,2725,7811,2715,7821,2714,7827,2706,7826,2696,7826,2687,7817,2681xe" filled="true" fillcolor="#497dba" stroked="false">
              <v:path arrowok="t"/>
              <v:fill type="solid"/>
            </v:shape>
            <v:shape style="position:absolute;left:5873;top:2681;width:1955;height:1069" coordorigin="5873,2681" coordsize="1955,1069" path="m5879,3719l5963,3626,6005,3584,6046,3542,6088,3495,6130,3452,6217,3395,6299,3335,6383,3276,6465,3217,6549,3160,6635,3112,6718,3069,6802,3028,6886,2989,6969,2950,7052,2913,7137,2876,7221,2842,7303,2813,7388,2784,7471,2758,7555,2733,7640,2711,7723,2693,7807,2682,7817,2681,7826,2687,7826,2696,7827,2706,7821,2714,7811,2715,7730,2725,7647,2743,7565,2764,7481,2790,7398,2815,7315,2844,7232,2874,7149,2905,7066,2943,6983,2980,6900,3019,6816,3058,6734,3098,6651,3141,6568,3187,6485,3244,6402,3304,6319,3362,6234,3424,6193,3449,6173,3462,6154,3476,6112,3517,6070,3564,6029,3607,5987,3649,5904,3742,5897,3748,5887,3749,5880,3743,5874,3736,5873,3726,5879,3719xe" filled="false" stroked="true" strokeweight=".553814pt" strokecolor="#497dba">
              <v:path arrowok="t"/>
            </v:shape>
            <v:shape style="position:absolute;left:5486;top:2382;width:2795;height:1787" coordorigin="5486,2382" coordsize="2795,1787" path="m8279,2382l5489,2382,5486,2385,5486,4167,5489,4168,8279,4168,8281,4167,8281,4163,5498,4163,5492,4157,5498,4157,5498,2393,5492,2393,5498,2387,8281,2387,8281,2385,8279,2382xm5498,4157l5492,4157,5498,4163,5498,4157xm8270,4157l5498,4157,5498,4163,8270,4163,8270,4157xm8270,2387l8270,4163,8275,4157,8281,4157,8281,2393,8275,2393,8270,2387xm8281,4157l8275,4157,8270,4163,8281,4163,8281,4157xm5498,2387l5492,2393,5498,2393,5498,2387xm8270,2387l5498,2387,5498,2393,8270,2393,8270,2387xm8281,2387l8270,2387,8275,2393,8281,2393,8281,2387xe" filled="true" fillcolor="#858585" stroked="false">
              <v:path arrowok="t"/>
              <v:fill type="solid"/>
            </v:shape>
            <v:line style="position:absolute" from="4538,4407" to="4538,5761" stroked="true" strokeweight=".55376pt" strokecolor="#858585"/>
            <v:shape style="position:absolute;left:4494;top:4407;width:2041;height:1299" coordorigin="4494,4407" coordsize="2041,1299" path="m4494,5706l4538,5706m4494,5528l4538,5528m4494,5339l4538,5339m4494,5151l4538,5151m4494,4962l4538,4962m4494,4773l4538,4773m4494,4596l4538,4596m4494,4407l4538,4407m4538,5706l6534,5706e" filled="false" stroked="true" strokeweight=".553830pt" strokecolor="#858585">
              <v:path arrowok="t"/>
            </v:shape>
            <v:shape style="position:absolute;left:4610;top:5733;width:1930;height:2" coordorigin="4610,5733" coordsize="1930,0" path="m4610,5733l4622,5733m4699,5733l4710,5733m4777,5733l4788,5733m4865,5733l4876,5733m4943,5733l4954,5733m5032,5733l5043,5733m5109,5733l5120,5733m5198,5733l5209,5733m5276,5733l5287,5733m5364,5733l5375,5733m5442,5733l5453,5733m5531,5733l5542,5733m5608,5733l5619,5733m5697,5733l5708,5733m5775,5733l5786,5733m5863,5733l5875,5733m5941,5733l5952,5733m6030,5733l6041,5733m6107,5733l6118,5733m6196,5733l6207,5733m6274,5733l6285,5733m6363,5733l6374,5733m6440,5733l6451,5733m6529,5733l6540,5733e" filled="false" stroked="true" strokeweight="2.787611pt" strokecolor="#858585">
              <v:path arrowok="t"/>
            </v:shape>
            <v:shape style="position:absolute;left:4554;top:4510;width:1956;height:982" coordorigin="4554,4510" coordsize="1956,982" path="m4729,5321l4709,5334,4689,5347,4667,5360,4645,5375,4645,5375,4644,5376,4602,5418,4560,5462,4554,5468,4554,5478,4560,5485,4566,5491,4577,5491,4584,5484,4626,5441,4667,5401,4667,5401,4687,5387,4727,5363,4748,5349,4749,5349,4750,5347,4771,5328,4776,5323,4727,5323,4729,5321xm4667,5401l4667,5401,4666,5402,4667,5401xm4902,5234l4885,5236,4843,5236,4842,5236,4839,5236,4818,5242,4816,5243,4815,5244,4813,5245,4792,5260,4791,5260,4791,5260,4789,5261,4768,5282,4748,5304,4727,5323,4776,5323,4792,5305,4811,5287,4811,5287,4813,5285,4814,5285,4829,5274,4827,5274,4832,5272,4834,5272,4845,5269,4844,5269,4848,5268,4892,5268,4908,5267,4910,5267,4911,5266,4953,5252,4988,5236,4885,5236,4864,5235,4901,5235,4902,5234xm4813,5285l4811,5287,4811,5287,4813,5285xm4811,5287l4811,5287,4811,5287,4811,5287xm4814,5285l4813,5285,4811,5287,4814,5285xm4832,5272l4827,5274,4830,5273,4832,5272xm4830,5273l4827,5274,4829,5274,4830,5273xm4834,5272l4832,5272,4830,5273,4834,5272xm4848,5268l4844,5269,4846,5269,4848,5268xm4846,5269l4844,5269,4845,5269,4846,5269xm4892,5268l4865,5268,4885,5269,4892,5268xm4865,5268l4848,5268,4846,5269,4865,5268xm4904,5234l4902,5234,4901,5235,4904,5234xm4991,5234l4904,5234,4901,5235,4990,5235,4991,5234xm5319,5036l5277,5045,5235,5056,5234,5056,5233,5056,5232,5057,5190,5077,5148,5101,5105,5127,5064,5154,5023,5179,4982,5202,4942,5221,4902,5234,4904,5234,4991,5234,4996,5232,5039,5207,5082,5182,5165,5129,5206,5106,5244,5088,5243,5088,5246,5087,5248,5087,5285,5078,5326,5069,5328,5069,5328,5068,5329,5068,5410,5037,5317,5037,5319,5036xm5246,5087l5243,5088,5245,5088,5246,5087xm5245,5088l5243,5088,5244,5088,5245,5088xm5248,5087l5246,5087,5245,5088,5248,5087xm5319,5036l5319,5036,5317,5037,5319,5036xm5412,5036l5319,5036,5317,5037,5410,5037,5412,5036xm5573,4974l5489,4977,5488,4977,5485,4977,5442,4990,5400,5005,5319,5036,5319,5036,5412,5036,5454,5021,5494,5010,5490,5010,5574,5007,5577,5007,5619,4997,5661,4984,5701,4977,5710,4975,5570,4975,5573,4974xm5573,4974l5573,4974,5570,4975,5573,4974xm5713,4974l5573,4974,5570,4975,5710,4975,5713,4974xm5815,4934l5736,4934,5733,4934,5733,4934,5695,4944,5652,4952,5611,4965,5573,4974,5573,4974,5713,4974,5743,4966,5745,4966,5746,4966,5788,4948,5815,4934xm5733,4934l5733,4934,5733,4934,5733,4934xm5736,4934l5733,4934,5733,4934,5736,4934xm6487,4510l6480,4516,6439,4548,6399,4576,6318,4621,6148,4695,6107,4719,5982,4796,5939,4819,5898,4843,5856,4870,5815,4895,5775,4916,5733,4934,5736,4934,5815,4934,5831,4925,5874,4898,5915,4872,5957,4847,5998,4824,6124,4748,6165,4723,6205,4705,6247,4689,6330,4651,6415,4605,6458,4575,6500,4543,6508,4537,6509,4527,6504,4520,6498,4512,6487,4510xe" filled="true" fillcolor="#497dba" stroked="false">
              <v:path arrowok="t"/>
              <v:fill type="solid"/>
            </v:shape>
            <v:shape style="position:absolute;left:4554;top:4510;width:1956;height:982" coordorigin="4554,4510" coordsize="1956,982" path="m4560,5462l4602,5418,4644,5376,4645,5375,4645,5375,4667,5360,4689,5347,4709,5334,4729,5321,4727,5323,4748,5304,4768,5282,4789,5261,4791,5260,4791,5260,4792,5260,4813,5245,4815,5244,4816,5243,4818,5242,4839,5236,4840,5236,4842,5236,4843,5236,4864,5235,4885,5236,4904,5234,4901,5235,4942,5221,4982,5202,5023,5179,5064,5154,5105,5127,5148,5101,5190,5077,5232,5057,5233,5056,5234,5056,5235,5056,5277,5045,5359,5021,5442,4990,5485,4977,5486,4977,5488,4977,5489,4977,5531,4975,5573,4974,5570,4975,5611,4965,5652,4952,5695,4944,5736,4934,5733,4934,5775,4916,5815,4895,5856,4870,5898,4843,5939,4819,5982,4796,6065,4745,6107,4719,6148,4695,6192,4676,6233,4658,6318,4621,6399,4576,6439,4548,6480,4516,6487,4510,6498,4512,6504,4520,6509,4527,6508,4537,6458,4575,6330,4651,6247,4689,6205,4705,6165,4723,6124,4748,6082,4773,5998,4824,5957,4847,5915,4872,5874,4898,5831,4925,5788,4948,5746,4966,5746,4966,5745,4966,5743,4966,5701,4977,5661,4984,5619,4997,5577,5007,5576,5007,5575,5007,5574,5007,5532,5008,5490,5010,5494,5010,5454,5021,5412,5036,5371,5052,5329,5068,5328,5068,5328,5069,5326,5069,5285,5078,5243,5088,5246,5087,5206,5106,5165,5129,5124,5155,5082,5182,5039,5207,4996,5232,4953,5252,4911,5266,4910,5267,4909,5267,4908,5267,4885,5269,4865,5268,4844,5269,4848,5268,4792,5305,4771,5328,4750,5347,4750,5348,4749,5349,4748,5349,4727,5363,4705,5375,4687,5387,4666,5402,4667,5401,4626,5441,4584,5484,4577,5491,4566,5491,4560,5485,4554,5478,4554,5468,4560,5462xe" filled="false" stroked="true" strokeweight=".553816pt" strokecolor="#497dba">
              <v:path arrowok="t"/>
            </v:shape>
            <v:shape style="position:absolute;left:4167;top:4235;width:2795;height:1842" coordorigin="4167,4235" coordsize="2795,1842" path="m6959,4235l4170,4235,4167,4238,4167,6076,4170,6077,6959,6077,6961,6076,6961,6072,4178,6072,4172,6066,4178,6066,4178,4246,4172,4246,4178,4241,6961,4241,6961,4238,6959,4235xm4178,6066l4172,6066,4178,6072,4178,6066xm6950,6066l4178,6066,4178,6072,6950,6072,6950,6066xm6950,4241l6950,6072,6956,6066,6961,6066,6961,4246,6956,4246,6950,4241xm6961,6066l6956,6066,6950,6072,6961,6072,6961,6066xm4178,4241l4172,4246,4178,4246,4178,4241xm6950,4241l4178,4241,4178,4246,6950,4246,6950,4241xm6961,4241l6950,4241,6956,4246,6961,4246,6961,4241xe" filled="true" fillcolor="#858585" stroked="false">
              <v:path arrowok="t"/>
              <v:fill type="solid"/>
            </v:shape>
            <v:shape style="position:absolute;left:2380;top:6659;width:3785;height:2495" coordorigin="2380,6659" coordsize="3785,2495" path="m4167,4241l4167,4238,4170,4235,4172,4235,6956,4235,6959,4235,6961,4238,6961,4241,6961,6072,6961,6076,6959,6077,6956,6077,4172,6077,4170,6077,4167,6076,4167,6072,4167,4241xm4178,6072l4172,6066,6956,6066,6950,6072,6950,4241,6956,4246,4172,4246,4178,4241,4178,6072xe" filled="false" stroked="true" strokeweight=".103375pt" strokecolor="#858585">
              <v:path arrowok="t"/>
            </v:shape>
            <v:line style="position:absolute" from="3041,2510" to="3041,3808" stroked="true" strokeweight=".55376pt" strokecolor="#858585"/>
            <v:shape style="position:absolute;left:2997;top:2510;width:2041;height:1254" coordorigin="2997,2510" coordsize="2041,1254" path="m2997,3763l3041,3763m2997,3342l3041,3342m2997,2931l3041,2931m2997,2510l3041,2510m3041,3763l5037,3763e" filled="false" stroked="true" strokeweight=".553830pt" strokecolor="#858585">
              <v:path arrowok="t"/>
            </v:shape>
            <v:shape style="position:absolute;left:3113;top:3786;width:1930;height:2" coordorigin="3113,3786" coordsize="1930,0" path="m3113,3786l3124,3786m3202,3786l3213,3786m3280,3786l3291,3786m3368,3786l3379,3786m3446,3786l3457,3786m3535,3786l3546,3786m3612,3786l3623,3786m3701,3786l3712,3786m3779,3786l3790,3786m3867,3786l3878,3786m3945,3786l3956,3786m4034,3786l4045,3786m4111,3786l4122,3786m4200,3786l4211,3786m4277,3786l4288,3786m4366,3786l4377,3786m4444,3786l4455,3786m4532,3786l4544,3786m4610,3786l4622,3786m4699,3786l4710,3786m4777,3786l4788,3786m4865,3786l4876,3786m4943,3786l4954,3786m5032,3786l5043,3786e" filled="false" stroked="true" strokeweight="2.215320pt" strokecolor="#858585">
              <v:path arrowok="t"/>
            </v:shape>
            <v:shape style="position:absolute;left:3067;top:2591;width:1945;height:970" coordorigin="3067,2591" coordsize="1945,970" path="m3825,3107l3786,3121,3745,3136,3743,3136,3742,3137,3742,3137,3700,3160,3660,3183,3618,3200,3576,3219,3535,3241,3494,3264,3452,3283,3409,3303,3367,3327,3325,3355,3243,3417,3160,3474,3076,3528,3069,3533,3067,3543,3072,3551,3077,3559,3087,3561,3095,3556,3178,3502,3261,3444,3304,3413,3344,3382,3385,3356,3426,3332,3467,3313,3508,3294,3550,3271,3591,3248,3632,3231,3673,3214,3717,3189,3758,3166,3759,3166,3838,3138,3839,3138,3840,3137,3840,3137,3882,3115,3895,3107,3824,3107,3825,3107xm3759,3166l3758,3166,3755,3167,3759,3166xm3826,3107l3825,3107,3824,3107,3826,3107xm3897,3107l3826,3107,3824,3107,3895,3107,3897,3107xm4489,2810l4407,2835,4365,2854,4324,2871,4239,2903,4155,2946,4114,2971,4074,2994,3993,3031,3951,3046,3907,3062,3866,3085,3825,3107,3826,3107,3897,3107,3923,3092,3963,3077,4004,3062,4088,3024,4173,2975,4254,2933,4336,2903,4378,2883,4420,2865,4459,2854,4501,2840,4503,2840,4503,2840,4544,2819,4563,2810,4489,2810,4489,2810xm4491,2809l4489,2810,4489,2810,4491,2809xm4564,2809l4491,2809,4489,2810,4563,2810,4564,2809xm4998,2591l4989,2593,4948,2604,4906,2616,4905,2617,4904,2617,4904,2618,4861,2638,4822,2660,4738,2693,4656,2734,4614,2751,4571,2768,4530,2790,4489,2810,4491,2809,4564,2809,4586,2798,4626,2782,4668,2765,4711,2744,4752,2723,4833,2691,4877,2668,4917,2648,4915,2648,4957,2636,4997,2626,5006,2623,5012,2614,5009,2606,5007,2597,4998,2591xm4918,2648l4915,2648,4917,2648,4918,2648xe" filled="true" fillcolor="#497dba" stroked="false">
              <v:path arrowok="t"/>
              <v:fill type="solid"/>
            </v:shape>
            <v:shape style="position:absolute;left:3067;top:2591;width:1945;height:970" coordorigin="3067,2591" coordsize="1945,970" path="m3076,3528l3160,3474,3243,3417,3284,3386,3325,3355,3367,3327,3409,3303,3452,3283,3494,3264,3535,3241,3576,3219,3618,3200,3660,3183,3700,3160,3742,3137,3742,3137,3743,3136,3745,3136,3786,3121,3826,3107,3824,3107,3866,3085,3907,3062,3951,3046,3993,3031,4074,2994,4114,2971,4155,2946,4239,2903,4282,2887,4324,2871,4365,2854,4407,2835,4450,2822,4491,2809,4489,2810,4530,2790,4571,2768,4614,2751,4656,2734,4696,2714,4738,2693,4780,2677,4822,2660,4861,2638,4904,2618,4904,2617,4905,2617,4906,2616,4948,2604,4989,2593,4998,2591,5007,2597,5009,2606,5012,2614,5006,2623,4997,2626,4957,2636,4915,2648,4918,2648,4877,2668,4833,2691,4792,2708,4752,2723,4711,2744,4668,2765,4626,2782,4586,2798,4544,2819,4503,2840,4503,2840,4502,2840,4501,2840,4459,2854,4420,2865,4378,2883,4336,2903,4294,2918,4254,2933,4173,2975,4131,2999,4088,3024,4004,3062,3963,3077,3923,3092,3882,3115,3840,3137,3840,3137,3839,3138,3838,3138,3797,3152,3755,3167,3758,3166,3717,3189,3673,3214,3632,3231,3591,3248,3550,3271,3508,3294,3426,3332,3344,3382,3304,3413,3261,3444,3178,3502,3095,3556,3087,3561,3077,3559,3072,3551,3067,3543,3069,3533,3076,3528xe" filled="false" stroked="true" strokeweight=".553816pt" strokecolor="#497dba">
              <v:path arrowok="t"/>
            </v:shape>
            <v:shape style="position:absolute;left:2670;top:2360;width:2784;height:1765" coordorigin="2670,2360" coordsize="2784,1765" path="m5451,2360l2672,2360,2670,2363,2670,4122,2672,4124,5451,4124,5453,4122,5453,4119,2681,4119,2675,4113,2681,4113,2681,2371,2675,2371,2681,2365,5453,2365,5453,2363,5451,2360xm2681,4113l2675,4113,2681,4119,2681,4113xm5442,4113l2681,4113,2681,4119,5442,4119,5442,4113xm5442,2365l5442,4119,5447,4113,5453,4113,5453,2371,5447,2371,5442,2365xm5453,4113l5447,4113,5442,4119,5453,4119,5453,4113xm2681,2365l2675,2371,2681,2371,2681,2365xm5442,2365l2681,2365,2681,2371,5442,2371,5442,2365xm5453,2365l5442,2365,5447,2371,5453,2371,5453,2365xe" filled="true" fillcolor="#858585" stroked="false">
              <v:path arrowok="t"/>
              <v:fill type="solid"/>
            </v:shape>
            <v:line style="position:absolute" from="7532,4430" to="7532,5795" stroked="true" strokeweight=".55376pt" strokecolor="#858585"/>
            <v:line style="position:absolute" from="7488,5739" to="7532,5739" stroked="true" strokeweight=".553830pt" strokecolor="#858585"/>
            <v:line style="position:absolute" from="7488,5561" to="7532,5561" stroked="true" strokeweight=".572291pt" strokecolor="#858585"/>
            <v:shape style="position:absolute;left:7488;top:4429;width:1952;height:1310" coordorigin="7488,4429" coordsize="1952,1310" path="m7488,5373l7532,5373m7488,5184l7532,5184m7488,4996l7532,4996m7488,4807l7532,4807m7488,4618l7532,4618m7488,4429l7532,4429m7532,5739l9440,5739e" filled="false" stroked="true" strokeweight=".553830pt" strokecolor="#858585">
              <v:path arrowok="t"/>
            </v:shape>
            <v:shape style="position:absolute;left:7604;top:5767;width:1841;height:2" coordorigin="7604,5767" coordsize="1841,0" path="m7604,5767l7616,5767m7682,5767l7693,5767m7760,5767l7771,5767m7848,5767l7859,5767m7926,5767l7937,5767m8003,5767l8015,5767m8081,5767l8092,5767m8159,5767l8170,5767m8236,5767l8248,5767m8325,5767l8336,5767m8403,5767l8414,5767m8480,5767l8491,5767m8558,5767l8569,5767m8635,5767l8647,5767m8713,5767l8725,5767m8791,5767l8802,5767m8880,5767l8891,5767m8957,5767l8968,5767m9035,5767l9046,5767m9112,5767l9124,5767m9190,5767l9201,5767m9268,5767l9279,5767m9357,5767l9368,5767m9434,5767l9445,5767e" filled="false" stroked="true" strokeweight="2.787611pt" strokecolor="#858585">
              <v:path arrowok="t"/>
            </v:shape>
            <v:shape style="position:absolute;left:7548;top:4430;width:1866;height:818" coordorigin="7548,4430" coordsize="1866,818" path="m9414,4430l9365,4430,9308,4468,9149,4568,8831,4759,8751,4805,8672,4849,8594,4893,8435,4962,8198,5062,7840,5162,7803,5173,7563,5213,7554,5214,7548,5222,7549,5231,7551,5240,7559,5247,7807,5206,8207,5094,8448,4993,8607,4922,8688,4878,8847,4787,8928,4740,9166,4596,9325,4496,9405,4444,9413,4438,9414,4430xe" filled="true" fillcolor="#497dba" stroked="false">
              <v:path arrowok="t"/>
              <v:fill type="solid"/>
            </v:shape>
            <v:shape style="position:absolute;left:7548;top:4430;width:1866;height:818" coordorigin="7548,4430" coordsize="1866,818" path="m7563,5213l7643,5199,7723,5186,7803,5173,7840,5162,7880,5151,7959,5129,8039,5107,8119,5085,8198,5062,8276,5030,8355,4996,8435,4962,8514,4927,8594,4893,8672,4849,8751,4805,8831,4759,8910,4712,8990,4663,9069,4616,9149,4568,9228,4518,9308,4468,9365,4430,9414,4430,9413,4438,9405,4444,9325,4496,9245,4547,9166,4596,9086,4644,9007,4692,8928,4740,8847,4787,8767,4833,8688,4878,8607,4922,8527,4958,8448,4993,8368,5027,8289,5061,8207,5094,8127,5117,8048,5140,7968,5162,7889,5184,7849,5195,7807,5206,7728,5219,7648,5232,7568,5245,7559,5247,7551,5240,7549,5231,7548,5222,7554,5214,7563,5213e" filled="false" stroked="true" strokeweight=".553819pt" strokecolor="#497dba">
              <v:path arrowok="t"/>
            </v:shape>
            <v:shape style="position:absolute;left:7028;top:4258;width:2662;height:1865" coordorigin="7028,4258" coordsize="2662,1865" path="m9687,4258l7030,4258,7028,4260,7028,6120,7030,6122,9687,6122,9689,6120,9689,6116,7039,6116,7033,6111,7039,6111,7039,4269,7033,4269,7039,4263,9689,4263,9689,4260,9687,4258xm7039,6111l7033,6111,7039,6116,7039,6111xm9678,6111l7039,6111,7039,6116,9678,6116,9678,6111xm9678,4263l9678,6116,9684,6111,9689,6111,9689,4269,9684,4269,9678,4263xm9689,6111l9684,6111,9678,6116,9689,6116,9689,6111xm7039,4263l7033,4269,7039,4269,7039,4263xm9678,4263l7039,4263,7039,4269,9678,4269,9678,4263xm9689,4263l9678,4263,9684,4269,9689,4269,9689,4263xe" filled="true" fillcolor="#858585" stroked="false">
              <v:path arrowok="t"/>
              <v:fill type="solid"/>
            </v:shape>
            <v:shape style="position:absolute;left:6255;top:6689;width:3605;height:2525" coordorigin="6255,6689" coordsize="3605,2525" path="m7028,4263l7028,4260,7030,4258,7033,4258,9684,4258,9687,4258,9689,4260,9689,4263,9689,6116,9689,6120,9687,6122,9684,6122,7033,6122,7030,6122,7028,6120,7028,6116,7028,4263xm7039,6116l7033,6111,9684,6111,9678,6116,9678,4263,9684,4269,7033,4269,7039,4263,7039,6116xe" filled="false" stroked="true" strokeweight=".103375pt" strokecolor="#858585">
              <v:path arrowok="t"/>
            </v:shape>
            <v:shape style="position:absolute;left:4195;top:4347;width:233;height:1437" type="#_x0000_t202" filled="false" stroked="false">
              <v:textbox inset="0,0,0,0">
                <w:txbxContent>
                  <w:p>
                    <w:pPr>
                      <w:spacing w:line="135" w:lineRule="exact" w:before="0"/>
                      <w:ind w:left="0" w:right="-15" w:firstLine="0"/>
                      <w:jc w:val="left"/>
                      <w:rPr>
                        <w:sz w:val="13"/>
                      </w:rPr>
                    </w:pPr>
                    <w:r>
                      <w:rPr>
                        <w:sz w:val="13"/>
                      </w:rPr>
                      <w:t>27.0</w:t>
                    </w:r>
                  </w:p>
                  <w:p>
                    <w:pPr>
                      <w:spacing w:before="36"/>
                      <w:ind w:left="0" w:right="-15" w:firstLine="0"/>
                      <w:jc w:val="left"/>
                      <w:rPr>
                        <w:sz w:val="13"/>
                      </w:rPr>
                    </w:pPr>
                    <w:r>
                      <w:rPr>
                        <w:sz w:val="13"/>
                      </w:rPr>
                      <w:t>26.0</w:t>
                    </w:r>
                  </w:p>
                  <w:p>
                    <w:pPr>
                      <w:spacing w:before="36"/>
                      <w:ind w:left="0" w:right="-15" w:firstLine="0"/>
                      <w:jc w:val="left"/>
                      <w:rPr>
                        <w:sz w:val="13"/>
                      </w:rPr>
                    </w:pPr>
                    <w:r>
                      <w:rPr>
                        <w:sz w:val="13"/>
                      </w:rPr>
                      <w:t>25.0</w:t>
                    </w:r>
                  </w:p>
                  <w:p>
                    <w:pPr>
                      <w:spacing w:before="36"/>
                      <w:ind w:left="0" w:right="-15" w:firstLine="0"/>
                      <w:jc w:val="left"/>
                      <w:rPr>
                        <w:sz w:val="13"/>
                      </w:rPr>
                    </w:pPr>
                    <w:r>
                      <w:rPr>
                        <w:sz w:val="13"/>
                      </w:rPr>
                      <w:t>24.0</w:t>
                    </w:r>
                  </w:p>
                  <w:p>
                    <w:pPr>
                      <w:spacing w:before="36"/>
                      <w:ind w:left="0" w:right="-15" w:firstLine="0"/>
                      <w:jc w:val="left"/>
                      <w:rPr>
                        <w:sz w:val="13"/>
                      </w:rPr>
                    </w:pPr>
                    <w:r>
                      <w:rPr>
                        <w:sz w:val="13"/>
                      </w:rPr>
                      <w:t>23.0</w:t>
                    </w:r>
                  </w:p>
                  <w:p>
                    <w:pPr>
                      <w:spacing w:before="37"/>
                      <w:ind w:left="0" w:right="-15" w:firstLine="0"/>
                      <w:jc w:val="left"/>
                      <w:rPr>
                        <w:sz w:val="13"/>
                      </w:rPr>
                    </w:pPr>
                    <w:r>
                      <w:rPr>
                        <w:sz w:val="13"/>
                      </w:rPr>
                      <w:t>22.0</w:t>
                    </w:r>
                  </w:p>
                  <w:p>
                    <w:pPr>
                      <w:spacing w:before="36"/>
                      <w:ind w:left="0" w:right="-15" w:firstLine="0"/>
                      <w:jc w:val="left"/>
                      <w:rPr>
                        <w:sz w:val="13"/>
                      </w:rPr>
                    </w:pPr>
                    <w:r>
                      <w:rPr>
                        <w:sz w:val="13"/>
                      </w:rPr>
                      <w:t>21.0</w:t>
                    </w:r>
                  </w:p>
                  <w:p>
                    <w:pPr>
                      <w:spacing w:line="147" w:lineRule="exact" w:before="36"/>
                      <w:ind w:left="0" w:right="-15" w:firstLine="0"/>
                      <w:jc w:val="left"/>
                      <w:rPr>
                        <w:sz w:val="13"/>
                      </w:rPr>
                    </w:pPr>
                    <w:r>
                      <w:rPr>
                        <w:sz w:val="13"/>
                      </w:rPr>
                      <w:t>20.0</w:t>
                    </w:r>
                  </w:p>
                </w:txbxContent>
              </v:textbox>
              <w10:wrap type="none"/>
            </v:shape>
            <v:shape style="position:absolute;left:4937;top:5330;width:1744;height:378" type="#_x0000_t202" filled="false" stroked="false">
              <v:textbox inset="0,0,0,0">
                <w:txbxContent>
                  <w:p>
                    <w:pPr>
                      <w:spacing w:line="180" w:lineRule="exact" w:before="0"/>
                      <w:ind w:left="0" w:right="-14" w:firstLine="0"/>
                      <w:jc w:val="left"/>
                      <w:rPr>
                        <w:sz w:val="17"/>
                      </w:rPr>
                    </w:pPr>
                    <w:r>
                      <w:rPr>
                        <w:color w:val="FF0000"/>
                        <w:w w:val="105"/>
                        <w:sz w:val="17"/>
                      </w:rPr>
                      <w:t>Estados Unidos =</w:t>
                    </w:r>
                    <w:r>
                      <w:rPr>
                        <w:color w:val="FF0000"/>
                        <w:spacing w:val="-29"/>
                        <w:w w:val="105"/>
                        <w:sz w:val="17"/>
                      </w:rPr>
                      <w:t> </w:t>
                    </w:r>
                    <w:r>
                      <w:rPr>
                        <w:color w:val="FF0000"/>
                        <w:w w:val="105"/>
                        <w:sz w:val="17"/>
                      </w:rPr>
                      <w:t>0,94%</w:t>
                    </w:r>
                  </w:p>
                  <w:p>
                    <w:pPr>
                      <w:spacing w:line="193" w:lineRule="exact" w:before="4"/>
                      <w:ind w:left="0" w:right="-14" w:firstLine="0"/>
                      <w:jc w:val="left"/>
                      <w:rPr>
                        <w:sz w:val="17"/>
                      </w:rPr>
                    </w:pPr>
                    <w:r>
                      <w:rPr>
                        <w:color w:val="FF0000"/>
                        <w:w w:val="105"/>
                        <w:sz w:val="17"/>
                      </w:rPr>
                      <w:t>crec. anual</w:t>
                    </w:r>
                  </w:p>
                </w:txbxContent>
              </v:textbox>
              <w10:wrap type="none"/>
            </v:shape>
            <v:shape style="position:absolute;left:4419;top:5845;width:1976;height:144" type="#_x0000_t202" filled="false" stroked="false">
              <v:textbox inset="0,0,0,0">
                <w:txbxContent>
                  <w:p>
                    <w:pPr>
                      <w:spacing w:line="144" w:lineRule="exact" w:before="0"/>
                      <w:ind w:left="0" w:right="0" w:firstLine="0"/>
                      <w:jc w:val="left"/>
                      <w:rPr>
                        <w:rFonts w:ascii="Calibri"/>
                        <w:b/>
                        <w:sz w:val="14"/>
                      </w:rPr>
                    </w:pPr>
                    <w:r>
                      <w:rPr>
                        <w:rFonts w:ascii="Calibri"/>
                        <w:b/>
                        <w:w w:val="105"/>
                        <w:sz w:val="14"/>
                      </w:rPr>
                      <w:t>2012   2017   2022   2027  2032</w:t>
                    </w:r>
                  </w:p>
                </w:txbxContent>
              </v:textbox>
              <w10:wrap type="none"/>
            </v:shape>
            <v:shape style="position:absolute;left:7082;top:4370;width:301;height:1449" type="#_x0000_t202" filled="false" stroked="false">
              <v:textbox inset="0,0,0,0">
                <w:txbxContent>
                  <w:p>
                    <w:pPr>
                      <w:spacing w:line="135" w:lineRule="exact" w:before="0"/>
                      <w:ind w:left="0" w:right="-12" w:firstLine="0"/>
                      <w:jc w:val="left"/>
                      <w:rPr>
                        <w:sz w:val="13"/>
                      </w:rPr>
                    </w:pPr>
                    <w:r>
                      <w:rPr>
                        <w:sz w:val="13"/>
                      </w:rPr>
                      <w:t>12.00</w:t>
                    </w:r>
                  </w:p>
                  <w:p>
                    <w:pPr>
                      <w:spacing w:before="38"/>
                      <w:ind w:left="0" w:right="-12" w:firstLine="0"/>
                      <w:jc w:val="left"/>
                      <w:rPr>
                        <w:sz w:val="13"/>
                      </w:rPr>
                    </w:pPr>
                    <w:r>
                      <w:rPr>
                        <w:sz w:val="13"/>
                      </w:rPr>
                      <w:t>11.00</w:t>
                    </w:r>
                  </w:p>
                  <w:p>
                    <w:pPr>
                      <w:spacing w:before="38"/>
                      <w:ind w:left="0" w:right="-12" w:firstLine="0"/>
                      <w:jc w:val="left"/>
                      <w:rPr>
                        <w:sz w:val="13"/>
                      </w:rPr>
                    </w:pPr>
                    <w:r>
                      <w:rPr>
                        <w:sz w:val="13"/>
                      </w:rPr>
                      <w:t>10.00</w:t>
                    </w:r>
                  </w:p>
                  <w:p>
                    <w:pPr>
                      <w:spacing w:before="38"/>
                      <w:ind w:left="66" w:right="-13" w:firstLine="0"/>
                      <w:jc w:val="left"/>
                      <w:rPr>
                        <w:sz w:val="13"/>
                      </w:rPr>
                    </w:pPr>
                    <w:r>
                      <w:rPr>
                        <w:sz w:val="13"/>
                      </w:rPr>
                      <w:t>9.00</w:t>
                    </w:r>
                  </w:p>
                  <w:p>
                    <w:pPr>
                      <w:spacing w:before="38"/>
                      <w:ind w:left="66" w:right="-13" w:firstLine="0"/>
                      <w:jc w:val="left"/>
                      <w:rPr>
                        <w:sz w:val="13"/>
                      </w:rPr>
                    </w:pPr>
                    <w:r>
                      <w:rPr>
                        <w:sz w:val="13"/>
                      </w:rPr>
                      <w:t>8.00</w:t>
                    </w:r>
                  </w:p>
                  <w:p>
                    <w:pPr>
                      <w:spacing w:before="38"/>
                      <w:ind w:left="66" w:right="-13" w:firstLine="0"/>
                      <w:jc w:val="left"/>
                      <w:rPr>
                        <w:sz w:val="13"/>
                      </w:rPr>
                    </w:pPr>
                    <w:r>
                      <w:rPr>
                        <w:sz w:val="13"/>
                      </w:rPr>
                      <w:t>7.00</w:t>
                    </w:r>
                  </w:p>
                  <w:p>
                    <w:pPr>
                      <w:spacing w:before="38"/>
                      <w:ind w:left="66" w:right="-13" w:firstLine="0"/>
                      <w:jc w:val="left"/>
                      <w:rPr>
                        <w:sz w:val="13"/>
                      </w:rPr>
                    </w:pPr>
                    <w:r>
                      <w:rPr>
                        <w:sz w:val="13"/>
                      </w:rPr>
                      <w:t>6.00</w:t>
                    </w:r>
                  </w:p>
                  <w:p>
                    <w:pPr>
                      <w:spacing w:line="147" w:lineRule="exact" w:before="38"/>
                      <w:ind w:left="66" w:right="-13" w:firstLine="0"/>
                      <w:jc w:val="left"/>
                      <w:rPr>
                        <w:sz w:val="13"/>
                      </w:rPr>
                    </w:pPr>
                    <w:r>
                      <w:rPr>
                        <w:sz w:val="13"/>
                      </w:rPr>
                      <w:t>5.00</w:t>
                    </w:r>
                  </w:p>
                </w:txbxContent>
              </v:textbox>
              <w10:wrap type="none"/>
            </v:shape>
            <v:shape style="position:absolute;left:7906;top:5207;width:1497;height:378" type="#_x0000_t202" filled="false" stroked="false">
              <v:textbox inset="0,0,0,0">
                <w:txbxContent>
                  <w:p>
                    <w:pPr>
                      <w:spacing w:line="180" w:lineRule="exact" w:before="0"/>
                      <w:ind w:left="0" w:right="-12" w:firstLine="0"/>
                      <w:jc w:val="left"/>
                      <w:rPr>
                        <w:sz w:val="17"/>
                      </w:rPr>
                    </w:pPr>
                    <w:r>
                      <w:rPr>
                        <w:color w:val="FF0000"/>
                        <w:w w:val="105"/>
                        <w:sz w:val="17"/>
                      </w:rPr>
                      <w:t>AL</w:t>
                    </w:r>
                    <w:r>
                      <w:rPr>
                        <w:color w:val="FF0000"/>
                        <w:spacing w:val="-12"/>
                        <w:w w:val="105"/>
                        <w:sz w:val="17"/>
                      </w:rPr>
                      <w:t> </w:t>
                    </w:r>
                    <w:r>
                      <w:rPr>
                        <w:color w:val="FF0000"/>
                        <w:w w:val="105"/>
                        <w:sz w:val="17"/>
                      </w:rPr>
                      <w:t>y</w:t>
                    </w:r>
                    <w:r>
                      <w:rPr>
                        <w:color w:val="FF0000"/>
                        <w:spacing w:val="-15"/>
                        <w:w w:val="105"/>
                        <w:sz w:val="17"/>
                      </w:rPr>
                      <w:t> </w:t>
                    </w:r>
                    <w:r>
                      <w:rPr>
                        <w:color w:val="FF0000"/>
                        <w:w w:val="105"/>
                        <w:sz w:val="17"/>
                      </w:rPr>
                      <w:t>C=</w:t>
                    </w:r>
                    <w:r>
                      <w:rPr>
                        <w:color w:val="FF0000"/>
                        <w:spacing w:val="-5"/>
                        <w:w w:val="105"/>
                        <w:sz w:val="17"/>
                      </w:rPr>
                      <w:t> </w:t>
                    </w:r>
                    <w:r>
                      <w:rPr>
                        <w:color w:val="FF0000"/>
                        <w:w w:val="105"/>
                        <w:sz w:val="17"/>
                      </w:rPr>
                      <w:t>1,91%</w:t>
                    </w:r>
                    <w:r>
                      <w:rPr>
                        <w:color w:val="FF0000"/>
                        <w:spacing w:val="-8"/>
                        <w:w w:val="105"/>
                        <w:sz w:val="17"/>
                      </w:rPr>
                      <w:t> </w:t>
                    </w:r>
                    <w:r>
                      <w:rPr>
                        <w:color w:val="FF0000"/>
                        <w:w w:val="105"/>
                        <w:sz w:val="17"/>
                      </w:rPr>
                      <w:t>crec.</w:t>
                    </w:r>
                  </w:p>
                  <w:p>
                    <w:pPr>
                      <w:spacing w:line="193" w:lineRule="exact" w:before="4"/>
                      <w:ind w:left="0" w:right="-12" w:firstLine="0"/>
                      <w:jc w:val="left"/>
                      <w:rPr>
                        <w:sz w:val="17"/>
                      </w:rPr>
                    </w:pPr>
                    <w:r>
                      <w:rPr>
                        <w:color w:val="FF0000"/>
                        <w:w w:val="105"/>
                        <w:sz w:val="17"/>
                      </w:rPr>
                      <w:t>anual</w:t>
                    </w:r>
                  </w:p>
                </w:txbxContent>
              </v:textbox>
              <w10:wrap type="none"/>
            </v:shape>
            <v:shape style="position:absolute;left:7401;top:5879;width:1928;height:145" type="#_x0000_t202" filled="false" stroked="false">
              <v:textbox inset="0,0,0,0">
                <w:txbxContent>
                  <w:p>
                    <w:pPr>
                      <w:spacing w:line="144" w:lineRule="exact" w:before="0"/>
                      <w:ind w:left="0" w:right="-5" w:firstLine="0"/>
                      <w:jc w:val="left"/>
                      <w:rPr>
                        <w:rFonts w:ascii="Calibri"/>
                        <w:b/>
                        <w:sz w:val="14"/>
                      </w:rPr>
                    </w:pPr>
                    <w:r>
                      <w:rPr>
                        <w:rFonts w:ascii="Calibri"/>
                        <w:b/>
                        <w:w w:val="105"/>
                        <w:sz w:val="14"/>
                      </w:rPr>
                      <w:t>2,012  2,017  2,022  2,027 2,032</w:t>
                    </w:r>
                  </w:p>
                </w:txbxContent>
              </v:textbox>
              <w10:wrap type="none"/>
            </v:shape>
            <w10:wrap type="none"/>
          </v:group>
        </w:pict>
      </w:r>
      <w:r>
        <w:rPr/>
        <w:pict>
          <v:group style="position:absolute;margin-left:417.286255pt;margin-top:25.79039pt;width:138.25pt;height:89.55pt;mso-position-horizontal-relative:page;mso-position-vertical-relative:paragraph;z-index:3544" coordorigin="8346,516" coordsize="2765,1791">
            <v:line style="position:absolute" from="8652,678" to="8652,1988" stroked="true" strokeweight=".55376pt" strokecolor="#858585"/>
            <v:shape style="position:absolute;left:8608;top:1711;width:45;height:234" coordorigin="8608,1711" coordsize="45,234" path="m8608,1944l8652,1944m8608,1711l8652,1711e" filled="false" stroked="true" strokeweight=".553830pt" strokecolor="#858585">
              <v:path arrowok="t"/>
            </v:shape>
            <v:line style="position:absolute" from="8608,1489" to="8652,1489" stroked="true" strokeweight=".575983pt" strokecolor="#858585"/>
            <v:shape style="position:absolute;left:8608;top:800;width:2019;height:1144" coordorigin="8608,800" coordsize="2019,1144" path="m8608,1255l8652,1255m8608,1022l8652,1022m8608,800l8652,800m8652,1944l10626,1944e" filled="false" stroked="true" strokeweight=".553830pt" strokecolor="#858585">
              <v:path arrowok="t"/>
            </v:shape>
            <v:shape style="position:absolute;left:8725;top:1966;width:1908;height:2" coordorigin="8725,1966" coordsize="1908,0" path="m8725,1966l8736,1966m8813,1966l8824,1966m8891,1966l8902,1966m8968,1966l8979,1966m9057,1966l9068,1966m9135,1966l9146,1966m9223,1966l9234,1966m9301,1966l9312,1966m9390,1966l9401,1966m9467,1966l9478,1966m9545,1966l9556,1966m9634,1966l9645,1966m9711,1966l9722,1966m9800,1966l9811,1966m9878,1966l9889,1966m9966,1966l9977,1966m10044,1966l10055,1966m10121,1966l10133,1966m10210,1966l10221,1966m10288,1966l10299,1966m10376,1966l10388,1966m10454,1966l10466,1966m10543,1966l10554,1966m10621,1966l10632,1966e" filled="false" stroked="true" strokeweight="2.215320pt" strokecolor="#858585">
              <v:path arrowok="t"/>
            </v:shape>
            <v:shape style="position:absolute;left:8668;top:804;width:1933;height:424" coordorigin="8668,804" coordsize="1933,424" path="m8679,1119l8671,1124,8669,1133,8668,1143,8674,1152,8683,1153,8765,1167,8849,1180,9013,1203,9179,1221,9262,1226,9345,1228,9428,1226,9512,1220,9595,1210,9678,1198,9697,1194,9346,1194,9264,1194,9183,1189,9100,1180,9018,1170,8853,1147,8771,1134,8679,1119xm10579,804l10572,810,10491,873,10409,930,10327,981,10247,1023,10166,1055,10125,1067,9919,1117,9838,1135,9755,1151,9673,1165,9591,1178,9510,1187,9428,1192,9346,1194,9697,1194,9761,1183,9844,1167,9927,1149,10133,1099,10175,1088,10259,1054,10343,1011,10426,958,10510,900,10592,836,10600,830,10601,820,10595,813,10590,805,10579,804xe" filled="true" fillcolor="#497dba" stroked="false">
              <v:path arrowok="t"/>
              <v:fill type="solid"/>
            </v:shape>
            <v:shape style="position:absolute;left:8668;top:804;width:1933;height:424" coordorigin="8668,804" coordsize="1933,424" path="m8688,1120l8771,1134,8853,1147,8936,1159,9018,1170,9100,1180,9183,1189,9264,1194,9346,1194,9428,1192,9510,1187,9591,1178,9673,1165,9755,1151,9838,1135,9919,1117,10002,1097,10084,1077,10166,1055,10247,1023,10327,981,10409,930,10491,873,10572,810,10579,804,10590,805,10595,813,10601,820,10600,830,10592,836,10510,900,10426,958,10343,1011,10259,1054,10175,1088,10092,1109,10009,1129,9927,1149,9844,1167,9761,1183,9678,1198,9595,1210,9512,1220,9428,1226,9345,1228,9262,1226,9179,1221,9097,1212,9013,1203,8931,1192,8849,1180,8765,1167,8683,1153,8674,1152,8668,1143,8669,1133,8671,1124,8679,1119,8688,1120xe" filled="false" stroked="true" strokeweight=".553827pt" strokecolor="#497dba">
              <v:path arrowok="t"/>
            </v:shape>
            <v:shape style="position:absolute;left:8347;top:517;width:2762;height:1788" coordorigin="8347,517" coordsize="2762,1788" path="m11106,517l8350,517,8347,520,8347,2302,8350,2304,11106,2304,11109,2302,11109,2299,8358,2299,8353,2293,8358,2293,8358,529,8353,529,8358,523,11109,523,11109,520,11106,517xm8358,2293l8353,2293,8358,2299,8358,2293xm11098,2293l8358,2293,8358,2299,11098,2299,11098,2293xm11098,523l11098,2299,11103,2293,11109,2293,11109,529,11103,529,11098,523xm11109,2293l11103,2293,11098,2299,11109,2299,11109,2293xm8358,523l8353,529,8358,529,8358,523xm11098,523l8358,523,8358,529,11098,529,11098,523xm11109,523l11098,523,11103,529,11109,529,11109,523xe" filled="true" fillcolor="#858585" stroked="false">
              <v:path arrowok="t"/>
              <v:fill type="solid"/>
            </v:shape>
            <v:shape style="position:absolute;left:8043;top:1624;width:3740;height:2420" coordorigin="8043,1624" coordsize="3740,2420" path="m8347,523l8347,520,8350,517,8353,517,11103,517,11106,517,11109,520,11109,523,11109,2299,11109,2302,11106,2304,11103,2304,8353,2304,8350,2304,8347,2302,8347,2299,8347,523xm8358,2299l8353,2293,11103,2293,11098,2299,11098,523,11103,529,8353,529,8358,523,8358,2299xe" filled="false" stroked="true" strokeweight=".103375pt" strokecolor="#858585">
              <v:path arrowok="t"/>
            </v:shape>
            <v:shape style="position:absolute;left:8369;top:738;width:167;height:1276" type="#_x0000_t202" filled="false" stroked="false">
              <v:textbox inset="0,0,0,0">
                <w:txbxContent>
                  <w:p>
                    <w:pPr>
                      <w:spacing w:line="135" w:lineRule="exact" w:before="0"/>
                      <w:ind w:left="0" w:right="-16" w:firstLine="0"/>
                      <w:jc w:val="left"/>
                      <w:rPr>
                        <w:sz w:val="13"/>
                      </w:rPr>
                    </w:pPr>
                    <w:r>
                      <w:rPr>
                        <w:sz w:val="13"/>
                      </w:rPr>
                      <w:t>1.4</w:t>
                    </w:r>
                  </w:p>
                  <w:p>
                    <w:pPr>
                      <w:spacing w:before="78"/>
                      <w:ind w:left="0" w:right="-16" w:firstLine="0"/>
                      <w:jc w:val="left"/>
                      <w:rPr>
                        <w:sz w:val="13"/>
                      </w:rPr>
                    </w:pPr>
                    <w:r>
                      <w:rPr>
                        <w:sz w:val="13"/>
                      </w:rPr>
                      <w:t>1.2</w:t>
                    </w:r>
                  </w:p>
                  <w:p>
                    <w:pPr>
                      <w:spacing w:before="79"/>
                      <w:ind w:left="0" w:right="-16" w:firstLine="0"/>
                      <w:jc w:val="left"/>
                      <w:rPr>
                        <w:sz w:val="13"/>
                      </w:rPr>
                    </w:pPr>
                    <w:r>
                      <w:rPr>
                        <w:sz w:val="13"/>
                      </w:rPr>
                      <w:t>1.0</w:t>
                    </w:r>
                  </w:p>
                  <w:p>
                    <w:pPr>
                      <w:spacing w:before="79"/>
                      <w:ind w:left="0" w:right="-16" w:firstLine="0"/>
                      <w:jc w:val="left"/>
                      <w:rPr>
                        <w:sz w:val="13"/>
                      </w:rPr>
                    </w:pPr>
                    <w:r>
                      <w:rPr>
                        <w:sz w:val="13"/>
                      </w:rPr>
                      <w:t>0.8</w:t>
                    </w:r>
                  </w:p>
                  <w:p>
                    <w:pPr>
                      <w:spacing w:before="78"/>
                      <w:ind w:left="0" w:right="-16" w:firstLine="0"/>
                      <w:jc w:val="left"/>
                      <w:rPr>
                        <w:sz w:val="13"/>
                      </w:rPr>
                    </w:pPr>
                    <w:r>
                      <w:rPr>
                        <w:sz w:val="13"/>
                      </w:rPr>
                      <w:t>0.6</w:t>
                    </w:r>
                  </w:p>
                  <w:p>
                    <w:pPr>
                      <w:spacing w:line="147" w:lineRule="exact" w:before="79"/>
                      <w:ind w:left="0" w:right="-16" w:firstLine="0"/>
                      <w:jc w:val="left"/>
                      <w:rPr>
                        <w:sz w:val="13"/>
                      </w:rPr>
                    </w:pPr>
                    <w:r>
                      <w:rPr>
                        <w:sz w:val="13"/>
                      </w:rPr>
                      <w:t>0.4</w:t>
                    </w:r>
                  </w:p>
                </w:txbxContent>
              </v:textbox>
              <w10:wrap type="none"/>
            </v:shape>
            <v:shape style="position:absolute;left:9254;top:1432;width:1411;height:378" type="#_x0000_t202" filled="false" stroked="false">
              <v:textbox inset="0,0,0,0">
                <w:txbxContent>
                  <w:p>
                    <w:pPr>
                      <w:spacing w:line="180" w:lineRule="exact" w:before="0"/>
                      <w:ind w:left="0" w:right="-19" w:firstLine="0"/>
                      <w:jc w:val="left"/>
                      <w:rPr>
                        <w:sz w:val="17"/>
                      </w:rPr>
                    </w:pPr>
                    <w:r>
                      <w:rPr>
                        <w:color w:val="FF0000"/>
                        <w:w w:val="105"/>
                        <w:sz w:val="17"/>
                      </w:rPr>
                      <w:t>Europa No OECD=</w:t>
                    </w:r>
                  </w:p>
                  <w:p>
                    <w:pPr>
                      <w:spacing w:line="193" w:lineRule="exact" w:before="4"/>
                      <w:ind w:left="0" w:right="-19" w:firstLine="0"/>
                      <w:jc w:val="left"/>
                      <w:rPr>
                        <w:sz w:val="17"/>
                      </w:rPr>
                    </w:pPr>
                    <w:r>
                      <w:rPr>
                        <w:color w:val="FF0000"/>
                        <w:w w:val="105"/>
                        <w:sz w:val="17"/>
                      </w:rPr>
                      <w:t>0,87% crec. anual</w:t>
                    </w:r>
                  </w:p>
                </w:txbxContent>
              </v:textbox>
              <w10:wrap type="none"/>
            </v:shape>
            <v:shape style="position:absolute;left:8536;top:2075;width:1960;height:145" type="#_x0000_t202" filled="false" stroked="false">
              <v:textbox inset="0,0,0,0">
                <w:txbxContent>
                  <w:p>
                    <w:pPr>
                      <w:spacing w:line="144" w:lineRule="exact" w:before="0"/>
                      <w:ind w:left="0" w:right="0" w:firstLine="0"/>
                      <w:jc w:val="left"/>
                      <w:rPr>
                        <w:rFonts w:ascii="Calibri"/>
                        <w:b/>
                        <w:sz w:val="14"/>
                      </w:rPr>
                    </w:pPr>
                    <w:r>
                      <w:rPr>
                        <w:rFonts w:ascii="Calibri"/>
                        <w:b/>
                        <w:w w:val="105"/>
                        <w:sz w:val="14"/>
                      </w:rPr>
                      <w:t>2012   2017   2022   2027 2032</w:t>
                    </w:r>
                  </w:p>
                </w:txbxContent>
              </v:textbox>
              <w10:wrap type="none"/>
            </v:shape>
            <w10:wrap type="none"/>
          </v:group>
        </w:pict>
      </w:r>
      <w:r>
        <w:rPr/>
        <w:pict>
          <v:group style="position:absolute;margin-left:419.501312pt;margin-top:119.018433pt;width:133.8pt;height:88.4pt;mso-position-horizontal-relative:page;mso-position-vertical-relative:paragraph;z-index:3616" coordorigin="8390,2380" coordsize="2676,1768">
            <v:line style="position:absolute" from="8697,2543" to="8697,3841" stroked="true" strokeweight=".55376pt" strokecolor="#858585"/>
            <v:shape style="position:absolute;left:8652;top:3286;width:45;height:500" coordorigin="8652,3286" coordsize="45,500" path="m8652,3786l8697,3786m8652,3542l8697,3542m8652,3286l8697,3286e" filled="false" stroked="true" strokeweight=".553830pt" strokecolor="#858585">
              <v:path arrowok="t"/>
            </v:shape>
            <v:line style="position:absolute" from="8652,3042" to="8697,3042" stroked="true" strokeweight=".575983pt" strokecolor="#858585"/>
            <v:shape style="position:absolute;left:8652;top:2543;width:1952;height:1243" coordorigin="8652,2543" coordsize="1952,1243" path="m8652,2787l8697,2787m8652,2543l8697,2543m8697,3786l10604,3786e" filled="false" stroked="true" strokeweight=".553830pt" strokecolor="#858585">
              <v:path arrowok="t"/>
            </v:shape>
            <v:shape style="position:absolute;left:8769;top:3813;width:1841;height:2" coordorigin="8769,3813" coordsize="1841,0" path="m8769,3813l8780,3813m8846,3813l8857,3813m8924,3813l8935,3813m9002,3813l9013,3813m9090,3813l9101,3813m9168,3813l9179,3813m9245,3813l9256,3813m9323,3813l9334,3813m9401,3813l9412,3813m9489,3813l9501,3813m9567,3813l9578,3813m9645,3813l9656,3813m9722,3813l9733,3813m9800,3813l9811,3813m9878,3813l9889,3813m9966,3813l9977,3813m10044,3813l10055,3813m10121,3813l10133,3813m10199,3813l10210,3813m10277,3813l10288,3813m10365,3813l10376,3813m10443,3813l10454,3813m10521,3813l10532,3813m10598,3813l10610,3813e" filled="false" stroked="true" strokeweight="2.783919pt" strokecolor="#858585">
              <v:path arrowok="t"/>
            </v:shape>
            <v:shape style="position:absolute;left:8711;top:2602;width:1879;height:757" coordorigin="8711,2602" coordsize="1879,757" path="m8730,2602l8722,2607,8714,2611,8711,2621,8756,2699,8796,2765,8837,2829,8877,2888,8917,2943,8998,3044,9038,3089,9078,3131,9120,3169,9160,3204,9200,3235,9242,3262,9283,3284,9364,3319,9446,3345,9447,3346,9448,3346,9528,3358,9529,3358,9530,3358,9531,3358,9571,3357,9613,3352,9694,3335,9725,3325,9533,3325,9459,3314,9456,3314,9454,3313,9454,3313,9377,3288,9299,3254,9259,3234,9221,3208,9182,3179,9142,3145,9103,3108,9063,3068,9024,3022,8984,2974,8944,2923,8904,2870,8865,2811,8825,2748,8785,2682,8744,2612,8740,2604,8730,2602xm10577,2890l10568,2892,10527,2900,10485,2911,10444,2926,10404,2944,10323,2984,10244,3030,10164,3074,10083,3115,10003,3159,9924,3203,9844,3242,9766,3276,9688,3303,9609,3320,9571,3323,9530,3324,9533,3325,9725,3325,9776,3308,9857,3274,9939,3233,10019,3187,10178,3104,10260,3059,10340,3012,10419,2974,10458,2956,10497,2942,10535,2933,10574,2925,10583,2923,10590,2915,10587,2905,10586,2897,10577,2890xm9454,3313l9456,3314,9454,3313,9454,3313xm9454,3313l9456,3314,9459,3314,9454,3313xm9454,3313l9454,3313,9454,3313,9454,3313xe" filled="true" fillcolor="#497dba" stroked="false">
              <v:path arrowok="t"/>
              <v:fill type="solid"/>
            </v:shape>
            <v:shape style="position:absolute;left:8711;top:2602;width:1879;height:757" coordorigin="8711,2602" coordsize="1879,757" path="m8744,2612l8785,2682,8825,2748,8865,2811,8904,2870,8944,2923,8984,2974,9024,3022,9063,3068,9142,3145,9221,3208,9299,3254,9377,3288,9456,3314,9454,3313,9533,3325,9530,3324,9571,3323,9688,3303,9766,3276,9844,3242,9924,3203,10003,3159,10083,3115,10164,3074,10244,3030,10323,2984,10404,2944,10444,2926,10485,2911,10527,2900,10568,2892,10577,2890,10586,2897,10587,2905,10590,2915,10583,2923,10574,2925,10535,2933,10458,2956,10340,3012,10260,3059,10178,3104,10099,3145,10019,3187,9939,3233,9857,3274,9776,3308,9694,3335,9613,3352,9531,3358,9530,3358,9529,3358,9528,3358,9448,3346,9448,3346,9447,3346,9446,3345,9364,3319,9283,3284,9200,3235,9120,3169,9038,3089,8998,3044,8958,2994,8917,2943,8877,2888,8837,2829,8796,2765,8756,2699,8716,2630,8711,2621,8714,2611,8722,2607,8730,2602,8740,2604,8744,2612xe" filled="false" stroked="true" strokeweight=".55382pt" strokecolor="#497dba">
              <v:path arrowok="t"/>
            </v:shape>
            <v:shape style="position:absolute;left:8392;top:2382;width:2673;height:1765" coordorigin="8392,2382" coordsize="2673,1765" path="m11062,2382l8394,2382,8392,2385,8392,4145,8394,4146,11062,4146,11064,4145,11064,4141,8403,4141,8397,4135,8403,4135,8403,2393,8397,2393,8403,2387,11064,2387,11064,2385,11062,2382xm8403,4135l8397,4135,8403,4141,8403,4135xm11053,4135l8403,4135,8403,4141,11053,4141,11053,4135xm11053,2387l11053,4141,11059,4135,11064,4135,11064,2393,11059,2393,11053,2387xm11064,4135l11059,4135,11053,4141,11064,4141,11064,4135xm8403,2387l8397,2393,8403,2393,8403,2387xm11053,2387l8403,2387,8403,2393,11053,2393,11053,2387xm11064,2387l11053,2387,11059,2393,11064,2393,11064,2387xe" filled="true" fillcolor="#858585" stroked="false">
              <v:path arrowok="t"/>
              <v:fill type="solid"/>
            </v:shape>
            <v:shape style="position:absolute;left:8103;top:4149;width:3620;height:2390" coordorigin="8103,4149" coordsize="3620,2390" path="m8392,2387l8392,2385,8394,2382,8397,2382,11059,2382,11062,2382,11064,2385,11064,2387,11064,4141,11064,4145,11062,4146,11059,4146,8397,4146,8394,4146,8392,4145,8392,4141,8392,2387xm8403,4141l8397,4135,11059,4135,11053,4141,11053,2387,11059,2393,8397,2393,8403,2387,8403,4141xe" filled="false" stroked="true" strokeweight=".103375pt" strokecolor="#858585">
              <v:path arrowok="t"/>
            </v:shape>
            <v:shape style="position:absolute;left:8414;top:2482;width:167;height:1381" type="#_x0000_t202" filled="false" stroked="false">
              <v:textbox inset="0,0,0,0">
                <w:txbxContent>
                  <w:p>
                    <w:pPr>
                      <w:spacing w:line="135" w:lineRule="exact" w:before="0"/>
                      <w:ind w:left="0" w:right="-16" w:firstLine="0"/>
                      <w:jc w:val="left"/>
                      <w:rPr>
                        <w:sz w:val="13"/>
                      </w:rPr>
                    </w:pPr>
                    <w:r>
                      <w:rPr>
                        <w:sz w:val="13"/>
                      </w:rPr>
                      <w:t>9.0</w:t>
                    </w:r>
                  </w:p>
                  <w:p>
                    <w:pPr>
                      <w:spacing w:before="100"/>
                      <w:ind w:left="0" w:right="-16" w:firstLine="0"/>
                      <w:jc w:val="left"/>
                      <w:rPr>
                        <w:sz w:val="13"/>
                      </w:rPr>
                    </w:pPr>
                    <w:r>
                      <w:rPr>
                        <w:sz w:val="13"/>
                      </w:rPr>
                      <w:t>8.5</w:t>
                    </w:r>
                  </w:p>
                  <w:p>
                    <w:pPr>
                      <w:spacing w:before="100"/>
                      <w:ind w:left="0" w:right="-16" w:firstLine="0"/>
                      <w:jc w:val="left"/>
                      <w:rPr>
                        <w:sz w:val="13"/>
                      </w:rPr>
                    </w:pPr>
                    <w:r>
                      <w:rPr>
                        <w:sz w:val="13"/>
                      </w:rPr>
                      <w:t>8.0</w:t>
                    </w:r>
                  </w:p>
                  <w:p>
                    <w:pPr>
                      <w:spacing w:before="100"/>
                      <w:ind w:left="0" w:right="-16" w:firstLine="0"/>
                      <w:jc w:val="left"/>
                      <w:rPr>
                        <w:sz w:val="13"/>
                      </w:rPr>
                    </w:pPr>
                    <w:r>
                      <w:rPr>
                        <w:sz w:val="13"/>
                      </w:rPr>
                      <w:t>7.5</w:t>
                    </w:r>
                  </w:p>
                  <w:p>
                    <w:pPr>
                      <w:spacing w:before="100"/>
                      <w:ind w:left="0" w:right="-16" w:firstLine="0"/>
                      <w:jc w:val="left"/>
                      <w:rPr>
                        <w:sz w:val="13"/>
                      </w:rPr>
                    </w:pPr>
                    <w:r>
                      <w:rPr>
                        <w:sz w:val="13"/>
                      </w:rPr>
                      <w:t>7.0</w:t>
                    </w:r>
                  </w:p>
                  <w:p>
                    <w:pPr>
                      <w:spacing w:line="147" w:lineRule="exact" w:before="100"/>
                      <w:ind w:left="0" w:right="-16" w:firstLine="0"/>
                      <w:jc w:val="left"/>
                      <w:rPr>
                        <w:sz w:val="13"/>
                      </w:rPr>
                    </w:pPr>
                    <w:r>
                      <w:rPr>
                        <w:sz w:val="13"/>
                      </w:rPr>
                      <w:t>6.5</w:t>
                    </w:r>
                  </w:p>
                </w:txbxContent>
              </v:textbox>
              <w10:wrap type="none"/>
            </v:shape>
            <v:shape style="position:absolute;left:8584;top:3381;width:2269;height:689" type="#_x0000_t202" filled="false" stroked="false">
              <v:textbox inset="0,0,0,0">
                <w:txbxContent>
                  <w:p>
                    <w:pPr>
                      <w:spacing w:line="180" w:lineRule="exact" w:before="0"/>
                      <w:ind w:left="535" w:right="0" w:firstLine="0"/>
                      <w:jc w:val="left"/>
                      <w:rPr>
                        <w:sz w:val="17"/>
                      </w:rPr>
                    </w:pPr>
                    <w:r>
                      <w:rPr>
                        <w:color w:val="FF0000"/>
                        <w:w w:val="105"/>
                        <w:sz w:val="17"/>
                      </w:rPr>
                      <w:t>Europa OECD= -0,29%</w:t>
                    </w:r>
                  </w:p>
                  <w:p>
                    <w:pPr>
                      <w:spacing w:before="4"/>
                      <w:ind w:left="535" w:right="0" w:firstLine="0"/>
                      <w:jc w:val="left"/>
                      <w:rPr>
                        <w:sz w:val="17"/>
                      </w:rPr>
                    </w:pPr>
                    <w:r>
                      <w:rPr>
                        <w:color w:val="FF0000"/>
                        <w:w w:val="105"/>
                        <w:sz w:val="17"/>
                      </w:rPr>
                      <w:t>crec. anual</w:t>
                    </w:r>
                  </w:p>
                  <w:p>
                    <w:pPr>
                      <w:spacing w:line="169" w:lineRule="exact" w:before="140"/>
                      <w:ind w:left="-1" w:right="362" w:firstLine="0"/>
                      <w:jc w:val="center"/>
                      <w:rPr>
                        <w:rFonts w:ascii="Calibri"/>
                        <w:b/>
                        <w:sz w:val="14"/>
                      </w:rPr>
                    </w:pPr>
                    <w:r>
                      <w:rPr>
                        <w:rFonts w:ascii="Calibri"/>
                        <w:b/>
                        <w:spacing w:val="3"/>
                        <w:w w:val="105"/>
                        <w:sz w:val="14"/>
                      </w:rPr>
                      <w:t>2012  2017  2022  2027  </w:t>
                    </w:r>
                    <w:r>
                      <w:rPr>
                        <w:rFonts w:ascii="Calibri"/>
                        <w:b/>
                        <w:spacing w:val="16"/>
                        <w:w w:val="105"/>
                        <w:sz w:val="14"/>
                      </w:rPr>
                      <w:t> </w:t>
                    </w:r>
                    <w:r>
                      <w:rPr>
                        <w:rFonts w:ascii="Calibri"/>
                        <w:b/>
                        <w:spacing w:val="4"/>
                        <w:w w:val="105"/>
                        <w:sz w:val="14"/>
                      </w:rPr>
                      <w:t>2032</w:t>
                    </w:r>
                  </w:p>
                </w:txbxContent>
              </v:textbox>
              <w10:wrap type="none"/>
            </v:shape>
            <w10:wrap type="none"/>
          </v:group>
        </w:pict>
      </w:r>
      <w:r>
        <w:rPr/>
        <w:t>(En trillones de pies cúbicos: 2012 - 2035)</w:t>
      </w:r>
    </w:p>
    <w:p>
      <w:pPr>
        <w:pStyle w:val="BodyText"/>
        <w:rPr>
          <w:sz w:val="22"/>
        </w:rPr>
      </w:pPr>
    </w:p>
    <w:tbl>
      <w:tblPr>
        <w:tblW w:w="0" w:type="auto"/>
        <w:jc w:val="left"/>
        <w:tblInd w:w="107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94"/>
        <w:gridCol w:w="2794"/>
      </w:tblGrid>
      <w:tr>
        <w:trPr>
          <w:trHeight w:val="460" w:hRule="exact"/>
        </w:trPr>
        <w:tc>
          <w:tcPr>
            <w:tcW w:w="2794" w:type="dxa"/>
            <w:tcBorders>
              <w:left w:val="double" w:sz="2" w:space="0" w:color="858585"/>
              <w:right w:val="triple" w:sz="1" w:space="0" w:color="858585"/>
            </w:tcBorders>
          </w:tcPr>
          <w:p>
            <w:pPr>
              <w:pStyle w:val="TableParagraph"/>
              <w:jc w:val="left"/>
              <w:rPr>
                <w:sz w:val="12"/>
              </w:rPr>
            </w:pPr>
          </w:p>
          <w:p>
            <w:pPr>
              <w:pStyle w:val="TableParagraph"/>
              <w:spacing w:before="1"/>
              <w:jc w:val="left"/>
              <w:rPr>
                <w:sz w:val="10"/>
              </w:rPr>
            </w:pPr>
          </w:p>
          <w:p>
            <w:pPr>
              <w:pStyle w:val="TableParagraph"/>
              <w:ind w:left="15"/>
              <w:jc w:val="left"/>
              <w:rPr>
                <w:sz w:val="13"/>
              </w:rPr>
            </w:pPr>
            <w:r>
              <w:rPr>
                <w:w w:val="105"/>
                <w:sz w:val="13"/>
              </w:rPr>
              <w:t>32.0</w:t>
            </w:r>
          </w:p>
        </w:tc>
        <w:tc>
          <w:tcPr>
            <w:tcW w:w="2794" w:type="dxa"/>
            <w:tcBorders>
              <w:left w:val="triple" w:sz="1" w:space="0" w:color="858585"/>
              <w:right w:val="single" w:sz="1" w:space="0" w:color="858585"/>
            </w:tcBorders>
          </w:tcPr>
          <w:p>
            <w:pPr/>
          </w:p>
        </w:tc>
      </w:tr>
      <w:tr>
        <w:trPr>
          <w:trHeight w:val="295" w:hRule="exact"/>
        </w:trPr>
        <w:tc>
          <w:tcPr>
            <w:tcW w:w="2794" w:type="dxa"/>
            <w:tcBorders>
              <w:left w:val="double" w:sz="2" w:space="0" w:color="858585"/>
              <w:right w:val="triple" w:sz="1" w:space="0" w:color="858585"/>
            </w:tcBorders>
          </w:tcPr>
          <w:p>
            <w:pPr>
              <w:pStyle w:val="TableParagraph"/>
              <w:spacing w:before="77"/>
              <w:ind w:left="15"/>
              <w:jc w:val="left"/>
              <w:rPr>
                <w:sz w:val="13"/>
              </w:rPr>
            </w:pPr>
            <w:r>
              <w:rPr>
                <w:w w:val="105"/>
                <w:sz w:val="13"/>
              </w:rPr>
              <w:t>29.0</w:t>
            </w:r>
          </w:p>
        </w:tc>
        <w:tc>
          <w:tcPr>
            <w:tcW w:w="2794" w:type="dxa"/>
            <w:tcBorders>
              <w:left w:val="triple" w:sz="1" w:space="0" w:color="858585"/>
              <w:right w:val="single" w:sz="1" w:space="0" w:color="858585"/>
            </w:tcBorders>
          </w:tcPr>
          <w:p>
            <w:pPr>
              <w:pStyle w:val="TableParagraph"/>
              <w:spacing w:before="33"/>
              <w:ind w:left="54"/>
              <w:jc w:val="left"/>
              <w:rPr>
                <w:sz w:val="13"/>
              </w:rPr>
            </w:pPr>
            <w:r>
              <w:rPr>
                <w:w w:val="105"/>
                <w:sz w:val="13"/>
              </w:rPr>
              <w:t>7.4</w:t>
            </w:r>
          </w:p>
        </w:tc>
      </w:tr>
      <w:tr>
        <w:trPr>
          <w:trHeight w:val="180" w:hRule="exact"/>
        </w:trPr>
        <w:tc>
          <w:tcPr>
            <w:tcW w:w="2794" w:type="dxa"/>
            <w:tcBorders>
              <w:left w:val="double" w:sz="2" w:space="0" w:color="858585"/>
              <w:right w:val="triple" w:sz="1" w:space="0" w:color="858585"/>
            </w:tcBorders>
          </w:tcPr>
          <w:p>
            <w:pPr>
              <w:pStyle w:val="TableParagraph"/>
              <w:spacing w:before="55"/>
              <w:ind w:left="15"/>
              <w:jc w:val="left"/>
              <w:rPr>
                <w:sz w:val="13"/>
              </w:rPr>
            </w:pPr>
            <w:r>
              <w:rPr>
                <w:w w:val="105"/>
                <w:sz w:val="13"/>
              </w:rPr>
              <w:t>26.0</w:t>
            </w:r>
          </w:p>
        </w:tc>
        <w:tc>
          <w:tcPr>
            <w:tcW w:w="2794" w:type="dxa"/>
            <w:tcBorders>
              <w:left w:val="triple" w:sz="1" w:space="0" w:color="858585"/>
              <w:right w:val="single" w:sz="1" w:space="0" w:color="858585"/>
            </w:tcBorders>
          </w:tcPr>
          <w:p>
            <w:pPr/>
          </w:p>
        </w:tc>
      </w:tr>
      <w:tr>
        <w:trPr>
          <w:trHeight w:val="596" w:hRule="exact"/>
        </w:trPr>
        <w:tc>
          <w:tcPr>
            <w:tcW w:w="2794" w:type="dxa"/>
            <w:tcBorders>
              <w:left w:val="double" w:sz="2" w:space="0" w:color="858585"/>
              <w:right w:val="triple" w:sz="1" w:space="0" w:color="858585"/>
            </w:tcBorders>
          </w:tcPr>
          <w:p>
            <w:pPr>
              <w:pStyle w:val="TableParagraph"/>
              <w:spacing w:line="153" w:lineRule="exact"/>
              <w:ind w:left="1531"/>
              <w:jc w:val="left"/>
              <w:rPr>
                <w:sz w:val="17"/>
              </w:rPr>
            </w:pPr>
            <w:r>
              <w:rPr>
                <w:color w:val="FF0000"/>
                <w:w w:val="105"/>
                <w:sz w:val="17"/>
              </w:rPr>
              <w:t>Rusia = 1,39%</w:t>
            </w:r>
          </w:p>
          <w:p>
            <w:pPr>
              <w:pStyle w:val="TableParagraph"/>
              <w:tabs>
                <w:tab w:pos="1531" w:val="left" w:leader="none"/>
              </w:tabs>
              <w:spacing w:line="204" w:lineRule="exact"/>
              <w:ind w:left="15"/>
              <w:jc w:val="left"/>
              <w:rPr>
                <w:sz w:val="17"/>
              </w:rPr>
            </w:pPr>
            <w:r>
              <w:rPr>
                <w:w w:val="105"/>
                <w:position w:val="5"/>
                <w:sz w:val="13"/>
              </w:rPr>
              <w:t>23.0</w:t>
              <w:tab/>
            </w:r>
            <w:r>
              <w:rPr>
                <w:color w:val="FF0000"/>
                <w:w w:val="105"/>
                <w:sz w:val="17"/>
              </w:rPr>
              <w:t>crec.</w:t>
            </w:r>
            <w:r>
              <w:rPr>
                <w:color w:val="FF0000"/>
                <w:spacing w:val="-19"/>
                <w:w w:val="105"/>
                <w:sz w:val="17"/>
              </w:rPr>
              <w:t> </w:t>
            </w:r>
            <w:r>
              <w:rPr>
                <w:color w:val="FF0000"/>
                <w:w w:val="105"/>
                <w:sz w:val="17"/>
              </w:rPr>
              <w:t>anual</w:t>
            </w:r>
          </w:p>
          <w:p>
            <w:pPr>
              <w:pStyle w:val="TableParagraph"/>
              <w:spacing w:before="63"/>
              <w:ind w:left="15"/>
              <w:jc w:val="left"/>
              <w:rPr>
                <w:sz w:val="13"/>
              </w:rPr>
            </w:pPr>
            <w:r>
              <w:rPr>
                <w:w w:val="105"/>
                <w:sz w:val="13"/>
              </w:rPr>
              <w:t>20.0</w:t>
            </w:r>
          </w:p>
        </w:tc>
        <w:tc>
          <w:tcPr>
            <w:tcW w:w="2794" w:type="dxa"/>
            <w:tcBorders>
              <w:left w:val="triple" w:sz="1" w:space="0" w:color="858585"/>
              <w:right w:val="single" w:sz="1" w:space="0" w:color="858585"/>
            </w:tcBorders>
          </w:tcPr>
          <w:p>
            <w:pPr>
              <w:pStyle w:val="TableParagraph"/>
              <w:spacing w:line="112" w:lineRule="exact"/>
              <w:ind w:left="54"/>
              <w:jc w:val="left"/>
              <w:rPr>
                <w:sz w:val="13"/>
              </w:rPr>
            </w:pPr>
            <w:r>
              <w:rPr>
                <w:w w:val="105"/>
                <w:sz w:val="13"/>
              </w:rPr>
              <w:t>6.7</w:t>
            </w:r>
          </w:p>
          <w:p>
            <w:pPr>
              <w:pStyle w:val="TableParagraph"/>
              <w:spacing w:line="170" w:lineRule="exact"/>
              <w:ind w:left="996"/>
              <w:jc w:val="left"/>
              <w:rPr>
                <w:sz w:val="17"/>
              </w:rPr>
            </w:pPr>
            <w:r>
              <w:rPr>
                <w:color w:val="FF0000"/>
                <w:w w:val="105"/>
                <w:sz w:val="17"/>
              </w:rPr>
              <w:t>Asia Central = 1,55%</w:t>
            </w:r>
          </w:p>
          <w:p>
            <w:pPr>
              <w:pStyle w:val="TableParagraph"/>
              <w:spacing w:line="162" w:lineRule="exact" w:before="4"/>
              <w:ind w:left="962" w:right="933"/>
              <w:rPr>
                <w:sz w:val="17"/>
              </w:rPr>
            </w:pPr>
            <w:r>
              <w:rPr>
                <w:color w:val="FF0000"/>
                <w:w w:val="105"/>
                <w:sz w:val="17"/>
              </w:rPr>
              <w:t>Crec. anual.</w:t>
            </w:r>
          </w:p>
          <w:p>
            <w:pPr>
              <w:pStyle w:val="TableParagraph"/>
              <w:spacing w:line="116" w:lineRule="exact"/>
              <w:ind w:left="54"/>
              <w:jc w:val="left"/>
              <w:rPr>
                <w:sz w:val="13"/>
              </w:rPr>
            </w:pPr>
            <w:r>
              <w:rPr>
                <w:sz w:val="13"/>
              </w:rPr>
              <w:t>6.0</w:t>
            </w:r>
          </w:p>
        </w:tc>
      </w:tr>
      <w:tr>
        <w:trPr>
          <w:trHeight w:val="300" w:hRule="exact"/>
        </w:trPr>
        <w:tc>
          <w:tcPr>
            <w:tcW w:w="2794" w:type="dxa"/>
            <w:tcBorders>
              <w:left w:val="double" w:sz="2" w:space="0" w:color="858585"/>
              <w:right w:val="triple" w:sz="1" w:space="0" w:color="858585"/>
            </w:tcBorders>
          </w:tcPr>
          <w:p>
            <w:pPr>
              <w:pStyle w:val="TableParagraph"/>
              <w:spacing w:before="8"/>
              <w:ind w:right="579"/>
              <w:jc w:val="right"/>
              <w:rPr>
                <w:rFonts w:ascii="Calibri"/>
                <w:b/>
                <w:sz w:val="14"/>
              </w:rPr>
            </w:pPr>
            <w:r>
              <w:rPr>
                <w:rFonts w:ascii="Calibri"/>
                <w:b/>
                <w:w w:val="105"/>
                <w:sz w:val="14"/>
              </w:rPr>
              <w:t>2012   2017   2022   2027 2032</w:t>
            </w:r>
          </w:p>
        </w:tc>
        <w:tc>
          <w:tcPr>
            <w:tcW w:w="2794" w:type="dxa"/>
            <w:tcBorders>
              <w:left w:val="triple" w:sz="1" w:space="0" w:color="858585"/>
              <w:right w:val="single" w:sz="1" w:space="0" w:color="858585"/>
            </w:tcBorders>
          </w:tcPr>
          <w:p>
            <w:pPr>
              <w:pStyle w:val="TableParagraph"/>
              <w:spacing w:before="3"/>
              <w:ind w:right="625"/>
              <w:jc w:val="right"/>
              <w:rPr>
                <w:rFonts w:ascii="Calibri"/>
                <w:b/>
                <w:sz w:val="14"/>
              </w:rPr>
            </w:pPr>
            <w:r>
              <w:rPr>
                <w:rFonts w:ascii="Calibri"/>
                <w:b/>
                <w:w w:val="105"/>
                <w:sz w:val="14"/>
              </w:rPr>
              <w:t>2012   2017   2022   2027 2032</w:t>
            </w:r>
          </w:p>
        </w:tc>
      </w:tr>
      <w:tr>
        <w:trPr>
          <w:trHeight w:val="312" w:hRule="exact"/>
        </w:trPr>
        <w:tc>
          <w:tcPr>
            <w:tcW w:w="2794" w:type="dxa"/>
            <w:tcBorders>
              <w:left w:val="double" w:sz="2" w:space="0" w:color="858585"/>
              <w:right w:val="single" w:sz="1" w:space="0" w:color="858585"/>
            </w:tcBorders>
          </w:tcPr>
          <w:p>
            <w:pPr>
              <w:pStyle w:val="TableParagraph"/>
              <w:spacing w:before="64"/>
              <w:ind w:left="7"/>
              <w:jc w:val="left"/>
              <w:rPr>
                <w:sz w:val="13"/>
              </w:rPr>
            </w:pPr>
            <w:r>
              <w:rPr>
                <w:w w:val="105"/>
                <w:sz w:val="13"/>
              </w:rPr>
              <w:t>30.0</w:t>
            </w:r>
          </w:p>
        </w:tc>
        <w:tc>
          <w:tcPr>
            <w:tcW w:w="2794" w:type="dxa"/>
            <w:tcBorders>
              <w:left w:val="single" w:sz="1" w:space="0" w:color="858585"/>
            </w:tcBorders>
          </w:tcPr>
          <w:p>
            <w:pPr>
              <w:pStyle w:val="TableParagraph"/>
              <w:spacing w:before="94"/>
              <w:ind w:left="37"/>
              <w:jc w:val="left"/>
              <w:rPr>
                <w:sz w:val="13"/>
              </w:rPr>
            </w:pPr>
            <w:r>
              <w:rPr>
                <w:w w:val="105"/>
                <w:sz w:val="13"/>
              </w:rPr>
              <w:t>11.0</w:t>
            </w:r>
          </w:p>
        </w:tc>
      </w:tr>
      <w:tr>
        <w:trPr>
          <w:trHeight w:val="193" w:hRule="exact"/>
        </w:trPr>
        <w:tc>
          <w:tcPr>
            <w:tcW w:w="2794" w:type="dxa"/>
            <w:tcBorders>
              <w:left w:val="double" w:sz="2" w:space="0" w:color="858585"/>
            </w:tcBorders>
          </w:tcPr>
          <w:p>
            <w:pPr/>
          </w:p>
        </w:tc>
        <w:tc>
          <w:tcPr>
            <w:tcW w:w="2794" w:type="dxa"/>
          </w:tcPr>
          <w:p>
            <w:pPr>
              <w:pStyle w:val="TableParagraph"/>
              <w:spacing w:before="45"/>
              <w:ind w:left="38"/>
              <w:jc w:val="left"/>
              <w:rPr>
                <w:sz w:val="13"/>
              </w:rPr>
            </w:pPr>
            <w:r>
              <w:rPr>
                <w:w w:val="105"/>
                <w:sz w:val="13"/>
              </w:rPr>
              <w:t>10.0</w:t>
            </w:r>
          </w:p>
        </w:tc>
      </w:tr>
      <w:tr>
        <w:trPr>
          <w:trHeight w:val="312" w:hRule="exact"/>
        </w:trPr>
        <w:tc>
          <w:tcPr>
            <w:tcW w:w="2794" w:type="dxa"/>
            <w:tcBorders>
              <w:left w:val="double" w:sz="2" w:space="0" w:color="858585"/>
            </w:tcBorders>
          </w:tcPr>
          <w:p>
            <w:pPr>
              <w:pStyle w:val="TableParagraph"/>
              <w:spacing w:line="136" w:lineRule="exact"/>
              <w:ind w:left="7" w:right="212"/>
              <w:jc w:val="left"/>
              <w:rPr>
                <w:sz w:val="13"/>
              </w:rPr>
            </w:pPr>
            <w:r>
              <w:rPr>
                <w:w w:val="105"/>
                <w:sz w:val="13"/>
              </w:rPr>
              <w:t>25.0</w:t>
            </w:r>
          </w:p>
        </w:tc>
        <w:tc>
          <w:tcPr>
            <w:tcW w:w="2794" w:type="dxa"/>
          </w:tcPr>
          <w:p>
            <w:pPr>
              <w:pStyle w:val="TableParagraph"/>
              <w:spacing w:before="105"/>
              <w:ind w:left="105"/>
              <w:jc w:val="left"/>
              <w:rPr>
                <w:sz w:val="13"/>
              </w:rPr>
            </w:pPr>
            <w:r>
              <w:rPr>
                <w:w w:val="105"/>
                <w:sz w:val="13"/>
              </w:rPr>
              <w:t>9.0</w:t>
            </w:r>
          </w:p>
        </w:tc>
      </w:tr>
      <w:tr>
        <w:trPr>
          <w:trHeight w:val="505" w:hRule="exact"/>
        </w:trPr>
        <w:tc>
          <w:tcPr>
            <w:tcW w:w="2794" w:type="dxa"/>
            <w:tcBorders>
              <w:left w:val="double" w:sz="2" w:space="0" w:color="858585"/>
            </w:tcBorders>
          </w:tcPr>
          <w:p>
            <w:pPr>
              <w:pStyle w:val="TableParagraph"/>
              <w:tabs>
                <w:tab w:pos="896" w:val="left" w:leader="none"/>
              </w:tabs>
              <w:spacing w:line="244" w:lineRule="auto" w:before="58"/>
              <w:ind w:left="896" w:right="212" w:hanging="890"/>
              <w:jc w:val="left"/>
              <w:rPr>
                <w:sz w:val="17"/>
              </w:rPr>
            </w:pPr>
            <w:r>
              <w:rPr>
                <w:w w:val="105"/>
                <w:position w:val="1"/>
                <w:sz w:val="13"/>
              </w:rPr>
              <w:t>20.0</w:t>
              <w:tab/>
            </w:r>
            <w:r>
              <w:rPr>
                <w:color w:val="FF0000"/>
                <w:w w:val="105"/>
                <w:sz w:val="17"/>
              </w:rPr>
              <w:t>Medio Oriente</w:t>
            </w:r>
            <w:r>
              <w:rPr>
                <w:color w:val="FF0000"/>
                <w:spacing w:val="-23"/>
                <w:w w:val="105"/>
                <w:sz w:val="17"/>
              </w:rPr>
              <w:t> </w:t>
            </w:r>
            <w:r>
              <w:rPr>
                <w:color w:val="FF0000"/>
                <w:w w:val="105"/>
                <w:sz w:val="17"/>
              </w:rPr>
              <w:t>=</w:t>
            </w:r>
            <w:r>
              <w:rPr>
                <w:color w:val="FF0000"/>
                <w:spacing w:val="-6"/>
                <w:w w:val="105"/>
                <w:sz w:val="17"/>
              </w:rPr>
              <w:t> </w:t>
            </w:r>
            <w:r>
              <w:rPr>
                <w:color w:val="FF0000"/>
                <w:w w:val="105"/>
                <w:sz w:val="17"/>
              </w:rPr>
              <w:t>2,16%</w:t>
            </w:r>
            <w:r>
              <w:rPr>
                <w:color w:val="FF0000"/>
                <w:w w:val="104"/>
                <w:sz w:val="17"/>
              </w:rPr>
              <w:t> </w:t>
            </w:r>
            <w:r>
              <w:rPr>
                <w:color w:val="FF0000"/>
                <w:w w:val="105"/>
                <w:sz w:val="17"/>
              </w:rPr>
              <w:t>crec.</w:t>
            </w:r>
            <w:r>
              <w:rPr>
                <w:color w:val="FF0000"/>
                <w:spacing w:val="-19"/>
                <w:w w:val="105"/>
                <w:sz w:val="17"/>
              </w:rPr>
              <w:t> </w:t>
            </w:r>
            <w:r>
              <w:rPr>
                <w:color w:val="FF0000"/>
                <w:w w:val="105"/>
                <w:sz w:val="17"/>
              </w:rPr>
              <w:t>anual</w:t>
            </w:r>
          </w:p>
        </w:tc>
        <w:tc>
          <w:tcPr>
            <w:tcW w:w="2794" w:type="dxa"/>
          </w:tcPr>
          <w:p>
            <w:pPr>
              <w:pStyle w:val="TableParagraph"/>
              <w:tabs>
                <w:tab w:pos="925" w:val="left" w:leader="none"/>
              </w:tabs>
              <w:spacing w:before="44"/>
              <w:ind w:left="105"/>
              <w:jc w:val="left"/>
              <w:rPr>
                <w:sz w:val="17"/>
              </w:rPr>
            </w:pPr>
            <w:r>
              <w:rPr>
                <w:w w:val="105"/>
                <w:position w:val="9"/>
                <w:sz w:val="13"/>
              </w:rPr>
              <w:t>8.0</w:t>
              <w:tab/>
            </w:r>
            <w:r>
              <w:rPr>
                <w:color w:val="FF0000"/>
                <w:w w:val="105"/>
                <w:sz w:val="17"/>
              </w:rPr>
              <w:t>África </w:t>
            </w:r>
            <w:r>
              <w:rPr>
                <w:color w:val="FF0000"/>
                <w:spacing w:val="2"/>
                <w:w w:val="105"/>
                <w:sz w:val="17"/>
              </w:rPr>
              <w:t>del</w:t>
            </w:r>
            <w:r>
              <w:rPr>
                <w:color w:val="FF0000"/>
                <w:spacing w:val="-30"/>
                <w:w w:val="105"/>
                <w:sz w:val="17"/>
              </w:rPr>
              <w:t> </w:t>
            </w:r>
            <w:r>
              <w:rPr>
                <w:color w:val="FF0000"/>
                <w:w w:val="105"/>
                <w:sz w:val="17"/>
              </w:rPr>
              <w:t>Norte=</w:t>
            </w:r>
          </w:p>
          <w:p>
            <w:pPr>
              <w:pStyle w:val="TableParagraph"/>
              <w:tabs>
                <w:tab w:pos="925" w:val="left" w:leader="none"/>
              </w:tabs>
              <w:spacing w:before="1"/>
              <w:ind w:left="105"/>
              <w:jc w:val="left"/>
              <w:rPr>
                <w:sz w:val="17"/>
              </w:rPr>
            </w:pPr>
            <w:r>
              <w:rPr>
                <w:w w:val="105"/>
                <w:position w:val="4"/>
                <w:sz w:val="13"/>
              </w:rPr>
              <w:t>7.0</w:t>
              <w:tab/>
            </w:r>
            <w:r>
              <w:rPr>
                <w:color w:val="FF0000"/>
                <w:w w:val="105"/>
                <w:sz w:val="17"/>
              </w:rPr>
              <w:t>2,19 % crec.</w:t>
            </w:r>
            <w:r>
              <w:rPr>
                <w:color w:val="FF0000"/>
                <w:spacing w:val="-27"/>
                <w:w w:val="105"/>
                <w:sz w:val="17"/>
              </w:rPr>
              <w:t> </w:t>
            </w:r>
            <w:r>
              <w:rPr>
                <w:color w:val="FF0000"/>
                <w:w w:val="105"/>
                <w:sz w:val="17"/>
              </w:rPr>
              <w:t>anual</w:t>
            </w:r>
          </w:p>
        </w:tc>
      </w:tr>
      <w:tr>
        <w:trPr>
          <w:trHeight w:val="202" w:hRule="exact"/>
        </w:trPr>
        <w:tc>
          <w:tcPr>
            <w:tcW w:w="2794" w:type="dxa"/>
            <w:tcBorders>
              <w:left w:val="double" w:sz="2" w:space="0" w:color="858585"/>
            </w:tcBorders>
          </w:tcPr>
          <w:p>
            <w:pPr>
              <w:pStyle w:val="TableParagraph"/>
              <w:spacing w:before="1"/>
              <w:ind w:left="7" w:right="212"/>
              <w:jc w:val="left"/>
              <w:rPr>
                <w:sz w:val="13"/>
              </w:rPr>
            </w:pPr>
            <w:r>
              <w:rPr>
                <w:w w:val="105"/>
                <w:sz w:val="13"/>
              </w:rPr>
              <w:t>15.0</w:t>
            </w:r>
          </w:p>
        </w:tc>
        <w:tc>
          <w:tcPr>
            <w:tcW w:w="2794" w:type="dxa"/>
          </w:tcPr>
          <w:p>
            <w:pPr>
              <w:pStyle w:val="TableParagraph"/>
              <w:spacing w:before="46"/>
              <w:ind w:left="105"/>
              <w:jc w:val="left"/>
              <w:rPr>
                <w:sz w:val="13"/>
              </w:rPr>
            </w:pPr>
            <w:r>
              <w:rPr>
                <w:w w:val="105"/>
                <w:sz w:val="13"/>
              </w:rPr>
              <w:t>6.0</w:t>
            </w:r>
          </w:p>
        </w:tc>
      </w:tr>
      <w:tr>
        <w:trPr>
          <w:trHeight w:val="240" w:hRule="exact"/>
        </w:trPr>
        <w:tc>
          <w:tcPr>
            <w:tcW w:w="2794" w:type="dxa"/>
            <w:tcBorders>
              <w:left w:val="double" w:sz="2" w:space="0" w:color="858585"/>
            </w:tcBorders>
          </w:tcPr>
          <w:p>
            <w:pPr>
              <w:pStyle w:val="TableParagraph"/>
              <w:spacing w:line="154" w:lineRule="exact"/>
              <w:ind w:right="578"/>
              <w:jc w:val="right"/>
              <w:rPr>
                <w:rFonts w:ascii="Calibri"/>
                <w:b/>
                <w:sz w:val="14"/>
              </w:rPr>
            </w:pPr>
            <w:r>
              <w:rPr>
                <w:rFonts w:ascii="Calibri"/>
                <w:b/>
                <w:w w:val="105"/>
                <w:sz w:val="14"/>
              </w:rPr>
              <w:t>2012   2017   2022   2027  2032</w:t>
            </w:r>
          </w:p>
        </w:tc>
        <w:tc>
          <w:tcPr>
            <w:tcW w:w="2794" w:type="dxa"/>
          </w:tcPr>
          <w:p>
            <w:pPr>
              <w:pStyle w:val="TableParagraph"/>
              <w:spacing w:before="28"/>
              <w:ind w:right="551"/>
              <w:jc w:val="right"/>
              <w:rPr>
                <w:rFonts w:ascii="Calibri"/>
                <w:b/>
                <w:sz w:val="14"/>
              </w:rPr>
            </w:pPr>
            <w:r>
              <w:rPr>
                <w:rFonts w:ascii="Calibri"/>
                <w:b/>
                <w:w w:val="105"/>
                <w:sz w:val="14"/>
              </w:rPr>
              <w:t>2012   2017   2022   2027  2032</w:t>
            </w:r>
          </w:p>
        </w:tc>
      </w:tr>
    </w:tbl>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33"/>
        </w:rPr>
      </w:pPr>
    </w:p>
    <w:p>
      <w:pPr>
        <w:spacing w:before="0"/>
        <w:ind w:left="810" w:right="1489" w:firstLine="0"/>
        <w:jc w:val="left"/>
        <w:rPr>
          <w:sz w:val="16"/>
        </w:rPr>
      </w:pPr>
      <w:r>
        <w:rPr>
          <w:sz w:val="16"/>
        </w:rPr>
        <w:t>Fuente: Energy Information Administration EIA - U.S. (2011)</w:t>
      </w:r>
    </w:p>
    <w:p>
      <w:pPr>
        <w:spacing w:after="0"/>
        <w:jc w:val="left"/>
        <w:rPr>
          <w:sz w:val="16"/>
        </w:rPr>
        <w:sectPr>
          <w:pgSz w:w="12250" w:h="15850"/>
          <w:pgMar w:header="0" w:footer="1037" w:top="1360" w:bottom="1220" w:left="1600" w:right="1020"/>
        </w:sectPr>
      </w:pPr>
    </w:p>
    <w:p>
      <w:pPr>
        <w:pStyle w:val="BodyText"/>
        <w:spacing w:before="50"/>
        <w:ind w:right="58"/>
        <w:jc w:val="center"/>
      </w:pPr>
      <w:bookmarkStart w:name="_bookmark33" w:id="54"/>
      <w:bookmarkEnd w:id="54"/>
      <w:r>
        <w:rPr/>
      </w:r>
      <w:r>
        <w:rPr/>
        <w:t>Figura 2. 3: Proyección de  precios del petróleo y del gas natural, período 2012-2035</w:t>
      </w:r>
    </w:p>
    <w:p>
      <w:pPr>
        <w:pStyle w:val="BodyText"/>
        <w:spacing w:before="137"/>
        <w:ind w:left="669" w:right="19"/>
        <w:jc w:val="center"/>
      </w:pPr>
      <w:r>
        <w:rPr/>
        <w:t>(En dólares americanos -$us.)</w:t>
      </w:r>
    </w:p>
    <w:p>
      <w:pPr>
        <w:pStyle w:val="BodyText"/>
        <w:spacing w:before="7"/>
        <w:rPr>
          <w:sz w:val="26"/>
        </w:rPr>
      </w:pPr>
      <w:r>
        <w:rPr/>
        <w:pict>
          <v:group style="position:absolute;margin-left:142.250504pt;margin-top:17.261375pt;width:382.4pt;height:117.8pt;mso-position-horizontal-relative:page;mso-position-vertical-relative:paragraph;z-index:3808;mso-wrap-distance-left:0;mso-wrap-distance-right:0" coordorigin="2845,345" coordsize="7648,2356">
            <v:line style="position:absolute" from="3507,1935" to="6342,1935" stroked="true" strokeweight=".651916pt" strokecolor="#858585"/>
            <v:line style="position:absolute" from="3507,1621" to="6342,1621" stroked="true" strokeweight=".651916pt" strokecolor="#858585"/>
            <v:line style="position:absolute" from="3507,1308" to="6342,1308" stroked="true" strokeweight=".651916pt" strokecolor="#858585"/>
            <v:line style="position:absolute" from="3507,1203" to="3507,2314" stroked="true" strokeweight=".652351pt" strokecolor="#858585"/>
            <v:line style="position:absolute" from="3455,2262" to="3507,2262" stroked="true" strokeweight=".677993pt" strokecolor="#858585"/>
            <v:line style="position:absolute" from="3455,1935" to="3507,1935" stroked="true" strokeweight=".651916pt" strokecolor="#858585"/>
            <v:line style="position:absolute" from="3455,1621" to="3507,1621" stroked="true" strokeweight=".651916pt" strokecolor="#858585"/>
            <v:line style="position:absolute" from="3455,1308" to="3507,1308" stroked="true" strokeweight=".651916pt" strokecolor="#858585"/>
            <v:line style="position:absolute" from="3507,2262" to="6342,2262" stroked="true" strokeweight=".673647pt" strokecolor="#858585"/>
            <v:line style="position:absolute" from="3618,2288" to="3631,2288" stroked="true" strokeweight="2.607665pt" strokecolor="#858585"/>
            <v:line style="position:absolute" from="3735,2288" to="3748,2288" stroked="true" strokeweight="2.607665pt" strokecolor="#858585"/>
            <v:line style="position:absolute" from="3853,2288" to="3866,2288" stroked="true" strokeweight="2.607665pt" strokecolor="#858585"/>
            <v:line style="position:absolute" from="3970,2288" to="3983,2288" stroked="true" strokeweight="2.607665pt" strokecolor="#858585"/>
            <v:line style="position:absolute" from="4088,2288" to="4101,2288" stroked="true" strokeweight="2.607665pt" strokecolor="#858585"/>
            <v:line style="position:absolute" from="4205,2288" to="4219,2288" stroked="true" strokeweight="2.607665pt" strokecolor="#858585"/>
            <v:line style="position:absolute" from="4323,2288" to="4336,2288" stroked="true" strokeweight="2.607665pt" strokecolor="#858585"/>
            <v:line style="position:absolute" from="4441,2288" to="4454,2288" stroked="true" strokeweight="2.607665pt" strokecolor="#858585"/>
            <v:line style="position:absolute" from="4558,2288" to="4571,2288" stroked="true" strokeweight="2.607665pt" strokecolor="#858585"/>
            <v:line style="position:absolute" from="4676,2288" to="4689,2288" stroked="true" strokeweight="2.607665pt" strokecolor="#858585"/>
            <v:line style="position:absolute" from="4794,2288" to="4807,2288" stroked="true" strokeweight="2.607665pt" strokecolor="#858585"/>
            <v:line style="position:absolute" from="4911,2288" to="4924,2288" stroked="true" strokeweight="2.607665pt" strokecolor="#858585"/>
            <v:line style="position:absolute" from="5029,2288" to="5042,2288" stroked="true" strokeweight="2.607665pt" strokecolor="#858585"/>
            <v:line style="position:absolute" from="5159,2288" to="5172,2288" stroked="true" strokeweight="2.607665pt" strokecolor="#858585"/>
            <v:line style="position:absolute" from="5277,2288" to="5290,2288" stroked="true" strokeweight="2.607665pt" strokecolor="#858585"/>
            <v:line style="position:absolute" from="5395,2288" to="5408,2288" stroked="true" strokeweight="2.607665pt" strokecolor="#858585"/>
            <v:line style="position:absolute" from="5512,2288" to="5525,2288" stroked="true" strokeweight="2.607665pt" strokecolor="#858585"/>
            <v:line style="position:absolute" from="5630,2288" to="5643,2288" stroked="true" strokeweight="2.607665pt" strokecolor="#858585"/>
            <v:line style="position:absolute" from="5747,2288" to="5760,2288" stroked="true" strokeweight="2.607665pt" strokecolor="#858585"/>
            <v:line style="position:absolute" from="5865,2288" to="5878,2288" stroked="true" strokeweight="2.607665pt" strokecolor="#858585"/>
            <v:line style="position:absolute" from="5983,2288" to="5996,2288" stroked="true" strokeweight="2.607665pt" strokecolor="#858585"/>
            <v:line style="position:absolute" from="6100,2288" to="6113,2288" stroked="true" strokeweight="2.607665pt" strokecolor="#858585"/>
            <v:line style="position:absolute" from="6218,2288" to="6231,2288" stroked="true" strokeweight="2.607665pt" strokecolor="#858585"/>
            <v:line style="position:absolute" from="6335,2288" to="6348,2288" stroked="true" strokeweight="2.607665pt" strokecolor="#858585"/>
            <v:shape style="position:absolute;left:3537;top:1314;width:2774;height:736" coordorigin="3537,1314" coordsize="2774,736" path="m6300,1314l6289,1314,6171,1320,6052,1324,5814,1335,5695,1343,5575,1357,5457,1374,5337,1393,5218,1418,5098,1447,4979,1479,4860,1514,4621,1588,4503,1632,4383,1678,4264,1728,4144,1781,4086,1808,4028,1834,3910,1880,3790,1916,3552,2009,3541,2013,3537,2024,3541,2034,3545,2044,3556,2050,3566,2045,3804,1953,3922,1916,4042,1871,4161,1817,4280,1764,4398,1715,4517,1669,4635,1624,4872,1551,4990,1518,5109,1486,5226,1456,5344,1432,5463,1412,5581,1395,5699,1381,5817,1373,6291,1353,6302,1353,6310,1344,6309,1335,6309,1322,6300,1314xe" filled="true" fillcolor="#497dba" stroked="false">
              <v:path arrowok="t"/>
              <v:fill type="solid"/>
            </v:shape>
            <v:shape style="position:absolute;left:3537;top:1314;width:2774;height:736" coordorigin="3537,1314" coordsize="2774,736" path="m3552,2009l3672,1963,3790,1916,3851,1897,3910,1880,4028,1834,4086,1808,4144,1781,4264,1728,4383,1678,4503,1632,4621,1588,4741,1551,4860,1514,4979,1479,5098,1447,5218,1418,5337,1393,5457,1374,5575,1357,5695,1343,5814,1335,5933,1329,6052,1324,6171,1320,6289,1314,6300,1314,6309,1322,6309,1333,6310,1344,6302,1353,6291,1353,6172,1359,6054,1363,5934,1368,5817,1373,5699,1381,5581,1395,5463,1412,5344,1432,5226,1456,5109,1486,4990,1518,4872,1551,4753,1588,4635,1624,4517,1669,4398,1715,4280,1764,4161,1817,4102,1844,4042,1871,3922,1916,3862,1935,3804,1953,3685,1999,3566,2045,3556,2050,3545,2044,3541,2034,3537,2024,3541,2013,3552,2009xe" filled="false" stroked="true" strokeweight=".651945pt" strokecolor="#497dba">
              <v:path arrowok="t"/>
            </v:shape>
            <v:shape style="position:absolute;left:2847;top:347;width:3803;height:2340" coordorigin="2847,347" coordsize="3803,2340" path="m6647,347l2850,347,2847,350,2847,2684,2850,2687,6647,2687,6649,2684,6649,2680,2860,2680,2853,2674,2860,2674,2860,360,2853,360,2860,353,6649,353,6649,350,6647,347xm2860,2674l2853,2674,2860,2680,2860,2674xm6636,2674l2860,2674,2860,2680,6636,2680,6636,2674xm6636,353l6636,2680,6642,2674,6649,2674,6649,360,6642,360,6636,353xm6649,2674l6642,2674,6636,2680,6649,2680,6649,2674xm2860,353l2853,360,2860,360,2860,353xm6636,353l2860,353,2860,360,6636,360,6636,353xm6649,353l6636,353,6642,360,6649,360,6649,353xe" filled="true" fillcolor="#858585" stroked="false">
              <v:path arrowok="t"/>
              <v:fill type="solid"/>
            </v:shape>
            <v:shape style="position:absolute;left:2847;top:347;width:3803;height:2340" coordorigin="2847,347" coordsize="3803,2340" path="m2847,353l2847,350,2850,347,2853,347,6642,347,6647,347,6649,350,6649,353,6649,2680,6649,2684,6647,2687,6642,2687,2853,2687,2850,2687,2847,2684,2847,2680,2847,353xe" filled="false" stroked="true" strokeweight=".121713pt" strokecolor="#858585">
              <v:path arrowok="t"/>
            </v:shape>
            <v:shape style="position:absolute;left:2853;top:353;width:3789;height:2327" coordorigin="2853,353" coordsize="3789,2327" path="m2860,2680l2853,2674,6642,2674,6636,2680,6636,353,6642,360,2853,360,2860,353,2860,2680xe" filled="false" stroked="true" strokeweight=".121713pt" strokecolor="#858585">
              <v:path arrowok="t"/>
            </v:shape>
            <v:line style="position:absolute" from="7348,2040" to="10184,2040" stroked="true" strokeweight=".651916pt" strokecolor="#858585"/>
            <v:line style="position:absolute" from="7348,1817" to="10184,1817" stroked="true" strokeweight=".651916pt" strokecolor="#858585"/>
            <v:line style="position:absolute" from="7348,1595" to="10184,1595" stroked="true" strokeweight=".651916pt" strokecolor="#858585"/>
            <v:line style="position:absolute" from="7348,1373" to="10184,1373" stroked="true" strokeweight=".651916pt" strokecolor="#858585"/>
            <v:line style="position:absolute" from="7348,1190" to="7348,2327" stroked="true" strokeweight=".652351pt" strokecolor="#858585"/>
            <v:line style="position:absolute" from="7296,2275" to="7348,2275" stroked="true" strokeweight=".651916pt" strokecolor="#858585"/>
            <v:line style="position:absolute" from="7296,2040" to="7348,2040" stroked="true" strokeweight=".651916pt" strokecolor="#858585"/>
            <v:line style="position:absolute" from="7296,1817" to="7348,1817" stroked="true" strokeweight=".651916pt" strokecolor="#858585"/>
            <v:line style="position:absolute" from="7296,1595" to="7348,1595" stroked="true" strokeweight=".651916pt" strokecolor="#858585"/>
            <v:line style="position:absolute" from="7296,1373" to="7348,1373" stroked="true" strokeweight=".651916pt" strokecolor="#858585"/>
            <v:line style="position:absolute" from="7348,2275" to="10184,2275" stroked="true" strokeweight=".651916pt" strokecolor="#858585"/>
            <v:line style="position:absolute" from="7459,2301" to="7472,2301" stroked="true" strokeweight="2.607665pt" strokecolor="#858585"/>
            <v:line style="position:absolute" from="7577,2301" to="7590,2301" stroked="true" strokeweight="2.607665pt" strokecolor="#858585"/>
            <v:line style="position:absolute" from="7694,2301" to="7707,2301" stroked="true" strokeweight="2.607665pt" strokecolor="#858585"/>
            <v:line style="position:absolute" from="7812,2301" to="7825,2301" stroked="true" strokeweight="2.607665pt" strokecolor="#858585"/>
            <v:line style="position:absolute" from="7930,2301" to="7943,2301" stroked="true" strokeweight="2.607665pt" strokecolor="#858585"/>
            <v:line style="position:absolute" from="8047,2301" to="8060,2301" stroked="true" strokeweight="2.607665pt" strokecolor="#858585"/>
            <v:line style="position:absolute" from="8165,2301" to="8178,2301" stroked="true" strokeweight="2.607665pt" strokecolor="#858585"/>
            <v:line style="position:absolute" from="8282,2301" to="8295,2301" stroked="true" strokeweight="2.607665pt" strokecolor="#858585"/>
            <v:line style="position:absolute" from="8400,2301" to="8413,2301" stroked="true" strokeweight="2.607665pt" strokecolor="#858585"/>
            <v:line style="position:absolute" from="8518,2301" to="8531,2301" stroked="true" strokeweight="2.607665pt" strokecolor="#858585"/>
            <v:line style="position:absolute" from="8635,2301" to="8648,2301" stroked="true" strokeweight="2.607665pt" strokecolor="#858585"/>
            <v:line style="position:absolute" from="8753,2301" to="8766,2301" stroked="true" strokeweight="2.607665pt" strokecolor="#858585"/>
            <v:line style="position:absolute" from="8870,2301" to="8883,2301" stroked="true" strokeweight="2.607665pt" strokecolor="#858585"/>
            <v:line style="position:absolute" from="9001,2301" to="9014,2301" stroked="true" strokeweight="2.607665pt" strokecolor="#858585"/>
            <v:line style="position:absolute" from="9119,2301" to="9132,2301" stroked="true" strokeweight="2.607665pt" strokecolor="#858585"/>
            <v:line style="position:absolute" from="9236,2301" to="9249,2301" stroked="true" strokeweight="2.607665pt" strokecolor="#858585"/>
            <v:line style="position:absolute" from="9354,2301" to="9367,2301" stroked="true" strokeweight="2.607665pt" strokecolor="#858585"/>
            <v:line style="position:absolute" from="9471,2301" to="9484,2301" stroked="true" strokeweight="2.607665pt" strokecolor="#858585"/>
            <v:line style="position:absolute" from="9589,2301" to="9602,2301" stroked="true" strokeweight="2.607665pt" strokecolor="#858585"/>
            <v:line style="position:absolute" from="9707,2301" to="9720,2301" stroked="true" strokeweight="2.607665pt" strokecolor="#858585"/>
            <v:line style="position:absolute" from="9824,2301" to="9837,2301" stroked="true" strokeweight="2.607665pt" strokecolor="#858585"/>
            <v:line style="position:absolute" from="9942,2301" to="9955,2301" stroked="true" strokeweight="2.607665pt" strokecolor="#858585"/>
            <v:line style="position:absolute" from="10059,2301" to="10072,2301" stroked="true" strokeweight="2.607665pt" strokecolor="#858585"/>
            <v:line style="position:absolute" from="10177,2301" to="10190,2301" stroked="true" strokeweight="2.607665pt" strokecolor="#858585"/>
            <v:shape style="position:absolute;left:7379;top:1247;width:2775;height:920" coordorigin="7379,1247" coordsize="2775,920" path="m10136,1247l10126,1250,10008,1285,9534,1415,9414,1450,9176,1524,9057,1562,8463,1764,8345,1806,7870,1986,7752,2024,7515,2092,7385,2129,7379,2139,7382,2150,7385,2160,7396,2166,7406,2164,7525,2131,7644,2095,7763,2063,7882,2023,8358,1844,8477,1800,9070,1599,9307,1523,9426,1487,10019,1324,10137,1287,10148,1285,10153,1273,10150,1262,10148,1253,10136,1247xe" filled="true" fillcolor="#497dba" stroked="false">
              <v:path arrowok="t"/>
              <v:fill type="solid"/>
            </v:shape>
            <v:shape style="position:absolute;left:7379;top:1247;width:2775;height:920" coordorigin="7379,1247" coordsize="2775,920" path="m7396,2126l7515,2092,7633,2058,7752,2024,7870,1986,7988,1942,8107,1897,8225,1852,8345,1806,8463,1764,8582,1724,8701,1683,8820,1643,8939,1602,9057,1562,9176,1524,9295,1487,9414,1450,9534,1415,9652,1383,9770,1351,9890,1318,10008,1285,10126,1250,10136,1247,10148,1253,10150,1262,10153,1273,10148,1285,10137,1287,10019,1324,9900,1357,9781,1389,9663,1421,9544,1454,9426,1487,9307,1523,9188,1561,9070,1599,8951,1639,8832,1679,8714,1719,8594,1760,8477,1800,8358,1844,8239,1888,8121,1933,8001,1978,7882,2023,7763,2063,7644,2095,7525,2131,7406,2164,7396,2166,7385,2160,7382,2150,7379,2139,7385,2129,7396,2126xe" filled="false" stroked="true" strokeweight=".651959pt" strokecolor="#497dba">
              <v:path arrowok="t"/>
            </v:shape>
            <v:shape style="position:absolute;left:6688;top:360;width:3803;height:2340" coordorigin="6688,360" coordsize="3803,2340" path="m10488,360l6692,360,6688,363,6688,2697,6692,2700,10488,2700,10491,2697,10491,2693,6701,2693,6695,2687,6701,2687,6701,373,6695,373,6701,366,10491,366,10491,363,10488,360xm6701,2687l6695,2687,6701,2693,6701,2687xm10478,2687l6701,2687,6701,2693,10478,2693,10478,2687xm10478,366l10478,2693,10484,2687,10491,2687,10491,373,10484,373,10478,366xm10491,2687l10484,2687,10478,2693,10491,2693,10491,2687xm6701,366l6695,373,6701,373,6701,366xm10478,366l6701,366,6701,373,10478,373,10478,366xm10491,366l10478,366,10484,373,10491,373,10491,366xe" filled="true" fillcolor="#858585" stroked="false">
              <v:path arrowok="t"/>
              <v:fill type="solid"/>
            </v:shape>
            <v:shape style="position:absolute;left:6688;top:360;width:3803;height:2340" coordorigin="6688,360" coordsize="3803,2340" path="m6688,366l6688,363,6692,360,6695,360,10484,360,10488,360,10491,363,10491,366,10491,2693,10491,2697,10488,2700,10484,2700,6695,2700,6692,2700,6688,2697,6688,2693,6688,366xe" filled="false" stroked="true" strokeweight=".121713pt" strokecolor="#858585">
              <v:path arrowok="t"/>
            </v:shape>
            <v:shape style="position:absolute;left:6695;top:366;width:3790;height:2327" coordorigin="6695,366" coordsize="3790,2327" path="m6701,2693l6695,2687,10484,2687,10478,2693,10478,366,10484,373,6695,373,6701,366,6701,2693xe" filled="false" stroked="true" strokeweight=".121713pt" strokecolor="#858585">
              <v:path arrowok="t"/>
            </v:shape>
            <v:shape style="position:absolute;left:3363;top:523;width:2809;height:471" type="#_x0000_t202" filled="false" stroked="false">
              <v:textbox inset="0,0,0,0">
                <w:txbxContent>
                  <w:p>
                    <w:pPr>
                      <w:spacing w:line="213" w:lineRule="exact" w:before="0"/>
                      <w:ind w:left="0" w:right="0" w:firstLine="0"/>
                      <w:jc w:val="center"/>
                      <w:rPr>
                        <w:rFonts w:ascii="Calibri" w:hAnsi="Calibri"/>
                        <w:b/>
                        <w:sz w:val="21"/>
                      </w:rPr>
                    </w:pPr>
                    <w:r>
                      <w:rPr>
                        <w:rFonts w:ascii="Calibri" w:hAnsi="Calibri"/>
                        <w:b/>
                        <w:sz w:val="21"/>
                      </w:rPr>
                      <w:t>"Precio proyectado del petróleo</w:t>
                    </w:r>
                  </w:p>
                  <w:p>
                    <w:pPr>
                      <w:spacing w:line="252" w:lineRule="exact" w:before="5"/>
                      <w:ind w:left="0" w:right="53" w:firstLine="0"/>
                      <w:jc w:val="center"/>
                      <w:rPr>
                        <w:rFonts w:ascii="Calibri"/>
                        <w:b/>
                        <w:sz w:val="21"/>
                      </w:rPr>
                    </w:pPr>
                    <w:r>
                      <w:rPr>
                        <w:rFonts w:ascii="Calibri"/>
                        <w:b/>
                        <w:sz w:val="21"/>
                      </w:rPr>
                      <w:t>($us de 2009/ barril)"</w:t>
                    </w:r>
                  </w:p>
                </w:txbxContent>
              </v:textbox>
              <w10:wrap type="none"/>
            </v:shape>
            <v:shape style="position:absolute;left:7178;top:525;width:2814;height:445" type="#_x0000_t202" filled="false" stroked="false">
              <v:textbox inset="0,0,0,0">
                <w:txbxContent>
                  <w:p>
                    <w:pPr>
                      <w:spacing w:line="211" w:lineRule="exact" w:before="0"/>
                      <w:ind w:left="-1" w:right="0" w:firstLine="0"/>
                      <w:jc w:val="center"/>
                      <w:rPr>
                        <w:b/>
                        <w:sz w:val="21"/>
                      </w:rPr>
                    </w:pPr>
                    <w:r>
                      <w:rPr>
                        <w:b/>
                        <w:sz w:val="21"/>
                      </w:rPr>
                      <w:t>"Precio</w:t>
                    </w:r>
                    <w:r>
                      <w:rPr>
                        <w:b/>
                        <w:spacing w:val="-24"/>
                        <w:sz w:val="21"/>
                      </w:rPr>
                      <w:t> </w:t>
                    </w:r>
                    <w:r>
                      <w:rPr>
                        <w:b/>
                        <w:sz w:val="21"/>
                      </w:rPr>
                      <w:t>proyectado</w:t>
                    </w:r>
                    <w:r>
                      <w:rPr>
                        <w:b/>
                        <w:spacing w:val="-14"/>
                        <w:sz w:val="21"/>
                      </w:rPr>
                      <w:t> </w:t>
                    </w:r>
                    <w:r>
                      <w:rPr>
                        <w:b/>
                        <w:sz w:val="21"/>
                      </w:rPr>
                      <w:t>del</w:t>
                    </w:r>
                    <w:r>
                      <w:rPr>
                        <w:b/>
                        <w:spacing w:val="-9"/>
                        <w:sz w:val="21"/>
                      </w:rPr>
                      <w:t> </w:t>
                    </w:r>
                    <w:r>
                      <w:rPr>
                        <w:b/>
                        <w:sz w:val="21"/>
                      </w:rPr>
                      <w:t>petróleo</w:t>
                    </w:r>
                  </w:p>
                  <w:p>
                    <w:pPr>
                      <w:spacing w:line="234" w:lineRule="exact" w:before="0"/>
                      <w:ind w:left="394" w:right="395" w:firstLine="0"/>
                      <w:jc w:val="center"/>
                      <w:rPr>
                        <w:b/>
                        <w:sz w:val="21"/>
                      </w:rPr>
                    </w:pPr>
                    <w:r>
                      <w:rPr>
                        <w:b/>
                        <w:sz w:val="21"/>
                      </w:rPr>
                      <w:t>($us nominal/ barril)"</w:t>
                    </w:r>
                  </w:p>
                </w:txbxContent>
              </v:textbox>
              <w10:wrap type="none"/>
            </v:shape>
            <v:shape style="position:absolute;left:2967;top:1233;width:385;height:1115" type="#_x0000_t202" filled="false" stroked="false">
              <v:textbox inset="0,0,0,0">
                <w:txbxContent>
                  <w:p>
                    <w:pPr>
                      <w:spacing w:line="174" w:lineRule="exact" w:before="0"/>
                      <w:ind w:left="0" w:right="-18" w:firstLine="0"/>
                      <w:jc w:val="left"/>
                      <w:rPr>
                        <w:sz w:val="17"/>
                      </w:rPr>
                    </w:pPr>
                    <w:r>
                      <w:rPr>
                        <w:sz w:val="17"/>
                      </w:rPr>
                      <w:t>$ 115</w:t>
                    </w:r>
                  </w:p>
                  <w:p>
                    <w:pPr>
                      <w:spacing w:before="119"/>
                      <w:ind w:left="0" w:right="-18" w:firstLine="0"/>
                      <w:jc w:val="left"/>
                      <w:rPr>
                        <w:sz w:val="17"/>
                      </w:rPr>
                    </w:pPr>
                    <w:r>
                      <w:rPr>
                        <w:sz w:val="17"/>
                      </w:rPr>
                      <w:t>$ 100</w:t>
                    </w:r>
                  </w:p>
                  <w:p>
                    <w:pPr>
                      <w:spacing w:before="119"/>
                      <w:ind w:left="82" w:right="-15" w:firstLine="0"/>
                      <w:jc w:val="left"/>
                      <w:rPr>
                        <w:sz w:val="17"/>
                      </w:rPr>
                    </w:pPr>
                    <w:r>
                      <w:rPr>
                        <w:sz w:val="17"/>
                      </w:rPr>
                      <w:t>$ 85</w:t>
                    </w:r>
                  </w:p>
                  <w:p>
                    <w:pPr>
                      <w:spacing w:line="192" w:lineRule="exact" w:before="119"/>
                      <w:ind w:left="82" w:right="-15" w:firstLine="0"/>
                      <w:jc w:val="left"/>
                      <w:rPr>
                        <w:sz w:val="17"/>
                      </w:rPr>
                    </w:pPr>
                    <w:r>
                      <w:rPr>
                        <w:sz w:val="17"/>
                      </w:rPr>
                      <w:t>$ 70</w:t>
                    </w:r>
                  </w:p>
                </w:txbxContent>
              </v:textbox>
              <w10:wrap type="none"/>
            </v:shape>
            <v:shape style="position:absolute;left:7812;top:1186;width:1001;height:419" type="#_x0000_t202" filled="false" stroked="false">
              <v:textbox inset="0,0,0,0">
                <w:txbxContent>
                  <w:p>
                    <w:pPr>
                      <w:spacing w:line="199" w:lineRule="exact" w:before="0"/>
                      <w:ind w:left="0" w:right="-16" w:firstLine="0"/>
                      <w:jc w:val="left"/>
                      <w:rPr>
                        <w:sz w:val="19"/>
                      </w:rPr>
                    </w:pPr>
                    <w:r>
                      <w:rPr>
                        <w:color w:val="FF0000"/>
                        <w:w w:val="105"/>
                        <w:sz w:val="19"/>
                      </w:rPr>
                      <w:t>4,40 % crec.</w:t>
                    </w:r>
                  </w:p>
                  <w:p>
                    <w:pPr>
                      <w:spacing w:line="216" w:lineRule="exact" w:before="3"/>
                      <w:ind w:left="0" w:right="-16" w:firstLine="0"/>
                      <w:jc w:val="left"/>
                      <w:rPr>
                        <w:sz w:val="19"/>
                      </w:rPr>
                    </w:pPr>
                    <w:r>
                      <w:rPr>
                        <w:color w:val="FF0000"/>
                        <w:w w:val="105"/>
                        <w:sz w:val="19"/>
                      </w:rPr>
                      <w:t>anual</w:t>
                    </w:r>
                  </w:p>
                </w:txbxContent>
              </v:textbox>
              <w10:wrap type="none"/>
            </v:shape>
            <v:shape style="position:absolute;left:4955;top:1641;width:1000;height:419" type="#_x0000_t202" filled="false" stroked="false">
              <v:textbox inset="0,0,0,0">
                <w:txbxContent>
                  <w:p>
                    <w:pPr>
                      <w:spacing w:line="199" w:lineRule="exact" w:before="0"/>
                      <w:ind w:left="0" w:right="-17" w:firstLine="0"/>
                      <w:jc w:val="left"/>
                      <w:rPr>
                        <w:sz w:val="19"/>
                      </w:rPr>
                    </w:pPr>
                    <w:r>
                      <w:rPr>
                        <w:color w:val="FF0000"/>
                        <w:w w:val="105"/>
                        <w:sz w:val="19"/>
                      </w:rPr>
                      <w:t>2,60 % crec.</w:t>
                    </w:r>
                  </w:p>
                  <w:p>
                    <w:pPr>
                      <w:spacing w:line="216" w:lineRule="exact" w:before="4"/>
                      <w:ind w:left="0" w:right="-17" w:firstLine="0"/>
                      <w:jc w:val="left"/>
                      <w:rPr>
                        <w:sz w:val="19"/>
                      </w:rPr>
                    </w:pPr>
                    <w:r>
                      <w:rPr>
                        <w:color w:val="FF0000"/>
                        <w:w w:val="105"/>
                        <w:sz w:val="19"/>
                      </w:rPr>
                      <w:t>anual</w:t>
                    </w:r>
                  </w:p>
                </w:txbxContent>
              </v:textbox>
              <w10:wrap type="none"/>
            </v:shape>
            <v:shape style="position:absolute;left:6808;top:1291;width:386;height:1070" type="#_x0000_t202" filled="false" stroked="false">
              <v:textbox inset="0,0,0,0">
                <w:txbxContent>
                  <w:p>
                    <w:pPr>
                      <w:spacing w:line="174" w:lineRule="exact" w:before="0"/>
                      <w:ind w:left="0" w:right="-17" w:firstLine="0"/>
                      <w:jc w:val="left"/>
                      <w:rPr>
                        <w:sz w:val="17"/>
                      </w:rPr>
                    </w:pPr>
                    <w:r>
                      <w:rPr>
                        <w:sz w:val="17"/>
                      </w:rPr>
                      <w:t>$ 170</w:t>
                    </w:r>
                  </w:p>
                  <w:p>
                    <w:pPr>
                      <w:spacing w:before="29"/>
                      <w:ind w:left="0" w:right="-17" w:firstLine="0"/>
                      <w:jc w:val="left"/>
                      <w:rPr>
                        <w:sz w:val="17"/>
                      </w:rPr>
                    </w:pPr>
                    <w:r>
                      <w:rPr>
                        <w:sz w:val="17"/>
                      </w:rPr>
                      <w:t>$ 145</w:t>
                    </w:r>
                  </w:p>
                  <w:p>
                    <w:pPr>
                      <w:spacing w:before="29"/>
                      <w:ind w:left="0" w:right="-17" w:firstLine="0"/>
                      <w:jc w:val="left"/>
                      <w:rPr>
                        <w:sz w:val="17"/>
                      </w:rPr>
                    </w:pPr>
                    <w:r>
                      <w:rPr>
                        <w:sz w:val="17"/>
                      </w:rPr>
                      <w:t>$ 120</w:t>
                    </w:r>
                  </w:p>
                  <w:p>
                    <w:pPr>
                      <w:spacing w:before="29"/>
                      <w:ind w:left="82" w:right="-14" w:firstLine="0"/>
                      <w:jc w:val="left"/>
                      <w:rPr>
                        <w:sz w:val="17"/>
                      </w:rPr>
                    </w:pPr>
                    <w:r>
                      <w:rPr>
                        <w:sz w:val="17"/>
                      </w:rPr>
                      <w:t>$ 95</w:t>
                    </w:r>
                  </w:p>
                  <w:p>
                    <w:pPr>
                      <w:spacing w:line="192" w:lineRule="exact" w:before="29"/>
                      <w:ind w:left="82" w:right="-14" w:firstLine="0"/>
                      <w:jc w:val="left"/>
                      <w:rPr>
                        <w:sz w:val="17"/>
                      </w:rPr>
                    </w:pPr>
                    <w:r>
                      <w:rPr>
                        <w:sz w:val="17"/>
                      </w:rPr>
                      <w:t>$ 70</w:t>
                    </w:r>
                  </w:p>
                </w:txbxContent>
              </v:textbox>
              <w10:wrap type="none"/>
            </v:shape>
            <v:shape style="position:absolute;left:3377;top:2387;width:6580;height:183" type="#_x0000_t202" filled="false" stroked="false">
              <v:textbox inset="0,0,0,0">
                <w:txbxContent>
                  <w:p>
                    <w:pPr>
                      <w:tabs>
                        <w:tab w:pos="592" w:val="left" w:leader="none"/>
                        <w:tab w:pos="1185" w:val="left" w:leader="none"/>
                        <w:tab w:pos="1778" w:val="left" w:leader="none"/>
                        <w:tab w:pos="2371" w:val="left" w:leader="none"/>
                        <w:tab w:pos="3841" w:val="left" w:leader="none"/>
                        <w:tab w:pos="4434" w:val="left" w:leader="none"/>
                        <w:tab w:pos="5026" w:val="left" w:leader="none"/>
                        <w:tab w:pos="5619" w:val="left" w:leader="none"/>
                        <w:tab w:pos="6212" w:val="left" w:leader="none"/>
                      </w:tabs>
                      <w:spacing w:line="183" w:lineRule="exact" w:before="0"/>
                      <w:ind w:left="0" w:right="0" w:firstLine="0"/>
                      <w:jc w:val="left"/>
                      <w:rPr>
                        <w:b/>
                        <w:sz w:val="17"/>
                      </w:rPr>
                    </w:pPr>
                    <w:r>
                      <w:rPr>
                        <w:b/>
                        <w:spacing w:val="4"/>
                        <w:position w:val="1"/>
                        <w:sz w:val="17"/>
                      </w:rPr>
                      <w:t>2012</w:t>
                      <w:tab/>
                      <w:t>2017</w:t>
                      <w:tab/>
                      <w:t>2022</w:t>
                      <w:tab/>
                      <w:t>2027</w:t>
                      <w:tab/>
                      <w:t>2032</w:t>
                      <w:tab/>
                    </w:r>
                    <w:r>
                      <w:rPr>
                        <w:b/>
                        <w:spacing w:val="4"/>
                        <w:sz w:val="17"/>
                      </w:rPr>
                      <w:t>2012</w:t>
                      <w:tab/>
                      <w:t>2017</w:t>
                      <w:tab/>
                      <w:t>2022</w:t>
                      <w:tab/>
                      <w:t>2027</w:t>
                      <w:tab/>
                    </w:r>
                    <w:r>
                      <w:rPr>
                        <w:b/>
                        <w:spacing w:val="6"/>
                        <w:sz w:val="17"/>
                      </w:rPr>
                      <w:t>2032</w:t>
                    </w:r>
                  </w:p>
                </w:txbxContent>
              </v:textbox>
              <w10:wrap type="none"/>
            </v:shape>
            <w10:wrap type="topAndBottom"/>
          </v:group>
        </w:pict>
      </w:r>
    </w:p>
    <w:p>
      <w:pPr>
        <w:pStyle w:val="BodyText"/>
        <w:spacing w:before="2"/>
        <w:rPr>
          <w:sz w:val="5"/>
        </w:rPr>
      </w:pPr>
    </w:p>
    <w:p>
      <w:pPr>
        <w:spacing w:line="240" w:lineRule="auto"/>
        <w:ind w:left="1218" w:right="0" w:firstLine="0"/>
        <w:rPr>
          <w:sz w:val="20"/>
        </w:rPr>
      </w:pPr>
      <w:r>
        <w:rPr>
          <w:sz w:val="20"/>
        </w:rPr>
        <w:pict>
          <v:group style="width:190.3pt;height:117.15pt;mso-position-horizontal-relative:char;mso-position-vertical-relative:line" coordorigin="0,0" coordsize="3806,2343">
            <v:line style="position:absolute" from="701,1616" to="3497,1616" stroked="true" strokeweight=".651916pt" strokecolor="#858585"/>
            <v:line style="position:absolute" from="701,1315" to="3497,1315" stroked="true" strokeweight=".651916pt" strokecolor="#858585"/>
            <v:line style="position:absolute" from="701,1015" to="3497,1015" stroked="true" strokeweight=".651916pt" strokecolor="#858585"/>
            <v:line style="position:absolute" from="701,858" to="701,1969" stroked="true" strokeweight=".652351pt" strokecolor="#858585"/>
            <v:line style="position:absolute" from="649,1916" to="701,1916" stroked="true" strokeweight=".651916pt" strokecolor="#858585"/>
            <v:line style="position:absolute" from="649,1616" to="701,1616" stroked="true" strokeweight=".651916pt" strokecolor="#858585"/>
            <v:line style="position:absolute" from="649,1315" to="701,1315" stroked="true" strokeweight=".651916pt" strokecolor="#858585"/>
            <v:line style="position:absolute" from="649,1015" to="701,1015" stroked="true" strokeweight=".651916pt" strokecolor="#858585"/>
            <v:line style="position:absolute" from="701,1916" to="3497,1916" stroked="true" strokeweight=".651916pt" strokecolor="#858585"/>
            <v:line style="position:absolute" from="812,1942" to="825,1942" stroked="true" strokeweight="2.607665pt" strokecolor="#858585"/>
            <v:line style="position:absolute" from="930,1942" to="943,1942" stroked="true" strokeweight="2.607665pt" strokecolor="#858585"/>
            <v:line style="position:absolute" from="1047,1942" to="1060,1942" stroked="true" strokeweight="2.607665pt" strokecolor="#858585"/>
            <v:line style="position:absolute" from="1164,1942" to="1177,1942" stroked="true" strokeweight="2.607665pt" strokecolor="#858585"/>
            <v:line style="position:absolute" from="1282,1942" to="1295,1942" stroked="true" strokeweight="2.607665pt" strokecolor="#858585"/>
            <v:line style="position:absolute" from="1387,1942" to="1400,1942" stroked="true" strokeweight="2.607665pt" strokecolor="#858585"/>
            <v:line style="position:absolute" from="1505,1942" to="1518,1942" stroked="true" strokeweight="2.607665pt" strokecolor="#858585"/>
            <v:line style="position:absolute" from="1622,1942" to="1635,1942" stroked="true" strokeweight="2.607665pt" strokecolor="#858585"/>
            <v:line style="position:absolute" from="1739,1942" to="1752,1942" stroked="true" strokeweight="2.607665pt" strokecolor="#858585"/>
            <v:line style="position:absolute" from="1857,1942" to="1870,1942" stroked="true" strokeweight="2.607665pt" strokecolor="#858585"/>
            <v:line style="position:absolute" from="1975,1942" to="1988,1942" stroked="true" strokeweight="2.607665pt" strokecolor="#858585"/>
            <v:line style="position:absolute" from="2093,1942" to="2106,1942" stroked="true" strokeweight="2.607665pt" strokecolor="#858585"/>
            <v:line style="position:absolute" from="2210,1942" to="2223,1942" stroked="true" strokeweight="2.607665pt" strokecolor="#858585"/>
            <v:line style="position:absolute" from="2327,1942" to="2340,1942" stroked="true" strokeweight="2.607665pt" strokecolor="#858585"/>
            <v:line style="position:absolute" from="2445,1942" to="2458,1942" stroked="true" strokeweight="2.607665pt" strokecolor="#858585"/>
            <v:line style="position:absolute" from="2563,1942" to="2576,1942" stroked="true" strokeweight="2.607665pt" strokecolor="#858585"/>
            <v:line style="position:absolute" from="2680,1942" to="2694,1942" stroked="true" strokeweight="2.607665pt" strokecolor="#858585"/>
            <v:line style="position:absolute" from="2798,1942" to="2811,1942" stroked="true" strokeweight="2.607665pt" strokecolor="#858585"/>
            <v:line style="position:absolute" from="2915,1942" to="2928,1942" stroked="true" strokeweight="2.607665pt" strokecolor="#858585"/>
            <v:line style="position:absolute" from="3033,1942" to="3046,1942" stroked="true" strokeweight="2.607665pt" strokecolor="#858585"/>
            <v:line style="position:absolute" from="3138,1942" to="3151,1942" stroked="true" strokeweight="2.607665pt" strokecolor="#858585"/>
            <v:line style="position:absolute" from="3255,1942" to="3268,1942" stroked="true" strokeweight="2.607665pt" strokecolor="#858585"/>
            <v:line style="position:absolute" from="3373,1942" to="3386,1942" stroked="true" strokeweight="2.607665pt" strokecolor="#858585"/>
            <v:line style="position:absolute" from="3490,1942" to="3503,1942" stroked="true" strokeweight="2.607665pt" strokecolor="#858585"/>
            <v:shape style="position:absolute;left:733;top:1019;width:2736;height:737" coordorigin="733,1019" coordsize="2736,737" path="m987,1693l930,1695,868,1697,810,1705,750,1715,739,1716,733,1726,734,1736,736,1747,746,1755,815,1743,873,1736,988,1733,991,1733,1050,1722,1109,1709,1167,1697,1185,1694,984,1694,987,1693xm1567,1614l1511,1625,1454,1632,1338,1643,1219,1649,1160,1659,1100,1670,1043,1683,984,1694,1185,1694,1225,1688,1281,1684,1339,1682,1458,1670,1517,1663,1577,1653,1578,1653,1579,1652,1580,1652,1638,1630,1671,1615,1566,1615,1567,1614xm1570,1614l1567,1614,1566,1615,1570,1614xm1673,1614l1570,1614,1566,1615,1671,1615,1673,1614xm3446,1019l3436,1023,3379,1051,3322,1076,3265,1095,2973,1177,2915,1192,2858,1203,2800,1211,2741,1215,2623,1228,2565,1235,2507,1245,2504,1245,2503,1246,2444,1264,2387,1284,2328,1300,2267,1318,2150,1366,2033,1424,1919,1475,1859,1496,1799,1517,1741,1541,1625,1593,1567,1614,1570,1614,1673,1614,1698,1603,1757,1578,1815,1554,1872,1532,1931,1512,2049,1461,2166,1401,2282,1354,2339,1338,2398,1322,2457,1301,2512,1283,2512,1283,2515,1282,2518,1282,2571,1274,2628,1266,2746,1254,2803,1249,2862,1241,2923,1230,2981,1215,3275,1134,3335,1113,3395,1088,3463,1054,3468,1042,3462,1032,3458,1022,3446,1019xm2515,1282l2512,1283,2513,1283,2515,1282xm2513,1283l2512,1283,2512,1283,2513,1283xm2518,1282l2515,1282,2513,1283,2518,1282xe" filled="true" fillcolor="#497dba" stroked="false">
              <v:path arrowok="t"/>
              <v:fill type="solid"/>
            </v:shape>
            <v:shape style="position:absolute;left:733;top:1019;width:2736;height:737" coordorigin="733,1019" coordsize="2736,737" path="m750,1715l810,1705,868,1697,930,1695,987,1693,984,1694,1043,1683,1100,1670,1160,1659,1219,1649,1279,1646,1338,1643,1454,1632,1511,1625,1570,1614,1566,1615,1625,1593,1682,1567,1741,1541,1799,1517,1859,1496,1919,1475,2033,1424,2091,1395,2150,1366,2267,1318,2328,1300,2387,1284,2444,1264,2503,1246,2504,1245,2505,1245,2507,1245,2565,1235,2623,1228,2741,1215,2800,1211,2858,1203,2915,1192,2973,1177,3089,1144,3206,1112,3265,1095,3322,1076,3379,1051,3436,1023,3446,1019,3458,1022,3462,1032,3468,1042,3463,1054,3454,1058,3395,1088,3335,1113,3275,1134,3217,1150,3100,1183,2981,1215,2923,1230,2862,1241,2746,1254,2628,1266,2571,1274,2512,1283,2515,1282,2457,1301,2398,1322,2339,1338,2282,1354,2166,1401,2109,1430,2049,1461,1931,1512,1872,1532,1815,1554,1757,1578,1698,1603,1638,1630,1580,1652,1579,1652,1578,1653,1577,1653,1517,1663,1458,1670,1339,1682,1281,1684,1225,1688,1167,1697,1109,1709,1050,1722,991,1733,990,1733,989,1733,988,1733,930,1734,873,1736,815,1743,756,1753,746,1755,736,1747,734,1736,733,1726,739,1716,750,1715xe" filled="false" stroked="true" strokeweight=".651946pt" strokecolor="#497dba">
              <v:path arrowok="t"/>
            </v:shape>
            <v:shape style="position:absolute;left:2;top:2;width:3803;height:2340" coordorigin="2,2" coordsize="3803,2340" path="m3802,2l5,2,2,5,2,2339,5,2341,3802,2341,3804,2339,3804,2335,15,2335,8,2328,15,2328,15,15,8,15,15,8,3804,8,3804,5,3802,2xm15,2328l8,2328,15,2335,15,2328xm3791,2328l15,2328,15,2335,3791,2335,3791,2328xm3791,8l3791,2335,3797,2328,3804,2328,3804,15,3797,15,3791,8xm3804,2328l3797,2328,3791,2335,3804,2335,3804,2328xm15,8l8,15,15,15,15,8xm3791,8l15,8,15,15,3791,15,3791,8xm3804,8l3791,8,3797,15,3804,15,3804,8xe" filled="true" fillcolor="#858585" stroked="false">
              <v:path arrowok="t"/>
              <v:fill type="solid"/>
            </v:shape>
            <v:shape style="position:absolute;left:2;top:2;width:3803;height:2340" coordorigin="2,2" coordsize="3803,2340" path="m2,8l2,5,5,2,8,2,3797,2,3802,2,3804,5,3804,8,3804,2335,3804,2339,3802,2341,3797,2341,8,2341,5,2341,2,2339,2,2335,2,8xe" filled="false" stroked="true" strokeweight=".121713pt" strokecolor="#858585">
              <v:path arrowok="t"/>
            </v:shape>
            <v:shape style="position:absolute;left:8;top:8;width:3790;height:2327" coordorigin="8,8" coordsize="3790,2327" path="m15,2335l8,2328,3797,2328,3791,2335,3791,8,3797,15,8,15,15,8,15,2335xe" filled="false" stroked="true" strokeweight=".121713pt" strokecolor="#858585">
              <v:path arrowok="t"/>
            </v:shape>
            <v:shape style="position:absolute;left:117;top:178;width:3022;height:938" type="#_x0000_t202" filled="false" stroked="false">
              <v:textbox inset="0,0,0,0">
                <w:txbxContent>
                  <w:p>
                    <w:pPr>
                      <w:spacing w:line="214" w:lineRule="exact" w:before="0"/>
                      <w:ind w:left="544" w:right="0" w:firstLine="65"/>
                      <w:jc w:val="left"/>
                      <w:rPr>
                        <w:rFonts w:ascii="Calibri"/>
                        <w:b/>
                        <w:sz w:val="21"/>
                      </w:rPr>
                    </w:pPr>
                    <w:r>
                      <w:rPr>
                        <w:rFonts w:ascii="Calibri"/>
                        <w:b/>
                        <w:sz w:val="21"/>
                      </w:rPr>
                      <w:t>"Precio proyectado del gas</w:t>
                    </w:r>
                  </w:p>
                  <w:p>
                    <w:pPr>
                      <w:spacing w:before="4"/>
                      <w:ind w:left="544" w:right="0" w:firstLine="0"/>
                      <w:jc w:val="left"/>
                      <w:rPr>
                        <w:rFonts w:ascii="Calibri"/>
                        <w:b/>
                        <w:sz w:val="21"/>
                      </w:rPr>
                    </w:pPr>
                    <w:r>
                      <w:rPr>
                        <w:rFonts w:ascii="Calibri"/>
                        <w:b/>
                        <w:sz w:val="21"/>
                      </w:rPr>
                      <w:t>natural</w:t>
                    </w:r>
                    <w:r>
                      <w:rPr>
                        <w:rFonts w:ascii="Calibri"/>
                        <w:b/>
                        <w:spacing w:val="-7"/>
                        <w:sz w:val="21"/>
                      </w:rPr>
                      <w:t> </w:t>
                    </w:r>
                    <w:r>
                      <w:rPr>
                        <w:rFonts w:ascii="Calibri"/>
                        <w:b/>
                        <w:sz w:val="21"/>
                      </w:rPr>
                      <w:t>($us</w:t>
                    </w:r>
                    <w:r>
                      <w:rPr>
                        <w:rFonts w:ascii="Calibri"/>
                        <w:b/>
                        <w:spacing w:val="-13"/>
                        <w:sz w:val="21"/>
                      </w:rPr>
                      <w:t> </w:t>
                    </w:r>
                    <w:r>
                      <w:rPr>
                        <w:rFonts w:ascii="Calibri"/>
                        <w:b/>
                        <w:sz w:val="21"/>
                      </w:rPr>
                      <w:t>de</w:t>
                    </w:r>
                    <w:r>
                      <w:rPr>
                        <w:rFonts w:ascii="Calibri"/>
                        <w:b/>
                        <w:spacing w:val="-9"/>
                        <w:sz w:val="21"/>
                      </w:rPr>
                      <w:t> </w:t>
                    </w:r>
                    <w:r>
                      <w:rPr>
                        <w:rFonts w:ascii="Calibri"/>
                        <w:b/>
                        <w:sz w:val="21"/>
                      </w:rPr>
                      <w:t>2009</w:t>
                    </w:r>
                    <w:r>
                      <w:rPr>
                        <w:rFonts w:ascii="Calibri"/>
                        <w:b/>
                        <w:spacing w:val="-9"/>
                        <w:sz w:val="21"/>
                      </w:rPr>
                      <w:t> </w:t>
                    </w:r>
                    <w:r>
                      <w:rPr>
                        <w:rFonts w:ascii="Calibri"/>
                        <w:b/>
                        <w:sz w:val="21"/>
                      </w:rPr>
                      <w:t>/</w:t>
                    </w:r>
                    <w:r>
                      <w:rPr>
                        <w:rFonts w:ascii="Calibri"/>
                        <w:b/>
                        <w:spacing w:val="-7"/>
                        <w:sz w:val="21"/>
                      </w:rPr>
                      <w:t> </w:t>
                    </w:r>
                    <w:r>
                      <w:rPr>
                        <w:rFonts w:ascii="Calibri"/>
                        <w:b/>
                        <w:sz w:val="21"/>
                      </w:rPr>
                      <w:t>mpc)"</w:t>
                    </w:r>
                  </w:p>
                  <w:p>
                    <w:pPr>
                      <w:spacing w:line="240" w:lineRule="auto" w:before="5"/>
                      <w:rPr>
                        <w:sz w:val="21"/>
                      </w:rPr>
                    </w:pPr>
                  </w:p>
                  <w:p>
                    <w:pPr>
                      <w:tabs>
                        <w:tab w:pos="903" w:val="left" w:leader="none"/>
                      </w:tabs>
                      <w:spacing w:line="216" w:lineRule="exact" w:before="1"/>
                      <w:ind w:left="0" w:right="0" w:firstLine="0"/>
                      <w:jc w:val="left"/>
                      <w:rPr>
                        <w:sz w:val="19"/>
                      </w:rPr>
                    </w:pPr>
                    <w:r>
                      <w:rPr>
                        <w:position w:val="1"/>
                        <w:sz w:val="17"/>
                      </w:rPr>
                      <w:t>$</w:t>
                    </w:r>
                    <w:r>
                      <w:rPr>
                        <w:spacing w:val="-10"/>
                        <w:position w:val="1"/>
                        <w:sz w:val="17"/>
                      </w:rPr>
                      <w:t> </w:t>
                    </w:r>
                    <w:r>
                      <w:rPr>
                        <w:position w:val="1"/>
                        <w:sz w:val="17"/>
                      </w:rPr>
                      <w:t>6,50</w:t>
                      <w:tab/>
                    </w:r>
                    <w:r>
                      <w:rPr>
                        <w:color w:val="FF0000"/>
                        <w:spacing w:val="3"/>
                        <w:sz w:val="19"/>
                      </w:rPr>
                      <w:t>2,10 </w:t>
                    </w:r>
                    <w:r>
                      <w:rPr>
                        <w:color w:val="FF0000"/>
                        <w:sz w:val="19"/>
                      </w:rPr>
                      <w:t>%</w:t>
                    </w:r>
                    <w:r>
                      <w:rPr>
                        <w:color w:val="FF0000"/>
                        <w:spacing w:val="31"/>
                        <w:sz w:val="19"/>
                      </w:rPr>
                      <w:t> </w:t>
                    </w:r>
                    <w:r>
                      <w:rPr>
                        <w:color w:val="FF0000"/>
                        <w:sz w:val="19"/>
                      </w:rPr>
                      <w:t>crec.</w:t>
                    </w:r>
                  </w:p>
                </w:txbxContent>
              </v:textbox>
              <w10:wrap type="none"/>
            </v:shape>
            <v:shape style="position:absolute;left:117;top:1232;width:424;height:771" type="#_x0000_t202" filled="false" stroked="false">
              <v:textbox inset="0,0,0,0">
                <w:txbxContent>
                  <w:p>
                    <w:pPr>
                      <w:spacing w:line="174" w:lineRule="exact" w:before="0"/>
                      <w:ind w:left="0" w:right="-18" w:firstLine="0"/>
                      <w:jc w:val="left"/>
                      <w:rPr>
                        <w:sz w:val="17"/>
                      </w:rPr>
                    </w:pPr>
                    <w:r>
                      <w:rPr>
                        <w:sz w:val="17"/>
                      </w:rPr>
                      <w:t>$</w:t>
                    </w:r>
                    <w:r>
                      <w:rPr>
                        <w:spacing w:val="-3"/>
                        <w:sz w:val="17"/>
                      </w:rPr>
                      <w:t> </w:t>
                    </w:r>
                    <w:r>
                      <w:rPr>
                        <w:sz w:val="17"/>
                      </w:rPr>
                      <w:t>5,50</w:t>
                    </w:r>
                  </w:p>
                  <w:p>
                    <w:pPr>
                      <w:spacing w:before="104"/>
                      <w:ind w:left="0" w:right="-18" w:firstLine="0"/>
                      <w:jc w:val="left"/>
                      <w:rPr>
                        <w:sz w:val="17"/>
                      </w:rPr>
                    </w:pPr>
                    <w:r>
                      <w:rPr>
                        <w:sz w:val="17"/>
                      </w:rPr>
                      <w:t>$</w:t>
                    </w:r>
                    <w:r>
                      <w:rPr>
                        <w:spacing w:val="-3"/>
                        <w:sz w:val="17"/>
                      </w:rPr>
                      <w:t> </w:t>
                    </w:r>
                    <w:r>
                      <w:rPr>
                        <w:sz w:val="17"/>
                      </w:rPr>
                      <w:t>4,50</w:t>
                    </w:r>
                  </w:p>
                  <w:p>
                    <w:pPr>
                      <w:spacing w:line="192" w:lineRule="exact" w:before="105"/>
                      <w:ind w:left="0" w:right="-18" w:firstLine="0"/>
                      <w:jc w:val="left"/>
                      <w:rPr>
                        <w:sz w:val="17"/>
                      </w:rPr>
                    </w:pPr>
                    <w:r>
                      <w:rPr>
                        <w:sz w:val="17"/>
                      </w:rPr>
                      <w:t>$</w:t>
                    </w:r>
                    <w:r>
                      <w:rPr>
                        <w:spacing w:val="-3"/>
                        <w:sz w:val="17"/>
                      </w:rPr>
                      <w:t> </w:t>
                    </w:r>
                    <w:r>
                      <w:rPr>
                        <w:sz w:val="17"/>
                      </w:rPr>
                      <w:t>3,50</w:t>
                    </w:r>
                  </w:p>
                </w:txbxContent>
              </v:textbox>
              <w10:wrap type="none"/>
            </v:shape>
            <v:shape style="position:absolute;left:1021;top:1142;width:446;height:196" type="#_x0000_t202" filled="false" stroked="false">
              <v:textbox inset="0,0,0,0">
                <w:txbxContent>
                  <w:p>
                    <w:pPr>
                      <w:spacing w:line="196" w:lineRule="exact" w:before="0"/>
                      <w:ind w:left="0" w:right="0" w:firstLine="0"/>
                      <w:jc w:val="left"/>
                      <w:rPr>
                        <w:sz w:val="19"/>
                      </w:rPr>
                    </w:pPr>
                    <w:r>
                      <w:rPr>
                        <w:color w:val="FF0000"/>
                        <w:sz w:val="19"/>
                      </w:rPr>
                      <w:t>anual</w:t>
                    </w:r>
                  </w:p>
                </w:txbxContent>
              </v:textbox>
              <w10:wrap type="none"/>
            </v:shape>
            <v:shape style="position:absolute;left:579;top:2041;width:2700;height:170" type="#_x0000_t202" filled="false" stroked="false">
              <v:textbox inset="0,0,0,0">
                <w:txbxContent>
                  <w:p>
                    <w:pPr>
                      <w:tabs>
                        <w:tab w:pos="583" w:val="left" w:leader="none"/>
                        <w:tab w:pos="1167" w:val="left" w:leader="none"/>
                        <w:tab w:pos="1750" w:val="left" w:leader="none"/>
                        <w:tab w:pos="2334" w:val="left" w:leader="none"/>
                      </w:tabs>
                      <w:spacing w:line="170" w:lineRule="exact" w:before="0"/>
                      <w:ind w:left="0" w:right="0" w:firstLine="0"/>
                      <w:jc w:val="left"/>
                      <w:rPr>
                        <w:b/>
                        <w:sz w:val="17"/>
                      </w:rPr>
                    </w:pPr>
                    <w:r>
                      <w:rPr>
                        <w:b/>
                        <w:spacing w:val="4"/>
                        <w:sz w:val="17"/>
                      </w:rPr>
                      <w:t>2012</w:t>
                      <w:tab/>
                      <w:t>2017</w:t>
                      <w:tab/>
                      <w:t>2022</w:t>
                      <w:tab/>
                      <w:t>2027</w:t>
                      <w:tab/>
                    </w:r>
                    <w:r>
                      <w:rPr>
                        <w:b/>
                        <w:spacing w:val="6"/>
                        <w:sz w:val="17"/>
                      </w:rPr>
                      <w:t>2032</w:t>
                    </w:r>
                  </w:p>
                </w:txbxContent>
              </v:textbox>
              <w10:wrap type="none"/>
            </v:shape>
          </v:group>
        </w:pict>
      </w:r>
      <w:r>
        <w:rPr>
          <w:sz w:val="20"/>
        </w:rPr>
      </w:r>
      <w:r>
        <w:rPr>
          <w:spacing w:val="101"/>
          <w:sz w:val="20"/>
        </w:rPr>
        <w:t> </w:t>
      </w:r>
      <w:r>
        <w:rPr>
          <w:spacing w:val="101"/>
          <w:sz w:val="20"/>
        </w:rPr>
        <w:pict>
          <v:group style="width:190.3pt;height:117.15pt;mso-position-horizontal-relative:char;mso-position-vertical-relative:line" coordorigin="0,0" coordsize="3806,2343">
            <v:rect style="position:absolute;left:2;top:1;width:3802;height:2340" filled="true" fillcolor="#ffffff" stroked="false">
              <v:fill type="solid"/>
            </v:rect>
            <v:rect style="position:absolute;left:786;top:864;width:2731;height:1059" filled="true" fillcolor="#ffffff" stroked="false">
              <v:fill type="solid"/>
            </v:rect>
            <v:line style="position:absolute" from="792,1629" to="3497,1629" stroked="true" strokeweight=".651916pt" strokecolor="#858585"/>
            <v:line style="position:absolute" from="792,1354" to="3497,1354" stroked="true" strokeweight=".651916pt" strokecolor="#858585"/>
            <v:line style="position:absolute" from="792,1067" to="3497,1067" stroked="true" strokeweight=".651916pt" strokecolor="#858585"/>
            <v:line style="position:absolute" from="792,858" to="792,1969" stroked="true" strokeweight=".652351pt" strokecolor="#858585"/>
            <v:line style="position:absolute" from="740,1916" to="792,1916" stroked="true" strokeweight=".651916pt" strokecolor="#858585"/>
            <v:line style="position:absolute" from="740,1629" to="792,1629" stroked="true" strokeweight=".651916pt" strokecolor="#858585"/>
            <v:line style="position:absolute" from="740,1354" to="792,1354" stroked="true" strokeweight=".651916pt" strokecolor="#858585"/>
            <v:line style="position:absolute" from="740,1067" to="792,1067" stroked="true" strokeweight=".651916pt" strokecolor="#858585"/>
            <v:line style="position:absolute" from="792,1916" to="3497,1916" stroked="true" strokeweight=".651916pt" strokecolor="#858585"/>
            <v:line style="position:absolute" from="890,1942" to="903,1942" stroked="true" strokeweight="2.607665pt" strokecolor="#858585"/>
            <v:line style="position:absolute" from="1008,1942" to="1021,1942" stroked="true" strokeweight="2.607665pt" strokecolor="#858585"/>
            <v:line style="position:absolute" from="1112,1942" to="1125,1942" stroked="true" strokeweight="2.607665pt" strokecolor="#858585"/>
            <v:line style="position:absolute" from="1230,1942" to="1243,1942" stroked="true" strokeweight="2.607665pt" strokecolor="#858585"/>
            <v:line style="position:absolute" from="1348,1942" to="1361,1942" stroked="true" strokeweight="2.607665pt" strokecolor="#858585"/>
            <v:line style="position:absolute" from="1452,1942" to="1465,1942" stroked="true" strokeweight="2.607665pt" strokecolor="#858585"/>
            <v:line style="position:absolute" from="1569,1942" to="1582,1942" stroked="true" strokeweight="2.607665pt" strokecolor="#858585"/>
            <v:line style="position:absolute" from="1687,1942" to="1700,1942" stroked="true" strokeweight="2.607665pt" strokecolor="#858585"/>
            <v:line style="position:absolute" from="1792,1942" to="1805,1942" stroked="true" strokeweight="2.607665pt" strokecolor="#858585"/>
            <v:line style="position:absolute" from="1909,1942" to="1923,1942" stroked="true" strokeweight="2.607665pt" strokecolor="#858585"/>
            <v:line style="position:absolute" from="2027,1942" to="2040,1942" stroked="true" strokeweight="2.607665pt" strokecolor="#858585"/>
            <v:line style="position:absolute" from="2131,1942" to="2144,1942" stroked="true" strokeweight="2.607665pt" strokecolor="#858585"/>
            <v:line style="position:absolute" from="2249,1942" to="2262,1942" stroked="true" strokeweight="2.607665pt" strokecolor="#858585"/>
            <v:line style="position:absolute" from="2366,1942" to="2380,1942" stroked="true" strokeweight="2.607665pt" strokecolor="#858585"/>
            <v:line style="position:absolute" from="2471,1942" to="2484,1942" stroked="true" strokeweight="2.607665pt" strokecolor="#858585"/>
            <v:line style="position:absolute" from="2589,1942" to="2602,1942" stroked="true" strokeweight="2.607665pt" strokecolor="#858585"/>
            <v:line style="position:absolute" from="2706,1942" to="2719,1942" stroked="true" strokeweight="2.607665pt" strokecolor="#858585"/>
            <v:line style="position:absolute" from="2811,1942" to="2824,1942" stroked="true" strokeweight="2.607665pt" strokecolor="#858585"/>
            <v:line style="position:absolute" from="2928,1942" to="2941,1942" stroked="true" strokeweight="2.607665pt" strokecolor="#858585"/>
            <v:line style="position:absolute" from="3046,1942" to="3059,1942" stroked="true" strokeweight="2.607665pt" strokecolor="#858585"/>
            <v:line style="position:absolute" from="3151,1942" to="3164,1942" stroked="true" strokeweight="2.607665pt" strokecolor="#858585"/>
            <v:line style="position:absolute" from="3268,1942" to="3281,1942" stroked="true" strokeweight="2.607665pt" strokecolor="#858585"/>
            <v:line style="position:absolute" from="3386,1942" to="3399,1942" stroked="true" strokeweight="2.607665pt" strokecolor="#858585"/>
            <v:line style="position:absolute" from="3490,1942" to="3503,1942" stroked="true" strokeweight="2.607665pt" strokecolor="#858585"/>
            <v:shape style="position:absolute;left:824;top:940;width:2644;height:893" coordorigin="824,940" coordsize="2644,893" path="m3445,940l3435,946,3324,1012,3212,1065,3098,1112,2986,1161,2874,1200,2763,1231,2647,1260,2534,1294,2477,1316,2422,1338,2307,1377,2193,1426,2082,1479,1970,1524,1856,1564,1742,1607,1686,1631,1632,1651,1576,1664,1408,1696,1294,1715,1180,1736,1124,1750,1068,1762,1013,1770,955,1775,831,1795,824,1804,826,1815,827,1826,837,1833,961,1813,1017,1808,1074,1800,1132,1789,1189,1775,1301,1753,1414,1734,1583,1702,1700,1668,1757,1644,1869,1600,1982,1561,2096,1516,2210,1461,2323,1414,2377,1394,2434,1375,2548,1331,2659,1296,2771,1269,2885,1238,2999,1198,3227,1102,3341,1047,3455,979,3467,962,3462,952,3456,943,3445,940xe" filled="true" fillcolor="#497dba" stroked="false">
              <v:path arrowok="t"/>
              <v:fill type="solid"/>
            </v:shape>
            <v:shape style="position:absolute;left:824;top:940;width:2644;height:893" coordorigin="824,940" coordsize="2644,893" path="m842,1793l955,1775,1013,1770,1068,1762,1124,1750,1180,1736,1294,1715,1408,1696,1520,1675,1632,1651,1742,1607,1856,1564,1970,1524,2082,1479,2193,1426,2307,1377,2365,1358,2422,1338,2477,1316,2534,1294,2647,1260,2763,1231,2874,1200,2986,1161,3098,1112,3212,1065,3324,1012,3435,946,3445,940,3456,943,3462,952,3467,962,3464,974,3455,979,3341,1047,3227,1102,3114,1149,2999,1198,2885,1238,2771,1269,2659,1296,2548,1331,2491,1353,2434,1375,2377,1394,2323,1414,2210,1461,2096,1516,1982,1561,1869,1600,1757,1644,1700,1668,1641,1689,1583,1702,1527,1713,1414,1734,1301,1753,1189,1775,1132,1789,1074,1800,1017,1808,961,1813,847,1831,837,1833,827,1826,826,1815,824,1804,831,1795,842,1793xe" filled="false" stroked="true" strokeweight=".651961pt" strokecolor="#497dba">
              <v:path arrowok="t"/>
            </v:shape>
            <v:shape style="position:absolute;left:2;top:2;width:3803;height:2340" coordorigin="2,2" coordsize="3803,2340" path="m3801,2l5,2,2,5,2,2339,5,2341,3801,2341,3804,2339,3804,2335,15,2335,8,2328,15,2328,15,15,8,15,15,8,3804,8,3804,5,3801,2xm15,2328l8,2328,15,2335,15,2328xm3791,2328l15,2328,15,2335,3791,2335,3791,2328xm3791,8l3791,2335,3797,2328,3804,2328,3804,15,3797,15,3791,8xm3804,2328l3797,2328,3791,2335,3804,2335,3804,2328xm15,8l8,15,15,15,15,8xm3791,8l15,8,15,15,3791,15,3791,8xm3804,8l3791,8,3797,15,3804,15,3804,8xe" filled="true" fillcolor="#858585" stroked="false">
              <v:path arrowok="t"/>
              <v:fill type="solid"/>
            </v:shape>
            <v:shape style="position:absolute;left:2;top:2;width:3803;height:2340" coordorigin="2,2" coordsize="3803,2340" path="m2,8l2,5,5,2,8,2,3797,2,3801,2,3804,5,3804,8,3804,2335,3804,2339,3801,2341,3797,2341,8,2341,5,2341,2,2339,2,2335,2,8xe" filled="false" stroked="true" strokeweight=".121713pt" strokecolor="#858585">
              <v:path arrowok="t"/>
            </v:shape>
            <v:shape style="position:absolute;left:8;top:8;width:3790;height:2327" coordorigin="8,8" coordsize="3790,2327" path="m15,2335l8,2328,3797,2328,3791,2335,3791,8,3797,15,8,15,15,8,15,2335xe" filled="false" stroked="true" strokeweight=".121713pt" strokecolor="#858585">
              <v:path arrowok="t"/>
            </v:shape>
            <v:shape style="position:absolute;left:727;top:178;width:2338;height:471" type="#_x0000_t202" filled="false" stroked="false">
              <v:textbox inset="0,0,0,0">
                <w:txbxContent>
                  <w:p>
                    <w:pPr>
                      <w:spacing w:line="214" w:lineRule="exact" w:before="0"/>
                      <w:ind w:left="-1" w:right="0" w:firstLine="0"/>
                      <w:jc w:val="center"/>
                      <w:rPr>
                        <w:rFonts w:ascii="Calibri"/>
                        <w:b/>
                        <w:sz w:val="21"/>
                      </w:rPr>
                    </w:pPr>
                    <w:r>
                      <w:rPr>
                        <w:rFonts w:ascii="Calibri"/>
                        <w:b/>
                        <w:sz w:val="21"/>
                      </w:rPr>
                      <w:t>"Precio proyectado del</w:t>
                    </w:r>
                    <w:r>
                      <w:rPr>
                        <w:rFonts w:ascii="Calibri"/>
                        <w:b/>
                        <w:spacing w:val="-8"/>
                        <w:sz w:val="21"/>
                      </w:rPr>
                      <w:t> </w:t>
                    </w:r>
                    <w:r>
                      <w:rPr>
                        <w:rFonts w:ascii="Calibri"/>
                        <w:b/>
                        <w:sz w:val="21"/>
                      </w:rPr>
                      <w:t>gas</w:t>
                    </w:r>
                  </w:p>
                  <w:p>
                    <w:pPr>
                      <w:spacing w:line="252" w:lineRule="exact" w:before="4"/>
                      <w:ind w:left="267" w:right="268" w:firstLine="0"/>
                      <w:jc w:val="center"/>
                      <w:rPr>
                        <w:rFonts w:ascii="Calibri"/>
                        <w:b/>
                        <w:sz w:val="21"/>
                      </w:rPr>
                    </w:pPr>
                    <w:r>
                      <w:rPr>
                        <w:rFonts w:ascii="Calibri"/>
                        <w:b/>
                        <w:sz w:val="21"/>
                      </w:rPr>
                      <w:t>natural ($us / mpc)"</w:t>
                    </w:r>
                  </w:p>
                </w:txbxContent>
              </v:textbox>
              <w10:wrap type="none"/>
            </v:shape>
            <v:shape style="position:absolute;left:204;top:993;width:424;height:1011" type="#_x0000_t202" filled="false" stroked="false">
              <v:textbox inset="0,0,0,0">
                <w:txbxContent>
                  <w:p>
                    <w:pPr>
                      <w:spacing w:line="174" w:lineRule="exact" w:before="0"/>
                      <w:ind w:left="0" w:right="-18" w:firstLine="0"/>
                      <w:jc w:val="left"/>
                      <w:rPr>
                        <w:sz w:val="17"/>
                      </w:rPr>
                    </w:pPr>
                    <w:r>
                      <w:rPr>
                        <w:sz w:val="17"/>
                      </w:rPr>
                      <w:t>$</w:t>
                    </w:r>
                    <w:r>
                      <w:rPr>
                        <w:spacing w:val="-3"/>
                        <w:sz w:val="17"/>
                      </w:rPr>
                      <w:t> </w:t>
                    </w:r>
                    <w:r>
                      <w:rPr>
                        <w:sz w:val="17"/>
                      </w:rPr>
                      <w:t>9,50</w:t>
                    </w:r>
                  </w:p>
                  <w:p>
                    <w:pPr>
                      <w:spacing w:before="84"/>
                      <w:ind w:left="0" w:right="-18" w:firstLine="0"/>
                      <w:jc w:val="left"/>
                      <w:rPr>
                        <w:sz w:val="17"/>
                      </w:rPr>
                    </w:pPr>
                    <w:r>
                      <w:rPr>
                        <w:sz w:val="17"/>
                      </w:rPr>
                      <w:t>$</w:t>
                    </w:r>
                    <w:r>
                      <w:rPr>
                        <w:spacing w:val="-3"/>
                        <w:sz w:val="17"/>
                      </w:rPr>
                      <w:t> </w:t>
                    </w:r>
                    <w:r>
                      <w:rPr>
                        <w:sz w:val="17"/>
                      </w:rPr>
                      <w:t>7,50</w:t>
                    </w:r>
                  </w:p>
                  <w:p>
                    <w:pPr>
                      <w:spacing w:before="84"/>
                      <w:ind w:left="0" w:right="-18" w:firstLine="0"/>
                      <w:jc w:val="left"/>
                      <w:rPr>
                        <w:sz w:val="17"/>
                      </w:rPr>
                    </w:pPr>
                    <w:r>
                      <w:rPr>
                        <w:sz w:val="17"/>
                      </w:rPr>
                      <w:t>$</w:t>
                    </w:r>
                    <w:r>
                      <w:rPr>
                        <w:spacing w:val="-3"/>
                        <w:sz w:val="17"/>
                      </w:rPr>
                      <w:t> </w:t>
                    </w:r>
                    <w:r>
                      <w:rPr>
                        <w:sz w:val="17"/>
                      </w:rPr>
                      <w:t>5,50</w:t>
                    </w:r>
                  </w:p>
                  <w:p>
                    <w:pPr>
                      <w:spacing w:line="192" w:lineRule="exact" w:before="85"/>
                      <w:ind w:left="0" w:right="-18" w:firstLine="0"/>
                      <w:jc w:val="left"/>
                      <w:rPr>
                        <w:sz w:val="17"/>
                      </w:rPr>
                    </w:pPr>
                    <w:r>
                      <w:rPr>
                        <w:sz w:val="17"/>
                      </w:rPr>
                      <w:t>$</w:t>
                    </w:r>
                    <w:r>
                      <w:rPr>
                        <w:spacing w:val="-3"/>
                        <w:sz w:val="17"/>
                      </w:rPr>
                      <w:t> </w:t>
                    </w:r>
                    <w:r>
                      <w:rPr>
                        <w:sz w:val="17"/>
                      </w:rPr>
                      <w:t>3,50</w:t>
                    </w:r>
                  </w:p>
                </w:txbxContent>
              </v:textbox>
              <w10:wrap type="none"/>
            </v:shape>
            <v:shape style="position:absolute;left:1034;top:997;width:953;height:419" type="#_x0000_t202" filled="false" stroked="false">
              <v:textbox inset="0,0,0,0">
                <w:txbxContent>
                  <w:p>
                    <w:pPr>
                      <w:spacing w:line="199" w:lineRule="exact" w:before="0"/>
                      <w:ind w:left="0" w:right="-15" w:firstLine="0"/>
                      <w:jc w:val="left"/>
                      <w:rPr>
                        <w:sz w:val="19"/>
                      </w:rPr>
                    </w:pPr>
                    <w:r>
                      <w:rPr>
                        <w:color w:val="FF0000"/>
                        <w:w w:val="105"/>
                        <w:sz w:val="19"/>
                      </w:rPr>
                      <w:t>4,00% crec.</w:t>
                    </w:r>
                  </w:p>
                  <w:p>
                    <w:pPr>
                      <w:spacing w:line="216" w:lineRule="exact" w:before="4"/>
                      <w:ind w:left="0" w:right="-15" w:firstLine="0"/>
                      <w:jc w:val="left"/>
                      <w:rPr>
                        <w:sz w:val="19"/>
                      </w:rPr>
                    </w:pPr>
                    <w:r>
                      <w:rPr>
                        <w:color w:val="FF0000"/>
                        <w:w w:val="105"/>
                        <w:sz w:val="19"/>
                      </w:rPr>
                      <w:t>anual</w:t>
                    </w:r>
                  </w:p>
                </w:txbxContent>
              </v:textbox>
              <w10:wrap type="none"/>
            </v:shape>
            <v:shape style="position:absolute;left:659;top:2041;width:2628;height:170" type="#_x0000_t202" filled="false" stroked="false">
              <v:textbox inset="0,0,0,0">
                <w:txbxContent>
                  <w:p>
                    <w:pPr>
                      <w:tabs>
                        <w:tab w:pos="565" w:val="left" w:leader="none"/>
                        <w:tab w:pos="1131" w:val="left" w:leader="none"/>
                        <w:tab w:pos="1696" w:val="left" w:leader="none"/>
                        <w:tab w:pos="2262" w:val="left" w:leader="none"/>
                      </w:tabs>
                      <w:spacing w:line="170" w:lineRule="exact" w:before="0"/>
                      <w:ind w:left="0" w:right="0" w:firstLine="0"/>
                      <w:jc w:val="left"/>
                      <w:rPr>
                        <w:b/>
                        <w:sz w:val="17"/>
                      </w:rPr>
                    </w:pPr>
                    <w:r>
                      <w:rPr>
                        <w:b/>
                        <w:spacing w:val="4"/>
                        <w:sz w:val="17"/>
                      </w:rPr>
                      <w:t>2012</w:t>
                      <w:tab/>
                      <w:t>2017</w:t>
                      <w:tab/>
                      <w:t>2022</w:t>
                      <w:tab/>
                      <w:t>2027</w:t>
                      <w:tab/>
                    </w:r>
                    <w:r>
                      <w:rPr>
                        <w:b/>
                        <w:spacing w:val="6"/>
                        <w:sz w:val="17"/>
                      </w:rPr>
                      <w:t>2032</w:t>
                    </w:r>
                  </w:p>
                </w:txbxContent>
              </v:textbox>
              <w10:wrap type="none"/>
            </v:shape>
          </v:group>
        </w:pict>
      </w:r>
      <w:r>
        <w:rPr>
          <w:spacing w:val="101"/>
          <w:sz w:val="20"/>
        </w:rPr>
      </w:r>
    </w:p>
    <w:p>
      <w:pPr>
        <w:spacing w:before="109"/>
        <w:ind w:left="1172" w:right="148" w:firstLine="0"/>
        <w:jc w:val="left"/>
        <w:rPr>
          <w:sz w:val="16"/>
        </w:rPr>
      </w:pPr>
      <w:r>
        <w:rPr/>
        <w:pict>
          <v:shape style="position:absolute;margin-left:338.98764pt;margin-top:-118.432472pt;width:190.15pt;height:117pt;mso-position-horizontal-relative:page;mso-position-vertical-relative:paragraph;z-index:-568048" type="#_x0000_t202" filled="false" stroked="false">
            <v:textbox inset="0,0,0,0">
              <w:txbxContent>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8"/>
                    <w:rPr>
                      <w:sz w:val="23"/>
                    </w:rPr>
                  </w:pPr>
                </w:p>
                <w:p>
                  <w:pPr>
                    <w:spacing w:before="0"/>
                    <w:ind w:left="999" w:right="0" w:firstLine="0"/>
                    <w:jc w:val="left"/>
                    <w:rPr>
                      <w:rFonts w:ascii="Arial"/>
                      <w:sz w:val="17"/>
                    </w:rPr>
                  </w:pPr>
                  <w:r>
                    <w:rPr>
                      <w:rFonts w:ascii="Arial"/>
                      <w:w w:val="100"/>
                      <w:sz w:val="17"/>
                    </w:rPr>
                    <w:t>5</w:t>
                  </w:r>
                </w:p>
              </w:txbxContent>
            </v:textbox>
            <w10:wrap type="none"/>
          </v:shape>
        </w:pict>
      </w:r>
      <w:r>
        <w:rPr>
          <w:sz w:val="16"/>
        </w:rPr>
        <w:t>Fuente: Energy Information Administration EIA - U.S. (2011)</w:t>
      </w:r>
    </w:p>
    <w:p>
      <w:pPr>
        <w:pStyle w:val="BodyText"/>
        <w:spacing w:before="1"/>
        <w:rPr>
          <w:sz w:val="16"/>
        </w:rPr>
      </w:pPr>
    </w:p>
    <w:p>
      <w:pPr>
        <w:pStyle w:val="BodyText"/>
        <w:spacing w:line="360" w:lineRule="auto"/>
        <w:ind w:left="102" w:right="159" w:firstLine="707"/>
        <w:jc w:val="both"/>
      </w:pPr>
      <w:r>
        <w:rPr/>
        <w:t>En la </w:t>
      </w:r>
      <w:r>
        <w:rPr>
          <w:i/>
        </w:rPr>
        <w:t>figura 2.3 </w:t>
      </w:r>
      <w:r>
        <w:rPr/>
        <w:t>se sugiere una tendencia creciente en las próximas dos décadas, tanto para el precio del petróleo como para el precio del gas natural, asumiéndose una relación positiva de largo plazo entre ambos precios, misma que se centrará como punto discusión (posteriormente). En consecuencia, el crecimiento en términos nominales para cada precio (petróleo y gas natural) es mucho mayor que en términos constantes (dólares americanos de 2009).</w:t>
      </w:r>
    </w:p>
    <w:p>
      <w:pPr>
        <w:pStyle w:val="BodyText"/>
        <w:spacing w:line="360" w:lineRule="auto" w:before="6"/>
        <w:ind w:left="102" w:right="155" w:firstLine="707"/>
        <w:jc w:val="both"/>
      </w:pPr>
      <w:r>
        <w:rPr/>
        <w:t>En la mayoría de las regiones ha existido un crecimiento en las reservas de gas natural (a excepción del continente Europeo), por tanto, las reservas mundiales han mostrado un incremento cercano al 50% en las últimas dos décadas, particularmente en países Europeos (no OECD), el Medio Oriente y la región de Asía-pacífico.</w:t>
      </w:r>
    </w:p>
    <w:p>
      <w:pPr>
        <w:pStyle w:val="BodyText"/>
        <w:spacing w:line="360" w:lineRule="auto" w:before="4"/>
        <w:ind w:left="102" w:right="160" w:firstLine="767"/>
        <w:jc w:val="both"/>
      </w:pPr>
      <w:r>
        <w:rPr/>
        <w:t>Por lo cual, la expectativa para los próximos años indican una fuerte base para soportar el crecimiento de los mercados del gas natural hasta el 2035, con una oferta concentrada en Eurasia y el Medio Oriente, donde se sugieren dos décadas de  disponibilidad de este recurso (</w:t>
      </w:r>
      <w:r>
        <w:rPr>
          <w:i/>
        </w:rPr>
        <w:t>véase los anexos</w:t>
      </w:r>
      <w:r>
        <w:rPr>
          <w:i/>
          <w:spacing w:val="-9"/>
        </w:rPr>
        <w:t> </w:t>
      </w:r>
      <w:r>
        <w:rPr>
          <w:i/>
        </w:rPr>
        <w:t>2.1-2.3</w:t>
      </w:r>
      <w:r>
        <w:rPr/>
        <w:t>).</w:t>
      </w:r>
    </w:p>
    <w:p>
      <w:pPr>
        <w:pStyle w:val="BodyText"/>
        <w:spacing w:before="4"/>
        <w:ind w:left="660" w:right="19"/>
        <w:jc w:val="center"/>
      </w:pPr>
      <w:r>
        <w:rPr/>
        <w:t>Es  destacable  el  comportamiento  de  las  reservas  de  gas  natural  en  EEUU:  un</w:t>
      </w:r>
    </w:p>
    <w:p>
      <w:pPr>
        <w:pStyle w:val="BodyText"/>
        <w:spacing w:before="139"/>
        <w:ind w:right="59"/>
        <w:jc w:val="center"/>
      </w:pPr>
      <w:r>
        <w:rPr>
          <w:w w:val="188"/>
        </w:rPr>
        <w:t>  </w:t>
      </w:r>
      <w:r>
        <w:rPr>
          <w:w w:val="168"/>
        </w:rPr>
        <w:t>     </w:t>
      </w:r>
      <w:r>
        <w:rPr/>
        <w:t>  </w:t>
      </w:r>
      <w:r>
        <w:rPr>
          <w:w w:val="188"/>
        </w:rPr>
        <w:t>  </w:t>
      </w:r>
      <w:r>
        <w:rPr/>
        <w:t>  </w:t>
      </w:r>
      <w:r>
        <w:rPr>
          <w:w w:val="177"/>
        </w:rPr>
        <w:t> </w:t>
      </w:r>
      <w:r>
        <w:rPr>
          <w:w w:val="200"/>
        </w:rPr>
        <w:t> </w:t>
      </w:r>
      <w:r>
        <w:rPr>
          <w:w w:val="177"/>
        </w:rPr>
        <w:t>         </w:t>
      </w:r>
      <w:r>
        <w:rPr/>
        <w:t>  </w:t>
      </w:r>
      <w:r>
        <w:rPr>
          <w:w w:val="188"/>
        </w:rPr>
        <w:t>  </w:t>
      </w:r>
      <w:r>
        <w:rPr/>
        <w:t>  </w:t>
      </w:r>
      <w:r>
        <w:rPr>
          <w:w w:val="155"/>
        </w:rPr>
        <w:t>  </w:t>
      </w:r>
      <w:r>
        <w:rPr>
          <w:w w:val="177"/>
        </w:rPr>
        <w:t> </w:t>
      </w:r>
      <w:r>
        <w:rPr>
          <w:w w:val="200"/>
        </w:rPr>
        <w:t> </w:t>
      </w:r>
      <w:r>
        <w:rPr>
          <w:w w:val="161"/>
        </w:rPr>
        <w:t>    </w:t>
      </w:r>
      <w:r>
        <w:rPr/>
        <w:t>  </w:t>
      </w:r>
      <w:r>
        <w:rPr>
          <w:w w:val="170"/>
        </w:rPr>
        <w:t>   </w:t>
      </w:r>
      <w:r>
        <w:rPr>
          <w:w w:val="177"/>
        </w:rPr>
        <w:t>   </w:t>
      </w:r>
      <w:r>
        <w:rPr/>
        <w:t>  </w:t>
      </w:r>
      <w:r>
        <w:rPr>
          <w:w w:val="200"/>
        </w:rPr>
        <w:t> </w:t>
      </w:r>
      <w:r>
        <w:rPr>
          <w:w w:val="155"/>
        </w:rPr>
        <w:t>    </w:t>
      </w:r>
      <w:r>
        <w:rPr>
          <w:w w:val="140"/>
        </w:rPr>
        <w:t>   </w:t>
      </w:r>
      <w:r>
        <w:rPr>
          <w:w w:val="177"/>
        </w:rPr>
        <w:t>  </w:t>
      </w:r>
      <w:r>
        <w:rPr/>
        <w:t>  </w:t>
      </w:r>
      <w:r>
        <w:rPr>
          <w:w w:val="188"/>
        </w:rPr>
        <w:t>  </w:t>
      </w:r>
      <w:r>
        <w:rPr/>
        <w:t>  </w:t>
      </w:r>
      <w:r>
        <w:rPr>
          <w:w w:val="155"/>
        </w:rPr>
        <w:t>   </w:t>
      </w:r>
      <w:r>
        <w:rPr/>
        <w:t>  </w:t>
      </w:r>
      <w:r>
        <w:rPr>
          <w:w w:val="105"/>
        </w:rPr>
        <w:t>9 ‘     asta  el  2003)  y un</w:t>
      </w:r>
    </w:p>
    <w:p>
      <w:pPr>
        <w:spacing w:after="0"/>
        <w:jc w:val="center"/>
        <w:sectPr>
          <w:pgSz w:w="12250" w:h="15850"/>
          <w:pgMar w:header="0" w:footer="1037" w:top="1360" w:bottom="1220" w:left="1600" w:right="1540"/>
        </w:sectPr>
      </w:pPr>
    </w:p>
    <w:p>
      <w:pPr>
        <w:pStyle w:val="BodyText"/>
        <w:spacing w:line="360" w:lineRule="auto" w:before="50"/>
        <w:ind w:left="102" w:right="117"/>
        <w:jc w:val="both"/>
      </w:pPr>
      <w:r>
        <w:rPr/>
        <w:t>período de incremento de reservas (desde el 2004 en adelante), cuyo punto de inflexión surgió dado un avance en la aplicación de tecnologías de perforación horizontal y fracturación hidráulica, que ha permitido descubrir nuevas fuentes de abastecimiento de gas natural y cambiar el sendero de la explotación del recurso.</w:t>
      </w:r>
    </w:p>
    <w:p>
      <w:pPr>
        <w:pStyle w:val="BodyText"/>
        <w:spacing w:line="360" w:lineRule="auto" w:before="6"/>
        <w:ind w:left="102" w:right="121" w:firstLine="707"/>
        <w:jc w:val="both"/>
      </w:pPr>
      <w:r>
        <w:rPr/>
        <w:t>Posteriormente, las proyecciones de crecimiento EEUU resultan de una alta sensibilidad de precio del sector industrial y eléctrico, donde se incrementó el uso del gas natural. Por tanto, el consumo industrial de gas natural ha crecido rápidamente con proyecciones estables para las próximas dos décadas.</w:t>
      </w:r>
    </w:p>
    <w:p>
      <w:pPr>
        <w:pStyle w:val="BodyText"/>
        <w:spacing w:line="360" w:lineRule="auto" w:before="7"/>
        <w:ind w:left="102" w:right="117" w:firstLine="707"/>
        <w:jc w:val="both"/>
      </w:pPr>
      <w:r>
        <w:rPr/>
        <w:t>En el caso Europeo-OECD, el pronóstico de largo plazo resulta de un incremento  del consumo en el sector eléctrico. Adicionalmente, muchos gobiernos de Europa-OECD han implementado medidas para reducir la emisión de dióxido de carbono, así como promover una e           </w:t>
      </w:r>
      <w:r>
        <w:rPr>
          <w:w w:val="85"/>
        </w:rPr>
        <w:t>―            </w:t>
      </w:r>
      <w:r>
        <w:rPr>
          <w:w w:val="130"/>
        </w:rPr>
        <w:t>‖          </w:t>
      </w:r>
      <w:r>
        <w:rPr>
          <w:spacing w:val="78"/>
          <w:w w:val="130"/>
        </w:rPr>
        <w:t> </w:t>
      </w:r>
      <w:r>
        <w:rPr/>
        <w:t>l gas natural tiene dos fortalezas: es un      sustituto con menor emisión de contaminación y es un recurso que puede permitir la generación de energía</w:t>
      </w:r>
      <w:r>
        <w:rPr>
          <w:spacing w:val="-8"/>
        </w:rPr>
        <w:t> </w:t>
      </w:r>
      <w:r>
        <w:rPr/>
        <w:t>renovable.</w:t>
      </w:r>
    </w:p>
    <w:p>
      <w:pPr>
        <w:pStyle w:val="BodyText"/>
        <w:spacing w:line="360" w:lineRule="auto" w:before="6"/>
        <w:ind w:left="102" w:right="116" w:firstLine="707"/>
        <w:jc w:val="both"/>
      </w:pPr>
      <w:r>
        <w:rPr>
          <w:w w:val="222"/>
        </w:rPr>
        <w:t>  </w:t>
      </w:r>
      <w:r>
        <w:rPr/>
        <w:t> </w:t>
      </w:r>
      <w:r>
        <w:rPr>
          <w:spacing w:val="-20"/>
        </w:rPr>
        <w:t> </w:t>
      </w:r>
      <w:r>
        <w:rPr>
          <w:spacing w:val="-1"/>
          <w:w w:val="177"/>
        </w:rPr>
        <w:t> </w:t>
      </w:r>
      <w:r>
        <w:rPr>
          <w:w w:val="111"/>
        </w:rPr>
        <w:t> </w:t>
      </w:r>
      <w:r>
        <w:rPr/>
        <w:t> </w:t>
      </w:r>
      <w:r>
        <w:rPr>
          <w:spacing w:val="-19"/>
        </w:rPr>
        <w:t> </w:t>
      </w:r>
      <w:r>
        <w:rPr>
          <w:spacing w:val="-1"/>
          <w:w w:val="177"/>
        </w:rPr>
        <w:t>  </w:t>
      </w:r>
      <w:r>
        <w:rPr>
          <w:w w:val="177"/>
        </w:rPr>
        <w:t>  </w:t>
      </w:r>
      <w:r>
        <w:rPr/>
        <w:t> </w:t>
      </w:r>
      <w:r>
        <w:rPr>
          <w:spacing w:val="-18"/>
        </w:rPr>
        <w:t> </w:t>
      </w:r>
      <w:r>
        <w:rPr>
          <w:w w:val="188"/>
        </w:rPr>
        <w:t>  </w:t>
      </w:r>
      <w:r>
        <w:rPr/>
        <w:t> </w:t>
      </w:r>
      <w:r>
        <w:rPr>
          <w:spacing w:val="-21"/>
        </w:rPr>
        <w:t> </w:t>
      </w:r>
      <w:r>
        <w:rPr>
          <w:w w:val="266"/>
        </w:rPr>
        <w:t> </w:t>
      </w:r>
      <w:r>
        <w:rPr>
          <w:w w:val="161"/>
        </w:rPr>
        <w:t>    </w:t>
      </w:r>
      <w:r>
        <w:rPr/>
        <w:t>  </w:t>
      </w:r>
      <w:r>
        <w:rPr>
          <w:spacing w:val="-20"/>
        </w:rPr>
        <w:t> </w:t>
      </w:r>
      <w:r>
        <w:rPr>
          <w:w w:val="1"/>
        </w:rPr>
        <w:t> </w:t>
      </w:r>
      <w:r>
        <w:rPr/>
        <w:t>  </w:t>
      </w:r>
      <w:r>
        <w:rPr>
          <w:spacing w:val="28"/>
        </w:rPr>
        <w:t> </w:t>
      </w:r>
      <w:r>
        <w:rPr/>
        <w:t>segundo productor y consumidor mundial el consumo proyectado de gas natural hasta el 2035 es conservador. La política energética rusa intenta promover la energía nuclear del sector eléctrico en lugar de la utilización de gas natural. El propósito es monetizar el gas natural hacía los mercados de exportación (Asia y Europa OECD). En el caso de países que no forman parte de la OECD y Asia, su mayor consumo  se centra en el sector</w:t>
      </w:r>
      <w:r>
        <w:rPr>
          <w:spacing w:val="-5"/>
        </w:rPr>
        <w:t> </w:t>
      </w:r>
      <w:r>
        <w:rPr/>
        <w:t>industrial.</w:t>
      </w:r>
    </w:p>
    <w:p>
      <w:pPr>
        <w:pStyle w:val="BodyText"/>
        <w:spacing w:line="360" w:lineRule="auto" w:before="6"/>
        <w:ind w:left="102" w:right="119" w:firstLine="707"/>
        <w:jc w:val="both"/>
      </w:pPr>
      <w:r>
        <w:rPr/>
        <w:t>En el mercado asiático, China e india son los líderes en el consumo de gas natural  en la región. Asimismo, el gobierno chino es el principal promotor de gas natural como fuente preferida de energía. Por su parte, para India se pronostica un crecimiento sostenido del consumo de gas natural como resultado de un continuo incremento en la oferta domestica. En el caso de Japón las proyecciones de consumo son modestas, debido a su alta utilización de energía nuclear, contrario a lo que sucede en Australia y Nueva Zelanda, cuyos países  presentan  las mayores tasas de crecimiento en el consumo de gas</w:t>
      </w:r>
      <w:r>
        <w:rPr>
          <w:spacing w:val="-13"/>
        </w:rPr>
        <w:t> </w:t>
      </w:r>
      <w:r>
        <w:rPr/>
        <w:t>natural.</w:t>
      </w:r>
    </w:p>
    <w:p>
      <w:pPr>
        <w:pStyle w:val="BodyText"/>
        <w:spacing w:line="360" w:lineRule="auto" w:before="6"/>
        <w:ind w:left="102" w:right="117" w:firstLine="707"/>
        <w:jc w:val="both"/>
      </w:pPr>
      <w:r>
        <w:rPr/>
        <w:t>En el caso de Medio Oriente, se destaca una perspectiva de duplicación en la capacidad de sus plantas de producción de gas natural líquido (LNG). Finalmente, en  África, el sector industrial y eléctrico serán los mayores demandantes de gas natural. Se ha evidenciado que en las regiones de Medio Oriente y  África del Norte, los precios  </w:t>
      </w:r>
      <w:r>
        <w:rPr>
          <w:spacing w:val="41"/>
        </w:rPr>
        <w:t> </w:t>
      </w:r>
      <w:r>
        <w:rPr/>
        <w:t>internos</w:t>
      </w:r>
    </w:p>
    <w:p>
      <w:pPr>
        <w:spacing w:after="0" w:line="360" w:lineRule="auto"/>
        <w:jc w:val="both"/>
        <w:sectPr>
          <w:pgSz w:w="12250" w:h="15850"/>
          <w:pgMar w:header="0" w:footer="1037" w:top="1360" w:bottom="1220" w:left="1600" w:right="1580"/>
        </w:sectPr>
      </w:pPr>
    </w:p>
    <w:p>
      <w:pPr>
        <w:pStyle w:val="BodyText"/>
        <w:spacing w:line="360" w:lineRule="auto" w:before="50"/>
        <w:ind w:left="102" w:right="120"/>
        <w:jc w:val="both"/>
      </w:pPr>
      <w:r>
        <w:rPr/>
        <w:t>del recurso natural son fijados por el gobierno (directa o indirectamente), y ciertamente son inferiores a su costo de producción, lo cual podría inferir ciertos riesgos en el largo plazo para la inversión y rentabilidad del sector (casos particulares: Argelia, Egipto, Qatar e Irán) (Razav, 2009).</w:t>
      </w:r>
    </w:p>
    <w:p>
      <w:pPr>
        <w:pStyle w:val="BodyText"/>
        <w:spacing w:line="360" w:lineRule="auto" w:before="6"/>
        <w:ind w:left="102" w:right="117" w:firstLine="707"/>
        <w:jc w:val="both"/>
      </w:pPr>
      <w:r>
        <w:rPr/>
        <w:t>Dentro de los riesgos para la producción de gas natural, se presenta la incertidumbre legal relacionada con los permisos requeridos para la exploración y explotación (e.g. EEUU). En las regiones de centro y Sudamérica se pronostica un crecimiento sostenido para las próximas dos décadas. Particularmente, en Brasil se han realizado recientes descubrimientos de gas natural en Santos, esperándose un incremento en la producción de gas natural para este país. Asimismo, Argentina es el líder de producción mundial de  Centro y Sudamérica, a pesar de una reciente caída en la</w:t>
      </w:r>
      <w:r>
        <w:rPr>
          <w:spacing w:val="-13"/>
        </w:rPr>
        <w:t> </w:t>
      </w:r>
      <w:r>
        <w:rPr/>
        <w:t>producción.</w:t>
      </w:r>
    </w:p>
    <w:p>
      <w:pPr>
        <w:pStyle w:val="BodyText"/>
        <w:spacing w:line="360" w:lineRule="auto" w:before="4"/>
        <w:ind w:left="102" w:right="115" w:firstLine="707"/>
        <w:jc w:val="both"/>
      </w:pPr>
      <w:r>
        <w:rPr/>
        <w:t>La proyección de largo plazo para el mercado del gas natural en EEUU (hasta el 2030) implicaría una crecimiento significativo en las importaciones, con mayores precios  en comparación con países importadores de Europa y Asia, por estar más alejada de los centros de abastecimientos (Lochner &amp; Bothe, 2009). Por otra parte, se ha planteado que para reducir la tendencia en el aumento de las importaciones gasíferas de EEUU (hasta el 2030), es necesario un incremento en la producción y una reducción en los costos de extracción del gas natural para el país mencionado (Huppmann,</w:t>
      </w:r>
      <w:r>
        <w:rPr>
          <w:spacing w:val="-9"/>
        </w:rPr>
        <w:t> </w:t>
      </w:r>
      <w:r>
        <w:rPr/>
        <w:t>2011).</w:t>
      </w:r>
    </w:p>
    <w:p>
      <w:pPr>
        <w:pStyle w:val="BodyText"/>
        <w:spacing w:line="360" w:lineRule="auto" w:before="6"/>
        <w:ind w:left="102" w:right="120" w:firstLine="707"/>
        <w:jc w:val="both"/>
      </w:pPr>
      <w:r>
        <w:rPr/>
        <w:t>De la misma forma, la agencia de Administración de Información de Energía (EIA) realizó un pronóstico de crecimiento continuo para el consumo del gas natural en el mercado americano – OECD (</w:t>
      </w:r>
      <w:r>
        <w:rPr>
          <w:i/>
        </w:rPr>
        <w:t>véase figura 2.4)</w:t>
      </w:r>
      <w:r>
        <w:rPr/>
        <w:t>, así como un crecimiento sostenido en la producción en países del Centro y Sudamérica (países No-OECD, </w:t>
      </w:r>
      <w:r>
        <w:rPr>
          <w:i/>
        </w:rPr>
        <w:t>véase figura</w:t>
      </w:r>
      <w:r>
        <w:rPr>
          <w:i/>
          <w:spacing w:val="-15"/>
        </w:rPr>
        <w:t> </w:t>
      </w:r>
      <w:r>
        <w:rPr>
          <w:i/>
        </w:rPr>
        <w:t>2.5</w:t>
      </w:r>
      <w:r>
        <w:rPr/>
        <w:t>).</w:t>
      </w:r>
    </w:p>
    <w:p>
      <w:pPr>
        <w:spacing w:after="0" w:line="360" w:lineRule="auto"/>
        <w:jc w:val="both"/>
        <w:sectPr>
          <w:pgSz w:w="12250" w:h="15850"/>
          <w:pgMar w:header="0" w:footer="1037" w:top="1360" w:bottom="1220" w:left="1600" w:right="1580"/>
        </w:sectPr>
      </w:pPr>
    </w:p>
    <w:p>
      <w:pPr>
        <w:pStyle w:val="BodyText"/>
        <w:spacing w:line="360" w:lineRule="auto" w:before="50"/>
        <w:ind w:left="291" w:right="308"/>
        <w:jc w:val="center"/>
      </w:pPr>
      <w:bookmarkStart w:name="_bookmark34" w:id="55"/>
      <w:bookmarkEnd w:id="55"/>
      <w:r>
        <w:rPr/>
      </w:r>
      <w:r>
        <w:rPr/>
        <w:t>Figura 2. 4: Proyección del consumo americano de gas natural: Países OECD - hasta el 2035</w:t>
      </w:r>
    </w:p>
    <w:p>
      <w:pPr>
        <w:pStyle w:val="BodyText"/>
        <w:spacing w:before="6"/>
        <w:ind w:right="17"/>
        <w:jc w:val="center"/>
      </w:pPr>
      <w:r>
        <w:rPr/>
        <w:t>(Expresado en trillones de pies cúbicos – tpc)</w:t>
      </w:r>
    </w:p>
    <w:p>
      <w:pPr>
        <w:pStyle w:val="BodyText"/>
        <w:spacing w:before="8"/>
        <w:rPr>
          <w:sz w:val="9"/>
        </w:rPr>
      </w:pPr>
      <w:r>
        <w:rPr/>
        <w:pict>
          <v:group style="position:absolute;margin-left:198.009583pt;margin-top:7.56428pt;width:251.5pt;height:127.25pt;mso-position-horizontal-relative:page;mso-position-vertical-relative:paragraph;z-index:4288;mso-wrap-distance-left:0;mso-wrap-distance-right:0" coordorigin="3960,151" coordsize="5030,2545">
            <v:line style="position:absolute" from="4517,2119" to="8127,2119" stroked="true" strokeweight=".454283pt" strokecolor="#858585"/>
            <v:shape style="position:absolute;left:5903;top:2187;width:237;height:200" type="#_x0000_t75" stroked="false">
              <v:imagedata r:id="rId47" o:title=""/>
            </v:shape>
            <v:shape style="position:absolute;left:6504;top:2160;width:237;height:227" type="#_x0000_t75" stroked="false">
              <v:imagedata r:id="rId48" o:title=""/>
            </v:shape>
            <v:shape style="position:absolute;left:7106;top:2142;width:237;height:245" type="#_x0000_t75" stroked="false">
              <v:imagedata r:id="rId49" o:title=""/>
            </v:shape>
            <v:shape style="position:absolute;left:7708;top:2114;width:237;height:273" type="#_x0000_t75" stroked="false">
              <v:imagedata r:id="rId50" o:title=""/>
            </v:shape>
            <v:shape style="position:absolute;left:4700;top:2205;width:237;height:182" type="#_x0000_t75" stroked="false">
              <v:imagedata r:id="rId51" o:title=""/>
            </v:shape>
            <v:shape style="position:absolute;left:4700;top:2087;width:237;height:118" type="#_x0000_t75" stroked="false">
              <v:imagedata r:id="rId52" o:title=""/>
            </v:shape>
            <v:shape style="position:absolute;left:5301;top:2196;width:237;height:191" type="#_x0000_t75" stroked="false">
              <v:imagedata r:id="rId53" o:title=""/>
            </v:shape>
            <v:shape style="position:absolute;left:5301;top:2069;width:237;height:127" type="#_x0000_t75" stroked="false">
              <v:imagedata r:id="rId54" o:title=""/>
            </v:shape>
            <v:shape style="position:absolute;left:5903;top:2014;width:237;height:173" type="#_x0000_t75" stroked="false">
              <v:imagedata r:id="rId55" o:title=""/>
            </v:shape>
            <v:shape style="position:absolute;left:6504;top:1951;width:237;height:209" type="#_x0000_t75" stroked="false">
              <v:imagedata r:id="rId56" o:title=""/>
            </v:shape>
            <v:line style="position:absolute" from="4517,1855" to="8127,1855" stroked="true" strokeweight=".454283pt" strokecolor="#858585"/>
            <v:shape style="position:absolute;left:7106;top:1896;width:237;height:245" type="#_x0000_t75" stroked="false">
              <v:imagedata r:id="rId57" o:title=""/>
            </v:shape>
            <v:shape style="position:absolute;left:7708;top:1824;width:237;height:291" type="#_x0000_t75" stroked="false">
              <v:imagedata r:id="rId58" o:title=""/>
            </v:shape>
            <v:line style="position:absolute" from="4517,1592" to="8127,1592" stroked="true" strokeweight=".454283pt" strokecolor="#858585"/>
            <v:line style="position:absolute" from="4517,1328" to="8127,1328" stroked="true" strokeweight=".454283pt" strokecolor="#858585"/>
            <v:line style="position:absolute" from="4517,1065" to="8127,1065" stroked="true" strokeweight=".454283pt" strokecolor="#858585"/>
            <v:line style="position:absolute" from="4517,801" to="8127,801" stroked="true" strokeweight=".454283pt" strokecolor="#858585"/>
            <v:shape style="position:absolute;left:4700;top:860;width:237;height:1227" type="#_x0000_t75" stroked="false">
              <v:imagedata r:id="rId59" o:title=""/>
            </v:shape>
            <v:shape style="position:absolute;left:5301;top:742;width:237;height:1327" type="#_x0000_t75" stroked="false">
              <v:imagedata r:id="rId60" o:title=""/>
            </v:shape>
            <v:shape style="position:absolute;left:5903;top:679;width:237;height:1336" type="#_x0000_t75" stroked="false">
              <v:imagedata r:id="rId61" o:title=""/>
            </v:shape>
            <v:shape style="position:absolute;left:6504;top:633;width:237;height:1317" type="#_x0000_t75" stroked="false">
              <v:imagedata r:id="rId62" o:title=""/>
            </v:shape>
            <v:line style="position:absolute" from="4517,538" to="8127,538" stroked="true" strokeweight=".454283pt" strokecolor="#858585"/>
            <v:shape style="position:absolute;left:7106;top:524;width:237;height:1372" type="#_x0000_t75" stroked="false">
              <v:imagedata r:id="rId63" o:title=""/>
            </v:shape>
            <v:shape style="position:absolute;left:7708;top:424;width:237;height:1399" type="#_x0000_t75" stroked="false">
              <v:imagedata r:id="rId64" o:title=""/>
            </v:shape>
            <v:line style="position:absolute" from="4517,274" to="8127,274" stroked="true" strokeweight=".454283pt" strokecolor="#858585"/>
            <v:line style="position:absolute" from="4517,2382" to="4517,274" stroked="true" strokeweight=".493059pt" strokecolor="#858585"/>
            <v:line style="position:absolute" from="4468,2382" to="4517,2382" stroked="true" strokeweight=".454283pt" strokecolor="#858585"/>
            <v:line style="position:absolute" from="4468,2119" to="4517,2119" stroked="true" strokeweight=".454283pt" strokecolor="#858585"/>
            <v:line style="position:absolute" from="4468,1855" to="4517,1855" stroked="true" strokeweight=".454283pt" strokecolor="#858585"/>
            <v:line style="position:absolute" from="4468,1592" to="4517,1592" stroked="true" strokeweight=".454283pt" strokecolor="#858585"/>
            <v:line style="position:absolute" from="4468,1328" to="4517,1328" stroked="true" strokeweight=".454283pt" strokecolor="#858585"/>
            <v:line style="position:absolute" from="4468,1065" to="4517,1065" stroked="true" strokeweight=".454283pt" strokecolor="#858585"/>
            <v:line style="position:absolute" from="4468,801" to="4517,801" stroked="true" strokeweight=".454283pt" strokecolor="#858585"/>
            <v:line style="position:absolute" from="4468,538" to="4517,538" stroked="true" strokeweight=".454283pt" strokecolor="#858585"/>
            <v:line style="position:absolute" from="4468,274" to="4517,274" stroked="true" strokeweight=".454283pt" strokecolor="#858585"/>
            <v:line style="position:absolute" from="4517,2382" to="8127,2382" stroked="true" strokeweight=".454283pt" strokecolor="#858585"/>
            <v:line style="position:absolute" from="4517,2382" to="4517,2428" stroked="true" strokeweight=".493059pt" strokecolor="#858585"/>
            <v:line style="position:absolute" from="5119,2382" to="5119,2428" stroked="true" strokeweight=".493059pt" strokecolor="#858585"/>
            <v:line style="position:absolute" from="5721,2382" to="5721,2428" stroked="true" strokeweight=".493059pt" strokecolor="#858585"/>
            <v:line style="position:absolute" from="6322,2382" to="6322,2428" stroked="true" strokeweight=".493059pt" strokecolor="#858585"/>
            <v:line style="position:absolute" from="6924,2382" to="6924,2428" stroked="true" strokeweight=".493059pt" strokecolor="#858585"/>
            <v:line style="position:absolute" from="7525,2382" to="7525,2428" stroked="true" strokeweight=".493059pt" strokecolor="#858585"/>
            <v:line style="position:absolute" from="8127,2382" to="8127,2428" stroked="true" strokeweight=".493059pt" strokecolor="#858585"/>
            <v:rect style="position:absolute;left:3965;top:156;width:5019;height:2535" filled="false" stroked="true" strokeweight=".462625pt" strokecolor="#858585"/>
            <v:shape style="position:absolute;left:3960;top:152;width:20;height:27" type="#_x0000_t75" stroked="false">
              <v:imagedata r:id="rId65" o:title=""/>
            </v:shape>
            <v:shape style="position:absolute;left:4101;top:204;width:278;height:2265" type="#_x0000_t202" filled="false" stroked="false">
              <v:textbox inset="0,0,0,0">
                <w:txbxContent>
                  <w:p>
                    <w:pPr>
                      <w:spacing w:line="148" w:lineRule="exact" w:before="0"/>
                      <w:ind w:left="0" w:right="-12" w:firstLine="0"/>
                      <w:jc w:val="left"/>
                      <w:rPr>
                        <w:b/>
                        <w:sz w:val="14"/>
                      </w:rPr>
                    </w:pPr>
                    <w:r>
                      <w:rPr>
                        <w:b/>
                        <w:w w:val="110"/>
                        <w:sz w:val="14"/>
                      </w:rPr>
                      <w:t>40.0</w:t>
                    </w:r>
                  </w:p>
                  <w:p>
                    <w:pPr>
                      <w:spacing w:before="103"/>
                      <w:ind w:left="0" w:right="-12" w:firstLine="0"/>
                      <w:jc w:val="left"/>
                      <w:rPr>
                        <w:b/>
                        <w:sz w:val="14"/>
                      </w:rPr>
                    </w:pPr>
                    <w:r>
                      <w:rPr>
                        <w:b/>
                        <w:w w:val="110"/>
                        <w:sz w:val="14"/>
                      </w:rPr>
                      <w:t>35.0</w:t>
                    </w:r>
                  </w:p>
                  <w:p>
                    <w:pPr>
                      <w:spacing w:before="103"/>
                      <w:ind w:left="0" w:right="-12" w:firstLine="0"/>
                      <w:jc w:val="left"/>
                      <w:rPr>
                        <w:b/>
                        <w:sz w:val="14"/>
                      </w:rPr>
                    </w:pPr>
                    <w:r>
                      <w:rPr>
                        <w:b/>
                        <w:w w:val="110"/>
                        <w:sz w:val="14"/>
                      </w:rPr>
                      <w:t>30.0</w:t>
                    </w:r>
                  </w:p>
                  <w:p>
                    <w:pPr>
                      <w:spacing w:before="104"/>
                      <w:ind w:left="0" w:right="-12" w:firstLine="0"/>
                      <w:jc w:val="left"/>
                      <w:rPr>
                        <w:b/>
                        <w:sz w:val="14"/>
                      </w:rPr>
                    </w:pPr>
                    <w:r>
                      <w:rPr>
                        <w:b/>
                        <w:w w:val="110"/>
                        <w:sz w:val="14"/>
                      </w:rPr>
                      <w:t>25.0</w:t>
                    </w:r>
                  </w:p>
                  <w:p>
                    <w:pPr>
                      <w:spacing w:before="103"/>
                      <w:ind w:left="0" w:right="-12" w:firstLine="0"/>
                      <w:jc w:val="left"/>
                      <w:rPr>
                        <w:b/>
                        <w:sz w:val="14"/>
                      </w:rPr>
                    </w:pPr>
                    <w:r>
                      <w:rPr>
                        <w:b/>
                        <w:w w:val="110"/>
                        <w:sz w:val="14"/>
                      </w:rPr>
                      <w:t>20.0</w:t>
                    </w:r>
                  </w:p>
                  <w:p>
                    <w:pPr>
                      <w:spacing w:before="103"/>
                      <w:ind w:left="0" w:right="-12" w:firstLine="0"/>
                      <w:jc w:val="left"/>
                      <w:rPr>
                        <w:b/>
                        <w:sz w:val="14"/>
                      </w:rPr>
                    </w:pPr>
                    <w:r>
                      <w:rPr>
                        <w:b/>
                        <w:w w:val="110"/>
                        <w:sz w:val="14"/>
                      </w:rPr>
                      <w:t>15.0</w:t>
                    </w:r>
                  </w:p>
                  <w:p>
                    <w:pPr>
                      <w:spacing w:before="103"/>
                      <w:ind w:left="0" w:right="-12" w:firstLine="0"/>
                      <w:jc w:val="left"/>
                      <w:rPr>
                        <w:b/>
                        <w:sz w:val="14"/>
                      </w:rPr>
                    </w:pPr>
                    <w:r>
                      <w:rPr>
                        <w:b/>
                        <w:w w:val="110"/>
                        <w:sz w:val="14"/>
                      </w:rPr>
                      <w:t>10.0</w:t>
                    </w:r>
                  </w:p>
                  <w:p>
                    <w:pPr>
                      <w:spacing w:before="104"/>
                      <w:ind w:left="79" w:right="-14" w:firstLine="0"/>
                      <w:jc w:val="left"/>
                      <w:rPr>
                        <w:b/>
                        <w:sz w:val="14"/>
                      </w:rPr>
                    </w:pPr>
                    <w:r>
                      <w:rPr>
                        <w:b/>
                        <w:w w:val="110"/>
                        <w:sz w:val="14"/>
                      </w:rPr>
                      <w:t>5.0</w:t>
                    </w:r>
                  </w:p>
                  <w:p>
                    <w:pPr>
                      <w:spacing w:line="159" w:lineRule="exact" w:before="103"/>
                      <w:ind w:left="79" w:right="-14" w:firstLine="0"/>
                      <w:jc w:val="left"/>
                      <w:rPr>
                        <w:b/>
                        <w:sz w:val="14"/>
                      </w:rPr>
                    </w:pPr>
                    <w:r>
                      <w:rPr>
                        <w:b/>
                        <w:w w:val="110"/>
                        <w:sz w:val="14"/>
                      </w:rPr>
                      <w:t>0.0</w:t>
                    </w:r>
                  </w:p>
                </w:txbxContent>
              </v:textbox>
              <w10:wrap type="none"/>
            </v:shape>
            <v:shape style="position:absolute;left:8193;top:950;width:449;height:146" type="#_x0000_t202" filled="false" stroked="false">
              <v:textbox inset="0,0,0,0">
                <w:txbxContent>
                  <w:p>
                    <w:pPr>
                      <w:spacing w:line="146" w:lineRule="exact" w:before="0"/>
                      <w:ind w:left="0" w:right="-19" w:firstLine="0"/>
                      <w:jc w:val="left"/>
                      <w:rPr>
                        <w:b/>
                        <w:sz w:val="14"/>
                      </w:rPr>
                    </w:pPr>
                    <w:r>
                      <w:rPr>
                        <w:b/>
                        <w:color w:val="6F2F9F"/>
                        <w:w w:val="115"/>
                        <w:sz w:val="14"/>
                      </w:rPr>
                      <w:t>EEUU</w:t>
                    </w:r>
                  </w:p>
                </w:txbxContent>
              </v:textbox>
              <w10:wrap type="none"/>
            </v:shape>
            <v:shape style="position:absolute;left:4657;top:1858;width:4039;height:785" type="#_x0000_t202" filled="false" stroked="false">
              <v:textbox inset="0,0,0,0">
                <w:txbxContent>
                  <w:p>
                    <w:pPr>
                      <w:spacing w:line="148" w:lineRule="exact" w:before="0"/>
                      <w:ind w:left="3436" w:right="-17" w:firstLine="0"/>
                      <w:jc w:val="left"/>
                      <w:rPr>
                        <w:b/>
                        <w:sz w:val="14"/>
                      </w:rPr>
                    </w:pPr>
                    <w:r>
                      <w:rPr>
                        <w:b/>
                        <w:color w:val="00AF50"/>
                        <w:w w:val="115"/>
                        <w:sz w:val="14"/>
                      </w:rPr>
                      <w:t>México</w:t>
                    </w:r>
                    <w:r>
                      <w:rPr>
                        <w:b/>
                        <w:color w:val="00AF50"/>
                        <w:spacing w:val="-22"/>
                        <w:w w:val="115"/>
                        <w:sz w:val="14"/>
                      </w:rPr>
                      <w:t> </w:t>
                    </w:r>
                    <w:r>
                      <w:rPr>
                        <w:b/>
                        <w:color w:val="00AF50"/>
                        <w:w w:val="115"/>
                        <w:sz w:val="14"/>
                      </w:rPr>
                      <w:t>y</w:t>
                    </w:r>
                  </w:p>
                  <w:p>
                    <w:pPr>
                      <w:spacing w:before="3"/>
                      <w:ind w:left="0" w:right="244" w:firstLine="0"/>
                      <w:jc w:val="right"/>
                      <w:rPr>
                        <w:b/>
                        <w:sz w:val="14"/>
                      </w:rPr>
                    </w:pPr>
                    <w:r>
                      <w:rPr>
                        <w:b/>
                        <w:color w:val="00AF50"/>
                        <w:w w:val="110"/>
                        <w:sz w:val="14"/>
                      </w:rPr>
                      <w:t>Chile</w:t>
                    </w:r>
                  </w:p>
                  <w:p>
                    <w:pPr>
                      <w:spacing w:before="83"/>
                      <w:ind w:left="0" w:right="134" w:firstLine="0"/>
                      <w:jc w:val="right"/>
                      <w:rPr>
                        <w:b/>
                        <w:sz w:val="14"/>
                      </w:rPr>
                    </w:pPr>
                    <w:r>
                      <w:rPr>
                        <w:b/>
                        <w:color w:val="E36C09"/>
                        <w:w w:val="110"/>
                        <w:sz w:val="14"/>
                      </w:rPr>
                      <w:t>Cánada</w:t>
                    </w:r>
                  </w:p>
                  <w:p>
                    <w:pPr>
                      <w:spacing w:line="159" w:lineRule="exact" w:before="69"/>
                      <w:ind w:left="0" w:right="-17" w:firstLine="0"/>
                      <w:jc w:val="left"/>
                      <w:rPr>
                        <w:b/>
                        <w:sz w:val="14"/>
                      </w:rPr>
                    </w:pPr>
                    <w:r>
                      <w:rPr>
                        <w:b/>
                        <w:w w:val="115"/>
                        <w:sz w:val="14"/>
                      </w:rPr>
                      <w:t>2008</w:t>
                    </w:r>
                  </w:p>
                </w:txbxContent>
              </v:textbox>
              <w10:wrap type="none"/>
            </v:shape>
            <v:shape style="position:absolute;left:5259;top:2497;width:317;height:146" type="#_x0000_t202" filled="false" stroked="false">
              <v:textbox inset="0,0,0,0">
                <w:txbxContent>
                  <w:p>
                    <w:pPr>
                      <w:spacing w:line="146" w:lineRule="exact" w:before="0"/>
                      <w:ind w:left="0" w:right="-11" w:firstLine="0"/>
                      <w:jc w:val="left"/>
                      <w:rPr>
                        <w:b/>
                        <w:sz w:val="14"/>
                      </w:rPr>
                    </w:pPr>
                    <w:r>
                      <w:rPr>
                        <w:b/>
                        <w:w w:val="110"/>
                        <w:sz w:val="14"/>
                      </w:rPr>
                      <w:t>2015</w:t>
                    </w:r>
                  </w:p>
                </w:txbxContent>
              </v:textbox>
              <w10:wrap type="none"/>
            </v:shape>
            <v:shape style="position:absolute;left:5862;top:2497;width:316;height:146" type="#_x0000_t202" filled="false" stroked="false">
              <v:textbox inset="0,0,0,0">
                <w:txbxContent>
                  <w:p>
                    <w:pPr>
                      <w:spacing w:line="146" w:lineRule="exact" w:before="0"/>
                      <w:ind w:left="0" w:right="-12" w:firstLine="0"/>
                      <w:jc w:val="left"/>
                      <w:rPr>
                        <w:b/>
                        <w:sz w:val="14"/>
                      </w:rPr>
                    </w:pPr>
                    <w:r>
                      <w:rPr>
                        <w:b/>
                        <w:w w:val="110"/>
                        <w:sz w:val="14"/>
                      </w:rPr>
                      <w:t>2020</w:t>
                    </w:r>
                  </w:p>
                </w:txbxContent>
              </v:textbox>
              <w10:wrap type="none"/>
            </v:shape>
            <v:shape style="position:absolute;left:6464;top:2497;width:317;height:146" type="#_x0000_t202" filled="false" stroked="false">
              <v:textbox inset="0,0,0,0">
                <w:txbxContent>
                  <w:p>
                    <w:pPr>
                      <w:spacing w:line="146" w:lineRule="exact" w:before="0"/>
                      <w:ind w:left="0" w:right="-11" w:firstLine="0"/>
                      <w:jc w:val="left"/>
                      <w:rPr>
                        <w:b/>
                        <w:sz w:val="14"/>
                      </w:rPr>
                    </w:pPr>
                    <w:r>
                      <w:rPr>
                        <w:b/>
                        <w:w w:val="110"/>
                        <w:sz w:val="14"/>
                      </w:rPr>
                      <w:t>2025</w:t>
                    </w:r>
                  </w:p>
                </w:txbxContent>
              </v:textbox>
              <w10:wrap type="none"/>
            </v:shape>
            <v:shape style="position:absolute;left:7067;top:2497;width:316;height:146" type="#_x0000_t202" filled="false" stroked="false">
              <v:textbox inset="0,0,0,0">
                <w:txbxContent>
                  <w:p>
                    <w:pPr>
                      <w:spacing w:line="146" w:lineRule="exact" w:before="0"/>
                      <w:ind w:left="0" w:right="-12" w:firstLine="0"/>
                      <w:jc w:val="left"/>
                      <w:rPr>
                        <w:b/>
                        <w:sz w:val="14"/>
                      </w:rPr>
                    </w:pPr>
                    <w:r>
                      <w:rPr>
                        <w:b/>
                        <w:w w:val="110"/>
                        <w:sz w:val="14"/>
                      </w:rPr>
                      <w:t>2030</w:t>
                    </w:r>
                  </w:p>
                </w:txbxContent>
              </v:textbox>
              <w10:wrap type="none"/>
            </v:shape>
            <v:shape style="position:absolute;left:7669;top:2497;width:316;height:146" type="#_x0000_t202" filled="false" stroked="false">
              <v:textbox inset="0,0,0,0">
                <w:txbxContent>
                  <w:p>
                    <w:pPr>
                      <w:spacing w:line="146" w:lineRule="exact" w:before="0"/>
                      <w:ind w:left="0" w:right="-12" w:firstLine="0"/>
                      <w:jc w:val="left"/>
                      <w:rPr>
                        <w:b/>
                        <w:sz w:val="14"/>
                      </w:rPr>
                    </w:pPr>
                    <w:r>
                      <w:rPr>
                        <w:b/>
                        <w:w w:val="110"/>
                        <w:sz w:val="14"/>
                      </w:rPr>
                      <w:t>2035</w:t>
                    </w:r>
                  </w:p>
                </w:txbxContent>
              </v:textbox>
              <w10:wrap type="none"/>
            </v:shape>
            <w10:wrap type="topAndBottom"/>
          </v:group>
        </w:pict>
      </w:r>
    </w:p>
    <w:p>
      <w:pPr>
        <w:spacing w:before="112"/>
        <w:ind w:left="2226" w:right="127" w:firstLine="0"/>
        <w:jc w:val="left"/>
        <w:rPr>
          <w:sz w:val="16"/>
        </w:rPr>
      </w:pPr>
      <w:r>
        <w:rPr>
          <w:sz w:val="16"/>
        </w:rPr>
        <w:t>Fuente: Energy Information Administration EIA - U.S. (2011)</w:t>
      </w:r>
    </w:p>
    <w:p>
      <w:pPr>
        <w:pStyle w:val="BodyText"/>
        <w:rPr>
          <w:sz w:val="16"/>
        </w:rPr>
      </w:pPr>
    </w:p>
    <w:p>
      <w:pPr>
        <w:pStyle w:val="BodyText"/>
        <w:rPr>
          <w:sz w:val="16"/>
        </w:rPr>
      </w:pPr>
    </w:p>
    <w:p>
      <w:pPr>
        <w:pStyle w:val="BodyText"/>
        <w:rPr>
          <w:sz w:val="16"/>
        </w:rPr>
      </w:pPr>
    </w:p>
    <w:p>
      <w:pPr>
        <w:pStyle w:val="BodyText"/>
        <w:spacing w:line="360" w:lineRule="auto"/>
        <w:ind w:left="100" w:right="118"/>
        <w:jc w:val="center"/>
      </w:pPr>
      <w:bookmarkStart w:name="_bookmark35" w:id="56"/>
      <w:bookmarkEnd w:id="56"/>
      <w:r>
        <w:rPr/>
      </w:r>
      <w:r>
        <w:rPr/>
        <w:t>Figura 2. 5: Proyección de la producción americana de gas natural: países No OECD - hasta el 2035</w:t>
      </w:r>
    </w:p>
    <w:p>
      <w:pPr>
        <w:pStyle w:val="BodyText"/>
        <w:spacing w:before="6"/>
        <w:ind w:left="2692" w:right="127"/>
      </w:pPr>
      <w:r>
        <w:rPr/>
        <w:t>(Expresado en trillones de pies cúbicos – tpc)</w:t>
      </w:r>
    </w:p>
    <w:p>
      <w:pPr>
        <w:pStyle w:val="BodyText"/>
        <w:spacing w:before="9"/>
        <w:rPr>
          <w:sz w:val="9"/>
        </w:rPr>
      </w:pPr>
      <w:r>
        <w:rPr/>
        <w:pict>
          <v:group style="position:absolute;margin-left:204.990494pt;margin-top:7.611789pt;width:237.5pt;height:142.1pt;mso-position-horizontal-relative:page;mso-position-vertical-relative:paragraph;z-index:4552;mso-wrap-distance-left:0;mso-wrap-distance-right:0" coordorigin="4100,152" coordsize="4750,2842">
            <v:line style="position:absolute" from="7190,2261" to="7294,2261" stroked="true" strokeweight=".491584pt" strokecolor="#858585"/>
            <v:line style="position:absolute" from="6855,2261" to="7062,2261" stroked="true" strokeweight=".491584pt" strokecolor="#858585"/>
            <v:line style="position:absolute" from="6509,2261" to="6716,2261" stroked="true" strokeweight=".491584pt" strokecolor="#858585"/>
            <v:line style="position:absolute" from="6163,2261" to="6371,2261" stroked="true" strokeweight=".491584pt" strokecolor="#858585"/>
            <v:line style="position:absolute" from="5482,2261" to="6025,2261" stroked="true" strokeweight=".491584pt" strokecolor="#858585"/>
            <v:line style="position:absolute" from="4549,2261" to="5344,2261" stroked="true" strokeweight=".491584pt" strokecolor="#858585"/>
            <v:line style="position:absolute" from="5344,2645" to="5482,2645" stroked="true" strokeweight=".491584pt" strokecolor="#aa4643"/>
            <v:shape style="position:absolute;left:5344;top:2512;width:138;height:138" type="#_x0000_t75" stroked="false">
              <v:imagedata r:id="rId66" o:title=""/>
            </v:shape>
            <v:rect style="position:absolute;left:5344;top:2207;width:138;height:305" filled="true" fillcolor="#70578f" stroked="false">
              <v:fill type="solid"/>
            </v:rect>
            <v:line style="position:absolute" from="5680,2645" to="5818,2645" stroked="true" strokeweight=".491584pt" strokecolor="#aa4643"/>
            <v:shape style="position:absolute;left:5680;top:2492;width:138;height:147" type="#_x0000_t75" stroked="false">
              <v:imagedata r:id="rId67" o:title=""/>
            </v:shape>
            <v:rect style="position:absolute;left:5680;top:2237;width:138;height:256" filled="true" fillcolor="#70578f" stroked="false">
              <v:fill type="solid"/>
            </v:rect>
            <v:rect style="position:absolute;left:6025;top:2630;width:138;height:20" filled="true" fillcolor="#aa4643" stroked="false">
              <v:fill type="solid"/>
            </v:rect>
            <v:shape style="position:absolute;left:6025;top:2473;width:138;height:157" type="#_x0000_t75" stroked="false">
              <v:imagedata r:id="rId68" o:title=""/>
            </v:shape>
            <v:rect style="position:absolute;left:6025;top:2207;width:138;height:265" filled="true" fillcolor="#70578f" stroked="false">
              <v:fill type="solid"/>
            </v:rect>
            <v:rect style="position:absolute;left:6371;top:2630;width:138;height:20" filled="true" fillcolor="#aa4643" stroked="false">
              <v:fill type="solid"/>
            </v:rect>
            <v:shape style="position:absolute;left:6371;top:2453;width:138;height:177" type="#_x0000_t75" stroked="false">
              <v:imagedata r:id="rId69" o:title=""/>
            </v:shape>
            <v:rect style="position:absolute;left:6371;top:2158;width:138;height:295" filled="true" fillcolor="#70578f" stroked="false">
              <v:fill type="solid"/>
            </v:rect>
            <v:rect style="position:absolute;left:6716;top:2620;width:138;height:29" filled="true" fillcolor="#aa4643" stroked="false">
              <v:fill type="solid"/>
            </v:rect>
            <v:shape style="position:absolute;left:6716;top:2433;width:138;height:187" type="#_x0000_t75" stroked="false">
              <v:imagedata r:id="rId70" o:title=""/>
            </v:shape>
            <v:rect style="position:absolute;left:6716;top:2089;width:138;height:344" filled="true" fillcolor="#70578f" stroked="false">
              <v:fill type="solid"/>
            </v:rect>
            <v:rect style="position:absolute;left:7062;top:2620;width:128;height:29" filled="true" fillcolor="#aa4643" stroked="false">
              <v:fill type="solid"/>
            </v:rect>
            <v:shape style="position:absolute;left:7062;top:2414;width:128;height:206" type="#_x0000_t75" stroked="false">
              <v:imagedata r:id="rId71" o:title=""/>
            </v:shape>
            <v:rect style="position:absolute;left:7062;top:2030;width:128;height:383" filled="true" fillcolor="#70578f" stroked="false">
              <v:fill type="solid"/>
            </v:rect>
            <v:line style="position:absolute" from="4653,2645" to="4791,2645" stroked="true" strokeweight=".491584pt" strokecolor="#aa4643"/>
            <v:shape style="position:absolute;left:4653;top:2630;width:138;height:20" type="#_x0000_t75" stroked="false">
              <v:imagedata r:id="rId72" o:title=""/>
            </v:shape>
            <v:rect style="position:absolute;left:4653;top:2502;width:138;height:128" filled="true" fillcolor="#70578f" stroked="false">
              <v:fill type="solid"/>
            </v:rect>
            <v:shape style="position:absolute;left:4653;top:2482;width:138;height:20" type="#_x0000_t75" stroked="false">
              <v:imagedata r:id="rId73" o:title=""/>
            </v:shape>
            <v:line style="position:absolute" from="4998,2645" to="5137,2645" stroked="true" strokeweight=".491584pt" strokecolor="#aa4643"/>
            <v:shape style="position:absolute;left:4998;top:2620;width:138;height:29" type="#_x0000_t75" stroked="false">
              <v:imagedata r:id="rId74" o:title=""/>
            </v:shape>
            <v:rect style="position:absolute;left:4998;top:2364;width:138;height:256" filled="true" fillcolor="#70578f" stroked="false">
              <v:fill type="solid"/>
            </v:rect>
            <v:shape style="position:absolute;left:4998;top:2315;width:138;height:49" type="#_x0000_t75" stroked="false">
              <v:imagedata r:id="rId75" o:title=""/>
            </v:shape>
            <v:shape style="position:absolute;left:5344;top:2119;width:138;height:88" type="#_x0000_t75" stroked="false">
              <v:imagedata r:id="rId76" o:title=""/>
            </v:shape>
            <v:shape style="position:absolute;left:5680;top:2040;width:138;height:197" type="#_x0000_t75" stroked="false">
              <v:imagedata r:id="rId77" o:title=""/>
            </v:shape>
            <v:line style="position:absolute" from="4549,1868" to="7294,1868" stroked="true" strokeweight=".491584pt" strokecolor="#858585"/>
            <v:shape style="position:absolute;left:6025;top:1932;width:138;height:275" type="#_x0000_t75" stroked="false">
              <v:imagedata r:id="rId78" o:title=""/>
            </v:shape>
            <v:shape style="position:absolute;left:6371;top:1794;width:138;height:364" type="#_x0000_t75" stroked="false">
              <v:imagedata r:id="rId79" o:title=""/>
            </v:shape>
            <v:shape style="position:absolute;left:6716;top:1647;width:138;height:442" type="#_x0000_t75" stroked="false">
              <v:imagedata r:id="rId80" o:title=""/>
            </v:shape>
            <v:line style="position:absolute" from="4549,1475" to="7294,1475" stroked="true" strokeweight=".491584pt" strokecolor="#858585"/>
            <v:shape style="position:absolute;left:7062;top:1499;width:128;height:531" type="#_x0000_t75" stroked="false">
              <v:imagedata r:id="rId81" o:title=""/>
            </v:shape>
            <v:shape style="position:absolute;left:4653;top:2266;width:138;height:216" type="#_x0000_t75" stroked="false">
              <v:imagedata r:id="rId82" o:title=""/>
            </v:shape>
            <v:shape style="position:absolute;left:4998;top:1991;width:138;height:324" type="#_x0000_t75" stroked="false">
              <v:imagedata r:id="rId83" o:title=""/>
            </v:shape>
            <v:shape style="position:absolute;left:5344;top:1647;width:138;height:472" type="#_x0000_t75" stroked="false">
              <v:imagedata r:id="rId84" o:title=""/>
            </v:shape>
            <v:shape style="position:absolute;left:5680;top:1509;width:138;height:531" type="#_x0000_t75" stroked="false">
              <v:imagedata r:id="rId85" o:title=""/>
            </v:shape>
            <v:shape style="position:absolute;left:6025;top:1371;width:138;height:560" type="#_x0000_t75" stroked="false">
              <v:imagedata r:id="rId86" o:title=""/>
            </v:shape>
            <v:shape style="position:absolute;left:6371;top:1185;width:138;height:610" type="#_x0000_t75" stroked="false">
              <v:imagedata r:id="rId87" o:title=""/>
            </v:shape>
            <v:line style="position:absolute" from="4549,1081" to="7294,1081" stroked="true" strokeweight=".491584pt" strokecolor="#858585"/>
            <v:shape style="position:absolute;left:6716;top:978;width:138;height:669" type="#_x0000_t75" stroked="false">
              <v:imagedata r:id="rId88" o:title=""/>
            </v:shape>
            <v:shape style="position:absolute;left:7062;top:782;width:128;height:718" type="#_x0000_t75" stroked="false">
              <v:imagedata r:id="rId89" o:title=""/>
            </v:shape>
            <v:line style="position:absolute" from="4549,688" to="7294,688" stroked="true" strokeweight=".491584pt" strokecolor="#858585"/>
            <v:line style="position:absolute" from="4549,295" to="7294,295" stroked="true" strokeweight=".491584pt" strokecolor="#858585"/>
            <v:line style="position:absolute" from="4549,2654" to="4549,295" stroked="true" strokeweight=".493665pt" strokecolor="#858585"/>
            <v:line style="position:absolute" from="4500,2654" to="4549,2654" stroked="true" strokeweight=".491584pt" strokecolor="#858585"/>
            <v:line style="position:absolute" from="4500,2261" to="4549,2261" stroked="true" strokeweight=".491584pt" strokecolor="#858585"/>
            <v:line style="position:absolute" from="4500,1868" to="4549,1868" stroked="true" strokeweight=".491584pt" strokecolor="#858585"/>
            <v:line style="position:absolute" from="4500,1475" to="4549,1475" stroked="true" strokeweight=".491584pt" strokecolor="#858585"/>
            <v:line style="position:absolute" from="4500,1081" to="4549,1081" stroked="true" strokeweight=".491584pt" strokecolor="#858585"/>
            <v:line style="position:absolute" from="4500,688" to="4549,688" stroked="true" strokeweight=".491584pt" strokecolor="#858585"/>
            <v:line style="position:absolute" from="4500,295" to="4549,295" stroked="true" strokeweight=".491584pt" strokecolor="#858585"/>
            <v:line style="position:absolute" from="4549,2654" to="7294,2654" stroked="true" strokeweight=".491584pt" strokecolor="#858585"/>
            <v:line style="position:absolute" from="4549,2654" to="4549,2694" stroked="true" strokeweight=".493665pt" strokecolor="#858585"/>
            <v:line style="position:absolute" from="4895,2654" to="4895,2694" stroked="true" strokeweight=".493665pt" strokecolor="#858585"/>
            <v:line style="position:absolute" from="5240,2654" to="5240,2694" stroked="true" strokeweight=".493665pt" strokecolor="#858585"/>
            <v:line style="position:absolute" from="5576,2654" to="5576,2694" stroked="true" strokeweight=".493665pt" strokecolor="#858585"/>
            <v:line style="position:absolute" from="5922,2654" to="5922,2694" stroked="true" strokeweight=".493665pt" strokecolor="#858585"/>
            <v:line style="position:absolute" from="6267,2654" to="6267,2694" stroked="true" strokeweight=".493665pt" strokecolor="#858585"/>
            <v:line style="position:absolute" from="6613,2654" to="6613,2694" stroked="true" strokeweight=".493665pt" strokecolor="#858585"/>
            <v:line style="position:absolute" from="6958,2654" to="6958,2694" stroked="true" strokeweight=".493665pt" strokecolor="#858585"/>
            <v:line style="position:absolute" from="7294,2654" to="7294,2694" stroked="true" strokeweight=".493665pt" strokecolor="#858585"/>
            <v:shape style="position:absolute;left:7299;top:595;width:79;height:79" type="#_x0000_t75" stroked="false">
              <v:imagedata r:id="rId90" o:title=""/>
            </v:shape>
            <v:shape style="position:absolute;left:7299;top:1017;width:79;height:79" type="#_x0000_t75" stroked="false">
              <v:imagedata r:id="rId91" o:title=""/>
            </v:shape>
            <v:line style="position:absolute" from="7299,1484" to="7388,1484" stroked="true" strokeweight="4.424256pt" strokecolor="#70578f"/>
            <v:shape style="position:absolute;left:7299;top:1863;width:79;height:79" type="#_x0000_t75" stroked="false">
              <v:imagedata r:id="rId92" o:title=""/>
            </v:shape>
            <v:line style="position:absolute" from="7299,2330" to="7388,2330" stroked="true" strokeweight="4.424256pt" strokecolor="#aa4643"/>
            <v:rect style="position:absolute;left:4105;top:157;width:4739;height:2832" filled="false" stroked="true" strokeweight=".492624pt" strokecolor="#858585"/>
            <v:shape style="position:absolute;left:4127;top:224;width:279;height:946" type="#_x0000_t202" filled="false" stroked="false">
              <v:textbox inset="0,0,0,0">
                <w:txbxContent>
                  <w:p>
                    <w:pPr>
                      <w:spacing w:line="159" w:lineRule="exact" w:before="0"/>
                      <w:ind w:left="0" w:right="-17" w:firstLine="0"/>
                      <w:jc w:val="left"/>
                      <w:rPr>
                        <w:rFonts w:ascii="Calibri"/>
                        <w:sz w:val="15"/>
                      </w:rPr>
                    </w:pPr>
                    <w:r>
                      <w:rPr>
                        <w:rFonts w:ascii="Calibri"/>
                        <w:spacing w:val="-1"/>
                        <w:w w:val="105"/>
                        <w:sz w:val="15"/>
                      </w:rPr>
                      <w:t>12.0</w:t>
                    </w:r>
                  </w:p>
                  <w:p>
                    <w:pPr>
                      <w:spacing w:line="240" w:lineRule="auto" w:before="3"/>
                      <w:rPr>
                        <w:sz w:val="18"/>
                      </w:rPr>
                    </w:pPr>
                  </w:p>
                  <w:p>
                    <w:pPr>
                      <w:spacing w:before="1"/>
                      <w:ind w:left="0" w:right="-17" w:firstLine="0"/>
                      <w:jc w:val="left"/>
                      <w:rPr>
                        <w:rFonts w:ascii="Calibri"/>
                        <w:sz w:val="15"/>
                      </w:rPr>
                    </w:pPr>
                    <w:r>
                      <w:rPr>
                        <w:rFonts w:ascii="Calibri"/>
                        <w:spacing w:val="-1"/>
                        <w:w w:val="105"/>
                        <w:sz w:val="15"/>
                      </w:rPr>
                      <w:t>10.0</w:t>
                    </w:r>
                  </w:p>
                  <w:p>
                    <w:pPr>
                      <w:spacing w:line="240" w:lineRule="auto" w:before="3"/>
                      <w:rPr>
                        <w:sz w:val="18"/>
                      </w:rPr>
                    </w:pPr>
                  </w:p>
                  <w:p>
                    <w:pPr>
                      <w:spacing w:line="182" w:lineRule="exact" w:before="0"/>
                      <w:ind w:left="79" w:right="-20" w:firstLine="0"/>
                      <w:jc w:val="left"/>
                      <w:rPr>
                        <w:rFonts w:ascii="Calibri"/>
                        <w:sz w:val="15"/>
                      </w:rPr>
                    </w:pPr>
                    <w:r>
                      <w:rPr>
                        <w:rFonts w:ascii="Calibri"/>
                        <w:w w:val="105"/>
                        <w:sz w:val="15"/>
                      </w:rPr>
                      <w:t>8.0</w:t>
                    </w:r>
                  </w:p>
                </w:txbxContent>
              </v:textbox>
              <w10:wrap type="none"/>
            </v:shape>
            <v:shape style="position:absolute;left:7421;top:565;width:1280;height:583" type="#_x0000_t202" filled="false" stroked="false">
              <v:textbox inset="0,0,0,0">
                <w:txbxContent>
                  <w:p>
                    <w:pPr>
                      <w:spacing w:line="159" w:lineRule="exact" w:before="0"/>
                      <w:ind w:left="0" w:right="-13" w:firstLine="0"/>
                      <w:jc w:val="left"/>
                      <w:rPr>
                        <w:sz w:val="15"/>
                      </w:rPr>
                    </w:pPr>
                    <w:r>
                      <w:rPr>
                        <w:w w:val="105"/>
                        <w:sz w:val="15"/>
                      </w:rPr>
                      <w:t>Productores </w:t>
                    </w:r>
                    <w:r>
                      <w:rPr>
                        <w:spacing w:val="2"/>
                        <w:w w:val="105"/>
                        <w:sz w:val="15"/>
                      </w:rPr>
                      <w:t>del</w:t>
                    </w:r>
                    <w:r>
                      <w:rPr>
                        <w:spacing w:val="-19"/>
                        <w:w w:val="105"/>
                        <w:sz w:val="15"/>
                      </w:rPr>
                      <w:t> </w:t>
                    </w:r>
                    <w:r>
                      <w:rPr>
                        <w:w w:val="105"/>
                        <w:sz w:val="15"/>
                      </w:rPr>
                      <w:t>nor-</w:t>
                    </w:r>
                  </w:p>
                  <w:p>
                    <w:pPr>
                      <w:spacing w:before="5"/>
                      <w:ind w:left="0" w:right="-13" w:firstLine="0"/>
                      <w:jc w:val="left"/>
                      <w:rPr>
                        <w:sz w:val="15"/>
                      </w:rPr>
                    </w:pPr>
                    <w:r>
                      <w:rPr>
                        <w:w w:val="105"/>
                        <w:sz w:val="15"/>
                      </w:rPr>
                      <w:t>oriente</w:t>
                    </w:r>
                  </w:p>
                  <w:p>
                    <w:pPr>
                      <w:spacing w:line="171" w:lineRule="exact" w:before="75"/>
                      <w:ind w:left="0" w:right="-13" w:firstLine="0"/>
                      <w:jc w:val="left"/>
                      <w:rPr>
                        <w:sz w:val="15"/>
                      </w:rPr>
                    </w:pPr>
                    <w:r>
                      <w:rPr>
                        <w:w w:val="105"/>
                        <w:sz w:val="15"/>
                      </w:rPr>
                      <w:t>Brasil</w:t>
                    </w:r>
                  </w:p>
                </w:txbxContent>
              </v:textbox>
              <w10:wrap type="none"/>
            </v:shape>
            <v:shape style="position:absolute;left:4206;top:1405;width:200;height:158" type="#_x0000_t202" filled="false" stroked="false">
              <v:textbox inset="0,0,0,0">
                <w:txbxContent>
                  <w:p>
                    <w:pPr>
                      <w:spacing w:line="158" w:lineRule="exact" w:before="0"/>
                      <w:ind w:left="0" w:right="-20" w:firstLine="0"/>
                      <w:jc w:val="left"/>
                      <w:rPr>
                        <w:rFonts w:ascii="Calibri"/>
                        <w:sz w:val="15"/>
                      </w:rPr>
                    </w:pPr>
                    <w:r>
                      <w:rPr>
                        <w:rFonts w:ascii="Calibri"/>
                        <w:w w:val="105"/>
                        <w:sz w:val="15"/>
                      </w:rPr>
                      <w:t>6.0</w:t>
                    </w:r>
                  </w:p>
                </w:txbxContent>
              </v:textbox>
              <w10:wrap type="none"/>
            </v:shape>
            <v:shape style="position:absolute;left:7421;top:1415;width:597;height:158" type="#_x0000_t202" filled="false" stroked="false">
              <v:textbox inset="0,0,0,0">
                <w:txbxContent>
                  <w:p>
                    <w:pPr>
                      <w:spacing w:line="158" w:lineRule="exact" w:before="0"/>
                      <w:ind w:left="0" w:right="-18" w:firstLine="0"/>
                      <w:jc w:val="left"/>
                      <w:rPr>
                        <w:sz w:val="15"/>
                      </w:rPr>
                    </w:pPr>
                    <w:r>
                      <w:rPr>
                        <w:w w:val="105"/>
                        <w:sz w:val="15"/>
                      </w:rPr>
                      <w:t>Cono</w:t>
                    </w:r>
                    <w:r>
                      <w:rPr>
                        <w:spacing w:val="-5"/>
                        <w:w w:val="105"/>
                        <w:sz w:val="15"/>
                      </w:rPr>
                      <w:t> </w:t>
                    </w:r>
                    <w:r>
                      <w:rPr>
                        <w:w w:val="105"/>
                        <w:sz w:val="15"/>
                      </w:rPr>
                      <w:t>Sur</w:t>
                    </w:r>
                  </w:p>
                </w:txbxContent>
              </v:textbox>
              <w10:wrap type="none"/>
            </v:shape>
            <v:shape style="position:absolute;left:4206;top:1799;width:200;height:158" type="#_x0000_t202" filled="false" stroked="false">
              <v:textbox inset="0,0,0,0">
                <w:txbxContent>
                  <w:p>
                    <w:pPr>
                      <w:spacing w:line="158" w:lineRule="exact" w:before="0"/>
                      <w:ind w:left="0" w:right="-20" w:firstLine="0"/>
                      <w:jc w:val="left"/>
                      <w:rPr>
                        <w:rFonts w:ascii="Calibri"/>
                        <w:sz w:val="15"/>
                      </w:rPr>
                    </w:pPr>
                    <w:r>
                      <w:rPr>
                        <w:rFonts w:ascii="Calibri"/>
                        <w:w w:val="105"/>
                        <w:sz w:val="15"/>
                      </w:rPr>
                      <w:t>4.0</w:t>
                    </w:r>
                  </w:p>
                </w:txbxContent>
              </v:textbox>
              <w10:wrap type="none"/>
            </v:shape>
            <v:shape style="position:absolute;left:7421;top:1840;width:823;height:158" type="#_x0000_t202" filled="false" stroked="false">
              <v:textbox inset="0,0,0,0">
                <w:txbxContent>
                  <w:p>
                    <w:pPr>
                      <w:spacing w:line="158" w:lineRule="exact" w:before="0"/>
                      <w:ind w:left="0" w:right="-17" w:firstLine="0"/>
                      <w:jc w:val="left"/>
                      <w:rPr>
                        <w:sz w:val="15"/>
                      </w:rPr>
                    </w:pPr>
                    <w:r>
                      <w:rPr>
                        <w:w w:val="105"/>
                        <w:sz w:val="15"/>
                      </w:rPr>
                      <w:t>Zona</w:t>
                    </w:r>
                    <w:r>
                      <w:rPr>
                        <w:spacing w:val="-7"/>
                        <w:w w:val="105"/>
                        <w:sz w:val="15"/>
                      </w:rPr>
                      <w:t> </w:t>
                    </w:r>
                    <w:r>
                      <w:rPr>
                        <w:w w:val="105"/>
                        <w:sz w:val="15"/>
                      </w:rPr>
                      <w:t>Andina</w:t>
                    </w:r>
                  </w:p>
                </w:txbxContent>
              </v:textbox>
              <w10:wrap type="none"/>
            </v:shape>
            <v:shape style="position:absolute;left:4206;top:2193;width:200;height:158" type="#_x0000_t202" filled="false" stroked="false">
              <v:textbox inset="0,0,0,0">
                <w:txbxContent>
                  <w:p>
                    <w:pPr>
                      <w:spacing w:line="158" w:lineRule="exact" w:before="0"/>
                      <w:ind w:left="0" w:right="-20" w:firstLine="0"/>
                      <w:jc w:val="left"/>
                      <w:rPr>
                        <w:rFonts w:ascii="Calibri"/>
                        <w:sz w:val="15"/>
                      </w:rPr>
                    </w:pPr>
                    <w:r>
                      <w:rPr>
                        <w:rFonts w:ascii="Calibri"/>
                        <w:w w:val="105"/>
                        <w:sz w:val="15"/>
                      </w:rPr>
                      <w:t>2.0</w:t>
                    </w:r>
                  </w:p>
                </w:txbxContent>
              </v:textbox>
              <w10:wrap type="none"/>
            </v:shape>
            <v:shape style="position:absolute;left:7421;top:2265;width:1272;height:336" type="#_x0000_t202" filled="false" stroked="false">
              <v:textbox inset="0,0,0,0">
                <w:txbxContent>
                  <w:p>
                    <w:pPr>
                      <w:spacing w:line="159" w:lineRule="exact" w:before="0"/>
                      <w:ind w:left="0" w:right="-14" w:firstLine="0"/>
                      <w:jc w:val="left"/>
                      <w:rPr>
                        <w:sz w:val="15"/>
                      </w:rPr>
                    </w:pPr>
                    <w:r>
                      <w:rPr>
                        <w:w w:val="105"/>
                        <w:sz w:val="15"/>
                      </w:rPr>
                      <w:t>Centro América y</w:t>
                    </w:r>
                    <w:r>
                      <w:rPr>
                        <w:spacing w:val="-16"/>
                        <w:w w:val="105"/>
                        <w:sz w:val="15"/>
                      </w:rPr>
                      <w:t> </w:t>
                    </w:r>
                    <w:r>
                      <w:rPr>
                        <w:w w:val="105"/>
                        <w:sz w:val="15"/>
                      </w:rPr>
                      <w:t>el</w:t>
                    </w:r>
                  </w:p>
                  <w:p>
                    <w:pPr>
                      <w:spacing w:line="171" w:lineRule="exact" w:before="5"/>
                      <w:ind w:left="0" w:right="-14" w:firstLine="0"/>
                      <w:jc w:val="left"/>
                      <w:rPr>
                        <w:sz w:val="15"/>
                      </w:rPr>
                    </w:pPr>
                    <w:r>
                      <w:rPr>
                        <w:w w:val="105"/>
                        <w:sz w:val="15"/>
                      </w:rPr>
                      <w:t>Caribe</w:t>
                    </w:r>
                  </w:p>
                </w:txbxContent>
              </v:textbox>
              <w10:wrap type="none"/>
            </v:shape>
            <v:shape style="position:absolute;left:4206;top:2586;width:200;height:158" type="#_x0000_t202" filled="false" stroked="false">
              <v:textbox inset="0,0,0,0">
                <w:txbxContent>
                  <w:p>
                    <w:pPr>
                      <w:spacing w:line="158" w:lineRule="exact" w:before="0"/>
                      <w:ind w:left="0" w:right="-20" w:firstLine="0"/>
                      <w:jc w:val="left"/>
                      <w:rPr>
                        <w:rFonts w:ascii="Calibri"/>
                        <w:sz w:val="15"/>
                      </w:rPr>
                    </w:pPr>
                    <w:r>
                      <w:rPr>
                        <w:rFonts w:ascii="Calibri"/>
                        <w:w w:val="105"/>
                        <w:sz w:val="15"/>
                      </w:rPr>
                      <w:t>0.0</w:t>
                    </w:r>
                  </w:p>
                </w:txbxContent>
              </v:textbox>
              <w10:wrap type="none"/>
            </v:shape>
            <v:shape style="position:absolute;left:4581;top:2774;width:2686;height:138" type="#_x0000_t202" filled="false" stroked="false">
              <v:textbox inset="0,0,0,0">
                <w:txbxContent>
                  <w:p>
                    <w:pPr>
                      <w:spacing w:line="138" w:lineRule="exact" w:before="0"/>
                      <w:ind w:left="0" w:right="0" w:firstLine="0"/>
                      <w:jc w:val="left"/>
                      <w:rPr>
                        <w:rFonts w:ascii="Calibri"/>
                        <w:b/>
                        <w:sz w:val="13"/>
                      </w:rPr>
                    </w:pPr>
                    <w:r>
                      <w:rPr>
                        <w:rFonts w:ascii="Calibri"/>
                        <w:b/>
                        <w:w w:val="105"/>
                        <w:sz w:val="13"/>
                      </w:rPr>
                      <w:t>1990  2000  2008  2015  2020  2025  2030  2035</w:t>
                    </w:r>
                  </w:p>
                </w:txbxContent>
              </v:textbox>
              <w10:wrap type="none"/>
            </v:shape>
            <w10:wrap type="topAndBottom"/>
          </v:group>
        </w:pict>
      </w:r>
    </w:p>
    <w:p>
      <w:pPr>
        <w:spacing w:before="114"/>
        <w:ind w:left="2646" w:right="127" w:firstLine="0"/>
        <w:jc w:val="left"/>
        <w:rPr>
          <w:sz w:val="16"/>
        </w:rPr>
      </w:pPr>
      <w:r>
        <w:rPr>
          <w:sz w:val="16"/>
        </w:rPr>
        <w:t>Fuente: Energy Information Administration EIA - U.S. (2011)</w:t>
      </w:r>
    </w:p>
    <w:p>
      <w:pPr>
        <w:pStyle w:val="BodyText"/>
        <w:spacing w:line="360" w:lineRule="auto" w:before="91"/>
        <w:ind w:left="102" w:right="117" w:firstLine="707"/>
        <w:jc w:val="both"/>
      </w:pPr>
      <w:r>
        <w:rPr/>
        <w:t>Adicionalmente, las perspectivas de largo plazo ejercen presiones sobre los precios del recurso energético en otras regiones (Europa y Norte América) (Huppmann, 2011), considerándose escenarios de altas tasas de crecimiento de la demanda asiática de gas natural (hasta el 2030) - especialmente impulsada por China,</w:t>
      </w:r>
    </w:p>
    <w:p>
      <w:pPr>
        <w:pStyle w:val="BodyText"/>
        <w:spacing w:line="360" w:lineRule="auto" w:before="6"/>
        <w:ind w:left="102" w:right="115" w:firstLine="707"/>
        <w:jc w:val="both"/>
      </w:pPr>
      <w:r>
        <w:rPr/>
        <w:t>En el caso de Japón, la tendencia de largo plazo (hasta el 2030) muestra una continuidad en la dependencia de la importación, sin embargo, dada la perspectiva de una reducción en los costos del gas líquido (LNG) y su cercanía a países de grandes reservas mundiales, no se constituye en una situación de riesgo de desabastecimiento (Lochner &amp; Bothe, 2009).</w:t>
      </w:r>
    </w:p>
    <w:p>
      <w:pPr>
        <w:spacing w:after="0" w:line="360" w:lineRule="auto"/>
        <w:jc w:val="both"/>
        <w:sectPr>
          <w:pgSz w:w="12250" w:h="15850"/>
          <w:pgMar w:header="0" w:footer="1037" w:top="1360" w:bottom="1220" w:left="1600" w:right="1580"/>
        </w:sectPr>
      </w:pPr>
    </w:p>
    <w:p>
      <w:pPr>
        <w:pStyle w:val="BodyText"/>
        <w:spacing w:line="360" w:lineRule="auto" w:before="50"/>
        <w:ind w:left="102" w:right="119" w:firstLine="707"/>
        <w:jc w:val="both"/>
      </w:pPr>
      <w:r>
        <w:rPr/>
        <w:t>En suma, el mercado del gas natural en Norte América, Medio Oriente y Asia presentará un crecimiento continuo en el consumo y la producción del gas natural, desatancándose la alta participación de Estados Unidos, cuyo país presenta un prospecto de incremento en las importaciones de largo plazo, con escenarios desventajosos en términos de precios de importación en comparación con países importadores de  Europa y Asia.</w:t>
      </w:r>
    </w:p>
    <w:p>
      <w:pPr>
        <w:pStyle w:val="BodyText"/>
        <w:spacing w:line="360" w:lineRule="auto" w:before="4"/>
        <w:ind w:left="102" w:right="118" w:firstLine="767"/>
        <w:jc w:val="both"/>
      </w:pPr>
      <w:r>
        <w:rPr/>
        <w:t>En el contexto asiático el pronóstico de largo plazo prevé una continuidad en la importación, aunque sin altos riesgos de desabastecimiento, no obstante, el crecimiento de la demanda de China puede convertirse en un factor decisivo que afectaría al precio del gas natural en otras</w:t>
      </w:r>
      <w:r>
        <w:rPr>
          <w:spacing w:val="-6"/>
        </w:rPr>
        <w:t> </w:t>
      </w:r>
      <w:r>
        <w:rPr/>
        <w:t>regiones.</w:t>
      </w:r>
    </w:p>
    <w:p>
      <w:pPr>
        <w:pStyle w:val="BodyText"/>
      </w:pPr>
    </w:p>
    <w:p>
      <w:pPr>
        <w:spacing w:before="143"/>
        <w:ind w:left="810" w:right="127" w:firstLine="0"/>
        <w:jc w:val="left"/>
        <w:rPr>
          <w:i/>
          <w:sz w:val="24"/>
        </w:rPr>
      </w:pPr>
      <w:r>
        <w:rPr>
          <w:i/>
          <w:sz w:val="24"/>
        </w:rPr>
        <w:t>Perspectivas con incertidumbre: Región de Europa-OECD</w:t>
      </w:r>
    </w:p>
    <w:p>
      <w:pPr>
        <w:pStyle w:val="BodyText"/>
        <w:spacing w:line="360" w:lineRule="auto" w:before="137"/>
        <w:ind w:left="102" w:right="120" w:firstLine="707"/>
        <w:jc w:val="both"/>
      </w:pPr>
      <w:r>
        <w:rPr/>
        <w:t>La literatura relacionada con el mercado del gas europeo se ha centrado principalmente en los siguientes aspectos: (i) debate sobre una escasez y alta concentración en la importación del gas natural; (ii) perspectiva de largo plazo en términos de demanda, producción, costos y precios; (iii) opciones de abastecimiento frente a un incremento en la demanda del gas natural y declinación en la producción; (iv) riesgos para la industria del  gas</w:t>
      </w:r>
      <w:r>
        <w:rPr>
          <w:spacing w:val="-5"/>
        </w:rPr>
        <w:t> </w:t>
      </w:r>
      <w:r>
        <w:rPr/>
        <w:t>natural.</w:t>
      </w:r>
    </w:p>
    <w:p>
      <w:pPr>
        <w:pStyle w:val="BodyText"/>
        <w:spacing w:line="360" w:lineRule="auto" w:before="4"/>
        <w:ind w:left="102" w:right="117" w:firstLine="707"/>
        <w:jc w:val="both"/>
      </w:pPr>
      <w:r>
        <w:rPr/>
        <w:t>De forma contraria a las proyecciones de otras regiones, se pronostica una contracción en la producción de gas natural en Europa (Energy Information Administration EIA - U.S., 2011) (</w:t>
      </w:r>
      <w:r>
        <w:rPr>
          <w:i/>
        </w:rPr>
        <w:t>véase figura 2.2</w:t>
      </w:r>
      <w:r>
        <w:rPr/>
        <w:t>). Por tanto, los países Europeos-OECD presentan una tendencia negativa en la producción de gas natural, a pesar que los procesos de exploración y perforación de gas natural se siguen llevando en la región, lo cual sugiere un agotamiento del energético para esta zona.</w:t>
      </w:r>
    </w:p>
    <w:p>
      <w:pPr>
        <w:pStyle w:val="BodyText"/>
        <w:spacing w:line="360" w:lineRule="auto" w:before="4"/>
        <w:ind w:left="102" w:right="118" w:firstLine="707"/>
        <w:jc w:val="both"/>
      </w:pPr>
      <w:r>
        <w:rPr/>
        <w:t>No obstante, de la tendencia negativa para la producción de gas natural en Europa, existen otras proyecciones del mercado europeo del gas natural, en la cual se han generado prospectos favorables en el largo plazo. Así por ejemplo, Kjärstad &amp; Jhonsson (2007) concluyeron que no existiría riesgo de desabastecimiento del gas natural para Europa hasta el 2015, al igual que Möst &amp; Perlwitz (2009) y Paltsev, et al. (2010) estimaron un incremento de la producción favorable hasta el 2020 y el 2050 respectivamente.</w:t>
      </w:r>
    </w:p>
    <w:p>
      <w:pPr>
        <w:pStyle w:val="BodyText"/>
        <w:spacing w:line="360" w:lineRule="auto" w:before="6"/>
        <w:ind w:left="102" w:right="119" w:firstLine="707"/>
        <w:jc w:val="both"/>
      </w:pPr>
      <w:r>
        <w:rPr/>
        <w:t>Dos factores podrían afectar la oferta de gas natural en Europa: 1) escenarios de rápido crecimiento en la demanda del gas natural, 2) declinación en la producción   regional</w:t>
      </w:r>
    </w:p>
    <w:p>
      <w:pPr>
        <w:spacing w:after="0" w:line="360" w:lineRule="auto"/>
        <w:jc w:val="both"/>
        <w:sectPr>
          <w:pgSz w:w="12250" w:h="15850"/>
          <w:pgMar w:header="0" w:footer="1037" w:top="1360" w:bottom="1220" w:left="1600" w:right="1580"/>
        </w:sectPr>
      </w:pPr>
    </w:p>
    <w:p>
      <w:pPr>
        <w:pStyle w:val="BodyText"/>
        <w:spacing w:line="360" w:lineRule="auto" w:before="50"/>
        <w:ind w:left="102" w:right="117"/>
        <w:jc w:val="both"/>
      </w:pPr>
      <w:r>
        <w:rPr/>
        <w:t>de este recurso energético. Los efectos de 1) y 2) incrementarán la importación de gas con una tendencia creciente en sus precios dada la tendencia co-variada con el precio del petróleo (se espera un crecimiento de los precios en el tiempo).</w:t>
      </w:r>
    </w:p>
    <w:p>
      <w:pPr>
        <w:pStyle w:val="BodyText"/>
        <w:spacing w:line="360" w:lineRule="auto" w:before="4"/>
        <w:ind w:left="102" w:right="120" w:firstLine="707"/>
        <w:jc w:val="both"/>
      </w:pPr>
      <w:r>
        <w:rPr/>
        <w:t>Por otra parte, Lochner &amp; Bothe (2009) argumentaron un mejor prospecto en términos de precios del gas natural para Europa (hasta el 2030) dada su cercanía a las más grandes reservas mundiales, por tanto, el costo de transporte sería menor.</w:t>
      </w:r>
    </w:p>
    <w:p>
      <w:pPr>
        <w:pStyle w:val="BodyText"/>
        <w:spacing w:line="360" w:lineRule="auto" w:before="6"/>
        <w:ind w:left="102" w:right="117" w:firstLine="707"/>
        <w:jc w:val="both"/>
      </w:pPr>
      <w:r>
        <w:rPr/>
        <w:t>Se han señalado alternativas de abastecimientos del gas natural provenientes desde África y del Medio Oriente. En el caso de países africanos: Algeria, Egipto,  Libia  y Nigeria. En el segundo caso proveniente de Iran y Qatar. Asimismo, se ha señalado que para distancias que comprendan entre 3000 y 5000 km., el transporte más económico es mediante el gas natural líquido (LNG) en comparación del transporte por tuberías (Remme, et al.,</w:t>
      </w:r>
      <w:r>
        <w:rPr>
          <w:spacing w:val="-3"/>
        </w:rPr>
        <w:t> </w:t>
      </w:r>
      <w:r>
        <w:rPr/>
        <w:t>2007).</w:t>
      </w:r>
    </w:p>
    <w:p>
      <w:pPr>
        <w:pStyle w:val="BodyText"/>
        <w:spacing w:line="360" w:lineRule="auto" w:before="6"/>
        <w:ind w:left="102" w:right="122" w:firstLine="707"/>
        <w:jc w:val="both"/>
      </w:pPr>
      <w:r>
        <w:rPr/>
        <w:t>Dentro de los riesgos en el abastecimiento del gas natural (para países importadores europeos), Perner &amp; Steeliger (2003) establecen el peligro de una posible conformación de un cártel del gas natural entre Irán, Argelia y Libia cuya formación podría derivarse según fines geopolíticos. Sin embargo, los resultados indicarían que Rusia seguirá siendo la principal fuente de reservas mundiales de gas natural hasta el 2030.</w:t>
      </w:r>
    </w:p>
    <w:p>
      <w:pPr>
        <w:pStyle w:val="BodyText"/>
        <w:spacing w:line="360" w:lineRule="auto" w:before="4"/>
        <w:ind w:left="102" w:right="120" w:firstLine="707"/>
        <w:jc w:val="both"/>
      </w:pPr>
      <w:r>
        <w:rPr/>
        <w:t>Adicionalmente, se mencionan posibles factores que determinarían el comportamiento del mercado del gas natural en Europa: 1) restricción en la emisión de dióxidos de carbono (CO</w:t>
      </w:r>
      <w:r>
        <w:rPr>
          <w:sz w:val="16"/>
        </w:rPr>
        <w:t>2</w:t>
      </w:r>
      <w:r>
        <w:rPr/>
        <w:t>); 2) restricción de inversiones en condiciones de   incertidumbre;</w:t>
      </w:r>
    </w:p>
    <w:p>
      <w:pPr>
        <w:pStyle w:val="BodyText"/>
        <w:spacing w:line="360" w:lineRule="auto" w:before="6"/>
        <w:ind w:left="102" w:right="124"/>
        <w:jc w:val="both"/>
      </w:pPr>
      <w:r>
        <w:rPr/>
        <w:t>3) la trayectoria del precio petróleo; 4) el desarrollo tecnológico en sustitutos del gas  natural (Remme, et al., 2007; Kjärstad &amp; Jhonsson,</w:t>
      </w:r>
      <w:r>
        <w:rPr>
          <w:spacing w:val="-8"/>
        </w:rPr>
        <w:t> </w:t>
      </w:r>
      <w:r>
        <w:rPr/>
        <w:t>2007).</w:t>
      </w:r>
    </w:p>
    <w:p>
      <w:pPr>
        <w:pStyle w:val="BodyText"/>
        <w:spacing w:line="360" w:lineRule="auto" w:before="6"/>
        <w:ind w:left="102" w:right="120" w:firstLine="707"/>
        <w:jc w:val="both"/>
      </w:pPr>
      <w:r>
        <w:rPr/>
        <w:t>En tal sentido, los principales riesgos para la industria del gas natural, en el contexto de países exportadores de gas natural, se refleja en la desaceleración de inversiones en la exploración del gas natural, una caída del precio del petróleo (relación directa con el precio del gas natural) y la aparición de sustitutos perfectos del gas natural que generen un menor precio para países importadores  o una menor emisión de dióxido de carbono (CO</w:t>
      </w:r>
      <w:r>
        <w:rPr>
          <w:sz w:val="16"/>
        </w:rPr>
        <w:t>2</w:t>
      </w:r>
      <w:r>
        <w:rPr/>
        <w:t>).</w:t>
      </w:r>
    </w:p>
    <w:p>
      <w:pPr>
        <w:pStyle w:val="BodyText"/>
        <w:spacing w:line="360" w:lineRule="auto" w:before="6"/>
        <w:ind w:left="102" w:right="123" w:firstLine="707"/>
        <w:jc w:val="right"/>
      </w:pPr>
      <w:r>
        <w:rPr/>
        <w:t>A manera de resumen, el mercado internacional del gas natural</w:t>
      </w:r>
      <w:r>
        <w:rPr>
          <w:spacing w:val="58"/>
        </w:rPr>
        <w:t> </w:t>
      </w:r>
      <w:r>
        <w:rPr/>
        <w:t>presenta diferentes estructuras de mercado: de tipo competitivo (EEUU); de alta concentración en la oferta</w:t>
      </w:r>
      <w:r>
        <w:rPr>
          <w:w w:val="99"/>
        </w:rPr>
        <w:t> </w:t>
      </w:r>
      <w:r>
        <w:rPr/>
        <w:t>(Europa); y mercados cuyos precios se encuentran indexados al precio del petróleo (Asia). Por otra parte,  la expectativa de largo plazo para las próximas dos décadas prevé un</w:t>
      </w:r>
    </w:p>
    <w:p>
      <w:pPr>
        <w:spacing w:after="0" w:line="360" w:lineRule="auto"/>
        <w:jc w:val="right"/>
        <w:sectPr>
          <w:pgSz w:w="12250" w:h="15850"/>
          <w:pgMar w:header="0" w:footer="1037" w:top="1360" w:bottom="1220" w:left="1600" w:right="1580"/>
        </w:sectPr>
      </w:pPr>
    </w:p>
    <w:p>
      <w:pPr>
        <w:pStyle w:val="BodyText"/>
        <w:spacing w:line="360" w:lineRule="auto" w:before="50"/>
        <w:ind w:left="102" w:right="125"/>
        <w:jc w:val="both"/>
      </w:pPr>
      <w:r>
        <w:rPr/>
        <w:t>crecimiento sostenido en los volúmenes de producción, de consumo y del nivel de precios en la mayoría de las regiones (América, Medio Oriente y Asia). Sin embargo, en el caso de Europa- OECD, el futuro es más incierto en términos de agotamiento del recurso natural.</w:t>
      </w:r>
    </w:p>
    <w:p>
      <w:pPr>
        <w:pStyle w:val="BodyText"/>
        <w:spacing w:before="7"/>
        <w:rPr>
          <w:sz w:val="21"/>
        </w:rPr>
      </w:pPr>
    </w:p>
    <w:p>
      <w:pPr>
        <w:pStyle w:val="Heading4"/>
        <w:numPr>
          <w:ilvl w:val="1"/>
          <w:numId w:val="10"/>
        </w:numPr>
        <w:tabs>
          <w:tab w:pos="678" w:val="left" w:leader="none"/>
        </w:tabs>
        <w:spacing w:line="240" w:lineRule="auto" w:before="0" w:after="0"/>
        <w:ind w:left="678" w:right="0" w:hanging="576"/>
        <w:jc w:val="both"/>
      </w:pPr>
      <w:bookmarkStart w:name="_bookmark36" w:id="57"/>
      <w:bookmarkEnd w:id="57"/>
      <w:r>
        <w:rPr>
          <w:b w:val="0"/>
        </w:rPr>
      </w:r>
      <w:bookmarkStart w:name="_bookmark36" w:id="58"/>
      <w:bookmarkEnd w:id="58"/>
      <w:r>
        <w:rPr/>
        <w:t>In</w:t>
      </w:r>
      <w:r>
        <w:rPr/>
        <w:t>fluencia y divergencia de los precios del petróleo en los precios del gas</w:t>
      </w:r>
      <w:r>
        <w:rPr>
          <w:spacing w:val="-19"/>
        </w:rPr>
        <w:t> </w:t>
      </w:r>
      <w:r>
        <w:rPr/>
        <w:t>natural:</w:t>
      </w:r>
    </w:p>
    <w:p>
      <w:pPr>
        <w:spacing w:before="139"/>
        <w:ind w:left="678" w:right="127" w:firstLine="0"/>
        <w:jc w:val="left"/>
        <w:rPr>
          <w:b/>
          <w:sz w:val="24"/>
        </w:rPr>
      </w:pPr>
      <w:r>
        <w:rPr>
          <w:b/>
          <w:sz w:val="24"/>
        </w:rPr>
        <w:t>¿relación directa o mecanismos alternativos de explicación?</w:t>
      </w:r>
    </w:p>
    <w:p>
      <w:pPr>
        <w:pStyle w:val="BodyText"/>
        <w:rPr>
          <w:b/>
        </w:rPr>
      </w:pPr>
    </w:p>
    <w:p>
      <w:pPr>
        <w:pStyle w:val="BodyText"/>
        <w:spacing w:line="360" w:lineRule="auto" w:before="192"/>
        <w:ind w:left="102" w:right="119" w:firstLine="707"/>
        <w:jc w:val="both"/>
      </w:pPr>
      <w:r>
        <w:rPr/>
        <w:t>En la sección anterior se consideraron factores que ayudan a comprender la trayectoria esperada de los precios del gas natural explicada por la organización de mercados y mediante las perspectivas de largo plazo en términos de producción, consumo y disponibilidad de este recurso energético. Sin embargo, surge la necesidad de abordar los factores explicativos del precio del gas natural.</w:t>
      </w:r>
    </w:p>
    <w:p>
      <w:pPr>
        <w:pStyle w:val="BodyText"/>
        <w:spacing w:line="360" w:lineRule="auto" w:before="6"/>
        <w:ind w:left="102" w:right="124" w:firstLine="707"/>
        <w:jc w:val="both"/>
      </w:pPr>
      <w:r>
        <w:rPr/>
        <w:t>En consecuencia, dentro de los elementos determinantes del precio del gas natural, existe un debate teórico sobre la influencia de la cotización del petróleo sobre el precio del gas natural, ofreciéndose  resultados contradictorios.</w:t>
      </w:r>
    </w:p>
    <w:p>
      <w:pPr>
        <w:pStyle w:val="BodyText"/>
        <w:spacing w:line="360" w:lineRule="auto" w:before="4"/>
        <w:ind w:left="102" w:right="117" w:firstLine="767"/>
        <w:jc w:val="both"/>
      </w:pPr>
      <w:r>
        <w:rPr/>
        <w:t>Por un lado, se encuentran trabajos que consideran una relación directa entre estas variables, asumiéndose que ambos recursos energéticos son considerados bienes sustitutos, tanto para el aparato productivo como para el consumo residencial (Mohammadi, 2011; Brown &amp; Yücel, 2008; Ibrahim, 2009; Krichene, 2005).</w:t>
      </w:r>
    </w:p>
    <w:p>
      <w:pPr>
        <w:pStyle w:val="BodyText"/>
        <w:spacing w:line="360" w:lineRule="auto" w:before="4"/>
        <w:ind w:left="102" w:right="118" w:firstLine="707"/>
        <w:jc w:val="both"/>
      </w:pPr>
      <w:r>
        <w:rPr/>
        <w:t>Por otra parte, existe otra corriente que sostiene la separabilidad entre ambos precios, considerándose que mientras el mercado del petróleo es a nivel mundial, el mercado del gas natural está regionalizado, por lo cual existiría una relación espuria (falsa) entre ambas variables (Fosco &amp; Saavedra, 2003) o que la relación entre el precio del petróleo y el precio del gas natural es débil (Ramberg &amp; Parsons, 2012; De Bock &amp; Guijón, 2011; Dahl, et al.,</w:t>
      </w:r>
      <w:r>
        <w:rPr>
          <w:spacing w:val="-5"/>
        </w:rPr>
        <w:t> </w:t>
      </w:r>
      <w:r>
        <w:rPr/>
        <w:t>2011).</w:t>
      </w:r>
    </w:p>
    <w:p>
      <w:pPr>
        <w:pStyle w:val="BodyText"/>
        <w:spacing w:line="360" w:lineRule="auto" w:before="4"/>
        <w:ind w:left="102" w:right="117" w:firstLine="707"/>
        <w:jc w:val="both"/>
      </w:pPr>
      <w:r>
        <w:rPr/>
        <w:t>El presente apartado realiza una deducción teórica entre la relación de los precios  del petróleo y los precios del gas natural de forma directa y mediante mecanismos alternativos de explicación que incluye: la demanda internacional (por el lado del crecimiento del PIB real), la tasa de interés internacional, el valor del dólar y el precio de  las materias primas no</w:t>
      </w:r>
      <w:r>
        <w:rPr>
          <w:spacing w:val="-7"/>
        </w:rPr>
        <w:t> </w:t>
      </w:r>
      <w:r>
        <w:rPr/>
        <w:t>petroleras.</w:t>
      </w:r>
    </w:p>
    <w:p>
      <w:pPr>
        <w:pStyle w:val="BodyText"/>
        <w:spacing w:line="362" w:lineRule="auto" w:before="4"/>
        <w:ind w:left="102" w:right="123" w:firstLine="707"/>
        <w:jc w:val="both"/>
      </w:pPr>
      <w:r>
        <w:rPr/>
        <w:t>Partiendo de la posible dependencia que tiene el precio del gas natural proveniente del precio del petróleo, se plantean las siguientes relaciones:</w:t>
      </w:r>
    </w:p>
    <w:p>
      <w:pPr>
        <w:spacing w:after="0" w:line="362" w:lineRule="auto"/>
        <w:jc w:val="both"/>
        <w:sectPr>
          <w:pgSz w:w="12250" w:h="15850"/>
          <w:pgMar w:header="0" w:footer="1037" w:top="1360" w:bottom="1220" w:left="1600" w:right="1580"/>
        </w:sectPr>
      </w:pPr>
    </w:p>
    <w:p>
      <w:pPr>
        <w:pStyle w:val="BodyText"/>
        <w:spacing w:before="50"/>
        <w:ind w:left="810" w:right="507"/>
      </w:pPr>
      <w:r>
        <w:rPr>
          <w:u w:val="single"/>
        </w:rPr>
        <w:t>Esquema  1.-  Relaciones hipotéticas:</w:t>
      </w:r>
    </w:p>
    <w:p>
      <w:pPr>
        <w:pStyle w:val="BodyText"/>
        <w:spacing w:line="360" w:lineRule="auto" w:before="137"/>
        <w:ind w:left="102" w:right="507" w:firstLine="707"/>
      </w:pPr>
      <w:r>
        <w:rPr/>
        <w:pict>
          <v:group style="position:absolute;margin-left:153.073502pt;margin-top:48.173134pt;width:224.7pt;height:103.15pt;mso-position-horizontal-relative:page;mso-position-vertical-relative:paragraph;z-index:4840" coordorigin="3061,963" coordsize="4494,2063">
            <v:line style="position:absolute" from="3268,974" to="4424,974" stroked="true" strokeweight=".329019pt" strokecolor="#000000"/>
            <v:line style="position:absolute" from="3261,971" to="3261,1518" stroked="true" strokeweight=".721535pt" strokecolor="#000000"/>
            <v:line style="position:absolute" from="3268,1512" to="4424,1512" stroked="true" strokeweight=".658032pt" strokecolor="#000000"/>
            <v:line style="position:absolute" from="4417,977" to="4417,1518" stroked="true" strokeweight=".721535pt" strokecolor="#000000"/>
            <v:line style="position:absolute" from="5312,974" to="6792,974" stroked="true" strokeweight=".329019pt" strokecolor="#000000"/>
            <v:line style="position:absolute" from="5305,971" to="5305,1518" stroked="true" strokeweight=".721535pt" strokecolor="#000000"/>
            <v:line style="position:absolute" from="5312,1512" to="6792,1512" stroked="true" strokeweight=".658032pt" strokecolor="#000000"/>
            <v:line style="position:absolute" from="6785,977" to="6785,1518" stroked="true" strokeweight=".721535pt" strokecolor="#000000"/>
            <v:shape style="position:absolute;left:4900;top:1588;width:178;height:409" coordorigin="4900,1588" coordsize="178,409" path="m5020,1980l5019,1993,5039,1995,5077,1996,5078,1983,5040,1982,5020,1980xm4987,1922l4973,1922,4973,1975,4987,1975,4987,1922xm4987,1830l4973,1830,4973,1883,4987,1883,4987,1830xm4959,1791l4960,1793,4952,1794,4921,1797,4907,1798,4907,1799,4920,1800,4950,1803,4961,1805,4963,1805,4967,1793,4965,1792,4959,1791xm4957,1780l4951,1781,4920,1784,4900,1785,4901,1798,4907,1798,4907,1786,4958,1786,4957,1780xm4907,1786l4907,1798,4921,1797,4952,1794,4960,1793,4959,1791,4953,1790,4921,1787,4907,1786xm4958,1786l4907,1786,4921,1787,4953,1790,4959,1791,4958,1786xm4987,1708l4973,1708,4973,1761,4987,1761,4987,1708xm4987,1615l4973,1615,4973,1668,4987,1668,4987,1615xm5071,1588l5039,1589,5012,1591,5014,1605,5040,1602,5071,1601,5071,1588xe" filled="true" fillcolor="#5f497a" stroked="false">
              <v:path arrowok="t"/>
              <v:fill type="solid"/>
            </v:shape>
            <v:shape style="position:absolute;left:5019;top:1980;width:59;height:17" coordorigin="5019,1980" coordsize="59,17" path="m5077,1996l5039,1995,5019,1993,5020,1980,5040,1982,5078,1983,5077,1996xe" filled="false" stroked="true" strokeweight=".061829pt" strokecolor="#5f497a">
              <v:path arrowok="t"/>
            </v:shape>
            <v:line style="position:absolute" from="4972,1948" to="4988,1948" stroked="true" strokeweight="2.702317pt" strokecolor="#5f497a"/>
            <v:shape style="position:absolute;left:4900;top:1779;width:115;height:104" type="#_x0000_t75" stroked="false">
              <v:imagedata r:id="rId94" o:title=""/>
            </v:shape>
            <v:line style="position:absolute" from="4972,1734" to="4988,1734" stroked="true" strokeweight="2.706704pt" strokecolor="#5f497a"/>
            <v:line style="position:absolute" from="4972,1642" to="4988,1642" stroked="true" strokeweight="2.702317pt" strokecolor="#5f497a"/>
            <v:shape style="position:absolute;left:5012;top:1588;width:59;height:17" coordorigin="5012,1588" coordsize="59,17" path="m5012,1591l5039,1589,5071,1588,5071,1601,5040,1602,5014,1605,5012,1591xe" filled="false" stroked="true" strokeweight=".061867pt" strokecolor="#5f497a">
              <v:path arrowok="t"/>
            </v:shape>
            <v:shape style="position:absolute;left:4701;top:1358;width:615;height:513" type="#_x0000_t75" stroked="false">
              <v:imagedata r:id="rId95" o:title=""/>
            </v:shape>
            <v:shape style="position:absolute;left:4478;top:1151;width:615;height:184" coordorigin="4478,1151" coordsize="615,184" path="m4969,1263l4897,1300,4893,1312,4900,1322,4905,1332,4918,1335,5055,1264,5049,1264,4969,1263xm5006,1244l4969,1263,5049,1264,5049,1261,5038,1261,5006,1244xm4921,1151l4907,1154,4901,1163,4895,1173,4898,1185,4909,1190,4969,1223,5049,1224,5049,1264,5055,1264,5092,1244,4931,1157,4921,1151xm4478,1218l4478,1258,4969,1263,5006,1244,4969,1223,4478,1218xm5039,1227l5006,1244,5038,1261,5039,1227xm5049,1227l5039,1227,5038,1261,5049,1261,5049,1227xm4969,1223l5006,1244,5039,1227,5049,1227,5049,1224,4969,1223xe" filled="true" fillcolor="#497dba" stroked="false">
              <v:path arrowok="t"/>
              <v:fill type="solid"/>
            </v:shape>
            <v:shape style="position:absolute;left:4478;top:1218;width:572;height:46" coordorigin="4478,1218" coordsize="572,46" path="m4478,1218l5049,1224,5049,1264,4478,1258,4478,1218xe" filled="false" stroked="true" strokeweight=".061454pt" strokecolor="#497dba">
              <v:path arrowok="t"/>
            </v:shape>
            <v:shape style="position:absolute;left:4893;top:1150;width:200;height:185" type="#_x0000_t75" stroked="false">
              <v:imagedata r:id="rId96" o:title=""/>
            </v:shape>
            <v:shape style="position:absolute;left:6861;top:1171;width:615;height:184" coordorigin="6861,1171" coordsize="615,184" path="m7352,1283l7280,1320,7276,1332,7283,1342,7288,1351,7301,1355,7312,1349,7438,1284,7432,1284,7352,1283xm7389,1264l7352,1283,7432,1284,7432,1281,7421,1281,7389,1264xm7304,1171l7290,1174,7284,1183,7278,1193,7282,1205,7292,1210,7352,1243,7432,1244,7432,1284,7438,1284,7475,1264,7304,1171xm6861,1238l6861,1278,7352,1283,7389,1264,7352,1243,6861,1238xm7422,1247l7389,1264,7421,1281,7422,1247xm7432,1247l7422,1247,7421,1281,7432,1281,7432,1247xm7352,1243l7389,1264,7422,1247,7432,1247,7432,1244,7352,1243xe" filled="true" fillcolor="#497dba" stroked="false">
              <v:path arrowok="t"/>
              <v:fill type="solid"/>
            </v:shape>
            <v:shape style="position:absolute;left:6861;top:1238;width:572;height:46" coordorigin="6861,1238" coordsize="572,46" path="m6861,1238l7432,1244,7432,1284,6861,1278,6861,1238xe" filled="false" stroked="true" strokeweight=".061454pt" strokecolor="#497dba">
              <v:path arrowok="t"/>
            </v:shape>
            <v:shape style="position:absolute;left:7276;top:1170;width:200;height:185" type="#_x0000_t75" stroked="false">
              <v:imagedata r:id="rId97" o:title=""/>
            </v:shape>
            <v:shape style="position:absolute;left:3062;top:2313;width:1401;height:713" coordorigin="3062,2313" coordsize="1401,713" path="m4462,2313l3064,2313,3062,2314,3062,3024,3064,3025,4462,3025,4463,3024,4463,3021,3070,3021,3066,3018,3070,3018,3070,2319,3066,2319,3070,2316,4463,2316,4463,2314,4462,2313xm3070,3018l3066,3018,3070,3021,3070,3018xm4456,3018l3070,3018,3070,3021,4456,3021,4456,3018xm4456,2316l4456,3021,4460,3018,4463,3018,4463,2319,4460,2319,4456,2316xm4463,3018l4460,3018,4456,3021,4463,3021,4463,3018xm3070,2316l3066,2319,3070,2319,3070,2316xm4456,2316l3070,2316,3070,2319,4456,2319,4456,2316xm4463,2316l4456,2316,4460,2319,4463,2319,4463,2316xe" filled="true" fillcolor="#bbbbbb" stroked="false">
              <v:path arrowok="t"/>
              <v:fill type="solid"/>
            </v:shape>
            <v:shape style="position:absolute;left:1359;top:9667;width:2913;height:1624" coordorigin="1359,9667" coordsize="2913,1624" path="m3062,2316l3062,2314,3064,2313,3066,2313,4460,2313,4462,2313,4463,2314,4463,2316,4463,3021,4463,3024,4462,3025,4460,3025,3066,3025,3064,3025,3062,3024,3062,3021,3062,2316xm3070,3021l3066,3018,4460,3018,4456,3021,4456,2316,4460,2319,3066,2319,3070,2316,3070,3021xe" filled="false" stroked="true" strokeweight=".064380pt" strokecolor="#bbbbbb">
              <v:path arrowok="t"/>
            </v:shape>
            <v:shape style="position:absolute;left:4113;top:1630;width:929;height:1350" coordorigin="4113,1630" coordsize="929,1350" path="m4885,2859l4872,2862,4867,2872,4861,2882,4865,2894,5042,2979,5041,2956,5001,2956,4958,2894,4896,2864,4885,2859xm4958,2894l5001,2956,5018,2946,4997,2946,4996,2912,4958,2894xm5026,2788l5014,2788,5002,2789,4992,2798,4993,2809,4995,2873,5037,2935,5001,2956,5041,2956,5036,2807,5036,2797,5026,2788xm4996,2912l4997,2946,5029,2928,4996,2912xm4995,2873l4996,2912,5029,2928,4997,2946,5018,2946,5037,2935,4995,2873xm4150,1630l4113,1651,4958,2894,4996,2912,4995,2873,4150,1630xe" filled="true" fillcolor="#497dba" stroked="false">
              <v:path arrowok="t"/>
              <v:fill type="solid"/>
            </v:shape>
            <v:shape style="position:absolute;left:4113;top:1630;width:924;height:1327" coordorigin="4113,1630" coordsize="924,1327" path="m4150,1630l5037,2935,5001,2956,4113,1651,4150,1630xe" filled="false" stroked="true" strokeweight=".065407pt" strokecolor="#497dba">
              <v:path arrowok="t"/>
            </v:shape>
            <v:shape style="position:absolute;left:4860;top:2788;width:182;height:192" type="#_x0000_t75" stroked="false">
              <v:imagedata r:id="rId98" o:title=""/>
            </v:shape>
            <v:shape style="position:absolute;left:5030;top:1017;width:126;height:159" type="#_x0000_t202" filled="false" stroked="false">
              <v:textbox inset="0,0,0,0">
                <w:txbxContent>
                  <w:p>
                    <w:pPr>
                      <w:spacing w:line="158" w:lineRule="exact" w:before="0"/>
                      <w:ind w:left="0" w:right="-9" w:firstLine="0"/>
                      <w:jc w:val="left"/>
                      <w:rPr>
                        <w:rFonts w:ascii="Constantia"/>
                        <w:sz w:val="16"/>
                      </w:rPr>
                    </w:pPr>
                    <w:r>
                      <w:rPr>
                        <w:rFonts w:ascii="Constantia"/>
                        <w:color w:val="6F2F9F"/>
                        <w:w w:val="105"/>
                        <w:sz w:val="16"/>
                      </w:rPr>
                      <w:t>1)</w:t>
                    </w:r>
                  </w:p>
                </w:txbxContent>
              </v:textbox>
              <w10:wrap type="none"/>
            </v:shape>
            <v:shape style="position:absolute;left:7399;top:1017;width:156;height:159" type="#_x0000_t202" filled="false" stroked="false">
              <v:textbox inset="0,0,0,0">
                <w:txbxContent>
                  <w:p>
                    <w:pPr>
                      <w:spacing w:line="158" w:lineRule="exact" w:before="0"/>
                      <w:ind w:left="0" w:right="-18" w:firstLine="0"/>
                      <w:jc w:val="left"/>
                      <w:rPr>
                        <w:rFonts w:ascii="Constantia"/>
                        <w:b/>
                        <w:sz w:val="16"/>
                      </w:rPr>
                    </w:pPr>
                    <w:r>
                      <w:rPr>
                        <w:rFonts w:ascii="Constantia"/>
                        <w:b/>
                        <w:color w:val="6F2F9F"/>
                        <w:w w:val="110"/>
                        <w:sz w:val="16"/>
                      </w:rPr>
                      <w:t>2)</w:t>
                    </w:r>
                  </w:p>
                </w:txbxContent>
              </v:textbox>
              <w10:wrap type="none"/>
            </v:shape>
            <v:shape style="position:absolute;left:5081;top:1559;width:1640;height:455" type="#_x0000_t202" filled="false" stroked="false">
              <v:textbox inset="0,0,0,0">
                <w:txbxContent>
                  <w:p>
                    <w:pPr>
                      <w:spacing w:line="59" w:lineRule="exact" w:before="0"/>
                      <w:ind w:left="281" w:right="0" w:firstLine="0"/>
                      <w:jc w:val="left"/>
                      <w:rPr>
                        <w:rFonts w:ascii="Constantia" w:hAnsi="Constantia"/>
                        <w:sz w:val="8"/>
                      </w:rPr>
                    </w:pPr>
                    <w:r>
                      <w:rPr>
                        <w:rFonts w:ascii="Constantia" w:hAnsi="Constantia"/>
                        <w:w w:val="115"/>
                        <w:sz w:val="8"/>
                      </w:rPr>
                      <w:t>Economías exportadoras netas de</w:t>
                    </w:r>
                  </w:p>
                  <w:p>
                    <w:pPr>
                      <w:tabs>
                        <w:tab w:pos="794" w:val="left" w:leader="none"/>
                      </w:tabs>
                      <w:spacing w:line="139" w:lineRule="exact" w:before="0"/>
                      <w:ind w:left="0" w:right="0" w:firstLine="0"/>
                      <w:jc w:val="left"/>
                      <w:rPr>
                        <w:rFonts w:ascii="Constantia" w:hAnsi="Constantia"/>
                        <w:sz w:val="8"/>
                      </w:rPr>
                    </w:pPr>
                    <w:r>
                      <w:rPr>
                        <w:rFonts w:ascii="Constantia" w:hAnsi="Constantia"/>
                        <w:b/>
                        <w:color w:val="4F6128"/>
                        <w:w w:val="115"/>
                        <w:position w:val="5"/>
                        <w:sz w:val="10"/>
                      </w:rPr>
                      <w:t>(+)</w:t>
                      <w:tab/>
                    </w:r>
                    <w:r>
                      <w:rPr>
                        <w:rFonts w:ascii="Constantia" w:hAnsi="Constantia"/>
                        <w:w w:val="115"/>
                        <w:sz w:val="8"/>
                      </w:rPr>
                      <w:t>petróleo</w:t>
                    </w:r>
                  </w:p>
                  <w:p>
                    <w:pPr>
                      <w:spacing w:line="70" w:lineRule="exact" w:before="47"/>
                      <w:ind w:left="274" w:right="-5" w:firstLine="0"/>
                      <w:jc w:val="left"/>
                      <w:rPr>
                        <w:rFonts w:ascii="Constantia" w:hAnsi="Constantia"/>
                        <w:sz w:val="8"/>
                      </w:rPr>
                    </w:pPr>
                    <w:r>
                      <w:rPr>
                        <w:rFonts w:ascii="Constantia" w:hAnsi="Constantia"/>
                        <w:w w:val="115"/>
                        <w:sz w:val="8"/>
                      </w:rPr>
                      <w:t>Economías importadoras netas de</w:t>
                    </w:r>
                  </w:p>
                  <w:p>
                    <w:pPr>
                      <w:tabs>
                        <w:tab w:pos="801" w:val="left" w:leader="none"/>
                      </w:tabs>
                      <w:spacing w:line="139" w:lineRule="exact" w:before="0"/>
                      <w:ind w:left="7" w:right="0" w:firstLine="0"/>
                      <w:jc w:val="left"/>
                      <w:rPr>
                        <w:rFonts w:ascii="Constantia" w:hAnsi="Constantia"/>
                        <w:sz w:val="8"/>
                      </w:rPr>
                    </w:pPr>
                    <w:r>
                      <w:rPr>
                        <w:rFonts w:ascii="Constantia" w:hAnsi="Constantia"/>
                        <w:color w:val="FF0000"/>
                        <w:w w:val="115"/>
                        <w:position w:val="5"/>
                        <w:sz w:val="10"/>
                      </w:rPr>
                      <w:t>(-)</w:t>
                      <w:tab/>
                    </w:r>
                    <w:r>
                      <w:rPr>
                        <w:rFonts w:ascii="Constantia" w:hAnsi="Constantia"/>
                        <w:w w:val="115"/>
                        <w:sz w:val="8"/>
                      </w:rPr>
                      <w:t>petróleo</w:t>
                    </w:r>
                  </w:p>
                </w:txbxContent>
              </v:textbox>
              <w10:wrap type="none"/>
            </v:shape>
            <v:shape style="position:absolute;left:7399;top:2079;width:147;height:159" type="#_x0000_t202" filled="false" stroked="false">
              <v:textbox inset="0,0,0,0">
                <w:txbxContent>
                  <w:p>
                    <w:pPr>
                      <w:spacing w:line="158" w:lineRule="exact" w:before="0"/>
                      <w:ind w:left="0" w:right="-15" w:firstLine="0"/>
                      <w:jc w:val="left"/>
                      <w:rPr>
                        <w:rFonts w:ascii="Constantia"/>
                        <w:b/>
                        <w:sz w:val="16"/>
                      </w:rPr>
                    </w:pPr>
                    <w:r>
                      <w:rPr>
                        <w:rFonts w:ascii="Constantia"/>
                        <w:b/>
                        <w:color w:val="6F2F9F"/>
                        <w:w w:val="105"/>
                        <w:sz w:val="16"/>
                      </w:rPr>
                      <w:t>3)</w:t>
                    </w:r>
                  </w:p>
                </w:txbxContent>
              </v:textbox>
              <w10:wrap type="none"/>
            </v:shape>
            <v:shape style="position:absolute;left:3273;top:2508;width:984;height:350" type="#_x0000_t202" filled="false" stroked="false">
              <v:textbox inset="0,0,0,0">
                <w:txbxContent>
                  <w:p>
                    <w:pPr>
                      <w:spacing w:line="160" w:lineRule="exact" w:before="0"/>
                      <w:ind w:left="0" w:right="-15" w:firstLine="0"/>
                      <w:jc w:val="left"/>
                      <w:rPr>
                        <w:rFonts w:ascii="Constantia" w:hAnsi="Constantia"/>
                        <w:b/>
                        <w:sz w:val="16"/>
                      </w:rPr>
                    </w:pPr>
                    <w:r>
                      <w:rPr>
                        <w:rFonts w:ascii="Constantia" w:hAnsi="Constantia"/>
                        <w:b/>
                        <w:color w:val="E36C09"/>
                        <w:w w:val="110"/>
                        <w:sz w:val="16"/>
                      </w:rPr>
                      <w:t>(a)</w:t>
                    </w:r>
                    <w:r>
                      <w:rPr>
                        <w:rFonts w:ascii="Constantia" w:hAnsi="Constantia"/>
                        <w:b/>
                        <w:color w:val="E36C09"/>
                        <w:spacing w:val="-26"/>
                        <w:w w:val="110"/>
                        <w:sz w:val="16"/>
                      </w:rPr>
                      <w:t> </w:t>
                    </w:r>
                    <w:r>
                      <w:rPr>
                        <w:rFonts w:ascii="Constantia" w:hAnsi="Constantia"/>
                        <w:b/>
                        <w:color w:val="E36C09"/>
                        <w:w w:val="110"/>
                        <w:sz w:val="16"/>
                      </w:rPr>
                      <w:t>Relación</w:t>
                    </w:r>
                  </w:p>
                  <w:p>
                    <w:pPr>
                      <w:spacing w:line="190" w:lineRule="exact" w:before="0"/>
                      <w:ind w:left="202" w:right="-15" w:firstLine="0"/>
                      <w:jc w:val="left"/>
                      <w:rPr>
                        <w:rFonts w:ascii="Constantia"/>
                        <w:b/>
                        <w:sz w:val="16"/>
                      </w:rPr>
                    </w:pPr>
                    <w:r>
                      <w:rPr>
                        <w:rFonts w:ascii="Constantia"/>
                        <w:b/>
                        <w:color w:val="E36C09"/>
                        <w:w w:val="110"/>
                        <w:sz w:val="16"/>
                      </w:rPr>
                      <w:t>directa</w:t>
                    </w:r>
                  </w:p>
                </w:txbxContent>
              </v:textbox>
              <w10:wrap type="none"/>
            </v:shape>
            <v:shape style="position:absolute;left:3261;top:974;width:1156;height:538" type="#_x0000_t202" filled="false" stroked="false">
              <v:textbox inset="0,0,0,0">
                <w:txbxContent>
                  <w:p>
                    <w:pPr>
                      <w:spacing w:line="240" w:lineRule="auto" w:before="9"/>
                      <w:rPr>
                        <w:sz w:val="9"/>
                      </w:rPr>
                    </w:pPr>
                  </w:p>
                  <w:p>
                    <w:pPr>
                      <w:spacing w:line="271" w:lineRule="auto" w:before="0"/>
                      <w:ind w:left="310" w:right="0" w:hanging="51"/>
                      <w:jc w:val="left"/>
                      <w:rPr>
                        <w:rFonts w:ascii="Constantia" w:hAnsi="Constantia"/>
                        <w:b/>
                        <w:sz w:val="12"/>
                      </w:rPr>
                    </w:pPr>
                    <w:r>
                      <w:rPr>
                        <w:rFonts w:ascii="Constantia" w:hAnsi="Constantia"/>
                        <w:b/>
                        <w:w w:val="115"/>
                        <w:sz w:val="12"/>
                      </w:rPr>
                      <w:t>precio del petróleo</w:t>
                    </w:r>
                  </w:p>
                </w:txbxContent>
              </v:textbox>
              <w10:wrap type="none"/>
            </v:shape>
            <v:shape style="position:absolute;left:5305;top:974;width:1481;height:538" type="#_x0000_t202" filled="false" stroked="false">
              <v:textbox inset="0,0,0,0">
                <w:txbxContent>
                  <w:p>
                    <w:pPr>
                      <w:spacing w:line="266" w:lineRule="auto" w:before="14"/>
                      <w:ind w:left="86" w:right="119" w:firstLine="6"/>
                      <w:jc w:val="center"/>
                      <w:rPr>
                        <w:rFonts w:ascii="Constantia"/>
                        <w:b/>
                        <w:sz w:val="16"/>
                      </w:rPr>
                    </w:pPr>
                    <w:r>
                      <w:rPr>
                        <w:rFonts w:ascii="Constantia"/>
                        <w:b/>
                        <w:w w:val="115"/>
                        <w:sz w:val="12"/>
                      </w:rPr>
                      <w:t>Demanda </w:t>
                    </w:r>
                    <w:r>
                      <w:rPr>
                        <w:rFonts w:ascii="Constantia"/>
                        <w:b/>
                        <w:spacing w:val="-3"/>
                        <w:w w:val="115"/>
                        <w:sz w:val="12"/>
                      </w:rPr>
                      <w:t>internacional </w:t>
                    </w:r>
                    <w:r>
                      <w:rPr>
                        <w:rFonts w:ascii="Constantia"/>
                        <w:b/>
                        <w:w w:val="115"/>
                        <w:sz w:val="12"/>
                      </w:rPr>
                      <w:t>(Crec. </w:t>
                    </w:r>
                    <w:r>
                      <w:rPr>
                        <w:rFonts w:ascii="Constantia"/>
                        <w:b/>
                        <w:spacing w:val="-2"/>
                        <w:w w:val="115"/>
                        <w:sz w:val="12"/>
                      </w:rPr>
                      <w:t>PIB </w:t>
                    </w:r>
                    <w:r>
                      <w:rPr>
                        <w:rFonts w:ascii="Constantia"/>
                        <w:b/>
                        <w:w w:val="115"/>
                        <w:sz w:val="12"/>
                      </w:rPr>
                      <w:t>real) </w:t>
                    </w:r>
                    <w:r>
                      <w:rPr>
                        <w:rFonts w:ascii="Constantia"/>
                        <w:b/>
                        <w:color w:val="008000"/>
                        <w:w w:val="115"/>
                        <w:sz w:val="16"/>
                      </w:rPr>
                      <w:t>(+)</w:t>
                    </w:r>
                    <w:r>
                      <w:rPr>
                        <w:rFonts w:ascii="Constantia"/>
                        <w:b/>
                        <w:w w:val="115"/>
                        <w:sz w:val="12"/>
                      </w:rPr>
                      <w:t>/</w:t>
                    </w:r>
                    <w:r>
                      <w:rPr>
                        <w:rFonts w:ascii="Constantia"/>
                        <w:b/>
                        <w:color w:val="FF0000"/>
                        <w:w w:val="115"/>
                        <w:sz w:val="16"/>
                      </w:rPr>
                      <w:t>(-)</w:t>
                    </w:r>
                  </w:p>
                </w:txbxContent>
              </v:textbox>
              <w10:wrap type="none"/>
            </v:shape>
            <w10:wrap type="none"/>
          </v:group>
        </w:pict>
      </w:r>
      <w:r>
        <w:rPr/>
        <w:pict>
          <v:group style="position:absolute;margin-left:380.404724pt;margin-top:48.173134pt;width:67.2pt;height:50.4pt;mso-position-horizontal-relative:page;mso-position-vertical-relative:paragraph;z-index:4888" coordorigin="7608,963" coordsize="1344,1008">
            <v:line style="position:absolute" from="7623,974" to="8944,974" stroked="true" strokeweight=".329019pt" strokecolor="#000000"/>
            <v:line style="position:absolute" from="7616,971" to="7616,1518" stroked="true" strokeweight=".721535pt" strokecolor="#000000"/>
            <v:line style="position:absolute" from="7623,1512" to="8944,1512" stroked="true" strokeweight=".658032pt" strokecolor="#000000"/>
            <v:line style="position:absolute" from="8937,977" to="8937,1518" stroked="true" strokeweight=".721535pt" strokecolor="#000000"/>
            <v:shape style="position:absolute;left:8163;top:1547;width:202;height:424" type="#_x0000_t75" stroked="false">
              <v:imagedata r:id="rId99" o:title=""/>
            </v:shape>
            <v:shape style="position:absolute;left:7616;top:974;width:1322;height:538" type="#_x0000_t202" filled="false" stroked="false">
              <v:textbox inset="0,0,0,0">
                <w:txbxContent>
                  <w:p>
                    <w:pPr>
                      <w:spacing w:line="240" w:lineRule="auto" w:before="1"/>
                      <w:rPr>
                        <w:sz w:val="15"/>
                      </w:rPr>
                    </w:pPr>
                  </w:p>
                  <w:p>
                    <w:pPr>
                      <w:spacing w:before="0"/>
                      <w:ind w:left="43" w:right="-8" w:firstLine="0"/>
                      <w:jc w:val="left"/>
                      <w:rPr>
                        <w:rFonts w:ascii="Constantia" w:hAnsi="Constantia"/>
                        <w:b/>
                        <w:sz w:val="16"/>
                      </w:rPr>
                    </w:pPr>
                    <w:r>
                      <w:rPr>
                        <w:rFonts w:ascii="Constantia" w:hAnsi="Constantia"/>
                        <w:b/>
                        <w:w w:val="115"/>
                        <w:sz w:val="12"/>
                      </w:rPr>
                      <w:t>Tasa de Interés </w:t>
                    </w:r>
                    <w:r>
                      <w:rPr>
                        <w:rFonts w:ascii="Constantia" w:hAnsi="Constantia"/>
                        <w:b/>
                        <w:color w:val="339966"/>
                        <w:w w:val="115"/>
                        <w:sz w:val="16"/>
                      </w:rPr>
                      <w:t>(+)</w:t>
                    </w:r>
                  </w:p>
                </w:txbxContent>
              </v:textbox>
              <w10:wrap type="none"/>
            </v:shape>
            <w10:wrap type="none"/>
          </v:group>
        </w:pict>
      </w:r>
      <w:r>
        <w:rPr/>
        <w:t>Mecanismos alternativos de explicación de los precios del petróleo sobre el precio del gas natural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9"/>
        </w:rPr>
      </w:pPr>
    </w:p>
    <w:p>
      <w:pPr>
        <w:tabs>
          <w:tab w:pos="2368" w:val="left" w:leader="none"/>
        </w:tabs>
        <w:spacing w:before="67"/>
        <w:ind w:left="0" w:right="47" w:firstLine="0"/>
        <w:jc w:val="center"/>
        <w:rPr>
          <w:rFonts w:ascii="Constantia"/>
          <w:b/>
          <w:sz w:val="16"/>
        </w:rPr>
      </w:pPr>
      <w:r>
        <w:rPr/>
        <w:pict>
          <v:group style="position:absolute;margin-left:477.670319pt;margin-top:-68.037849pt;width:69.45pt;height:44.65pt;mso-position-horizontal-relative:page;mso-position-vertical-relative:paragraph;z-index:4936" coordorigin="9553,-1361" coordsize="1389,893">
            <v:shape style="position:absolute;left:9554;top:-1360;width:1387;height:891" coordorigin="9554,-1360" coordsize="1387,891" path="m10939,-1360l9556,-1360,9554,-1358,9554,-471,9556,-470,10939,-470,10941,-471,10941,-473,9562,-473,9558,-476,9562,-476,9562,-1353,9558,-1353,9562,-1356,10941,-1356,10941,-1358,10939,-1360xm9562,-476l9558,-476,9562,-473,9562,-476xm10934,-476l9562,-476,9562,-473,10934,-473,10934,-476xm10934,-1356l10934,-473,10937,-476,10941,-476,10941,-1353,10937,-1353,10934,-1356xm10941,-476l10937,-476,10934,-473,10941,-473,10941,-476xm9562,-1356l9558,-1353,9562,-1353,9562,-1356xm10934,-1356l9562,-1356,9562,-1353,10934,-1353,10934,-1356xm10941,-1356l10934,-1356,10937,-1353,10941,-1353,10941,-1356xe" filled="true" fillcolor="#bbbbbb" stroked="false">
              <v:path arrowok="t"/>
              <v:fill type="solid"/>
            </v:shape>
            <v:shape style="position:absolute;left:14855;top:5159;width:2883;height:2029" coordorigin="14855,5159" coordsize="2883,2029" path="m9554,-1356l9554,-1358,9556,-1360,9558,-1360,10937,-1360,10939,-1360,10941,-1358,10941,-1356,10941,-473,10941,-471,10939,-470,10937,-470,9558,-470,9556,-470,9554,-471,9554,-473,9554,-1356xm9562,-473l9558,-476,10937,-476,10934,-473,10934,-1356,10937,-1353,9558,-1353,9562,-1356,9562,-473xe" filled="false" stroked="true" strokeweight=".064380pt" strokecolor="#bbbbbb">
              <v:path arrowok="t"/>
            </v:shape>
            <v:shape style="position:absolute;left:9558;top:-1356;width:1380;height:884" type="#_x0000_t202" filled="false" stroked="false">
              <v:textbox inset="0,0,0,0">
                <w:txbxContent>
                  <w:p>
                    <w:pPr>
                      <w:spacing w:line="237" w:lineRule="auto" w:before="56"/>
                      <w:ind w:left="112" w:right="116" w:firstLine="2"/>
                      <w:jc w:val="center"/>
                      <w:rPr>
                        <w:rFonts w:ascii="Constantia" w:hAnsi="Constantia"/>
                        <w:b/>
                        <w:sz w:val="16"/>
                      </w:rPr>
                    </w:pPr>
                    <w:r>
                      <w:rPr>
                        <w:rFonts w:ascii="Constantia" w:hAnsi="Constantia"/>
                        <w:b/>
                        <w:color w:val="E36C09"/>
                        <w:w w:val="110"/>
                        <w:sz w:val="16"/>
                      </w:rPr>
                      <w:t>(b)      Mecanismos altenativos</w:t>
                    </w:r>
                    <w:r>
                      <w:rPr>
                        <w:rFonts w:ascii="Constantia" w:hAnsi="Constantia"/>
                        <w:b/>
                        <w:color w:val="E36C09"/>
                        <w:spacing w:val="-28"/>
                        <w:w w:val="110"/>
                        <w:sz w:val="16"/>
                      </w:rPr>
                      <w:t> </w:t>
                    </w:r>
                    <w:r>
                      <w:rPr>
                        <w:rFonts w:ascii="Constantia" w:hAnsi="Constantia"/>
                        <w:b/>
                        <w:color w:val="E36C09"/>
                        <w:w w:val="110"/>
                        <w:sz w:val="16"/>
                      </w:rPr>
                      <w:t>de</w:t>
                    </w:r>
                    <w:r>
                      <w:rPr>
                        <w:rFonts w:ascii="Constantia" w:hAnsi="Constantia"/>
                        <w:b/>
                        <w:color w:val="E36C09"/>
                        <w:w w:val="108"/>
                        <w:sz w:val="16"/>
                      </w:rPr>
                      <w:t> </w:t>
                    </w:r>
                    <w:r>
                      <w:rPr>
                        <w:rFonts w:ascii="Constantia" w:hAnsi="Constantia"/>
                        <w:b/>
                        <w:color w:val="E36C09"/>
                        <w:w w:val="110"/>
                        <w:sz w:val="16"/>
                      </w:rPr>
                      <w:t>explicación</w:t>
                    </w:r>
                  </w:p>
                </w:txbxContent>
              </v:textbox>
              <w10:wrap type="none"/>
            </v:shape>
            <w10:wrap type="none"/>
          </v:group>
        </w:pict>
      </w:r>
      <w:r>
        <w:rPr/>
        <w:drawing>
          <wp:anchor distT="0" distB="0" distL="0" distR="0" allowOverlap="1" layoutInCell="1" locked="0" behindDoc="0" simplePos="0" relativeHeight="4960">
            <wp:simplePos x="0" y="0"/>
            <wp:positionH relativeFrom="page">
              <wp:posOffset>5200506</wp:posOffset>
            </wp:positionH>
            <wp:positionV relativeFrom="paragraph">
              <wp:posOffset>-265065</wp:posOffset>
            </wp:positionV>
            <wp:extent cx="127804" cy="276225"/>
            <wp:effectExtent l="0" t="0" r="0" b="0"/>
            <wp:wrapNone/>
            <wp:docPr id="5" name="image90.png" descr=""/>
            <wp:cNvGraphicFramePr>
              <a:graphicFrameLocks noChangeAspect="1"/>
            </wp:cNvGraphicFramePr>
            <a:graphic>
              <a:graphicData uri="http://schemas.openxmlformats.org/drawingml/2006/picture">
                <pic:pic>
                  <pic:nvPicPr>
                    <pic:cNvPr id="6" name="image90.png"/>
                    <pic:cNvPicPr/>
                  </pic:nvPicPr>
                  <pic:blipFill>
                    <a:blip r:embed="rId100" cstate="print"/>
                    <a:stretch>
                      <a:fillRect/>
                    </a:stretch>
                  </pic:blipFill>
                  <pic:spPr>
                    <a:xfrm>
                      <a:off x="0" y="0"/>
                      <a:ext cx="127804" cy="276225"/>
                    </a:xfrm>
                    <a:prstGeom prst="rect">
                      <a:avLst/>
                    </a:prstGeom>
                  </pic:spPr>
                </pic:pic>
              </a:graphicData>
            </a:graphic>
          </wp:anchor>
        </w:drawing>
      </w:r>
      <w:r>
        <w:rPr/>
        <w:pict>
          <v:shape style="position:absolute;margin-left:380.779724pt;margin-top:-49.352386pt;width:66.1pt;height:27.05pt;mso-position-horizontal-relative:page;mso-position-vertical-relative:paragraph;z-index:4984" type="#_x0000_t202" filled="false" stroked="true" strokeweight=".721535pt" strokecolor="#000000">
            <v:textbox inset="0,0,0,0">
              <w:txbxContent>
                <w:p>
                  <w:pPr>
                    <w:spacing w:line="261" w:lineRule="auto" w:before="89"/>
                    <w:ind w:left="259" w:right="159" w:hanging="123"/>
                    <w:jc w:val="left"/>
                    <w:rPr>
                      <w:rFonts w:ascii="Constantia"/>
                      <w:b/>
                      <w:sz w:val="16"/>
                    </w:rPr>
                  </w:pPr>
                  <w:r>
                    <w:rPr>
                      <w:rFonts w:ascii="Constantia"/>
                      <w:b/>
                      <w:w w:val="115"/>
                      <w:sz w:val="12"/>
                    </w:rPr>
                    <w:t>Tipo de cambio </w:t>
                  </w:r>
                  <w:r>
                    <w:rPr>
                      <w:rFonts w:ascii="Constantia"/>
                      <w:b/>
                      <w:w w:val="110"/>
                      <w:sz w:val="12"/>
                    </w:rPr>
                    <w:t>nominal </w:t>
                  </w:r>
                  <w:r>
                    <w:rPr>
                      <w:rFonts w:ascii="Constantia"/>
                      <w:b/>
                      <w:color w:val="339966"/>
                      <w:w w:val="110"/>
                      <w:sz w:val="16"/>
                    </w:rPr>
                    <w:t>(+)</w:t>
                  </w:r>
                </w:p>
              </w:txbxContent>
            </v:textbox>
            <w10:wrap type="none"/>
          </v:shape>
        </w:pict>
      </w:r>
      <w:r>
        <w:rPr/>
        <w:pict>
          <v:shape style="position:absolute;margin-left:265.237976pt;margin-top:2.728632pt;width:74.05pt;height:27.05pt;mso-position-horizontal-relative:page;mso-position-vertical-relative:paragraph;z-index:-567112" type="#_x0000_t202" filled="false" stroked="true" strokeweight=".721535pt" strokecolor="#000000">
            <v:textbox inset="0,0,0,0">
              <w:txbxContent>
                <w:p>
                  <w:pPr>
                    <w:spacing w:line="261" w:lineRule="auto" w:before="89"/>
                    <w:ind w:left="375" w:right="0" w:hanging="152"/>
                    <w:jc w:val="left"/>
                    <w:rPr>
                      <w:rFonts w:ascii="Constantia"/>
                      <w:b/>
                      <w:sz w:val="16"/>
                    </w:rPr>
                  </w:pPr>
                  <w:r>
                    <w:rPr>
                      <w:rFonts w:ascii="Constantia"/>
                      <w:b/>
                      <w:w w:val="115"/>
                      <w:sz w:val="12"/>
                    </w:rPr>
                    <w:t>Precios del gas </w:t>
                  </w:r>
                  <w:r>
                    <w:rPr>
                      <w:rFonts w:ascii="Constantia"/>
                      <w:b/>
                      <w:w w:val="110"/>
                      <w:sz w:val="12"/>
                    </w:rPr>
                    <w:t>natural </w:t>
                  </w:r>
                  <w:r>
                    <w:rPr>
                      <w:rFonts w:ascii="Constantia"/>
                      <w:b/>
                      <w:color w:val="339966"/>
                      <w:w w:val="110"/>
                      <w:sz w:val="16"/>
                    </w:rPr>
                    <w:t>(+)</w:t>
                  </w:r>
                </w:p>
              </w:txbxContent>
            </v:textbox>
            <w10:wrap type="none"/>
          </v:shape>
        </w:pict>
      </w:r>
      <w:r>
        <w:rPr/>
        <w:pict>
          <v:shape style="position:absolute;margin-left:380.779724pt;margin-top:2.728632pt;width:66.1pt;height:27.05pt;mso-position-horizontal-relative:page;mso-position-vertical-relative:paragraph;z-index:5032" type="#_x0000_t202" filled="false" stroked="true" strokeweight=".721535pt" strokecolor="#000000">
            <v:textbox inset="0,0,0,0">
              <w:txbxContent>
                <w:p>
                  <w:pPr>
                    <w:spacing w:line="266" w:lineRule="auto" w:before="10"/>
                    <w:ind w:left="108" w:right="0" w:firstLine="195"/>
                    <w:jc w:val="left"/>
                    <w:rPr>
                      <w:rFonts w:ascii="Constantia"/>
                      <w:b/>
                      <w:sz w:val="16"/>
                    </w:rPr>
                  </w:pPr>
                  <w:r>
                    <w:rPr>
                      <w:rFonts w:ascii="Constantia"/>
                      <w:b/>
                      <w:w w:val="115"/>
                      <w:sz w:val="12"/>
                    </w:rPr>
                    <w:t>Precios de materias primas no petroleras </w:t>
                  </w:r>
                  <w:r>
                    <w:rPr>
                      <w:rFonts w:ascii="Constantia"/>
                      <w:b/>
                      <w:color w:val="FF0000"/>
                      <w:w w:val="115"/>
                      <w:sz w:val="16"/>
                    </w:rPr>
                    <w:t>(-)</w:t>
                  </w:r>
                </w:p>
              </w:txbxContent>
            </v:textbox>
            <w10:wrap type="none"/>
          </v:shape>
        </w:pict>
      </w:r>
      <w:r>
        <w:rPr>
          <w:rFonts w:ascii="Constantia"/>
          <w:b/>
          <w:color w:val="6F2F9F"/>
          <w:w w:val="110"/>
          <w:sz w:val="16"/>
        </w:rPr>
        <w:t>5)</w:t>
        <w:tab/>
      </w:r>
      <w:r>
        <w:rPr>
          <w:rFonts w:ascii="Constantia"/>
          <w:b/>
          <w:color w:val="6F2F9F"/>
          <w:spacing w:val="3"/>
          <w:w w:val="110"/>
          <w:sz w:val="16"/>
        </w:rPr>
        <w:t>4)</w:t>
      </w:r>
    </w:p>
    <w:p>
      <w:pPr>
        <w:pStyle w:val="BodyText"/>
        <w:spacing w:line="184" w:lineRule="exact"/>
        <w:ind w:left="5216"/>
        <w:rPr>
          <w:rFonts w:ascii="Constantia"/>
          <w:sz w:val="18"/>
        </w:rPr>
      </w:pPr>
      <w:r>
        <w:rPr>
          <w:rFonts w:ascii="Constantia"/>
          <w:position w:val="-3"/>
          <w:sz w:val="18"/>
        </w:rPr>
        <w:pict>
          <v:group style="width:27.55pt;height:9.25pt;mso-position-horizontal-relative:char;mso-position-vertical-relative:line" coordorigin="0,0" coordsize="551,185">
            <v:shape style="position:absolute;left:1;top:1;width:550;height:184" coordorigin="1,1" coordsize="550,184" path="m174,1l1,90,172,184,185,181,191,172,197,162,194,150,184,144,124,112,43,111,44,71,125,71,185,40,196,35,200,23,193,13,188,4,174,1xm123,72l86,91,124,112,549,116,550,77,123,72xm44,71l43,111,124,112,117,108,54,108,55,74,120,74,123,72,44,71xm55,74l54,108,86,91,55,74xm86,91l54,108,117,108,86,91xm120,74l55,74,86,91,120,74xm125,71l44,71,123,72,125,71xe" filled="true" fillcolor="#497dba" stroked="false">
              <v:path arrowok="t"/>
              <v:fill type="solid"/>
            </v:shape>
            <v:shape style="position:absolute;left:43;top:71;width:507;height:46" coordorigin="43,71" coordsize="507,46" path="m549,116l43,111,44,71,550,77,549,116xe" filled="false" stroked="true" strokeweight=".061463pt" strokecolor="#497dba">
              <v:path arrowok="t"/>
            </v:shape>
            <v:shape style="position:absolute;left:0;top:0;width:200;height:185" type="#_x0000_t75" stroked="false">
              <v:imagedata r:id="rId101" o:title=""/>
            </v:shape>
          </v:group>
        </w:pict>
      </w:r>
      <w:r>
        <w:rPr>
          <w:rFonts w:ascii="Constantia"/>
          <w:position w:val="-3"/>
          <w:sz w:val="18"/>
        </w:rPr>
      </w:r>
    </w:p>
    <w:p>
      <w:pPr>
        <w:pStyle w:val="BodyText"/>
        <w:spacing w:before="7"/>
        <w:rPr>
          <w:rFonts w:ascii="Constantia"/>
          <w:b/>
          <w:sz w:val="20"/>
        </w:rPr>
      </w:pPr>
    </w:p>
    <w:p>
      <w:pPr>
        <w:spacing w:after="0"/>
        <w:rPr>
          <w:rFonts w:ascii="Constantia"/>
          <w:sz w:val="20"/>
        </w:rPr>
        <w:sectPr>
          <w:footerReference w:type="default" r:id="rId93"/>
          <w:pgSz w:w="12250" w:h="15850"/>
          <w:pgMar w:footer="1037" w:header="0" w:top="1360" w:bottom="1220" w:left="1600" w:right="1200"/>
          <w:pgNumType w:start="77"/>
        </w:sectPr>
      </w:pPr>
    </w:p>
    <w:p>
      <w:pPr>
        <w:spacing w:before="80"/>
        <w:ind w:left="837" w:right="-6" w:firstLine="0"/>
        <w:jc w:val="left"/>
        <w:rPr>
          <w:rFonts w:ascii="Constantia"/>
          <w:b/>
          <w:sz w:val="12"/>
        </w:rPr>
      </w:pPr>
      <w:r>
        <w:rPr>
          <w:rFonts w:ascii="Constantia"/>
          <w:b/>
          <w:w w:val="110"/>
          <w:sz w:val="12"/>
        </w:rPr>
        <w:t>Donde:</w:t>
      </w:r>
    </w:p>
    <w:p>
      <w:pPr>
        <w:spacing w:line="259" w:lineRule="auto" w:before="120"/>
        <w:ind w:left="65" w:right="3950" w:firstLine="0"/>
        <w:jc w:val="left"/>
        <w:rPr>
          <w:rFonts w:ascii="Constantia"/>
          <w:sz w:val="12"/>
        </w:rPr>
      </w:pPr>
      <w:r>
        <w:rPr/>
        <w:br w:type="column"/>
      </w:r>
      <w:r>
        <w:rPr>
          <w:rFonts w:ascii="Constantia"/>
          <w:b/>
          <w:color w:val="339966"/>
          <w:w w:val="115"/>
          <w:sz w:val="14"/>
        </w:rPr>
        <w:t>(+) </w:t>
      </w:r>
      <w:r>
        <w:rPr>
          <w:rFonts w:ascii="Constantia"/>
          <w:w w:val="115"/>
          <w:sz w:val="12"/>
        </w:rPr>
        <w:t>denota un impacto "positivo o directo" proveniente de la variable precedente, caso contrario </w:t>
      </w:r>
      <w:r>
        <w:rPr>
          <w:rFonts w:ascii="Constantia"/>
          <w:color w:val="FF0000"/>
          <w:w w:val="115"/>
          <w:sz w:val="16"/>
        </w:rPr>
        <w:t>(-) </w:t>
      </w:r>
      <w:r>
        <w:rPr>
          <w:rFonts w:ascii="Constantia"/>
          <w:w w:val="115"/>
          <w:sz w:val="12"/>
        </w:rPr>
        <w:t>.</w:t>
      </w:r>
    </w:p>
    <w:p>
      <w:pPr>
        <w:spacing w:after="0" w:line="259" w:lineRule="auto"/>
        <w:jc w:val="left"/>
        <w:rPr>
          <w:rFonts w:ascii="Constantia"/>
          <w:sz w:val="12"/>
        </w:rPr>
        <w:sectPr>
          <w:type w:val="continuous"/>
          <w:pgSz w:w="12250" w:h="15850"/>
          <w:pgMar w:top="1500" w:bottom="280" w:left="1600" w:right="1200"/>
          <w:cols w:num="2" w:equalWidth="0">
            <w:col w:w="1310" w:space="40"/>
            <w:col w:w="8100"/>
          </w:cols>
        </w:sectPr>
      </w:pPr>
    </w:p>
    <w:p>
      <w:pPr>
        <w:pStyle w:val="BodyText"/>
        <w:spacing w:before="6"/>
        <w:rPr>
          <w:rFonts w:ascii="Constantia"/>
          <w:sz w:val="8"/>
        </w:rPr>
      </w:pPr>
    </w:p>
    <w:p>
      <w:pPr>
        <w:spacing w:before="77"/>
        <w:ind w:left="810" w:right="507" w:firstLine="0"/>
        <w:jc w:val="left"/>
        <w:rPr>
          <w:sz w:val="18"/>
        </w:rPr>
      </w:pPr>
      <w:r>
        <w:rPr>
          <w:sz w:val="18"/>
        </w:rPr>
        <w:t>Fuente: Elaboración propia.</w:t>
      </w:r>
    </w:p>
    <w:p>
      <w:pPr>
        <w:pStyle w:val="BodyText"/>
        <w:rPr>
          <w:sz w:val="18"/>
        </w:rPr>
      </w:pPr>
    </w:p>
    <w:p>
      <w:pPr>
        <w:pStyle w:val="BodyText"/>
        <w:spacing w:before="11"/>
        <w:rPr>
          <w:sz w:val="26"/>
        </w:rPr>
      </w:pPr>
    </w:p>
    <w:p>
      <w:pPr>
        <w:pStyle w:val="BodyText"/>
        <w:spacing w:line="360" w:lineRule="auto"/>
        <w:ind w:left="102" w:right="497" w:firstLine="707"/>
        <w:jc w:val="both"/>
      </w:pPr>
      <w:r>
        <w:rPr/>
        <w:t>El esquema 1 propone que los determinantes del precio del gas natural se originan por el precio del petróleo, </w:t>
      </w:r>
      <w:r>
        <w:rPr>
          <w:spacing w:val="-3"/>
        </w:rPr>
        <w:t>ya </w:t>
      </w:r>
      <w:r>
        <w:rPr/>
        <w:t>sea de forma directa (a) o mediante mecanismos alternativos de explicación (propagación) (b). Por consiguiente se plantea la siguiente deducción teórica sobre el esquema</w:t>
      </w:r>
      <w:r>
        <w:rPr>
          <w:spacing w:val="-4"/>
        </w:rPr>
        <w:t> </w:t>
      </w:r>
      <w:r>
        <w:rPr/>
        <w:t>planteado:</w:t>
      </w:r>
    </w:p>
    <w:p>
      <w:pPr>
        <w:pStyle w:val="BodyText"/>
      </w:pPr>
    </w:p>
    <w:p>
      <w:pPr>
        <w:pStyle w:val="BodyText"/>
        <w:spacing w:before="140"/>
        <w:ind w:left="4187" w:right="507" w:hanging="4067"/>
      </w:pPr>
      <w:bookmarkStart w:name="_bookmark37" w:id="59"/>
      <w:bookmarkEnd w:id="59"/>
      <w:r>
        <w:rPr/>
      </w:r>
      <w:r>
        <w:rPr/>
        <w:t>Cuadro 2. 3: Inferencias teóricas de diversas relaciones de influencia sobre el precio del gas natural</w:t>
      </w:r>
    </w:p>
    <w:p>
      <w:pPr>
        <w:pStyle w:val="BodyText"/>
        <w:spacing w:before="4"/>
        <w:rPr>
          <w:sz w:val="23"/>
        </w:rPr>
      </w:pPr>
      <w:r>
        <w:rPr/>
        <w:pict>
          <v:group style="position:absolute;margin-left:85.421303pt;margin-top:15.403344pt;width:402.3pt;height:2.3pt;mso-position-horizontal-relative:page;mso-position-vertical-relative:paragraph;z-index:4600;mso-wrap-distance-left:0;mso-wrap-distance-right:0" coordorigin="1708,308" coordsize="8046,46">
            <v:line style="position:absolute" from="1723,316" to="9739,316" stroked="true" strokeweight=".748918pt" strokecolor="#000000"/>
            <v:line style="position:absolute" from="1716,316" to="9746,316" stroked="true" strokeweight=".748918pt" strokecolor="#000000"/>
            <v:line style="position:absolute" from="1723,346" to="9739,346" stroked="true" strokeweight=".748918pt" strokecolor="#000000"/>
            <v:line style="position:absolute" from="1716,346" to="9746,346" stroked="true" strokeweight=".748918pt" strokecolor="#000000"/>
            <w10:wrap type="topAndBottom"/>
          </v:group>
        </w:pict>
      </w:r>
    </w:p>
    <w:p>
      <w:pPr>
        <w:tabs>
          <w:tab w:pos="5529" w:val="left" w:leader="none"/>
        </w:tabs>
        <w:spacing w:line="256" w:lineRule="exact" w:before="52"/>
        <w:ind w:left="6202" w:right="1369" w:hanging="4292"/>
        <w:jc w:val="left"/>
        <w:rPr>
          <w:b/>
          <w:sz w:val="19"/>
        </w:rPr>
      </w:pPr>
      <w:r>
        <w:rPr>
          <w:b/>
          <w:spacing w:val="-4"/>
          <w:w w:val="105"/>
          <w:position w:val="-7"/>
          <w:sz w:val="19"/>
        </w:rPr>
        <w:t>Factores</w:t>
      </w:r>
      <w:r>
        <w:rPr>
          <w:b/>
          <w:spacing w:val="40"/>
          <w:w w:val="105"/>
          <w:position w:val="-7"/>
          <w:sz w:val="19"/>
        </w:rPr>
        <w:t> </w:t>
      </w:r>
      <w:r>
        <w:rPr>
          <w:b/>
          <w:spacing w:val="-5"/>
          <w:w w:val="105"/>
          <w:position w:val="-7"/>
          <w:sz w:val="19"/>
        </w:rPr>
        <w:t>explicativos</w:t>
        <w:tab/>
      </w:r>
      <w:r>
        <w:rPr>
          <w:b/>
          <w:spacing w:val="-7"/>
          <w:w w:val="105"/>
          <w:sz w:val="19"/>
        </w:rPr>
        <w:t>Tipo</w:t>
      </w:r>
      <w:r>
        <w:rPr>
          <w:b/>
          <w:spacing w:val="-23"/>
          <w:w w:val="105"/>
          <w:sz w:val="19"/>
        </w:rPr>
        <w:t> </w:t>
      </w:r>
      <w:r>
        <w:rPr>
          <w:b/>
          <w:spacing w:val="-10"/>
          <w:w w:val="105"/>
          <w:sz w:val="19"/>
        </w:rPr>
        <w:t>de</w:t>
      </w:r>
      <w:r>
        <w:rPr>
          <w:b/>
          <w:spacing w:val="-14"/>
          <w:w w:val="105"/>
          <w:sz w:val="19"/>
        </w:rPr>
        <w:t> </w:t>
      </w:r>
      <w:r>
        <w:rPr>
          <w:b/>
          <w:w w:val="105"/>
          <w:sz w:val="19"/>
        </w:rPr>
        <w:t>relación</w:t>
      </w:r>
      <w:r>
        <w:rPr>
          <w:b/>
          <w:spacing w:val="-20"/>
          <w:w w:val="105"/>
          <w:sz w:val="19"/>
        </w:rPr>
        <w:t> </w:t>
      </w:r>
      <w:r>
        <w:rPr>
          <w:b/>
          <w:spacing w:val="-3"/>
          <w:w w:val="105"/>
          <w:sz w:val="19"/>
        </w:rPr>
        <w:t>sobre</w:t>
      </w:r>
      <w:r>
        <w:rPr>
          <w:b/>
          <w:spacing w:val="-14"/>
          <w:w w:val="105"/>
          <w:sz w:val="19"/>
        </w:rPr>
        <w:t> </w:t>
      </w:r>
      <w:r>
        <w:rPr>
          <w:b/>
          <w:w w:val="105"/>
          <w:sz w:val="19"/>
        </w:rPr>
        <w:t>el</w:t>
      </w:r>
      <w:r>
        <w:rPr>
          <w:b/>
          <w:spacing w:val="-13"/>
          <w:w w:val="105"/>
          <w:sz w:val="19"/>
        </w:rPr>
        <w:t> </w:t>
      </w:r>
      <w:r>
        <w:rPr>
          <w:b/>
          <w:w w:val="105"/>
          <w:sz w:val="19"/>
        </w:rPr>
        <w:t>precio</w:t>
      </w:r>
      <w:r>
        <w:rPr>
          <w:b/>
          <w:w w:val="102"/>
          <w:sz w:val="19"/>
        </w:rPr>
        <w:t> </w:t>
      </w:r>
      <w:r>
        <w:rPr>
          <w:b/>
          <w:spacing w:val="-6"/>
          <w:w w:val="105"/>
          <w:sz w:val="19"/>
        </w:rPr>
        <w:t>del </w:t>
      </w:r>
      <w:r>
        <w:rPr>
          <w:b/>
          <w:w w:val="105"/>
          <w:sz w:val="19"/>
        </w:rPr>
        <w:t>gas</w:t>
      </w:r>
      <w:r>
        <w:rPr>
          <w:b/>
          <w:spacing w:val="-14"/>
          <w:w w:val="105"/>
          <w:sz w:val="19"/>
        </w:rPr>
        <w:t> </w:t>
      </w:r>
      <w:r>
        <w:rPr>
          <w:b/>
          <w:spacing w:val="-4"/>
          <w:w w:val="105"/>
          <w:sz w:val="19"/>
        </w:rPr>
        <w:t>natural</w:t>
      </w:r>
    </w:p>
    <w:p>
      <w:pPr>
        <w:pStyle w:val="BodyText"/>
        <w:spacing w:line="45" w:lineRule="exact"/>
        <w:ind w:left="107"/>
        <w:rPr>
          <w:sz w:val="4"/>
        </w:rPr>
      </w:pPr>
      <w:r>
        <w:rPr>
          <w:position w:val="0"/>
          <w:sz w:val="4"/>
        </w:rPr>
        <w:pict>
          <v:group style="width:402.35pt;height:2.3pt;mso-position-horizontal-relative:char;mso-position-vertical-relative:line" coordorigin="0,0" coordsize="8047,46">
            <v:line style="position:absolute" from="15,8" to="8031,8" stroked="true" strokeweight=".748918pt" strokecolor="#000000"/>
            <v:line style="position:absolute" from="8,8" to="8038,8" stroked="true" strokeweight=".748918pt" strokecolor="#000000"/>
            <v:line style="position:absolute" from="15,37" to="8031,37" stroked="true" strokeweight=".748918pt" strokecolor="#000000"/>
            <v:line style="position:absolute" from="8,38" to="8038,38" stroked="true" strokeweight=".773881pt" strokecolor="#000000"/>
          </v:group>
        </w:pict>
      </w:r>
      <w:r>
        <w:rPr>
          <w:position w:val="0"/>
          <w:sz w:val="4"/>
        </w:rPr>
      </w:r>
    </w:p>
    <w:p>
      <w:pPr>
        <w:tabs>
          <w:tab w:pos="6381" w:val="left" w:leader="none"/>
        </w:tabs>
        <w:spacing w:before="0"/>
        <w:ind w:left="145" w:right="507" w:firstLine="0"/>
        <w:jc w:val="left"/>
        <w:rPr>
          <w:sz w:val="19"/>
        </w:rPr>
      </w:pPr>
      <w:r>
        <w:rPr>
          <w:w w:val="105"/>
          <w:sz w:val="19"/>
        </w:rPr>
        <w:t>Precios</w:t>
      </w:r>
      <w:r>
        <w:rPr>
          <w:spacing w:val="-3"/>
          <w:w w:val="105"/>
          <w:sz w:val="19"/>
        </w:rPr>
        <w:t> </w:t>
      </w:r>
      <w:r>
        <w:rPr>
          <w:spacing w:val="2"/>
          <w:w w:val="105"/>
          <w:sz w:val="19"/>
        </w:rPr>
        <w:t>del</w:t>
      </w:r>
      <w:r>
        <w:rPr>
          <w:spacing w:val="-21"/>
          <w:w w:val="105"/>
          <w:sz w:val="19"/>
        </w:rPr>
        <w:t> </w:t>
      </w:r>
      <w:r>
        <w:rPr>
          <w:w w:val="105"/>
          <w:sz w:val="19"/>
        </w:rPr>
        <w:t>petróleo</w:t>
        <w:tab/>
      </w:r>
      <w:r>
        <w:rPr>
          <w:sz w:val="19"/>
        </w:rPr>
        <w:t>Directa</w:t>
      </w:r>
      <w:r>
        <w:rPr>
          <w:spacing w:val="6"/>
          <w:sz w:val="19"/>
        </w:rPr>
        <w:t> </w:t>
      </w:r>
      <w:r>
        <w:rPr>
          <w:spacing w:val="-4"/>
          <w:sz w:val="19"/>
        </w:rPr>
        <w:t>(+)</w:t>
      </w:r>
    </w:p>
    <w:p>
      <w:pPr>
        <w:tabs>
          <w:tab w:pos="6381" w:val="left" w:leader="none"/>
        </w:tabs>
        <w:spacing w:before="98"/>
        <w:ind w:left="145" w:right="507" w:firstLine="0"/>
        <w:jc w:val="left"/>
        <w:rPr>
          <w:sz w:val="19"/>
        </w:rPr>
      </w:pPr>
      <w:r>
        <w:rPr>
          <w:w w:val="105"/>
          <w:sz w:val="19"/>
        </w:rPr>
        <w:t>Demanda</w:t>
      </w:r>
      <w:r>
        <w:rPr>
          <w:spacing w:val="-15"/>
          <w:w w:val="105"/>
          <w:sz w:val="19"/>
        </w:rPr>
        <w:t> </w:t>
      </w:r>
      <w:r>
        <w:rPr>
          <w:w w:val="105"/>
          <w:sz w:val="19"/>
        </w:rPr>
        <w:t>internacional</w:t>
      </w:r>
      <w:r>
        <w:rPr>
          <w:spacing w:val="-24"/>
          <w:w w:val="105"/>
          <w:sz w:val="19"/>
        </w:rPr>
        <w:t> </w:t>
      </w:r>
      <w:r>
        <w:rPr>
          <w:spacing w:val="-3"/>
          <w:w w:val="105"/>
          <w:sz w:val="19"/>
        </w:rPr>
        <w:t>(crecimiento</w:t>
      </w:r>
      <w:r>
        <w:rPr>
          <w:spacing w:val="-12"/>
          <w:w w:val="105"/>
          <w:sz w:val="19"/>
        </w:rPr>
        <w:t> </w:t>
      </w:r>
      <w:r>
        <w:rPr>
          <w:spacing w:val="2"/>
          <w:w w:val="105"/>
          <w:sz w:val="19"/>
        </w:rPr>
        <w:t>del</w:t>
      </w:r>
      <w:r>
        <w:rPr>
          <w:spacing w:val="-24"/>
          <w:w w:val="105"/>
          <w:sz w:val="19"/>
        </w:rPr>
        <w:t> </w:t>
      </w:r>
      <w:r>
        <w:rPr>
          <w:spacing w:val="-4"/>
          <w:w w:val="105"/>
          <w:sz w:val="19"/>
        </w:rPr>
        <w:t>PIB</w:t>
      </w:r>
      <w:r>
        <w:rPr>
          <w:spacing w:val="-25"/>
          <w:w w:val="105"/>
          <w:sz w:val="19"/>
        </w:rPr>
        <w:t> </w:t>
      </w:r>
      <w:r>
        <w:rPr>
          <w:w w:val="105"/>
          <w:sz w:val="19"/>
        </w:rPr>
        <w:t>intern.)</w:t>
        <w:tab/>
      </w:r>
      <w:r>
        <w:rPr>
          <w:sz w:val="19"/>
        </w:rPr>
        <w:t>Directa</w:t>
      </w:r>
      <w:r>
        <w:rPr>
          <w:spacing w:val="6"/>
          <w:sz w:val="19"/>
        </w:rPr>
        <w:t> </w:t>
      </w:r>
      <w:r>
        <w:rPr>
          <w:spacing w:val="-4"/>
          <w:sz w:val="19"/>
        </w:rPr>
        <w:t>(+)</w:t>
      </w:r>
    </w:p>
    <w:p>
      <w:pPr>
        <w:tabs>
          <w:tab w:pos="6381" w:val="left" w:leader="none"/>
        </w:tabs>
        <w:spacing w:before="67"/>
        <w:ind w:left="145" w:right="507" w:firstLine="0"/>
        <w:jc w:val="left"/>
        <w:rPr>
          <w:sz w:val="19"/>
        </w:rPr>
      </w:pPr>
      <w:r>
        <w:rPr>
          <w:spacing w:val="3"/>
          <w:w w:val="105"/>
          <w:sz w:val="19"/>
        </w:rPr>
        <w:t>Tasa de</w:t>
      </w:r>
      <w:r>
        <w:rPr>
          <w:spacing w:val="-21"/>
          <w:w w:val="105"/>
          <w:sz w:val="19"/>
        </w:rPr>
        <w:t> </w:t>
      </w:r>
      <w:r>
        <w:rPr>
          <w:w w:val="105"/>
          <w:sz w:val="19"/>
        </w:rPr>
        <w:t>interés</w:t>
      </w:r>
      <w:r>
        <w:rPr>
          <w:spacing w:val="-1"/>
          <w:w w:val="105"/>
          <w:sz w:val="19"/>
        </w:rPr>
        <w:t> </w:t>
      </w:r>
      <w:r>
        <w:rPr>
          <w:w w:val="105"/>
          <w:sz w:val="19"/>
        </w:rPr>
        <w:t>internacional</w:t>
        <w:tab/>
      </w:r>
      <w:r>
        <w:rPr>
          <w:sz w:val="19"/>
        </w:rPr>
        <w:t>Directa</w:t>
      </w:r>
      <w:r>
        <w:rPr>
          <w:spacing w:val="6"/>
          <w:sz w:val="19"/>
        </w:rPr>
        <w:t> </w:t>
      </w:r>
      <w:r>
        <w:rPr>
          <w:spacing w:val="-4"/>
          <w:sz w:val="19"/>
        </w:rPr>
        <w:t>(+)</w:t>
      </w:r>
    </w:p>
    <w:p>
      <w:pPr>
        <w:tabs>
          <w:tab w:pos="6381" w:val="left" w:leader="none"/>
        </w:tabs>
        <w:spacing w:before="82"/>
        <w:ind w:left="145" w:right="507" w:firstLine="0"/>
        <w:jc w:val="left"/>
        <w:rPr>
          <w:sz w:val="19"/>
        </w:rPr>
      </w:pPr>
      <w:r>
        <w:rPr>
          <w:w w:val="105"/>
          <w:sz w:val="19"/>
        </w:rPr>
        <w:t>Tipo</w:t>
      </w:r>
      <w:r>
        <w:rPr>
          <w:spacing w:val="-8"/>
          <w:w w:val="105"/>
          <w:sz w:val="19"/>
        </w:rPr>
        <w:t> </w:t>
      </w:r>
      <w:r>
        <w:rPr>
          <w:spacing w:val="3"/>
          <w:w w:val="105"/>
          <w:sz w:val="19"/>
        </w:rPr>
        <w:t>de</w:t>
      </w:r>
      <w:r>
        <w:rPr>
          <w:spacing w:val="-11"/>
          <w:w w:val="105"/>
          <w:sz w:val="19"/>
        </w:rPr>
        <w:t> </w:t>
      </w:r>
      <w:r>
        <w:rPr>
          <w:spacing w:val="-3"/>
          <w:w w:val="105"/>
          <w:sz w:val="19"/>
        </w:rPr>
        <w:t>cambio</w:t>
      </w:r>
      <w:r>
        <w:rPr>
          <w:spacing w:val="-8"/>
          <w:w w:val="105"/>
          <w:sz w:val="19"/>
        </w:rPr>
        <w:t> </w:t>
      </w:r>
      <w:r>
        <w:rPr>
          <w:w w:val="105"/>
          <w:sz w:val="19"/>
        </w:rPr>
        <w:t>(valor</w:t>
      </w:r>
      <w:r>
        <w:rPr>
          <w:spacing w:val="-18"/>
          <w:w w:val="105"/>
          <w:sz w:val="19"/>
        </w:rPr>
        <w:t> </w:t>
      </w:r>
      <w:r>
        <w:rPr>
          <w:spacing w:val="2"/>
          <w:w w:val="105"/>
          <w:sz w:val="19"/>
        </w:rPr>
        <w:t>del</w:t>
      </w:r>
      <w:r>
        <w:rPr>
          <w:spacing w:val="-21"/>
          <w:w w:val="105"/>
          <w:sz w:val="19"/>
        </w:rPr>
        <w:t> </w:t>
      </w:r>
      <w:r>
        <w:rPr>
          <w:w w:val="105"/>
          <w:sz w:val="19"/>
        </w:rPr>
        <w:t>dólar)</w:t>
        <w:tab/>
      </w:r>
      <w:r>
        <w:rPr>
          <w:spacing w:val="2"/>
          <w:w w:val="105"/>
          <w:sz w:val="19"/>
        </w:rPr>
        <w:t>Inversa</w:t>
      </w:r>
      <w:r>
        <w:rPr>
          <w:spacing w:val="-20"/>
          <w:w w:val="105"/>
          <w:sz w:val="19"/>
        </w:rPr>
        <w:t> </w:t>
      </w:r>
      <w:r>
        <w:rPr>
          <w:spacing w:val="-4"/>
          <w:w w:val="105"/>
          <w:sz w:val="19"/>
        </w:rPr>
        <w:t>(-)</w:t>
      </w:r>
    </w:p>
    <w:p>
      <w:pPr>
        <w:tabs>
          <w:tab w:pos="6381" w:val="left" w:leader="none"/>
        </w:tabs>
        <w:spacing w:before="82"/>
        <w:ind w:left="145" w:right="507" w:firstLine="0"/>
        <w:jc w:val="left"/>
        <w:rPr>
          <w:sz w:val="19"/>
        </w:rPr>
      </w:pPr>
      <w:r>
        <w:rPr>
          <w:w w:val="105"/>
          <w:sz w:val="19"/>
        </w:rPr>
        <w:t>Precios </w:t>
      </w:r>
      <w:r>
        <w:rPr>
          <w:spacing w:val="3"/>
          <w:w w:val="105"/>
          <w:sz w:val="19"/>
        </w:rPr>
        <w:t>de </w:t>
      </w:r>
      <w:r>
        <w:rPr>
          <w:spacing w:val="-3"/>
          <w:w w:val="105"/>
          <w:sz w:val="19"/>
        </w:rPr>
        <w:t>las</w:t>
      </w:r>
      <w:r>
        <w:rPr>
          <w:spacing w:val="-17"/>
          <w:w w:val="105"/>
          <w:sz w:val="19"/>
        </w:rPr>
        <w:t> </w:t>
      </w:r>
      <w:r>
        <w:rPr>
          <w:spacing w:val="-3"/>
          <w:w w:val="105"/>
          <w:sz w:val="19"/>
        </w:rPr>
        <w:t>materias</w:t>
      </w:r>
      <w:r>
        <w:rPr>
          <w:spacing w:val="-2"/>
          <w:w w:val="105"/>
          <w:sz w:val="19"/>
        </w:rPr>
        <w:t> </w:t>
      </w:r>
      <w:r>
        <w:rPr>
          <w:spacing w:val="-5"/>
          <w:w w:val="105"/>
          <w:sz w:val="19"/>
        </w:rPr>
        <w:t>primas</w:t>
        <w:tab/>
      </w:r>
      <w:r>
        <w:rPr>
          <w:sz w:val="19"/>
        </w:rPr>
        <w:t>Directa</w:t>
      </w:r>
      <w:r>
        <w:rPr>
          <w:spacing w:val="6"/>
          <w:sz w:val="19"/>
        </w:rPr>
        <w:t> </w:t>
      </w:r>
      <w:r>
        <w:rPr>
          <w:spacing w:val="-4"/>
          <w:sz w:val="19"/>
        </w:rPr>
        <w:t>(+)</w:t>
      </w:r>
    </w:p>
    <w:p>
      <w:pPr>
        <w:tabs>
          <w:tab w:pos="6381" w:val="left" w:leader="none"/>
        </w:tabs>
        <w:spacing w:before="83"/>
        <w:ind w:left="145" w:right="507" w:firstLine="0"/>
        <w:jc w:val="left"/>
        <w:rPr>
          <w:sz w:val="19"/>
        </w:rPr>
      </w:pPr>
      <w:r>
        <w:rPr/>
        <w:pict>
          <v:group style="position:absolute;margin-left:85.421303pt;margin-top:17.537064pt;width:402.3pt;height:.75pt;mso-position-horizontal-relative:page;mso-position-vertical-relative:paragraph;z-index:4648;mso-wrap-distance-left:0;mso-wrap-distance-right:0" coordorigin="1708,351" coordsize="8046,15">
            <v:line style="position:absolute" from="1723,358" to="9739,358" stroked="true" strokeweight=".748918pt" strokecolor="#000000"/>
            <v:line style="position:absolute" from="1716,358" to="9746,358" stroked="true" strokeweight=".748918pt" strokecolor="#000000"/>
            <w10:wrap type="topAndBottom"/>
          </v:group>
        </w:pict>
      </w:r>
      <w:r>
        <w:rPr>
          <w:spacing w:val="2"/>
          <w:w w:val="105"/>
          <w:sz w:val="19"/>
        </w:rPr>
        <w:t>Choques </w:t>
      </w:r>
      <w:r>
        <w:rPr>
          <w:w w:val="105"/>
          <w:sz w:val="19"/>
        </w:rPr>
        <w:t>propios </w:t>
      </w:r>
      <w:r>
        <w:rPr>
          <w:spacing w:val="2"/>
          <w:w w:val="105"/>
          <w:sz w:val="19"/>
        </w:rPr>
        <w:t>del</w:t>
      </w:r>
      <w:r>
        <w:rPr>
          <w:spacing w:val="-20"/>
          <w:w w:val="105"/>
          <w:sz w:val="19"/>
        </w:rPr>
        <w:t> </w:t>
      </w:r>
      <w:r>
        <w:rPr>
          <w:spacing w:val="2"/>
          <w:w w:val="105"/>
          <w:sz w:val="19"/>
        </w:rPr>
        <w:t>gas</w:t>
      </w:r>
      <w:r>
        <w:rPr>
          <w:w w:val="105"/>
          <w:sz w:val="19"/>
        </w:rPr>
        <w:t> </w:t>
      </w:r>
      <w:r>
        <w:rPr>
          <w:spacing w:val="2"/>
          <w:w w:val="105"/>
          <w:sz w:val="19"/>
        </w:rPr>
        <w:t>natural</w:t>
        <w:tab/>
      </w:r>
      <w:r>
        <w:rPr>
          <w:sz w:val="19"/>
        </w:rPr>
        <w:t>Directa</w:t>
      </w:r>
      <w:r>
        <w:rPr>
          <w:spacing w:val="6"/>
          <w:sz w:val="19"/>
        </w:rPr>
        <w:t> </w:t>
      </w:r>
      <w:r>
        <w:rPr>
          <w:spacing w:val="-4"/>
          <w:sz w:val="19"/>
        </w:rPr>
        <w:t>(+)</w:t>
      </w:r>
    </w:p>
    <w:p>
      <w:pPr>
        <w:spacing w:before="0"/>
        <w:ind w:left="102" w:right="507" w:firstLine="0"/>
        <w:jc w:val="left"/>
        <w:rPr>
          <w:sz w:val="20"/>
        </w:rPr>
      </w:pPr>
      <w:r>
        <w:rPr>
          <w:sz w:val="20"/>
        </w:rPr>
        <w:t>Fuente: Elaboración propia</w:t>
      </w:r>
    </w:p>
    <w:p>
      <w:pPr>
        <w:pStyle w:val="BodyText"/>
        <w:spacing w:before="1"/>
      </w:pPr>
    </w:p>
    <w:p>
      <w:pPr>
        <w:pStyle w:val="ListParagraph"/>
        <w:numPr>
          <w:ilvl w:val="0"/>
          <w:numId w:val="11"/>
        </w:numPr>
        <w:tabs>
          <w:tab w:pos="419" w:val="left" w:leader="none"/>
        </w:tabs>
        <w:spacing w:line="360" w:lineRule="auto" w:before="0" w:after="0"/>
        <w:ind w:left="102" w:right="2786" w:firstLine="0"/>
        <w:jc w:val="left"/>
        <w:rPr>
          <w:i/>
          <w:sz w:val="24"/>
        </w:rPr>
      </w:pPr>
      <w:r>
        <w:rPr>
          <w:i/>
          <w:sz w:val="24"/>
        </w:rPr>
        <w:t>Precios del petróleo y su influencia en la demanda internacional </w:t>
      </w:r>
      <w:r>
        <w:rPr>
          <w:i/>
          <w:sz w:val="24"/>
        </w:rPr>
        <w:t>[relación mixta (+)/</w:t>
      </w:r>
      <w:r>
        <w:rPr>
          <w:i/>
          <w:spacing w:val="-6"/>
          <w:sz w:val="24"/>
        </w:rPr>
        <w:t> </w:t>
      </w:r>
      <w:r>
        <w:rPr>
          <w:i/>
          <w:spacing w:val="-4"/>
          <w:sz w:val="24"/>
        </w:rPr>
        <w:t>(-)]</w:t>
      </w:r>
    </w:p>
    <w:p>
      <w:pPr>
        <w:pStyle w:val="BodyText"/>
        <w:spacing w:line="362" w:lineRule="auto" w:before="4"/>
        <w:ind w:left="102" w:right="507" w:firstLine="707"/>
      </w:pPr>
      <w:r>
        <w:rPr/>
        <w:t>La influencia de los precios del petróleo se pueden situar desde dos contextos distintos sobre el crecimiento del PIB real de los países: economías exportadores netas de</w:t>
      </w:r>
    </w:p>
    <w:p>
      <w:pPr>
        <w:spacing w:after="0" w:line="362" w:lineRule="auto"/>
        <w:sectPr>
          <w:type w:val="continuous"/>
          <w:pgSz w:w="12250" w:h="15850"/>
          <w:pgMar w:top="1500" w:bottom="280" w:left="1600" w:right="1200"/>
        </w:sectPr>
      </w:pPr>
    </w:p>
    <w:p>
      <w:pPr>
        <w:pStyle w:val="BodyText"/>
        <w:spacing w:line="360" w:lineRule="auto" w:before="50"/>
        <w:ind w:left="102" w:right="99"/>
        <w:jc w:val="both"/>
      </w:pPr>
      <w:r>
        <w:rPr/>
        <w:t>petróleo y economías importadoras netas (Sánchez &amp; Vargas, 2005). En el primer tipo de economías, un choque positivo del precio del petróleo implica un impacto directo en la balanza comercial y por ende un efecto positivo en el crecimiento económico (Mora, 2008; González &amp; Mesa, 2007; Perilla, 2009).</w:t>
      </w:r>
    </w:p>
    <w:p>
      <w:pPr>
        <w:pStyle w:val="BodyText"/>
        <w:spacing w:line="360" w:lineRule="auto" w:before="6"/>
        <w:ind w:left="102" w:right="99" w:firstLine="707"/>
        <w:jc w:val="both"/>
      </w:pPr>
      <w:r>
        <w:rPr/>
        <w:t>Por el lado de economías importadoras netas de petróleo, un </w:t>
      </w:r>
      <w:r>
        <w:rPr>
          <w:i/>
        </w:rPr>
        <w:t>choque </w:t>
      </w:r>
      <w:r>
        <w:rPr/>
        <w:t>positivo en el precio, afectaría negativamente en el crecimiento del PIB real, mediante dos vías: por  medio del incremento de las importaciones (aumento de saldo negativo de la balanza comercial) y un impacto negativo en la producción industrial (Marte &amp; Villanueva, 2007). Asimismo, algunas investigaciones han encontrado que los choques de precios del petróleo afectan en mayor medida a las economías desarrolladas en comparación de las economías en vías de desarrollo (Galesi &amp; Lombardi, 2009; Cavalcanti, et al., 2010; Santiago, et al., 2011), la sugerencia es que las economías desarrolladas son más intensivas en capital y con mayor sensibilidad en los costos de producción</w:t>
      </w:r>
      <w:r>
        <w:rPr>
          <w:spacing w:val="-7"/>
        </w:rPr>
        <w:t> </w:t>
      </w:r>
      <w:r>
        <w:rPr/>
        <w:t>industrial.</w:t>
      </w:r>
    </w:p>
    <w:p>
      <w:pPr>
        <w:pStyle w:val="BodyText"/>
      </w:pPr>
    </w:p>
    <w:p>
      <w:pPr>
        <w:pStyle w:val="ListParagraph"/>
        <w:numPr>
          <w:ilvl w:val="0"/>
          <w:numId w:val="11"/>
        </w:numPr>
        <w:tabs>
          <w:tab w:pos="568" w:val="left" w:leader="none"/>
        </w:tabs>
        <w:spacing w:line="360" w:lineRule="auto" w:before="143" w:after="0"/>
        <w:ind w:left="102" w:right="103" w:firstLine="0"/>
        <w:jc w:val="both"/>
        <w:rPr>
          <w:i/>
          <w:sz w:val="24"/>
        </w:rPr>
      </w:pPr>
      <w:r>
        <w:rPr>
          <w:i/>
          <w:sz w:val="24"/>
        </w:rPr>
        <w:t>Relación entre el incremento de la demanda internacional y la tasa de interés </w:t>
      </w:r>
      <w:r>
        <w:rPr>
          <w:i/>
          <w:sz w:val="24"/>
        </w:rPr>
        <w:t>internacional [relación directa</w:t>
      </w:r>
      <w:r>
        <w:rPr>
          <w:i/>
          <w:spacing w:val="-6"/>
          <w:sz w:val="24"/>
        </w:rPr>
        <w:t> </w:t>
      </w:r>
      <w:r>
        <w:rPr>
          <w:i/>
          <w:sz w:val="24"/>
        </w:rPr>
        <w:t>(+)].</w:t>
      </w:r>
    </w:p>
    <w:p>
      <w:pPr>
        <w:pStyle w:val="BodyText"/>
        <w:spacing w:line="360" w:lineRule="auto" w:before="6"/>
        <w:ind w:left="102" w:right="100" w:firstLine="707"/>
        <w:jc w:val="both"/>
      </w:pPr>
      <w:r>
        <w:rPr/>
        <w:t>Partiendo desde una simple economía, un incremento en la demanda agregada provocaría un incremento en los precios de los bienes y servicios, por lo cual, lo bancos centrales con el fin de controlar la inflación, realizarían operaciones de mercado abierto de venta títulos, por ello, una perturbación positiva en la demanda agregada conllevaría a un incremento de las tasas de interés. Adicionalmente, en contextos de desaceleración económica, las autoridades económicas, estimularían  la economía mediante disminución  de la tasa de interés (política monetaria) con el fin de promover la inversión y el consumo privado. Consecuentemente, la demanda agregada internacional estaría directamente relacionada con las tasas de interés (Taylor &amp; Speaker,</w:t>
      </w:r>
      <w:r>
        <w:rPr>
          <w:spacing w:val="-11"/>
        </w:rPr>
        <w:t> </w:t>
      </w:r>
      <w:r>
        <w:rPr/>
        <w:t>2008).</w:t>
      </w:r>
    </w:p>
    <w:p>
      <w:pPr>
        <w:pStyle w:val="BodyText"/>
      </w:pPr>
    </w:p>
    <w:p>
      <w:pPr>
        <w:pStyle w:val="ListParagraph"/>
        <w:numPr>
          <w:ilvl w:val="0"/>
          <w:numId w:val="11"/>
        </w:numPr>
        <w:tabs>
          <w:tab w:pos="443" w:val="left" w:leader="none"/>
        </w:tabs>
        <w:spacing w:line="360" w:lineRule="auto" w:before="143" w:after="0"/>
        <w:ind w:left="102" w:right="104" w:firstLine="0"/>
        <w:jc w:val="both"/>
        <w:rPr>
          <w:i/>
          <w:sz w:val="24"/>
        </w:rPr>
      </w:pPr>
      <w:r>
        <w:rPr>
          <w:i/>
          <w:sz w:val="24"/>
        </w:rPr>
        <w:t>Relación entre la tasa de interés internacional y el tipo de cambio nominal (valor del </w:t>
      </w:r>
      <w:r>
        <w:rPr>
          <w:i/>
          <w:sz w:val="24"/>
        </w:rPr>
        <w:t>dólar) [relación directa</w:t>
      </w:r>
      <w:r>
        <w:rPr>
          <w:i/>
          <w:spacing w:val="-4"/>
          <w:sz w:val="24"/>
        </w:rPr>
        <w:t> </w:t>
      </w:r>
      <w:r>
        <w:rPr>
          <w:i/>
          <w:sz w:val="24"/>
        </w:rPr>
        <w:t>(+)].</w:t>
      </w:r>
    </w:p>
    <w:p>
      <w:pPr>
        <w:pStyle w:val="BodyText"/>
        <w:spacing w:line="360" w:lineRule="auto" w:before="4"/>
        <w:ind w:left="102" w:right="102" w:firstLine="707"/>
        <w:jc w:val="both"/>
      </w:pPr>
      <w:r>
        <w:rPr/>
        <w:t>El punto anterior consideró que un incremento en la demanda agregada  internacional provocaría un incremento de los precios internos, lo cual conllevaría       </w:t>
      </w:r>
      <w:r>
        <w:rPr>
          <w:spacing w:val="51"/>
        </w:rPr>
        <w:t> </w:t>
      </w:r>
      <w:r>
        <w:rPr/>
        <w:t>a un</w:t>
      </w:r>
    </w:p>
    <w:p>
      <w:pPr>
        <w:spacing w:after="0" w:line="360" w:lineRule="auto"/>
        <w:jc w:val="both"/>
        <w:sectPr>
          <w:pgSz w:w="12250" w:h="15850"/>
          <w:pgMar w:header="0" w:footer="1037" w:top="1360" w:bottom="1220" w:left="1600" w:right="1600"/>
        </w:sectPr>
      </w:pPr>
    </w:p>
    <w:p>
      <w:pPr>
        <w:pStyle w:val="BodyText"/>
        <w:spacing w:line="360" w:lineRule="auto" w:before="55"/>
        <w:ind w:left="122" w:right="115"/>
        <w:jc w:val="both"/>
      </w:pPr>
      <w:r>
        <w:rPr/>
        <w:t>aumento de la tasa de interés, ahora, considerándose al efecto Fisher</w:t>
      </w:r>
      <w:r>
        <w:rPr>
          <w:position w:val="11"/>
          <w:sz w:val="16"/>
        </w:rPr>
        <w:t>37</w:t>
      </w:r>
      <w:r>
        <w:rPr/>
        <w:t>, un incremento en la expectativa inflacionaria provocaría un aumento de la tasas de interés y una depreciación del tipo de cambio (relación directa) (Basurto &amp; Ghosh, 2001; Furman &amp; Stiglitz, 1998). El anterior argumento, estaría relacionado con la paridad del poder compra (PPP) y arbitraje  de tasas de interés, la cual señala una relación directa entre la tasa de interés y el tipo de cambio:</w:t>
      </w:r>
    </w:p>
    <w:p>
      <w:pPr>
        <w:pStyle w:val="BodyText"/>
        <w:tabs>
          <w:tab w:pos="2399" w:val="left" w:leader="none"/>
        </w:tabs>
        <w:spacing w:before="8"/>
        <w:ind w:left="707"/>
        <w:jc w:val="center"/>
      </w:pPr>
      <w:r>
        <w:rPr>
          <w:rFonts w:ascii="Cambria Math"/>
          <w:w w:val="216"/>
        </w:rPr>
        <w:t> </w:t>
      </w:r>
      <w:r>
        <w:rPr>
          <w:rFonts w:ascii="Cambria Math"/>
          <w:spacing w:val="20"/>
        </w:rPr>
        <w:t> </w:t>
      </w:r>
      <w:r>
        <w:rPr>
          <w:rFonts w:ascii="Cambria Math"/>
          <w:w w:val="339"/>
        </w:rPr>
        <w:t> </w:t>
      </w:r>
      <w:r>
        <w:rPr>
          <w:rFonts w:ascii="Cambria Math"/>
          <w:spacing w:val="12"/>
        </w:rPr>
        <w:t> </w:t>
      </w:r>
      <w:r>
        <w:rPr>
          <w:rFonts w:ascii="Cambria Math"/>
          <w:spacing w:val="12"/>
          <w:w w:val="216"/>
        </w:rPr>
        <w:t> </w:t>
      </w:r>
      <w:r>
        <w:rPr>
          <w:rFonts w:ascii="Cambria Math"/>
          <w:w w:val="219"/>
          <w:position w:val="9"/>
          <w:sz w:val="17"/>
        </w:rPr>
        <w:t> </w:t>
      </w:r>
      <w:r>
        <w:rPr>
          <w:rFonts w:ascii="Cambria Math"/>
          <w:position w:val="9"/>
          <w:sz w:val="17"/>
        </w:rPr>
        <w:t> </w:t>
      </w:r>
      <w:r>
        <w:rPr>
          <w:rFonts w:ascii="Cambria Math"/>
          <w:spacing w:val="-14"/>
          <w:position w:val="9"/>
          <w:sz w:val="17"/>
        </w:rPr>
        <w:t> </w:t>
      </w:r>
      <w:r>
        <w:rPr>
          <w:rFonts w:ascii="Cambria Math"/>
          <w:w w:val="339"/>
        </w:rPr>
        <w:t> </w:t>
      </w:r>
      <w:r>
        <w:rPr>
          <w:rFonts w:ascii="Cambria Math"/>
        </w:rPr>
        <w:t> </w:t>
      </w:r>
      <w:r>
        <w:rPr>
          <w:rFonts w:ascii="Cambria Math"/>
          <w:w w:val="270"/>
        </w:rPr>
        <w:t> </w:t>
      </w:r>
      <w:r>
        <w:rPr>
          <w:rFonts w:ascii="Cambria Math"/>
          <w:w w:val="404"/>
        </w:rPr>
        <w:t> </w:t>
      </w:r>
      <w:r>
        <w:rPr>
          <w:rFonts w:ascii="Cambria Math"/>
          <w:w w:val="283"/>
        </w:rPr>
        <w:t> </w:t>
      </w:r>
      <w:r>
        <w:rPr>
          <w:rFonts w:ascii="Cambria Math"/>
        </w:rPr>
        <w:tab/>
      </w:r>
      <w:r>
        <w:rPr/>
        <w:t>(2.1)</w:t>
      </w:r>
    </w:p>
    <w:p>
      <w:pPr>
        <w:pStyle w:val="BodyText"/>
        <w:rPr>
          <w:sz w:val="26"/>
        </w:rPr>
      </w:pPr>
    </w:p>
    <w:p>
      <w:pPr>
        <w:pStyle w:val="BodyText"/>
        <w:spacing w:before="5"/>
        <w:rPr>
          <w:sz w:val="22"/>
        </w:rPr>
      </w:pPr>
    </w:p>
    <w:p>
      <w:pPr>
        <w:pStyle w:val="BodyText"/>
        <w:spacing w:line="360" w:lineRule="auto"/>
        <w:ind w:left="122" w:right="117" w:firstLine="707"/>
        <w:jc w:val="both"/>
      </w:pPr>
      <w:r>
        <w:rPr/>
        <w:t>A pesar de considerar a la tasa de interés de EEUU como la referencial  internacional. En este caso particular (por efecto de explicación), se considera a la tasa de la reserva</w:t>
      </w:r>
      <w:r>
        <w:rPr>
          <w:spacing w:val="19"/>
        </w:rPr>
        <w:t> </w:t>
      </w:r>
      <w:r>
        <w:rPr/>
        <w:t>federal</w:t>
      </w:r>
      <w:r>
        <w:rPr>
          <w:spacing w:val="20"/>
        </w:rPr>
        <w:t> </w:t>
      </w:r>
      <w:r>
        <w:rPr/>
        <w:t>(EEUU)</w:t>
      </w:r>
      <w:r>
        <w:rPr>
          <w:spacing w:val="21"/>
        </w:rPr>
        <w:t> </w:t>
      </w:r>
      <w:r>
        <w:rPr/>
        <w:t>como</w:t>
      </w:r>
      <w:r>
        <w:rPr>
          <w:spacing w:val="20"/>
        </w:rPr>
        <w:t> </w:t>
      </w:r>
      <w:r>
        <w:rPr/>
        <w:t>la</w:t>
      </w:r>
      <w:r>
        <w:rPr>
          <w:spacing w:val="19"/>
        </w:rPr>
        <w:t> </w:t>
      </w:r>
      <w:r>
        <w:rPr/>
        <w:t>tasa</w:t>
      </w:r>
      <w:r>
        <w:rPr>
          <w:spacing w:val="19"/>
        </w:rPr>
        <w:t> </w:t>
      </w:r>
      <w:r>
        <w:rPr/>
        <w:t>de</w:t>
      </w:r>
      <w:r>
        <w:rPr>
          <w:spacing w:val="19"/>
        </w:rPr>
        <w:t> </w:t>
      </w:r>
      <w:r>
        <w:rPr/>
        <w:t>interés</w:t>
      </w:r>
      <w:r>
        <w:rPr>
          <w:spacing w:val="23"/>
        </w:rPr>
        <w:t> </w:t>
      </w:r>
      <w:r>
        <w:rPr/>
        <w:t>nacional</w:t>
      </w:r>
      <w:r>
        <w:rPr>
          <w:spacing w:val="20"/>
        </w:rPr>
        <w:t> </w:t>
      </w:r>
      <w:r>
        <w:rPr/>
        <w:t>(</w:t>
      </w:r>
      <w:r>
        <w:rPr>
          <w:i/>
        </w:rPr>
        <w:t>r</w:t>
      </w:r>
      <w:r>
        <w:rPr/>
        <w:t>);</w:t>
      </w:r>
      <w:r>
        <w:rPr>
          <w:spacing w:val="20"/>
        </w:rPr>
        <w:t> </w:t>
      </w:r>
      <w:r>
        <w:rPr>
          <w:i/>
        </w:rPr>
        <w:t>r*</w:t>
      </w:r>
      <w:r>
        <w:rPr>
          <w:i/>
          <w:spacing w:val="20"/>
        </w:rPr>
        <w:t> </w:t>
      </w:r>
      <w:r>
        <w:rPr>
          <w:i/>
        </w:rPr>
        <w:t>representa</w:t>
      </w:r>
      <w:r>
        <w:rPr>
          <w:i/>
          <w:spacing w:val="21"/>
        </w:rPr>
        <w:t> </w:t>
      </w:r>
      <w:r>
        <w:rPr/>
        <w:t>el</w:t>
      </w:r>
      <w:r>
        <w:rPr>
          <w:spacing w:val="20"/>
        </w:rPr>
        <w:t> </w:t>
      </w:r>
      <w:r>
        <w:rPr/>
        <w:t>resto</w:t>
      </w:r>
      <w:r>
        <w:rPr>
          <w:spacing w:val="21"/>
        </w:rPr>
        <w:t> </w:t>
      </w:r>
      <w:r>
        <w:rPr/>
        <w:t>de</w:t>
      </w:r>
      <w:r>
        <w:rPr>
          <w:spacing w:val="19"/>
        </w:rPr>
        <w:t> </w:t>
      </w:r>
      <w:r>
        <w:rPr/>
        <w:t>las</w:t>
      </w:r>
    </w:p>
    <w:p>
      <w:pPr>
        <w:pStyle w:val="BodyText"/>
        <w:spacing w:line="360" w:lineRule="auto" w:before="6"/>
        <w:ind w:left="122" w:right="119"/>
        <w:jc w:val="both"/>
      </w:pPr>
      <w:r>
        <w:rPr>
          <w:w w:val="155"/>
        </w:rPr>
        <w:t>   </w:t>
      </w:r>
      <w:r>
        <w:rPr>
          <w:spacing w:val="-2"/>
          <w:w w:val="155"/>
        </w:rPr>
        <w:t> </w:t>
      </w:r>
      <w:r>
        <w:rPr>
          <w:w w:val="155"/>
        </w:rPr>
        <w:t> </w:t>
      </w:r>
      <w:r>
        <w:rPr>
          <w:spacing w:val="7"/>
        </w:rPr>
        <w:t> </w:t>
      </w:r>
      <w:r>
        <w:rPr>
          <w:w w:val="188"/>
        </w:rPr>
        <w:t>  </w:t>
      </w:r>
      <w:r>
        <w:rPr>
          <w:spacing w:val="6"/>
        </w:rPr>
        <w:t> </w:t>
      </w:r>
      <w:r>
        <w:rPr>
          <w:w w:val="140"/>
        </w:rPr>
        <w:t>   </w:t>
      </w:r>
      <w:r>
        <w:rPr>
          <w:spacing w:val="-1"/>
          <w:w w:val="177"/>
        </w:rPr>
        <w:t> </w:t>
      </w:r>
      <w:r>
        <w:rPr>
          <w:w w:val="155"/>
        </w:rPr>
        <w:t> </w:t>
      </w:r>
      <w:r>
        <w:rPr>
          <w:spacing w:val="-2"/>
          <w:w w:val="155"/>
        </w:rPr>
        <w:t> </w:t>
      </w:r>
      <w:r>
        <w:rPr>
          <w:w w:val="155"/>
        </w:rPr>
        <w:t> </w:t>
      </w:r>
      <w:r>
        <w:rPr>
          <w:spacing w:val="7"/>
        </w:rPr>
        <w:t> </w:t>
      </w:r>
      <w:r>
        <w:rPr>
          <w:w w:val="204"/>
        </w:rPr>
        <w:t>     </w:t>
      </w:r>
      <w:r>
        <w:rPr>
          <w:spacing w:val="-1"/>
          <w:w w:val="177"/>
        </w:rPr>
        <w:t> </w:t>
      </w:r>
      <w:r>
        <w:rPr>
          <w:w w:val="148"/>
        </w:rPr>
        <w:t>   </w:t>
      </w:r>
      <w:r>
        <w:rPr>
          <w:spacing w:val="6"/>
        </w:rPr>
        <w:t> </w:t>
      </w:r>
      <w:r>
        <w:rPr>
          <w:spacing w:val="1"/>
          <w:w w:val="133"/>
        </w:rPr>
        <w:t> </w:t>
      </w:r>
      <w:r>
        <w:rPr>
          <w:spacing w:val="-3"/>
          <w:w w:val="244"/>
        </w:rPr>
        <w:t> </w:t>
      </w:r>
      <w:r>
        <w:rPr>
          <w:spacing w:val="-4"/>
          <w:w w:val="105"/>
        </w:rPr>
        <w:t>I             </w:t>
      </w:r>
      <w:r>
        <w:rPr>
          <w:w w:val="105"/>
        </w:rPr>
        <w:t>O                     </w:t>
      </w:r>
      <w:r>
        <w:rPr>
          <w:spacing w:val="-4"/>
          <w:w w:val="105"/>
        </w:rPr>
        <w:t>I             </w:t>
      </w:r>
      <w:r>
        <w:rPr>
          <w:w w:val="105"/>
        </w:rPr>
        <w:t>O                    ;           ∆% tipo</w:t>
      </w:r>
      <w:r>
        <w:rPr>
          <w:spacing w:val="-26"/>
          <w:w w:val="105"/>
        </w:rPr>
        <w:t> </w:t>
      </w:r>
      <w:r>
        <w:rPr>
          <w:w w:val="105"/>
        </w:rPr>
        <w:t>de</w:t>
      </w:r>
      <w:r>
        <w:rPr>
          <w:spacing w:val="-27"/>
          <w:w w:val="105"/>
        </w:rPr>
        <w:t> </w:t>
      </w:r>
      <w:r>
        <w:rPr>
          <w:w w:val="105"/>
        </w:rPr>
        <w:t>cambio</w:t>
      </w:r>
      <w:r>
        <w:rPr>
          <w:spacing w:val="-26"/>
          <w:w w:val="105"/>
        </w:rPr>
        <w:t> </w:t>
      </w:r>
      <w:r>
        <w:rPr>
          <w:w w:val="105"/>
        </w:rPr>
        <w:t>(en</w:t>
      </w:r>
      <w:r>
        <w:rPr>
          <w:spacing w:val="-26"/>
          <w:w w:val="105"/>
        </w:rPr>
        <w:t> </w:t>
      </w:r>
      <w:r>
        <w:rPr>
          <w:w w:val="105"/>
        </w:rPr>
        <w:t>este</w:t>
      </w:r>
      <w:r>
        <w:rPr>
          <w:spacing w:val="-27"/>
          <w:w w:val="105"/>
        </w:rPr>
        <w:t> </w:t>
      </w:r>
      <w:r>
        <w:rPr>
          <w:w w:val="105"/>
        </w:rPr>
        <w:t>caso</w:t>
      </w:r>
      <w:r>
        <w:rPr>
          <w:spacing w:val="-26"/>
          <w:w w:val="105"/>
        </w:rPr>
        <w:t> </w:t>
      </w:r>
      <w:r>
        <w:rPr>
          <w:w w:val="105"/>
        </w:rPr>
        <w:t>la</w:t>
      </w:r>
      <w:r>
        <w:rPr>
          <w:spacing w:val="-27"/>
          <w:w w:val="105"/>
        </w:rPr>
        <w:t> </w:t>
      </w:r>
      <w:r>
        <w:rPr>
          <w:w w:val="105"/>
        </w:rPr>
        <w:t>variación</w:t>
      </w:r>
      <w:r>
        <w:rPr>
          <w:spacing w:val="-27"/>
          <w:w w:val="105"/>
        </w:rPr>
        <w:t> </w:t>
      </w:r>
      <w:r>
        <w:rPr>
          <w:w w:val="105"/>
        </w:rPr>
        <w:t>del</w:t>
      </w:r>
      <w:r>
        <w:rPr>
          <w:spacing w:val="-26"/>
          <w:w w:val="105"/>
        </w:rPr>
        <w:t> </w:t>
      </w:r>
      <w:r>
        <w:rPr>
          <w:w w:val="105"/>
        </w:rPr>
        <w:t>dólar).</w:t>
      </w:r>
      <w:r>
        <w:rPr>
          <w:spacing w:val="-26"/>
          <w:w w:val="105"/>
        </w:rPr>
        <w:t> </w:t>
      </w:r>
      <w:r>
        <w:rPr>
          <w:w w:val="105"/>
        </w:rPr>
        <w:t>En</w:t>
      </w:r>
      <w:r>
        <w:rPr>
          <w:spacing w:val="-26"/>
          <w:w w:val="105"/>
        </w:rPr>
        <w:t> </w:t>
      </w:r>
      <w:r>
        <w:rPr>
          <w:w w:val="105"/>
        </w:rPr>
        <w:t>concordancia,</w:t>
      </w:r>
      <w:r>
        <w:rPr>
          <w:spacing w:val="-26"/>
          <w:w w:val="105"/>
        </w:rPr>
        <w:t> </w:t>
      </w:r>
      <w:r>
        <w:rPr>
          <w:w w:val="105"/>
        </w:rPr>
        <w:t>si</w:t>
      </w:r>
      <w:r>
        <w:rPr>
          <w:spacing w:val="-26"/>
          <w:w w:val="105"/>
        </w:rPr>
        <w:t> </w:t>
      </w:r>
      <w:r>
        <w:rPr>
          <w:w w:val="105"/>
        </w:rPr>
        <w:t>la</w:t>
      </w:r>
      <w:r>
        <w:rPr>
          <w:spacing w:val="-25"/>
          <w:w w:val="105"/>
        </w:rPr>
        <w:t> </w:t>
      </w:r>
      <w:r>
        <w:rPr>
          <w:w w:val="105"/>
        </w:rPr>
        <w:t>tasa</w:t>
      </w:r>
      <w:r>
        <w:rPr>
          <w:spacing w:val="-27"/>
          <w:w w:val="105"/>
        </w:rPr>
        <w:t> </w:t>
      </w:r>
      <w:r>
        <w:rPr>
          <w:w w:val="105"/>
        </w:rPr>
        <w:t>de</w:t>
      </w:r>
      <w:r>
        <w:rPr>
          <w:spacing w:val="-25"/>
          <w:w w:val="105"/>
        </w:rPr>
        <w:t> </w:t>
      </w:r>
      <w:r>
        <w:rPr>
          <w:w w:val="105"/>
        </w:rPr>
        <w:t>interés</w:t>
      </w:r>
      <w:r>
        <w:rPr>
          <w:spacing w:val="-26"/>
          <w:w w:val="105"/>
        </w:rPr>
        <w:t> </w:t>
      </w:r>
      <w:r>
        <w:rPr>
          <w:w w:val="105"/>
        </w:rPr>
        <w:t>de EEUU  (r) se incrementa y es mayor que la tasa de interés internacional (r*), para  </w:t>
      </w:r>
      <w:r>
        <w:rPr>
          <w:spacing w:val="55"/>
          <w:w w:val="105"/>
        </w:rPr>
        <w:t> </w:t>
      </w:r>
      <w:r>
        <w:rPr>
          <w:w w:val="105"/>
        </w:rPr>
        <w:t>que</w:t>
      </w:r>
    </w:p>
    <w:p>
      <w:pPr>
        <w:pStyle w:val="BodyText"/>
        <w:spacing w:line="360" w:lineRule="auto" w:before="4"/>
        <w:ind w:left="122" w:right="124"/>
        <w:jc w:val="both"/>
      </w:pPr>
      <w:r>
        <w:rPr>
          <w:spacing w:val="-1"/>
          <w:w w:val="177"/>
        </w:rPr>
        <w:t> </w:t>
      </w:r>
      <w:r>
        <w:rPr>
          <w:spacing w:val="2"/>
          <w:w w:val="200"/>
        </w:rPr>
        <w:t> </w:t>
      </w:r>
      <w:r>
        <w:rPr>
          <w:w w:val="126"/>
        </w:rPr>
        <w:t>   </w:t>
      </w:r>
      <w:r>
        <w:rPr>
          <w:w w:val="177"/>
        </w:rPr>
        <w:t> </w:t>
      </w:r>
      <w:r>
        <w:rPr>
          <w:spacing w:val="15"/>
        </w:rPr>
        <w:t> </w:t>
      </w:r>
      <w:r>
        <w:rPr>
          <w:w w:val="144"/>
        </w:rPr>
        <w:t>  </w:t>
      </w:r>
      <w:r>
        <w:rPr>
          <w:spacing w:val="16"/>
        </w:rPr>
        <w:t> </w:t>
      </w:r>
      <w:r>
        <w:rPr>
          <w:w w:val="188"/>
        </w:rPr>
        <w:t> </w:t>
      </w:r>
      <w:r>
        <w:rPr>
          <w:spacing w:val="-1"/>
          <w:w w:val="188"/>
        </w:rPr>
        <w:t> </w:t>
      </w:r>
      <w:r>
        <w:rPr>
          <w:w w:val="155"/>
        </w:rPr>
        <w:t>   </w:t>
      </w:r>
      <w:r>
        <w:rPr>
          <w:spacing w:val="-2"/>
          <w:w w:val="155"/>
        </w:rPr>
        <w:t> </w:t>
      </w:r>
      <w:r>
        <w:rPr>
          <w:w w:val="200"/>
        </w:rPr>
        <w:t> </w:t>
      </w:r>
      <w:r>
        <w:rPr>
          <w:spacing w:val="16"/>
        </w:rPr>
        <w:t> </w:t>
      </w:r>
      <w:r>
        <w:rPr>
          <w:w w:val="188"/>
        </w:rPr>
        <w:t>  </w:t>
      </w:r>
      <w:r>
        <w:rPr>
          <w:spacing w:val="15"/>
        </w:rPr>
        <w:t> </w:t>
      </w:r>
      <w:r>
        <w:rPr>
          <w:w w:val="155"/>
        </w:rPr>
        <w:t>   </w:t>
      </w:r>
      <w:r>
        <w:rPr>
          <w:spacing w:val="-2"/>
          <w:w w:val="155"/>
        </w:rPr>
        <w:t> </w:t>
      </w:r>
      <w:r>
        <w:rPr>
          <w:w w:val="155"/>
        </w:rPr>
        <w:t> </w:t>
      </w:r>
      <w:r>
        <w:rPr>
          <w:spacing w:val="16"/>
        </w:rPr>
        <w:t> </w:t>
      </w:r>
      <w:r>
        <w:rPr>
          <w:w w:val="188"/>
        </w:rPr>
        <w:t>  </w:t>
      </w:r>
      <w:r>
        <w:rPr>
          <w:spacing w:val="15"/>
        </w:rPr>
        <w:t> </w:t>
      </w:r>
      <w:r>
        <w:rPr>
          <w:w w:val="140"/>
        </w:rPr>
        <w:t>   </w:t>
      </w:r>
      <w:r>
        <w:rPr>
          <w:spacing w:val="-1"/>
          <w:w w:val="177"/>
        </w:rPr>
        <w:t> </w:t>
      </w:r>
      <w:r>
        <w:rPr>
          <w:w w:val="155"/>
        </w:rPr>
        <w:t> </w:t>
      </w:r>
      <w:r>
        <w:rPr>
          <w:spacing w:val="-2"/>
          <w:w w:val="155"/>
        </w:rPr>
        <w:t> </w:t>
      </w:r>
      <w:r>
        <w:rPr>
          <w:w w:val="127"/>
        </w:rPr>
        <w:t>  </w:t>
      </w:r>
      <w:r>
        <w:rPr>
          <w:spacing w:val="16"/>
        </w:rPr>
        <w:t> </w:t>
      </w:r>
      <w:r>
        <w:rPr>
          <w:w w:val="188"/>
        </w:rPr>
        <w:t> </w:t>
      </w:r>
      <w:r>
        <w:rPr>
          <w:spacing w:val="-1"/>
          <w:w w:val="188"/>
        </w:rPr>
        <w:t> </w:t>
      </w:r>
      <w:r>
        <w:rPr>
          <w:w w:val="188"/>
        </w:rPr>
        <w:t> </w:t>
      </w:r>
      <w:r>
        <w:rPr>
          <w:spacing w:val="-1"/>
          <w:w w:val="188"/>
        </w:rPr>
        <w:t> </w:t>
      </w:r>
      <w:r>
        <w:rPr>
          <w:spacing w:val="1"/>
          <w:w w:val="133"/>
        </w:rPr>
        <w:t> </w:t>
      </w:r>
      <w:r>
        <w:rPr>
          <w:w w:val="177"/>
        </w:rPr>
        <w:t> </w:t>
      </w:r>
      <w:r>
        <w:rPr>
          <w:spacing w:val="15"/>
        </w:rPr>
        <w:t> </w:t>
      </w:r>
      <w:r>
        <w:rPr>
          <w:spacing w:val="-1"/>
          <w:w w:val="177"/>
        </w:rPr>
        <w:t> </w:t>
      </w:r>
      <w:r>
        <w:rPr>
          <w:spacing w:val="2"/>
          <w:w w:val="200"/>
        </w:rPr>
        <w:t> </w:t>
      </w:r>
      <w:r>
        <w:rPr>
          <w:w w:val="126"/>
        </w:rPr>
        <w:t>   </w:t>
      </w:r>
      <w:r>
        <w:rPr>
          <w:spacing w:val="-2"/>
          <w:w w:val="111"/>
        </w:rPr>
        <w:t> </w:t>
      </w:r>
      <w:r>
        <w:rPr>
          <w:w w:val="133"/>
        </w:rPr>
        <w:t> </w:t>
      </w:r>
      <w:r>
        <w:rPr>
          <w:spacing w:val="15"/>
        </w:rPr>
        <w:t> </w:t>
      </w:r>
      <w:r>
        <w:rPr>
          <w:w w:val="192"/>
        </w:rPr>
        <w:t>   </w:t>
      </w:r>
      <w:r>
        <w:rPr>
          <w:spacing w:val="15"/>
        </w:rPr>
        <w:t> </w:t>
      </w:r>
      <w:r>
        <w:rPr>
          <w:w w:val="188"/>
        </w:rPr>
        <w:t> </w:t>
      </w:r>
      <w:r>
        <w:rPr>
          <w:spacing w:val="-1"/>
          <w:w w:val="188"/>
        </w:rPr>
        <w:t> </w:t>
      </w:r>
      <w:r>
        <w:rPr>
          <w:w w:val="166"/>
        </w:rPr>
        <w:t> </w:t>
      </w:r>
      <w:r>
        <w:rPr>
          <w:spacing w:val="-1"/>
          <w:w w:val="166"/>
        </w:rPr>
        <w:t> </w:t>
      </w:r>
      <w:r>
        <w:rPr>
          <w:spacing w:val="1"/>
          <w:w w:val="177"/>
        </w:rPr>
        <w:t> </w:t>
      </w:r>
      <w:r>
        <w:rPr>
          <w:spacing w:val="-1"/>
          <w:w w:val="177"/>
        </w:rPr>
        <w:t> </w:t>
      </w:r>
      <w:r>
        <w:rPr>
          <w:w w:val="155"/>
        </w:rPr>
        <w:t>  </w:t>
      </w:r>
      <w:r>
        <w:rPr>
          <w:spacing w:val="-2"/>
          <w:w w:val="155"/>
        </w:rPr>
        <w:t> </w:t>
      </w:r>
      <w:r>
        <w:rPr>
          <w:w w:val="170"/>
        </w:rPr>
        <w:t>   </w:t>
      </w:r>
      <w:r>
        <w:rPr>
          <w:spacing w:val="17"/>
        </w:rPr>
        <w:t> </w:t>
      </w:r>
      <w:r>
        <w:rPr>
          <w:w w:val="188"/>
        </w:rPr>
        <w:t> </w:t>
      </w:r>
      <w:r>
        <w:rPr>
          <w:spacing w:val="-1"/>
          <w:w w:val="188"/>
        </w:rPr>
        <w:t> </w:t>
      </w:r>
      <w:r>
        <w:rPr>
          <w:w w:val="111"/>
        </w:rPr>
        <w:t> </w:t>
      </w:r>
      <w:r>
        <w:rPr>
          <w:spacing w:val="17"/>
        </w:rPr>
        <w:t> </w:t>
      </w:r>
      <w:r>
        <w:rPr>
          <w:spacing w:val="2"/>
          <w:w w:val="200"/>
        </w:rPr>
        <w:t> </w:t>
      </w:r>
      <w:r>
        <w:rPr>
          <w:w w:val="155"/>
        </w:rPr>
        <w:t>    </w:t>
      </w:r>
      <w:r>
        <w:rPr>
          <w:spacing w:val="15"/>
        </w:rPr>
        <w:t> </w:t>
      </w:r>
      <w:r>
        <w:rPr>
          <w:w w:val="109"/>
        </w:rPr>
        <w:t> </w:t>
      </w:r>
      <w:r>
        <w:rPr/>
        <w:t>∆%   menos un incremento de la tasa de interés internacional), en consecuencia se asumirá una causalidad directa entre ambas</w:t>
      </w:r>
      <w:r>
        <w:rPr>
          <w:spacing w:val="-10"/>
        </w:rPr>
        <w:t> </w:t>
      </w:r>
      <w:r>
        <w:rPr/>
        <w:t>variables.</w:t>
      </w:r>
    </w:p>
    <w:p>
      <w:pPr>
        <w:pStyle w:val="BodyText"/>
      </w:pPr>
    </w:p>
    <w:p>
      <w:pPr>
        <w:pStyle w:val="ListParagraph"/>
        <w:numPr>
          <w:ilvl w:val="0"/>
          <w:numId w:val="11"/>
        </w:numPr>
        <w:tabs>
          <w:tab w:pos="439" w:val="left" w:leader="none"/>
        </w:tabs>
        <w:spacing w:line="360" w:lineRule="auto" w:before="143" w:after="0"/>
        <w:ind w:left="182" w:right="2404" w:hanging="60"/>
        <w:jc w:val="left"/>
        <w:rPr>
          <w:i/>
          <w:sz w:val="24"/>
        </w:rPr>
      </w:pPr>
      <w:r>
        <w:rPr>
          <w:i/>
          <w:sz w:val="24"/>
        </w:rPr>
        <w:t>Relación entre el valor del dólar y precio de las materias primas </w:t>
      </w:r>
      <w:r>
        <w:rPr>
          <w:i/>
          <w:sz w:val="24"/>
        </w:rPr>
        <w:t>[relación inversa</w:t>
      </w:r>
      <w:r>
        <w:rPr>
          <w:i/>
          <w:spacing w:val="-4"/>
          <w:sz w:val="24"/>
        </w:rPr>
        <w:t> </w:t>
      </w:r>
      <w:r>
        <w:rPr>
          <w:i/>
          <w:sz w:val="24"/>
        </w:rPr>
        <w:t>(-)].</w:t>
      </w:r>
    </w:p>
    <w:p>
      <w:pPr>
        <w:pStyle w:val="BodyText"/>
        <w:spacing w:line="360" w:lineRule="auto" w:before="6"/>
        <w:ind w:left="122" w:right="120" w:firstLine="707"/>
        <w:jc w:val="both"/>
      </w:pPr>
      <w:r>
        <w:rPr/>
        <w:t>En esta situación se parte de la ley de un solo precio para bienes transables (Larraín &amp; Sachs, 2002):</w:t>
      </w:r>
    </w:p>
    <w:p>
      <w:pPr>
        <w:pStyle w:val="BodyText"/>
        <w:tabs>
          <w:tab w:pos="4730" w:val="left" w:leader="none"/>
        </w:tabs>
        <w:spacing w:before="8"/>
        <w:ind w:left="2954" w:right="115"/>
      </w:pPr>
      <w:r>
        <w:rPr>
          <w:rFonts w:ascii="Cambria Math"/>
          <w:w w:val="281"/>
        </w:rPr>
        <w:t> </w:t>
      </w:r>
      <w:r>
        <w:rPr>
          <w:rFonts w:ascii="Cambria Math"/>
          <w:spacing w:val="19"/>
        </w:rPr>
        <w:t> </w:t>
      </w:r>
      <w:r>
        <w:rPr>
          <w:rFonts w:ascii="Cambria Math"/>
          <w:w w:val="339"/>
        </w:rPr>
        <w:t> </w:t>
      </w:r>
      <w:r>
        <w:rPr>
          <w:rFonts w:ascii="Cambria Math"/>
          <w:spacing w:val="15"/>
        </w:rPr>
        <w:t> </w:t>
      </w:r>
      <w:r>
        <w:rPr>
          <w:rFonts w:ascii="Cambria Math"/>
          <w:w w:val="225"/>
        </w:rPr>
        <w:t> </w:t>
      </w:r>
      <w:r>
        <w:rPr>
          <w:rFonts w:ascii="Cambria Math"/>
        </w:rPr>
        <w:t>  </w:t>
      </w:r>
      <w:r>
        <w:rPr>
          <w:rFonts w:ascii="Cambria Math"/>
          <w:spacing w:val="5"/>
        </w:rPr>
        <w:t> </w:t>
      </w:r>
      <w:r>
        <w:rPr>
          <w:rFonts w:ascii="Cambria Math"/>
          <w:spacing w:val="4"/>
          <w:w w:val="281"/>
        </w:rPr>
        <w:t> </w:t>
      </w:r>
      <w:r>
        <w:rPr>
          <w:rFonts w:ascii="Cambria Math"/>
          <w:w w:val="219"/>
          <w:position w:val="9"/>
          <w:sz w:val="17"/>
        </w:rPr>
        <w:t> </w:t>
      </w:r>
      <w:r>
        <w:rPr>
          <w:rFonts w:ascii="Cambria Math"/>
          <w:position w:val="9"/>
          <w:sz w:val="17"/>
        </w:rPr>
        <w:tab/>
      </w:r>
      <w:r>
        <w:rPr/>
        <w:t>(2.2)</w:t>
      </w:r>
    </w:p>
    <w:p>
      <w:pPr>
        <w:pStyle w:val="BodyText"/>
        <w:spacing w:line="360" w:lineRule="auto" w:before="144"/>
        <w:ind w:left="122" w:right="117" w:firstLine="707"/>
        <w:jc w:val="both"/>
      </w:pPr>
      <w:r>
        <w:rPr/>
        <w:t>Donde los precios de las materias primas de productos nacionales (P) están conectados con el precio internacional de materias primas (P*) a través del tipo de cambio (</w:t>
      </w:r>
      <w:r>
        <w:rPr>
          <w:i/>
        </w:rPr>
        <w:t>e</w:t>
      </w:r>
      <w:r>
        <w:rPr/>
        <w:t>). Luego, si se asume que la moneda extranjera es el dólar (dado que los mercados internacionales son cotizados predominantemente en esta moneda), una apreciación del dólar (</w:t>
      </w:r>
      <w:r>
        <w:rPr>
          <w:i/>
        </w:rPr>
        <w:t>e </w:t>
      </w:r>
      <w:r>
        <w:rPr/>
        <w:t>sube) debería estar compensado con una disminución del precio internacional de las  materias  primas  con  el  fin  de  mantener  la  paridad  de  poder  de  compra     </w:t>
      </w:r>
      <w:r>
        <w:rPr>
          <w:spacing w:val="36"/>
        </w:rPr>
        <w:t> </w:t>
      </w:r>
      <w:r>
        <w:rPr/>
        <w:t>(PPP).</w:t>
      </w:r>
    </w:p>
    <w:p>
      <w:pPr>
        <w:pStyle w:val="BodyText"/>
        <w:spacing w:before="7"/>
        <w:rPr>
          <w:sz w:val="12"/>
        </w:rPr>
      </w:pPr>
      <w:r>
        <w:rPr/>
        <w:pict>
          <v:line style="position:absolute;mso-position-horizontal-relative:page;mso-position-vertical-relative:paragraph;z-index:5056;mso-wrap-distance-left:0;mso-wrap-distance-right:0" from="85.103996pt,9.539776pt" to="229.123996pt,9.539776pt" stroked="true" strokeweight=".599980pt" strokecolor="#000000">
            <w10:wrap type="topAndBottom"/>
          </v:line>
        </w:pict>
      </w:r>
    </w:p>
    <w:p>
      <w:pPr>
        <w:spacing w:before="50"/>
        <w:ind w:left="122" w:right="126" w:firstLine="0"/>
        <w:jc w:val="both"/>
        <w:rPr>
          <w:sz w:val="20"/>
        </w:rPr>
      </w:pPr>
      <w:r>
        <w:rPr>
          <w:position w:val="9"/>
          <w:sz w:val="13"/>
        </w:rPr>
        <w:t>37 </w:t>
      </w:r>
      <w:r>
        <w:rPr>
          <w:sz w:val="20"/>
        </w:rPr>
        <w:t>El efecto Fisher considera que la depreciación de una moneda nacional, en términos de una extranjera, se mueve uno a uno en relación con las expectativas inflacionarias, atribuido  a la  hipótesis de Irvin  Fisher (1930) (Boudoukh, et al., 1994, p. 1595)</w:t>
      </w:r>
    </w:p>
    <w:p>
      <w:pPr>
        <w:spacing w:after="0"/>
        <w:jc w:val="both"/>
        <w:rPr>
          <w:sz w:val="20"/>
        </w:rPr>
        <w:sectPr>
          <w:pgSz w:w="12250" w:h="15850"/>
          <w:pgMar w:header="0" w:footer="1037" w:top="1320" w:bottom="1220" w:left="1580" w:right="1580"/>
        </w:sectPr>
      </w:pPr>
    </w:p>
    <w:p>
      <w:pPr>
        <w:pStyle w:val="BodyText"/>
        <w:spacing w:line="360" w:lineRule="auto" w:before="50"/>
        <w:ind w:left="102" w:right="120"/>
        <w:jc w:val="both"/>
      </w:pPr>
      <w:r>
        <w:rPr/>
        <w:t>Paralelamente, una depreciación del dólar representaría una caída en la demanda de las materias primas y por consiguiente en el precio de la materia prima (relación inversa). Seguidamente, considerándose que los precios de las materias primas son fijados en mercados financieros, una apreciación del dólar desplazaría capitales hacia activos financieros de esta moneda, disminuyendo la demanda en inversiones de materias primas y reduciendo sus precios cotizados en bolsa.</w:t>
      </w:r>
    </w:p>
    <w:p>
      <w:pPr>
        <w:pStyle w:val="BodyText"/>
      </w:pPr>
    </w:p>
    <w:p>
      <w:pPr>
        <w:pStyle w:val="ListParagraph"/>
        <w:numPr>
          <w:ilvl w:val="0"/>
          <w:numId w:val="11"/>
        </w:numPr>
        <w:tabs>
          <w:tab w:pos="558" w:val="left" w:leader="none"/>
        </w:tabs>
        <w:spacing w:line="362" w:lineRule="auto" w:before="143" w:after="0"/>
        <w:ind w:left="102" w:right="117" w:firstLine="0"/>
        <w:jc w:val="both"/>
        <w:rPr>
          <w:i/>
          <w:sz w:val="24"/>
        </w:rPr>
      </w:pPr>
      <w:r>
        <w:rPr>
          <w:i/>
          <w:sz w:val="24"/>
        </w:rPr>
        <w:t>Relación entre los precios de las materias primas y el precio del gas natural </w:t>
      </w:r>
      <w:r>
        <w:rPr>
          <w:i/>
          <w:sz w:val="24"/>
        </w:rPr>
        <w:t>[causalidad directa</w:t>
      </w:r>
      <w:r>
        <w:rPr>
          <w:i/>
          <w:spacing w:val="-13"/>
          <w:sz w:val="24"/>
        </w:rPr>
        <w:t> </w:t>
      </w:r>
      <w:r>
        <w:rPr>
          <w:i/>
          <w:sz w:val="24"/>
        </w:rPr>
        <w:t>(+)]</w:t>
      </w:r>
    </w:p>
    <w:p>
      <w:pPr>
        <w:pStyle w:val="BodyText"/>
        <w:spacing w:line="360" w:lineRule="auto" w:before="1"/>
        <w:ind w:left="102" w:right="120" w:firstLine="707"/>
        <w:jc w:val="both"/>
      </w:pPr>
      <w:r>
        <w:rPr>
          <w:w w:val="105"/>
        </w:rPr>
        <w:t>En esta situación, se considera que el precio del gas natural es una materia prima adicional a las existentes. Tomando en cuenta la demostración del modelo de equilibrio general  con base en la existenc                                                                                 </w:t>
      </w:r>
      <w:r>
        <w:rPr>
          <w:w w:val="75"/>
        </w:rPr>
        <w:t>―    </w:t>
      </w:r>
      <w:r>
        <w:rPr>
          <w:w w:val="220"/>
        </w:rPr>
        <w:t>‖</w:t>
      </w:r>
    </w:p>
    <w:p>
      <w:pPr>
        <w:pStyle w:val="BodyText"/>
        <w:spacing w:line="360" w:lineRule="auto" w:before="6"/>
        <w:ind w:left="102" w:right="118"/>
        <w:jc w:val="both"/>
      </w:pPr>
      <w:r>
        <w:rPr>
          <w:w w:val="166"/>
        </w:rPr>
        <w:t>  </w:t>
      </w:r>
      <w:r>
        <w:rPr>
          <w:w w:val="194"/>
        </w:rPr>
        <w:t>    </w:t>
      </w:r>
      <w:r>
        <w:rPr>
          <w:w w:val="155"/>
        </w:rPr>
        <w:t>   </w:t>
      </w:r>
      <w:r>
        <w:rPr/>
        <w:t> </w:t>
      </w:r>
      <w:r>
        <w:rPr>
          <w:w w:val="133"/>
        </w:rPr>
        <w:t> </w:t>
      </w:r>
      <w:r>
        <w:rPr>
          <w:w w:val="177"/>
        </w:rPr>
        <w:t> </w:t>
      </w:r>
      <w:r>
        <w:rPr>
          <w:w w:val="168"/>
        </w:rPr>
        <w:t>       </w:t>
      </w:r>
      <w:r>
        <w:rPr>
          <w:w w:val="162"/>
        </w:rPr>
        <w:t>   </w:t>
      </w:r>
      <w:r>
        <w:rPr/>
        <w:t> </w:t>
      </w:r>
      <w:r>
        <w:rPr>
          <w:w w:val="177"/>
        </w:rPr>
        <w:t> </w:t>
      </w:r>
      <w:r>
        <w:rPr>
          <w:w w:val="111"/>
        </w:rPr>
        <w:t> </w:t>
      </w:r>
      <w:r>
        <w:rPr/>
        <w:t> </w:t>
      </w:r>
      <w:r>
        <w:rPr>
          <w:w w:val="140"/>
        </w:rPr>
        <w:t>   </w:t>
      </w:r>
      <w:r>
        <w:rPr>
          <w:w w:val="177"/>
        </w:rPr>
        <w:t> </w:t>
      </w:r>
      <w:r>
        <w:rPr>
          <w:w w:val="111"/>
        </w:rPr>
        <w:t> </w:t>
      </w:r>
      <w:r>
        <w:rPr/>
        <w:t> </w:t>
      </w:r>
      <w:r>
        <w:rPr>
          <w:w w:val="188"/>
        </w:rPr>
        <w:t>  </w:t>
      </w:r>
      <w:r>
        <w:rPr/>
        <w:t> </w:t>
      </w:r>
      <w:r>
        <w:rPr>
          <w:w w:val="194"/>
        </w:rPr>
        <w:t>    </w:t>
      </w:r>
      <w:r>
        <w:rPr>
          <w:w w:val="140"/>
        </w:rPr>
        <w:t>   </w:t>
      </w:r>
      <w:r>
        <w:rPr>
          <w:w w:val="155"/>
        </w:rPr>
        <w:t> </w:t>
      </w:r>
      <w:r>
        <w:rPr/>
        <w:t> </w:t>
      </w:r>
      <w:r>
        <w:rPr>
          <w:w w:val="166"/>
        </w:rPr>
        <w:t>  </w:t>
      </w:r>
      <w:r>
        <w:rPr>
          <w:w w:val="211"/>
        </w:rPr>
        <w:t>  </w:t>
      </w:r>
      <w:r>
        <w:rPr>
          <w:w w:val="177"/>
        </w:rPr>
        <w:t> </w:t>
      </w:r>
      <w:r>
        <w:rPr>
          <w:w w:val="144"/>
        </w:rPr>
        <w:t>  </w:t>
      </w:r>
      <w:r>
        <w:rPr/>
        <w:t>   </w:t>
      </w:r>
      <w:r>
        <w:rPr>
          <w:w w:val="177"/>
        </w:rPr>
        <w:t> </w:t>
      </w:r>
      <w:r>
        <w:rPr>
          <w:w w:val="111"/>
        </w:rPr>
        <w:t> </w:t>
      </w:r>
      <w:r>
        <w:rPr/>
        <w:t> </w:t>
      </w:r>
      <w:r>
        <w:rPr>
          <w:w w:val="140"/>
        </w:rPr>
        <w:t>   </w:t>
      </w:r>
      <w:r>
        <w:rPr>
          <w:w w:val="211"/>
        </w:rPr>
        <w:t>  </w:t>
      </w:r>
      <w:r>
        <w:rPr>
          <w:w w:val="200"/>
        </w:rPr>
        <w:t> </w:t>
      </w:r>
      <w:r>
        <w:rPr/>
        <w:t> </w:t>
      </w:r>
      <w:r>
        <w:rPr>
          <w:w w:val="166"/>
        </w:rPr>
        <w:t>  </w:t>
      </w:r>
      <w:r>
        <w:rPr>
          <w:w w:val="194"/>
        </w:rPr>
        <w:t>    </w:t>
      </w:r>
      <w:r>
        <w:rPr>
          <w:w w:val="155"/>
        </w:rPr>
        <w:t>  </w:t>
      </w:r>
      <w:r>
        <w:rPr/>
        <w:t> </w:t>
      </w:r>
      <w:r>
        <w:rPr>
          <w:w w:val="85"/>
        </w:rPr>
        <w:t>―               </w:t>
      </w:r>
      <w:r>
        <w:rPr/>
        <w:t>-           </w:t>
      </w:r>
      <w:r>
        <w:rPr>
          <w:w w:val="150"/>
        </w:rPr>
        <w:t>‖ </w:t>
      </w:r>
      <w:r>
        <w:rPr/>
        <w:t>el gas natural) quedaría ajustado a las materias primas restantes (Koutsoyanis, 2002, pp. 622-624). Lo anterior significa que el precio del gas natural estaría en concordancia directa al comportamiento de precios de las materias primas existentes.</w:t>
      </w:r>
    </w:p>
    <w:p>
      <w:pPr>
        <w:pStyle w:val="BodyText"/>
      </w:pPr>
    </w:p>
    <w:p>
      <w:pPr>
        <w:pStyle w:val="Heading5"/>
        <w:spacing w:before="148"/>
        <w:ind w:left="810"/>
        <w:rPr>
          <w:i/>
        </w:rPr>
      </w:pPr>
      <w:r>
        <w:rPr>
          <w:i/>
        </w:rPr>
        <w:t>Deducción teórica de diversas perturbaciones en el precio del gas natural</w:t>
      </w:r>
    </w:p>
    <w:p>
      <w:pPr>
        <w:pStyle w:val="BodyText"/>
        <w:spacing w:line="360" w:lineRule="auto" w:before="134"/>
        <w:ind w:left="102" w:right="122" w:firstLine="707"/>
        <w:jc w:val="both"/>
      </w:pPr>
      <w:r>
        <w:rPr/>
        <w:t>En función de los puntos anteriores, se infiere teóricamente la relación entre las diversas variables consideradas y el precio del gas natural.</w:t>
      </w:r>
    </w:p>
    <w:p>
      <w:pPr>
        <w:pStyle w:val="BodyText"/>
      </w:pPr>
    </w:p>
    <w:p>
      <w:pPr>
        <w:pStyle w:val="ListParagraph"/>
        <w:numPr>
          <w:ilvl w:val="0"/>
          <w:numId w:val="12"/>
        </w:numPr>
        <w:tabs>
          <w:tab w:pos="407" w:val="left" w:leader="none"/>
        </w:tabs>
        <w:spacing w:line="240" w:lineRule="auto" w:before="143" w:after="0"/>
        <w:ind w:left="406" w:right="0" w:hanging="304"/>
        <w:jc w:val="both"/>
        <w:rPr>
          <w:i/>
          <w:sz w:val="24"/>
        </w:rPr>
      </w:pPr>
      <w:r>
        <w:rPr>
          <w:i/>
          <w:sz w:val="24"/>
        </w:rPr>
        <w:t>El precio del petróleo y el precio del gas natural (relación</w:t>
      </w:r>
      <w:r>
        <w:rPr>
          <w:i/>
          <w:spacing w:val="-5"/>
          <w:sz w:val="24"/>
        </w:rPr>
        <w:t> </w:t>
      </w:r>
      <w:r>
        <w:rPr>
          <w:i/>
          <w:sz w:val="24"/>
        </w:rPr>
        <w:t>directa)</w:t>
      </w:r>
    </w:p>
    <w:p>
      <w:pPr>
        <w:pStyle w:val="BodyText"/>
        <w:spacing w:line="360" w:lineRule="auto" w:before="139"/>
        <w:ind w:left="102" w:right="118" w:firstLine="707"/>
        <w:jc w:val="both"/>
      </w:pPr>
      <w:r>
        <w:rPr/>
        <w:t>Unidireccionalmente el precio del petróleo tiene una causalidad directa sobre el precio del gas debido a la indexación de precios de gas natural frente a precios del petróleo y al ser bienes sustitutos dentro del proceso productivo, como en el consumo residencial (Mohammadi, 2011; Brown &amp; Yücel, 2008; Saif, 2006; Asche, et al., 2006; Josse &amp; Neumann,</w:t>
      </w:r>
      <w:r>
        <w:rPr>
          <w:spacing w:val="-5"/>
        </w:rPr>
        <w:t> </w:t>
      </w:r>
      <w:r>
        <w:rPr/>
        <w:t>2006).</w:t>
      </w:r>
    </w:p>
    <w:p>
      <w:pPr>
        <w:pStyle w:val="BodyText"/>
        <w:spacing w:line="360" w:lineRule="auto" w:before="6"/>
        <w:ind w:left="102" w:right="118" w:firstLine="707"/>
        <w:jc w:val="both"/>
      </w:pPr>
      <w:r>
        <w:rPr/>
        <w:t>Paralelamente, mediante mecanismos de transmisión también se puede inferir una relación positiva entre ambas variables, debido a que un incremento del precio del petróleo, impactaría en doble sentido sobre la demanda internacional (crec. del PIB real): de forma directa  en  economías  exportadoras  netas  de  petróleo  y  negativamente  en     economías</w:t>
      </w:r>
    </w:p>
    <w:p>
      <w:pPr>
        <w:spacing w:after="0" w:line="360" w:lineRule="auto"/>
        <w:jc w:val="both"/>
        <w:sectPr>
          <w:pgSz w:w="12250" w:h="15850"/>
          <w:pgMar w:header="0" w:footer="1037" w:top="1360" w:bottom="1220" w:left="1600" w:right="1580"/>
        </w:sectPr>
      </w:pPr>
    </w:p>
    <w:p>
      <w:pPr>
        <w:pStyle w:val="BodyText"/>
        <w:spacing w:line="360" w:lineRule="auto" w:before="50"/>
        <w:ind w:left="122" w:right="122"/>
        <w:jc w:val="both"/>
      </w:pPr>
      <w:r>
        <w:rPr/>
        <w:t>importadoras netas de petróleo, además un incremento en el precio del petróleo, afectaría inversamente en la tasa de interés, lo cual conllevaría a una depreciación del dólar. Dado que los mercados de materias primas están cotizados mayormente en dólares, una disminución en el precio de esa divisa fomentaría a un incremento en la demanda de las materias primas no petroleras y por consiguiente un incremento en el precio del gas natural.</w:t>
      </w:r>
    </w:p>
    <w:p>
      <w:pPr>
        <w:pStyle w:val="BodyText"/>
      </w:pPr>
    </w:p>
    <w:p>
      <w:pPr>
        <w:pStyle w:val="ListParagraph"/>
        <w:numPr>
          <w:ilvl w:val="0"/>
          <w:numId w:val="12"/>
        </w:numPr>
        <w:tabs>
          <w:tab w:pos="379" w:val="left" w:leader="none"/>
        </w:tabs>
        <w:spacing w:line="240" w:lineRule="auto" w:before="143" w:after="0"/>
        <w:ind w:left="378" w:right="0" w:hanging="256"/>
        <w:jc w:val="both"/>
        <w:rPr>
          <w:i/>
          <w:sz w:val="24"/>
        </w:rPr>
      </w:pPr>
      <w:r>
        <w:rPr>
          <w:i/>
          <w:sz w:val="24"/>
        </w:rPr>
        <w:t>La demanda  internacional y el precio del gas natural (relación</w:t>
      </w:r>
      <w:r>
        <w:rPr>
          <w:i/>
          <w:spacing w:val="-4"/>
          <w:sz w:val="24"/>
        </w:rPr>
        <w:t> </w:t>
      </w:r>
      <w:r>
        <w:rPr>
          <w:i/>
          <w:sz w:val="24"/>
        </w:rPr>
        <w:t>directa)</w:t>
      </w:r>
    </w:p>
    <w:p>
      <w:pPr>
        <w:pStyle w:val="BodyText"/>
        <w:spacing w:line="360" w:lineRule="auto" w:before="137"/>
        <w:ind w:left="122" w:right="120" w:firstLine="707"/>
        <w:jc w:val="both"/>
      </w:pPr>
      <w:r>
        <w:rPr/>
        <w:t>En la medida que exista un incremento en la demanda agregada internacional se favorecería a los precios de las materias primas y en consecuencia el precio del gas natural se ajustaría al comportamiento de precios de los </w:t>
      </w:r>
      <w:r>
        <w:rPr>
          <w:i/>
        </w:rPr>
        <w:t>commodities </w:t>
      </w:r>
      <w:r>
        <w:rPr/>
        <w:t>restantes (ecuación redundante). De forma contraria, una desaceleración económica internacional, afectaría en una caída de los precios de los </w:t>
      </w:r>
      <w:r>
        <w:rPr>
          <w:i/>
        </w:rPr>
        <w:t>commodities  </w:t>
      </w:r>
      <w:r>
        <w:rPr/>
        <w:t>(Jones &amp; Ocampo, 2009).</w:t>
      </w:r>
    </w:p>
    <w:p>
      <w:pPr>
        <w:pStyle w:val="BodyText"/>
      </w:pPr>
    </w:p>
    <w:p>
      <w:pPr>
        <w:pStyle w:val="ListParagraph"/>
        <w:numPr>
          <w:ilvl w:val="0"/>
          <w:numId w:val="12"/>
        </w:numPr>
        <w:tabs>
          <w:tab w:pos="367" w:val="left" w:leader="none"/>
        </w:tabs>
        <w:spacing w:line="240" w:lineRule="auto" w:before="143" w:after="0"/>
        <w:ind w:left="366" w:right="0" w:hanging="244"/>
        <w:jc w:val="both"/>
        <w:rPr>
          <w:i/>
          <w:sz w:val="24"/>
        </w:rPr>
      </w:pPr>
      <w:r>
        <w:rPr>
          <w:i/>
          <w:sz w:val="24"/>
        </w:rPr>
        <w:t>La tasa de interés internacional  y el precio del gas natural (relación</w:t>
      </w:r>
      <w:r>
        <w:rPr>
          <w:i/>
          <w:spacing w:val="-8"/>
          <w:sz w:val="24"/>
        </w:rPr>
        <w:t> </w:t>
      </w:r>
      <w:r>
        <w:rPr>
          <w:i/>
          <w:sz w:val="24"/>
        </w:rPr>
        <w:t>directa)</w:t>
      </w:r>
    </w:p>
    <w:p>
      <w:pPr>
        <w:pStyle w:val="BodyText"/>
        <w:spacing w:line="360" w:lineRule="auto" w:before="139"/>
        <w:ind w:left="122" w:right="116" w:firstLine="707"/>
        <w:jc w:val="both"/>
      </w:pPr>
      <w:r>
        <w:rPr/>
        <w:t>Desde el punto de vista del mecanismo de transmisión, un incremento en la tasa de interés (en este caso la tasa de la reserva federal) provocaría una depreciación del dólar, incrementándose el precio de las materias primas y por consiguiente impactándose directamente en el precio del gas natural. Paralelamente, si se considera que la tasa de interés representa el costo del capital, y considerándose que el capital es un factor productivo para la exploración y explotación del gas natural, un incremento en la tasa de interés conllevaría a un incremento de los costos de producción. Luego si se asume que las empresas productoras del gas natural, tienen cierto poder de mercado en la fijación de precios, por lo cual dichos precios estarían en función de los costos de producción (Sylos-</w:t>
      </w:r>
    </w:p>
    <w:p>
      <w:pPr>
        <w:pStyle w:val="BodyText"/>
        <w:spacing w:line="281" w:lineRule="exact"/>
        <w:ind w:left="122"/>
        <w:jc w:val="both"/>
      </w:pPr>
      <w:r>
        <w:rPr/>
        <w:t>Labini, 1962; Modigiliani, 1958; Bhagwati, 1970)</w:t>
      </w:r>
      <w:r>
        <w:rPr>
          <w:position w:val="11"/>
          <w:sz w:val="16"/>
        </w:rPr>
        <w:t>38</w:t>
      </w:r>
      <w:r>
        <w:rPr/>
        <w:t>, un incremento en la tasa de interés</w:t>
      </w:r>
    </w:p>
    <w:p>
      <w:pPr>
        <w:pStyle w:val="BodyText"/>
        <w:spacing w:line="360" w:lineRule="auto" w:before="137"/>
        <w:ind w:left="122" w:right="121"/>
        <w:jc w:val="both"/>
      </w:pPr>
      <w:r>
        <w:rPr/>
        <w:t>conllevaría a un aumento en los costos de producción y consecuentemente a un incremento del nivel de precios.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2"/>
        </w:rPr>
      </w:pPr>
      <w:r>
        <w:rPr/>
        <w:pict>
          <v:line style="position:absolute;mso-position-horizontal-relative:page;mso-position-vertical-relative:paragraph;z-index:5080;mso-wrap-distance-left:0;mso-wrap-distance-right:0" from="85.103996pt,14.924664pt" to="229.123996pt,14.924664pt" stroked="true" strokeweight=".599980pt" strokecolor="#000000">
            <w10:wrap type="topAndBottom"/>
          </v:line>
        </w:pict>
      </w:r>
    </w:p>
    <w:p>
      <w:pPr>
        <w:spacing w:before="50"/>
        <w:ind w:left="122" w:right="129" w:firstLine="0"/>
        <w:jc w:val="both"/>
        <w:rPr>
          <w:sz w:val="20"/>
        </w:rPr>
      </w:pPr>
      <w:r>
        <w:rPr>
          <w:position w:val="9"/>
          <w:sz w:val="13"/>
        </w:rPr>
        <w:t>38 </w:t>
      </w:r>
      <w:r>
        <w:rPr>
          <w:sz w:val="20"/>
        </w:rPr>
        <w:t>Estos autores realizan una crítica a la fijación de precios en base al criterio marginalista (Ingreso marginal = Costo marginal). En consecuencia, la fijación de precios se basa en el costo medio más un determinado margen de beneficio.</w:t>
      </w:r>
    </w:p>
    <w:p>
      <w:pPr>
        <w:spacing w:after="0"/>
        <w:jc w:val="both"/>
        <w:rPr>
          <w:sz w:val="20"/>
        </w:rPr>
        <w:sectPr>
          <w:pgSz w:w="12250" w:h="15850"/>
          <w:pgMar w:header="0" w:footer="1037" w:top="1360" w:bottom="1220" w:left="1580" w:right="1580"/>
        </w:sectPr>
      </w:pPr>
    </w:p>
    <w:p>
      <w:pPr>
        <w:pStyle w:val="ListParagraph"/>
        <w:numPr>
          <w:ilvl w:val="0"/>
          <w:numId w:val="12"/>
        </w:numPr>
        <w:tabs>
          <w:tab w:pos="379" w:val="left" w:leader="none"/>
        </w:tabs>
        <w:spacing w:line="240" w:lineRule="auto" w:before="50" w:after="0"/>
        <w:ind w:left="378" w:right="0" w:hanging="256"/>
        <w:jc w:val="left"/>
        <w:rPr>
          <w:i/>
          <w:sz w:val="24"/>
        </w:rPr>
      </w:pPr>
      <w:r>
        <w:rPr>
          <w:i/>
          <w:sz w:val="24"/>
        </w:rPr>
        <w:t>El valor del dólar y el precio del gas natural (relación</w:t>
      </w:r>
      <w:r>
        <w:rPr>
          <w:i/>
          <w:spacing w:val="-7"/>
          <w:sz w:val="24"/>
        </w:rPr>
        <w:t> </w:t>
      </w:r>
      <w:r>
        <w:rPr>
          <w:i/>
          <w:sz w:val="24"/>
        </w:rPr>
        <w:t>inversa)</w:t>
      </w:r>
    </w:p>
    <w:p>
      <w:pPr>
        <w:pStyle w:val="BodyText"/>
        <w:spacing w:line="360" w:lineRule="auto" w:before="137"/>
        <w:ind w:left="122" w:right="117" w:firstLine="707"/>
        <w:jc w:val="both"/>
      </w:pPr>
      <w:r>
        <w:rPr/>
        <w:t>Las evidencias empíricas han demostrado que en la media que se aprecia el dólar disminuye el precio del gas natural (Galkovskaya, 2011; Krichene, 2005). Lo anterior se fundamenta a partir que los mercados internacionales cotizan en dólares americanos y una apreciación de esta moneda provocaría una caída en la demanda del </w:t>
      </w:r>
      <w:r>
        <w:rPr>
          <w:i/>
        </w:rPr>
        <w:t>commodities </w:t>
      </w:r>
      <w:r>
        <w:rPr/>
        <w:t>y por consiguiente una caída en el precio del gas natural.</w:t>
      </w:r>
    </w:p>
    <w:p>
      <w:pPr>
        <w:pStyle w:val="BodyText"/>
      </w:pPr>
    </w:p>
    <w:p>
      <w:pPr>
        <w:pStyle w:val="ListParagraph"/>
        <w:numPr>
          <w:ilvl w:val="0"/>
          <w:numId w:val="12"/>
        </w:numPr>
        <w:tabs>
          <w:tab w:pos="367" w:val="left" w:leader="none"/>
        </w:tabs>
        <w:spacing w:line="240" w:lineRule="auto" w:before="143" w:after="0"/>
        <w:ind w:left="366" w:right="0" w:hanging="244"/>
        <w:jc w:val="left"/>
        <w:rPr>
          <w:i/>
          <w:sz w:val="24"/>
        </w:rPr>
      </w:pPr>
      <w:r>
        <w:rPr>
          <w:i/>
          <w:sz w:val="24"/>
        </w:rPr>
        <w:t>El precio de las materias primas y el precio del gas natural (relación</w:t>
      </w:r>
      <w:r>
        <w:rPr>
          <w:i/>
          <w:spacing w:val="-10"/>
          <w:sz w:val="24"/>
        </w:rPr>
        <w:t> </w:t>
      </w:r>
      <w:r>
        <w:rPr>
          <w:i/>
          <w:sz w:val="24"/>
        </w:rPr>
        <w:t>directa)</w:t>
      </w:r>
    </w:p>
    <w:p>
      <w:pPr>
        <w:pStyle w:val="BodyText"/>
        <w:spacing w:line="360" w:lineRule="auto" w:before="140"/>
        <w:ind w:left="122" w:right="125" w:firstLine="707"/>
        <w:jc w:val="both"/>
      </w:pPr>
      <w:r>
        <w:rPr/>
        <w:t>Se mantiene la explicación teórica previa, en la cual se sostuvo que el precio  del  gas natural al ser una materia prima adicional se ajustaría en la misma dirección al precio  de los </w:t>
      </w:r>
      <w:r>
        <w:rPr>
          <w:i/>
        </w:rPr>
        <w:t>commodities </w:t>
      </w:r>
      <w:r>
        <w:rPr/>
        <w:t>restantes (ecuación redundante del modelo de equilibrio</w:t>
      </w:r>
      <w:r>
        <w:rPr>
          <w:spacing w:val="-13"/>
        </w:rPr>
        <w:t> </w:t>
      </w:r>
      <w:r>
        <w:rPr/>
        <w:t>general)</w:t>
      </w:r>
    </w:p>
    <w:p>
      <w:pPr>
        <w:pStyle w:val="BodyText"/>
      </w:pPr>
    </w:p>
    <w:p>
      <w:pPr>
        <w:pStyle w:val="ListParagraph"/>
        <w:numPr>
          <w:ilvl w:val="0"/>
          <w:numId w:val="12"/>
        </w:numPr>
        <w:tabs>
          <w:tab w:pos="327" w:val="left" w:leader="none"/>
        </w:tabs>
        <w:spacing w:line="240" w:lineRule="auto" w:before="143" w:after="0"/>
        <w:ind w:left="326" w:right="0" w:hanging="204"/>
        <w:jc w:val="left"/>
        <w:rPr>
          <w:i/>
          <w:sz w:val="24"/>
        </w:rPr>
      </w:pPr>
      <w:r>
        <w:rPr>
          <w:i/>
          <w:sz w:val="24"/>
        </w:rPr>
        <w:t>El precio internacional del gas natural y sus propias innovaciones (relación</w:t>
      </w:r>
      <w:r>
        <w:rPr>
          <w:i/>
          <w:spacing w:val="-7"/>
          <w:sz w:val="24"/>
        </w:rPr>
        <w:t> </w:t>
      </w:r>
      <w:r>
        <w:rPr>
          <w:i/>
          <w:sz w:val="24"/>
        </w:rPr>
        <w:t>directa)</w:t>
      </w:r>
    </w:p>
    <w:p>
      <w:pPr>
        <w:pStyle w:val="BodyText"/>
        <w:spacing w:line="360" w:lineRule="auto" w:before="137"/>
        <w:ind w:left="122" w:right="117" w:firstLine="707"/>
        <w:jc w:val="both"/>
      </w:pPr>
      <w:r>
        <w:rPr/>
        <w:t>En la medida que exista un crecimiento del mercado del gas natural, y por consiguiente existan efectos positivos del gas natural estos influirían directamente sobre sí mismos.</w:t>
      </w:r>
    </w:p>
    <w:p>
      <w:pPr>
        <w:pStyle w:val="Heading5"/>
        <w:spacing w:before="8"/>
        <w:ind w:left="830" w:right="115"/>
        <w:rPr>
          <w:i/>
        </w:rPr>
      </w:pPr>
      <w:r>
        <w:rPr>
          <w:i/>
        </w:rPr>
        <w:t>Apreciación de relaciones empíricas</w:t>
      </w:r>
    </w:p>
    <w:p>
      <w:pPr>
        <w:pStyle w:val="BodyText"/>
        <w:spacing w:before="9"/>
        <w:rPr>
          <w:b/>
          <w:i/>
          <w:sz w:val="23"/>
        </w:rPr>
      </w:pPr>
    </w:p>
    <w:p>
      <w:pPr>
        <w:pStyle w:val="BodyText"/>
        <w:spacing w:line="360" w:lineRule="auto"/>
        <w:ind w:left="122" w:right="118" w:firstLine="707"/>
        <w:jc w:val="both"/>
      </w:pPr>
      <w:r>
        <w:rPr/>
        <w:t>Los variables utilizadas permiten la posibilidad de examinar la relación existente entre los precios del petróleo y los precios del gas natural: unidireccional o mediante mecanismos alternativos de explicación durante períodos trimestrales que abarcan desde 1992(I) hasta 2011 (IV).</w:t>
      </w:r>
    </w:p>
    <w:p>
      <w:pPr>
        <w:pStyle w:val="BodyText"/>
        <w:spacing w:line="350" w:lineRule="auto" w:before="6"/>
        <w:ind w:left="122" w:right="119" w:firstLine="707"/>
        <w:jc w:val="both"/>
        <w:rPr>
          <w:sz w:val="16"/>
        </w:rPr>
      </w:pPr>
      <w:r>
        <w:rPr/>
        <w:t>Para el precio del gas natural, se utiliza un índice de precios internacionales del gas natural, que es un simple promedio de tres precios: </w:t>
      </w:r>
      <w:r>
        <w:rPr>
          <w:i/>
        </w:rPr>
        <w:t>Henry Hub </w:t>
      </w:r>
      <w:r>
        <w:rPr/>
        <w:t>(EEUU), el precio de gas natural ruso (RUS) y el precio del gas natural japonés (JAP) en base a  información recabada del Fondo Monetario Internacional (FMI).</w:t>
      </w:r>
      <w:r>
        <w:rPr>
          <w:position w:val="11"/>
          <w:sz w:val="16"/>
        </w:rPr>
        <w:t>39</w:t>
      </w:r>
    </w:p>
    <w:p>
      <w:pPr>
        <w:spacing w:line="360" w:lineRule="auto" w:before="0"/>
        <w:ind w:left="122" w:right="118" w:firstLine="707"/>
        <w:jc w:val="both"/>
        <w:rPr>
          <w:sz w:val="24"/>
        </w:rPr>
      </w:pPr>
      <w:r>
        <w:rPr/>
        <w:pict>
          <v:line style="position:absolute;mso-position-horizontal-relative:page;mso-position-vertical-relative:paragraph;z-index:5104;mso-wrap-distance-left:0;mso-wrap-distance-right:0" from="85.103996pt,86.023132pt" to="229.123996pt,86.023132pt" stroked="true" strokeweight=".599980pt" strokecolor="#000000">
            <w10:wrap type="topAndBottom"/>
          </v:line>
        </w:pict>
      </w:r>
      <w:r>
        <w:rPr>
          <w:sz w:val="24"/>
        </w:rPr>
        <w:t>Se emplean cinco variables adicionales, con el fin de explicar el tipo de relación sobre precios del gas natural: (i) un índice mundial de precios del petróleo, que es un  simple promedio de tres precios </w:t>
      </w:r>
      <w:r>
        <w:rPr>
          <w:i/>
          <w:sz w:val="24"/>
        </w:rPr>
        <w:t>spot</w:t>
      </w:r>
      <w:r>
        <w:rPr>
          <w:sz w:val="24"/>
        </w:rPr>
        <w:t>: </w:t>
      </w:r>
      <w:r>
        <w:rPr>
          <w:i/>
          <w:sz w:val="24"/>
        </w:rPr>
        <w:t>West Texas Intermediate (EEUU) </w:t>
      </w:r>
      <w:r>
        <w:rPr>
          <w:sz w:val="24"/>
        </w:rPr>
        <w:t>, </w:t>
      </w:r>
      <w:r>
        <w:rPr>
          <w:i/>
          <w:sz w:val="24"/>
        </w:rPr>
        <w:t>Dated Brent </w:t>
      </w:r>
      <w:r>
        <w:rPr>
          <w:i/>
          <w:sz w:val="24"/>
        </w:rPr>
        <w:t>(Reino  Unido)</w:t>
      </w:r>
      <w:r>
        <w:rPr>
          <w:sz w:val="24"/>
        </w:rPr>
        <w:t>,   y </w:t>
      </w:r>
      <w:r>
        <w:rPr>
          <w:i/>
          <w:sz w:val="24"/>
        </w:rPr>
        <w:t>Dubai  Fateh  (Golfo  Pérsico)</w:t>
      </w:r>
      <w:r>
        <w:rPr>
          <w:sz w:val="24"/>
        </w:rPr>
        <w:t>;  (ii)</w:t>
      </w:r>
      <w:r>
        <w:rPr>
          <w:spacing w:val="22"/>
          <w:sz w:val="24"/>
        </w:rPr>
        <w:t> </w:t>
      </w:r>
      <w:r>
        <w:rPr>
          <w:sz w:val="24"/>
        </w:rPr>
        <w:t>la  tasa  de  crecimiento  económico</w:t>
      </w:r>
    </w:p>
    <w:p>
      <w:pPr>
        <w:spacing w:before="50"/>
        <w:ind w:left="122" w:right="129" w:firstLine="0"/>
        <w:jc w:val="both"/>
        <w:rPr>
          <w:sz w:val="20"/>
        </w:rPr>
      </w:pPr>
      <w:r>
        <w:rPr>
          <w:position w:val="9"/>
          <w:sz w:val="13"/>
        </w:rPr>
        <w:t>39 </w:t>
      </w:r>
      <w:r>
        <w:rPr>
          <w:sz w:val="20"/>
        </w:rPr>
        <w:t>Cabe resaltar que a finales del 2010, EEUU y RUS fueron los mayores productores de gas natural en el mundo, con una participación del 35% del total de la producción mundial (19 y 16% respectivamente, según registros de </w:t>
      </w:r>
      <w:r>
        <w:rPr>
          <w:i/>
          <w:sz w:val="20"/>
        </w:rPr>
        <w:t>U.S Energy Information Administration-EIA</w:t>
      </w:r>
      <w:r>
        <w:rPr>
          <w:sz w:val="20"/>
        </w:rPr>
        <w:t>).</w:t>
      </w:r>
    </w:p>
    <w:p>
      <w:pPr>
        <w:spacing w:after="0"/>
        <w:jc w:val="both"/>
        <w:rPr>
          <w:sz w:val="20"/>
        </w:rPr>
        <w:sectPr>
          <w:footerReference w:type="default" r:id="rId102"/>
          <w:pgSz w:w="12250" w:h="15850"/>
          <w:pgMar w:footer="1037" w:header="0" w:top="1360" w:bottom="1220" w:left="1580" w:right="1580"/>
          <w:pgNumType w:start="82"/>
        </w:sectPr>
      </w:pPr>
    </w:p>
    <w:p>
      <w:pPr>
        <w:pStyle w:val="BodyText"/>
        <w:spacing w:line="350" w:lineRule="auto" w:before="50"/>
        <w:ind w:left="122" w:right="114"/>
        <w:jc w:val="both"/>
      </w:pPr>
      <w:r>
        <w:rPr/>
        <w:t>internacional (PIB real), para ello se toma como referencia ocho países miembros del OECD</w:t>
      </w:r>
      <w:r>
        <w:rPr>
          <w:position w:val="11"/>
          <w:sz w:val="16"/>
        </w:rPr>
        <w:t>40</w:t>
      </w:r>
      <w:r>
        <w:rPr/>
        <w:t>; (iii) la tasa de interés efectiva de la reserva federal de EEUU como un </w:t>
      </w:r>
      <w:r>
        <w:rPr>
          <w:i/>
        </w:rPr>
        <w:t>proxy </w:t>
      </w:r>
      <w:r>
        <w:rPr/>
        <w:t>de la tasa de interés internacional (</w:t>
      </w:r>
      <w:r>
        <w:rPr>
          <w:i/>
        </w:rPr>
        <w:t>fedres</w:t>
      </w:r>
      <w:r>
        <w:rPr/>
        <w:t>); (iv) el índice de tipo de cambio nominal de EEUU (</w:t>
      </w:r>
      <w:r>
        <w:rPr>
          <w:i/>
        </w:rPr>
        <w:t>neer</w:t>
      </w:r>
      <w:r>
        <w:rPr/>
        <w:t>)</w:t>
      </w:r>
      <w:r>
        <w:rPr>
          <w:position w:val="11"/>
          <w:sz w:val="16"/>
        </w:rPr>
        <w:t>41</w:t>
      </w:r>
      <w:r>
        <w:rPr/>
        <w:t>, considerándose que un incremento del índice refleja una apreciación del dólar y viceversa; (v) un índice de precios mundiales de materias primas no petroleras que incluye </w:t>
      </w:r>
      <w:r>
        <w:rPr>
          <w:i/>
        </w:rPr>
        <w:t>commodities </w:t>
      </w:r>
      <w:r>
        <w:rPr/>
        <w:t>industriales, agrícolas y metales. El </w:t>
      </w:r>
      <w:r>
        <w:rPr>
          <w:i/>
        </w:rPr>
        <w:t>anexo 2.4 </w:t>
      </w:r>
      <w:r>
        <w:rPr/>
        <w:t>ofrece un detalle de las fuentes de consulta abordadas.</w:t>
      </w:r>
    </w:p>
    <w:p>
      <w:pPr>
        <w:pStyle w:val="BodyText"/>
        <w:spacing w:line="360" w:lineRule="auto" w:before="14"/>
        <w:ind w:left="122" w:right="121" w:firstLine="707"/>
        <w:jc w:val="both"/>
      </w:pPr>
      <w:r>
        <w:rPr/>
        <w:t>En la </w:t>
      </w:r>
      <w:r>
        <w:rPr>
          <w:i/>
        </w:rPr>
        <w:t>figura 2.6 </w:t>
      </w:r>
      <w:r>
        <w:rPr/>
        <w:t>se presentan seis gráficas de series de tiempo para todas  las variables de estudio, las cuales se expresan en escala logarítmica con excepción de la tasa de crecimiento del PIB real de la OECD. Se puede apreciar una tendencia creciente (de forma estocástica) para los precios del gas natural, del petróleo y de las materias primas, con caídas en torno a la recesión internacional reciente (2009). Asimismo, el tipo de cambio multilateral del dólar tendió a sufrir una depreciación, mientras que la tasa de interés tuvo una persistencia a la</w:t>
      </w:r>
      <w:r>
        <w:rPr>
          <w:spacing w:val="-4"/>
        </w:rPr>
        <w:t> </w:t>
      </w:r>
      <w:r>
        <w:rPr/>
        <w:t>baja.</w:t>
      </w:r>
    </w:p>
    <w:p>
      <w:pPr>
        <w:pStyle w:val="BodyText"/>
        <w:spacing w:before="6"/>
        <w:ind w:left="1718" w:right="115"/>
      </w:pPr>
      <w:r>
        <w:rPr/>
        <w:pict>
          <v:group style="position:absolute;margin-left:132.612534pt;margin-top:30.221045pt;width:390.9pt;height:183.4pt;mso-position-horizontal-relative:page;mso-position-vertical-relative:paragraph;z-index:5704" coordorigin="2652,604" coordsize="7818,3668">
            <v:line style="position:absolute" from="3091,741" to="3091,1888" stroked="true" strokeweight=".475614pt" strokecolor="#858585"/>
            <v:shape style="position:absolute;left:3054;top:1627;width:37;height:224" coordorigin="3054,1627" coordsize="37,224" path="m3054,1851l3091,1851m3054,1627l3091,1627e" filled="false" stroked="true" strokeweight=".465271pt" strokecolor="#858585">
              <v:path arrowok="t"/>
            </v:shape>
            <v:line style="position:absolute" from="3054,1412" to="3091,1412" stroked="true" strokeweight=".483881pt" strokecolor="#858585"/>
            <v:shape style="position:absolute;left:3054;top:741;width:1890;height:1111" coordorigin="3054,741" coordsize="1890,1111" path="m3054,1189l3091,1189m3054,965l3091,965m3054,741l3091,741m3091,1851l4943,1851e" filled="false" stroked="true" strokeweight=".465271pt" strokecolor="#858585">
              <v:path arrowok="t"/>
            </v:shape>
            <v:shape style="position:absolute;left:3271;top:1869;width:1503;height:2" coordorigin="3271,1869" coordsize="1503,0" path="m3271,1869l3280,1869m3464,1869l3473,1869m3649,1869l3658,1869m3833,1869l3842,1869m4017,1869l4026,1869m4211,1869l4220,1869m4395,1869l4404,1869m4579,1869l4589,1869m4764,1869l4773,1869e" filled="false" stroked="true" strokeweight="1.861082pt" strokecolor="#858585">
              <v:path arrowok="t"/>
            </v:shape>
            <v:shape style="position:absolute;left:3091;top:951;width:1860;height:909" coordorigin="3091,951" coordsize="1860,909" path="m3692,1799l3698,1809,3704,1820,3710,1831,3710,1831,3710,1832,3711,1833,3716,1841,3717,1841,3718,1842,3729,1855,3732,1857,3734,1858,3737,1858,3743,1860,3749,1860,3752,1858,3758,1855,3760,1853,3762,1852,3763,1848,3769,1838,3769,1837,3770,1836,3738,1836,3740,1833,3738,1833,3740,1832,3742,1828,3740,1825,3739,1825,3733,1817,3734,1817,3728,1806,3725,1800,3693,1800,3692,1799xm3741,1833l3740,1833,3738,1836,3741,1833xm3745,1833l3741,1833,3738,1836,3770,1836,3770,1835,3749,1835,3745,1833xm3747,1832l3745,1833,3749,1835,3747,1832xm3744,1825l3742,1828,3746,1832,3747,1832,3747,1832,3749,1835,3770,1835,3773,1827,3743,1827,3744,1825xm3740,1832l3738,1833,3740,1833,3740,1832xm3740,1833l3738,1833,3740,1833,3740,1833xm3743,1830l3740,1832,3740,1833,3741,1833,3742,1831,3742,1831,3742,1831,3743,1830xm3742,1831l3741,1833,3745,1833,3742,1831xm3742,1831l3742,1831,3745,1833,3747,1832,3746,1832,3742,1831xm3746,1832l3747,1832,3747,1832,3746,1832xm3744,1830l3743,1830,3742,1831,3746,1832,3744,1830xm3742,1828l3740,1832,3743,1830,3744,1830,3742,1828xm3742,1831l3742,1831,3742,1831,3742,1831xm3742,1831l3742,1831,3742,1831,3742,1831xm3833,1682l3803,1682,3798,1690,3792,1698,3791,1698,3791,1699,3790,1699,3785,1712,3773,1740,3761,1773,3754,1791,3749,1810,3743,1827,3773,1827,3775,1819,3781,1799,3787,1781,3799,1750,3810,1722,3814,1716,3813,1716,3815,1713,3815,1713,3820,1707,3827,1697,3827,1696,3827,1695,3828,1695,3833,1682xm3737,1822l3739,1825,3740,1825,3737,1822xm3734,1817l3733,1817,3734,1819,3734,1817xm3653,1698l3622,1698,3628,1709,3634,1723,3639,1738,3646,1750,3646,1750,3646,1752,3647,1752,3653,1760,3653,1760,3654,1762,3654,1762,3672,1778,3683,1789,3693,1800,3725,1800,3722,1794,3716,1785,3715,1784,3715,1783,3702,1768,3690,1757,3679,1747,3676,1744,3675,1744,3673,1742,3673,1742,3671,1738,3670,1738,3665,1727,3659,1712,3653,1698xm3156,1673l3152,1673,3149,1675,3143,1676,3141,1678,3138,1680,3136,1683,3130,1690,3129,1690,3129,1691,3129,1692,3123,1705,3118,1717,3112,1727,3102,1743,3091,1757,3091,1778,3091,1778,3098,1783,3106,1781,3111,1776,3123,1760,3135,1742,3142,1729,3148,1716,3153,1706,3152,1706,3153,1704,3153,1704,3152,1704,3147,1701,3154,1701,3158,1698,3261,1698,3249,1687,3248,1686,3245,1685,3165,1685,3169,1683,3168,1682,3169,1682,3166,1680,3165,1680,3165,1678,3159,1676,3156,1673xm3369,1759l3312,1759,3311,1759,3332,1760,3328,1760,3340,1765,3347,1766,3349,1768,3352,1768,3354,1766,3360,1765,3363,1765,3365,1763,3366,1762,3369,1759xm3233,1711l3242,1719,3253,1732,3264,1745,3277,1758,3279,1760,3283,1762,3301,1762,3311,1759,3309,1759,3369,1759,3372,1755,3373,1754,3374,1754,3374,1753,3380,1742,3346,1742,3347,1740,3347,1740,3348,1740,3349,1739,3347,1738,3296,1738,3286,1734,3292,1734,3286,1728,3274,1713,3273,1712,3237,1712,3233,1711xm3312,1759l3309,1759,3311,1759,3312,1759xm3673,1742l3675,1744,3674,1742,3673,1742xm3674,1742l3675,1744,3676,1744,3674,1742xm3673,1742l3673,1742,3674,1742,3673,1742xm3350,1739l3348,1740,3346,1742,3350,1739,3350,1739xm3350,1739l3346,1742,3380,1742,3380,1740,3354,1740,3350,1739xm3348,1740l3347,1740,3347,1740,3348,1740xm3382,1738l3353,1738,3350,1739,3354,1740,3380,1740,3382,1738xm3349,1739l3348,1740,3350,1739,3349,1739,3349,1739xm3353,1738l3350,1739,3350,1739,3353,1738xm3383,1735l3352,1735,3350,1739,3350,1739,3353,1738,3382,1738,3383,1735xm3351,1736l3349,1739,3349,1739,3351,1736xm3352,1735l3351,1736,3349,1739,3352,1735xm3426,1712l3414,1717,3399,1717,3403,1723,3409,1731,3411,1734,3414,1735,3418,1737,3423,1738,3428,1739,3434,1737,3443,1722,3444,1722,3445,1721,3447,1716,3431,1716,3426,1712xm3292,1734l3286,1734,3296,1738,3292,1734xm3338,1734l3292,1734,3296,1738,3347,1738,3338,1734xm3669,1735l3670,1738,3671,1738,3669,1735xm3402,1686l3398,1687,3386,1692,3384,1692,3382,1693,3381,1695,3370,1706,3368,1707,3368,1708,3361,1718,3351,1736,3352,1735,3383,1735,3385,1732,3389,1726,3389,1726,3391,1723,3392,1723,3398,1718,3395,1718,3399,1716,3399,1716,3393,1712,3417,1712,3420,1707,3420,1707,3422,1702,3422,1702,3419,1698,3419,1697,3418,1695,3416,1695,3407,1687,3402,1686xm3311,1732l3307,1732,3295,1734,3334,1734,3311,1732xm3391,1723l3389,1726,3389,1725,3391,1723xm3389,1725l3389,1726,3389,1726,3389,1725xm3392,1723l3391,1723,3389,1725,3392,1723xm3399,1716l3395,1718,3399,1717,3399,1716xm3399,1717l3395,1718,3398,1718,3399,1717,3399,1717,3399,1717xm3399,1717l3399,1717,3399,1717,3399,1717xm3417,1712l3393,1712,3407,1713,3400,1716,3399,1717,3399,1717,3414,1717,3417,1712xm3420,1707l3414,1717,3426,1712,3425,1711,3419,1711,3420,1707xm3399,1716l3399,1717,3399,1717,3399,1716xm3399,1716l3399,1717,3399,1717,3399,1717,3399,1716xm3400,1716l3399,1716,3399,1717,3399,1717,3400,1716xm3400,1716l3399,1716,3399,1716,3400,1716,3400,1716xm3393,1712l3399,1716,3399,1716,3397,1713,3407,1713,3393,1712xm3397,1713l3399,1716,3399,1716,3397,1713xm3407,1713l3397,1713,3399,1716,3400,1716,3401,1716,3407,1713xm3401,1716l3400,1716,3400,1716,3401,1716xm3428,1711l3426,1712,3431,1716,3428,1711xm3481,1630l3468,1630,3466,1631,3460,1634,3458,1635,3457,1636,3456,1636,3450,1642,3450,1644,3449,1645,3437,1662,3437,1664,3437,1664,3436,1665,3430,1680,3424,1696,3422,1702,3426,1707,3428,1711,3428,1711,3428,1711,3431,1716,3447,1716,3450,1706,3456,1688,3461,1676,3462,1676,3471,1662,3470,1662,3472,1660,3474,1658,3473,1657,3471,1657,3472,1657,3469,1655,3508,1655,3508,1654,3506,1654,3506,1652,3494,1639,3494,1639,3492,1637,3486,1632,3484,1631,3481,1630xm3815,1713l3813,1716,3815,1713,3815,1713xm3815,1713l3813,1716,3814,1716,3815,1713xm3815,1713l3815,1713,3815,1713,3815,1713xm3188,1704l3154,1704,3153,1705,3156,1707,3158,1708,3161,1708,3166,1711,3169,1712,3173,1712,3176,1711,3188,1704xm3230,1708l3233,1711,3237,1712,3230,1708xm3262,1699l3199,1699,3194,1702,3202,1703,3212,1707,3213,1708,3230,1708,3237,1712,3273,1712,3262,1699xm3423,1709l3426,1712,3428,1711,3428,1711,3423,1709xm3230,1708l3225,1708,3233,1711,3230,1708xm3428,1711l3428,1711,3428,1711,3428,1711xm3420,1707l3420,1707,3419,1711,3420,1707xm3422,1702l3419,1711,3425,1711,3423,1709,3427,1709,3426,1707,3422,1702xm3483,1669l3489,1678,3494,1692,3495,1692,3495,1693,3495,1693,3501,1703,3504,1706,3506,1708,3510,1709,3513,1709,3518,1711,3523,1709,3527,1704,3529,1702,3531,1699,3531,1698,3531,1697,3534,1688,3505,1688,3505,1687,3505,1687,3506,1686,3508,1678,3510,1671,3485,1671,3483,1669xm3427,1709l3423,1709,3428,1711,3427,1709xm3153,1705l3152,1706,3153,1706,3153,1705,3153,1705xm3154,1704l3153,1705,3153,1705,3154,1704xm3261,1698l3158,1698,3155,1702,3156,1702,3154,1702,3153,1704,3153,1705,3154,1704,3188,1704,3194,1702,3191,1701,3199,1699,3262,1699,3261,1698xm3154,1702l3151,1703,3153,1704,3154,1702xm3147,1701l3152,1704,3151,1703,3153,1702,3147,1701xm3151,1703l3152,1704,3153,1704,3151,1703xm3153,1702l3151,1703,3154,1702,3155,1702,3153,1702xm3155,1702l3154,1702,3156,1702,3155,1702xm3158,1698l3153,1702,3155,1702,3158,1698xm3199,1699l3191,1701,3194,1702,3199,1699xm3154,1701l3147,1701,3153,1702,3154,1701xm3611,1682l3623,1699,3622,1698,3653,1698,3647,1686,3647,1685,3646,1685,3646,1683,3613,1683,3611,1682xm3560,1573l3554,1573,3552,1576,3550,1587,3546,1605,3543,1629,3543,1630,3546,1646,3549,1661,3552,1672,3554,1676,3560,1686,3562,1687,3564,1688,3571,1692,3573,1692,3574,1693,3593,1693,3600,1690,3601,1688,3602,1688,3604,1687,3609,1682,3610,1681,3608,1680,3608,1680,3608,1680,3608,1680,3605,1678,3611,1678,3615,1676,3641,1676,3635,1667,3581,1667,3576,1664,3578,1664,3577,1661,3577,1661,3576,1656,3573,1642,3567,1606,3564,1589,3560,1573xm3506,1687l3505,1687,3505,1688,3506,1687xm3516,1683l3506,1687,3505,1688,3525,1688,3516,1683xm3521,1682l3518,1682,3516,1683,3525,1688,3521,1682xm3542,1551l3535,1553,3531,1556,3529,1561,3527,1565,3525,1568,3522,1583,3519,1601,3517,1623,3511,1661,3511,1662,3514,1667,3519,1679,3525,1688,3534,1688,3535,1686,3538,1670,3541,1649,3543,1630,3543,1629,3540,1611,3537,1594,3535,1582,3531,1573,3560,1573,3557,1562,3555,1559,3553,1558,3547,1552,3542,1551xm3506,1686l3505,1687,3505,1687,3506,1686xm3505,1687l3505,1687,3505,1687,3505,1687xm3508,1683l3506,1686,3505,1687,3506,1687,3508,1683xm3515,1683l3508,1683,3506,1687,3515,1683xm3511,1662l3511,1664,3508,1678,3506,1686,3508,1683,3515,1683,3516,1683,3515,1682,3521,1682,3520,1681,3520,1681,3519,1679,3519,1678,3512,1665,3511,1662xm3169,1683l3165,1685,3171,1684,3169,1683xm3171,1684l3165,1685,3172,1685,3171,1684xm3171,1684l3171,1684,3172,1685,3171,1684xm3194,1672l3191,1672,3188,1673,3177,1678,3170,1682,3169,1682,3170,1682,3174,1683,3171,1684,3172,1685,3245,1685,3232,1681,3222,1681,3218,1680,3218,1680,3208,1676,3197,1673,3194,1672xm3169,1682l3169,1683,3171,1684,3171,1684,3170,1682,3169,1682xm3170,1682l3171,1684,3174,1683,3170,1682xm3611,1681l3610,1681,3613,1683,3646,1683,3644,1681,3611,1681,3611,1681xm3917,1314l3908,1314,3904,1316,3902,1320,3899,1324,3898,1325,3897,1326,3897,1327,3894,1340,3888,1374,3882,1414,3879,1431,3877,1443,3872,1459,3867,1470,3860,1482,3854,1497,3842,1531,3830,1569,3824,1595,3817,1631,3813,1649,3808,1670,3802,1683,3803,1682,3833,1682,3833,1681,3840,1656,3846,1630,3851,1600,3857,1576,3868,1538,3879,1507,3885,1494,3890,1484,3897,1470,3903,1451,3906,1438,3909,1418,3913,1392,3913,1390,3911,1377,3908,1358,3906,1345,3904,1338,3902,1337,3903,1337,3902,1335,3932,1335,3930,1327,3929,1326,3927,1322,3924,1319,3921,1315,3917,1314xm3518,1682l3515,1682,3516,1683,3518,1682xm3168,1682l3169,1683,3169,1682,3168,1682xm3169,1682l3169,1682,3170,1682,3169,1682xm3169,1682l3168,1682,3169,1682,3169,1682,3169,1682xm3608,1680l3610,1681,3611,1681,3608,1680xm3218,1680l3222,1681,3219,1680,3218,1680xm3219,1680l3222,1681,3229,1681,3219,1680xm3519,1678l3520,1681,3519,1679,3519,1678xm3519,1679l3520,1681,3520,1681,3519,1679xm3611,1681l3611,1681,3611,1681,3611,1681xm3642,1678l3614,1678,3613,1679,3611,1681,3611,1681,3644,1681,3642,1678xm3609,1679l3609,1680,3608,1680,3611,1681,3611,1681,3609,1679xm3613,1679l3609,1679,3611,1681,3613,1679xm3218,1680l3218,1680,3219,1680,3218,1680xm3608,1680l3608,1680,3608,1680,3608,1680xm3608,1680l3608,1680,3608,1680,3608,1680xm3607,1678l3605,1678,3608,1680,3608,1679,3607,1678xm3609,1679l3608,1679,3608,1680,3609,1679,3609,1679xm3607,1678l3608,1680,3609,1679,3607,1678xm3615,1676l3609,1679,3609,1679,3613,1679,3615,1676xm3611,1678l3607,1678,3609,1679,3611,1678xm3519,1678l3519,1678,3519,1679,3519,1678xm3641,1676l3615,1676,3613,1679,3614,1678,3642,1678,3641,1676xm3462,1676l3461,1676,3461,1678,3462,1676xm3483,1668l3483,1669,3485,1671,3483,1668xm3510,1668l3483,1668,3485,1671,3510,1671,3510,1668xm3474,1659l3474,1659,3483,1669,3483,1668,3510,1668,3511,1664,3511,1662,3510,1660,3476,1660,3474,1659xm3576,1664l3581,1667,3580,1666,3578,1665,3578,1665,3576,1664xm3580,1666l3581,1667,3582,1667,3583,1667,3580,1666xm3583,1667l3582,1667,3583,1667,3583,1667xm3583,1667l3582,1667,3583,1667,3583,1667xm3583,1667l3583,1667,3583,1667,3583,1667xm3585,1667l3583,1667,3583,1667,3585,1667,3585,1667xm3615,1651l3609,1651,3603,1652,3601,1654,3598,1655,3596,1656,3590,1661,3586,1666,3589,1666,3585,1667,3585,1667,3635,1667,3634,1666,3634,1665,3632,1664,3626,1657,3625,1656,3623,1655,3617,1652,3615,1651xm3583,1667l3583,1667,3583,1667,3583,1667xm3585,1666l3583,1667,3583,1667,3585,1667,3586,1666,3585,1666xm3580,1666l3580,1666,3583,1667,3583,1667,3580,1666xm3579,1665l3580,1666,3583,1667,3585,1666,3579,1665xm3586,1666l3585,1667,3586,1666,3586,1666xm3586,1666l3585,1667,3589,1666,3586,1666xm3578,1665l3580,1666,3580,1666,3578,1665,3578,1665xm3588,1664l3585,1666,3586,1666,3588,1664xm3578,1665l3580,1666,3579,1665,3578,1665xm3578,1663l3578,1665,3578,1665,3578,1665,3579,1665,3578,1663xm3578,1665l3578,1665,3578,1665,3578,1665xm3578,1664l3576,1664,3578,1665,3578,1665,3578,1664xm3577,1661l3578,1665,3578,1663,3577,1661xm3577,1661l3577,1661,3578,1663,3577,1661xm3472,1660l3470,1662,3472,1660,3472,1660xm3472,1660l3470,1662,3471,1662,3472,1660xm3472,1660l3472,1660,3472,1660,3472,1660xm3474,1658l3472,1660,3472,1660,3474,1658,3474,1658xm3508,1656l3478,1656,3476,1657,3476,1657,3476,1657,3474,1659,3476,1660,3510,1660,3508,1656xm3474,1658l3472,1660,3474,1659,3474,1658xm3475,1657l3474,1658,3474,1659,3476,1657,3475,1657xm3475,1657l3474,1658,3474,1658,3475,1657,3475,1657xm3474,1657l3472,1657,3474,1658,3475,1657,3474,1657xm3472,1657l3471,1657,3473,1657,3472,1657xm3476,1657l3476,1657,3476,1657,3476,1657xm3478,1656l3475,1657,3475,1657,3476,1657,3478,1656xm3469,1655l3472,1657,3474,1657,3469,1655xm3475,1657l3474,1657,3475,1657,3475,1657xm3508,1655l3469,1655,3474,1657,3475,1657,3476,1656,3508,1656,3508,1655xm3478,1656l3476,1656,3475,1657,3478,1656xm3947,1482l3952,1501,3958,1527,3963,1553,3969,1577,3981,1616,3987,1632,3994,1645,3995,1647,3996,1649,3998,1650,4004,1654,4006,1655,4009,1656,4021,1656,4023,1655,4025,1655,4037,1647,4038,1647,4039,1645,4040,1645,4046,1637,4047,1636,4047,1636,4050,1631,4018,1631,4018,1631,4015,1630,4011,1630,4012,1629,4011,1629,4013,1629,4015,1628,4014,1626,4015,1626,4013,1623,4007,1608,3996,1569,3991,1547,3985,1520,3979,1494,3976,1484,3948,1484,3947,1482xm4018,1631l4018,1631,4018,1631,4018,1631xm4018,1631l4018,1631,4019,1631,4018,1631xm4017,1630l4018,1631,4019,1631,4017,1630xm4051,1629l4018,1629,4017,1629,4017,1630,4019,1631,4050,1631,4051,1629xm4017,1629l4016,1629,4018,1631,4018,1631,4017,1630,4017,1629xm4016,1629l4014,1629,4018,1631,4016,1629xm4012,1629l4011,1630,4014,1629,4012,1629xm4014,1629l4011,1630,4015,1630,4014,1629xm3533,1577l3535,1582,3537,1594,3540,1611,3543,1630,3544,1625,3546,1605,3550,1587,3551,1579,3536,1579,3533,1577xm4017,1629l4017,1629,4017,1630,4017,1629xm4015,1628l4012,1629,4014,1629,4016,1629,4015,1628xm4013,1629l4011,1629,4012,1629,4013,1629xm4015,1628l4015,1628,4016,1629,4017,1629,4015,1628xm4016,1627l4015,1628,4017,1629,4017,1629,4016,1627xm4020,1625l4016,1627,4017,1629,4018,1629,4051,1629,4052,1626,4019,1626,4020,1625xm4014,1626l4015,1628,4015,1628,4014,1626xm4015,1626l4014,1626,4015,1628,4016,1627,4015,1626xm4022,1624l4020,1625,4019,1626,4022,1624xm4054,1624l4022,1624,4019,1626,4052,1626,4053,1625,4054,1624xm4025,1619l4020,1625,4022,1624,4054,1624,4055,1621,4024,1621,4025,1619xm4062,1578l4058,1580,4052,1584,4051,1584,4051,1585,4045,1589,4043,1589,4042,1592,4041,1593,4035,1601,4029,1611,4024,1621,4055,1621,4059,1616,4062,1611,4060,1611,4064,1608,4067,1608,4070,1606,4077,1603,4079,1601,4080,1600,4081,1599,4086,1593,4087,1592,4087,1592,4093,1580,4060,1580,4062,1578xm4064,1608l4060,1611,4062,1610,4064,1608xm4062,1610l4060,1611,4062,1611,4062,1610xm4066,1608l4064,1608,4062,1610,4066,1608xm4067,1608l4066,1608,4065,1609,4067,1608xm4064,1577l4062,1578,4060,1580,4064,1577xm4096,1574l4065,1574,4063,1577,4064,1577,4060,1580,4093,1580,4094,1578,4096,1574xm3534,1576l3533,1577,3533,1577,3536,1579,3534,1576xm3554,1573l3534,1576,3536,1579,3551,1579,3552,1578,3551,1578,3552,1575,3553,1575,3554,1573xm3552,1575l3551,1578,3552,1576,3552,1575xm3552,1576l3551,1578,3552,1578,3552,1576xm4064,1576l4062,1578,4064,1577,4063,1577,4064,1576xm3533,1577l3533,1577,3533,1577,3533,1577xm4065,1574l4064,1576,4063,1577,4065,1574xm3531,1573l3533,1577,3534,1576,3531,1573xm3554,1573l3531,1573,3534,1576,3554,1573xm3553,1575l3552,1575,3552,1576,3553,1575xm4130,1423l4124,1423,4120,1425,4114,1430,4112,1431,4111,1433,4109,1436,4103,1451,4097,1474,4092,1497,4086,1517,4075,1551,4069,1565,4064,1576,4065,1574,4096,1574,4101,1562,4112,1526,4119,1505,4124,1480,4130,1459,4131,1458,4131,1458,4125,1451,4122,1450,4133,1449,4135,1446,4158,1446,4155,1443,4144,1430,4141,1428,4140,1428,4134,1425,4130,1423xm4160,1449l4136,1449,4134,1450,4131,1458,4131,1458,4135,1463,4140,1469,4145,1477,4151,1487,4153,1490,4155,1492,4158,1494,4164,1495,4168,1497,4174,1496,4178,1492,4181,1489,4182,1489,4183,1487,4187,1480,4189,1474,4159,1474,4160,1471,4158,1471,4161,1469,4161,1469,4162,1467,4165,1458,4162,1453,4160,1449xm3946,1481l3947,1482,3948,1484,3946,1481xm3976,1481l3946,1481,3948,1484,3976,1484,3976,1481xm3943,1476l3947,1482,3946,1481,3976,1481,3974,1477,3944,1477,3943,1476xm3942,1475l3943,1476,3944,1477,3942,1475xm3974,1475l3942,1475,3944,1477,3974,1477,3974,1475xm3932,1336l3924,1336,3924,1337,3921,1345,3918,1360,3915,1378,3913,1390,3913,1392,3917,1415,3920,1433,3923,1445,3923,1446,3923,1448,3924,1449,3930,1460,3930,1461,3931,1463,3932,1464,3938,1471,3943,1476,3942,1475,3974,1475,3973,1474,3967,1460,3964,1458,3958,1451,3955,1448,3954,1448,3952,1444,3952,1444,3950,1439,3950,1439,3949,1436,3949,1436,3947,1428,3944,1412,3938,1373,3932,1338,3932,1336xm4171,1469l4160,1471,4159,1474,4189,1474,4190,1471,4174,1471,4171,1469xm4161,1469l4158,1471,4160,1471,4161,1469xm4160,1471l4158,1471,4160,1471,4160,1471xm4172,1469l4171,1469,4174,1471,4172,1469xm4191,1417l4184,1419,4180,1425,4174,1434,4174,1434,4173,1436,4168,1451,4165,1458,4169,1464,4172,1468,4173,1469,4172,1469,4174,1471,4190,1471,4193,1463,4195,1457,4192,1451,4188,1445,4187,1445,4188,1445,4186,1443,4194,1443,4204,1439,4209,1439,4212,1431,4209,1427,4208,1424,4206,1423,4203,1422,4197,1419,4191,1417xm4161,1469l4161,1469,4160,1471,4160,1471,4161,1469xm4165,1458l4162,1467,4160,1471,4171,1469,4168,1466,4170,1466,4169,1464,4165,1458xm4209,1439l4204,1439,4199,1447,4195,1457,4197,1460,4199,1463,4202,1464,4210,1467,4216,1470,4223,1467,4226,1463,4232,1454,4233,1451,4234,1451,4236,1446,4204,1446,4209,1439,4209,1439xm4168,1466l4171,1469,4172,1469,4172,1468,4168,1466xm4172,1468l4172,1469,4173,1469,4172,1468xm4170,1466l4168,1466,4172,1468,4170,1466xm4125,1451l4131,1458,4133,1453,4128,1453,4125,1451xm4188,1445l4192,1451,4195,1457,4198,1449,4198,1449,4199,1448,4193,1448,4188,1445xm4124,1450l4125,1451,4128,1453,4124,1450xm4132,1450l4124,1450,4128,1453,4130,1453,4132,1450xm4134,1449l4133,1449,4130,1453,4134,1450,4134,1449xm4134,1450l4130,1453,4133,1453,4134,1450xm4133,1449l4122,1450,4125,1451,4124,1450,4132,1450,4133,1449xm4136,1449l4134,1449,4134,1450,4136,1449xm4135,1446l4133,1449,4134,1449,4135,1446xm4158,1446l4135,1446,4134,1449,4136,1449,4160,1449,4158,1446xm4199,1446l4198,1449,4199,1447,4199,1446xm4199,1447l4198,1449,4198,1449,4199,1447xm3952,1444l3954,1448,3953,1445,3952,1444xm3953,1445l3954,1448,3955,1448,3953,1445xm4189,1445l4188,1445,4188,1445,4193,1448,4189,1445xm4204,1439l4189,1445,4193,1448,4199,1448,4199,1446,4199,1446,4204,1439xm4199,1446l4199,1446,4199,1447,4199,1446xm4209,1439l4204,1446,4218,1442,4217,1441,4208,1441,4209,1439xm4218,1442l4204,1446,4236,1446,4237,1444,4221,1444,4218,1442xm4188,1445l4187,1445,4188,1445,4188,1445xm3952,1444l3952,1444,3953,1445,3952,1444xm4186,1443l4188,1445,4189,1445,4186,1443xm4194,1443l4186,1443,4189,1445,4194,1443xm4219,1442l4218,1442,4221,1444,4219,1442xm4246,1391l4240,1391,4234,1393,4231,1394,4228,1396,4226,1399,4221,1409,4220,1409,4220,1410,4219,1412,4214,1427,4212,1431,4215,1435,4219,1441,4220,1441,4219,1442,4221,1444,4237,1444,4239,1436,4244,1424,4244,1424,4245,1422,4245,1422,4246,1421,4245,1420,4238,1418,4243,1418,4250,1413,4274,1413,4277,1408,4277,1408,4277,1407,4280,1400,4249,1400,4251,1398,4250,1398,4251,1397,4252,1396,4253,1393,4249,1392,4246,1391xm4214,1439l4218,1442,4219,1442,4219,1441,4214,1439xm4219,1441l4219,1442,4220,1441,4219,1441xm4210,1438l4209,1439,4208,1441,4210,1438xm4217,1438l4210,1438,4208,1441,4217,1441,4214,1439,4217,1439,4217,1438xm4217,1439l4214,1439,4219,1441,4217,1439xm4212,1431l4209,1439,4210,1438,4217,1438,4215,1435,4212,1431xm3949,1436l3950,1439,3949,1437,3949,1436xm3949,1437l3950,1439,3950,1439,3949,1437xm3949,1436l3949,1436,3949,1437,3949,1436xm4292,1361l4286,1378,4283,1390,4286,1403,4289,1413,4289,1414,4289,1415,4290,1415,4292,1422,4294,1425,4298,1429,4302,1429,4311,1431,4317,1428,4320,1423,4324,1415,4324,1414,4325,1410,4295,1410,4297,1407,4297,1407,4300,1397,4303,1383,4306,1369,4305,1363,4291,1363,4292,1361xm4271,1418l4248,1418,4247,1418,4246,1421,4250,1423,4254,1425,4258,1425,4262,1423,4268,1420,4271,1419,4271,1418xm4245,1422l4244,1424,4245,1422,4245,1422xm4245,1422l4244,1424,4244,1424,4245,1422xm4245,1422l4245,1422,4245,1422,4245,1422xm4243,1418l4238,1418,4245,1420,4246,1421,4247,1419,4242,1419,4243,1418xm4250,1413l4242,1419,4247,1418,4250,1413xm4247,1418l4242,1419,4247,1419,4247,1418xm4274,1413l4250,1413,4247,1418,4248,1418,4271,1418,4272,1417,4273,1414,4274,1413xm4308,1404l4298,1404,4295,1410,4308,1404xm4310,1403l4295,1410,4325,1410,4325,1409,4317,1409,4310,1403xm4314,1402l4308,1402,4310,1403,4310,1403,4317,1409,4316,1407,4316,1407,4314,1403,4315,1403,4314,1402xm4374,1125l4371,1125,4367,1126,4361,1130,4359,1130,4357,1131,4357,1132,4350,1139,4347,1141,4347,1144,4342,1152,4342,1154,4341,1156,4338,1167,4335,1183,4329,1221,4324,1260,4318,1296,4311,1338,4306,1368,4306,1369,4310,1383,4313,1397,4315,1404,4317,1409,4325,1409,4327,1404,4330,1390,4333,1373,4339,1336,4345,1301,4351,1264,4362,1187,4365,1172,4367,1165,4367,1165,4368,1162,4368,1162,4369,1160,4369,1160,4370,1158,4368,1154,4368,1154,4365,1147,4395,1147,4393,1144,4393,1142,4393,1142,4393,1141,4390,1135,4388,1132,4386,1130,4382,1129,4378,1126,4374,1125xm4306,1369l4303,1383,4300,1397,4297,1407,4298,1404,4308,1404,4310,1403,4308,1402,4314,1402,4311,1390,4310,1383,4306,1369xm4298,1404l4297,1407,4297,1407,4298,1404xm4314,1403l4316,1407,4315,1404,4314,1403xm4315,1404l4316,1407,4316,1407,4315,1404xm4315,1403l4314,1403,4315,1404,4315,1403xm4308,1402l4310,1403,4310,1403,4308,1402xm4256,1394l4251,1397,4249,1400,4256,1394xm4256,1394l4249,1400,4280,1400,4281,1399,4281,1398,4262,1398,4256,1394xm4251,1397l4250,1398,4251,1398,4251,1397xm4283,1333l4277,1337,4275,1338,4272,1340,4271,1342,4269,1345,4267,1351,4266,1351,4266,1352,4260,1371,4254,1389,4253,1393,4256,1394,4262,1398,4281,1398,4283,1390,4277,1366,4276,1361,4274,1358,4275,1358,4275,1357,4303,1357,4300,1348,4300,1346,4300,1345,4298,1343,4295,1340,4291,1335,4283,1333xm4252,1396l4251,1397,4252,1397,4252,1397,4252,1396xm4252,1396l4252,1396,4252,1397,4252,1396xm4254,1396l4252,1396,4252,1397,4252,1397,4254,1396xm4253,1393l4252,1396,4252,1396,4254,1396,4256,1394,4253,1393xm3904,1338l3906,1345,3908,1361,3911,1377,3913,1391,3915,1378,3918,1360,3921,1345,3923,1340,3906,1340,3904,1338xm4276,1361l4277,1366,4283,1390,4286,1378,4291,1363,4289,1363,4290,1362,4277,1362,4276,1361xm4291,1361l4289,1363,4292,1361,4291,1361xm4292,1361l4289,1363,4291,1363,4292,1361xm4294,1357l4291,1361,4292,1361,4291,1363,4294,1357xm4303,1357l4294,1357,4291,1363,4305,1363,4303,1357xm4275,1358l4276,1361,4277,1362,4275,1358,4275,1358xm4275,1358l4277,1362,4290,1362,4291,1361,4275,1358xm4294,1357l4275,1357,4275,1358,4291,1361,4294,1357xm4274,1358l4276,1361,4275,1358,4274,1358xm4275,1357l4275,1358,4275,1358,4275,1357xm4275,1358l4274,1358,4275,1358,4275,1358xm3904,1337l3903,1337,3904,1338,3906,1340,3904,1337xm3924,1336l3904,1337,3906,1340,3921,1340,3924,1336xm3924,1336l3921,1340,3924,1337,3924,1336xm3924,1337l3921,1340,3923,1340,3924,1337xm4637,975l4623,975,4620,980,4617,989,4616,995,4620,1005,4627,1017,4632,1032,4638,1049,4643,1072,4646,1085,4648,1103,4654,1144,4660,1182,4663,1201,4666,1216,4671,1238,4678,1254,4690,1281,4695,1296,4702,1314,4707,1327,4708,1329,4709,1331,4710,1331,4713,1335,4715,1337,4717,1338,4723,1338,4728,1340,4733,1338,4737,1335,4740,1331,4741,1330,4741,1329,4742,1326,4745,1320,4746,1316,4715,1316,4716,1314,4719,1309,4723,1292,4721,1286,4715,1270,4704,1244,4699,1230,4693,1211,4690,1197,4687,1178,4681,1139,4675,1099,4673,1080,4670,1064,4663,1041,4658,1022,4651,1007,4640,980,4637,975xm3903,1337l3902,1337,3904,1338,3903,1337xm3902,1335l3903,1337,3904,1337,3902,1335xm3932,1335l3902,1335,3904,1337,3924,1336,3924,1336,3932,1336,3932,1335xm3924,1336l3924,1336,3924,1337,3924,1336xm3924,1336l3924,1336,3924,1336,3924,1336xm4716,1314l4715,1316,4716,1316,4716,1314xm4716,1316l4715,1316,4716,1316,4716,1316xm4716,1316l4716,1316,4716,1316,4716,1316xm4727,1312l4716,1316,4716,1316,4732,1316,4731,1314,4727,1312xm4731,1314l4732,1316,4732,1314,4731,1314xm4732,1314l4732,1316,4746,1316,4746,1315,4732,1315,4732,1314xm4718,1312l4716,1314,4716,1316,4716,1316,4718,1312xm4725,1312l4718,1312,4716,1316,4725,1312xm4731,1313l4732,1314,4732,1315,4731,1313xm4795,1232l4793,1233,4748,1233,4746,1234,4744,1235,4739,1240,4737,1244,4736,1245,4732,1254,4730,1265,4724,1289,4723,1292,4727,1304,4731,1313,4732,1315,4746,1315,4751,1296,4757,1271,4759,1263,4760,1260,4759,1260,4760,1259,4758,1259,4764,1255,4778,1255,4780,1254,4782,1252,4787,1247,4795,1238,4797,1235,4795,1232xm4730,1311l4731,1314,4732,1314,4731,1313,4730,1311xm4723,1292l4719,1309,4716,1314,4718,1312,4725,1312,4727,1312,4726,1311,4730,1311,4727,1304,4723,1292xm4730,1311l4729,1311,4727,1312,4731,1314,4730,1311xm4730,1311l4730,1311,4731,1313,4730,1311xm4729,1311l4726,1311,4727,1312,4729,1311xm4760,1259l4760,1259,4759,1260,4760,1259xm4761,1258l4760,1259,4759,1260,4760,1260,4761,1258xm4764,1255l4758,1259,4760,1259,4762,1257,4762,1257,4764,1255xm4760,1259l4758,1259,4760,1259,4760,1259xm4762,1257l4760,1259,4760,1259,4762,1257,4762,1257xm4762,1257l4760,1259,4761,1258,4762,1257xm4776,1255l4764,1255,4762,1257,4761,1258,4764,1258,4771,1258,4776,1255xm4762,1257l4762,1257,4762,1257,4762,1257xm4838,1230l4803,1230,4800,1232,4797,1235,4798,1235,4803,1240,4806,1242,4808,1244,4810,1244,4816,1245,4824,1245,4827,1242,4833,1238,4834,1237,4835,1235,4836,1234,4838,1230xm4797,1232l4795,1232,4797,1235,4798,1234,4797,1234,4799,1233,4797,1232xm4397,1154l4378,1154,4373,1155,4370,1158,4370,1159,4370,1161,4375,1182,4381,1206,4384,1216,4384,1217,4385,1218,4388,1223,4390,1227,4393,1229,4397,1230,4403,1233,4407,1234,4411,1233,4415,1229,4422,1224,4423,1223,4426,1220,4425,1219,4419,1217,4429,1216,4429,1216,4505,1216,4507,1214,4512,1211,4413,1211,4410,1208,4397,1208,4402,1204,4408,1198,4403,1176,4397,1154xm4801,1232l4797,1234,4800,1232,4801,1232xm4800,1232l4797,1234,4798,1234,4800,1232xm4765,1229l4759,1229,4758,1230,4757,1230,4750,1233,4762,1233,4763,1232,4763,1232,4764,1231,4765,1229xm4768,1229l4764,1231,4762,1233,4768,1229xm4792,1229l4768,1229,4762,1233,4793,1233,4795,1232,4792,1229xm4803,1230l4797,1232,4799,1233,4801,1232,4801,1232,4803,1230xm4792,1229l4795,1232,4797,1232,4792,1229xm4801,1232l4801,1232,4800,1232,4801,1232xm4839,1229l4792,1229,4797,1232,4803,1230,4838,1230,4839,1229xm4505,1216l4431,1216,4427,1219,4426,1220,4427,1221,4432,1226,4435,1228,4442,1230,4445,1232,4448,1232,4451,1230,4462,1227,4473,1222,4471,1222,4476,1221,4489,1221,4496,1219,4499,1219,4505,1216xm4764,1231l4763,1232,4763,1232,4764,1231xm4768,1229l4767,1229,4764,1231,4764,1231,4768,1229xm4798,1204l4791,1204,4788,1207,4783,1209,4779,1213,4774,1219,4768,1227,4764,1231,4767,1229,4839,1229,4841,1227,4845,1221,4810,1221,4816,1216,4816,1216,4817,1214,4811,1209,4809,1208,4806,1207,4804,1206,4798,1204xm4530,1206l4519,1206,4518,1206,4519,1207,4516,1208,4513,1210,4516,1216,4523,1224,4525,1228,4530,1229,4545,1229,4549,1228,4552,1223,4558,1213,4558,1212,4559,1211,4559,1209,4527,1209,4530,1206xm4476,1221l4471,1222,4473,1222,4476,1221xm4489,1221l4476,1221,4473,1222,4483,1222,4489,1221xm4816,1216l4810,1221,4815,1219,4813,1219,4816,1216xm4820,1218l4810,1221,4845,1221,4846,1219,4822,1219,4820,1218xm4427,1219l4426,1219,4425,1219,4426,1220,4427,1219xm4425,1219l4425,1219,4425,1219,4425,1219xm4421,1217l4425,1219,4425,1219,4421,1217xm4428,1217l4421,1217,4425,1219,4426,1219,4428,1217xm4429,1216l4429,1216,4426,1219,4427,1219,4429,1216xm4816,1216l4816,1216,4813,1219,4816,1216xm4817,1214l4813,1219,4815,1219,4820,1218,4816,1217,4819,1217,4817,1214xm4821,1218l4820,1218,4822,1219,4821,1218xm4905,1056l4875,1056,4869,1077,4863,1103,4858,1128,4852,1147,4847,1162,4842,1172,4830,1191,4819,1211,4817,1214,4821,1218,4821,1218,4821,1218,4822,1219,4846,1219,4853,1206,4866,1187,4872,1175,4878,1157,4885,1135,4891,1109,4896,1083,4901,1065,4901,1065,4905,1056xm4429,1216l4419,1217,4425,1219,4421,1217,4428,1217,4429,1216xm4431,1216l4429,1216,4427,1219,4431,1216xm4816,1217l4820,1218,4821,1218,4821,1218,4816,1217xm4821,1218l4821,1218,4821,1218,4821,1218xm4819,1217l4816,1217,4821,1218,4819,1217xm4429,1216l4429,1216,4429,1216,4429,1216xm4431,1216l4429,1216,4429,1216,4431,1216xm4410,1206l4408,1206,4413,1211,4411,1207,4411,1207,4410,1206xm4425,1188l4417,1191,4411,1195,4409,1197,4408,1198,4408,1199,4411,1207,4413,1211,4512,1211,4513,1210,4512,1207,4509,1204,4450,1204,4449,1204,4443,1203,4447,1202,4446,1202,4447,1202,4438,1195,4438,1195,4436,1193,4429,1191,4425,1188xm4512,1207l4513,1210,4515,1208,4513,1208,4512,1207xm4539,1199l4533,1199,4533,1201,4533,1201,4527,1209,4537,1204,4534,1202,4541,1202,4540,1201,4539,1199xm4537,1204l4527,1209,4559,1209,4559,1208,4545,1208,4537,1204xm4404,1203l4404,1203,4402,1204,4402,1204,4397,1208,4408,1206,4404,1203xm4408,1206l4397,1208,4410,1208,4408,1206xm4511,1206l4512,1207,4513,1208,4511,1206xm4515,1206l4511,1206,4513,1208,4514,1208,4518,1206,4515,1206xm4518,1206l4514,1208,4516,1208,4518,1206,4518,1206xm4516,1208l4514,1208,4515,1208,4516,1208xm4541,1202l4540,1202,4537,1204,4545,1208,4541,1202xm4619,951l4609,951,4605,954,4602,956,4600,959,4598,961,4598,961,4597,964,4593,972,4590,984,4585,1012,4579,1043,4573,1069,4562,1108,4550,1144,4544,1162,4539,1182,4536,1193,4540,1201,4545,1208,4559,1208,4565,1192,4571,1171,4577,1151,4588,1116,4600,1077,4606,1049,4612,1017,4616,995,4615,992,4611,981,4605,976,4621,976,4623,975,4637,975,4634,967,4633,966,4633,965,4632,964,4625,956,4623,954,4619,951xm4518,1206l4516,1208,4519,1207,4518,1206xm4410,1206l4411,1207,4411,1207,4410,1206xm4411,1207l4411,1207,4411,1207,4411,1207xm4507,1203l4512,1207,4511,1206,4515,1206,4507,1203xm4409,1203l4404,1203,4410,1206,4411,1207,4409,1203xm4519,1206l4518,1206,4518,1206,4519,1206xm4531,1203l4507,1203,4518,1206,4519,1206,4530,1206,4531,1203xm4404,1203l4408,1206,4410,1206,4404,1203xm4402,1204l4402,1204,4402,1204,4402,1204xm4404,1203l4402,1204,4402,1204,4404,1203xm4449,1204l4450,1204,4449,1204,4449,1204xm4449,1204l4450,1204,4452,1204,4449,1204xm4448,1203l4449,1204,4452,1204,4448,1203xm4535,1192l4492,1192,4487,1195,4466,1195,4465,1196,4455,1201,4447,1202,4448,1203,4452,1204,4509,1204,4507,1203,4531,1203,4533,1200,4536,1193,4535,1192xm4408,1198l4402,1204,4404,1203,4409,1203,4408,1199,4408,1198xm4447,1202l4447,1202,4449,1204,4449,1204,4448,1203,4447,1202xm4447,1202l4443,1203,4449,1204,4447,1202xm4540,1202l4534,1202,4537,1204,4540,1202xm4447,1202l4447,1202,4448,1203,4447,1202xm4446,1202l4447,1202,4447,1202,4446,1202xm4447,1202l4446,1202,4447,1202,4447,1202,4447,1202xm4533,1200l4533,1201,4533,1201,4533,1200xm4533,1199l4533,1200,4533,1201,4533,1199xm4536,1193l4533,1200,4533,1199,4539,1199,4536,1193xm4490,1193l4481,1195,4487,1195,4490,1193xm4492,1192l4490,1193,4487,1195,4492,1192xm4518,1178l4514,1180,4507,1181,4505,1182,4503,1182,4497,1187,4492,1191,4490,1193,4492,1192,4535,1192,4535,1191,4534,1190,4532,1188,4526,1182,4523,1180,4518,1178xm4368,1162l4367,1165,4368,1163,4368,1162xm4368,1163l4367,1165,4367,1165,4368,1163xm4368,1162l4368,1162,4368,1163,4368,1162xm4370,1158l4369,1160,4370,1159,4370,1158xm4370,1159l4369,1160,4369,1160,4370,1159,4370,1159xm4370,1158l4370,1159,4370,1159,4370,1158xm4371,1156l4370,1158,4370,1159,4370,1158,4371,1156xm4368,1154l4370,1158,4371,1156,4373,1155,4373,1155,4368,1154xm4373,1155l4371,1156,4370,1158,4373,1155xm4375,1154l4371,1156,4373,1155,4375,1154xm4378,1154l4375,1154,4373,1155,4378,1154xm4369,1151l4367,1151,4368,1154,4373,1155,4369,1151xm4395,1147l4365,1147,4373,1155,4373,1155,4375,1154,4397,1154,4396,1151,4395,1147xm4367,1151l4368,1154,4368,1154,4367,1151xm4365,1147l4368,1154,4367,1151,4369,1151,4365,1147xm4902,1063l4901,1065,4901,1065,4902,1063xm4937,1001l4930,1003,4919,1007,4918,1007,4917,1008,4916,1008,4905,1015,4902,1017,4901,1017,4890,1029,4889,1029,4883,1039,4882,1041,4876,1053,4875,1054,4875,1056,4905,1056,4906,1053,4907,1053,4910,1048,4910,1048,4918,1039,4918,1039,4921,1037,4923,1037,4929,1033,4930,1033,4939,1029,4946,1027,4950,1020,4947,1012,4945,1005,4937,1001xm4906,1053l4905,1056,4905,1055,4906,1053xm4905,1055l4905,1056,4905,1056,4905,1055xm4907,1053l4906,1053,4905,1055,4907,1053xm4911,1047l4910,1048,4910,1048,4911,1047xm4921,1037l4918,1039,4919,1039,4921,1037xm4919,1039l4918,1039,4918,1039,4919,1039xm4923,1037l4921,1037,4919,1039,4923,1037xm4930,1033l4929,1033,4927,1034,4930,1033xm4611,981l4615,992,4616,995,4617,989,4619,982,4612,982,4611,981xm4609,979l4611,981,4612,982,4609,979xm4612,979l4609,979,4612,982,4619,982,4620,980,4612,980,4614,979,4612,979xm4605,976l4611,981,4609,979,4612,979,4605,976xm4614,979l4612,980,4615,980,4614,979xm4621,977l4614,979,4615,980,4620,980,4621,979,4619,979,4621,977xm4621,976l4605,976,4614,979,4621,977,4621,976xm4622,976l4621,977,4619,979,4622,976xm4622,976l4619,979,4621,979,4622,976xm4623,975l4621,977,4622,976,4623,975xe" filled="true" fillcolor="#497dba" stroked="false">
              <v:path arrowok="t"/>
              <v:fill type="solid"/>
            </v:shape>
            <v:shape style="position:absolute;left:3091;top:951;width:1860;height:909" coordorigin="3091,951" coordsize="1860,909" path="m3091,1756l3123,1704,3129,1691,3129,1690,3129,1689,3130,1689,3136,1681,3152,1673,3156,1673,3159,1675,3165,1678,3165,1679,3166,1679,3166,1679,3172,1683,3168,1681,3174,1683,3165,1683,3177,1678,3188,1673,3191,1672,3194,1672,3197,1672,3208,1675,3222,1681,3218,1679,3229,1680,3230,1681,3231,1681,3232,1681,3243,1683,3245,1684,3248,1685,3249,1687,3261,1698,3274,1713,3286,1727,3296,1737,3286,1733,3298,1733,3295,1734,3307,1731,3308,1731,3309,1731,3311,1731,3334,1733,3336,1733,3337,1733,3338,1734,3349,1738,3354,1739,3347,1739,3353,1738,3346,1742,3352,1735,3368,1707,3369,1706,3370,1705,3381,1694,3382,1693,3384,1692,3386,1691,3398,1687,3402,1685,3407,1686,3411,1689,3416,1694,3418,1695,3419,1696,3419,1697,3426,1706,3431,1714,3423,1708,3428,1710,3414,1716,3420,1707,3419,1710,3424,1695,3430,1679,3436,1664,3437,1664,3437,1663,3437,1662,3449,1644,3449,1643,3450,1643,3450,1641,3456,1636,3457,1635,3458,1634,3460,1633,3466,1630,3468,1629,3471,1629,3473,1629,3479,1630,3481,1630,3484,1631,3486,1632,3492,1637,3493,1637,3494,1638,3494,1639,3506,1651,3506,1653,3508,1653,3508,1654,3513,1665,3520,1680,3519,1678,3525,1688,3515,1681,3518,1682,3505,1686,3508,1683,3505,1688,3508,1678,3511,1664,3514,1644,3517,1622,3519,1601,3522,1582,3525,1568,3525,1567,3526,1566,3527,1565,3529,1559,3531,1555,3535,1553,3539,1552,3542,1551,3547,1552,3550,1555,3553,1557,3555,1559,3557,1561,3558,1563,3560,1573,3564,1588,3567,1605,3573,1641,3576,1655,3578,1664,3577,1660,3581,1667,3576,1663,3609,1651,3612,1650,3615,1651,3617,1652,3623,1655,3625,1655,3626,1657,3627,1657,3632,1663,3634,1664,3634,1665,3634,1665,3646,1683,3646,1683,3647,1684,3647,1685,3653,1697,3659,1712,3665,1726,3670,1737,3669,1735,3675,1744,3673,1741,3679,1746,3690,1756,3702,1767,3715,1782,3715,1783,3715,1783,3716,1784,3722,1794,3749,1834,3742,1830,3747,1832,3738,1833,3743,1830,3738,1835,3744,1824,3743,1826,3749,1809,3773,1740,3791,1698,3791,1698,3792,1697,3798,1689,3803,1681,3802,1683,3808,1669,3813,1649,3818,1622,3824,1595,3830,1569,3842,1530,3854,1496,3860,1482,3867,1470,3872,1458,3877,1442,3879,1430,3882,1414,3888,1374,3891,1355,3894,1339,3897,1327,3897,1325,3898,1324,3899,1323,3902,1319,3904,1315,3908,1313,3913,1313,3917,1313,3921,1314,3924,1318,3927,1321,3928,1323,3929,1325,3944,1411,3947,1427,3958,1451,3964,1457,3965,1458,3967,1459,3967,1460,3972,1470,3972,1471,3973,1472,3973,1473,3979,1494,3985,1520,3991,1546,3996,1569,4007,1608,4013,1622,4018,1631,4014,1626,4019,1630,4011,1628,4018,1628,4011,1630,4022,1623,4041,1592,4042,1590,4043,1589,4045,1588,4051,1584,4051,1584,4052,1584,4052,1583,4058,1580,4064,1577,4060,1580,4065,1574,4063,1577,4069,1565,4075,1551,4086,1516,4092,1496,4097,1473,4103,1451,4109,1435,4111,1433,4112,1431,4114,1429,4120,1425,4124,1422,4130,1422,4134,1424,4140,1427,4141,1427,4143,1429,4144,1430,4155,1442,4162,1452,4169,1464,4174,1471,4168,1466,4173,1468,4158,1471,4161,1468,4159,1472,4162,1466,4168,1451,4173,1436,4173,1435,4174,1434,4174,1433,4180,1424,4184,1418,4191,1416,4197,1418,4203,1421,4206,1422,4208,1423,4209,1426,4215,1435,4221,1443,4214,1438,4220,1440,4204,1446,4210,1437,4208,1440,4214,1426,4219,1411,4220,1410,4220,1409,4221,1408,4226,1398,4228,1396,4231,1393,4234,1392,4240,1390,4243,1390,4246,1390,4249,1391,4256,1394,4262,1397,4250,1397,4256,1394,4249,1400,4252,1395,4252,1397,4254,1388,4260,1370,4266,1352,4266,1351,4266,1350,4267,1350,4269,1344,4271,1342,4272,1340,4275,1338,4277,1337,4283,1333,4291,1334,4295,1340,4298,1343,4300,1344,4300,1346,4300,1348,4303,1356,4310,1383,4313,1396,4316,1405,4314,1403,4317,1409,4308,1401,4310,1402,4295,1409,4298,1404,4297,1406,4300,1396,4303,1383,4306,1367,4312,1332,4318,1296,4324,1260,4335,1183,4342,1154,4342,1152,4342,1152,4347,1142,4347,1141,4348,1140,4350,1138,4357,1132,4357,1131,4359,1130,4361,1129,4367,1126,4371,1125,4374,1125,4378,1126,4382,1128,4386,1129,4388,1131,4390,1135,4393,1141,4393,1141,4393,1142,4393,1142,4396,1151,4403,1176,4408,1198,4411,1207,4410,1205,4413,1211,4404,1203,4410,1205,4397,1208,4404,1203,4402,1204,4408,1197,4409,1196,4410,1195,4411,1195,4417,1191,4421,1189,4425,1188,4429,1190,4435,1192,4436,1193,4438,1193,4438,1195,4444,1199,4450,1204,4446,1201,4452,1204,4443,1203,4455,1199,4465,1195,4466,1195,4468,1195,4469,1194,4481,1193,4492,1192,4487,1194,4492,1190,4497,1187,4503,1182,4505,1181,4507,1180,4508,1180,4514,1179,4540,1200,4545,1208,4534,1201,4540,1201,4527,1209,4533,1198,4533,1200,4539,1182,4544,1162,4550,1142,4562,1107,4573,1069,4579,1042,4585,1011,4590,983,4593,972,4597,963,4598,961,4598,960,4600,958,4602,955,4605,953,4609,951,4612,951,4615,951,4619,951,4623,953,4625,956,4632,963,4633,964,4633,965,4634,967,4663,1040,4681,1138,4687,1178,4690,1196,4693,1210,4699,1230,4704,1244,4715,1269,4721,1286,4727,1303,4732,1315,4730,1311,4732,1314,4726,1311,4729,1311,4715,1315,4718,1312,4716,1316,4719,1309,4724,1288,4738,1242,4739,1240,4757,1230,4758,1230,4759,1229,4760,1229,4767,1229,4763,1230,4768,1229,4762,1232,4768,1226,4774,1219,4779,1213,4780,1211,4782,1210,4783,1209,4788,1206,4791,1204,4795,1204,4798,1204,4804,1205,4822,1219,4816,1216,4821,1217,4810,1220,4816,1215,4813,1218,4819,1210,4830,1191,4858,1127,4863,1102,4869,1076,4875,1055,4875,1055,4875,1053,4876,1053,4882,1040,4882,1040,4882,1039,4883,1039,4889,1030,4889,1029,4890,1029,4890,1028,4901,1016,4902,1016,4904,1015,4905,1014,4916,1008,4917,1008,4918,1007,4919,1007,4930,1003,4937,1000,4945,1004,4947,1012,4950,1019,4946,1027,4939,1029,4927,1033,4929,1032,4901,1065,4902,1063,4896,1082,4891,1108,4885,1134,4878,1157,4872,1173,4866,1186,4853,1205,4841,1226,4836,1234,4835,1235,4834,1236,4833,1237,4827,1242,4824,1244,4820,1245,4816,1244,4810,1243,4808,1243,4806,1242,4803,1240,4798,1234,4792,1229,4799,1233,4782,1252,4780,1253,4778,1254,4776,1255,4771,1257,4770,1257,4768,1257,4767,1257,4760,1257,4764,1257,4758,1259,4764,1255,4759,1260,4762,1256,4759,1262,4757,1271,4751,1295,4745,1319,4742,1326,4741,1328,4741,1329,4740,1330,4737,1334,4733,1338,4728,1340,4723,1338,4721,1338,4717,1337,4715,1336,4713,1334,4710,1331,4709,1330,4708,1329,4707,1327,4702,1313,4695,1296,4690,1280,4678,1254,4660,1182,4654,1142,4648,1102,4632,1031,4620,1004,4615,991,4609,978,4612,982,4605,975,4615,979,4612,979,4622,975,4619,978,4623,974,4620,979,4617,989,4612,1016,4606,1049,4600,1076,4588,1116,4577,1150,4571,1170,4565,1191,4559,1209,4559,1211,4558,1211,4558,1212,4552,1222,4549,1227,4545,1229,4540,1229,4534,1229,4530,1229,4525,1228,4523,1224,4516,1215,4511,1205,4513,1208,4507,1203,4519,1206,4514,1207,4519,1205,4514,1208,4507,1214,4501,1218,4499,1219,4497,1219,4496,1219,4483,1221,4471,1222,4476,1221,4462,1226,4451,1230,4448,1231,4445,1231,4442,1230,4436,1228,4435,1227,4434,1226,4432,1225,4427,1221,4421,1216,4425,1218,4419,1216,4431,1215,4426,1218,4407,1233,4403,1232,4397,1230,4393,1229,4390,1226,4388,1223,4385,1217,4384,1216,4384,1216,4384,1215,4381,1205,4375,1182,4370,1160,4367,1151,4368,1153,4365,1147,4373,1154,4368,1152,4378,1152,4371,1155,4365,1172,4362,1187,4357,1224,4351,1264,4345,1301,4339,1336,4333,1373,4330,1390,4327,1404,4324,1414,4324,1415,4324,1415,4323,1416,4320,1422,4317,1427,4311,1431,4305,1429,4302,1429,4298,1428,4294,1425,4292,1421,4290,1415,4289,1415,4289,1414,4289,1413,4286,1402,4283,1389,4277,1365,4275,1356,4277,1361,4274,1358,4292,1360,4289,1362,4294,1356,4291,1362,4292,1360,4286,1378,4281,1398,4277,1407,4277,1407,4277,1408,4276,1408,4273,1414,4272,1416,4271,1418,4268,1419,4262,1422,4258,1424,4254,1424,4250,1422,4245,1419,4238,1417,4248,1417,4242,1419,4250,1413,4244,1423,4245,1421,4239,1436,4234,1450,4233,1451,4233,1453,4232,1453,4226,1461,4223,1466,4216,1469,4210,1466,4204,1464,4202,1463,4199,1461,4197,1459,4192,1450,4186,1441,4193,1447,4187,1445,4204,1439,4198,1448,4199,1446,4193,1463,4187,1479,4184,1485,4183,1486,4182,1488,4181,1488,4178,1491,4174,1495,4168,1496,4164,1494,4158,1492,4140,1468,4135,1461,4124,1449,4128,1452,4122,1449,4136,1448,4130,1452,4135,1446,4130,1458,4124,1480,4101,1562,4088,1589,4087,1590,4087,1591,4086,1592,4081,1598,4080,1600,4079,1601,4077,1602,4070,1605,4065,1608,4066,1607,4060,1611,4064,1608,4059,1615,4053,1625,4047,1635,4047,1636,4047,1636,4046,1637,4040,1644,4039,1645,4038,1646,4037,1647,4025,1654,4023,1655,4021,1655,4018,1655,4011,1655,4009,1655,4006,1655,4004,1653,3998,1649,3969,1576,3958,1526,3952,1501,3932,1463,3931,1462,3930,1461,3930,1460,3924,1448,3923,1447,3923,1446,3923,1445,3920,1432,3917,1415,3911,1377,3908,1359,3906,1345,3902,1334,3906,1340,3902,1336,3924,1335,3921,1339,3924,1335,3921,1344,3918,1359,3915,1378,3909,1417,3906,1436,3903,1451,3897,1470,3890,1484,3885,1494,3879,1506,3868,1538,3857,1576,3851,1600,3846,1629,3840,1656,3833,1680,3828,1694,3827,1695,3827,1695,3827,1696,3820,1706,3813,1714,3815,1713,3787,1781,3775,1818,3770,1835,3770,1836,3769,1837,3769,1837,3763,1848,3762,1851,3760,1852,3758,1854,3752,1857,3749,1859,3746,1860,3743,1859,3737,1858,3734,1857,3732,1856,3729,1854,3718,1842,3717,1841,3716,1840,3711,1832,3710,1832,3710,1831,3710,1830,3704,1819,3698,1808,3692,1798,3693,1800,3683,1788,3672,1777,3660,1767,3654,1762,3654,1761,3653,1760,3653,1759,3647,1751,3646,1751,3646,1750,3646,1749,3639,1737,3634,1723,3628,1709,3622,1697,3623,1698,3611,1681,3613,1683,3607,1677,3611,1680,3605,1677,3614,1678,3608,1679,3615,1676,3609,1681,3604,1686,3602,1688,3601,1688,3600,1689,3594,1692,3593,1693,3590,1693,3588,1693,3576,1692,3574,1692,3573,1692,3553,1675,3552,1673,3552,1672,3549,1661,3546,1646,3540,1610,3537,1594,3535,1581,3531,1572,3536,1579,3533,1576,3554,1572,3551,1577,3552,1574,3550,1587,3546,1605,3544,1626,3541,1648,3538,1669,3535,1686,3531,1696,3531,1697,3518,1710,3513,1709,3510,1708,3506,1708,3504,1706,3501,1702,3495,1693,3495,1692,3495,1692,3494,1691,3489,1678,3469,1655,3476,1657,3461,1677,3461,1675,3456,1688,3450,1705,3445,1720,3444,1721,3443,1721,3443,1722,3437,1731,3434,1736,3428,1738,3423,1737,3418,1736,3414,1735,3411,1733,3409,1730,3403,1722,3397,1713,3399,1716,3393,1711,3407,1713,3385,1731,3380,1741,3374,1752,3374,1753,3373,1753,3360,1765,3354,1766,3352,1767,3349,1767,3347,1766,3340,1765,3328,1760,3332,1760,3309,1759,3312,1759,3301,1761,3300,1761,3299,1761,3298,1761,3286,1761,3283,1761,3279,1760,3277,1757,3264,1745,3253,1731,3242,1718,3230,1707,3237,1711,3225,1708,3227,1708,3216,1707,3215,1707,3213,1707,3212,1707,3202,1703,3191,1700,3199,1698,3188,1704,3176,1710,3173,1711,3169,1711,3166,1710,3161,1708,3147,1700,3156,1701,3151,1703,3158,1698,3152,1706,3154,1703,3148,1715,3142,1728,3135,1742,3123,1760,3111,1775,3106,1781,3098,1782,3091,1777,3091,1777,3091,1756e" filled="false" stroked="true" strokeweight=".464308pt" strokecolor="#497dba">
              <v:path arrowok="t"/>
            </v:shape>
            <v:shape style="position:absolute;left:2653;top:605;width:2434;height:1782" coordorigin="2653,605" coordsize="2434,1782" path="m5084,605l2655,605,2653,608,2653,2385,2655,2387,5084,2387,5086,2385,5086,2383,2662,2383,2658,2378,2662,2378,2662,615,2658,615,2662,610,5086,610,5086,608,5084,605xm2662,2378l2658,2378,2662,2383,2662,2378xm5077,2378l2662,2378,2662,2383,5077,2383,5077,2378xm5077,610l5077,2383,5082,2378,5086,2378,5086,615,5082,615,5077,610xm5086,2378l5082,2378,5077,2383,5086,2383,5086,2378xm2662,610l2658,615,2662,615,2662,610xm5077,610l2662,610,2662,615,5077,615,5077,610xm5086,610l5077,610,5082,615,5086,615,5086,610xe" filled="true" fillcolor="#858585" stroked="false">
              <v:path arrowok="t"/>
              <v:fill type="solid"/>
            </v:shape>
            <v:shape style="position:absolute;left:398;top:2601;width:3965;height:2872" coordorigin="398,2601" coordsize="3965,2872" path="m2653,610l2653,608,2655,605,2658,605,5082,605,5084,605,5086,608,5086,610,5086,2383,5086,2385,5084,2387,5082,2387,2658,2387,2655,2387,2653,2385,2653,2383,2653,610xm2662,2383l2658,2378,5082,2378,5077,2383,5077,610,5082,615,2658,615,2662,610,2662,2383xe" filled="false" stroked="true" strokeweight=".086384pt" strokecolor="#858585">
              <v:path arrowok="t"/>
            </v:shape>
            <v:line style="position:absolute" from="5570,760" to="5570,1897" stroked="true" strokeweight=".460272pt" strokecolor="#858585"/>
            <v:shape style="position:absolute;left:5533;top:760;width:2111;height:1101" coordorigin="5533,760" coordsize="2111,1101" path="m5533,1860l5570,1860m5533,1673l5570,1673m5533,1496l5570,1496m5533,1310l5570,1310m5533,1123l5570,1123m5533,946l5570,946m5533,760l5570,760m5570,1860l7643,1860e" filled="false" stroked="true" strokeweight=".465271pt" strokecolor="#858585">
              <v:path arrowok="t"/>
            </v:shape>
            <v:shape style="position:absolute;left:5759;top:1879;width:1733;height:2" coordorigin="5759,1879" coordsize="1733,0" path="m5759,1879l5768,1879m5952,1879l5962,1879m6137,1879l6146,1879m6330,1879l6339,1879m6524,1879l6533,1879m6717,1879l6727,1879m6911,1879l6920,1879m7095,1879l7104,1879m7289,1879l7298,1879m7482,1879l7492,1879e" filled="false" stroked="true" strokeweight="1.861082pt" strokecolor="#858585">
              <v:path arrowok="t"/>
            </v:shape>
            <v:shape style="position:absolute;left:5570;top:929;width:2080;height:852" coordorigin="5570,929" coordsize="2080,852" path="m6533,1698l6537,1706,6543,1718,6549,1732,6556,1747,6571,1766,6582,1778,6584,1778,6591,1780,6600,1780,6603,1776,6611,1770,6611,1769,6613,1768,6620,1757,6620,1755,6585,1755,6591,1751,6592,1749,6591,1748,6592,1748,6581,1732,6575,1722,6568,1706,6565,1699,6536,1699,6533,1698xm6591,1751l6585,1755,6592,1754,6589,1754,6591,1751xm6596,1753l6585,1755,6620,1755,6621,1754,6597,1754,6596,1753xm6592,1750l6591,1751,6589,1754,6592,1750xm6592,1750l6589,1754,6592,1754,6596,1753,6592,1750xm6597,1753l6596,1753,6597,1754,6597,1753xm6592,1749l6592,1749,6595,1752,6598,1753,6597,1753,6597,1754,6621,1754,6624,1749,6593,1749,6592,1749xm6592,1750l6596,1753,6597,1753,6595,1752,6592,1750xm6595,1752l6597,1753,6598,1753,6595,1752xm6594,1750l6592,1750,6595,1752,6594,1750xm6592,1749l6591,1751,6592,1750,6594,1750,6592,1749xm6592,1748l6592,1749,6593,1749,6592,1748xm6635,1690l6624,1703,6610,1717,6610,1718,6609,1718,6609,1719,6602,1731,6596,1743,6592,1748,6593,1749,6624,1749,6626,1744,6632,1733,6634,1733,6644,1722,6656,1708,6658,1706,6664,1695,6666,1691,6634,1691,6635,1690xm6592,1748l6591,1748,6592,1749,6592,1748,6592,1748xm6299,1731l6312,1742,6314,1743,6315,1743,6321,1747,6324,1748,6329,1748,6335,1747,6339,1747,6343,1744,6345,1742,6352,1733,6352,1732,6302,1732,6299,1731xm6634,1733l6632,1733,6630,1737,6634,1733xm6252,1628l6219,1628,6220,1630,6220,1630,6225,1637,6231,1650,6238,1662,6244,1675,6258,1695,6272,1712,6272,1712,6273,1713,6274,1713,6287,1724,6302,1732,6353,1732,6357,1724,6323,1724,6328,1718,6328,1718,6328,1718,6317,1708,6316,1708,6315,1707,6315,1707,6304,1701,6294,1693,6293,1693,6291,1691,6291,1691,6281,1678,6269,1662,6262,1650,6256,1636,6252,1628xm6328,1718l6323,1724,6329,1721,6326,1721,6331,1720,6328,1718xm6329,1721l6323,1724,6357,1724,6358,1722,6334,1722,6329,1721xm6331,1720l6329,1721,6334,1722,6331,1720xm6360,1717l6329,1717,6328,1718,6330,1719,6333,1719,6331,1720,6334,1722,6358,1722,6360,1718,6360,1717xm6331,1720l6326,1721,6329,1721,6331,1720,6331,1720xm6333,1719l6331,1720,6331,1720,6333,1719xm6328,1718l6328,1718,6331,1720,6333,1719,6330,1719,6328,1718xm6328,1718l6328,1718,6330,1719,6328,1718xm6328,1718l6328,1718,6328,1718,6328,1718,6328,1718xm6328,1718l6328,1718,6328,1718,6328,1718xm6415,1674l6413,1675,6351,1675,6349,1677,6348,1678,6342,1688,6342,1690,6341,1691,6335,1704,6328,1718,6328,1718,6329,1717,6360,1717,6366,1702,6367,1702,6369,1699,6367,1699,6369,1697,6366,1697,6370,1696,6372,1695,6394,1695,6395,1693,6402,1688,6410,1680,6415,1674xm6458,1688l6469,1696,6475,1701,6475,1701,6477,1702,6477,1702,6484,1706,6486,1707,6492,1707,6505,1706,6507,1706,6520,1702,6533,1698,6530,1697,6532,1697,6531,1695,6563,1695,6561,1690,6560,1688,6461,1688,6458,1688xm6367,1702l6366,1702,6365,1704,6367,1702xm6371,1696l6370,1696,6367,1699,6370,1697,6371,1696xm6370,1697l6367,1699,6369,1699,6370,1697xm6535,1698l6533,1698,6533,1698,6536,1699,6535,1698xm6563,1695l6531,1695,6534,1698,6537,1698,6535,1698,6536,1699,6565,1699,6565,1698,6537,1698,6534,1698,6565,1698,6563,1695xm6533,1698l6533,1698,6533,1698,6533,1698xm6530,1697l6533,1698,6533,1698,6533,1697,6530,1697xm6533,1697l6533,1698,6533,1698,6535,1698,6534,1698,6533,1697xm6391,1696l6373,1696,6371,1697,6373,1697,6379,1698,6383,1698,6389,1697,6391,1696xm6531,1695l6533,1697,6534,1698,6531,1695xm6532,1697l6530,1697,6533,1697,6532,1697xm6373,1696l6371,1696,6370,1697,6373,1696xm6370,1696l6366,1697,6369,1697,6370,1696xm6372,1695l6370,1696,6371,1696,6372,1695xm6394,1695l6372,1695,6371,1696,6373,1696,6391,1696,6394,1695xm6291,1691l6293,1693,6291,1691,6291,1691xm6291,1691l6293,1693,6294,1693,6291,1691xm6720,1683l6731,1688,6739,1692,6740,1693,6754,1693,6756,1692,6759,1691,6769,1683,6724,1683,6720,1683xm6291,1691l6291,1691,6291,1691,6291,1691xm6636,1688l6635,1690,6634,1691,6636,1688xm6668,1688l6636,1688,6634,1691,6666,1691,6668,1688xm6682,1642l6676,1642,6670,1644,6667,1645,6664,1645,6662,1649,6656,1655,6655,1656,6654,1657,6648,1668,6641,1681,6635,1690,6636,1688,6668,1688,6677,1671,6677,1671,6675,1671,6676,1670,6672,1668,6680,1668,6682,1667,6743,1667,6746,1665,6744,1665,6746,1665,6745,1664,6731,1656,6727,1656,6725,1655,6705,1655,6700,1654,6702,1654,6699,1652,6691,1647,6685,1644,6682,1642xm6456,1686l6458,1688,6461,1688,6456,1686xm6558,1686l6456,1686,6461,1688,6560,1688,6558,1686xm6418,1672l6416,1673,6419,1675,6432,1681,6433,1682,6436,1682,6449,1685,6458,1688,6456,1686,6558,1686,6555,1681,6497,1681,6489,1680,6494,1679,6490,1677,6491,1677,6486,1673,6484,1672,6419,1672,6418,1672xm6718,1682l6720,1683,6724,1683,6718,1682xm6770,1682l6718,1682,6724,1683,6769,1683,6770,1682xm6743,1667l6682,1667,6680,1670,6681,1670,6680,1670,6678,1672,6679,1672,6685,1676,6694,1681,6697,1681,6720,1683,6718,1682,6770,1682,6772,1681,6775,1678,6775,1677,6781,1668,6742,1668,6743,1667xm6494,1679l6489,1680,6497,1681,6494,1679xm6541,1670l6535,1670,6528,1671,6525,1671,6513,1675,6500,1678,6502,1678,6494,1679,6497,1681,6555,1681,6555,1680,6553,1678,6551,1676,6549,1675,6543,1671,6541,1670xm6491,1677l6490,1677,6493,1678,6491,1677xm6373,1668l6364,1668,6362,1670,6360,1671,6353,1675,6413,1675,6416,1673,6415,1672,6378,1672,6381,1670,6378,1670,6379,1669,6373,1668xm6416,1673l6413,1675,6415,1674,6416,1673,6416,1673xm6677,1671l6676,1675,6678,1672,6677,1671xm6416,1673l6415,1674,6416,1673,6416,1673xm6417,1672l6416,1672,6416,1673,6416,1673,6417,1672xm6416,1672l6416,1673,6416,1673,6416,1672xm6416,1672l6414,1672,6416,1673,6416,1672,6417,1672,6418,1672,6416,1672xm6384,1668l6382,1669,6381,1670,6381,1670,6381,1670,6378,1672,6382,1670,6381,1670,6381,1670,6382,1670,6384,1668xm6479,1668l6384,1668,6378,1672,6412,1672,6414,1672,6413,1671,6482,1671,6479,1668xm6414,1672l6412,1672,6415,1672,6414,1672xm6482,1671l6419,1671,6418,1672,6419,1672,6484,1672,6482,1671xm6419,1671l6416,1672,6418,1672,6419,1671xm6413,1671l6414,1672,6416,1672,6413,1671xm6679,1671l6677,1671,6677,1671,6678,1672,6679,1671xm6419,1671l6413,1671,6416,1672,6419,1671xm6680,1670l6676,1671,6677,1671,6677,1671,6679,1671,6680,1670xm6676,1670l6675,1671,6676,1671,6676,1670xm6676,1671l6675,1671,6677,1671,6676,1671xm6678,1669l6676,1670,6676,1671,6680,1670,6680,1670,6678,1669xm6672,1668l6676,1670,6678,1669,6672,1668xm6680,1670l6680,1670,6681,1670,6680,1670xm6379,1669l6378,1670,6381,1670,6381,1670,6379,1669xm6382,1669l6379,1669,6381,1670,6382,1669xm6682,1667l6678,1669,6680,1670,6682,1667xm6680,1668l6672,1668,6678,1669,6680,1668xm6423,1645l6407,1645,6405,1647,6399,1651,6398,1651,6396,1654,6384,1667,6382,1669,6384,1668,6479,1668,6473,1664,6471,1662,6470,1661,6468,1661,6454,1657,6448,1656,6444,1656,6441,1655,6442,1655,6432,1650,6425,1646,6423,1645xm6746,1665l6742,1668,6747,1666,6746,1665xm6747,1666l6742,1668,6781,1668,6782,1667,6750,1667,6747,1666xm6748,1666l6747,1666,6750,1667,6748,1666xm6783,1665l6750,1665,6748,1666,6750,1667,6782,1667,6783,1665xm6746,1665l6746,1665,6747,1666,6748,1666,6746,1665xm6754,1658l6746,1665,6748,1666,6750,1665,6783,1665,6786,1661,6752,1661,6754,1658xm6746,1665l6744,1665,6746,1665,6746,1665,6746,1665xm6746,1665l6746,1665,6746,1665,6746,1665xm6756,1657l6754,1658,6752,1661,6756,1657xm6788,1657l6756,1657,6752,1661,6786,1661,6788,1659,6788,1657xm6835,1497l6831,1498,6827,1501,6821,1505,6819,1506,6817,1508,6816,1511,6809,1525,6809,1525,6809,1526,6803,1546,6796,1569,6789,1588,6777,1619,6765,1642,6754,1658,6756,1657,6788,1657,6802,1631,6815,1598,6822,1577,6829,1554,6835,1536,6834,1536,6837,1530,6834,1527,6830,1526,6839,1525,6840,1523,6871,1523,6864,1516,6850,1505,6849,1502,6848,1502,6839,1500,6835,1497xm5592,1623l5590,1624,5576,1626,5570,1629,5570,1652,5575,1656,5583,1655,5596,1651,5604,1649,5605,1649,5607,1647,5608,1647,5614,1642,5617,1640,5618,1637,5624,1628,5626,1624,5591,1624,5592,1623xm5655,1600l5640,1600,5636,1603,5632,1613,5631,1614,5633,1618,5639,1634,5640,1635,5646,1646,5648,1650,5650,1651,5653,1652,5663,1656,5666,1656,5670,1655,5677,1652,5677,1651,5678,1651,5689,1644,5689,1644,5691,1642,5692,1642,5702,1639,5712,1636,5708,1635,5760,1635,5767,1632,5670,1632,5666,1629,5659,1629,5663,1626,5663,1626,5663,1626,5665,1625,5665,1625,5665,1624,5664,1624,5663,1621,5664,1621,5658,1605,5655,1600xm6441,1655l6444,1656,6442,1655,6441,1655xm6442,1655l6444,1656,6448,1656,6442,1655xm6442,1655l6441,1655,6442,1655,6442,1655xm6700,1654l6705,1655,6702,1654,6700,1654xm6702,1654l6705,1655,6713,1655,6702,1654xm6702,1654l6700,1654,6702,1654,6702,1654xm5691,1642l5689,1644,5690,1643,5691,1642xm5690,1643l5689,1644,5689,1644,5690,1643xm5692,1642l5691,1642,5690,1643,5692,1642xm5760,1635l5714,1635,5712,1636,5721,1637,5734,1639,5736,1639,5750,1637,5753,1637,5760,1635xm5714,1635l5708,1635,5712,1636,5714,1635xm5663,1626l5663,1626,5670,1632,5667,1628,5663,1626xm5667,1628l5670,1632,5768,1632,5770,1631,5771,1630,5773,1629,5669,1629,5667,1628xm6220,1629l6220,1630,6220,1630,6220,1629xm6219,1628l6220,1629,6220,1630,6219,1628xm6215,1624l6220,1629,6219,1628,6252,1628,6250,1625,6217,1625,6215,1624xm5663,1626l5659,1629,5666,1629,5663,1626xm5709,1606l5708,1608,5692,1613,5679,1618,5678,1619,5677,1619,5666,1625,5667,1628,5669,1629,5773,1629,5784,1619,5785,1618,5786,1618,5787,1616,5790,1611,5735,1611,5736,1611,5725,1610,5712,1608,5709,1606xm5666,1625l5663,1626,5667,1628,5666,1626,5664,1626,5666,1625,5666,1625xm5663,1626l5663,1626,5663,1626,5663,1626xm5663,1626l5663,1626,5663,1626,5663,1626xm5666,1625l5664,1626,5666,1625,5666,1625xm5666,1625l5664,1626,5666,1626,5666,1625xm6214,1623l6215,1624,6217,1625,6214,1623xm6249,1623l6214,1623,6217,1625,6250,1625,6249,1623xm5595,1623l5592,1623,5591,1624,5595,1623,5595,1623xm5595,1623l5591,1624,5594,1624,5595,1623xm5595,1623l5595,1623,5594,1624,5595,1623xm5627,1623l5595,1623,5595,1623,5594,1624,5626,1624,5627,1623xm5663,1621l5664,1624,5664,1622,5663,1621xm5664,1622l5664,1624,5665,1624,5664,1622xm6141,1554l6147,1563,6154,1574,6160,1585,6167,1595,6170,1599,6183,1608,6184,1608,6185,1609,6211,1621,6215,1624,6214,1623,6249,1623,6249,1621,6242,1611,6241,1611,6240,1610,6233,1603,6232,1601,6231,1601,6223,1597,6210,1590,6200,1585,6199,1585,6191,1579,6189,1579,6186,1575,6187,1575,6183,1570,6177,1561,6174,1556,6142,1556,6141,1554xm5596,1620l5592,1623,5595,1623,5596,1620xm5595,1623l5595,1623,5595,1623,5595,1623,5595,1623xm5598,1619l5596,1620,5595,1623,5595,1623,5598,1619xm5595,1623l5595,1623,5595,1623,5595,1623xm5628,1619l5598,1619,5595,1623,5595,1623,5627,1623,5628,1619xm5664,1621l5663,1621,5664,1622,5664,1621xm5635,1574l5628,1574,5624,1577,5616,1583,5607,1600,5600,1613,5596,1620,5598,1619,5628,1619,5631,1614,5626,1603,5625,1601,5624,1600,5624,1600,5623,1598,5654,1598,5650,1589,5647,1584,5646,1582,5645,1582,5643,1579,5640,1577,5635,1574xm5625,1601l5626,1603,5631,1614,5632,1613,5635,1605,5634,1605,5636,1603,5628,1603,5625,1601xm5736,1611l5735,1611,5738,1611,5736,1611xm5748,1610l5736,1611,5738,1611,5744,1611,5748,1610xm5748,1610l5748,1610,5744,1611,5748,1610xm5791,1610l5748,1610,5744,1611,5790,1611,5791,1610xm5754,1608l5748,1610,5748,1610,5791,1610,5792,1609,5753,1609,5754,1608xm5758,1606l5754,1608,5753,1609,5758,1606xm5794,1606l5758,1606,5753,1609,5792,1609,5794,1606xm5765,1599l5754,1608,5758,1606,5794,1606,5799,1600,5764,1600,5765,1599xm5638,1600l5634,1605,5636,1603,5638,1600xm5636,1603l5634,1605,5635,1605,5636,1603xm5640,1600l5638,1600,5636,1603,5640,1600xm5623,1598l5625,1601,5628,1603,5623,1598xm5654,1598l5623,1598,5628,1603,5636,1603,5638,1600,5655,1600,5654,1598xm5624,1600l5624,1600,5625,1601,5624,1600xm5767,1598l5765,1599,5764,1600,5767,1598xm5800,1598l5767,1598,5764,1600,5799,1600,5799,1599,5800,1599,5800,1598xm5808,1583l5777,1583,5765,1599,5767,1598,5800,1598,5808,1583xm6197,1584l6199,1585,6200,1585,6197,1584xm5957,1487l5860,1487,5847,1495,5833,1501,5832,1501,5831,1502,5818,1513,5818,1513,5817,1515,5817,1515,5803,1531,5802,1532,5795,1546,5789,1559,5782,1573,5776,1584,5777,1583,5808,1583,5814,1572,5820,1557,5826,1547,5826,1547,5837,1534,5836,1534,5838,1533,5838,1533,5847,1526,5847,1526,5849,1525,5849,1525,5860,1518,5872,1512,5873,1512,5874,1511,5874,1511,5887,1500,5896,1494,5895,1494,5900,1491,5904,1491,5906,1490,5903,1490,5960,1490,5957,1487xm6186,1575l6189,1579,6188,1577,6186,1575xm6188,1577l6189,1579,6191,1579,6188,1577xm6187,1575l6186,1575,6188,1577,6187,1575xm6872,1525l6842,1525,6839,1526,6837,1530,6846,1537,6851,1543,6857,1551,6864,1558,6864,1559,6865,1561,6865,1561,6873,1567,6875,1568,6876,1568,6889,1573,6895,1573,6902,1572,6905,1570,6907,1570,6909,1569,6915,1563,6917,1563,6918,1562,6919,1559,6922,1553,6922,1552,6923,1551,6924,1547,6891,1547,6893,1546,6891,1546,6893,1545,6894,1545,6893,1544,6890,1544,6885,1542,6879,1532,6872,1525xm6140,1553l6141,1554,6142,1556,6140,1553xm6173,1553l6140,1553,6142,1556,6174,1556,6173,1553xm6127,1497l6111,1497,6105,1505,6103,1510,6108,1518,6115,1530,6115,1531,6116,1531,6117,1532,6130,1543,6141,1554,6140,1553,6173,1553,6170,1548,6164,1538,6163,1537,6162,1536,6162,1536,6149,1523,6138,1513,6137,1513,6136,1511,6136,1511,6132,1505,6127,1497xm5826,1547l5826,1547,5824,1549,5826,1547xm6017,1493l6023,1505,6029,1516,6036,1527,6037,1528,6038,1530,6052,1543,6053,1543,6054,1544,6056,1546,6063,1548,6065,1549,6071,1549,6077,1548,6080,1547,6083,1546,6086,1543,6092,1533,6092,1532,6093,1532,6096,1526,6063,1526,6067,1521,6065,1521,6067,1521,6067,1520,6067,1520,6068,1520,6068,1519,6060,1512,6060,1512,6057,1510,6058,1510,6054,1502,6050,1495,6018,1495,6017,1493xm6895,1545l6893,1545,6891,1547,6895,1546,6894,1546,6895,1545xm6896,1545l6891,1547,6924,1547,6925,1546,6898,1546,6896,1545xm6893,1545l6891,1546,6893,1546,6893,1545xm6895,1545l6895,1545,6894,1546,6895,1545xm6895,1545l6895,1545,6894,1546,6895,1546,6896,1545,6895,1545xm6925,1544l6898,1544,6896,1545,6898,1546,6925,1546,6925,1544xm6894,1545l6893,1545,6895,1545,6895,1545,6894,1545xm6898,1544l6895,1545,6896,1545,6898,1544xm6895,1545l6895,1545,6895,1545,6895,1545,6895,1545xm6895,1545l6895,1545,6895,1545,6895,1545xm6941,1460l6936,1461,6930,1463,6923,1465,6921,1469,6917,1474,6916,1476,6916,1477,6913,1486,6900,1532,6897,1542,6898,1542,6895,1545,6895,1545,6898,1544,6925,1544,6926,1542,6934,1517,6939,1497,6939,1497,6936,1492,6936,1492,6929,1485,6942,1485,6944,1484,6963,1484,6961,1482,6963,1482,6961,1480,6961,1480,6957,1474,6955,1471,6945,1463,6941,1460xm6898,1542l6895,1544,6895,1545,6895,1545,6898,1542xm6895,1544l6894,1545,6895,1545,6895,1544xm6885,1542l6890,1544,6888,1543,6885,1542xm6888,1543l6890,1544,6893,1544,6888,1543xm6898,1539l6895,1544,6898,1542,6897,1542,6898,1539xm6883,1538l6885,1542,6888,1543,6883,1538xm6835,1534l6834,1536,6835,1536,6835,1534xm5838,1533l5836,1534,5838,1533,5838,1533xm5838,1533l5836,1534,5837,1534,5838,1533xm5838,1533l5838,1533,5838,1533,5838,1533xm6834,1527l6837,1530,6838,1528,6836,1528,6836,1528,6836,1528,6834,1527xm6836,1528l6836,1528,6836,1528,6836,1528xm6836,1528l6836,1528,6837,1528,6836,1528xm6836,1528l6836,1528,6837,1528,6836,1528xm6839,1526l6836,1528,6837,1528,6838,1528,6839,1526xm6836,1528l6836,1528,6836,1528,6836,1528,6836,1528xm6833,1526l6834,1527,6836,1528,6836,1528,6833,1526xm6840,1525l6839,1525,6836,1528,6836,1528,6839,1526,6840,1525xm6838,1526l6833,1526,6836,1528,6838,1526xm6839,1525l6830,1526,6834,1527,6833,1526,6838,1526,6839,1525xm6842,1525l6840,1525,6839,1526,6842,1525xm5849,1525l5847,1526,5849,1525,5849,1525xm5849,1525l5847,1526,5847,1526,5849,1525xm5913,1492l5925,1498,5936,1506,5949,1516,5955,1521,5957,1522,5958,1523,5960,1523,5969,1526,5972,1526,5975,1525,5981,1522,5983,1521,5984,1521,5985,1520,5992,1515,6006,1502,6010,1498,5965,1498,5968,1497,5968,1497,5969,1497,5969,1497,5968,1496,5968,1496,5966,1495,5963,1492,5916,1492,5913,1492xm6067,1521l6063,1526,6069,1521,6067,1521xm6069,1521l6063,1526,6096,1526,6097,1522,6071,1522,6070,1522,6069,1521xm6840,1523l6839,1525,6840,1525,6840,1523xm6871,1523l6840,1523,6840,1525,6842,1525,6872,1525,6871,1523xm5849,1525l5849,1525,5849,1525,5849,1525xm6070,1522l6071,1522,6070,1522,6070,1522xm6070,1522l6071,1522,6073,1522,6070,1522xm6070,1521l6070,1521,6070,1522,6073,1522,6070,1521xm6100,1517l6069,1517,6068,1520,6072,1520,6070,1521,6073,1522,6097,1522,6100,1517xm6070,1521l6069,1521,6070,1522,6070,1522,6070,1521xm6069,1521l6069,1521,6070,1522,6069,1521xm6068,1520l6067,1521,6067,1521,6069,1521,6069,1521,6068,1520xm6068,1520l6068,1520,6069,1521,6070,1521,6069,1520,6068,1520xm6069,1520l6070,1521,6070,1521,6069,1520xm6067,1521l6065,1521,6067,1521,6067,1521xm6072,1520l6069,1520,6069,1520,6070,1521,6072,1520xm6067,1520l6067,1521,6068,1520,6067,1520xm6069,1520l6068,1520,6069,1520,6069,1520xm6067,1520l6067,1520,6068,1520,6068,1520,6067,1520xm6068,1519l6067,1520,6068,1520,6069,1520,6068,1519xm6069,1517l6068,1519,6069,1520,6072,1520,6068,1520,6069,1517xm6067,1520l6067,1520,6067,1520,6067,1520xm6068,1520l6067,1520,6067,1520,6068,1520xm6069,1517l6069,1517,6068,1520,6069,1517xm6100,1474l6094,1475,6090,1480,6083,1487,6083,1489,6082,1489,6081,1490,6075,1505,6069,1517,6069,1517,6100,1517,6100,1516,6103,1510,6097,1502,6095,1501,6096,1501,6095,1500,6100,1500,6111,1497,6127,1497,6125,1492,6118,1482,6114,1480,6112,1479,6106,1476,6100,1474xm6136,1511l6137,1513,6136,1511,6136,1511xm6136,1511l6137,1513,6138,1513,6136,1511xm6057,1510l6060,1512,6059,1511,6057,1510xm6059,1511l6060,1512,6060,1512,6059,1511xm6963,1484l6944,1484,6942,1487,6939,1497,6941,1500,6941,1500,6943,1501,6943,1501,6949,1507,6952,1508,6954,1510,6956,1510,6970,1512,6975,1512,6977,1511,6990,1506,6991,1505,6993,1503,6995,1502,7008,1487,7008,1487,7009,1486,6967,1486,6963,1484xm6058,1510l6057,1510,6059,1511,6058,1510xm6136,1511l6136,1511,6136,1511,6136,1511xm6097,1502l6103,1510,6105,1505,6101,1505,6097,1502xm6096,1501l6096,1501,6097,1502,6101,1505,6096,1501xm6111,1497l6096,1501,6101,1505,6105,1505,6106,1501,6108,1501,6111,1497xm6106,1501l6105,1505,6105,1505,6106,1501xm6105,1505l6105,1505,6105,1505,6105,1505xm6108,1501l6106,1501,6105,1505,6108,1501xm6096,1501l6095,1501,6097,1502,6096,1501xm6095,1500l6096,1501,6096,1501,6095,1500xm6100,1500l6095,1500,6096,1501,6100,1500xm5969,1497l5965,1498,5971,1498,5969,1497xm5971,1498l5965,1498,5972,1498,5971,1498xm5971,1498l5971,1498,5972,1498,5971,1498xm6013,1496l5972,1496,5970,1497,5974,1497,5971,1498,5972,1498,6010,1498,6013,1496xm5969,1497l5969,1497,5971,1498,5971,1498,5969,1497xm5970,1497l5969,1497,5969,1497,5971,1498,5974,1497,5970,1497xm5969,1497l5968,1497,5969,1497,5969,1497,5969,1497xm5969,1497l5968,1497,5968,1497,5969,1497,5969,1497xm6942,1487l6941,1488,6941,1489,6941,1489,6940,1490,6934,1490,6939,1497,6942,1487xm5969,1497l5969,1497,5969,1497,5969,1497,5969,1497xm5970,1497l5969,1497,5969,1497,5970,1497,5970,1497xm5969,1496l5969,1497,5969,1497,5969,1497,5970,1497,5969,1496xm5968,1496l5969,1497,5969,1497,5968,1496,5968,1496xm5968,1496l5969,1497,5969,1496,5968,1496xm6027,1464l6011,1464,6009,1465,6002,1469,6002,1469,6001,1470,6000,1470,5987,1482,5975,1492,5969,1496,5970,1497,5972,1496,6013,1496,6017,1494,6016,1494,6017,1493,6017,1493,6015,1491,6014,1491,6015,1491,6012,1487,6045,1487,6040,1479,6039,1477,6039,1476,6038,1476,6030,1466,6027,1464xm5968,1496l5968,1496,5968,1496,5968,1496xm6017,1493l6017,1493,6018,1495,6017,1493xm6047,1490l6022,1490,6019,1492,6020,1492,6018,1492,6017,1493,6018,1495,6050,1495,6047,1490xm5900,1491l5895,1494,5898,1493,5900,1491xm5898,1493l5895,1494,5896,1494,5898,1493xm6017,1493l6016,1494,6017,1494,6017,1493,6017,1493,6017,1493xm6017,1493l6017,1493,6017,1493,6017,1493xm6017,1493l6017,1493,6017,1493,6017,1493xm6018,1492l6017,1493,6017,1493,6017,1493,6018,1492xm6015,1491l6017,1493,6017,1493,6016,1492,6018,1492,6019,1492,6015,1491xm6019,1492l6017,1493,6017,1493,6018,1492,6020,1492,6019,1492xm6016,1492l6017,1493,6017,1493,6016,1492xm6018,1492l6016,1492,6017,1493,6018,1492xm5904,1491l5900,1491,5898,1493,5904,1491xm5912,1491l5913,1492,5916,1492,5912,1491xm5961,1491l5912,1491,5916,1492,5963,1492,5961,1491xm6019,1492l6019,1492,6020,1492,6019,1492xm6929,1485l6936,1492,6934,1490,6935,1490,6938,1488,6929,1485xm6934,1490l6936,1492,6936,1492,6934,1490xm6017,1491l6015,1491,6015,1491,6019,1492,6019,1492,6017,1491xm5960,1490l5908,1490,5906,1490,5913,1492,5912,1491,5961,1491,5960,1490xm6022,1490l6017,1491,6019,1492,6022,1490xm6015,1491l6014,1491,6015,1491,6015,1491xm6012,1487l6015,1491,6017,1491,6012,1487xm6045,1487l6012,1487,6017,1491,6022,1490,6047,1490,6045,1487xm5908,1490l5903,1490,5906,1490,5908,1490xm6938,1488l6935,1490,6941,1489,6941,1488,6938,1488xm6941,1489l6935,1490,6940,1490,6941,1489xm6941,1489l6941,1489,6940,1490,6941,1489xm6941,1488l6941,1489,6941,1489,6941,1488xm6941,1488l6941,1489,6941,1489,6941,1488xm5905,1463l5903,1463,5902,1464,5889,1466,5885,1467,5883,1469,5857,1489,5860,1487,5957,1487,5952,1482,5938,1474,5925,1466,5923,1465,5920,1465,5907,1464,5905,1463xm6942,1486l6941,1488,6941,1488,6942,1487,6942,1486xm6944,1484l6938,1488,6941,1488,6942,1486,6942,1486,6944,1484xm6942,1485l6929,1485,6938,1488,6942,1485xm6942,1486l6942,1486,6942,1487,6942,1486xm6961,1482l6967,1486,6964,1483,6961,1482xm6964,1483l6967,1486,7009,1486,7010,1485,6966,1485,6970,1483,6964,1483xm6970,1483l6966,1485,6974,1484,6970,1483xm6975,1481l6970,1483,6974,1484,6966,1485,7010,1485,7012,1482,6974,1482,6975,1481xm6962,1481l6963,1482,6961,1482,6964,1483,6962,1481xm6961,1480l6963,1482,6962,1481,6961,1480xm6979,1480l6975,1481,6974,1482,6979,1480xm7013,1480l6979,1480,6974,1482,7012,1482,7013,1480xm6987,1469l6975,1481,6979,1480,7013,1480,7018,1471,6986,1471,6987,1469xm6961,1480l6961,1480,6962,1481,6961,1480xm7068,1295l7064,1296,7055,1302,7053,1304,7051,1306,7050,1309,7043,1326,7037,1350,7030,1374,7024,1394,7012,1425,6999,1449,6986,1471,7018,1471,7023,1464,7037,1438,7050,1404,7056,1382,7064,1357,7070,1333,7073,1325,7072,1325,7070,1325,7071,1324,7064,1322,7074,1321,7076,1320,7102,1320,7106,1314,7110,1306,7077,1306,7082,1299,7080,1299,7073,1296,7068,1295xm7260,1090l7265,1100,7271,1120,7277,1146,7283,1178,7286,1203,7290,1235,7297,1309,7299,1340,7303,1373,7305,1399,7309,1420,7309,1423,7311,1425,7312,1427,7318,1433,7321,1436,7326,1438,7338,1434,7341,1434,7342,1433,7344,1431,7352,1425,7353,1425,7355,1424,7360,1418,7361,1415,7361,1414,7336,1414,7335,1412,7329,1410,7328,1410,7328,1410,7324,1409,7330,1408,7334,1405,7334,1404,7333,1397,7330,1369,7326,1338,7322,1294,7314,1199,7310,1173,7304,1139,7297,1111,7290,1090,7261,1090,7260,1090xm7335,1412l7336,1414,7336,1412,7335,1412xm7366,1399l7338,1399,7336,1403,7336,1403,7334,1404,7334,1405,7336,1411,7337,1413,7336,1413,7336,1414,7361,1414,7362,1413,7337,1413,7336,1412,7362,1412,7366,1403,7366,1399xm7336,1411l7336,1412,7337,1413,7336,1411xm7332,1408l7332,1408,7335,1412,7336,1412,7336,1411,7332,1408xm7332,1408l7328,1410,7335,1412,7332,1408xm7335,1408l7333,1408,7332,1408,7336,1411,7335,1408xm7328,1410l7328,1410,7328,1410,7328,1410xm7328,1410l7328,1410,7329,1410,7328,1410xm7332,1408l7330,1408,7328,1410,7328,1410,7332,1408,7332,1408xm7330,1408l7324,1409,7328,1410,7330,1408xm7334,1405l7330,1408,7332,1408,7332,1408,7335,1408,7334,1405,7333,1405,7334,1405xm7333,1408l7332,1408,7332,1408,7333,1408xm7333,1408l7332,1408,7332,1408,7333,1408xm7334,1404l7334,1405,7333,1405,7334,1404,7334,1404xm7334,1404l7333,1405,7334,1405,7334,1404xm7334,1404l7334,1405,7334,1404,7334,1404xm7336,1403l7334,1404,7334,1404,7336,1403xm7337,1401l7334,1404,7334,1404,7336,1403,7336,1403,7337,1401xm7338,1399l7337,1401,7336,1403,7338,1399xm7388,1266l7374,1273,7372,1274,7369,1278,7363,1286,7362,1289,7362,1290,7358,1302,7355,1316,7349,1350,7339,1393,7337,1401,7338,1399,7366,1399,7369,1388,7376,1355,7385,1307,7387,1302,7386,1302,7388,1299,7389,1299,7389,1297,7387,1297,7392,1294,7395,1294,7401,1290,7403,1290,7404,1289,7405,1288,7411,1281,7412,1279,7413,1278,7416,1269,7385,1269,7388,1266xm7101,1321l7076,1321,7075,1322,7073,1325,7077,1327,7079,1329,7084,1329,7090,1327,7094,1327,7098,1326,7100,1322,7101,1321xm7075,1322l7071,1324,7072,1325,7073,1325,7075,1322xm7071,1324l7070,1325,7071,1324,7071,1324xm7071,1324l7070,1325,7072,1325,7071,1324xm7075,1321l7074,1321,7071,1324,7071,1324,7075,1322,7075,1321xm7074,1321l7064,1322,7071,1324,7074,1321xm7076,1321l7075,1321,7075,1322,7076,1321xm7076,1320l7074,1321,7075,1321,7076,1320xm7102,1320l7076,1320,7075,1321,7076,1321,7101,1321,7102,1320xm7082,1299l7077,1306,7086,1302,7081,1301,7086,1301,7082,1299xm7086,1302l7077,1306,7110,1306,7112,1302,7088,1302,7086,1302xm7086,1302l7086,1302,7088,1302,7086,1302xm7113,1301l7087,1301,7086,1302,7088,1302,7112,1302,7113,1301xm7388,1299l7386,1302,7387,1301,7388,1299xm7387,1301l7386,1302,7387,1302,7387,1301xm7086,1301l7081,1301,7086,1302,7086,1302,7086,1301xm7163,1234l7131,1234,7118,1245,7104,1259,7103,1262,7103,1263,7096,1274,7090,1286,7084,1296,7082,1299,7086,1302,7087,1301,7113,1301,7121,1286,7125,1279,7124,1279,7137,1265,7150,1254,7150,1253,7152,1252,7159,1242,7163,1234xm7389,1299l7388,1299,7387,1301,7389,1299xm7392,1294l7387,1297,7391,1296,7392,1294xm7391,1296l7387,1297,7389,1297,7391,1296xm7395,1294l7392,1294,7391,1296,7395,1294xm7126,1276l7124,1279,7125,1279,7126,1276xm7388,1266l7388,1266,7385,1269,7388,1266,7388,1266xm7388,1266l7385,1269,7416,1269,7417,1266,7388,1266,7388,1266xm7389,1265l7388,1266,7388,1266,7389,1265xm7418,1265l7389,1265,7389,1265,7388,1266,7417,1266,7418,1265xm7389,1265l7388,1266,7388,1266,7389,1265,7389,1265xm7388,1265l7388,1266,7388,1266,7388,1265xm7391,1263l7388,1265,7388,1266,7389,1265,7391,1263xm7389,1265l7389,1265,7389,1265,7389,1265xm7419,1263l7391,1263,7389,1265,7389,1265,7418,1265,7419,1263xm7455,1140l7450,1140,7445,1144,7439,1147,7437,1149,7436,1150,7436,1151,7429,1160,7428,1161,7414,1186,7414,1187,7414,1188,7407,1207,7401,1229,7394,1250,7388,1265,7391,1263,7419,1263,7420,1259,7427,1238,7434,1214,7440,1197,7441,1197,7452,1176,7451,1176,7452,1174,7449,1170,7445,1167,7469,1167,7473,1160,7474,1157,7470,1151,7469,1150,7468,1149,7466,1147,7460,1144,7455,1140xm7192,1203l7149,1203,7148,1204,7135,1226,7129,1235,7131,1234,7163,1234,7165,1229,7169,1223,7169,1223,7171,1221,7170,1221,7167,1221,7169,1220,7165,1218,7173,1218,7176,1217,7230,1217,7231,1216,7232,1214,7232,1213,7233,1208,7202,1208,7204,1206,7198,1206,7194,1204,7195,1204,7192,1203xm7172,1220l7171,1221,7173,1222,7178,1227,7179,1228,7181,1228,7187,1232,7190,1233,7211,1233,7218,1229,7220,1228,7223,1227,7224,1224,7227,1221,7173,1221,7172,1220xm7171,1221l7169,1223,7170,1222,7171,1221,7171,1221xm7170,1222l7169,1223,7169,1223,7170,1222xm7171,1221l7170,1222,7171,1221,7171,1221xm7171,1220l7171,1221,7171,1221,7172,1220,7171,1220xm7171,1220l7171,1221,7171,1221,7171,1220,7171,1220xm7170,1219l7169,1220,7171,1221,7171,1220,7170,1219xm7169,1220l7167,1221,7170,1221,7169,1220xm7230,1217l7176,1217,7172,1220,7173,1221,7227,1221,7230,1217xm7173,1219l7172,1219,7171,1220,7172,1220,7173,1219xm7172,1219l7172,1220,7171,1220,7172,1219xm7176,1217l7170,1219,7171,1220,7172,1219,7173,1219,7176,1217xm7165,1218l7169,1220,7170,1219,7165,1218xm7173,1218l7165,1218,7170,1219,7173,1218xm7208,1203l7206,1204,7206,1204,7205,1204,7204,1205,7202,1208,7208,1203xm7235,1203l7208,1203,7202,1208,7233,1208,7235,1203xm7194,1204l7198,1206,7196,1205,7194,1204xm7196,1205l7198,1206,7200,1206,7196,1205xm7203,1205l7200,1206,7201,1206,7203,1205xm7204,1205l7203,1205,7201,1206,7204,1205,7204,1205xm7204,1205l7201,1206,7204,1206,7204,1205xm7195,1204l7195,1204,7194,1204,7196,1205,7195,1204xm7205,1204l7203,1205,7204,1205,7205,1204xm7205,1204l7204,1205,7204,1205,7205,1204xm7206,1204l7205,1204,7204,1205,7205,1204,7206,1204,7206,1204xm7192,1203l7195,1204,7195,1204,7192,1203xm7206,1204l7206,1204,7206,1204,7206,1204xm7207,1201l7205,1204,7206,1204,7207,1201xm7176,1192l7164,1192,7160,1193,7158,1196,7151,1202,7150,1203,7192,1203,7195,1204,7188,1199,7181,1195,7179,1193,7176,1192xm7207,1201l7207,1201,7206,1204,7206,1204,7207,1201xm7235,1201l7207,1201,7206,1204,7208,1203,7235,1203,7235,1202,7235,1201xm7259,1059l7255,1059,7244,1062,7242,1063,7240,1065,7234,1072,7233,1073,7232,1075,7228,1089,7225,1104,7219,1141,7211,1180,7209,1193,7207,1201,7207,1201,7235,1201,7239,1185,7246,1147,7252,1109,7255,1094,7256,1090,7255,1090,7256,1088,7254,1088,7256,1086,7256,1086,7254,1085,7258,1085,7261,1084,7288,1084,7283,1074,7282,1073,7281,1072,7280,1070,7275,1065,7274,1064,7272,1063,7270,1062,7262,1061,7259,1059xm7441,1197l7440,1197,7439,1199,7441,1197xm7483,1191l7467,1191,7470,1192,7473,1195,7477,1195,7479,1192,7483,1191xm7469,1167l7460,1167,7455,1170,7452,1174,7455,1177,7461,1186,7462,1188,7464,1191,7486,1191,7489,1188,7490,1186,7497,1175,7498,1172,7498,1172,7498,1171,7467,1171,7469,1167xm7452,1175l7451,1176,7452,1176,7452,1175xm7449,1170l7452,1174,7454,1171,7452,1171,7449,1170xm7448,1167l7449,1170,7452,1171,7448,1167xm7457,1167l7448,1167,7452,1171,7454,1171,7457,1167xm7457,1167l7454,1171,7455,1170,7457,1167xm7455,1170l7454,1171,7454,1171,7455,1170xm7473,1160l7467,1171,7474,1166,7480,1166,7478,1162,7473,1162,7473,1160xm7477,1166l7474,1166,7467,1171,7483,1171,7477,1166xm7480,1166l7477,1166,7483,1171,7480,1166xm7566,929l7553,929,7550,930,7547,933,7540,939,7540,940,7539,941,7538,943,7532,955,7524,972,7517,992,7511,1016,7505,1043,7498,1072,7492,1096,7485,1120,7479,1144,7474,1157,7477,1161,7483,1171,7498,1171,7505,1152,7512,1128,7519,1104,7525,1078,7532,1049,7538,1022,7544,998,7550,981,7557,966,7560,960,7554,954,7563,954,7566,953,7589,953,7581,941,7581,940,7580,939,7580,939,7570,930,7566,929xm7460,1167l7457,1167,7455,1170,7460,1167xm7448,1167l7445,1167,7449,1170,7448,1167xm7474,1160l7473,1160,7473,1162,7474,1160xm7476,1160l7474,1160,7473,1162,7478,1162,7477,1161,7476,1160xm7474,1157l7473,1160,7474,1160,7476,1160,7474,1157xm7590,997l7596,1011,7602,1028,7609,1052,7623,1109,7631,1114,7638,1113,7645,1110,7650,1103,7636,1044,7628,1020,7621,998,7591,998,7590,997xm7257,1087l7257,1087,7255,1090,7257,1088,7257,1087xm7257,1088l7255,1090,7256,1090,7257,1088xm7259,1087l7260,1090,7261,1090,7259,1087,7259,1087xm7259,1087l7261,1090,7290,1090,7289,1088,7261,1088,7259,1087xm7259,1087l7258,1087,7257,1087,7260,1090,7259,1087,7259,1087xm7257,1087l7257,1087,7257,1088,7257,1087,7257,1087xm7256,1086l7254,1088,7257,1087,7257,1087,7257,1087,7256,1086xm7257,1087l7254,1088,7256,1088,7257,1087xm7259,1087l7259,1087,7261,1088,7259,1087xm7288,1084l7261,1084,7259,1086,7259,1086,7261,1087,7259,1087,7261,1088,7289,1088,7288,1084xm7258,1087l7257,1087,7257,1087,7258,1087xm7257,1087l7257,1087,7257,1087,7257,1087,7257,1087xm7257,1087l7257,1087,7258,1087,7258,1087,7257,1087xm7258,1087l7258,1087,7259,1087,7258,1087xm7257,1086l7257,1087,7257,1087,7257,1087,7257,1087,7257,1086xm7259,1087l7259,1087,7259,1087,7259,1087xm7259,1087l7259,1087,7259,1087,7259,1087xm7258,1087l7258,1087,7259,1087,7259,1087,7259,1087,7258,1087xm7259,1087l7259,1087,7259,1087,7259,1087xm7259,1086l7259,1086,7259,1087,7259,1087,7261,1087,7259,1086xm7259,1086l7259,1086,7259,1087,7259,1087,7259,1086xm7256,1086l7256,1086,7257,1087,7257,1086,7256,1086xm7259,1086l7258,1086,7258,1087,7259,1087,7259,1086xm7257,1086l7257,1087,7258,1087,7258,1087,7257,1086xm7257,1086l7257,1086,7257,1087,7257,1086xm7258,1086l7258,1086,7258,1087,7258,1086,7259,1086,7258,1086xm7257,1086l7257,1086,7257,1086,7257,1086,7257,1086,7257,1086,7257,1086xm7256,1086l7256,1086,7256,1086,7256,1086,7257,1086,7256,1086,7256,1086xm7257,1086l7257,1086,7257,1086,7258,1086,7257,1086xm7254,1085l7256,1086,7256,1086,7254,1085xm7257,1086l7257,1086,7257,1086,7257,1086,7257,1086xm7261,1084l7258,1085,7258,1086,7259,1086,7261,1084xm7258,1085l7258,1086,7259,1086,7258,1085xm7258,1085l7258,1086,7258,1086,7259,1086,7258,1085xm7256,1086l7257,1086,7257,1086,7256,1086xm7258,1086l7258,1086,7257,1086,7258,1086,7258,1086xm7258,1086l7257,1086,7257,1086,7258,1086xm7258,1085l7255,1085,7256,1086,7257,1086,7258,1086,7258,1085,7258,1085xm7255,1085l7256,1086,7256,1086,7255,1085xm7255,1085l7254,1085,7256,1086,7255,1085xm7258,1085l7258,1086,7258,1086,7258,1085xm7258,1085l7258,1085,7258,1086,7258,1085xm7616,989l7585,989,7591,998,7621,998,7616,989xm7589,953l7566,953,7563,956,7563,956,7563,956,7562,957,7560,960,7572,975,7572,976,7573,977,7586,991,7585,989,7616,989,7615,985,7615,984,7614,984,7614,982,7607,974,7607,972,7606,972,7595,960,7594,960,7592,956,7563,956,7563,956,7592,956,7589,953xm7560,960l7560,960,7561,960,7560,960xm7593,958l7594,960,7595,960,7593,958xm7554,954l7560,960,7560,960,7559,958,7561,958,7562,956,7557,956,7559,955,7554,954xm7561,958l7559,958,7560,960,7561,959,7560,959,7561,958xm7562,956l7560,959,7562,957,7562,956xm7562,957l7560,959,7561,959,7562,957xm7559,955l7557,956,7562,956,7562,957,7563,956,7559,955xm7566,953l7559,955,7563,956,7566,953xm7563,954l7554,954,7559,955,7563,954xe" filled="true" fillcolor="#497dba" stroked="false">
              <v:path arrowok="t"/>
              <v:fill type="solid"/>
            </v:shape>
            <v:shape style="position:absolute;left:5570;top:928;width:2080;height:853" coordorigin="5570,928" coordsize="2080,853" path="m5576,1626l5590,1623,5595,1622,5591,1623,5598,1619,5594,1623,5600,1612,5607,1600,5624,1577,5628,1573,5635,1573,5640,1576,5643,1579,5645,1580,5646,1581,5647,1584,5650,1589,5658,1605,5664,1623,5663,1620,5670,1631,5663,1626,5669,1628,5659,1628,5666,1625,5664,1626,5677,1618,5677,1618,5678,1618,5679,1617,5692,1612,5706,1608,5708,1607,5709,1606,5712,1607,5725,1609,5738,1610,5735,1610,5748,1610,5744,1610,5758,1606,5789,1559,5795,1545,5802,1533,5802,1531,5803,1531,5803,1530,5817,1514,5817,1514,5818,1513,5818,1513,5831,1502,5832,1502,5832,1501,5833,1501,5883,1468,5885,1466,5887,1466,5889,1465,5902,1463,5903,1462,5905,1462,5907,1463,5920,1464,5922,1464,5923,1465,5925,1465,5938,1472,5952,1482,5966,1494,5972,1497,5968,1495,5974,1497,5965,1497,5972,1495,5968,1497,5975,1492,5987,1481,6000,1470,6001,1469,6002,1468,6002,1468,6009,1464,6011,1463,6014,1463,6017,1463,6023,1464,6027,1464,6030,1465,6032,1468,6038,1475,6039,1476,6039,1476,6040,1478,6047,1490,6054,1502,6060,1511,6063,1525,6069,1516,6068,1519,6075,1503,6081,1489,6082,1488,6083,1488,6083,1486,6090,1479,6094,1474,6100,1472,6106,1475,6112,1478,6114,1479,6116,1481,6118,1482,6125,1492,6132,1504,6137,1513,6136,1510,6149,1523,6162,1535,6162,1535,6163,1537,6164,1537,6170,1547,6177,1559,6183,1570,6189,1578,6186,1575,6199,1584,6197,1583,6210,1590,6223,1596,6231,1601,6241,1610,6242,1610,6242,1611,6249,1621,6256,1636,6262,1649,6269,1661,6281,1678,6293,1693,6291,1690,6304,1700,6315,1706,6315,1707,6316,1707,6317,1708,6330,1719,6328,1717,6334,1721,6326,1720,6333,1719,6323,1724,6329,1716,6328,1717,6335,1704,6341,1690,6341,1690,6342,1689,6342,1688,6348,1678,6349,1677,6364,1668,6366,1668,6373,1668,6381,1669,6378,1669,6384,1668,6378,1671,6384,1666,6390,1659,6396,1653,6397,1652,6398,1651,6399,1650,6405,1646,6407,1645,6410,1644,6412,1644,6419,1644,6421,1644,6423,1644,6425,1646,6432,1649,6444,1655,6441,1654,6497,1680,6489,1679,6502,1678,6500,1678,6513,1674,6525,1671,6526,1670,6527,1670,6528,1670,6535,1669,6538,1669,6541,1669,6543,1671,6549,1674,6551,1675,6553,1677,6555,1679,6561,1689,6568,1705,6575,1721,6581,1732,6598,1752,6585,1755,6592,1749,6589,1753,6596,1742,6602,1730,6609,1718,6609,1718,6610,1717,6610,1716,6624,1702,6636,1688,6634,1690,6641,1680,6648,1668,6654,1657,6655,1656,6655,1655,6656,1654,6662,1647,6664,1645,6667,1644,6670,1643,6676,1642,6679,1641,6682,1642,6685,1643,6691,1647,6699,1651,6705,1654,6700,1653,6713,1654,6725,1654,6727,1655,6729,1655,6731,1656,6742,1667,6756,1657,6752,1661,6765,1642,6777,1618,6789,1587,6796,1568,6803,1545,6809,1525,6809,1524,6809,1524,6809,1523,6816,1510,6817,1507,6819,1506,6821,1504,6827,1500,6831,1497,6835,1497,6839,1499,6846,1501,6848,1502,6849,1502,6850,1503,6864,1515,6898,1543,6891,1547,6898,1541,6894,1545,6898,1539,6897,1541,6900,1532,6906,1509,6913,1486,6916,1476,6916,1475,6917,1474,6917,1473,6921,1468,6923,1465,6926,1463,6930,1462,6936,1461,6941,1460,6945,1461,6948,1464,6955,1471,6956,1472,6956,1472,6957,1473,6963,1482,6961,1480,6967,1485,6961,1482,6987,1468,6986,1470,6999,1448,7024,1394,7043,1325,7050,1307,7051,1305,7053,1303,7055,1301,7061,1297,7064,1295,7068,1294,7073,1296,7080,1298,7088,1301,7081,1301,7087,1300,7077,1305,7084,1296,7090,1286,7096,1274,7103,1262,7103,1261,7104,1260,7104,1258,7118,1245,7131,1233,7129,1235,7135,1225,7142,1215,7148,1204,7149,1203,7150,1202,7151,1201,7158,1195,7160,1193,7164,1191,7167,1191,7173,1191,7176,1191,7179,1193,7181,1194,7188,1198,7195,1204,7192,1203,7198,1205,7194,1204,7200,1205,7205,1204,7201,1205,7208,1203,7202,1207,7207,1199,7206,1204,7209,1193,7211,1179,7219,1141,7225,1103,7228,1088,7232,1076,7232,1074,7233,1073,7247,1060,7255,1059,7257,1058,7259,1058,7262,1059,7270,1061,7281,1071,7282,1073,7304,1138,7314,1198,7316,1230,7320,1265,7323,1301,7326,1337,7330,1369,7333,1396,7336,1414,7332,1407,7337,1412,7324,1408,7333,1407,7328,1409,7336,1403,7333,1405,7338,1398,7336,1403,7339,1393,7342,1381,7349,1348,7355,1315,7358,1301,7362,1289,7362,1288,7363,1287,7394,1249,7401,1228,7407,1207,7414,1187,7414,1186,7414,1185,7414,1185,7428,1160,7428,1159,7429,1159,7429,1158,7436,1150,7436,1149,7437,1148,7439,1146,7445,1142,7450,1140,7455,1140,7460,1142,7466,1146,7468,1148,7469,1149,7470,1151,7477,1161,7483,1170,7477,1165,7480,1166,7471,1166,7474,1165,7467,1171,7474,1159,7473,1162,7479,1142,7485,1120,7492,1096,7498,1071,7505,1042,7524,972,7539,941,7540,940,7540,939,7547,932,7550,930,7553,928,7557,928,7563,928,7566,928,7570,930,7573,932,7580,939,7580,939,7581,940,7581,941,7594,959,7593,957,7606,971,7607,972,7607,972,7607,973,7614,982,7614,983,7615,983,7615,984,7621,997,7628,1019,7636,1043,7648,1095,7650,1102,7645,1109,7638,1112,7631,1113,7623,1109,7621,1101,7609,1051,7602,1028,7596,1010,7590,996,7591,998,7585,989,7586,990,7573,976,7572,976,7572,975,7572,975,7559,957,7561,959,7554,953,7563,956,7557,956,7566,952,7560,958,7562,955,7557,966,7550,980,7544,998,7538,1021,7532,1049,7525,1077,7519,1103,7512,1127,7505,1151,7498,1171,7498,1172,7498,1172,7483,1191,7479,1192,7477,1193,7473,1193,7470,1192,7467,1191,7464,1190,7462,1188,7461,1185,7455,1176,7448,1166,7452,1171,7445,1166,7460,1166,7454,1171,7457,1167,7451,1175,7452,1173,7439,1198,7440,1196,7434,1214,7414,1276,7404,1288,7403,1289,7401,1290,7395,1293,7387,1297,7392,1293,7386,1301,7388,1298,7385,1307,7382,1321,7376,1354,7369,1387,7366,1402,7362,1412,7361,1414,7361,1415,7360,1417,7355,1423,7354,1423,7353,1424,7352,1425,7344,1431,7342,1433,7341,1433,7338,1434,7330,1436,7326,1437,7321,1435,7318,1431,7312,1427,7311,1425,7309,1422,7309,1419,7305,1399,7303,1372,7299,1339,7296,1304,7293,1268,7286,1203,7271,1119,7258,1085,7261,1089,7255,1084,7261,1088,7254,1085,7261,1086,7254,1088,7261,1083,7255,1090,7258,1085,7255,1093,7252,1109,7246,1146,7239,1184,7235,1201,7232,1213,7232,1214,7231,1215,7230,1216,7224,1224,7209,1232,7207,1232,7205,1232,7197,1232,7192,1232,7190,1232,7188,1231,7187,1230,7181,1228,7180,1228,7179,1227,7178,1226,7173,1222,7165,1217,7173,1219,7167,1219,7176,1216,7169,1222,7172,1219,7165,1229,7159,1241,7152,1251,7152,1252,7150,1253,7150,1253,7137,1265,7124,1278,7126,1275,7121,1286,7114,1299,7106,1313,7100,1322,7098,1325,7094,1327,7090,1327,7084,1328,7082,1329,7079,1328,7077,1327,7072,1324,7064,1322,7076,1320,7070,1324,7076,1319,7070,1332,7064,1356,7056,1381,7050,1404,7037,1437,7023,1463,7009,1485,7009,1485,7008,1486,7008,1487,6995,1502,6993,1503,6972,1512,6970,1511,6956,1509,6954,1509,6952,1508,6949,1506,6943,1501,6943,1500,6941,1499,6941,1499,6934,1490,6936,1491,6929,1484,6941,1488,6935,1489,6944,1484,6940,1489,6942,1485,6940,1494,6934,1516,6926,1541,6923,1550,6923,1551,6922,1552,6922,1552,6919,1559,6918,1561,6917,1562,6915,1563,6909,1568,6907,1570,6905,1570,6902,1571,6895,1572,6894,1573,6891,1572,6889,1572,6876,1567,6864,1557,6857,1549,6851,1542,6846,1537,6833,1525,6837,1527,6830,1525,6842,1524,6836,1528,6840,1522,6834,1535,6835,1533,6829,1554,6822,1577,6815,1597,6802,1631,6788,1658,6775,1677,6775,1678,6773,1679,6772,1680,6759,1690,6756,1692,6754,1692,6750,1692,6744,1692,6742,1692,6740,1692,6739,1691,6697,1681,6695,1681,6694,1680,6693,1679,6685,1675,6679,1672,6672,1668,6681,1669,6675,1671,6682,1667,6676,1673,6677,1671,6671,1682,6664,1695,6658,1705,6658,1706,6657,1707,6656,1707,6644,1721,6611,1769,6611,1770,6610,1771,6603,1776,6600,1779,6595,1780,6591,1779,6584,1777,6582,1777,6580,1775,6578,1773,6572,1767,6571,1766,6570,1765,6556,1745,6549,1732,6543,1717,6537,1704,6531,1695,6536,1699,6530,1696,6537,1697,6530,1697,6533,1697,6520,1702,6507,1705,6506,1705,6505,1705,6505,1705,6492,1706,6489,1707,6486,1706,6484,1705,6477,1702,6477,1701,6475,1700,6475,1700,6469,1695,6456,1685,6461,1688,6449,1684,6436,1682,6435,1682,6433,1681,6432,1681,6419,1674,6413,1671,6419,1672,6412,1672,6419,1670,6413,1674,6416,1672,6410,1679,6402,1688,6395,1693,6394,1695,6391,1695,6389,1696,6383,1697,6381,1697,6381,1697,6379,1697,6373,1696,6366,1696,6373,1695,6367,1698,6372,1694,6365,1704,6366,1702,6360,1717,6353,1731,6352,1731,6352,1732,6352,1732,6345,1741,6343,1744,6339,1746,6335,1746,6329,1747,6326,1748,6324,1747,6321,1746,6315,1742,6314,1742,6313,1741,6273,1713,6272,1712,6272,1711,6258,1695,6244,1675,6238,1662,6231,1649,6225,1637,6219,1627,6220,1629,6214,1622,6217,1625,6211,1621,6198,1615,6185,1608,6184,1608,6184,1608,6183,1607,6170,1598,6169,1597,6168,1596,6167,1595,6160,1584,6154,1574,6147,1563,6140,1553,6142,1555,6130,1543,6117,1531,6116,1530,6115,1530,6115,1528,6108,1518,6102,1509,6095,1499,6101,1503,6095,1500,6111,1497,6105,1504,6106,1501,6100,1515,6093,1531,6093,1531,6092,1532,6092,1533,6086,1542,6083,1545,6080,1547,6077,1547,6071,1548,6068,1549,6065,1548,6063,1548,6056,1545,6054,1543,6053,1543,6052,1542,6038,1529,6038,1528,6037,1527,6036,1527,6029,1515,6023,1503,6016,1491,6018,1494,6012,1487,6020,1491,6014,1490,6022,1489,6016,1493,6018,1491,6006,1502,5992,1514,5985,1520,5984,1520,5983,1521,5981,1521,5975,1524,5972,1525,5969,1525,5966,1524,5960,1523,5958,1522,5957,1521,5955,1520,5949,1515,5936,1505,5925,1497,5912,1490,5916,1492,5903,1490,5908,1490,5895,1493,5900,1490,5887,1499,5874,1510,5874,1510,5873,1511,5872,1512,5860,1517,5847,1525,5849,1524,5820,1556,5814,1571,5806,1586,5800,1597,5800,1598,5799,1598,5799,1599,5787,1616,5786,1616,5785,1617,5784,1618,5771,1630,5770,1631,5768,1631,5767,1632,5753,1637,5752,1637,5751,1637,5750,1637,5736,1638,5735,1639,5735,1638,5734,1638,5721,1636,5708,1635,5714,1634,5702,1638,5689,1643,5691,1642,5678,1650,5678,1650,5677,1651,5677,1651,5670,1654,5666,1655,5663,1655,5659,1654,5653,1652,5650,1651,5648,1649,5646,1646,5640,1635,5639,1634,5639,1633,5639,1633,5633,1617,5626,1602,5623,1597,5628,1602,5624,1600,5640,1600,5634,1604,5638,1599,5632,1612,5624,1627,5618,1637,5617,1639,5616,1640,5614,1641,5608,1646,5607,1647,5605,1647,5604,1648,5596,1651,5583,1654,5575,1655,5570,1652,5570,1628,5576,1626e" filled="false" stroked="true" strokeweight=".464552pt" strokecolor="#497dba">
              <v:path arrowok="t"/>
            </v:shape>
            <v:shape style="position:absolute;left:5132;top:624;width:2655;height:1782" coordorigin="5132,624" coordsize="2655,1782" path="m7785,624l5134,624,5132,627,5132,2404,5134,2406,7785,2406,7787,2404,7787,2401,5142,2401,5137,2396,5142,2396,5142,634,5137,634,5142,629,7787,629,7787,627,7785,624xm5142,2396l5137,2396,5142,2401,5142,2396xm7777,2396l5142,2396,5142,2401,7777,2401,7777,2396xm7777,629l7777,2401,7782,2396,7787,2396,7787,634,7782,634,7777,629xm7787,2396l7782,2396,7777,2401,7787,2401,7787,2396xm5142,629l5137,634,5142,634,5142,629xm7777,629l5142,629,5142,634,7777,634,7777,629xm7787,629l7777,629,7782,634,7787,634,7787,629xe" filled="true" fillcolor="#858585" stroked="false">
              <v:path arrowok="t"/>
              <v:fill type="solid"/>
            </v:shape>
            <v:shape style="position:absolute;left:4438;top:2632;width:4325;height:2872" coordorigin="4438,2632" coordsize="4325,2872" path="m5132,629l5132,627,5134,624,5137,624,7782,624,7785,624,7787,627,7787,629,7787,2401,7787,2404,7785,2406,7782,2406,5137,2406,5134,2406,5132,2404,5132,2401,5132,629xm5142,2401l5137,2396,7782,2396,7777,2401,7777,629,7782,634,5137,634,5142,629,5142,2401xe" filled="false" stroked="true" strokeweight=".086384pt" strokecolor="#858585">
              <v:path arrowok="t"/>
            </v:shape>
            <v:line style="position:absolute" from="8252,769" to="8252,1907" stroked="true" strokeweight=".460272pt" strokecolor="#858585"/>
            <v:shape style="position:absolute;left:8215;top:769;width:2111;height:1101" coordorigin="8215,769" coordsize="2111,1101" path="m8215,1869l8252,1869m8215,1590l8252,1590m8215,1319l8252,1319m8215,1049l8252,1049m8215,769l8252,769m8252,1869l10325,1869e" filled="false" stroked="true" strokeweight=".465271pt" strokecolor="#858585">
              <v:path arrowok="t"/>
            </v:shape>
            <v:shape style="position:absolute;left:8441;top:1888;width:1733;height:2" coordorigin="8441,1888" coordsize="1733,0" path="m8441,1888l8450,1888m8634,1888l8644,1888m8818,1888l8828,1888m9012,1888l9021,1888m9206,1888l9215,1888m9399,1888l9409,1888m9593,1888l9602,1888m9777,1888l9786,1888m9971,1888l9980,1888m10164,1888l10173,1888e" filled="false" stroked="true" strokeweight="1.861082pt" strokecolor="#858585">
              <v:path arrowok="t"/>
            </v:shape>
            <v:shape style="position:absolute;left:8252;top:1293;width:2081;height:545" coordorigin="8252,1293" coordsize="2081,545" path="m10201,1764l10207,1774,10214,1785,10220,1798,10227,1809,10241,1825,10242,1826,10243,1826,10243,1828,10249,1832,10251,1834,10253,1835,10254,1836,10261,1837,10267,1837,10276,1834,10278,1832,10279,1832,10281,1831,10287,1825,10288,1824,10289,1824,10298,1811,10259,1811,10262,1810,10263,1809,10263,1808,10262,1808,10262,1808,10261,1806,10261,1806,10251,1793,10245,1784,10238,1772,10235,1765,10203,1765,10201,1764xm9919,1765l9888,1765,9889,1768,9889,1768,9895,1779,9901,1794,9908,1809,9908,1810,9908,1811,9910,1813,9916,1820,9918,1824,9920,1825,9924,1825,9930,1826,9934,1828,9937,1826,9940,1825,9947,1821,9948,1820,9949,1819,9950,1819,9956,1811,9957,1810,9958,1810,9962,1804,9937,1804,9933,1801,9926,1801,9932,1797,9932,1797,9931,1795,9931,1795,9927,1784,9919,1767,9919,1765xm10262,1810l10259,1811,10266,1810,10265,1810,10262,1810,10262,1810xm10266,1810l10259,1811,10267,1811,10266,1810xm10266,1810l10266,1810,10267,1811,10266,1810xm10301,1808l10266,1808,10264,1808,10268,1810,10266,1810,10267,1811,10298,1811,10301,1808xm10264,1809l10264,1809,10266,1810,10266,1810,10264,1809xm10264,1808l10264,1809,10264,1809,10266,1810,10268,1810,10264,1808xm10264,1809l10262,1810,10262,1810,10264,1809,10264,1809xm10264,1809l10262,1810,10265,1810,10264,1809xm10263,1809l10262,1810,10264,1809,10264,1809,10263,1809xm10263,1808l10263,1809,10264,1809,10264,1809,10263,1808xm10264,1808l10264,1809,10264,1809,10264,1809,10264,1808xm10264,1808l10263,1808,10264,1809,10264,1808,10264,1808,10264,1808xm10262,1808l10263,1809,10263,1808,10263,1808,10262,1808xm10266,1808l10264,1808,10264,1808,10266,1808xm10304,1804l10268,1804,10267,1805,10267,1805,10264,1808,10264,1808,10266,1808,10301,1808,10304,1804xm10263,1808l10263,1808,10264,1808,10263,1808xm10263,1808l10262,1808,10263,1808,10263,1808xm10261,1806l10262,1808,10262,1808,10261,1806xm10262,1808l10262,1808,10263,1808,10262,1808xm10261,1806l10261,1806,10262,1808,10261,1806xm10267,1805l10267,1805,10267,1805,10267,1805xm10268,1804l10267,1805,10267,1805,10268,1804xm10319,1749l10310,1751,10306,1757,10267,1805,10268,1804,10304,1804,10327,1774,10332,1768,10331,1759,10325,1754,10319,1749xm9935,1800l9932,1801,9937,1804,9935,1800xm9968,1793l9936,1793,9932,1797,9932,1797,9934,1800,9935,1800,9935,1800,9937,1804,9962,1804,9964,1800,9968,1793xm9932,1797l9926,1801,9932,1801,9931,1800,9930,1800,9930,1800,9929,1799,9931,1799,9932,1798,9932,1797xm9932,1801l9926,1801,9933,1801,9932,1801xm9930,1799l9930,1800,9932,1801,9935,1800,9934,1800,9930,1799xm9934,1800l9935,1800,9935,1800,9934,1800xm9930,1800l9930,1800,9930,1800,9930,1800xm9930,1800l9930,1800,9931,1800,9930,1800xm9932,1798l9930,1799,9934,1800,9934,1799,9933,1799,9932,1798xm9930,1799l9930,1800,9930,1800,9930,1799,9930,1799xm9929,1799l9930,1800,9930,1799,9929,1799xm9932,1797l9930,1799,9930,1799,9932,1798,9932,1797xm9931,1799l9929,1799,9930,1799,9931,1799xm9932,1797l9932,1798,9933,1799,9932,1797xm9932,1797l9932,1797,9932,1797,9933,1799,9934,1799,9932,1797xm9932,1797l9932,1797,9932,1797,9932,1797xm9932,1797l9932,1797,9932,1797,9932,1797xm9932,1797l9932,1797,9932,1797,9932,1797xm9931,1795l9932,1797,9932,1797,9932,1797,9932,1796,9931,1795xm9933,1797l9932,1797,9932,1797,9933,1797xm9932,1796l9932,1797,9932,1797,9932,1796xm9931,1795l9931,1795,9932,1796,9931,1795xm10029,1583l10024,1584,10020,1587,10017,1588,10014,1591,10013,1592,10006,1603,10006,1604,10005,1604,10004,1607,9991,1639,9985,1658,9979,1679,9972,1701,9965,1721,9953,1757,9946,1773,9941,1784,9934,1794,9936,1793,9968,1793,9971,1785,9979,1768,9991,1730,9998,1708,10005,1687,10011,1666,10017,1649,10024,1633,10026,1628,10023,1620,10021,1612,10019,1608,10049,1608,10047,1602,10046,1600,10046,1599,10042,1593,10042,1591,10039,1589,10037,1588,10033,1586,10029,1583xm10049,1610l10035,1610,10034,1611,10030,1617,10026,1628,10030,1646,10037,1676,10040,1690,10044,1702,10050,1720,10058,1732,10071,1752,10073,1753,10073,1753,10086,1765,10088,1768,10089,1769,10096,1772,10097,1773,10101,1773,10107,1774,10113,1774,10116,1772,10130,1763,10131,1762,10132,1761,10133,1759,10141,1748,10101,1748,10104,1746,10104,1746,10104,1746,10105,1745,10103,1743,10103,1743,10092,1733,10093,1733,10082,1720,10076,1707,10070,1694,10067,1684,10064,1671,10057,1640,10049,1610xm9889,1768l9889,1768,9889,1768,9889,1768xm9888,1765l9889,1768,9889,1768,9888,1765xm9859,1676l9825,1676,9838,1694,9851,1712,9863,1732,9877,1751,9889,1768,9888,1765,9919,1765,9913,1753,9912,1752,9899,1732,9887,1718,9873,1696,9859,1676xm10199,1761l10203,1765,10235,1765,10233,1762,10199,1762,10199,1761xm10197,1759l10199,1761,10199,1762,10197,1759xm10232,1759l10197,1759,10199,1762,10233,1762,10232,1759xm10182,1684l10169,1684,10166,1690,10161,1703,10160,1704,10161,1705,10168,1725,10174,1739,10174,1741,10176,1742,10176,1743,10182,1751,10186,1754,10193,1758,10199,1761,10197,1759,10232,1759,10231,1758,10224,1749,10224,1748,10223,1747,10222,1746,10216,1739,10215,1739,10215,1738,10214,1738,10205,1733,10204,1733,10200,1731,10202,1731,10200,1728,10199,1728,10197,1726,10198,1726,10193,1715,10187,1695,10182,1684xm10104,1746l10101,1748,10107,1746,10104,1746xm10107,1746l10101,1748,10141,1748,10141,1747,10109,1747,10107,1746xm10108,1746l10107,1746,10109,1747,10108,1746xm10142,1746l10110,1746,10108,1746,10109,1747,10141,1747,10142,1746xm10105,1745l10104,1746,10107,1746,10108,1746,10107,1746,10105,1746,10105,1745xm10113,1740l10106,1745,10108,1746,10110,1746,10142,1746,10144,1743,10111,1743,10113,1740xm10104,1746l10104,1746,10104,1746,10104,1746xm10105,1745l10105,1745,10105,1746,10105,1745xm10106,1745l10105,1745,10105,1746,10107,1746,10106,1745xm10103,1743l10105,1745,10103,1743,10103,1743xm10103,1743l10105,1745,10106,1745,10103,1743xm10103,1743l10103,1743,10103,1743,10103,1743xm10114,1739l10113,1740,10111,1743,10114,1739xm10147,1739l10114,1739,10111,1743,10144,1743,10146,1741,10146,1741,10147,1739xm10153,1726l10123,1726,10113,1740,10114,1739,10147,1739,10147,1738,10153,1726xm10093,1733l10092,1733,10094,1734,10093,1733xm10200,1731l10204,1733,10203,1732,10200,1731xm10203,1732l10204,1733,10205,1733,10203,1732xm10202,1731l10200,1731,10203,1732,10202,1731xm10197,1726l10199,1728,10199,1728,10197,1726xm10199,1728l10199,1728,10200,1728,10199,1728xm10198,1726l10197,1726,10199,1728,10198,1726xm10162,1661l10158,1661,10154,1664,10151,1665,10148,1666,10146,1669,10145,1670,10141,1677,10135,1694,10128,1712,10121,1727,10123,1726,10153,1726,10154,1723,10160,1704,10154,1689,10155,1689,10152,1685,10167,1685,10169,1684,10182,1684,10180,1679,10180,1677,10180,1676,10179,1676,10176,1670,10174,1667,10172,1666,10170,1665,10166,1664,10162,1661xm8569,1622l8551,1622,8547,1625,8547,1625,8547,1625,8544,1628,8543,1629,8548,1643,8554,1659,8561,1672,8567,1686,8575,1698,8575,1700,8576,1701,8583,1708,8585,1712,8588,1713,8591,1713,8598,1715,8602,1716,8607,1715,8610,1711,8615,1705,8616,1703,8619,1697,8621,1692,8591,1692,8592,1691,8590,1691,8593,1688,8594,1686,8596,1680,8592,1672,8586,1661,8580,1649,8573,1631,8571,1625,8547,1625,8547,1625,8571,1625,8569,1622xm10154,1689l10160,1704,10161,1703,10166,1690,10155,1690,10154,1689xm8592,1690l8592,1690,8591,1692,8592,1690xm8600,1688l8592,1690,8591,1692,8621,1692,8621,1691,8604,1691,8600,1688xm8593,1688l8590,1691,8592,1690,8593,1688xm8592,1690l8590,1691,8592,1691,8592,1690xm8602,1688l8600,1688,8604,1691,8602,1688xm8624,1682l8598,1682,8601,1687,8603,1687,8602,1688,8604,1691,8621,1691,8624,1682xm8594,1687l8593,1688,8592,1690,8592,1690,8594,1687xm8598,1687l8594,1687,8592,1690,8600,1688,8598,1687xm10154,1689l10155,1690,10155,1689,10154,1689xm10155,1689l10155,1690,10158,1690,10155,1689xm10152,1685l10155,1689,10158,1690,10152,1685xm10167,1685l10152,1685,10158,1690,10163,1690,10167,1685xm10169,1684l10163,1690,10166,1689,10167,1689,10169,1684xm10167,1689l10166,1689,10163,1690,10166,1690,10167,1689xm10155,1689l10154,1689,10155,1689,10155,1689xm8596,1686l8600,1688,8602,1688,8601,1687,8596,1686xm8596,1680l8594,1686,8593,1688,8594,1687,8598,1687,8596,1686,8600,1686,8599,1685,8598,1685,8596,1680xm8601,1687l8602,1688,8603,1687,8601,1687xm8600,1686l8596,1686,8601,1687,8600,1686xm8630,1620l8627,1622,8624,1624,8616,1630,8615,1633,8613,1634,8607,1649,8599,1671,8596,1680,8598,1685,8598,1682,8624,1682,8626,1677,8632,1658,8636,1651,8634,1651,8636,1650,8631,1649,8638,1647,8638,1646,8663,1646,8672,1640,8686,1631,8694,1625,8645,1625,8647,1624,8644,1624,8648,1623,8643,1622,8633,1622,8630,1620xm8598,1682l8598,1685,8599,1685,8598,1682xm9550,1587l9553,1594,9555,1603,9562,1628,9568,1653,9572,1664,9573,1665,9576,1671,9577,1674,9578,1675,9579,1676,9585,1681,9587,1684,9592,1685,9595,1685,9602,1684,9607,1684,9609,1682,9622,1672,9624,1671,9625,1670,9626,1667,9630,1660,9604,1660,9598,1659,9593,1659,9595,1658,9593,1658,9596,1657,9598,1656,9598,1655,9599,1655,9598,1654,9598,1654,9597,1653,9597,1653,9596,1646,9589,1620,9582,1596,9581,1589,9552,1589,9550,1587xm9820,1669l9817,1671,9826,1679,9825,1676,9859,1676,9855,1670,9822,1670,9820,1669xm9849,1663l9764,1663,9770,1664,9769,1664,9767,1664,9777,1670,9790,1676,9793,1677,9799,1677,9805,1676,9806,1676,9807,1675,9808,1675,9815,1672,9817,1671,9816,1670,9816,1670,9816,1670,9813,1667,9853,1667,9849,1663xm9819,1669l9816,1670,9817,1671,9820,1669,9819,1669xm9816,1670l9816,1670,9816,1670,9816,1670xm9854,1669l9821,1669,9820,1669,9822,1670,9855,1670,9854,1669xm9813,1667l9816,1670,9819,1669,9813,1667xm9821,1669l9819,1669,9820,1669,9821,1669xm9853,1667l9813,1667,9819,1669,9821,1669,9854,1669,9853,1667xm9797,1649l9797,1649,9726,1649,9726,1650,9727,1651,9733,1659,9735,1661,9737,1664,9740,1664,9746,1666,9748,1667,9753,1667,9760,1666,9761,1666,9763,1665,9767,1664,9764,1663,9849,1663,9846,1659,9846,1658,9845,1658,9845,1656,9838,1651,9803,1651,9794,1650,9798,1649,9797,1649xm9764,1663l9767,1664,9769,1664,9770,1664,9764,1663xm9599,1657l9595,1658,9604,1660,9602,1659,9601,1659,9599,1657xm9633,1656l9600,1656,9600,1657,9604,1660,9630,1660,9633,1656xm8260,1564l8254,1569,8252,1571,8252,1591,8263,1608,8277,1627,8282,1636,8289,1646,8291,1649,8297,1655,8300,1659,8318,1659,8322,1658,8325,1654,8328,1650,8329,1649,8330,1646,8333,1639,8333,1638,8303,1638,8305,1634,8307,1629,8309,1625,8306,1620,8299,1610,8286,1592,8273,1572,8269,1566,8260,1564xm9595,1658l9593,1659,9595,1658,9595,1658xm9595,1658l9593,1659,9598,1659,9595,1658xm9599,1656l9599,1657,9601,1659,9600,1657,9599,1656xm9600,1657l9601,1659,9602,1659,9600,1657xm9599,1656l9596,1657,9595,1658,9595,1658,9599,1657,9599,1656xm9596,1657l9593,1658,9595,1658,9596,1657xm9598,1656l9596,1657,9599,1656,9598,1656xm9599,1656l9599,1656,9600,1657,9599,1656xm9599,1656l9599,1656,9599,1657,9599,1656,9599,1656xm9598,1655l9598,1656,9599,1656,9599,1656,9599,1656,9598,1655xm9600,1656l9599,1656,9599,1656,9600,1656xm9599,1655l9598,1655,9599,1656,9599,1656,9599,1655xm9603,1653l9599,1655,9599,1656,9600,1656,9633,1656,9634,1654,9602,1654,9603,1653xm9598,1655l9598,1656,9598,1655,9598,1655xm9599,1655l9598,1655,9598,1655,9599,1655,9599,1655xm9597,1653l9598,1654,9598,1653,9597,1653xm9598,1653l9598,1654,9598,1654,9598,1653xm9606,1650l9603,1653,9602,1654,9606,1650xm9635,1650l9606,1650,9602,1654,9634,1654,9635,1650xm9597,1653l9597,1653,9598,1653,9597,1653xm9648,1593l9644,1594,9638,1596,9634,1596,9631,1598,9629,1600,9622,1610,9622,1612,9622,1613,9621,1613,9615,1628,9608,1643,9603,1653,9606,1650,9635,1650,9640,1639,9646,1627,9646,1627,9647,1624,9647,1624,9646,1623,9643,1622,9643,1622,9643,1621,9639,1619,9648,1619,9652,1617,9688,1617,9694,1609,9694,1609,9695,1608,9657,1608,9662,1604,9662,1604,9664,1602,9661,1600,9654,1596,9652,1594,9648,1593xm8636,1650l8634,1651,8636,1650,8636,1650,8636,1650,8636,1650,8636,1650xm8636,1650l8634,1651,8636,1651,8636,1650,8636,1650xm8663,1646l8640,1646,8637,1649,8636,1650,8638,1650,8636,1650,8636,1650,8642,1651,8655,1651,8657,1650,8663,1646xm9798,1649l9794,1650,9803,1651,9798,1649xm9826,1641l9814,1641,9812,1643,9811,1644,9804,1646,9797,1649,9798,1649,9800,1649,9798,1649,9803,1651,9838,1651,9828,1644,9826,1641xm8636,1650l8636,1650,8636,1650,8636,1650,8636,1650xm8636,1650l8636,1650,8636,1650,8636,1650xm8637,1649l8636,1650,8636,1650,8637,1649xm8638,1647l8638,1647,8636,1650,8636,1650,8637,1649,8638,1647xm8638,1647l8631,1649,8636,1650,8638,1647xm8640,1646l8638,1647,8637,1649,8640,1646xm9707,1615l9713,1624,9719,1636,9726,1649,9797,1649,9797,1649,9790,1645,9786,1643,9756,1643,9753,1640,9749,1640,9752,1640,9749,1638,9752,1638,9751,1636,9751,1636,9750,1634,9749,1634,9744,1623,9741,1617,9710,1617,9707,1615xm8638,1646l8638,1647,8638,1647,8638,1646xm8640,1646l8638,1646,8638,1647,8640,1646xm9753,1639l9752,1640,9756,1643,9753,1639xm9754,1639l9753,1639,9756,1643,9786,1643,9781,1640,9756,1640,9754,1639xm8485,1599l8491,1607,8497,1618,8504,1628,8504,1630,8505,1631,8506,1631,8512,1638,8516,1640,8521,1641,8525,1640,8532,1639,8534,1639,8536,1636,8537,1635,8543,1629,8543,1629,8543,1629,8537,1620,8568,1620,8567,1617,8531,1617,8525,1615,8518,1615,8519,1614,8518,1614,8520,1613,8524,1609,8519,1600,8487,1600,8485,1599xm9752,1640l9749,1640,9753,1640,9752,1640xm9772,1635l9763,1635,9761,1636,9753,1639,9753,1639,9756,1639,9754,1639,9756,1640,9781,1640,9777,1638,9775,1636,9772,1635xm9749,1638l9752,1640,9753,1639,9753,1639,9749,1638xm9753,1639l9753,1639,9754,1639,9753,1639xm9752,1638l9749,1638,9753,1639,9753,1639,9753,1639,9753,1639,9752,1638xm9753,1639l9753,1639,9753,1639,9753,1639xm8305,1634l8303,1638,8305,1636,8304,1636,8305,1634xm8311,1633l8303,1638,8333,1638,8334,1636,8317,1636,8311,1633xm8306,1633l8305,1634,8304,1636,8306,1633xm8310,1633l8306,1633,8304,1636,8305,1636,8311,1633,8310,1633xm8313,1632l8311,1633,8317,1636,8313,1632xm8336,1631l8313,1631,8313,1632,8317,1636,8334,1636,8336,1631xm9749,1634l9751,1636,9750,1634,9749,1634xm9750,1634l9751,1636,9751,1636,9750,1634xm9749,1634l9749,1634,9750,1634,9749,1634xm9688,1617l9652,1617,9647,1624,9651,1628,9653,1629,9654,1630,9656,1631,9662,1633,9667,1634,9671,1633,9675,1630,9681,1625,9683,1623,9688,1617xm8309,1625l8307,1629,8305,1634,8306,1633,8310,1633,8307,1631,8312,1631,8309,1625xm8311,1629l8312,1631,8307,1631,8311,1633,8313,1632,8311,1629xm8336,1629l8311,1629,8313,1632,8313,1631,8336,1631,8336,1629xm8355,1557l8351,1557,8345,1558,8340,1558,8337,1561,8331,1566,8330,1567,8328,1568,8327,1569,8324,1577,8323,1578,8320,1588,8314,1609,8309,1625,8312,1631,8311,1629,8336,1629,8340,1618,8346,1596,8349,1587,8349,1587,8351,1584,8347,1584,8350,1583,8349,1583,8351,1583,8355,1582,8394,1582,8380,1568,8374,1563,8373,1563,8371,1562,8370,1562,8357,1558,8355,1557xm8546,1627l8542,1627,8543,1629,8544,1628,8546,1627xm8537,1620l8543,1629,8542,1627,8546,1627,8547,1625,8541,1625,8544,1624,8537,1620xm8542,1627l8543,1629,8543,1629,8542,1627xm10021,1612l10023,1620,10026,1628,10029,1619,10029,1619,10030,1615,10031,1615,10032,1614,10023,1614,10021,1612xm9647,1624l9646,1627,9646,1626,9647,1624xm9646,1626l9646,1627,9646,1627,9646,1626xm9647,1624l9647,1624,9646,1626,9647,1624,9647,1624xm8544,1624l8541,1625,8547,1625,8547,1625,8544,1624xm8648,1623l8645,1625,8648,1624,8648,1623xm8648,1624l8645,1625,8694,1625,8696,1624,8649,1624,8648,1624xm8551,1622l8544,1624,8547,1625,8551,1622xm9652,1617l9646,1620,9649,1620,9643,1621,9643,1622,9646,1623,9647,1624,9652,1617xm8648,1623l8644,1624,8647,1624,8648,1623,8648,1623xm8697,1623l8650,1623,8648,1624,8649,1624,8696,1624,8697,1623xm8568,1620l8537,1620,8544,1624,8551,1622,8569,1622,8568,1620xm8650,1623l8648,1623,8648,1623,8648,1624,8650,1623xm8718,1589l8699,1589,8697,1591,8669,1608,8658,1617,8648,1623,8650,1623,8697,1623,8699,1622,8708,1617,8703,1617,8710,1615,8748,1615,8749,1614,8756,1610,8757,1610,8759,1609,8759,1608,8766,1602,8767,1602,8768,1599,8768,1598,8772,1591,8727,1591,8728,1590,8718,1589xm9643,1621l9643,1622,9643,1622,9643,1621xm9643,1622l9643,1622,9643,1622,9643,1622xm9646,1620l9643,1621,9643,1622,9649,1620,9646,1620xm9639,1619l9643,1621,9646,1620,9639,1619xm9648,1619l9639,1619,9646,1620,9648,1619xm8745,1615l8710,1615,8708,1617,8729,1618,8730,1619,8731,1618,8732,1618,8745,1615xm10030,1615l10029,1619,10030,1617,10030,1615xm10030,1617l10029,1619,10029,1619,10030,1617xm10031,1615l10030,1615,10030,1617,10031,1615xm8710,1615l8703,1617,8708,1617,8710,1615xm8526,1612l8524,1612,8520,1614,8531,1617,8529,1614,8527,1614,8526,1612xm8552,1598l8537,1598,8534,1599,8531,1602,8525,1608,8524,1609,8526,1611,8531,1617,8567,1617,8566,1615,8566,1614,8565,1614,8556,1600,8552,1598xm9707,1614l9707,1615,9710,1617,9707,1614xm9740,1614l9707,1614,9710,1617,9741,1617,9740,1614xm8519,1614l8518,1615,8520,1614,8519,1614xm8520,1614l8518,1615,8525,1615,8520,1614xm9699,1608l9707,1615,9707,1614,9740,1614,9738,1609,9703,1609,9699,1608xm8524,1612l8520,1613,8519,1614,8520,1614,8524,1612xm8520,1613l8518,1614,8519,1614,8520,1613xm8525,1610l8527,1614,8526,1611,8525,1610xm8526,1611l8527,1614,8529,1614,8526,1611xm10021,1610l10021,1612,10023,1614,10021,1610xm10021,1610l10021,1610,10023,1614,10032,1614,10033,1613,10025,1613,10021,1610xm8524,1609l8520,1613,8524,1612,8526,1612,8525,1610,8525,1610,8524,1609xm10022,1610l10021,1610,10025,1613,10022,1610xm10036,1608l10019,1608,10025,1613,10032,1613,10036,1608xm10036,1608l10032,1613,10034,1611,10036,1608xm10034,1611l10032,1613,10033,1613,10034,1611xm8362,1589l8375,1603,8377,1604,8378,1605,8384,1609,8387,1610,8389,1612,8392,1610,8410,1610,8412,1609,8425,1602,8425,1600,8426,1600,8427,1599,8435,1591,8364,1591,8362,1589xm10019,1608l10021,1612,10021,1610,10022,1610,10019,1608xm8525,1610l8525,1610,8526,1611,8525,1610xm10049,1608l10036,1608,10034,1611,10035,1610,10049,1610,10049,1608xm9695,1608l9694,1609,9696,1608,9695,1608xm9696,1608l9694,1609,9694,1609,9696,1608xm9697,1607l9699,1608,9703,1609,9697,1607xm9736,1607l9697,1607,9703,1609,9738,1609,9737,1608,9736,1607xm9734,1604l9700,1604,9696,1608,9699,1608,9697,1607,9736,1607,9734,1604xm9663,1603l9657,1608,9668,1606,9663,1603xm9668,1606l9657,1608,9695,1608,9695,1608,9690,1607,9669,1607,9668,1606xm9697,1607l9696,1607,9696,1608,9697,1607xm9696,1607l9695,1608,9696,1608,9696,1607xm9700,1604l9690,1607,9695,1608,9696,1607,9697,1607,9700,1604xm9668,1606l9668,1606,9669,1607,9668,1606xm9692,1578l9688,1579,9678,1586,9676,1588,9675,1589,9669,1597,9664,1602,9665,1604,9670,1605,9668,1606,9669,1607,9690,1607,9700,1604,9734,1604,9730,1598,9729,1598,9729,1597,9728,1596,9715,1584,9713,1583,9711,1582,9709,1582,9692,1578xm9663,1603l9668,1606,9668,1606,9665,1604,9663,1603xm9665,1604l9668,1606,9670,1605,9665,1604xm9664,1602l9662,1604,9663,1603,9664,1603,9664,1602xm9663,1603l9662,1604,9662,1604,9663,1603xm9664,1603l9663,1603,9665,1604,9664,1603xm8485,1598l8485,1599,8487,1600,8485,1598xm8518,1598l8485,1598,8487,1600,8519,1600,8518,1598xm8513,1591l8475,1591,8476,1592,8476,1592,8485,1599,8485,1598,8518,1598,8513,1591xm9478,1516l9461,1516,9455,1524,9451,1527,9452,1529,9459,1546,9464,1567,9468,1577,9469,1579,9472,1584,9474,1587,9474,1588,9476,1589,9482,1594,9484,1596,9503,1596,9516,1591,9530,1582,9533,1579,9532,1579,9534,1578,9533,1578,9534,1578,9537,1577,9576,1577,9575,1576,9574,1572,9573,1572,9572,1571,9496,1571,9495,1570,9494,1569,9492,1569,9493,1569,9490,1568,9494,1568,9493,1566,9493,1566,9491,1560,9484,1538,9478,1516xm8476,1592l8476,1592,8476,1592,8476,1592xm8493,1569l8453,1569,8448,1574,8450,1576,8462,1583,8462,1584,8462,1584,8463,1586,8476,1592,8475,1591,8513,1591,8505,1579,8504,1578,8493,1569xm8360,1587l8364,1591,8435,1591,8437,1588,8361,1588,8360,1587xm8728,1590l8727,1591,8730,1591,8728,1590xm8738,1588l8728,1590,8730,1591,8772,1591,8773,1589,8737,1589,8738,1588xm8351,1585l8349,1587,8349,1587,8349,1589,8351,1585xm8740,1588l8738,1588,8737,1589,8740,1588xm8776,1582l8746,1582,8744,1586,8740,1588,8740,1588,8737,1589,8773,1589,8775,1584,8776,1582xm9550,1586l9550,1587,9552,1589,9550,1586xm9580,1586l9550,1586,9552,1589,9581,1589,9580,1586xm8740,1587l8738,1588,8740,1588,8740,1588,8740,1587xm8357,1586l8360,1587,8361,1588,8357,1586xm8400,1583l8394,1583,8399,1586,8357,1586,8361,1588,8437,1588,8439,1584,8397,1584,8400,1583xm8744,1586l8740,1587,8740,1588,8744,1586xm9546,1582l9550,1587,9550,1586,9580,1586,9579,1583,9548,1583,9546,1582xm8352,1584l8352,1584,8360,1587,8357,1586,8399,1586,8395,1584,8354,1584,8352,1584xm8745,1583l8740,1587,8744,1586,8745,1583xm8351,1584l8349,1587,8351,1585,8351,1584,8351,1584xm8394,1583l8391,1583,8399,1586,8394,1583xm8746,1582l8745,1583,8744,1586,8746,1582xm8351,1584l8351,1585,8352,1584,8351,1584xm8350,1583l8347,1584,8351,1584,8351,1584,8350,1583xm8352,1584l8352,1584,8352,1584,8352,1584xm8392,1582l8355,1582,8352,1584,8354,1584,8395,1584,8391,1583,8394,1583,8392,1582xm8409,1578l8397,1584,8404,1583,8440,1583,8442,1581,8443,1579,8407,1579,8409,1578xm8440,1583l8404,1583,8397,1584,8439,1584,8440,1583xm8352,1584l8351,1584,8352,1584,8352,1584,8352,1584xm8351,1584l8351,1584,8351,1584,8352,1584,8351,1584xm8350,1583l8350,1583,8351,1584,8351,1584,8350,1583xm8353,1583l8352,1583,8352,1584,8352,1584,8353,1583xm8352,1583l8351,1584,8352,1584,8352,1583xm8355,1582l8350,1583,8351,1584,8352,1583,8353,1583,8355,1582xm8349,1583l8350,1583,8350,1583,8349,1583xm8351,1583l8349,1583,8350,1583,8351,1583xm8394,1582l8392,1582,8395,1583,8394,1582xm9545,1581l9546,1582,9548,1583,9545,1581xm9577,1578l9541,1578,9546,1581,9545,1581,9548,1583,9579,1583,9577,1578xm8793,1517l8786,1517,8780,1520,8775,1520,8772,1522,8770,1526,8764,1536,8763,1538,8763,1538,8756,1556,8750,1572,8745,1583,8746,1582,8776,1582,8788,1551,8787,1551,8789,1548,8789,1548,8787,1547,8785,1546,8785,1546,8785,1546,8781,1543,8788,1543,8794,1540,8832,1540,8833,1538,8837,1531,8800,1531,8805,1528,8804,1527,8805,1527,8806,1527,8803,1524,8796,1520,8793,1517xm9544,1580l9546,1582,9545,1581,9546,1581,9544,1580xm9541,1578l9544,1580,9546,1581,9541,1578xm9541,1578l9539,1578,9536,1579,9544,1580,9541,1578xm8410,1577l8409,1578,8407,1579,8410,1577xm8445,1577l8410,1577,8407,1579,8443,1579,8445,1577xm9534,1578l9532,1579,9534,1579,9535,1578,9534,1578xm9534,1579l9532,1579,9533,1579,9534,1579xm9535,1578l9534,1579,9536,1579,9535,1578xm9576,1577l9537,1577,9535,1578,9536,1579,9539,1578,9577,1578,9576,1577xm9537,1577l9534,1578,9535,1578,9537,1577xm9534,1578l9533,1578,9534,1578,9534,1578xm8414,1572l8409,1578,8410,1577,8445,1577,8446,1574,8413,1574,8414,1572xm8447,1574l8447,1576,8448,1574,8447,1574xm8453,1545l8441,1545,8438,1546,8429,1553,8427,1555,8420,1564,8413,1574,8446,1574,8447,1573,8445,1572,8443,1572,8445,1572,8443,1571,8448,1571,8453,1569,8493,1569,8491,1568,8490,1568,8490,1567,8479,1562,8478,1562,8476,1561,8477,1561,8464,1551,8458,1547,8455,1546,8453,1545xm8453,1569l8446,1571,8450,1572,8448,1572,8447,1574,8448,1574,8453,1569xm8448,1572l8447,1573,8447,1574,8448,1572xm8446,1571l8445,1572,8447,1573,8448,1572,8450,1572,8446,1571xm8445,1572l8443,1572,8445,1572,8445,1572xm8443,1571l8445,1572,8446,1571,8443,1571xm8448,1571l8443,1571,8446,1571,8448,1571xm9495,1570l9496,1571,9495,1570,9495,1570xm9495,1570l9496,1571,9499,1571,9495,1570xm9496,1568l9495,1569,9495,1570,9499,1571,9496,1568xm9570,1568l9497,1568,9496,1568,9499,1571,9572,1571,9570,1568xm9495,1569l9495,1569,9495,1570,9495,1570,9495,1569xm9495,1569l9493,1569,9495,1570,9495,1569xm9493,1569l9492,1569,9493,1569,9493,1569xm9493,1569l9492,1569,9494,1569,9493,1569xm9494,1568l9493,1569,9493,1569,9495,1569,9494,1568xm9494,1568l9490,1568,9493,1569,9494,1568,9494,1568xm9495,1568l9494,1568,9495,1569,9495,1569,9495,1568xm9496,1568l9495,1568,9495,1569,9496,1568,9496,1568xm9538,1550l9536,1550,9535,1551,9528,1552,9524,1552,9522,1553,9517,1558,9505,1564,9496,1568,9496,1568,9497,1568,9570,1568,9567,1564,9566,1563,9566,1562,9564,1561,9556,1555,9554,1553,9552,1553,9540,1551,9538,1550xm9493,1566l9493,1567,9493,1567,9494,1568,9495,1568,9494,1567,9493,1566xm9494,1567l9495,1568,9496,1568,9494,1567xm9493,1566l9493,1567,9493,1567,9493,1566,9493,1566xm9493,1564l9493,1566,9494,1567,9493,1564xm9493,1566l9493,1566,9493,1566,9493,1566xm8476,1561l8478,1562,8477,1561,8476,1561xm8477,1561l8478,1562,8479,1562,8477,1561xm8477,1561l8476,1561,8477,1561,8477,1561xm8831,1540l8794,1540,8790,1546,8791,1546,8790,1546,8789,1548,8793,1552,8795,1553,8797,1555,8799,1555,8805,1557,8813,1557,8823,1550,8823,1548,8824,1548,8824,1547,8825,1546,8791,1546,8790,1546,8826,1546,8831,1540xm8789,1548l8787,1551,8789,1549,8789,1548xm8789,1549l8787,1551,8788,1551,8789,1549xm8789,1548l8789,1549,8789,1548,8789,1548xm8789,1548l8789,1548,8789,1548,8789,1548xm8786,1545l8785,1546,8787,1547,8789,1548,8789,1548,8790,1546,8786,1545xm8785,1546l8785,1546,8785,1546,8785,1546xm8794,1540l8786,1545,8790,1546,8794,1540xm8781,1543l8785,1546,8786,1545,8781,1543xm8788,1543l8781,1543,8786,1545,8788,1543xm9371,1420l9382,1437,9394,1462,9400,1478,9407,1496,9413,1514,9413,1515,9414,1515,9421,1528,9422,1530,9424,1531,9426,1532,9430,1533,9433,1536,9437,1536,9441,1535,9444,1533,9445,1533,9447,1532,9448,1530,9451,1527,9449,1520,9449,1520,9449,1520,9447,1516,9478,1516,9476,1512,9444,1512,9441,1510,9428,1510,9436,1504,9438,1501,9432,1486,9426,1466,9419,1449,9405,1422,9404,1421,9371,1421,9371,1420xm8805,1528l8800,1531,8807,1529,8806,1529,8804,1529,8805,1528xm8807,1529l8800,1531,8810,1531,8807,1529xm8808,1529l8807,1529,8810,1531,8808,1529xm8810,1522l8806,1527,8807,1528,8810,1529,8808,1529,8810,1531,8837,1531,8841,1524,8809,1524,8810,1522xm8806,1528l8805,1528,8807,1529,8808,1529,8807,1528,8806,1528xm8807,1528l8808,1529,8810,1529,8807,1528xm8805,1528l8804,1529,8805,1528,8805,1528xm8805,1528l8804,1529,8806,1529,8805,1528xm8807,1527l8806,1527,8806,1528,8807,1528,8807,1527xm8805,1528l8805,1528,8805,1528,8806,1528,8805,1528xm8805,1527l8805,1528,8805,1528,8805,1527xm8804,1527l8805,1528,8805,1527,8804,1527xm8806,1527l8805,1527,8806,1528,8806,1527xm8806,1527l8805,1527,8805,1528,8806,1527,8807,1527,8806,1527xm8805,1527l8804,1527,8805,1527,8805,1527xm9449,1520l9451,1527,9455,1524,9457,1521,9450,1521,9449,1520,9449,1520xm8811,1521l8810,1522,8809,1524,8811,1521xm8843,1521l8811,1521,8809,1524,8841,1524,8843,1521xm8873,1427l8863,1427,8860,1428,8858,1429,8850,1435,8849,1437,8847,1440,8841,1454,8834,1471,8828,1489,8822,1501,8810,1522,8811,1521,8843,1521,8846,1516,8853,1500,8860,1480,8866,1464,8869,1458,8868,1458,8870,1455,8866,1455,8871,1454,8872,1452,8894,1452,8896,1449,8902,1443,8910,1431,8876,1431,8878,1428,8876,1428,8878,1428,8873,1427xm9449,1520l9450,1521,9449,1520,9449,1520xm9449,1520l9450,1521,9452,1521,9449,1520xm9449,1519l9449,1519,9449,1520,9452,1521,9449,1519xm9461,1516l9447,1516,9452,1521,9455,1521,9461,1516xm9461,1516l9455,1521,9457,1520,9458,1520,9461,1516xm9458,1520l9457,1520,9455,1521,9457,1521,9458,1520xm9449,1519l9449,1520,9449,1520,9449,1520,9449,1519xm9449,1520l9449,1520,9449,1520,9449,1520xm9447,1516l9449,1520,9449,1519,9449,1519,9447,1516xm9438,1507l9444,1512,9442,1509,9442,1509,9438,1507xm9458,1493l9452,1493,9449,1494,9447,1494,9444,1495,9442,1496,9438,1501,9439,1503,9444,1512,9476,1512,9474,1509,9474,1507,9473,1505,9470,1500,9468,1499,9466,1496,9464,1496,9461,1494,9458,1493xm9438,1501l9436,1504,9428,1510,9431,1509,9431,1509,9434,1507,9441,1507,9439,1504,9439,1504,9438,1501,9438,1501,9438,1501xm9438,1507l9434,1507,9428,1510,9441,1510,9438,1507xm9434,1507l9431,1509,9431,1509,9434,1507xm9441,1507l9438,1507,9442,1509,9442,1509,9441,1507xm9438,1501l9439,1504,9439,1503,9438,1501xm9439,1503l9439,1504,9439,1504,9439,1503xm9438,1501l9438,1501,9439,1503,9438,1501xm8927,1434l8932,1445,8938,1460,8945,1475,8945,1476,8946,1478,8947,1478,8953,1486,8957,1491,8963,1494,8969,1491,8975,1489,8978,1488,8980,1486,8982,1484,8988,1475,8991,1470,8975,1470,8963,1466,8959,1466,8960,1465,8959,1465,8960,1465,8966,1458,8967,1456,8964,1449,8958,1435,8928,1435,8927,1434xm9011,1457l9018,1465,9024,1476,9024,1476,9025,1478,9025,1478,9032,1485,9034,1486,9035,1488,9038,1489,9051,1493,9053,1494,9056,1494,9058,1493,9072,1490,9073,1490,9074,1489,9076,1489,9082,1484,9083,1484,9084,1483,9091,1476,9101,1466,9099,1466,9102,1465,9052,1465,9046,1462,9048,1462,9046,1459,9046,1459,9046,1458,9012,1458,9011,1457xm8969,1463l8965,1463,8960,1466,8975,1470,8970,1464,8970,1464,8969,1463xm9002,1426l8999,1427,8996,1428,8983,1434,8982,1435,8980,1437,8979,1438,8973,1445,8972,1447,8972,1447,8971,1448,8967,1456,8970,1464,8975,1470,8991,1470,8996,1462,8996,1462,8999,1459,8996,1459,9001,1457,9002,1457,9006,1455,9001,1454,9008,1453,9006,1452,9041,1452,9040,1450,9034,1440,9033,1440,9032,1439,9032,1438,9025,1432,9024,1429,9021,1428,9018,1428,9005,1427,9002,1426xm8960,1465l8959,1466,8960,1466,8960,1465xm8960,1466l8959,1466,8963,1466,8960,1466xm9104,1464l9099,1466,9103,1465,9104,1464xm9102,1465l9099,1466,9101,1466,9102,1465xm8965,1463l8960,1465,8960,1465,8960,1466,8965,1463xm8960,1465l8959,1465,8960,1465,8960,1465xm9109,1463l9065,1463,9061,1464,9104,1464,9102,1465,9109,1463xm9046,1462l9052,1465,9049,1463,9046,1462xm9049,1463l9052,1465,9056,1464,9049,1463xm9056,1464l9052,1465,9059,1465,9056,1464xm9062,1463l9056,1464,9059,1465,9102,1465,9104,1464,9061,1464,9062,1463xm8967,1456l8966,1458,8960,1465,8965,1463,8969,1463,8968,1462,8969,1462,8967,1456xm8968,1462l8970,1464,8970,1464,8968,1462xm8970,1464l8970,1464,8970,1464,8970,1464xm8996,1462l8996,1462,8994,1464,8996,1462xm9065,1463l9062,1463,9061,1464,9065,1463xm8969,1462l8968,1462,8970,1464,8969,1462xm9115,1460l9067,1460,9062,1463,9065,1463,9109,1463,9112,1462,9115,1460xm9048,1462l9046,1462,9049,1463,9048,1462xm9142,1433l9108,1433,9103,1435,9089,1440,9088,1440,9086,1442,9085,1443,9072,1455,9065,1462,9067,1460,9115,1460,9119,1458,9121,1458,9122,1457,9128,1452,9130,1452,9131,1449,9138,1440,9142,1433xm9046,1459l9046,1459,9047,1460,9046,1459xm9001,1457l8996,1459,9000,1457,9001,1457xm9000,1457l8996,1459,8999,1459,9000,1457xm8871,1454l8871,1454,8868,1458,8870,1456,8871,1454xm8870,1456l8868,1458,8869,1458,8870,1456xm9009,1455l9012,1458,9046,1458,9044,1455,9014,1455,9009,1455xm9002,1457l9001,1457,9000,1457,9002,1457xm8881,1455l8878,1455,8879,1457,8881,1455xm8875,1453l8871,1454,8870,1456,8875,1453xm8871,1454l8866,1455,8870,1455,8871,1454xm8892,1453l8875,1453,8871,1455,8883,1455,8889,1454,8892,1453xm9009,1453l9008,1454,9009,1455,9014,1455,9009,1453xm9042,1453l9010,1453,9009,1453,9014,1455,9044,1455,9042,1453xm9008,1454l9006,1455,9009,1455,9008,1454xm9008,1453l9001,1454,9006,1455,9008,1454,9008,1453xm8872,1452l8871,1454,8871,1454,8872,1452xm8894,1452l8872,1452,8871,1454,8875,1453,8892,1453,8894,1452xm9009,1453l9008,1453,9008,1454,9009,1453,9009,1453xm9006,1452l9008,1453,9009,1453,9006,1452xm9010,1453l9009,1453,9009,1453,9010,1453xm9041,1452l9006,1452,9009,1453,9010,1453,9042,1453,9041,1452xm8926,1432l8927,1434,8928,1435,8926,1432xm8956,1432l8926,1432,8928,1435,8958,1435,8957,1433,8956,1432xm8918,1425l8927,1434,8926,1432,8956,1432,8953,1426,8920,1426,8918,1425xm9110,1431l9105,1434,9108,1433,9142,1433,9143,1432,9109,1432,9110,1431xm9112,1429l9110,1431,9109,1432,9112,1429xm9145,1429l9112,1429,9109,1432,9143,1432,9145,1429xm9201,1372l9165,1372,9151,1380,9138,1391,9137,1391,9135,1393,9128,1403,9122,1413,9115,1423,9110,1431,9112,1429,9145,1429,9151,1417,9157,1409,9159,1409,9168,1403,9179,1396,9180,1395,9181,1393,9182,1393,9195,1378,9201,1372xm8878,1428l8876,1431,8880,1428,8878,1428xm8880,1428l8876,1431,8910,1431,8912,1428,8881,1428,8880,1428xm8878,1428l8876,1428,8878,1428,8878,1428,8878,1428xm8913,1427l8882,1427,8880,1428,8881,1428,8912,1428,8913,1427xm8882,1427l8878,1428,8878,1428,8880,1428,8882,1427xm8878,1428l8878,1428,8878,1428,8878,1428xm8922,1396l8909,1396,8906,1397,8904,1398,8898,1403,8897,1403,8888,1416,8882,1423,8878,1428,8882,1427,8913,1427,8914,1426,8914,1426,8916,1424,8913,1423,8912,1423,8916,1422,8915,1422,8951,1422,8950,1421,8950,1418,8949,1418,8948,1417,8936,1403,8934,1402,8933,1401,8931,1399,8924,1397,8922,1396xm8916,1424l8914,1426,8915,1425,8916,1424,8916,1424xm8915,1425l8914,1426,8914,1426,8915,1425xm8918,1424l8917,1424,8918,1425,8920,1426,8918,1424xm8951,1422l8921,1422,8918,1424,8920,1426,8953,1426,8951,1422xm8916,1424l8915,1425,8916,1424,8916,1424xm8917,1424l8916,1424,8918,1425,8917,1424xm8917,1423l8916,1424,8916,1424,8917,1424,8917,1423xm8917,1423l8916,1424,8916,1424,8917,1423xm8916,1422l8912,1423,8913,1423,8916,1424,8917,1423,8916,1422xm8917,1423l8917,1423,8917,1423,8917,1424,8918,1424,8917,1423xm8921,1422l8916,1422,8918,1424,8921,1422xm8916,1422l8916,1422,8917,1423,8917,1423,8917,1423,8916,1422xm8915,1422l8916,1422,8916,1422,8915,1422xm8921,1422l8915,1422,8916,1422,8921,1422xm9369,1418l9371,1420,9371,1421,9369,1418xm9402,1418l9369,1418,9371,1421,9404,1421,9402,1418xm9358,1409l9371,1420,9369,1418,9402,1418,9397,1411,9361,1411,9358,1409xm9159,1409l9157,1409,9154,1413,9159,1409xm9358,1409l9358,1409,9361,1411,9358,1409xm9397,1409l9358,1409,9361,1411,9397,1411,9397,1409xm9349,1405l9358,1409,9358,1409,9397,1409,9394,1406,9350,1406,9349,1405xm9347,1404l9349,1405,9350,1406,9347,1404xm9393,1404l9347,1404,9350,1406,9394,1406,9393,1404xm9321,1319l9305,1319,9300,1323,9295,1328,9296,1329,9302,1350,9308,1371,9315,1388,9317,1391,9325,1398,9327,1399,9329,1402,9331,1402,9338,1403,9344,1403,9349,1405,9347,1404,9393,1404,9392,1402,9390,1399,9390,1398,9376,1388,9374,1386,9361,1378,9344,1378,9342,1377,9341,1377,9341,1376,9338,1375,9339,1375,9338,1372,9339,1372,9335,1362,9328,1341,9321,1319xm9340,1375l9341,1377,9344,1378,9341,1375,9340,1375xm9341,1375l9344,1378,9358,1378,9351,1376,9344,1376,9341,1375xm9341,1376l9341,1377,9341,1377,9341,1376xm9341,1377l9341,1377,9342,1377,9341,1377xm9340,1375l9341,1376,9341,1377,9340,1375,9340,1375xm9338,1375l9341,1376,9340,1375,9338,1375xm9340,1374l9340,1375,9341,1375,9340,1374xm9338,1372l9340,1375,9340,1375,9340,1374,9338,1372xm9339,1375l9338,1375,9340,1375,9339,1375xm9339,1372l9338,1372,9340,1374,9339,1372xm9229,1316l9224,1316,9220,1318,9213,1320,9212,1321,9210,1323,9208,1323,9201,1330,9188,1346,9162,1373,9165,1372,9201,1372,9208,1365,9222,1349,9223,1348,9223,1347,9222,1347,9216,1342,9248,1342,9251,1339,9248,1335,9241,1326,9241,1326,9240,1325,9239,1324,9233,1320,9229,1316xm9248,1342l9216,1342,9229,1344,9226,1345,9223,1348,9227,1354,9234,1364,9235,1365,9237,1366,9244,1370,9248,1372,9253,1372,9257,1370,9263,1366,9264,1365,9266,1365,9267,1364,9274,1356,9274,1355,9275,1355,9275,1354,9280,1346,9255,1346,9254,1345,9244,1345,9248,1343,9248,1342xm9228,1344l9220,1344,9223,1348,9225,1346,9223,1346,9228,1344xm9216,1342l9222,1347,9220,1344,9229,1344,9216,1342xm9220,1344l9222,1347,9223,1347,9220,1344xm9228,1344l9223,1346,9226,1345,9228,1344xm9226,1345l9223,1346,9225,1346,9226,1345xm9250,1341l9255,1346,9253,1343,9250,1341xm9253,1343l9255,1346,9280,1346,9281,1345,9257,1345,9253,1343xm9229,1344l9228,1344,9226,1345,9229,1344xm9248,1343l9244,1345,9254,1345,9253,1344,9247,1344,9248,1343xm9254,1336l9251,1339,9253,1343,9257,1345,9281,1345,9286,1339,9252,1339,9254,1336xm9250,1341l9248,1343,9247,1344,9250,1341xm9250,1341l9250,1341,9247,1344,9253,1344,9250,1341xm9252,1341l9250,1341,9253,1343,9252,1341xm9251,1339l9248,1343,9250,1341,9252,1341,9251,1339xm9296,1293l9291,1294,9287,1298,9279,1304,9272,1311,9266,1320,9259,1329,9252,1339,9286,1339,9287,1337,9293,1330,9295,1328,9293,1323,9292,1322,9291,1321,9292,1321,9290,1319,9321,1319,9319,1311,9317,1308,9313,1303,9312,1300,9309,1299,9307,1298,9301,1295,9296,1293xm9305,1319l9293,1321,9297,1324,9294,1324,9295,1328,9300,1323,9305,1319xm9293,1323l9294,1324,9294,1324,9293,1323xm9293,1322l9293,1323,9294,1324,9293,1322,9293,1322xm9293,1322l9294,1324,9297,1324,9293,1322xm9294,1321l9293,1321,9293,1322,9297,1324,9294,1321xm9292,1322l9293,1323,9293,1322,9292,1322xm9293,1321l9293,1322,9293,1322,9293,1321xm9293,1321l9292,1321,9292,1322,9293,1322,9293,1321,9294,1321,9293,1321xm9292,1321l9291,1321,9292,1322,9292,1321xm9290,1319l9292,1321,9293,1321,9290,1319xm9305,1319l9290,1319,9293,1321,9305,1319xe" filled="true" fillcolor="#497dba" stroked="false">
              <v:path arrowok="t"/>
              <v:fill type="solid"/>
            </v:shape>
            <v:shape style="position:absolute;left:8252;top:1293;width:2081;height:545" coordorigin="8252,1293" coordsize="2081,545" path="m8273,1572l8286,1592,8299,1610,8306,1620,8312,1630,8311,1629,8317,1636,8307,1631,8313,1631,8303,1637,8306,1632,8304,1636,8307,1628,8314,1608,8320,1587,8323,1578,8323,1577,8324,1576,8324,1576,8327,1569,8328,1567,8330,1566,8331,1565,8337,1560,8340,1558,8342,1557,8345,1557,8351,1556,8354,1556,8355,1556,8357,1557,8370,1561,8371,1561,8373,1562,8374,1563,8380,1567,8381,1568,8381,1569,8388,1576,8395,1583,8392,1581,8399,1585,8391,1582,8404,1582,8397,1584,8410,1577,8407,1579,8414,1572,8413,1574,8420,1564,8427,1555,8428,1554,8428,1553,8429,1553,8435,1548,8438,1545,8441,1544,8443,1544,8450,1544,8453,1544,8455,1545,8458,1547,8491,1568,8491,1568,8504,1578,8505,1579,8506,1580,8507,1581,8513,1590,8521,1602,8527,1614,8525,1610,8531,1616,8518,1613,8524,1611,8518,1615,8525,1608,8531,1601,8534,1599,8537,1597,8541,1597,8547,1597,8552,1597,8556,1600,8559,1604,8565,1613,8566,1614,8566,1614,8566,1615,8573,1631,8580,1648,8586,1661,8592,1672,8598,1685,8598,1682,8604,1690,8596,1686,8603,1687,8590,1690,8594,1687,8591,1692,8594,1685,8600,1667,8607,1649,8613,1633,8615,1631,8616,1629,8618,1628,8624,1623,8627,1622,8630,1620,8633,1621,8640,1622,8641,1622,8642,1622,8643,1622,8649,1623,8644,1623,8650,1623,8645,1625,8658,1616,8669,1608,8730,1590,8750,1572,8756,1555,8763,1538,8763,1538,8763,1537,8764,1536,8770,1525,8772,1521,8775,1519,8780,1519,8786,1517,8789,1517,8793,1517,8796,1519,8803,1524,8810,1530,8804,1527,8810,1528,8800,1531,8806,1526,8804,1528,8811,1520,8809,1523,8822,1501,8828,1488,8858,1429,8860,1427,8863,1427,8866,1427,8873,1427,8881,1427,8876,1427,8882,1426,8876,1430,8882,1423,8888,1415,8895,1405,8896,1404,8897,1403,8898,1403,8904,1398,8906,1396,8909,1395,8912,1395,8918,1395,8921,1395,8922,1396,8924,1396,8931,1399,8933,1400,8934,1401,8936,1403,8948,1416,8949,1417,8950,1418,8950,1419,8957,1432,8964,1449,8970,1464,8968,1461,8975,1469,8959,1464,8965,1462,8959,1466,8966,1457,8971,1447,8972,1447,8972,1446,8973,1445,8979,1437,8980,1436,8982,1435,8983,1434,8996,1427,8999,1426,9002,1425,9005,1426,9018,1427,9021,1427,9024,1429,9025,1431,9032,1437,9032,1438,9033,1439,9034,1440,9040,1450,9047,1460,9046,1458,9052,1465,9046,1461,9059,1465,9072,1455,9085,1443,9086,1441,9088,1440,9089,1440,9103,1435,9108,1432,9105,1433,9112,1429,9109,1431,9115,1423,9122,1413,9128,1403,9135,1393,9136,1391,9137,1391,9175,1359,9188,1345,9201,1330,9208,1323,9210,1321,9212,1320,9213,1320,9220,1317,9224,1315,9229,1316,9233,1319,9239,1324,9240,1324,9241,1325,9241,1326,9248,1335,9255,1345,9250,1341,9257,1344,9244,1344,9250,1341,9247,1344,9254,1336,9252,1338,9259,1329,9266,1320,9272,1311,9279,1303,9287,1297,9291,1294,9296,1293,9301,1295,9307,1297,9317,1309,9318,1309,9319,1311,9321,1318,9328,1340,9335,1362,9341,1376,9338,1372,9344,1378,9338,1374,9344,1376,9341,1375,9347,1375,9349,1375,9350,1376,9351,1376,9358,1378,9358,1378,9359,1378,9361,1378,9374,1386,9374,1386,9375,1387,9376,1387,9390,1398,9390,1399,9391,1400,9392,1401,9405,1421,9419,1448,9426,1466,9432,1486,9439,1503,9438,1501,9444,1512,9438,1507,9442,1509,9431,1508,9434,1507,9428,1510,9436,1503,9442,1496,9455,1492,9458,1492,9461,1494,9464,1495,9466,1496,9468,1498,9470,1500,9473,1505,9474,1506,9474,1507,9474,1508,9478,1516,9484,1537,9491,1559,9493,1566,9493,1564,9496,1570,9493,1566,9499,1570,9490,1567,9497,1567,9492,1569,9505,1563,9517,1557,9522,1553,9524,1552,9525,1551,9528,1551,9535,1550,9536,1549,9538,1549,9540,1550,9552,1553,9566,1562,9566,1562,9567,1563,9573,1572,9574,1572,9575,1573,9596,1646,9604,1660,9593,1657,9608,1642,9615,1628,9621,1612,9622,1612,9622,1611,9622,1610,9629,1600,9631,1597,9634,1595,9638,1594,9644,1593,9648,1592,9652,1593,9654,1595,9661,1600,9669,1606,9663,1603,9670,1605,9657,1608,9663,1602,9662,1604,9669,1596,9675,1588,9676,1587,9677,1586,9678,1585,9685,1580,9688,1579,9692,1578,9695,1579,9709,1581,9711,1581,9713,1582,9715,1584,9728,1595,9729,1596,9729,1597,9730,1598,9756,1642,9749,1637,9764,1635,9770,1635,9772,1635,9775,1636,9777,1637,9790,1644,9803,1650,9794,1649,9800,1648,9797,1649,9804,1646,9811,1643,9812,1642,9814,1641,9816,1641,9822,1641,9826,1641,9828,1643,9831,1645,9845,1656,9845,1657,9846,1657,9846,1659,9859,1675,9873,1696,9887,1717,9899,1732,9912,1751,9912,1752,9913,1752,9913,1753,9919,1766,9927,1783,9933,1798,9931,1795,9937,1803,9929,1798,9936,1792,9934,1794,9965,1720,9972,1700,9979,1678,9985,1657,9991,1639,9998,1621,10004,1605,10005,1604,10006,1604,10006,1602,10013,1592,10014,1590,10016,1589,10017,1588,10020,1586,10024,1584,10029,1583,10033,1586,10037,1587,10039,1588,10042,1590,10042,1592,10046,1598,10046,1600,10047,1601,10047,1602,10050,1612,10057,1640,10064,1671,10067,1683,10070,1693,10076,1707,10082,1718,10094,1734,10092,1732,10101,1748,10114,1739,10111,1743,10123,1725,10121,1727,10128,1712,10135,1693,10141,1677,10145,1670,10146,1668,10148,1665,10151,1664,10154,1663,10158,1661,10162,1661,10179,1675,10180,1676,10180,1677,10180,1678,10187,1695,10193,1714,10199,1728,10197,1725,10204,1732,10200,1730,10207,1734,10214,1738,10215,1738,10215,1739,10216,1739,10222,1746,10223,1747,10224,1748,10224,1748,10231,1758,10238,1771,10245,1784,10251,1793,10262,1807,10261,1805,10267,1811,10262,1808,10268,1809,10259,1811,10266,1808,10262,1810,10268,1804,10267,1805,10280,1789,10306,1756,10310,1750,10319,1749,10325,1754,10331,1759,10332,1767,10327,1773,10301,1807,10289,1823,10288,1823,10287,1824,10281,1830,10279,1832,10278,1832,10276,1833,10270,1836,10267,1837,10264,1837,10261,1837,10254,1835,10253,1834,10251,1833,10249,1832,10243,1827,10243,1826,10242,1826,10241,1825,10227,1808,10220,1797,10214,1785,10207,1774,10201,1764,10203,1765,10197,1759,10199,1762,10193,1757,10186,1753,10185,1753,10184,1752,10182,1751,10176,1743,10176,1742,10174,1741,10174,1739,10168,1724,10161,1704,10154,1688,10155,1690,10152,1684,10158,1689,10154,1688,10166,1688,10163,1689,10169,1683,10167,1687,10161,1703,10154,1723,10147,1738,10147,1739,10146,1740,10146,1741,10133,1759,10132,1760,10111,1774,10107,1773,10101,1773,10099,1773,10097,1772,10096,1771,10089,1768,10088,1767,10087,1766,10086,1765,10073,1753,10073,1752,10072,1752,10071,1751,10058,1732,10050,1718,10044,1702,10040,1690,10037,1676,10030,1646,10023,1619,10021,1610,10023,1613,10036,1608,10029,1618,10030,1615,10024,1632,10017,1648,10011,1665,9991,1729,9964,1799,9958,1809,9957,1810,9957,1811,9956,1811,9950,1818,9949,1819,9948,1820,9947,1820,9940,1824,9937,1826,9934,1827,9930,1826,9924,1825,9920,1824,9918,1823,9916,1820,9910,1812,9908,1811,9908,1810,9908,1809,9901,1794,9895,1779,9888,1765,9889,1767,9877,1750,9863,1732,9851,1712,9838,1692,9825,1675,9826,1678,9813,1667,9822,1669,9816,1669,9821,1668,9815,1672,9808,1675,9807,1675,9806,1675,9805,1675,9799,1677,9796,1677,9793,1677,9790,1675,9777,1669,9764,1662,9770,1663,9764,1663,9769,1663,9763,1665,9761,1665,9761,1665,9760,1665,9753,1667,9751,1667,9748,1667,9746,1666,9727,1650,9726,1649,9726,1649,9726,1648,9719,1636,9713,1623,9707,1614,9710,1616,9697,1605,9703,1608,9690,1606,9700,1604,9694,1608,9682,1623,9681,1624,9675,1629,9671,1632,9667,1633,9662,1632,9646,1623,9639,1618,9649,1620,9643,1622,9652,1616,9646,1626,9647,1623,9640,1639,9633,1655,9626,1667,9625,1669,9624,1671,9622,1672,9609,1681,9607,1683,9605,1683,9602,1683,9595,1684,9592,1685,9587,1683,9585,1681,9579,1675,9578,1674,9577,1673,9576,1671,9573,1664,9572,1664,9572,1663,9572,1663,9568,1652,9562,1628,9555,1602,9553,1594,9550,1586,9552,1588,9537,1577,9530,1581,9516,1590,9503,1595,9501,1596,9499,1596,9497,1596,9490,1596,9487,1596,9484,1595,9482,1593,9476,1588,9474,1587,9474,1586,9472,1584,9469,1579,9468,1577,9468,1577,9468,1576,9464,1567,9459,1546,9452,1526,9449,1518,9450,1521,9447,1515,9452,1520,9449,1519,9457,1520,9455,1520,9461,1516,9455,1523,9448,1530,9447,1531,9445,1533,9444,1533,9441,1534,9437,1535,9433,1535,9430,1533,9426,1532,9424,1531,9422,1529,9420,1526,9414,1515,9414,1514,9413,1514,9413,1513,9407,1496,9400,1476,9394,1461,9382,1437,9369,1417,9371,1420,9344,1403,9347,1403,9341,1403,9340,1403,9339,1403,9338,1403,9331,1401,9329,1401,9327,1399,9325,1398,9319,1392,9317,1391,9316,1389,9315,1387,9308,1370,9302,1349,9296,1328,9293,1320,9294,1323,9290,1318,9297,1323,9291,1321,9305,1319,9300,1323,9293,1330,9287,1337,9281,1344,9275,1354,9275,1354,9274,1355,9274,1355,9267,1363,9266,1364,9264,1364,9263,1366,9257,1369,9253,1371,9248,1371,9233,1361,9227,1352,9220,1344,9222,1347,9216,1342,9229,1344,9223,1346,9228,1343,9222,1348,9208,1364,9195,1378,9182,1393,9181,1393,9180,1394,9179,1395,9168,1403,9154,1412,9157,1409,9151,1417,9145,1429,9121,1457,9120,1457,9119,1457,9112,1461,9099,1466,9104,1463,9091,1475,9084,1482,9084,1482,9083,1483,9082,1484,9076,1488,9074,1488,9073,1489,9072,1489,9058,1492,9056,1493,9053,1493,9051,1492,9038,1488,9035,1487,9034,1486,9032,1484,9025,1477,9025,1476,9024,1476,9024,1475,9018,1465,9011,1456,9012,1457,9006,1451,9014,1455,8994,1463,8996,1461,8988,1474,8969,1490,8963,1493,8957,1490,8953,1486,8947,1478,8946,1477,8945,1476,8945,1475,8938,1460,8932,1445,8926,1431,8928,1435,8921,1421,8914,1425,8917,1422,8910,1431,8902,1442,8896,1449,8894,1451,8892,1452,8889,1453,8883,1455,8881,1455,8879,1456,8878,1455,8873,1454,8866,1454,8875,1452,8868,1457,8872,1451,8866,1463,8860,1480,8833,1537,8831,1539,8824,1547,8824,1548,8823,1548,8823,1549,8816,1553,8813,1556,8809,1556,8805,1556,8787,1547,8781,1543,8791,1545,8785,1546,8794,1539,8787,1550,8789,1548,8766,1601,8759,1608,8759,1609,8757,1610,8756,1610,8749,1614,8748,1615,8747,1615,8745,1615,8732,1618,8731,1618,8730,1618,8729,1618,8716,1617,8703,1616,8710,1615,8699,1621,8686,1630,8672,1640,8659,1649,8657,1649,8655,1650,8653,1650,8647,1651,8645,1651,8644,1651,8642,1651,8636,1649,8638,1649,8631,1649,8640,1646,8634,1651,8638,1646,8632,1657,8626,1677,8619,1696,8616,1703,8615,1704,8614,1706,8613,1707,8610,1710,8607,1714,8602,1715,8598,1714,8576,1700,8575,1700,8575,1699,8575,1698,8567,1686,8561,1672,8554,1658,8548,1642,8542,1626,8543,1629,8537,1619,8547,1625,8541,1625,8551,1621,8544,1628,8537,1635,8536,1636,8534,1638,8532,1639,8525,1640,8521,1641,8516,1640,8512,1637,8506,1631,8505,1630,8504,1629,8504,1628,8497,1617,8491,1606,8485,1598,8487,1600,8475,1590,8476,1592,8463,1585,8462,1584,8462,1584,8462,1583,8450,1574,8443,1570,8450,1572,8443,1572,8453,1569,8447,1574,8448,1572,8442,1580,8435,1590,8435,1590,8434,1591,8434,1591,8427,1598,8426,1600,8425,1600,8425,1601,8412,1608,8410,1610,8407,1610,8406,1610,8392,1610,8376,1603,8375,1602,8369,1596,8362,1588,8364,1590,8347,1584,8355,1581,8349,1587,8352,1582,8349,1589,8349,1587,8346,1595,8340,1617,8333,1638,8330,1646,8330,1647,8329,1648,8328,1649,8325,1654,8322,1657,8318,1659,8313,1659,8307,1659,8304,1659,8300,1658,8297,1655,8291,1648,8290,1647,8290,1647,8289,1646,8282,1636,8277,1626,8263,1608,8252,1590,8252,1570,8254,1569,8260,1564,8269,1566,8273,1572e" filled="false" stroked="true" strokeweight=".46495pt" strokecolor="#497dba">
              <v:path arrowok="t"/>
            </v:shape>
            <v:shape style="position:absolute;left:7814;top:634;width:2655;height:1782" coordorigin="7814,634" coordsize="2655,1782" path="m10467,634l7816,634,7814,636,7814,2413,7816,2415,10467,2415,10468,2413,10468,2410,7823,2410,7819,2406,7823,2406,7823,643,7819,643,7823,638,10468,638,10468,636,10467,634xm7823,2406l7819,2406,7823,2410,7823,2406xm10459,2406l7823,2406,7823,2410,10459,2410,10459,2406xm10459,638l10459,2410,10464,2406,10468,2406,10468,643,10464,643,10459,638xm10468,2406l10464,2406,10459,2410,10468,2410,10468,2406xm7823,638l7819,643,7823,643,7823,638xm10459,638l7823,638,7823,643,10459,643,10459,638xm10468,638l10459,638,10464,643,10468,643,10468,638xe" filled="true" fillcolor="#858585" stroked="false">
              <v:path arrowok="t"/>
              <v:fill type="solid"/>
            </v:shape>
            <v:shape style="position:absolute;left:8808;top:2647;width:4325;height:2872" coordorigin="8808,2647" coordsize="4325,2872" path="m7814,638l7814,636,7816,634,7819,634,10464,634,10467,634,10468,636,10468,638,10468,2410,10468,2413,10467,2415,10464,2415,7819,2415,7816,2415,7814,2413,7814,2410,7814,638xm7823,2410l7819,2406,10464,2406,10459,2410,10459,638,10464,643,7819,643,7823,638,7823,2410xe" filled="false" stroked="true" strokeweight=".086384pt" strokecolor="#858585">
              <v:path arrowok="t"/>
            </v:shape>
            <v:line style="position:absolute" from="3137,2616" to="3137,4117" stroked="true" strokeweight=".460272pt" strokecolor="#858585"/>
            <v:shape style="position:absolute;left:3100;top:3828;width:37;height:290" coordorigin="3100,3828" coordsize="37,290" path="m3100,4117l3137,4117m3100,3828l3137,3828e" filled="false" stroked="true" strokeweight=".465271pt" strokecolor="#858585">
              <v:path arrowok="t"/>
            </v:shape>
            <v:line style="position:absolute" from="3100,3539" to="3137,3539" stroked="true" strokeweight=".48078pt" strokecolor="#858585"/>
            <v:shape style="position:absolute;left:3100;top:2672;width:1834;height:756" coordorigin="3100,2672" coordsize="1834,756" path="m3100,3250l3137,3250m3100,2961l3137,2961m3100,2672l3137,2672m3137,3427l4934,3427e" filled="false" stroked="true" strokeweight=".465271pt" strokecolor="#858585">
              <v:path arrowok="t"/>
            </v:shape>
            <v:shape style="position:absolute;left:3335;top:3446;width:1438;height:2" coordorigin="3335,3446" coordsize="1438,0" path="m3335,3446l3344,3446m3538,3446l3547,3446m3741,3446l3750,3446m3953,3446l3962,3446m4155,3446l4165,3446m4358,3446l4367,3446m4561,3446l4570,3446m4764,3446l4773,3446e" filled="false" stroked="true" strokeweight="1.861082pt" strokecolor="#858585">
              <v:path arrowok="t"/>
            </v:shape>
            <v:shape style="position:absolute;left:3137;top:2940;width:1804;height:1166" coordorigin="3137,2940" coordsize="1804,1166" path="m4925,4065l4891,4065,4914,4098,4918,4104,4927,4106,4933,4102,4939,4098,4941,4088,4937,4082,4925,4065xm4850,3485l4848,3485,4846,3491,4845,3506,4843,3525,4842,3547,4840,3573,4838,3634,4835,3697,4834,3715,4835,3743,4838,3813,4840,3845,4841,3872,4841,3874,4843,3898,4844,3918,4849,3958,4856,3991,4862,4016,4867,4031,4867,4032,4867,4034,4868,4034,4873,4045,4874,4047,4875,4048,4882,4056,4893,4067,4891,4065,4925,4065,4914,4048,4913,4048,4912,4047,4902,4036,4898,4032,4898,4032,4895,4030,4897,4030,4894,4024,4893,4024,4889,4009,4883,3985,4876,3954,4872,3916,4870,3896,4868,3872,4867,3844,4866,3811,4863,3742,4860,3669,4858,3601,4856,3570,4855,3541,4852,3498,4850,3485xm4895,4030l4898,4032,4898,4032,4895,4030xm4898,4032l4898,4032,4898,4032,4898,4032xm4897,4030l4895,4030,4898,4032,4897,4030xm4893,4021l4893,4024,4894,4024,4893,4021xm4720,3826l4706,3826,4706,3826,4702,3834,4697,3846,4699,3855,4704,3881,4709,3903,4716,3923,4722,3942,4727,3957,4728,3959,4729,3960,4732,3964,4734,3967,4737,3968,4740,3969,4743,3969,4748,3970,4752,3969,4755,3965,4758,3962,4759,3960,4761,3958,4764,3950,4765,3947,4736,3947,4736,3945,4736,3945,4737,3944,4738,3941,4743,3922,4744,3921,4742,3914,4731,3876,4726,3849,4720,3826xm4736,3945l4736,3945,4736,3947,4736,3945xm4748,3942l4736,3945,4736,3947,4753,3947,4752,3944,4748,3942xm4752,3944l4753,3947,4752,3945,4752,3944xm4752,3945l4753,3947,4765,3947,4766,3945,4753,3945,4752,3945xm4737,3944l4736,3945,4736,3945,4737,3944xm4736,3945l4736,3945,4736,3945,4736,3945xm4751,3943l4752,3945,4753,3945,4751,3943xm4796,3839l4791,3840,4787,3841,4784,3842,4782,3844,4780,3845,4768,3857,4763,3865,4761,3866,4756,3877,4755,3878,4755,3880,4749,3898,4744,3921,4748,3933,4751,3943,4753,3945,4766,3945,4770,3929,4776,3905,4780,3891,4780,3891,4781,3888,4781,3888,4786,3880,4786,3880,4790,3874,4795,3869,4794,3869,4800,3864,4809,3864,4816,3860,4818,3859,4820,3857,4821,3855,4825,3847,4826,3845,4826,3844,4826,3841,4797,3841,4797,3840,4795,3840,4796,3839xm4738,3942l4737,3944,4736,3945,4736,3945,4738,3942xm4747,3942l4738,3942,4736,3945,4748,3942,4747,3942xm4750,3942l4752,3944,4752,3945,4751,3943,4750,3942xm4750,3941l4745,3941,4748,3942,4748,3942,4752,3944,4750,3942,4751,3942,4750,3941xm4744,3921l4743,3922,4738,3941,4737,3944,4738,3942,4747,3942,4745,3941,4750,3941,4748,3933,4744,3921xm4751,3942l4750,3942,4751,3943,4751,3942xm4745,3941l4748,3942,4748,3942,4745,3941xm4646,3278l4619,3278,4620,3283,4619,3283,4620,3302,4622,3331,4623,3364,4623,3370,4625,3418,4627,3489,4630,3584,4632,3677,4634,3722,4635,3763,4637,3802,4638,3835,4640,3864,4642,3885,4642,3889,4643,3892,4645,3898,4652,3902,4659,3902,4662,3901,4665,3901,4667,3898,4670,3896,4673,3892,4675,3891,4678,3883,4670,3883,4662,3878,4648,3878,4652,3874,4652,3874,4655,3870,4665,3849,4667,3846,4666,3834,4665,3800,4663,3763,4662,3721,4660,3677,4658,3584,4655,3489,4652,3402,4650,3365,4649,3329,4647,3300,4647,3283,4620,3283,4619,3281,4646,3281,4646,3278xm4781,3888l4780,3891,4781,3889,4781,3888xm4781,3889l4780,3891,4780,3891,4781,3889xm4781,3888l4781,3888,4781,3889,4781,3888xm4668,3874l4656,3874,4655,3874,4670,3883,4669,3882,4669,3882,4668,3874xm4680,3880l4669,3880,4670,3883,4678,3883,4680,3880xm4698,3800l4693,3802,4689,3804,4686,3807,4685,3808,4684,3809,4682,3810,4676,3823,4671,3836,4667,3846,4669,3882,4669,3880,4680,3880,4686,3869,4689,3864,4690,3861,4696,3849,4697,3846,4694,3834,4690,3826,4691,3826,4689,3824,4719,3824,4716,3815,4716,3815,4716,3814,4715,3814,4713,3809,4711,3805,4708,3804,4705,3803,4703,3802,4698,3800xm4669,3880l4669,3882,4669,3882,4669,3880xm4786,3880l4786,3880,4784,3882,4786,3880xm4652,3874l4648,3878,4652,3876,4651,3876,4652,3874xm4655,3874l4648,3878,4662,3878,4655,3874xm4652,3874l4652,3874,4651,3876,4652,3874xm4667,3846l4665,3849,4655,3870,4651,3876,4652,3876,4655,3874,4654,3874,4668,3874,4667,3857,4667,3846xm4656,3874l4654,3874,4655,3874,4656,3874xm4800,3864l4794,3869,4795,3868,4800,3864xm4795,3868l4794,3869,4795,3869,4795,3868xm4809,3864l4800,3864,4795,3868,4798,3867,4804,3866,4806,3866,4807,3865,4809,3864xm4690,3826l4694,3834,4697,3846,4702,3834,4705,3829,4696,3829,4693,3828,4692,3828,4690,3826xm4799,3839l4798,3839,4797,3841,4799,3839xm4799,3839l4799,3839,4797,3841,4826,3841,4826,3840,4799,3840,4799,3839xm4798,3839l4796,3839,4795,3840,4798,3839,4798,3839xm4798,3839l4795,3840,4797,3840,4798,3839xm4800,3839l4799,3839,4799,3840,4800,3839xm4827,3839l4800,3839,4800,3839,4799,3840,4826,3840,4827,3839xm4799,3839l4798,3839,4798,3839,4799,3839,4799,3839xm4798,3838l4796,3839,4798,3839,4798,3838xm4800,3837l4798,3838,4798,3839,4799,3839,4799,3839,4799,3839,4800,3837xm4799,3839l4799,3839,4799,3839,4799,3839,4799,3839xm4800,3839l4799,3839,4799,3839,4800,3839xm4799,3839l4799,3839,4799,3839,4799,3839xm4800,3839l4800,3839,4800,3839,4800,3839xm4800,3838l4799,3839,4799,3839,4800,3839,4800,3838xm4827,3836l4802,3836,4800,3838,4800,3839,4800,3839,4827,3839,4827,3836xm4800,3837l4800,3837,4799,3839,4800,3838,4800,3837xm4802,3836l4800,3837,4800,3838,4802,3836xm4800,3835l4798,3838,4800,3837,4800,3835xm4801,3834l4800,3835,4800,3837,4800,3837,4801,3834xm4827,3834l4801,3834,4800,3837,4802,3836,4827,3836,4827,3834xm4835,3467l4829,3468,4825,3472,4824,3473,4822,3475,4821,3476,4821,3479,4819,3489,4818,3504,4816,3522,4815,3546,4813,3573,4810,3632,4807,3696,4805,3756,4803,3783,4802,3805,4800,3835,4801,3834,4827,3834,4828,3826,4829,3808,4830,3784,4832,3757,4834,3715,4833,3669,4830,3602,4828,3571,4828,3543,4826,3520,4825,3503,4823,3490,4822,3484,4850,3484,4848,3474,4844,3469,4839,3468,4835,3467xm4694,3828l4693,3828,4696,3829,4694,3828xm4705,3827l4694,3828,4696,3829,4705,3829,4705,3828,4703,3828,4705,3827xm4691,3826l4690,3826,4692,3828,4691,3826xm4689,3824l4692,3828,4693,3828,4694,3828,4689,3824xm4706,3826l4705,3827,4703,3828,4706,3826,4706,3826xm4706,3826l4703,3828,4705,3828,4706,3826xm4707,3824l4689,3824,4694,3828,4705,3827,4707,3824xm4707,3824l4705,3827,4706,3826,4707,3824xm4719,3824l4707,3824,4706,3826,4706,3826,4720,3826,4719,3824xm4822,3484l4823,3490,4825,3503,4826,3520,4828,3543,4828,3571,4830,3602,4833,3670,4834,3715,4835,3696,4838,3634,4840,3573,4842,3547,4843,3525,4845,3503,4846,3493,4844,3493,4845,3491,4822,3484xm4845,3491l4844,3493,4845,3491,4845,3491xm4848,3485l4845,3491,4845,3491,4844,3493,4846,3493,4846,3491,4848,3485xm4850,3484l4822,3484,4845,3491,4848,3485,4850,3485,4850,3484xm4150,3386l4154,3393,4158,3406,4164,3418,4171,3431,4172,3432,4173,3433,4173,3433,4179,3438,4181,3439,4182,3440,4184,3442,4189,3444,4205,3444,4218,3443,4221,3443,4232,3439,4242,3439,4249,3438,4252,3437,4254,3436,4256,3433,4261,3427,4262,3426,4263,3424,4263,3423,4265,3418,4198,3418,4197,3418,4194,3417,4196,3417,4193,3416,4195,3416,4192,3413,4193,3413,4189,3408,4184,3395,4181,3387,4151,3387,4150,3386xm4197,3418l4198,3418,4197,3418,4197,3418xm4197,3418l4198,3418,4199,3418,4197,3418xm4197,3417l4197,3418,4199,3418,4197,3417xm4238,3412l4235,3412,4225,3412,4223,3413,4212,3417,4197,3417,4197,3417,4199,3418,4265,3418,4265,3416,4235,3416,4238,3412xm4193,3416l4197,3418,4197,3418,4197,3417,4193,3416xm4196,3417l4194,3417,4197,3418,4196,3417xm4194,3414l4195,3416,4193,3416,4197,3417,4194,3414xm4215,3416l4205,3417,4212,3417,4215,3416xm4192,3413l4195,3416,4194,3414,4192,3413xm4238,3411l4238,3412,4235,3416,4237,3414,4238,3411xm4237,3414l4235,3416,4265,3416,4266,3414,4237,3414,4237,3414xm4237,3414l4237,3414,4237,3414,4237,3414xm4267,3411l4242,3411,4237,3414,4237,3414,4266,3414,4266,3413,4267,3411xm4193,3413l4192,3413,4194,3414,4193,3413xm4239,3411l4238,3411,4237,3414,4237,3414,4239,3411xm4242,3411l4239,3411,4237,3414,4242,3411xm4238,3411l4238,3412,4238,3411,4238,3411xm4239,3409l4238,3411,4238,3411,4239,3411,4239,3409xm4267,3409l4239,3409,4239,3411,4242,3411,4267,3411,4267,3409xm4465,2996l4464,2996,4452,2998,4449,2998,4447,2999,4436,3003,4436,3004,4435,3004,4434,3005,4422,3014,4397,3035,4375,3060,4374,3061,4373,3061,4350,3098,4339,3119,4328,3140,4317,3158,4305,3177,4294,3201,4282,3228,4271,3263,4259,3304,4254,3333,4248,3364,4242,3393,4240,3405,4238,3411,4239,3409,4267,3409,4269,3400,4275,3370,4281,3336,4286,3309,4298,3270,4308,3237,4319,3212,4330,3190,4341,3174,4352,3155,4364,3133,4375,3110,4395,3079,4395,3079,4397,3077,4397,3077,4417,3055,4439,3035,4450,3027,4453,3027,4458,3025,4499,3025,4509,3024,4508,3024,4558,3024,4553,3017,4553,3017,4552,3016,4552,3016,4541,3006,4540,3005,4539,3005,4537,3004,4526,2999,4474,2999,4476,2999,4466,2998,4465,2996xm4083,3296l4081,3297,4082,3299,4085,3308,4090,3333,4095,3357,4099,3369,4102,3377,4103,3380,4104,3381,4106,3382,4112,3387,4114,3390,4122,3390,4129,3388,4131,3388,4132,3387,4138,3385,4142,3383,4147,3383,4145,3382,4179,3382,4177,3378,4172,3369,4171,3367,4170,3366,4128,3366,4126,3364,4118,3362,4123,3361,4123,3361,4124,3361,4125,3361,4122,3351,4118,3326,4112,3300,4111,3297,4084,3297,4083,3296xm4148,3384l4150,3386,4151,3387,4148,3384,4148,3384xm4148,3384l4151,3387,4181,3387,4180,3385,4151,3385,4148,3384xm4147,3384l4150,3386,4148,3384,4147,3384xm4148,3383l4148,3384,4151,3385,4148,3383xm4180,3383l4148,3383,4148,3383,4151,3385,4180,3385,4180,3383xm4148,3383l4148,3384,4148,3384,4148,3383xm4145,3382l4147,3384,4148,3384,4148,3383,4145,3382xm4147,3383l4146,3383,4147,3384,4147,3383xm4179,3382l4145,3382,4148,3383,4148,3383,4180,3383,4179,3382xm4126,3364l4128,3366,4127,3365,4126,3364xm4127,3365l4128,3366,4170,3366,4168,3365,4128,3365,4127,3365xm4127,3364l4127,3365,4128,3365,4127,3364xm4152,3356l4134,3356,4132,3357,4127,3360,4125,3361,4126,3361,4127,3364,4128,3365,4168,3365,4162,3361,4161,3359,4159,3359,4157,3357,4152,3356xm4123,3361l4123,3361,4126,3364,4127,3365,4127,3364,4123,3361xm4123,3361l4118,3362,4126,3364,4124,3362,4121,3362,4123,3361,4123,3361xm4125,3361l4124,3361,4123,3361,4127,3364,4126,3361,4125,3361xm4123,3361l4121,3362,4123,3361,4123,3361xm4123,3361l4121,3362,4124,3362,4123,3361xm4124,3361l4124,3361,4123,3361,4123,3361,4124,3361xm4124,3361l4123,3361,4123,3361,4124,3361xm4123,3361l4123,3361,4123,3361,4123,3361xm4124,3361l4123,3361,4123,3361,4124,3361xm4072,3300l4033,3300,4039,3303,4049,3303,4072,3300xm3964,2986l3934,2986,3944,3014,3950,3030,3956,3048,3967,3086,3973,3102,3978,3115,3984,3129,3989,3149,3992,3163,3995,3179,4000,3216,4006,3252,4009,3268,4011,3280,4013,3283,4018,3292,4019,3293,4021,3294,4030,3299,4031,3300,4074,3300,4074,3299,4081,3297,4080,3293,4078,3292,4109,3292,4108,3288,4105,3280,4104,3279,4103,3277,4101,3275,4041,3275,4036,3271,4037,3271,4036,3268,4037,3268,4036,3263,4033,3248,4028,3212,4022,3174,4019,3158,4016,3141,4010,3120,4004,3104,3999,3092,3994,3078,3982,3040,3976,3020,3970,3003,3964,2986xm4080,3293l4081,3297,4083,3296,4080,3293xm4083,3296l4083,3296,4084,3297,4083,3296xm4109,3292l4079,3292,4080,3292,4089,3295,4086,3295,4083,3296,4084,3297,4111,3297,4109,3292xm4080,3292l4080,3293,4083,3296,4083,3296,4080,3292,4080,3292xm4080,3292l4083,3296,4086,3295,4089,3295,4080,3292xm4078,3292l4080,3293,4080,3292,4078,3292xm4079,3292l4080,3292,4080,3292,4079,3292xm4079,3292l4078,3292,4080,3292,4079,3292xm4619,3278l4619,3281,4620,3283,4619,3278xm4617,3275l4619,3281,4619,3278,4646,3278,4646,3277,4619,3277,4617,3275xm4616,3272l4617,3275,4619,3277,4616,3272xm4644,3269l4612,3269,4614,3272,4616,3272,4619,3277,4646,3277,4646,3274,4646,3273,4644,3269xm4038,3272l4038,3273,4038,3273,4041,3275,4039,3272,4038,3272xm4039,3272l4041,3275,4046,3275,4048,3275,4044,3274,4042,3274,4039,3272xm4048,3275l4046,3275,4049,3275,4048,3275xm4090,3267l4086,3268,4078,3268,4077,3269,4066,3273,4068,3273,4048,3275,4049,3275,4101,3275,4096,3272,4093,3268,4090,3267xm4613,3271l4617,3275,4616,3272,4614,3272,4613,3271xm4040,3273l4042,3274,4047,3274,4040,3273xm4036,3271l4038,3273,4038,3273,4038,3272,4036,3271xm4038,3272l4038,3273,4038,3272,4038,3272xm4038,3270l4038,3272,4039,3272,4038,3270xm4036,3268l4038,3272,4038,3272,4038,3270,4036,3268xm4612,3269l4613,3271,4614,3272,4612,3269xm4037,3271l4036,3271,4038,3272,4037,3271xm4548,3057l4552,3070,4558,3093,4563,3127,4568,3160,4574,3189,4580,3211,4586,3230,4597,3258,4598,3261,4600,3262,4602,3264,4613,3271,4612,3269,4644,3269,4642,3262,4640,3258,4638,3257,4631,3249,4631,3249,4630,3248,4629,3248,4626,3247,4623,3247,4618,3241,4621,3241,4612,3221,4601,3184,4596,3156,4590,3120,4585,3087,4578,3060,4578,3058,4548,3058,4548,3057xm4037,3268l4036,3268,4038,3270,4037,3268xm4618,3241l4623,3247,4622,3245,4622,3244,4618,3241xm4622,3245l4623,3247,4626,3247,4622,3245xm4621,3241l4618,3241,4622,3244,4622,3245,4621,3241xm3161,3106l3164,3110,3169,3120,3180,3140,3192,3158,3199,3165,3200,3166,3201,3168,3203,3168,3208,3170,3211,3171,3213,3172,3216,3171,3224,3171,3226,3170,3228,3169,3234,3165,3238,3161,3237,3161,3240,3159,3236,3159,3243,3158,3279,3158,3276,3156,3323,3156,3325,3154,3326,3154,3327,3153,3328,3150,3330,3146,3213,3146,3215,3144,3213,3144,3215,3144,3216,3143,3215,3143,3217,3143,3204,3127,3193,3107,3161,3107,3161,3106xm3281,3159l3286,3163,3291,3166,3293,3168,3311,3168,3314,3165,3320,3159,3282,3159,3281,3159xm3279,3158l3243,3158,3240,3159,3248,3160,3257,3161,3259,3163,3261,3163,3263,3161,3274,3159,3280,3158,3279,3158xm3240,3159l3237,3161,3239,3160,3240,3159,3240,3159xm3239,3160l3237,3161,3238,3161,3239,3160xm3240,3159l3239,3160,3240,3159,3240,3159xm3241,3159l3240,3159,3240,3159,3240,3159,3241,3159xm3240,3159l3240,3159,3240,3159,3240,3159xm3243,3158l3236,3159,3240,3159,3240,3159,3241,3159,3243,3158xm3280,3158l3280,3158,3281,3159,3282,3159,3280,3158xm3323,3156l3276,3156,3283,3158,3280,3158,3282,3159,3320,3159,3323,3156xm3280,3158l3280,3158,3281,3159,3280,3158xm3276,3156l3280,3158,3280,3158,3280,3158,3283,3158,3276,3156xm3280,3158l3280,3158,3280,3158,3280,3158xm3283,3158l3280,3158,3280,3158,3283,3158xm3215,3144l3213,3146,3217,3145,3215,3144xm3217,3145l3213,3146,3330,3146,3331,3145,3219,3145,3218,3145,3217,3145xm3218,3145l3219,3145,3218,3145,3218,3145xm3218,3145l3219,3145,3221,3145,3218,3145xm3218,3144l3218,3144,3218,3145,3221,3145,3218,3144xm3302,3141l3295,3144,3219,3144,3218,3144,3221,3145,3331,3145,3332,3143,3307,3143,3302,3141xm3218,3144l3218,3144,3218,3145,3218,3145,3218,3144xm3218,3144l3217,3145,3218,3145,3218,3144xm3216,3143l3215,3144,3217,3145,3218,3144,3216,3143xm3216,3143l3216,3143,3218,3144,3218,3144,3218,3144,3218,3144,3216,3143xm3215,3144l3213,3144,3215,3144,3215,3144xm3218,3144l3218,3144,3218,3144,3218,3144xm3249,3132l3233,3132,3231,3133,3225,3137,3223,3138,3222,3139,3218,3141,3217,3143,3218,3144,3218,3144,3219,3144,3295,3144,3299,3140,3298,3140,3299,3140,3301,3139,3295,3135,3294,3135,3294,3134,3256,3134,3259,3133,3249,3132xm3217,3143l3216,3143,3218,3144,3217,3143xm3299,3140l3295,3144,3302,3141,3299,3140xm3215,3143l3216,3143,3216,3143,3215,3143xm3217,3143l3215,3143,3216,3143,3217,3143xm3303,3141l3302,3141,3307,3143,3303,3141xm3334,3140l3304,3140,3303,3141,3307,3143,3332,3143,3334,3140xm3301,3139l3299,3140,3302,3141,3303,3141,3301,3139,3301,3139xm3305,3136l3301,3139,3301,3139,3303,3141,3304,3140,3334,3140,3336,3137,3304,3137,3305,3136xm3299,3140l3298,3140,3299,3140,3299,3140xm3307,3134l3305,3136,3304,3137,3307,3134xm3337,3134l3307,3134,3304,3137,3336,3137,3337,3134xm3382,3046l3344,3046,3344,3047,3343,3047,3338,3056,3338,3057,3337,3058,3336,3058,3330,3073,3325,3089,3320,3105,3315,3118,3305,3136,3307,3134,3337,3134,3339,3132,3345,3117,3351,3099,3357,3082,3361,3072,3361,3072,3362,3070,3362,3070,3366,3065,3365,3065,3371,3058,3382,3047,3382,3046xm3259,3133l3256,3134,3261,3134,3259,3133xm3283,3129l3280,3130,3268,3132,3259,3133,3261,3134,3294,3134,3288,3132,3286,3130,3283,3129xm3158,3103l3161,3106,3161,3107,3158,3103xm3191,3103l3158,3103,3161,3107,3193,3107,3191,3103xm3150,3098l3161,3106,3158,3103,3191,3103,3189,3099,3152,3099,3150,3098xm3150,3098l3150,3098,3152,3099,3150,3098xm3188,3098l3150,3098,3152,3099,3189,3099,3188,3098xm3146,3065l3138,3067,3137,3068,3137,3092,3141,3093,3150,3098,3150,3098,3188,3098,3187,3096,3181,3087,3180,3086,3179,3084,3178,3083,3166,3074,3165,3074,3164,3073,3152,3068,3146,3065xm4397,3077l4395,3079,4396,3079,4397,3077xm4396,3079l4395,3079,4395,3079,4396,3079xm4397,3077l4397,3077,4396,3079,4397,3077xm3362,3070l3361,3072,3361,3071,3362,3070xm3361,3071l3361,3072,3361,3072,3361,3071xm3362,3070l3362,3070,3361,3071,3362,3070xm3366,3063l3365,3065,3366,3065,3366,3063xm4547,3056l4548,3057,4548,3058,4547,3056xm4577,3056l4547,3056,4548,3058,4578,3058,4577,3056xm4543,3048l4548,3057,4547,3056,4577,3056,4574,3050,4544,3050,4543,3048xm3756,3014l3726,3014,3732,3026,3736,3039,3737,3040,3737,3041,3738,3041,3743,3048,3746,3051,3749,3053,3752,3053,3758,3055,3760,3056,3763,3055,3766,3055,3772,3051,3774,3051,3778,3048,3776,3048,3778,3048,3775,3047,3782,3046,3809,3046,3814,3042,3815,3042,3816,3041,3821,3035,3823,3032,3766,3032,3761,3029,3756,3029,3759,3027,3759,3027,3759,3027,3757,3026,3760,3026,3761,3026,3760,3024,3760,3024,3756,3014xm3808,3047l3779,3047,3778,3048,3786,3050,3789,3051,3797,3051,3802,3050,3805,3050,3806,3048,3808,3047xm4533,3037l4544,3050,4574,3050,4573,3046,4572,3045,4572,3043,4572,3043,4568,3037,4533,3037,4533,3037xm3778,3048l3776,3048,3778,3048,3778,3048,3778,3048xm3779,3047l3778,3048,3778,3048,3779,3047xm3809,3046l3782,3046,3778,3048,3778,3048,3779,3047,3808,3047,3809,3046xm3782,3046l3775,3047,3778,3048,3782,3046xm3361,3028l3351,3040,3345,3046,3383,3046,3383,3045,3393,3030,3360,3030,3361,3028xm4532,3036l4533,3037,4533,3037,4532,3036xm4568,3036l4532,3036,4533,3037,4568,3037,4568,3036xm4523,3028l4533,3037,4532,3036,4568,3036,4566,3034,4566,3032,4565,3032,4563,3030,4526,3030,4523,3028xm3762,3027l3760,3028,3766,3032,3762,3027xm3793,3023l3791,3024,3764,3024,3761,3025,3761,3026,3762,3027,3763,3027,3762,3027,3766,3032,3823,3032,3828,3026,3824,3026,3827,3025,3791,3025,3793,3023xm3362,3027l3361,3028,3360,3030,3362,3027xm3395,3027l3362,3027,3360,3030,3393,3030,3395,3027xm4453,3027l4450,3027,4447,3030,4453,3027xm4522,3027l4523,3028,4526,3030,4522,3027xm4561,3027l4522,3027,4526,3030,4563,3030,4561,3027xm3759,3027l3756,3029,3760,3028,3759,3027xm3760,3028l3756,3029,3761,3029,3760,3028xm3829,3026l3824,3026,3828,3026,3826,3029,3829,3026xm4517,3025l4523,3028,4522,3027,4561,3027,4559,3025,4519,3025,4517,3025xm3431,2963l3426,2963,3415,2965,3412,2965,3410,2967,3408,2968,3397,2978,3396,2979,3382,2995,3372,3012,3361,3028,3362,3027,3395,3027,3406,3010,3415,2999,3414,2999,3422,2993,3420,2993,3426,2990,3504,2990,3492,2984,3491,2983,3489,2983,3468,2974,3455,2968,3442,2964,3431,2963xm3760,3027l3759,3027,3760,3028,3762,3027,3762,3027,3762,3027,3762,3027,3760,3027xm3762,3027l3762,3027,3763,3027,3762,3027xm3759,3027l3759,3027,3759,3027,3759,3027xm3762,3027l3762,3027,3762,3027,3762,3027xm3762,3027l3762,3027,3762,3027,3762,3027,3762,3027xm3760,3027l3759,3027,3759,3027,3760,3027,3760,3027xm3757,3026l3759,3027,3760,3027,3757,3026xm3761,3026l3761,3026,3762,3027,3762,3027,3761,3026xm3761,3026l3761,3026,3762,3027,3762,3027,3761,3026xm3761,3026l3760,3027,3762,3027,3761,3026xm3761,3026l3760,3027,3760,3027,3761,3026,3761,3026xm3760,3026l3757,3026,3760,3027,3760,3026xm3761,3026l3761,3026,3761,3026,3761,3026,3761,3026,3761,3026xm3761,3026l3761,3026,3761,3026,3761,3026xm3832,3022l3824,3026,3829,3026,3832,3022xm4499,3025l4463,3025,4474,3026,4476,3026,4499,3025xm3761,3025l3761,3026,3761,3026,3761,3025xm3760,3024l3761,3026,3761,3025,3760,3024xm3848,3022l3832,3022,3829,3026,3836,3025,3841,3025,3843,3024,3848,3022xm3760,3024l3760,3024,3761,3026,3761,3025,3760,3024xm3795,3023l3793,3023,3791,3025,3795,3023,3795,3023xm3795,3023l3791,3025,3827,3025,3829,3024,3798,3024,3795,3023xm4515,3024l4517,3025,4519,3025,4515,3024xm4558,3024l4515,3024,4519,3025,4559,3025,4558,3024xm4515,3024l4510,3024,4509,3024,4517,3025,4515,3024xm4510,3024l4508,3024,4509,3024,4510,3024xm3553,3022l3505,3022,3517,3024,3529,3024,3553,3022xm3778,3019l3775,3019,3772,3020,3766,3022,3766,3022,3765,3024,3791,3024,3793,3023,3794,3023,3791,3022,3780,3020,3778,3019xm3832,3022l3797,3022,3795,3023,3798,3024,3829,3024,3832,3022xm3794,3023l3793,3023,3795,3023,3794,3023xm3797,3022l3795,3023,3795,3023,3797,3022xm3796,3021l3794,3023,3795,3023,3797,3022,3795,3022,3796,3021xm3479,3009l3489,3014,3500,3021,3502,3022,3577,3022,3600,3019,3613,3014,3620,3011,3619,3011,3624,3010,3722,3010,3721,3009,3721,3009,3480,3009,3479,3009xm3797,3021l3796,3021,3795,3022,3797,3021xm3852,3021l3797,3021,3795,3022,3851,3022,3852,3021xm3876,2995l3841,2995,3835,2999,3817,2999,3815,3000,3813,3003,3807,3007,3806,3009,3805,3010,3796,3021,3797,3021,3852,3021,3854,3020,3866,3009,3876,2995xm3723,3010l3723,3010,3722,3010,3726,3016,3726,3014,3756,3014,3755,3011,3725,3011,3723,3010xm3722,3010l3624,3010,3620,3011,3631,3011,3640,3012,3664,3014,3690,3014,3722,3010,3722,3010xm3624,3010l3619,3011,3620,3011,3624,3010xm3721,3008l3721,3009,3725,3011,3721,3008,3721,3008xm3721,3008l3725,3011,3755,3011,3754,3010,3726,3010,3721,3008xm3721,3009l3722,3010,3723,3010,3723,3010,3721,3009xm3753,3007l3720,3007,3721,3008,3726,3010,3754,3010,3753,3007xm3719,3007l3721,3009,3721,3008,3719,3007xm3477,3007l3479,3009,3480,3009,3477,3007xm3719,3007l3477,3007,3480,3009,3721,3009,3719,3007xm3504,2990l3431,2990,3429,2991,3438,2993,3447,2995,3457,3000,3479,3009,3477,3007,3753,3007,3751,3003,3751,3001,3749,3000,3747,2996,3514,2996,3509,2995,3512,2995,3504,2990xm3720,3007l3721,3008,3721,3008,3720,3007xm3720,3007l3719,3007,3721,3008,3720,3007xm3416,2998l3414,2999,3415,2999,3416,2998xm3837,2997l3835,2998,3832,2998,3820,2999,3835,2999,3837,2997xm3839,2996l3839,2996,3837,2997,3835,2999,3839,2996xm4476,2999l4474,2999,4477,2999,4476,2999xm4511,2996l4508,2996,4497,2998,4476,2999,4477,2999,4525,2999,4524,2998,4522,2998,4511,2996xm3838,2996l3833,2996,3832,2998,3835,2998,3838,2997,3838,2996xm3838,2997l3835,2998,3837,2997,3838,2997xm3841,2995l3838,2997,3837,2997,3839,2996,3839,2996,3841,2995xm3902,2940l3901,2940,3899,2942,3888,2943,3884,2944,3881,2945,3879,2947,3868,2960,3856,2975,3847,2988,3838,2997,3841,2995,3876,2995,3889,2978,3896,2970,3892,2970,3900,2967,3954,2967,3947,2954,3944,2952,3943,2950,3937,2947,3936,2945,3934,2945,3932,2944,3915,2944,3904,2942,3902,2940xm3509,2995l3514,2996,3512,2995,3509,2995xm3512,2995l3514,2996,3521,2996,3512,2995xm3631,2983l3618,2983,3617,2984,3615,2984,3604,2988,3594,2991,3572,2995,3551,2995,3529,2996,3747,2996,3743,2990,3741,2989,3739,2988,3738,2986,3666,2986,3644,2984,3631,2983xm3512,2995l3509,2995,3512,2995,3512,2995xm3426,2990l3420,2993,3423,2992,3426,2990xm3423,2992l3420,2993,3422,2993,3423,2992xm3427,2990l3426,2990,3423,2992,3429,2991,3427,2990xm3431,2990l3427,2990,3429,2991,3431,2990xm3925,2972l3935,2989,3934,2986,3964,2986,3960,2975,3959,2975,3959,2974,3927,2974,3925,2972xm3729,2981l3726,2981,3720,2983,3685,2986,3738,2986,3734,2984,3732,2983,3729,2981xm3924,2971l3925,2972,3927,2974,3925,2971,3924,2971xm3925,2971l3927,2974,3958,2974,3957,2972,3927,2972,3925,2971xm3924,2971l3925,2972,3924,2971,3924,2971xm3921,2969l3903,2969,3900,2969,3909,2972,3913,2972,3922,2971,3921,2970,3923,2970,3921,2969xm3924,2970l3925,2971,3927,2972,3924,2970xm3956,2970l3924,2970,3924,2970,3927,2972,3957,2972,3956,2970xm3924,2970l3924,2971,3924,2971,3925,2971,3924,2970,3924,2970xm3924,2970l3923,2970,3924,2971,3924,2971,3924,2970xm3923,2970l3922,2971,3924,2971,3923,2970xm3923,2970l3921,2970,3922,2971,3923,2970,3923,2970xm3924,2970l3924,2970,3924,2970,3924,2970xm3921,2969l3923,2970,3924,2970,3924,2970,3921,2969xm3923,2969l3924,2970,3924,2970,3924,2970,3923,2969xm3955,2969l3923,2969,3924,2970,3924,2970,3956,2970,3955,2969xm3900,2967l3892,2970,3897,2970,3900,2967xm3897,2970l3892,2970,3896,2970,3897,2970xm3923,2969l3921,2969,3924,2970,3923,2969xm3954,2967l3900,2967,3897,2970,3900,2969,3898,2969,3955,2969,3954,2967xm3903,2969l3898,2969,3900,2969,3903,2969xm3926,2943l3911,2943,3915,2944,3932,2944,3926,2943xe" filled="true" fillcolor="#497dba" stroked="false">
              <v:path arrowok="t"/>
              <v:fill type="solid"/>
            </v:shape>
            <v:shape style="position:absolute;left:3137;top:2940;width:1804;height:1166" coordorigin="3137,2940" coordsize="1804,1166" path="m3152,3067l3164,3073,3165,3074,3166,3074,3166,3074,3178,3083,3179,3084,3180,3085,3181,3087,3187,3095,3193,3106,3204,3126,3215,3140,3219,3145,3215,3142,3221,3145,3213,3144,3219,3143,3213,3146,3218,3141,3222,3138,3223,3137,3224,3136,3225,3136,3231,3133,3233,3132,3236,3131,3238,3131,3249,3132,3261,3134,3256,3134,3268,3131,3280,3130,3283,3129,3286,3130,3288,3131,3294,3134,3294,3134,3295,3134,3295,3135,3301,3139,3307,3142,3298,3140,3304,3140,3295,3144,3307,3133,3304,3136,3315,3117,3320,3105,3325,3089,3330,3073,3336,3058,3337,3057,3338,3056,3338,3056,3343,3047,3344,3046,3344,3046,3345,3045,3351,3039,3362,3027,3360,3029,3372,3012,3382,2994,3395,2979,3396,2978,3396,2978,3397,2977,3408,2968,3410,2966,3412,2965,3415,2965,3426,2963,3428,2962,3429,2962,3431,2963,3442,2964,3455,2968,3468,2973,3489,2982,3490,2982,3491,2982,3492,2983,3504,2990,3514,2996,3509,2994,3521,2996,3518,2996,3529,2996,3551,2995,3563,2994,3574,2994,3572,2995,3594,2990,3604,2987,3615,2983,3617,2983,3618,2982,3619,2982,3631,2982,3644,2984,3666,2986,3688,2986,3685,2986,3697,2985,3708,2983,3720,2982,3726,2981,3729,2981,3732,2982,3734,2983,3739,2987,3741,2988,3743,2989,3743,2991,3749,3000,3750,3000,3751,3001,3751,3002,3756,3014,3762,3027,3760,3024,3766,3031,3757,3026,3763,3027,3756,3028,3761,3025,3759,3027,3764,3023,3765,3023,3766,3022,3766,3022,3772,3020,3775,3018,3778,3018,3780,3019,3791,3021,3798,3024,3791,3023,3797,3022,3791,3025,3797,3020,3795,3021,3801,3015,3805,3009,3806,3008,3806,3008,3807,3007,3813,3002,3815,3000,3817,2999,3820,2999,3832,2997,3832,2997,3833,2996,3833,2996,3839,2996,3835,2997,3841,2995,3835,2999,3847,2988,3856,2975,3868,2960,3879,2947,3881,2945,3884,2943,3888,2943,3899,2941,3901,2940,3902,2940,3904,2941,3915,2943,3911,2943,3923,2942,3924,2942,3925,2943,3926,2943,3932,2944,3934,2945,3936,2945,3937,2946,3943,2950,3944,2951,3946,2953,3947,2954,3958,2974,3959,2974,3959,2975,3960,2975,3970,3002,3976,3020,3982,3039,3994,3077,3999,3091,4004,3104,4010,3120,4028,3211,4033,3248,4036,3262,4038,3272,4036,3268,4041,3275,4036,3270,4042,3274,4040,3273,4047,3274,4044,3274,4049,3275,4046,3275,4057,3274,4068,3272,4066,3273,4077,3268,4078,3268,4079,3268,4080,3268,4086,3267,4090,3267,4093,3268,4096,3271,4101,3275,4103,3277,4104,3278,4105,3280,4108,3287,4112,3299,4118,3326,4122,3351,4126,3360,4128,3366,4123,3360,4128,3365,4118,3362,4124,3360,4121,3362,4127,3359,4132,3356,4134,3356,4136,3356,4137,3356,4149,3356,4150,3356,4151,3356,4152,3356,4157,3357,4159,3358,4161,3358,4162,3360,4168,3365,4170,3366,4171,3367,4172,3368,4177,3378,4184,3394,4189,3407,4195,3415,4192,3413,4198,3418,4193,3415,4199,3417,4194,3416,4205,3416,4215,3415,4212,3416,4223,3413,4225,3412,4226,3411,4227,3411,4232,3411,4238,3411,4235,3412,4242,3410,4235,3415,4239,3409,4237,3414,4240,3404,4242,3393,4248,3364,4254,3332,4259,3303,4282,3228,4317,3158,4328,3140,4339,3119,4350,3098,4373,3061,4374,3061,4374,3060,4375,3059,4397,3035,4422,3013,4434,3004,4435,3004,4436,3003,4436,3002,4447,2998,4449,2998,4450,2998,4452,2997,4464,2996,4465,2996,4465,2996,4466,2997,4477,2998,4474,2998,4497,2997,4508,2996,4510,2996,4510,2996,4511,2996,4522,2998,4524,2998,4525,2998,4526,2999,4537,3004,4539,3004,4540,3005,4541,3006,4552,3016,4552,3016,4553,3017,4553,3017,4565,3031,4566,3032,4566,3032,4566,3033,4572,3043,4572,3043,4572,3045,4573,3045,4578,3059,4585,3087,4590,3120,4596,3155,4601,3183,4607,3203,4612,3221,4623,3246,4618,3240,4622,3244,4629,3248,4630,3248,4631,3249,4631,3249,4638,3256,4640,3258,4641,3260,4642,3262,4646,3272,4646,3273,4646,3275,4646,3276,4647,3299,4649,3329,4650,3364,4652,3402,4655,3490,4658,3583,4660,3677,4662,3721,4663,3762,4665,3800,4666,3833,4667,3861,4669,3882,4669,3879,4670,3883,4654,3874,4656,3873,4648,3878,4652,3874,4651,3875,4655,3869,4661,3856,4664,3850,4665,3848,4671,3836,4676,3822,4682,3810,4684,3808,4685,3807,4686,3806,4689,3804,4693,3800,4698,3800,4703,3801,4705,3802,4708,3804,4711,3805,4713,3808,4715,3813,4716,3814,4716,3815,4716,3815,4719,3824,4726,3848,4731,3875,4737,3896,4742,3914,4748,3932,4753,3946,4750,3942,4753,3945,4745,3941,4748,3941,4736,3945,4738,3942,4736,3946,4738,3940,4743,3921,4749,3898,4755,3879,4755,3878,4756,3877,4756,3877,4761,3866,4762,3865,4763,3865,4763,3864,4768,3857,4780,3844,4782,3843,4784,3842,4802,3836,4797,3841,4801,3833,4799,3839,4801,3824,4802,3805,4803,3782,4805,3755,4807,3695,4810,3632,4813,3572,4815,3545,4816,3522,4818,3503,4819,3489,4835,3466,4839,3467,4844,3469,4848,3473,4849,3478,4850,3484,4852,3498,4853,3517,4855,3541,4856,3569,4858,3600,4860,3668,4863,3742,4866,3811,4867,3843,4868,3871,4870,3896,4872,3916,4876,3954,4883,3984,4889,4008,4893,4023,4893,4021,4898,4032,4895,4029,4902,4036,4912,4046,4913,4047,4913,4048,4914,4048,4937,4082,4941,4088,4939,4097,4933,4101,4927,4106,4918,4104,4914,4097,4891,4064,4893,4066,4882,4055,4875,4048,4874,4047,4874,4046,4873,4044,4868,4033,4867,4033,4867,4032,4867,4031,4862,4015,4856,3991,4849,3957,4844,3917,4843,3897,4841,3873,4840,3844,4838,3812,4835,3742,4833,3670,4830,3601,4828,3570,4828,3543,4826,3519,4825,3502,4823,3490,4822,3484,4845,3491,4844,3492,4848,3485,4846,3491,4845,3506,4843,3524,4842,3547,4840,3573,4838,3633,4835,3697,4832,3757,4830,3784,4829,3808,4828,3826,4826,3841,4826,3843,4826,3845,4825,3847,4821,3854,4820,3857,4818,3858,4816,3860,4809,3864,4807,3865,4806,3865,4804,3865,4798,3867,4794,3868,4800,3864,4790,3874,4784,3881,4786,3879,4780,3890,4781,3887,4776,3905,4770,3928,4758,3962,4755,3964,4752,3968,4748,3970,4743,3969,4740,3968,4737,3967,4734,3966,4732,3963,4729,3960,4728,3959,4727,3957,4727,3956,4722,3941,4716,3923,4709,3903,4704,3880,4699,3855,4694,3833,4690,3825,4692,3828,4707,3824,4702,3833,4696,3848,4690,3860,4689,3863,4686,3868,4678,3883,4675,3890,4674,3891,4673,3891,4673,3892,4670,3896,4667,3898,4665,3900,4662,3900,4659,3901,4652,3902,4645,3898,4643,3891,4642,3887,4642,3886,4642,3885,4642,3884,4640,3863,4638,3834,4637,3801,4635,3763,4634,3722,4632,3677,4630,3584,4627,3490,4624,3404,4623,3364,4622,3330,4612,3269,4580,3211,4563,3126,4558,3093,4552,3069,4547,3055,4548,3057,4543,3048,4544,3049,4532,3035,4533,3036,4522,3027,4526,3029,4515,3024,4519,3025,4508,3024,4510,3024,4499,3024,4476,3025,4475,3026,4474,3025,4474,3025,4463,3024,4465,3024,4454,3025,4458,3024,4447,3029,4450,3027,4439,3035,4417,3054,4395,3079,4397,3077,4375,3110,4364,3133,4352,3155,4341,3173,4330,3190,4319,3211,4298,3270,4281,3336,4275,3369,4269,3400,4266,3413,4263,3423,4263,3423,4262,3425,4261,3427,4256,3432,4254,3435,4252,3436,4249,3438,4242,3439,4241,3439,4239,3439,4238,3439,4232,3439,4227,3439,4232,3439,4221,3442,4220,3443,4219,3443,4218,3443,4205,3444,4194,3444,4192,3444,4191,3444,4189,3443,4184,3441,4182,3440,4181,3439,4179,3438,4173,3433,4173,3432,4172,3431,4171,3430,4164,3418,4158,3405,4154,3393,4148,3383,4151,3386,4145,3382,4151,3384,4146,3383,4149,3383,4137,3383,4142,3383,4138,3384,4132,3387,4131,3387,4130,3388,4129,3388,4122,3389,4119,3390,4114,3389,4112,3386,4106,3382,4090,3332,4085,3307,4082,3298,4079,3291,4084,3296,4078,3291,4089,3295,4083,3295,4086,3295,4074,3299,4074,3299,4073,3299,4072,3299,4060,3301,4049,3302,4048,3303,4047,3303,4045,3302,4041,3302,4040,3302,4040,3302,4039,3302,4033,3300,4032,3299,4031,3299,4030,3299,4024,3295,4021,3294,4019,3293,4018,3291,4013,3284,4013,3283,4012,3281,4011,3280,4009,3267,4006,3252,4000,3215,3995,3178,3978,3115,3973,3101,3967,3085,3956,3048,3950,3030,3944,3013,3934,2986,3935,2988,3923,2969,3927,2973,3921,2969,3927,2971,3921,2970,3924,2970,3913,2971,3912,2971,3911,2971,3909,2971,3898,2968,3903,2968,3892,2970,3900,2966,3889,2977,3878,2992,3866,3008,3854,3019,3852,3020,3851,3021,3848,3022,3843,3024,3841,3024,3840,3024,3839,3024,3833,3024,3836,3024,3824,3026,3832,3022,3826,3028,3828,3026,3821,3034,3816,3041,3815,3041,3814,3041,3814,3042,3808,3046,3806,3048,3805,3049,3802,3049,3797,3051,3794,3051,3792,3051,3789,3050,3786,3049,3775,3046,3782,3046,3776,3048,3779,3046,3774,3050,3760,3055,3758,3055,3752,3053,3737,3039,3736,3038,3732,3026,3726,3014,3726,3016,3720,3007,3725,3011,3719,3007,3726,3009,3723,3009,3712,3010,3701,3012,3690,3014,3689,3014,3688,3014,3687,3014,3664,3013,3640,3012,3631,3010,3619,3010,3624,3010,3613,3013,3600,3018,3577,3022,3577,3022,3575,3022,3574,3022,3563,3022,3553,3022,3529,3024,3518,3024,3518,3024,3517,3024,3517,3024,3505,3022,3504,3022,3502,3021,3500,3020,3489,3014,3477,3007,3480,3008,3457,2999,3447,2994,3438,2992,3427,2990,3431,2990,3420,2992,3426,2989,3414,2999,3416,2997,3406,3009,3395,3027,3383,3045,3383,3045,3382,3046,3382,3046,3371,3058,3365,3065,3366,3063,3361,3071,3362,3069,3357,3081,3351,3099,3345,3116,3339,3131,3328,3150,3327,3152,3326,3153,3325,3154,3314,3164,3311,3167,3307,3168,3304,3168,3298,3168,3296,3168,3293,3167,3291,3165,3286,3162,3280,3158,3282,3159,3276,3156,3283,3157,3274,3158,3263,3161,3261,3162,3259,3162,3257,3161,3248,3159,3236,3159,3243,3158,3237,3161,3240,3158,3234,3164,3228,3168,3226,3169,3224,3171,3222,3171,3216,3171,3213,3172,3211,3171,3208,3170,3203,3167,3201,3167,3200,3165,3199,3164,3192,3157,3180,3140,3169,3120,3164,3110,3158,3102,3161,3106,3150,3097,3152,3098,3141,3092,3137,3091,3137,3068,3138,3067,3146,3064,3152,3067e" filled="false" stroked="true" strokeweight=".463799pt" strokecolor="#497dba">
              <v:path arrowok="t"/>
            </v:shape>
            <v:shape style="position:absolute;left:2653;top:2481;width:2424;height:1782" coordorigin="2653,2481" coordsize="2424,1782" path="m5075,2481l2655,2481,2653,2483,2653,4260,2655,4262,5075,4262,5077,4260,5077,4257,2662,4257,2658,4253,2662,4253,2662,2490,2658,2490,2662,2485,5077,2485,5077,2483,5075,2481xm2662,4253l2658,4253,2662,4257,2662,4253xm5068,4253l2662,4253,2662,4257,5068,4257,5068,4253xm5068,2485l5068,4257,5072,4253,5077,4253,5077,2490,5072,2490,5068,2485xm5077,4253l5072,4253,5068,4257,5077,4257,5077,4253xm2662,2485l2658,2490,2662,2490,2662,2485xm5068,2485l2662,2485,2662,2490,5068,2490,5068,2485xm5077,2485l5068,2485,5072,2490,5077,2490,5077,2485xe" filled="true" fillcolor="#858585" stroked="false">
              <v:path arrowok="t"/>
              <v:fill type="solid"/>
            </v:shape>
            <v:shape style="position:absolute;left:398;top:5624;width:3950;height:2872" coordorigin="398,5624" coordsize="3950,2872" path="m2653,2485l2653,2483,2655,2481,2658,2481,5072,2481,5075,2481,5077,2483,5077,2485,5077,4257,5077,4260,5075,4262,5072,4262,2658,4262,2655,4262,2653,4260,2653,4257,2653,2485xm2662,4257l2658,4253,5072,4253,5068,4257,5068,2485,5072,2490,2658,2490,2662,2485,2662,4257xe" filled="false" stroked="true" strokeweight=".086384pt" strokecolor="#858585">
              <v:path arrowok="t"/>
            </v:shape>
            <v:line style="position:absolute" from="5625,2625" to="5625,4127" stroked="true" strokeweight=".460272pt" strokecolor="#858585"/>
            <v:shape style="position:absolute;left:5589;top:2625;width:37;height:1502" coordorigin="5589,2625" coordsize="37,1502" path="m5589,4127l5625,4127m5589,3828l5625,3828m5589,3530l5625,3530m5589,3222l5625,3222m5589,2923l5625,2923m5589,2625l5625,2625e" filled="false" stroked="true" strokeweight=".465271pt" strokecolor="#858585">
              <v:path arrowok="t"/>
            </v:shape>
            <v:line style="position:absolute" from="5625,3376" to="7653,3376" stroked="true" strokeweight=".930541pt" strokecolor="#858585"/>
            <v:shape style="position:absolute;left:5625;top:3366;width:2028;height:19" coordorigin="5625,3366" coordsize="2028,19" path="m5626,3366l7653,3376,7653,3385,5625,3376,5626,3366xe" filled="false" stroked="true" strokeweight=".46527pt" strokecolor="#858585">
              <v:path arrowok="t"/>
            </v:shape>
            <v:shape style="position:absolute;left:5814;top:3394;width:1687;height:2" coordorigin="5814,3394" coordsize="1687,0" path="m5814,3394l5824,3394m5999,3394l6008,3394m6183,3394l6192,3394m6367,3394l6377,3394m6561,3394l6570,3394m6745,3394l6754,3394m6929,3394l6939,3394m7123,3394l7132,3394m7307,3394l7316,3394m7492,3394l7501,3394e" filled="false" stroked="true" strokeweight="2.341862pt" strokecolor="#858585">
              <v:path arrowok="t"/>
            </v:shape>
            <v:shape style="position:absolute;left:5625;top:2905;width:2034;height:1142" coordorigin="5625,2905" coordsize="2034,1142" path="m7327,3393l7300,3393,7303,3444,7304,3476,7305,3513,7309,3595,7312,3684,7315,3772,7319,3854,7320,3893,7322,3925,7326,3977,7330,4001,7339,4024,7339,4025,7340,4027,7345,4034,7349,4040,7352,4045,7357,4047,7363,4047,7366,4045,7370,4044,7375,4040,7378,4029,7378,4028,7349,4028,7351,4022,7351,4022,7353,3996,7353,3978,7353,3975,7349,3924,7348,3891,7346,3854,7343,3772,7340,3683,7337,3594,7331,3476,7330,3442,7327,3393xm7351,4022l7349,4028,7353,4024,7351,4024,7351,4022xm7359,4019l7349,4028,7378,4028,7378,4025,7378,4024,7371,4024,7359,4019xm7351,4022l7351,4022,7351,4024,7351,4022xm7353,3978l7353,3996,7351,4024,7353,4024,7359,4019,7357,4018,7367,4018,7364,4013,7364,4013,7357,3994,7353,3978xm7367,4018l7360,4018,7359,4019,7371,4024,7368,4021,7367,4018xm7364,4013l7368,4021,7371,4024,7378,4024,7379,4014,7365,4014,7364,4013xm7360,4018l7357,4018,7359,4019,7360,4018xm7364,4013l7364,4013,7365,4014,7364,4013xm7417,2983l7410,2985,7406,2991,7403,2993,7403,2996,7402,2997,7402,2998,7399,3009,7396,3026,7392,3047,7389,3073,7382,3136,7376,3212,7374,3247,7372,3291,7369,3395,7368,3455,7366,3511,7363,3635,7360,3757,7358,3815,7357,3869,7354,3961,7353,3978,7357,3994,7365,4014,7379,4014,7380,3998,7382,3961,7383,3918,7384,3868,7386,3815,7388,3756,7391,3635,7395,3450,7397,3389,7400,3291,7402,3247,7403,3213,7409,3138,7413,3102,7417,3073,7420,3052,7424,3030,7417,3018,7409,3008,7422,3008,7428,3006,7429,3004,7434,3004,7436,2997,7431,2991,7430,2989,7428,2987,7425,2986,7422,2985,7417,2983xm6207,3099l6210,3138,6210,3140,6211,3166,6211,3168,6213,3199,6216,3270,6222,3421,6223,3455,6226,3486,6227,3513,6228,3535,6230,3554,6232,3565,6232,3566,6232,3569,6236,3576,6239,3580,6247,3583,6251,3583,6255,3579,6257,3578,6259,3576,6262,3574,6262,3570,6264,3564,6235,3564,6236,3558,6238,3549,6240,3537,6242,3522,6245,3483,6248,3440,6249,3420,6249,3416,6246,3346,6243,3267,6240,3197,6238,3166,6237,3137,6235,3112,6234,3100,6207,3100,6207,3099xm6249,3419l6248,3440,6244,3486,6242,3522,6240,3537,6238,3549,6236,3558,6235,3564,6240,3555,6239,3555,6241,3554,6258,3554,6257,3552,6255,3534,6254,3512,6253,3483,6251,3454,6249,3419xm6240,3555l6235,3564,6264,3564,6264,3563,6260,3563,6240,3555xm6258,3554l6241,3554,6240,3555,6260,3563,6260,3561,6259,3561,6258,3554xm6265,3558l6258,3558,6260,3563,6264,3563,6265,3558xm6293,3174l6287,3177,6284,3184,6280,3192,6276,3204,6272,3224,6270,3238,6264,3281,6257,3328,6251,3398,6249,3416,6249,3421,6251,3454,6253,3486,6254,3512,6255,3534,6257,3552,6259,3561,6258,3558,6265,3558,6265,3554,6267,3540,6269,3524,6272,3483,6275,3442,6278,3399,6281,3360,6284,3332,6291,3285,6297,3241,6297,3239,6296,3231,6292,3215,6289,3204,6287,3195,6316,3195,6315,3194,6312,3186,6311,3182,6308,3178,6304,3177,6300,3177,6293,3174xm6258,3558l6259,3561,6260,3561,6258,3558xm6241,3554l6239,3555,6240,3555,6241,3554xm6565,3334l6570,3343,6576,3360,6582,3379,6589,3394,6589,3395,6590,3395,6591,3396,6596,3403,6604,3411,6605,3413,6606,3413,6607,3414,6614,3419,6620,3421,6626,3420,6630,3416,6636,3411,6638,3410,6640,3408,6640,3404,6641,3399,6613,3399,6614,3396,6613,3396,6614,3395,6616,3384,6614,3382,6614,3382,6612,3379,6613,3379,6608,3369,6602,3352,6596,3336,6568,3336,6565,3334xm6615,3396l6614,3396,6613,3399,6615,3396xm6675,3078l6670,3080,6667,3084,6660,3092,6659,3096,6659,3097,6652,3117,6645,3145,6639,3177,6636,3200,6633,3229,6629,3261,6626,3295,6623,3328,6620,3358,6616,3382,6616,3384,6617,3385,6624,3391,6629,3394,6615,3396,6613,3399,6641,3399,6644,3387,6647,3360,6651,3324,6653,3298,6656,3264,6660,3231,6663,3203,6666,3181,6672,3150,6679,3125,6679,3124,6677,3119,6672,3105,6670,3102,6686,3102,6689,3101,6701,3101,6697,3091,6697,3090,6695,3090,6695,3089,6691,3084,6689,3081,6686,3080,6681,3079,6675,3078xm6614,3395l6613,3396,6614,3396,6614,3395xm6614,3396l6613,3396,6614,3396,6614,3396xm7296,3382l7300,3396,7300,3393,7327,3393,7327,3389,7326,3389,7325,3385,7298,3385,7296,3382xm6618,3391l6614,3395,6614,3396,6615,3396,6618,3391xm6624,3391l6618,3391,6615,3396,6629,3394,6624,3391xm6616,3384l6614,3395,6618,3391,6624,3391,6621,3390,6622,3390,6617,3385,6616,3384xm6621,3390l6624,3391,6624,3391,6621,3390xm6624,3391l6624,3391,6624,3391,6624,3391xm6622,3390l6621,3390,6624,3391,6622,3390xm7295,3380l7296,3382,7298,3385,7295,3380xm7324,3380l7295,3380,7298,3385,7325,3385,7324,3380xm7256,3016l7247,3016,7244,3024,7241,3038,7238,3053,7237,3059,7243,3091,7250,3138,7253,3158,7255,3186,7262,3250,7265,3279,7268,3307,7272,3334,7274,3352,7274,3353,7275,3356,7276,3357,7281,3364,7281,3365,7282,3367,7282,3367,7290,3375,7296,3382,7295,3380,7324,3380,7322,3373,7322,3370,7319,3368,7311,3357,7305,3351,7304,3351,7303,3348,7301,3348,7300,3342,7301,3342,7295,3303,7289,3245,7280,3153,7270,3086,7261,3032,7257,3018,7256,3016xm6612,3379l6614,3382,6614,3381,6612,3379xm6614,3381l6614,3382,6614,3382,6614,3381xm6613,3379l6612,3379,6614,3381,6613,3379xm5960,3332l5959,3332,5952,3342,5933,3342,5934,3343,5942,3353,5944,3354,5945,3356,5947,3357,5955,3360,5959,3362,5964,3362,5967,3360,5972,3358,5975,3356,5978,3352,5983,3334,5964,3334,5960,3332xm7303,3348l7304,3351,7304,3349,7303,3348xm7304,3349l7304,3351,7305,3351,7304,3349xm7301,3343l7301,3348,7303,3348,7304,3349,7301,3343xm7300,3342l7301,3348,7301,3343,7300,3342xm7301,3342l7300,3342,7301,3343,7301,3342xm5930,3044l5922,3044,5918,3049,5914,3058,5907,3075,5906,3077,5911,3136,5914,3178,5920,3264,5924,3300,5927,3324,5927,3327,5932,3339,5932,3342,5952,3342,5955,3328,5955,3327,5956,3326,5955,3326,5956,3326,5956,3325,5955,3322,5954,3322,5953,3318,5953,3318,5951,3296,5947,3263,5944,3221,5941,3177,5938,3132,5935,3092,5932,3060,5930,3046,5930,3044xm5956,3326l5955,3328,5952,3342,5957,3334,5955,3334,5959,3332,5960,3332,5958,3331,5960,3331,5959,3329,5958,3329,5956,3326xm6565,3332l6565,3334,6568,3336,6565,3333,6565,3332xm6565,3333l6568,3336,6596,3336,6595,3333,6569,3333,6565,3333xm5959,3332l5955,3334,5957,3334,5959,3332xm5958,3331l5964,3334,5961,3332,5958,3331xm5961,3332l5964,3334,5966,3334,5961,3332xm6008,3145l6001,3145,5993,3147,5989,3147,5987,3150,5984,3152,5979,3159,5978,3162,5978,3164,5974,3181,5968,3229,5965,3256,5962,3284,5958,3308,5956,3325,5957,3327,5961,3332,5966,3334,5983,3334,5985,3312,5989,3286,5992,3260,5995,3231,5999,3207,6002,3186,6004,3176,6002,3176,6003,3174,5999,3174,6007,3168,6025,3168,6027,3167,6029,3163,6035,3152,6036,3150,6005,3150,6008,3145xm6562,3332l6565,3334,6565,3332,6562,3332xm6489,3145l6494,3156,6500,3174,6512,3218,6518,3243,6524,3270,6531,3296,6538,3316,6538,3317,6539,3320,6541,3321,6546,3327,6548,3329,6550,3331,6553,3332,6560,3333,6564,3333,6562,3332,6564,3332,6564,3331,6594,3331,6588,3318,6587,3316,6586,3313,6584,3312,6578,3308,6567,3308,6565,3307,6564,3307,6563,3306,6559,3303,6561,3303,6561,3302,6562,3302,6558,3290,6551,3264,6545,3236,6539,3210,6526,3166,6519,3147,6493,3147,6489,3145xm6594,3331l6564,3331,6565,3333,6569,3333,6595,3333,6595,3332,6594,3331xm6564,3331l6565,3332,6565,3333,6564,3331xm6564,3332l6562,3332,6565,3332,6564,3332xm5960,3331l5958,3331,5961,3332,5960,3331xm5956,3326l5956,3326,5958,3329,5957,3327,5956,3326xm5957,3327l5958,3329,5959,3329,5957,3327xm5956,3325l5956,3326,5957,3327,5956,3325xm5955,3326l5956,3326,5956,3326,5955,3326xm5956,3326l5955,3326,5956,3326,5956,3326xm5953,3318l5954,3322,5953,3319,5953,3318xm5953,3319l5954,3322,5955,3322,5953,3319xm5953,3318l5953,3318,5953,3319,5953,3318xm5639,3177l5625,3179,5625,3214,5628,3225,5635,3259,5641,3285,5644,3296,5645,3298,5645,3300,5649,3305,5651,3307,5653,3310,5656,3311,5659,3312,5663,3313,5669,3313,5673,3310,5676,3307,5678,3306,5679,3303,5679,3302,5684,3291,5673,3291,5671,3290,5655,3290,5655,3289,5655,3289,5656,3287,5661,3276,5665,3265,5662,3251,5654,3216,5648,3189,5646,3182,5639,3177xm6563,3305l6563,3306,6567,3308,6563,3305,6563,3305xm6563,3305l6567,3308,6578,3308,6576,3307,6574,3306,6567,3306,6563,3305xm6563,3306l6564,3307,6563,3306,6563,3306xm6563,3306l6564,3307,6565,3307,6563,3306xm6562,3304l6563,3306,6563,3306,6563,3305,6562,3304xm6559,3303l6563,3306,6562,3304,6559,3303xm6563,3304l6563,3305,6563,3305,6563,3304xm6561,3302l6562,3304,6563,3305,6563,3304,6561,3302xm6562,3302l6561,3302,6563,3304,6562,3302xm6561,3303l6559,3303,6562,3304,6561,3303xm5669,3285l5666,3285,5669,3286,5667,3286,5673,3291,5671,3289,5670,3289,5669,3285xm5714,3218l5709,3218,5706,3219,5693,3225,5692,3225,5689,3228,5677,3240,5675,3241,5674,3243,5674,3244,5667,3259,5665,3265,5668,3279,5670,3286,5673,3291,5684,3291,5686,3287,5693,3267,5696,3260,5696,3260,5698,3256,5699,3256,5706,3250,5704,3250,5708,3248,5711,3248,5711,3247,5709,3246,5706,3245,5749,3245,5750,3244,5753,3235,5724,3235,5725,3233,5723,3233,5725,3231,5727,3226,5727,3226,5727,3224,5725,3223,5725,3223,5723,3222,5722,3222,5717,3219,5714,3218xm5656,3288l5655,3288,5655,3290,5656,3288xm5667,3286l5656,3288,5655,3290,5671,3290,5667,3286xm5656,3287l5655,3289,5655,3288,5656,3287xm5655,3288l5655,3289,5655,3289,5655,3288xm5669,3285l5670,3289,5670,3286,5669,3285xm5670,3286l5670,3289,5671,3289,5670,3286xm5658,3285l5656,3287,5655,3288,5656,3288,5658,3285xm5666,3285l5658,3285,5656,3288,5667,3286,5666,3285xm5665,3265l5661,3276,5656,3287,5658,3285,5669,3285,5668,3279,5665,3265xm6316,3195l6308,3195,6306,3200,6303,3209,6300,3224,6297,3239,6299,3248,6302,3263,6305,3274,6306,3275,6307,3277,6308,3279,6312,3282,6315,3285,6319,3287,6323,3286,6326,3286,6330,3285,6333,3282,6335,3279,6337,3277,6337,3275,6338,3274,6341,3265,6331,3265,6331,3264,6311,3264,6312,3262,6315,3255,6318,3244,6321,3229,6322,3223,6319,3208,6316,3195xm5666,3285l5667,3286,5669,3286,5666,3285xm5669,3285l5669,3285,5670,3286,5669,3285xm6331,3262l6330,3263,6331,3265,6331,3262xm6358,3143l6350,3150,6343,3157,6343,3158,6342,3158,6341,3159,6335,3171,6334,3172,6330,3184,6322,3223,6323,3225,6326,3243,6329,3256,6331,3262,6331,3262,6331,3262,6331,3265,6341,3265,6345,3250,6348,3235,6354,3203,6358,3190,6360,3184,6359,3184,6360,3182,6360,3182,6363,3177,6362,3177,6365,3173,6366,3173,6370,3169,6375,3166,6377,3164,6383,3157,6392,3145,6356,3145,6358,3143xm6312,3262l6311,3264,6312,3264,6312,3262xm6312,3264l6311,3264,6312,3264,6312,3264xm6330,3263l6312,3264,6312,3264,6331,3264,6330,3263xm6314,3260l6312,3262,6312,3264,6314,3260xm6329,3260l6314,3260,6312,3264,6330,3263,6329,3260xm6328,3259l6330,3263,6331,3262,6331,3262,6328,3259xm6331,3262l6331,3262,6331,3262,6331,3262xm6322,3223l6321,3229,6318,3244,6315,3255,6312,3262,6314,3260,6329,3260,6328,3259,6330,3259,6329,3256,6326,3243,6323,3225,6322,3223xm6330,3259l6328,3259,6331,3262,6330,3259xm5698,3256l5696,3260,5697,3258,5698,3256xm5697,3258l5696,3260,5696,3260,5697,3258xm5749,3245l5717,3245,5711,3247,5716,3251,5716,3253,5718,3253,5725,3256,5731,3259,5736,3257,5745,3250,5748,3249,5749,3246,5749,3245xm6133,3048l6105,3048,6108,3068,6115,3138,6118,3162,6121,3194,6124,3222,6127,3240,6127,3241,6128,3243,6129,3248,6131,3251,6134,3255,6138,3255,6140,3256,6146,3259,6154,3255,6156,3249,6158,3245,6159,3245,6159,3244,6159,3241,6160,3238,6132,3238,6132,3236,6132,3236,6133,3235,6133,3230,6137,3205,6143,3137,6143,3136,6138,3090,6135,3061,6133,3048xm5699,3256l5698,3256,5697,3258,5699,3256xm5708,3248l5704,3250,5707,3249,5708,3248xm5707,3249l5704,3250,5706,3250,5707,3249xm5711,3248l5708,3248,5707,3249,5711,3248xm6701,3101l6689,3101,6684,3108,6679,3124,6684,3138,6691,3157,6703,3189,6710,3204,6716,3217,6723,3228,6730,3238,6732,3240,6739,3245,6742,3248,6746,3249,6750,3248,6759,3246,6762,3245,6765,3243,6771,3235,6772,3233,6773,3231,6776,3224,6743,3224,6746,3221,6745,3220,6747,3220,6748,3218,6749,3216,6747,3213,6741,3204,6735,3193,6729,3178,6716,3147,6710,3130,6704,3107,6701,3101xm5709,3246l5711,3247,5714,3246,5711,3246,5709,3246xm5708,3245l5709,3246,5711,3246,5708,3245xm5717,3245l5708,3245,5711,3246,5714,3246,5717,3245xm5708,3245l5706,3245,5709,3246,5708,3245xm6287,3195l6289,3204,6292,3215,6296,3231,6297,3239,6300,3224,6303,3209,6305,3204,6295,3204,6292,3203,6293,3202,6287,3195xm6133,3236l6132,3236,6132,3238,6133,3236xm6148,3230l6133,3236,6132,3238,6155,3238,6148,3230xm6153,3229l6147,3229,6148,3230,6148,3230,6155,3238,6154,3235,6154,3235,6154,3233,6154,3233,6153,3229xm6170,2985l6163,2987,6160,2994,6156,3002,6156,3003,6154,3012,6152,3023,6146,3091,6143,3132,6143,3135,6143,3138,6145,3158,6148,3192,6151,3218,6154,3234,6155,3238,6160,3238,6161,3234,6164,3209,6167,3174,6170,3135,6173,3094,6176,3056,6174,3046,6169,3024,6166,3013,6163,3006,6192,3006,6192,3003,6189,2996,6187,2992,6184,2989,6180,2988,6170,2985xm6133,3235l6132,3236,6132,3236,6133,3235xm6132,3236l6132,3236,6132,3236,6132,3236xm6133,3234l6133,3235,6132,3236,6133,3236,6133,3234xm6138,3234l6133,3234,6133,3236,6138,3234xm5726,3232l5725,3233,5724,3235,5726,3232xm5771,3073l5764,3081,5757,3090,5756,3091,5755,3094,5749,3107,5749,3109,5748,3110,5746,3122,5742,3138,5735,3182,5730,3213,5727,3224,5732,3229,5738,3231,5726,3232,5724,3235,5753,3235,5753,3234,5754,3233,5757,3218,5769,3145,5773,3128,5776,3116,5776,3116,5780,3107,5778,3107,5786,3099,5792,3092,5793,3090,5794,3090,5799,3080,5800,3080,5800,3079,5800,3079,5802,3075,5770,3075,5771,3073xm6154,3233l6154,3235,6154,3234,6154,3233xm6154,3234l6154,3235,6154,3235,6154,3234xm6143,3137l6139,3186,6137,3205,6133,3230,6133,3235,6133,3234,6138,3234,6148,3230,6147,3229,6153,3229,6151,3218,6148,3192,6145,3158,6143,3137xm6154,3233l6154,3233,6154,3234,6154,3233xm5725,3231l5723,3233,5725,3233,5725,3231xm5725,3233l5723,3233,5725,3233,5725,3233xm5728,3229l5725,3231,5725,3233,5726,3232,5728,3229xm5732,3229l5732,3229,5728,3229,5726,3232,5738,3231,5732,3229xm7637,3123l7627,3123,7624,3127,7619,3141,7616,3150,7618,3159,7624,3189,7630,3219,7632,3226,7640,3231,7647,3229,7655,3228,7659,3220,7657,3213,7651,3184,7645,3153,7638,3126,7637,3123xm5728,3225l5727,3225,5725,3231,5728,3229,5732,3229,5730,3228,5731,3228,5728,3225xm6147,3229l6148,3230,6148,3230,6147,3229xm5730,3228l5732,3229,5732,3229,5730,3228xm5731,3228l5730,3228,5732,3229,5731,3228xm5727,3224l5727,3226,5727,3225,5728,3225,5727,3224xm5727,3225l5727,3226,5727,3226,5727,3225xm6746,3221l6743,3224,6748,3221,6746,3221xm6748,3221l6743,3224,6756,3224,6748,3221xm6751,3219l6748,3221,6756,3224,6753,3220,6752,3220,6751,3219xm6832,2947l6826,2950,6823,2951,6819,2952,6817,2955,6815,2957,6812,2963,6811,2965,6804,2987,6797,3015,6791,3043,6785,3073,6778,3110,6772,3141,6766,3168,6760,3189,6754,3207,6749,3216,6752,3219,6756,3224,6776,3224,6779,3218,6786,3198,6793,3176,6799,3147,6806,3112,6813,3073,6818,3048,6825,3018,6829,3003,6826,2993,6823,2980,6823,2980,6821,2973,6819,2971,6838,2971,6840,2970,6850,2970,6846,2962,6845,2958,6842,2955,6838,2950,6832,2947xm6751,3219l6747,3220,6746,3221,6748,3221,6751,3219,6751,3219xm6747,3220l6745,3220,6746,3221,6747,3220xm6752,3219l6751,3219,6752,3220,6752,3219,6752,3219xm6752,3219l6752,3220,6753,3220,6752,3219xm6750,3217l6750,3217,6748,3219,6748,3219,6747,3220,6751,3219,6751,3219,6748,3219,6748,3218,6751,3218,6750,3218,6751,3218,6750,3217xm6751,3218l6750,3218,6752,3219,6751,3218xm6750,3218l6751,3219,6752,3219,6750,3218xm6750,3217l6748,3218,6748,3219,6750,3217xm6749,3216l6748,3218,6750,3217,6750,3217,6749,3216xm6293,3202l6292,3203,6295,3204,6293,3202xm6308,3195l6293,3202,6295,3204,6305,3204,6306,3200,6308,3195xm6308,3195l6287,3195,6293,3202,6308,3195xm6360,3182l6359,3184,6360,3182,6360,3182xm6360,3182l6359,3184,6360,3184,6360,3182xm6360,3182l6360,3182,6360,3182,6360,3182xm7563,3053l7554,3053,7552,3055,7550,3065,7546,3080,7545,3088,7545,3088,7548,3101,7555,3122,7561,3138,7567,3155,7574,3167,7576,3169,7577,3171,7580,3172,7586,3177,7590,3179,7596,3179,7601,3176,7605,3173,7607,3172,7609,3167,7612,3161,7613,3157,7584,3157,7586,3152,7586,3152,7586,3151,7587,3150,7591,3138,7581,3114,7575,3094,7567,3066,7563,3053xm6365,3173l6362,3177,6364,3176,6365,3173xm6364,3176l6362,3177,6363,3177,6364,3176xm6366,3173l6365,3173,6364,3176,6366,3173xm6004,3173l6004,3173,6002,3176,6004,3173xm6005,3172l6004,3173,6002,3176,6004,3176,6005,3172xm6007,3168l5999,3174,6004,3173,6005,3171,6006,3171,6007,3168xm6004,3173l5999,3174,6003,3174,6004,3173xm6005,3171l6004,3173,6004,3173,6005,3172,6005,3171xm6005,3172l6004,3173,6005,3172,6005,3172xm6025,3168l6007,3168,6005,3172,6005,3172,6006,3172,6016,3172,6021,3169,6025,3168xm6006,3171l6005,3171,6005,3172,6006,3171xm7488,2963l7473,2963,7470,2975,7467,2987,7466,2990,7478,3044,7486,3078,7491,3105,7494,3120,7494,3120,7497,3133,7501,3142,7501,3145,7503,3147,7505,3148,7508,3152,7514,3157,7523,3156,7528,3150,7532,3146,7532,3143,7533,3142,7536,3133,7507,3133,7507,3132,7506,3132,7508,3130,7511,3122,7513,3108,7516,3092,7516,3091,7512,3066,7505,3037,7499,3009,7493,2980,7488,2963xm7589,3150l7586,3151,7584,3157,7589,3150xm7595,3150l7589,3150,7584,3157,7613,3157,7614,3153,7599,3153,7595,3150xm7594,3148l7599,3153,7597,3150,7594,3148xm7597,3150l7599,3153,7614,3153,7615,3152,7600,3152,7597,3150xm7586,3151l7586,3152,7586,3152,7586,3151xm7613,3100l7608,3102,7605,3107,7601,3111,7600,3112,7600,3114,7599,3115,7593,3132,7591,3138,7593,3143,7597,3150,7600,3152,7615,3152,7616,3150,7615,3150,7612,3135,7610,3128,7607,3123,7637,3123,7635,3117,7635,3116,7634,3115,7633,3114,7630,3109,7628,3105,7625,3102,7621,3102,7613,3100xm7591,3138l7587,3150,7586,3151,7589,3150,7595,3150,7594,3148,7596,3148,7593,3143,7591,3138xm7596,3148l7594,3148,7597,3150,7596,3148xm7610,3126l7609,3126,7610,3128,7610,3128,7612,3135,7616,3150,7619,3141,7623,3130,7616,3130,7613,3128,7614,3128,7610,3126xm6011,3145l6007,3146,6007,3146,6005,3150,6011,3145xm6038,3145l6011,3145,6011,3145,6005,3150,6036,3150,6038,3145xm6489,3145l6489,3145,6493,3147,6492,3145,6489,3145xm6492,3145l6493,3147,6519,3147,6519,3146,6494,3146,6492,3145xm6053,3092l6037,3092,6033,3095,6030,3099,6024,3109,6024,3110,6023,3110,6023,3111,6017,3126,6011,3138,6007,3146,6007,3146,6012,3143,6039,3143,6042,3137,6048,3122,6049,3122,6049,3122,6045,3120,6044,3120,6044,3120,6042,3119,6046,3119,6054,3115,6080,3115,6080,3114,6084,3105,6084,3103,6084,3102,6054,3102,6055,3100,6054,3100,6056,3099,6057,3095,6053,3092xm6012,3143l6007,3146,6011,3145,6012,3143xm6449,2927l6437,2927,6437,2928,6433,2937,6430,2959,6435,2978,6439,2993,6442,3011,6448,3059,6454,3097,6458,3115,6461,3128,6461,3130,6462,3132,6464,3135,6469,3140,6471,3142,6473,3143,6484,3146,6490,3146,6489,3145,6488,3145,6489,3145,6488,3141,6517,3141,6513,3130,6511,3127,6509,3125,6507,3122,6504,3121,6488,3121,6487,3120,6482,3117,6486,3117,6484,3115,6486,3115,6485,3110,6481,3092,6468,3006,6466,2987,6462,2971,6456,2949,6449,2927xm6517,3141l6488,3141,6492,3145,6494,3146,6519,3146,6519,3145,6517,3141xm6488,3141l6489,3145,6492,3145,6488,3141xm6488,3145l6489,3145,6489,3145,6488,3145xm6489,3145l6488,3145,6489,3145,6489,3145xm6039,3143l6012,3143,6011,3145,6011,3145,6038,3145,6039,3143xm6380,3113l6374,3122,6362,3138,6356,3145,6392,3145,6397,3138,6404,3125,6405,3125,6405,3124,6405,3122,6408,3114,6379,3114,6380,3113xm6876,3075l6872,3076,6875,3081,6881,3097,6888,3114,6894,3128,6895,3128,6897,3131,6898,3132,6904,3137,6906,3138,6908,3140,6910,3140,6917,3141,6918,3142,6920,3142,6922,3141,6934,3138,6949,3135,6950,3135,6953,3132,6960,3127,6961,3126,6962,3125,6963,3123,6969,3116,6922,3116,6920,3115,6919,3115,6919,3114,6918,3114,6917,3114,6917,3113,6915,3112,6917,3112,6915,3110,6916,3110,6913,3104,6907,3088,6903,3076,6878,3076,6876,3075xm7508,3132l7507,3132,7507,3133,7508,3132xm7524,3130l7508,3132,7507,3133,7527,3133,7524,3130xm7526,3130l7524,3130,7527,3133,7526,3130xm7541,3029l7535,3032,7531,3037,7527,3042,7527,3043,7526,3045,7525,3047,7523,3059,7519,3075,7516,3091,7521,3115,7524,3126,7525,3129,7526,3130,7526,3130,7527,3133,7536,3133,7536,3131,7540,3112,7544,3097,7545,3088,7545,3088,7542,3076,7537,3058,7536,3058,7534,3052,7563,3052,7562,3048,7562,3046,7561,3045,7558,3040,7557,3037,7554,3034,7550,3033,7547,3032,7541,3029xm7508,3130l7506,3132,7507,3132,7508,3130xm7507,3132l7506,3132,7507,3132,7507,3132xm7509,3128l7508,3130,7507,3132,7508,3132,7509,3128xm7523,3128l7509,3128,7508,3132,7524,3130,7523,3128xm7516,3091l7513,3110,7511,3122,7508,3130,7509,3128,7523,3128,7523,3127,7525,3127,7524,3126,7521,3115,7516,3091xm7523,3127l7524,3130,7526,3130,7525,3129,7523,3127xm7525,3129l7526,3130,7526,3130,7525,3129xm7614,3128l7613,3128,7616,3130,7614,3128xm7627,3123l7614,3128,7616,3130,7623,3130,7624,3128,7623,3128,7625,3125,7626,3125,7627,3123xm7525,3127l7523,3127,7525,3129,7525,3127xm7610,3128l7610,3128,7610,3128,7610,3128xm7609,3126l7610,3128,7610,3128,7609,3126xm7625,3125l7623,3128,7624,3127,7625,3125xm7624,3127l7623,3128,7624,3128,7624,3127xm7627,3123l7607,3123,7614,3128,7627,3123xm7607,3123l7610,3128,7609,3126,7610,3126,7607,3123xm7626,3125l7625,3125,7624,3127,7626,3125xm6080,3115l6054,3115,6049,3122,6061,3126,6065,3126,6069,3123,6075,3120,6077,3119,6079,3116,6080,3115xm6049,3122l6048,3122,6048,3125,6049,3122xm6672,3105l6677,3119,6679,3124,6683,3110,6683,3110,6684,3107,6678,3107,6675,3106,6674,3106,6672,3105xm6045,3119l6044,3120,6049,3122,6051,3120,6049,3120,6045,3119xm6487,3120l6488,3121,6487,3120,6487,3120xm6487,3120l6488,3121,6489,3121,6487,3120xm6487,3118l6487,3120,6489,3121,6487,3118xm6487,3118l6489,3121,6504,3121,6501,3120,6500,3119,6490,3119,6487,3118xm6486,3118l6487,3120,6487,3120,6487,3118,6486,3118xm6482,3117l6487,3120,6486,3118,6482,3117xm6044,3120l6044,3120,6045,3120,6044,3120xm6054,3115l6045,3119,6049,3120,6051,3120,6054,3115xm6042,3119l6044,3120,6045,3119,6042,3119xm6046,3119l6042,3119,6045,3119,6046,3119xm5776,3116l5776,3116,5775,3119,5776,3116xm6484,3115l6486,3118,6487,3118,6484,3115xm6486,3115l6484,3115,6487,3118,6486,3115xm6486,3117l6482,3117,6486,3118,6486,3117xm6919,3113l6918,3113,6919,3114,6922,3116,6919,3113xm6919,3113l6919,3113,6922,3116,6969,3116,6969,3115,6970,3115,6970,3114,6922,3114,6919,3113xm6919,3114l6919,3115,6919,3114,6919,3114xm6919,3114l6919,3115,6920,3115,6919,3114xm7174,3053l7180,3068,7186,3086,7193,3104,7194,3105,7194,3105,7197,3110,7200,3114,7204,3115,7217,3115,7221,3112,7224,3109,7227,3102,7229,3099,7230,3094,7200,3094,7202,3091,7205,3080,7208,3065,7208,3064,7206,3056,7205,3055,7176,3055,7174,3053xm6918,3113l6918,3113,6919,3114,6919,3114,6918,3113xm6918,3113l6917,3113,6919,3114,6918,3113xm6381,3111l6380,3113,6379,3114,6381,3111xm6409,3111l6381,3111,6379,3114,6408,3114,6409,3111xm6917,3113l6917,3114,6918,3114,6917,3113xm6937,3109l6929,3111,6919,3113,6922,3114,6970,3114,6971,3110,6936,3110,6937,3109xm6915,3112l6917,3113,6918,3113,6918,3113,6915,3112xm6918,3113l6918,3113,6918,3113,6918,3113,6918,3113xm6918,3113l6918,3113,6919,3113,6919,3113,6918,3113xm6919,3113l6919,3113,6919,3113,6919,3113xm6918,3112l6918,3113,6919,3113,6918,3112xm6915,3110l6918,3113,6918,3113,6918,3112,6915,3110xm6917,3112l6915,3112,6918,3113,6917,3112xm6444,2916l6411,2916,6410,2918,6406,2934,6404,2954,6400,2977,6397,3004,6388,3081,6385,3097,6380,3113,6381,3111,6409,3111,6411,3106,6415,3086,6418,3061,6425,3003,6427,2981,6430,2960,6430,2958,6430,2957,6424,2937,6424,2937,6421,2934,6421,2934,6418,2929,6435,2929,6437,2928,6437,2927,6449,2927,6449,2926,6448,2926,6445,2919,6444,2918,6444,2916xm6916,3110l6915,3110,6918,3112,6916,3110xm6685,3106l6683,3110,6684,3108,6685,3106xm6684,3108l6683,3110,6683,3110,6684,3108xm6940,3109l6937,3109,6936,3110,6940,3109xm6974,3105l6943,3105,6940,3109,6936,3110,6971,3110,6973,3106,6974,3105xm6942,3106l6937,3109,6940,3109,6942,3106xm6943,3105l6942,3106,6940,3109,6943,3105xm6686,3106l6685,3106,6684,3108,6686,3106xm5781,3105l5778,3107,5780,3107,5781,3105xm6676,3106l6675,3106,6678,3107,6676,3106xm6689,3101l6676,3106,6678,3107,6684,3107,6685,3106,6686,3106,6689,3101xm6672,3103l6672,3105,6674,3106,6672,3103,6672,3103xm6672,3103l6674,3106,6675,3106,6676,3106,6672,3103xm6686,3102l6671,3102,6672,3103,6676,3106,6686,3102xm6975,3100l6946,3100,6942,3106,6943,3105,6974,3105,6974,3104,6975,3100xm6670,3102l6672,3105,6672,3103,6670,3102xm6671,3102l6672,3103,6672,3103,6671,3102xm6671,3102l6670,3102,6672,3103,6671,3102xm6057,3100l6055,3100,6054,3102,6057,3100xm6101,2999l6088,2999,6083,3002,6077,3013,6077,3014,6076,3014,6076,3016,6073,3027,6060,3085,6058,3095,6058,3095,6060,3096,6066,3099,6057,3100,6054,3102,6084,3102,6087,3091,6094,3061,6099,3037,6099,3036,6095,3029,6089,3024,6097,3024,6105,3021,6122,3021,6117,3012,6116,3011,6115,3011,6114,3009,6107,3003,6105,3001,6101,2999xm6948,3095l6945,3101,6946,3100,6975,3100,6976,3096,6947,3096,6948,3095xm6056,3099l6054,3100,6055,3100,6056,3099xm6055,3100l6054,3100,6055,3100,6055,3100xm6207,3097l6207,3099,6207,3100,6207,3097xm6234,3097l6207,3097,6207,3100,6234,3100,6234,3097xm6060,3096l6056,3099,6055,3100,6057,3100,6060,3096xm6060,3096l6057,3100,6066,3099,6060,3096xm6057,3095l6056,3099,6060,3096,6057,3096,6058,3095,6057,3095xm6203,3091l6207,3099,6207,3097,6234,3097,6234,3095,6234,3092,6205,3092,6203,3091xm6058,3095l6057,3096,6058,3095,6058,3095xm6058,3095l6057,3096,6060,3096,6058,3095xm6948,3094l6948,3095,6947,3096,6948,3094xm6977,3094l6948,3094,6947,3096,6976,3096,6977,3094xm6991,3013l6983,3013,6981,3014,6977,3014,6974,3017,6972,3019,6969,3024,6967,3027,6967,3028,6963,3038,6957,3061,6948,3095,6948,3094,6977,3094,6984,3069,6987,3057,6983,3049,6978,3039,6977,3038,6978,3038,6977,3037,7009,3037,7008,3035,7002,3023,7001,3022,7000,3021,6999,3019,6995,3017,6991,3013xm6058,3094l6057,3095,6058,3095,6058,3094xm7202,3091l7200,3094,7202,3092,7202,3092,7202,3091xm7210,3088l7200,3094,7220,3094,7210,3088xm7217,3088l7211,3088,7210,3088,7220,3094,7217,3090,7218,3090,7217,3088xm7217,3090l7220,3094,7230,3094,7231,3091,7219,3091,7217,3090xm5885,3028l5872,3028,5870,3031,5862,3049,5870,3071,5874,3080,5875,3083,5876,3084,5884,3092,5892,3092,5898,3089,5900,3088,5902,3085,5903,3084,5904,3081,5906,3078,5906,3076,5905,3070,5879,3070,5881,3066,5881,3066,5881,3066,5882,3064,5889,3045,5890,3044,5890,3044,5885,3028xm6048,3091l6046,3092,6051,3092,6048,3091xm6203,3089l6203,3091,6205,3092,6203,3089xm6232,3089l6203,3089,6205,3092,6234,3092,6234,3091,6233,3090,6232,3089xm7204,3089l7202,3091,7202,3092,7204,3089xm7209,3089l7204,3089,7202,3092,7202,3092,7209,3089xm7218,3090l7217,3090,7219,3091,7218,3090xm7236,2993l7230,2997,7226,2999,7224,3002,7221,3004,7217,3018,7214,3032,7208,3064,7212,3078,7219,3091,7231,3091,7232,3088,7235,3071,7237,3059,7234,3039,7231,3027,7229,3021,7226,3018,7245,3018,7247,3016,7256,3016,7254,3009,7253,3008,7253,3007,7252,3006,7248,3001,7244,2994,7236,2993xm7208,3064l7208,3065,7205,3080,7202,3091,7204,3089,7209,3089,7210,3088,7208,3088,7217,3088,7212,3078,7208,3064xm6197,3085l6203,3091,6203,3089,6232,3089,6231,3086,6200,3086,6197,3085xm7211,3088l7208,3088,7210,3088,7211,3088xm7538,3055l7536,3055,7542,3076,7545,3088,7546,3080,7550,3065,7551,3059,7542,3059,7538,3058,7540,3057,7538,3055xm6193,3009l6183,3009,6181,3016,6180,3027,6177,3055,6177,3057,6178,3061,6178,3063,6178,3063,6178,3064,6182,3071,6183,3074,6185,3076,6188,3079,6192,3081,6200,3086,6231,3086,6228,3079,6228,3076,6226,3075,6225,3073,6217,3065,6216,3064,6215,3064,6212,3061,6208,3061,6202,3054,6204,3054,6204,3053,6204,3053,6202,3043,6195,3016,6193,3009xm7093,3032l7068,3032,7062,3036,7061,3037,7063,3038,7074,3052,7079,3060,7085,3070,7087,3071,7093,3080,7096,3083,7100,3085,7105,3084,7115,3084,7119,3081,7125,3073,7126,3071,7126,3070,7126,3069,7129,3061,7098,3061,7102,3057,7103,3052,7104,3047,7102,3043,7095,3034,7093,3032xm7009,3037l6995,3037,6992,3040,6990,3045,6987,3056,6987,3057,6990,3063,6990,3064,6990,3064,6991,3065,6997,3074,7000,3078,7003,3080,7020,3080,7026,3078,7027,3076,7029,3076,7030,3075,7043,3064,7043,3063,7044,3063,7045,3061,7047,3058,7020,3058,7012,3053,7010,3053,7011,3052,7010,3052,7014,3052,7014,3051,7014,3051,7014,3049,7014,3049,7009,3037xm6850,2970l6840,2970,6837,2975,6831,2993,6829,3003,6830,3008,6836,3039,6839,3052,6839,3053,6840,3054,6843,3063,6844,3065,6845,3068,6847,3069,6853,3074,6855,3076,6859,3078,6863,3076,6869,3076,6872,3076,6869,3070,6900,3070,6900,3069,6894,3056,6892,3053,6869,3053,6867,3051,6860,3049,6865,3049,6864,3048,6867,3048,6866,3047,6866,3047,6865,3044,6865,3044,6863,3034,6857,3002,6853,2986,6850,2973,6850,2972,6850,2972,6850,2971,6850,2970xm5902,3044l5903,3052,5905,3064,5906,3077,5907,3075,5915,3056,5918,3049,5917,3049,5919,3046,5915,3045,5903,3045,5902,3044xm6876,3075l6876,3075,6878,3076,6876,3075xm6900,3070l6869,3070,6875,3075,6878,3075,6876,3075,6878,3076,6903,3076,6900,3070xm6869,3070l6872,3076,6876,3075,6872,3074,6874,3074,6869,3070xm6872,3074l6876,3075,6876,3075,6875,3075,6872,3074xm6875,3075l6876,3075,6878,3075,6875,3075xm5772,3073l5771,3073,5770,3075,5772,3073xm5803,3073l5772,3073,5770,3075,5802,3075,5803,3073xm5836,3019l5821,3019,5820,3020,5820,3021,5814,3038,5814,3039,5819,3055,5823,3063,5824,3065,5824,3068,5826,3069,5830,3071,5834,3075,5839,3075,5847,3073,5851,3070,5853,3067,5856,3063,5857,3061,5857,3061,5857,3060,5861,3052,5830,3052,5834,3047,5834,3047,5839,3033,5840,3032,5840,3031,5839,3028,5836,3019xm6874,3074l6872,3074,6875,3075,6874,3074xm5775,3067l5771,3073,5772,3073,5803,3073,5804,3069,5775,3069,5775,3067xm5881,3066l5879,3070,5882,3066,5881,3066xm5882,3066l5879,3070,5905,3070,5905,3069,5898,3069,5898,3068,5882,3066xm5776,3066l5775,3067,5775,3069,5776,3066xm5805,3066l5776,3066,5775,3069,5804,3069,5805,3066xm5898,3068l5898,3069,5898,3068,5898,3068xm5913,3021l5909,3021,5905,3023,5903,3024,5901,3025,5899,3028,5898,3029,5894,3037,5890,3044,5890,3044,5896,3063,5897,3066,5899,3068,5898,3068,5898,3069,5905,3069,5905,3068,5899,3068,5898,3068,5905,3068,5905,3064,5903,3052,5902,3044,5900,3042,5929,3042,5928,3037,5928,3035,5925,3029,5923,3025,5920,3022,5916,3022,5913,3021xm5897,3066l5898,3068,5899,3068,5897,3066xm5895,3064l5898,3068,5898,3068,5897,3066,5895,3064xm5895,3064l5883,3064,5882,3066,5898,3068,5895,3064xm5816,2993l5810,2993,5806,2996,5800,2999,5798,3002,5798,3004,5794,3012,5787,3032,5781,3052,5775,3067,5776,3066,5805,3066,5807,3061,5814,3039,5813,3037,5807,3021,5807,3020,5806,3019,5806,3019,5805,3017,5821,3017,5822,3016,5835,3016,5833,3009,5832,3009,5832,3008,5831,3007,5828,3002,5826,2999,5825,2998,5824,2997,5816,2993xm5883,3064l5881,3066,5881,3066,5882,3066,5883,3064xm5890,3044l5889,3045,5882,3064,5881,3066,5883,3064,5897,3064,5896,3063,5890,3044xm5897,3064l5895,3064,5897,3066,5897,3064xm6202,3054l6208,3061,6206,3057,6202,3054xm6206,3057l6208,3061,6212,3061,6207,3058,6206,3057xm7102,3057l7098,3061,7101,3060,7100,3060,7102,3057xm7106,3058l7098,3061,7114,3061,7106,3058xm7110,3056l7108,3056,7106,3058,7114,3061,7110,3056xm7108,3054l7114,3061,7129,3061,7129,3060,7131,3055,7109,3055,7108,3054xm7102,3056l7102,3057,7100,3060,7102,3056xm7102,3056l7102,3056,7100,3060,7101,3060,7106,3058,7102,3056xm7540,3057l7538,3058,7542,3059,7540,3057xm7553,3053l7540,3057,7542,3059,7551,3059,7552,3058,7550,3058,7553,3053xm7229,3021l7231,3027,7234,3039,7237,3059,7239,3050,7241,3038,7244,3024,7245,3023,7242,3023,7242,3022,7230,3022,7229,3021xm7108,3056l7102,3056,7106,3058,7108,3056xm7013,3052l7011,3052,7020,3058,7016,3053,7012,3053,7013,3052xm7016,3053l7020,3058,7047,3058,7051,3053,7016,3053,7016,3053xm7534,3052l7536,3058,7536,3055,7538,3055,7534,3052xm7536,3055l7536,3058,7537,3058,7536,3055xm7553,3053l7553,3053,7550,3058,7552,3055,7553,3053xm7552,3055l7550,3058,7552,3058,7552,3055xm6204,3054l6202,3054,6206,3057,6205,3055,6205,3055,6204,3054xm7563,3052l7534,3052,7540,3057,7553,3053,7553,3053,7563,3053,7563,3052xm6978,3039l6984,3049,6987,3057,6990,3045,6991,3042,6981,3042,6978,3039xm7104,3047l7103,3052,7102,3057,7102,3056,7110,3056,7108,3054,7108,3054,7104,3047xm6163,3006l6166,3013,6169,3024,6176,3053,6176,3056,6180,3027,6181,3016,6182,3014,6171,3014,6168,3013,6169,3012,6163,3006xm6204,3053l6205,3055,6204,3053,6204,3053xm6204,3053l6205,3055,6205,3055,6204,3053xm7108,3054l7108,3054,7109,3055,7108,3054xm7144,2976l7140,2977,7129,2977,7125,2981,7123,2985,7120,2989,7120,2991,7119,2991,7119,2992,7115,3003,7109,3027,7104,3047,7109,3055,7131,3055,7142,3013,7138,3006,7131,3001,7143,3001,7147,2998,7165,2998,7160,2991,7160,2989,7159,2988,7158,2987,7151,2981,7148,2977,7144,2976xm7173,3052l7174,3053,7176,3055,7173,3052xm7204,3052l7173,3052,7176,3055,7205,3055,7204,3052xm7554,3053l7553,3053,7552,3055,7554,3053xm7553,3053l7553,3053,7553,3053,7553,3053xm7554,3053l7553,3053,7553,3053,7554,3053xm6204,3053l6204,3053,6204,3053,6204,3053xm7167,3002l7145,3002,7142,3009,7142,3012,7142,3013,7143,3016,7150,3025,7151,3028,7164,3040,7174,3053,7173,3052,7204,3052,7200,3042,7198,3039,7197,3038,7183,3021,7173,3011,7173,3011,7171,3008,7171,3008,7167,3002xm6867,3051l6869,3053,6868,3051,6867,3051xm6878,3047l6875,3047,6873,3048,6867,3049,6868,3050,6870,3052,6868,3052,6869,3053,6892,3053,6891,3052,6870,3052,6868,3051,6890,3051,6889,3050,6879,3048,6878,3047xm7011,3052l7010,3053,7012,3053,7011,3052xm7013,3052l7013,3052,7012,3053,7014,3052,7013,3052xm7014,3052l7012,3053,7016,3053,7016,3053,7014,3052xm7052,3052l7016,3052,7016,3052,7016,3053,7016,3053,7051,3053,7052,3052xm7016,3052l7014,3052,7016,3053,7016,3052xm7010,3052l7011,3052,7013,3052,7013,3052,7010,3052xm7015,3052l7013,3052,7013,3052,7014,3052,7016,3052,7015,3052xm7014,3051l7013,3052,7013,3052,7015,3052,7015,3052,7015,3052,7014,3051xm7014,3052l7010,3052,7013,3052,7014,3052xm7016,3052l7015,3052,7016,3052,7016,3052xm7025,3042l7015,3051,7015,3052,7016,3052,7052,3052,7057,3044,7023,3044,7025,3042xm5834,3047l5830,3052,5834,3049,5833,3049,5834,3047xm5835,3048l5830,3052,5848,3052,5847,3050,5835,3048xm5847,3050l5848,3052,5847,3050,5847,3050xm5864,3004l5860,3006,5856,3007,5853,3008,5851,3011,5849,3013,5846,3018,5845,3018,5845,3019,5845,3019,5840,3031,5840,3032,5845,3047,5847,3049,5848,3050,5847,3050,5848,3052,5861,3052,5862,3050,5848,3050,5847,3050,5862,3050,5862,3049,5857,3034,5856,3031,5855,3030,5856,3030,5855,3028,5885,3028,5883,3023,5880,3017,5879,3014,5878,3013,5876,3012,5873,3008,5869,3006,5864,3004xm6868,3050l6868,3051,6870,3052,6868,3050xm7015,3051l7014,3051,7015,3052,7015,3052,7015,3051xm6864,3048l6867,3051,6868,3051,6868,3050,6864,3048xm7014,3049l7014,3051,7014,3049,7014,3049xm7014,3049l7014,3051,7015,3051,7014,3049xm6865,3049l6860,3049,6867,3051,6865,3049xm5847,3049l5847,3050,5848,3050,5847,3049xm6101,3038l6105,3050,6105,3048,6133,3048,6132,3042,6131,3040,6131,3039,6102,3039,6101,3038xm5844,3047l5847,3050,5847,3050,5847,3049,5844,3047xm5844,3047l5837,3047,5835,3048,5847,3050,5844,3047xm6867,3048l6864,3048,6868,3050,6867,3049,6867,3049,6867,3049,6867,3048xm5845,3047l5844,3047,5847,3049,5845,3047xm7014,3049l7014,3049,7014,3049,7014,3049xm5834,3047l5834,3047,5833,3049,5834,3047xm5840,3031l5839,3034,5833,3049,5834,3049,5835,3048,5834,3048,5837,3047,5845,3047,5840,3031xm5919,3046l5917,3049,5920,3047,5919,3046xm5922,3044l5919,3046,5920,3047,5917,3049,5918,3049,5922,3044xm6867,3049l6867,3049,6867,3049,6867,3049xm5856,3031l5857,3034,5862,3049,5869,3033,5859,3033,5856,3031xm5837,3047l5834,3048,5835,3048,5837,3047xm6865,3044l6866,3047,6866,3044,6865,3044xm6866,3044l6866,3047,6866,3047,6866,3044xm5929,3042l5901,3042,5901,3042,5919,3046,5922,3044,5930,3044,5929,3042xm5901,3042l5902,3044,5903,3045,5901,3042,5901,3042xm5901,3042l5903,3045,5915,3045,5901,3042xm6865,3044l6865,3044,6866,3044,6865,3044xm7059,3006l7054,3007,7051,3009,7045,3013,7042,3016,7042,3017,7035,3027,7030,3037,7023,3044,7057,3044,7061,3037,7061,3037,7061,3037,7061,3037,7059,3035,7056,3034,7058,3034,7056,3032,7093,3032,7081,3018,7075,3012,7073,3011,7071,3009,7069,3008,7063,3007,7059,3006xm5900,3042l5902,3044,5901,3042,5900,3042xm5901,3042l5900,3042,5901,3042,5901,3042xm6978,3038l6978,3039,6981,3042,6978,3038,6978,3038xm6978,3038l6981,3042,6986,3042,6987,3041,6978,3038xm6987,3041l6986,3042,6989,3042,6987,3041xm6992,3038l6987,3041,6989,3042,6991,3042,6992,3038xm6992,3038l6992,3038,6991,3042,6992,3040,6992,3038xm6992,3040l6991,3042,6991,3042,6992,3040xm6993,3037l6977,3037,6978,3038,6987,3041,6992,3038,6993,3037xm6995,3037l6992,3038,6992,3040,6995,3037xm7434,3006l7429,3006,7428,3006,7426,3014,7424,3030,7427,3034,7429,3039,7434,3040,7445,3040,7450,3038,7452,3034,7456,3028,7456,3027,7457,3025,7458,3024,7459,3019,7429,3019,7431,3015,7434,3006xm6977,3038l6978,3039,6978,3038,6977,3038xm6100,3035l6101,3038,6102,3039,6100,3035xm6129,3035l6100,3035,6102,3039,6131,3039,6129,3035xm5807,3021l5813,3037,5814,3039,5820,3022,5808,3022,5807,3021xm6122,3021l6105,3021,6102,3026,6100,3033,6099,3036,6101,3038,6100,3035,6129,3035,6126,3025,6125,3024,6125,3024,6124,3023,6122,3021xm6977,3037l6978,3038,6978,3038,6977,3037xm6978,3038l6977,3038,6978,3038,6978,3038xm6993,3037l6992,3038,6992,3038,6993,3037xm6995,3037l6993,3037,6992,3038,6995,3037xm7062,3036l7061,3037,7061,3037,7061,3037,7062,3036xm7061,3037l7061,3037,7061,3037,7061,3037xm7064,3033l7061,3037,7061,3037,7062,3036,7064,3033xm7059,3035l7061,3037,7062,3035,7062,3035,7059,3035xm6101,3028l6094,3028,6096,3030,6096,3030,6099,3036,6100,3033,6101,3030,6096,3030,6095,3029,6101,3029,6101,3028xm7066,3033l7064,3033,7062,3036,7066,3033xm7059,3033l7058,3034,7059,3035,7062,3035,7059,3033xm7068,3032l7059,3033,7062,3035,7062,3035,7064,3033,7066,3033,7068,3032xm7058,3034l7056,3034,7059,3035,7058,3034xm7056,3032l7058,3034,7059,3033,7056,3032xm7068,3032l7056,3032,7059,3033,7068,3032xm5856,3030l5856,3031,5859,3033,5857,3031,5856,3030xm5857,3031l5859,3033,5865,3033,5867,3032,5857,3031xm5867,3032l5865,3033,5868,3032,5867,3032xm5872,3028l5867,3032,5868,3032,5865,3033,5869,3033,5870,3032,5870,3032,5870,3030,5871,3030,5872,3028xm5870,3030l5870,3032,5870,3031,5870,3030xm5870,3031l5870,3032,5870,3032,5870,3031xm5872,3028l5855,3028,5857,3031,5867,3032,5872,3028xm5855,3030l5856,3031,5856,3030,5855,3030xm5871,3030l5870,3030,5870,3031,5871,3030xm5855,3028l5856,3030,5857,3031,5855,3028xm5856,3030l5855,3030,5856,3030,5856,3030xm6094,3028l6095,3029,6096,3030,6094,3028xm7409,3008l7417,3018,7424,3030,7426,3014,7427,3013,7416,3013,7412,3012,7413,3011,7409,3008xm6089,3024l6095,3029,6094,3028,6101,3028,6102,3027,6092,3027,6094,3026,6089,3024xm6094,3026l6092,3027,6098,3027,6094,3026xm6105,3021l6094,3026,6098,3027,6102,3027,6103,3023,6104,3023,6105,3021xm6103,3023l6102,3027,6102,3026,6103,3023xm6102,3026l6102,3027,6102,3027,6102,3026xm6104,3023l6103,3023,6102,3026,6104,3023xm6097,3024l6089,3024,6094,3026,6097,3024xm7243,3020l7242,3023,7245,3021,7243,3020xm7247,3016l7243,3020,7245,3021,7242,3023,7245,3023,7247,3016xm5807,3020l5807,3021,5808,3022,5807,3020,5807,3020xm5807,3020l5808,3022,5809,3022,5807,3020xm5807,3019l5807,3019,5807,3020,5809,3022,5807,3019xm5821,3017l5805,3017,5809,3022,5818,3022,5821,3017xm5822,3016l5818,3022,5820,3020,5822,3016xm5820,3020l5818,3022,5820,3022,5820,3021,5820,3020xm7228,3018l7229,3021,7230,3022,7228,3018,7228,3018xm7228,3018l7230,3022,7242,3022,7243,3020,7228,3018xm7226,3018l7229,3021,7228,3018,7226,3018xm5807,3020l5807,3021,5807,3020,5807,3020xm7245,3018l7228,3018,7228,3018,7243,3020,7245,3018xm5807,3019l5807,3020,5807,3020,5807,3019xm5805,3017l5807,3020,5807,3020,5807,3020,5807,3019,5805,3017xm5835,3016l5822,3016,5820,3020,5821,3019,5836,3019,5835,3016xm5806,3019l5806,3019,5807,3020,5806,3019xm7431,3015l7429,3019,7433,3017,7431,3017,7431,3015xm7439,3014l7429,3019,7450,3019,7439,3014xm7446,3013l7440,3013,7439,3014,7450,3019,7447,3016,7446,3013xm7463,2934l7457,2939,7454,2941,7451,2944,7451,2945,7447,2954,7447,2955,7446,2955,7443,2966,7440,2981,7436,2997,7439,3002,7447,3016,7450,3019,7459,3019,7460,3014,7466,2990,7466,2987,7459,2965,7457,2960,7456,2958,7474,2958,7475,2957,7486,2957,7485,2955,7482,2947,7481,2945,7481,2945,7471,2935,7463,2934xm7228,3018l7228,3018,7228,3018,7228,3018xm7228,3018l7226,3018,7228,3018,7228,3018xm7432,3013l7431,3015,7431,3017,7432,3013xm7438,3013l7432,3013,7431,3017,7433,3017,7439,3014,7438,3013xm7436,2997l7433,3007,7431,3015,7432,3013,7446,3013,7439,3002,7436,2997xm6169,3012l6168,3013,6171,3014,6169,3012xm6184,3006l6169,3012,6171,3014,6182,3014,6182,3012,6182,3012,6184,3006xm7440,3013l7438,3013,7439,3014,7440,3013xm7413,3011l7412,3012,7416,3013,7413,3011xm7428,3006l7413,3011,7416,3013,7427,3013,7427,3009,7426,3009,7428,3006xm7138,3006l7142,3013,7142,3009,7143,3007,7139,3007,7138,3006xm6184,3006l6163,3006,6169,3012,6184,3006xm6192,3006l6184,3006,6182,3012,6183,3009,6193,3009,6192,3006xm6183,3009l6182,3012,6182,3012,6183,3009xm7422,3008l7409,3008,7413,3011,7422,3008xm7171,3008l7173,3011,7171,3009,7171,3008xm7171,3009l7173,3011,7173,3011,7171,3009xm7428,3006l7428,3006,7426,3009,7428,3006,7428,3006xm7428,3006l7426,3009,7427,3009,7428,3006xm7171,3008l7171,3008,7171,3009,7171,3008xm7137,3004l7138,3006,7139,3007,7137,3004xm7139,3003l7137,3004,7139,3007,7143,3007,7144,3004,7143,3004,7139,3003xm7429,3006l7428,3006,7428,3006,7429,3006xm7131,3001l7138,3006,7137,3004,7139,3003,7131,3001xm7429,3004l7428,3006,7428,3006,7429,3004xm7434,3004l7429,3004,7428,3006,7429,3006,7434,3006,7434,3004xm7147,2998l7139,3003,7143,3004,7144,3004,7145,3003,7144,3003,7147,2998xm6823,2980l6826,2993,6829,3003,6831,2993,6835,2981,6824,2981,6823,2980xm7165,2998l7147,2998,7144,3003,7145,3002,7167,3002,7165,2998xm7145,3002l7144,3003,7145,3003,7145,3002xm7143,3001l7131,3001,7139,3003,7143,3001xm7457,2960l7459,2965,7466,2987,7466,2990,7467,2987,7471,2973,7473,2965,7472,2965,7473,2962,7459,2962,7457,2960xm6823,2980l6823,2980,6824,2981,6823,2980xm6821,2973l6824,2981,6835,2981,6836,2977,6831,2977,6833,2975,6831,2975,6822,2975,6821,2973xm6833,2975l6831,2977,6835,2976,6833,2975xm6840,2970l6833,2975,6835,2976,6831,2977,6836,2977,6837,2976,6837,2976,6837,2975,6837,2975,6840,2970xm6837,2975l6837,2976,6837,2975,6837,2975xm6837,2975l6837,2976,6837,2976,6837,2975xm6838,2971l6819,2971,6833,2975,6838,2971xm6837,2975l6837,2975,6837,2975,6837,2975xm6821,2972l6821,2973,6822,2975,6821,2972xm6823,2972l6821,2972,6822,2975,6831,2975,6823,2972xm6819,2971l6821,2973,6821,2972,6823,2972,6819,2971xm7486,2957l7475,2957,7472,2965,7473,2963,7488,2963,7486,2957xm7473,2963l7472,2965,7473,2965,7473,2963xm7456,2959l7457,2960,7459,2962,7456,2959xm7456,2959l7459,2962,7471,2962,7473,2960,7456,2959xm7473,2960l7471,2962,7474,2960,7473,2960xm7474,2960l7471,2962,7473,2962,7474,2960xm7456,2958l7457,2960,7456,2959,7456,2958xm7475,2957l7473,2960,7474,2960,7475,2957xm7474,2958l7456,2958,7456,2959,7473,2960,7474,2958xm6434,2936l6423,2936,6430,2957,6430,2959,6433,2937,6434,2936xm7456,2958l7456,2958,7456,2959,7456,2958xm6422,2931l6420,2931,6424,2937,6423,2936,6434,2936,6435,2934,6424,2934,6425,2933,6422,2931xm6423,2936l6424,2937,6424,2937,6423,2936xm6418,2929l6421,2934,6420,2931,6422,2931,6418,2929xm6420,2931l6421,2934,6421,2934,6420,2931xm6425,2933l6424,2934,6427,2934,6425,2933xm6437,2928l6425,2933,6427,2934,6435,2934,6436,2931,6435,2931,6437,2928xm6435,2929l6418,2929,6425,2933,6435,2929xm6437,2928l6437,2928,6435,2931,6437,2928,6437,2928xm6437,2928l6435,2931,6436,2931,6437,2928xm6437,2927l6437,2928,6437,2928,6437,2927xm6437,2927l6437,2927,6437,2928,6437,2927xm6424,2905l6418,2906,6412,2916,6444,2916,6440,2911,6438,2909,6435,2906,6429,2906,6424,2905xe" filled="true" fillcolor="#497dba" stroked="false">
              <v:path arrowok="t"/>
              <v:fill type="solid"/>
            </v:shape>
            <v:shape style="position:absolute;left:5625;top:2904;width:2034;height:1143" coordorigin="5625,2904" coordsize="2034,1143" path="m5648,3189l5655,3219,5662,3251,5668,3278,5670,3288,5669,3284,5673,3290,5666,3284,5669,3285,5655,3288,5658,3285,5655,3289,5661,3275,5667,3259,5674,3244,5674,3242,5675,3240,5677,3239,5689,3227,5690,3226,5692,3225,5693,3225,5706,3219,5709,3217,5714,3217,5717,3219,5722,3221,5723,3221,5725,3222,5725,3222,5732,3228,5730,3227,5738,3231,5723,3232,5728,3228,5724,3234,5727,3224,5727,3226,5730,3212,5736,3176,5742,3138,5746,3122,5748,3109,5748,3109,5749,3108,5749,3107,5755,3093,5755,3092,5756,3091,5757,3090,5764,3081,5781,3051,5788,3030,5794,3011,5798,3004,5798,3001,5800,2999,5802,2998,5806,2995,5810,2992,5816,2992,5828,3001,5831,3006,5832,3007,5832,3008,5833,3009,5839,3027,5845,3046,5848,3052,5844,3046,5848,3049,5834,3047,5837,3046,5830,3051,5834,3046,5833,3049,5839,3034,5845,3019,5845,3018,5845,3018,5846,3017,5849,3012,5851,3010,5853,3007,5856,3007,5860,3006,5864,3004,5869,3005,5873,3008,5876,3011,5878,3012,5879,3014,5880,3016,5883,3023,5890,3043,5896,3063,5898,3068,5895,3063,5899,3067,5881,3066,5883,3064,5879,3070,5882,3063,5889,3045,5894,3036,5898,3029,5899,3027,5901,3025,5903,3024,5905,3022,5909,3020,5913,3020,5916,3021,5920,3022,5923,3025,5925,3028,5927,3033,5928,3034,5928,3035,5928,3036,5930,3046,5932,3059,5935,3092,5938,3132,5941,3177,5944,3221,5947,3262,5951,3296,5954,3321,5953,3317,5966,3334,5955,3334,5959,3332,5952,3341,5955,3327,5958,3308,5962,3283,5965,3256,5968,3228,5972,3202,5974,3181,5978,3164,5978,3162,5979,3161,5979,3159,5984,3152,5987,3149,5989,3147,5993,3146,6001,3144,6002,3144,6003,3144,6004,3144,6011,3144,6007,3145,6012,3143,6005,3149,6011,3138,6017,3125,6023,3110,6023,3110,6024,3109,6024,3108,6030,3098,6033,3095,6037,3092,6041,3092,6046,3092,6048,3091,6051,3092,6053,3092,6060,3095,6066,3098,6054,3099,6060,3095,6054,3102,6058,3094,6057,3096,6060,3084,6067,3055,6073,3027,6076,3016,6076,3014,6077,3014,6077,3012,6080,3006,6083,3002,6088,2999,6092,2999,6098,2999,6101,2999,6105,3000,6107,3002,6114,3008,6115,3010,6116,3010,6117,3012,6124,3022,6125,3024,6125,3024,6126,3025,6131,3039,6131,3040,6132,3041,6132,3042,6135,3061,6138,3091,6141,3124,6145,3158,6148,3191,6151,3217,6154,3235,6154,3232,6155,3237,6147,3229,6148,3230,6132,3236,6133,3233,6132,3237,6133,3230,6137,3205,6140,3171,6143,3132,6146,3091,6149,3053,6152,3023,6154,3012,6156,3002,6156,3002,6156,3001,6157,3000,6160,2994,6163,2987,6170,2984,6176,2986,6180,2988,6205,3055,6216,3064,6217,3065,6225,3073,6226,3074,6228,3076,6228,3078,6233,3090,6234,3091,6234,3092,6234,3094,6235,3112,6237,3136,6238,3165,6240,3197,6243,3268,6246,3345,6249,3419,6253,3484,6254,3511,6255,3534,6257,3551,6259,3561,6258,3558,6260,3562,6239,3555,6241,3554,6235,3563,6236,3558,6238,3549,6240,3536,6242,3521,6245,3483,6248,3440,6251,3397,6254,3357,6257,3328,6264,3280,6270,3237,6273,3218,6276,3203,6280,3191,6284,3183,6287,3177,6293,3173,6300,3176,6304,3177,6308,3178,6311,3181,6312,3185,6315,3193,6319,3208,6323,3225,6326,3242,6329,3256,6331,3265,6328,3259,6331,3262,6311,3263,6314,3260,6312,3264,6315,3254,6318,3244,6321,3228,6327,3197,6330,3183,6334,3172,6334,3171,6335,3171,6335,3170,6341,3159,6342,3158,6343,3157,6362,3137,6374,3122,6381,3111,6379,3114,6385,3097,6388,3081,6391,3058,6397,3004,6400,2977,6404,2953,6406,2933,6410,2919,6410,2918,6411,2916,6412,2915,6415,2911,6418,2906,6424,2904,6429,2905,6432,2906,6435,2906,6438,2908,6440,2911,6444,2916,6444,2916,6444,2917,6445,2918,6448,2925,6448,2926,6449,2926,6449,2927,6466,2986,6475,3050,6481,3092,6485,3109,6488,3121,6484,3114,6489,3120,6482,3116,6490,3118,6487,3118,6494,3118,6497,3118,6500,3119,6501,3119,6507,3122,6539,3210,6551,3263,6558,3289,6564,3306,6561,3301,6567,3307,6559,3303,6567,3305,6564,3305,6571,3306,6574,3306,6576,3306,6578,3308,6584,3312,6586,3313,6587,3315,6588,3317,6595,3331,6602,3351,6608,3369,6614,3381,6612,3378,6617,3384,6624,3391,6621,3389,6629,3394,6613,3396,6618,3391,6613,3399,6616,3381,6620,3357,6623,3327,6626,3295,6629,3261,6633,3228,6645,3144,6659,3097,6659,3095,6660,3094,6660,3092,6667,3084,6670,3080,6675,3077,6681,3079,6683,3079,6686,3080,6689,3081,6691,3084,6695,3088,6695,3089,6697,3090,6697,3091,6704,3107,6710,3129,6716,3147,6729,3177,6735,3192,6741,3203,6747,3212,6752,3220,6750,3218,6756,3223,6745,3220,6752,3219,6743,3224,6750,3216,6748,3219,6754,3206,6760,3189,6766,3168,6772,3140,6779,3107,6785,3073,6791,3042,6798,3014,6804,2986,6811,2965,6811,2964,6811,2964,6812,2963,6815,2957,6817,2954,6819,2951,6823,2950,6826,2949,6832,2947,6838,2949,6842,2954,6845,2958,6845,2959,6846,2960,6846,2961,6850,2971,6850,2971,6850,2972,6850,2972,6853,2986,6857,3002,6863,3034,6866,3046,6865,3044,6869,3053,6864,3047,6870,3052,6860,3049,6867,3048,6873,3047,6875,3046,6878,3046,6879,3047,6885,3049,6889,3050,6892,3053,6894,3056,6900,3068,6907,3087,6913,3104,6919,3114,6915,3110,6922,3115,6915,3112,6922,3114,6917,3114,6929,3111,6940,3108,6936,3109,6943,3104,6940,3108,6946,3099,6957,3061,6963,3037,6967,3028,6967,3026,6968,3025,6981,3014,6983,3013,6987,3012,6991,3013,6995,3016,6999,3019,7000,3020,7001,3022,7002,3023,7008,3035,7015,3051,7014,3048,7020,3057,7010,3052,7016,3052,7010,3053,7016,3051,7012,3053,7025,3042,7023,3044,7030,3036,7035,3027,7042,3017,7042,3016,7059,3005,7063,3006,7069,3008,7071,3008,7073,3010,7075,3012,7081,3017,7114,3061,7102,3056,7108,3056,7098,3061,7102,3056,7100,3060,7103,3051,7109,3027,7115,3002,7119,2991,7119,2990,7120,2990,7120,2989,7123,2984,7125,2980,7129,2977,7134,2977,7140,2976,7144,2976,7148,2977,7151,2980,7158,2987,7159,2988,7160,2989,7160,2990,7167,3001,7173,3010,7171,3007,7183,3020,7197,3037,7198,3038,7199,3039,7200,3041,7206,3056,7212,3077,7219,3091,7217,3089,7220,3093,7208,3087,7211,3087,7200,3094,7204,3088,7202,3092,7205,3080,7208,3065,7211,3049,7214,3032,7217,3017,7221,3007,7221,3004,7224,3002,7226,2999,7230,2997,7236,2993,7244,2994,7248,3000,7252,3005,7253,3006,7253,3007,7254,3009,7257,3018,7261,3031,7263,3048,7270,3086,7276,3129,7280,3153,7282,3181,7289,3244,7292,3275,7295,3303,7299,3328,7319,3368,7320,3369,7322,3370,7322,3372,7326,3388,7327,3389,7327,3390,7327,3391,7328,3414,7330,3442,7331,3475,7333,3511,7337,3594,7340,3683,7343,3771,7346,3853,7348,3891,7349,3924,7351,3952,7353,3974,7357,3994,7365,4014,7364,4012,7368,4021,7371,4023,7357,4018,7360,4018,7349,4027,7351,4021,7351,4024,7353,3995,7354,3959,7355,3917,7357,3868,7358,3814,7360,3756,7363,3634,7366,3510,7368,3450,7370,3392,7371,3338,7372,3290,7376,3211,7382,3136,7389,3073,7397,3025,7399,3009,7402,2998,7402,2996,7403,2995,7403,2993,7406,2990,7410,2985,7417,2982,7422,2985,7447,3015,7450,3018,7438,3012,7440,3012,7429,3019,7432,3013,7431,3017,7433,3006,7440,2980,7443,2966,7446,2955,7447,2954,7447,2954,7447,2953,7451,2945,7451,2943,7453,2941,7454,2940,7457,2938,7463,2933,7471,2934,7499,3009,7505,3036,7512,3066,7518,3099,7521,3114,7524,3125,7527,3133,7523,3127,7526,3130,7506,3132,7509,3128,7507,3133,7511,3122,7513,3109,7516,3092,7519,3075,7523,3058,7525,3046,7526,3045,7527,3043,7527,3042,7531,3036,7535,3031,7541,3029,7547,3031,7550,3032,7554,3034,7557,3036,7558,3039,7561,3045,7562,3046,7562,3046,7562,3047,7568,3068,7575,3093,7581,3113,7587,3128,7593,3143,7599,3153,7594,3148,7600,3152,7586,3152,7589,3150,7584,3156,7587,3150,7593,3132,7599,3114,7600,3114,7600,3112,7601,3111,7605,3106,7608,3102,7613,3100,7618,3101,7621,3102,7625,3102,7628,3105,7630,3108,7633,3113,7634,3114,7635,3115,7635,3116,7638,3126,7645,3153,7651,3184,7657,3212,7659,3220,7655,3227,7647,3229,7640,3231,7632,3226,7630,3218,7624,3189,7618,3159,7612,3134,7609,3125,7610,3128,7607,3123,7616,3129,7613,3128,7627,3123,7623,3128,7625,3124,7619,3141,7612,3161,7609,3167,7608,3169,7607,3172,7605,3173,7601,3175,7596,3179,7590,3179,7586,3176,7580,3172,7577,3171,7548,3101,7542,3076,7536,3055,7536,3057,7534,3052,7542,3059,7538,3057,7554,3052,7550,3057,7553,3053,7550,3065,7546,3079,7544,3097,7540,3114,7536,3131,7533,3141,7532,3143,7532,3145,7531,3146,7528,3150,7523,3155,7514,3156,7508,3151,7505,3148,7503,3147,7501,3144,7501,3142,7497,3133,7494,3119,7491,3105,7485,3072,7478,3043,7472,3016,7466,2987,7459,2965,7456,2958,7459,2962,7456,2958,7474,2959,7471,2962,7475,2957,7472,2965,7473,2963,7470,2974,7467,2986,7460,3014,7458,3024,7457,3025,7456,3027,7456,3028,7452,3034,7450,3038,7445,3040,7440,3040,7438,3040,7434,3040,7429,3038,7427,3034,7424,3030,7417,3018,7409,3007,7416,3012,7412,3011,7429,3006,7426,3009,7429,3004,7426,3014,7424,3030,7412,3105,7403,3213,7400,3291,7397,3393,7395,3450,7394,3510,7391,3635,7388,3757,7386,3814,7384,3868,7383,3917,7382,3961,7380,3997,7378,4026,7378,4027,7378,4027,7378,4029,7376,4035,7357,4047,7352,4044,7349,4040,7345,4034,7340,4026,7339,4025,7339,4025,7339,4024,7330,4000,7326,3976,7324,3954,7322,3924,7320,3892,7319,3854,7315,3772,7312,3684,7309,3595,7305,3513,7304,3476,7303,3443,7301,3415,7300,3393,7300,3396,7295,3380,7298,3384,7290,3375,7282,3366,7282,3366,7281,3365,7281,3364,7276,3356,7275,3355,7274,3353,7274,3351,7272,3332,7268,3306,7265,3278,7262,3247,7255,3185,7253,3157,7249,3133,7236,3053,7228,3018,7230,3022,7226,3017,7245,3020,7242,3022,7247,3016,7244,3024,7241,3037,7238,3053,7235,3071,7232,3087,7217,3114,7211,3114,7208,3114,7204,3114,7200,3113,7197,3109,7194,3105,7194,3104,7193,3103,7193,3102,7186,3085,7180,3067,7173,3052,7176,3055,7164,3040,7151,3027,7150,3027,7150,3026,7150,3025,7143,3015,7137,3004,7139,3007,7131,3000,7143,3004,7137,3004,7147,2998,7144,3002,7145,3001,7142,3008,7136,3034,7129,3059,7126,3069,7126,3070,7126,3071,7125,3072,7121,3077,7119,3081,7115,3083,7112,3083,7105,3084,7100,3084,7096,3083,7093,3079,7087,3071,7086,3071,7085,3070,7085,3069,7079,3060,7074,3052,7062,3038,7056,3032,7062,3035,7056,3034,7068,3031,7061,3036,7064,3032,7058,3041,7051,3053,7045,3061,7044,3062,7043,3063,7043,3063,7030,3074,7029,3075,7027,3076,7026,3077,7020,3079,7018,3080,7016,3080,7014,3080,7007,3079,7003,3079,7000,3077,6997,3074,6991,3065,6990,3064,6990,3063,6990,3062,6983,3049,6977,3036,6981,3041,6977,3038,6989,3041,6986,3041,6995,3036,6991,3041,6993,3036,6990,3045,6984,3068,6977,3093,6974,3104,6974,3104,6974,3105,6973,3106,6970,3114,6970,3114,6969,3114,6969,3115,6963,3123,6962,3124,6961,3126,6960,3127,6953,3132,6952,3133,6950,3134,6949,3134,6934,3138,6922,3141,6920,3141,6918,3141,6917,3141,6910,3140,6908,3139,6906,3138,6904,3137,6898,3132,6897,3130,6895,3128,6894,3128,6888,3114,6881,3097,6875,3081,6869,3069,6878,3075,6872,3074,6878,3074,6869,3075,6863,3076,6859,3077,6855,3075,6853,3073,6847,3069,6845,3067,6844,3065,6843,3063,6840,3054,6840,3053,6839,3053,6839,3052,6836,3039,6830,3008,6826,2992,6823,2979,6824,2981,6821,2971,6822,2974,6819,2970,6835,2975,6831,2976,6840,2969,6837,2975,6837,2974,6831,2993,6825,3020,6818,3048,6812,3078,6806,3112,6799,3147,6793,3175,6786,3198,6779,3218,6773,3231,6772,3232,6772,3233,6771,3234,6765,3242,6746,3248,6742,3247,6739,3244,6732,3239,6732,3239,6731,3238,6730,3237,6691,3156,6677,3118,6671,3102,6674,3106,6670,3102,6678,3106,6675,3106,6689,3101,6683,3109,6685,3105,6679,3124,6672,3150,6666,3181,6663,3203,6660,3231,6656,3264,6653,3298,6650,3330,6647,3360,6644,3386,6640,3404,6640,3407,6638,3409,6636,3411,6630,3416,6626,3420,6620,3421,6614,3418,6607,3413,6606,3413,6605,3412,6604,3411,6596,3403,6591,3396,6590,3395,6589,3394,6589,3393,6582,3378,6576,3360,6570,3343,6564,3330,6568,3335,6562,3331,6569,3333,6562,3333,6561,3333,6561,3333,6560,3333,6553,3331,6524,3270,6518,3242,6512,3218,6500,3173,6494,3155,6488,3140,6493,3147,6488,3144,6494,3146,6487,3146,6486,3146,6485,3146,6484,3146,6476,3144,6473,3143,6471,3141,6469,3140,6464,3134,6462,3132,6461,3130,6461,3128,6458,3114,6454,3097,6448,3054,6442,3010,6439,2993,6435,2978,6430,2957,6423,2935,6424,2937,6420,2930,6421,2933,6418,2928,6427,2933,6424,2933,6437,2927,6435,2931,6437,2927,6433,2937,6431,2957,6427,2980,6424,3007,6418,3061,6415,3086,6411,3105,6405,3122,6405,3123,6405,3124,6404,3124,6397,3138,6383,3157,6377,3164,6376,3164,6375,3165,6370,3169,6362,3176,6365,3173,6359,3183,6360,3181,6358,3190,6354,3203,6348,3235,6345,3250,6341,3264,6338,3274,6337,3275,6337,3277,6335,3278,6333,3281,6330,3284,6326,3286,6323,3286,6319,3287,6315,3285,6312,3282,6308,3278,6307,3277,6306,3275,6305,3273,6302,3262,6299,3247,6296,3231,6292,3215,6289,3203,6287,3195,6295,3203,6292,3202,6308,3195,6306,3200,6303,3208,6300,3224,6297,3241,6291,3284,6284,3331,6281,3360,6278,3399,6275,3442,6272,3485,6265,3554,6262,3569,6262,3573,6259,3576,6257,3578,6255,3579,6251,3582,6247,3582,6243,3580,6239,3579,6236,3576,6234,3572,6232,3568,6232,3566,6232,3566,6232,3565,6230,3554,6228,3535,6227,3513,6226,3485,6223,3454,6222,3419,6219,3346,6216,3270,6213,3199,6211,3166,6210,3138,6208,3115,6192,3081,6188,3078,6185,3076,6183,3074,6182,3071,6178,3063,6178,3063,6178,3062,6178,3061,6175,3049,6169,3024,6166,3013,6163,3006,6171,3014,6168,3012,6184,3005,6182,3012,6183,3009,6173,3093,6170,3134,6167,3173,6164,3209,6161,3234,6159,3241,6159,3243,6159,3244,6158,3245,6156,3249,6154,3255,6146,3258,6140,3256,6138,3255,6134,3254,6131,3251,6129,3247,6128,3242,6127,3241,6127,3240,6127,3239,6124,3221,6121,3194,6118,3161,6114,3127,6111,3094,6108,3067,6105,3047,6105,3049,6100,3035,6102,3038,6094,3027,6096,3030,6089,3024,6098,3027,6092,3027,6105,3020,6102,3026,6103,3023,6100,3033,6094,3061,6087,3091,6084,3102,6084,3104,6084,3104,6084,3105,6080,3113,6065,3125,6061,3125,6057,3124,6049,3122,6042,3119,6049,3119,6044,3120,6054,3114,6048,3124,6048,3122,6042,3136,6035,3152,6029,3163,6027,3167,6025,3168,6021,3169,6016,3171,6015,3172,6013,3172,6011,3172,6004,3172,6006,3172,5999,3173,6007,3168,6002,3175,6005,3170,6002,3185,5999,3206,5995,3231,5992,3260,5989,3287,5985,3312,5983,3334,5979,3348,5978,3352,5975,3356,5972,3357,5967,3360,5964,3361,5959,3361,5933,3342,5932,3341,5932,3339,5927,3327,5927,3326,5927,3325,5927,3324,5924,3299,5920,3263,5917,3222,5914,3178,5911,3135,5908,3095,5905,3063,5903,3051,5901,3042,5903,3045,5900,3041,5920,3046,5917,3048,5922,3043,5918,3048,5915,3056,5907,3074,5904,3081,5903,3083,5902,3085,5900,3087,5898,3088,5892,3092,5884,3092,5879,3087,5876,3083,5864,3052,5857,3034,5855,3027,5859,3032,5855,3030,5868,3032,5865,3033,5872,3027,5870,3032,5870,3030,5864,3045,5857,3060,5857,3061,5857,3061,5856,3063,5853,3067,5839,3075,5834,3074,5830,3071,5826,3068,5824,3067,5824,3065,5823,3063,5819,3055,5813,3036,5807,3018,5808,3022,5805,3017,5809,3021,5806,3019,5821,3018,5818,3021,5822,3015,5820,3020,5814,3038,5807,3061,5800,3078,5800,3079,5800,3080,5799,3080,5794,3090,5793,3090,5792,3091,5792,3092,5786,3098,5778,3107,5781,3104,5775,3118,5776,3116,5773,3128,5769,3144,5763,3181,5757,3217,5754,3232,5754,3232,5753,3233,5753,3234,5750,3244,5749,3246,5748,3249,5745,3250,5740,3254,5736,3257,5731,3258,5725,3256,5718,3252,5717,3252,5716,3252,5716,3250,5708,3244,5711,3246,5706,3244,5717,3244,5693,3267,5686,3287,5679,3301,5679,3303,5678,3305,5676,3306,5673,3309,5669,3313,5663,3313,5649,3305,5645,3299,5645,3298,5644,3297,5644,3295,5641,3285,5635,3257,5628,3224,5625,3213,5625,3179,5632,3177,5639,3176,5646,3181,5648,3189e" filled="false" stroked="true" strokeweight=".464072pt" strokecolor="#497dba">
              <v:path arrowok="t"/>
            </v:shape>
            <v:shape style="position:absolute;left:5142;top:2490;width:2655;height:1782" coordorigin="5142,2490" coordsize="2655,1782" path="m7794,2490l5144,2490,5142,2492,5142,4269,5144,4271,7794,4271,7796,4269,7796,4266,5151,4266,5146,4262,5151,4262,5151,2499,5146,2499,5151,2494,7796,2494,7796,2492,7794,2490xm5151,4262l5146,4262,5151,4266,5151,4262xm7787,4262l5151,4262,5151,4266,7787,4266,7787,4262xm7787,2494l7787,4266,7791,4262,7796,4262,7796,2499,7791,2499,7787,2494xm7796,4262l7791,4262,7787,4266,7796,4266,7796,4262xm5151,2494l5146,2499,5151,2499,5151,2494xm7787,2494l5151,2494,5151,2499,7787,2499,7787,2494xm7796,2494l7787,2494,7791,2499,7796,2499,7796,2494xe" filled="true" fillcolor="#858585" stroked="false">
              <v:path arrowok="t"/>
              <v:fill type="solid"/>
            </v:shape>
            <v:shape style="position:absolute;left:4453;top:5639;width:4325;height:2872" coordorigin="4453,5639" coordsize="4325,2872" path="m5142,2494l5142,2492,5144,2490,5146,2490,7791,2490,7794,2490,7796,2492,7796,2494,7796,4266,7796,4269,7794,4271,7791,4271,5146,4271,5144,4271,5142,4269,5142,4266,5142,2494xm5151,4266l5146,4262,7791,4262,7787,4266,7787,2494,7791,2499,5146,2499,5151,2494,5151,4266xe" filled="false" stroked="true" strokeweight=".086384pt" strokecolor="#858585">
              <v:path arrowok="t"/>
            </v:shape>
            <v:line style="position:absolute" from="8252,2606" to="8252,3744" stroked="true" strokeweight=".460272pt" strokecolor="#858585"/>
            <v:shape style="position:absolute;left:8215;top:2793;width:37;height:915" coordorigin="8215,2793" coordsize="37,915" path="m8215,3707l8252,3707m8215,3520l8252,3520m8215,3343l8252,3343m8215,3157l8252,3157m8215,2970l8252,2970m8215,2793l8252,2793e" filled="false" stroked="true" strokeweight=".465271pt" strokecolor="#858585">
              <v:path arrowok="t"/>
            </v:shape>
            <v:line style="position:absolute" from="8215,2606" to="8252,2606" stroked="true" strokeweight=".477678pt" strokecolor="#858585"/>
            <v:line style="position:absolute" from="8252,3707" to="10325,3707" stroked="true" strokeweight=".465271pt" strokecolor="#858585"/>
            <v:shape style="position:absolute;left:8441;top:3726;width:1733;height:2" coordorigin="8441,3726" coordsize="1733,0" path="m8441,3726l8450,3726m8634,3726l8644,3726m8818,3726l8828,3726m9012,3726l9021,3726m9206,3726l9215,3726m9399,3726l9409,3726m9593,3726l9602,3726m9777,3726l9786,3726m9971,3726l9980,3726m10164,3726l10173,3726e" filled="false" stroked="true" strokeweight="1.861082pt" strokecolor="#858585">
              <v:path arrowok="t"/>
            </v:shape>
            <v:shape style="position:absolute;left:8252;top:2686;width:2081;height:1030" coordorigin="8252,2686" coordsize="2081,1030" path="m8956,3601l8944,3601,8943,3602,8938,3612,8933,3626,8934,3634,8938,3653,8941,3672,8944,3689,8947,3700,8948,3703,8949,3705,8952,3710,8956,3716,8968,3716,8975,3714,8978,3711,8980,3709,8983,3703,8985,3696,8955,3696,8958,3690,8961,3682,8964,3670,8966,3658,8965,3648,8961,3629,8958,3611,8956,3601xm8966,3658l8964,3670,8961,3682,8958,3690,8955,3696,8961,3691,8960,3690,8963,3689,8973,3689,8971,3683,8968,3668,8966,3658xm8961,3691l8955,3696,8976,3696,8961,3691xm8973,3689l8963,3689,8961,3691,8976,3696,8975,3694,8974,3694,8972,3690,8973,3690,8973,3689xm9109,3284l9083,3313,9057,3349,9043,3368,9036,3379,9036,3380,9035,3380,9029,3396,9029,3397,9028,3399,9022,3426,9009,3494,9002,3525,8996,3550,8990,3574,8977,3618,8970,3643,8966,3658,8968,3668,8971,3683,8974,3692,8976,3696,8985,3696,8987,3691,8991,3679,8997,3650,9004,3624,9016,3582,9023,3557,9029,3531,9036,3499,9043,3464,9049,3431,9055,3407,9055,3407,9055,3405,9056,3405,9060,3394,9060,3394,9061,3391,9062,3391,9067,3382,9080,3366,9105,3330,9130,3301,9131,3301,9131,3299,9132,3298,9138,3287,9140,3284,9108,3284,9109,3284xm8972,3690l8974,3694,8974,3692,8972,3690xm8974,3692l8974,3694,8975,3694,8974,3692xm8973,3690l8972,3690,8974,3692,8973,3690xm8963,3689l8960,3690,8961,3691,8963,3689xm8847,3510l8850,3519,8853,3531,8860,3561,8866,3591,8869,3603,8873,3615,8873,3617,8874,3618,8875,3619,8888,3637,8889,3638,8891,3639,8892,3641,8899,3644,8900,3646,8904,3646,8911,3647,8915,3647,8918,3646,8921,3643,8925,3641,8926,3639,8927,3638,8928,3636,8931,3629,8933,3626,8933,3624,8903,3624,8904,3622,8903,3622,8905,3621,8906,3618,8907,3616,8906,3616,8907,3616,8907,3616,8900,3606,8899,3606,8897,3602,8897,3602,8896,3597,8893,3586,8887,3555,8876,3512,8848,3512,8847,3510xm8929,3603l8928,3603,8931,3617,8933,3626,8938,3612,8942,3605,8932,3605,8929,3603xm8905,3621l8905,3622,8903,3624,8905,3621xm8911,3620l8905,3621,8903,3624,8933,3624,8932,3621,8913,3621,8911,3620xm8405,3546l8411,3562,8418,3581,8425,3600,8432,3612,8433,3615,8434,3617,8437,3618,8443,3622,8445,3623,8452,3623,8459,3622,8462,3622,8464,3621,8471,3616,8472,3615,8474,3613,8475,3612,8481,3603,8482,3603,8483,3602,8484,3600,8456,3600,8454,3597,8448,3596,8451,3595,8452,3595,8452,3595,8451,3593,8453,3593,8451,3590,8443,3572,8437,3551,8436,3548,8406,3548,8405,3546xm8905,3621l8903,3622,8905,3622,8905,3621xm8905,3622l8903,3622,8904,3622,8905,3622xm8907,3619l8905,3621,8905,3622,8905,3621,8907,3619xm8910,3619l8907,3619,8905,3621,8911,3620,8910,3619xm8907,3616l8906,3618,8905,3621,8907,3619,8910,3619,8910,3619,8907,3618,8909,3618,8907,3616xm8912,3620l8911,3620,8913,3621,8912,3620xm8936,3575l8929,3576,8925,3581,8922,3583,8921,3585,8920,3586,8919,3587,8912,3602,8907,3616,8909,3618,8910,3619,8914,3619,8912,3620,8913,3621,8932,3621,8931,3617,8929,3606,8929,3606,8925,3598,8955,3598,8955,3597,8954,3596,8954,3594,8951,3587,8950,3583,8947,3582,8944,3580,8941,3579,8936,3575xm8910,3619l8910,3619,8911,3620,8912,3620,8910,3619,8910,3619xm8910,3619l8912,3620,8914,3619,8910,3619xm8910,3619l8910,3619,8910,3619,8910,3619xm8909,3619l8910,3619,8910,3619,8909,3619xm8907,3618l8910,3619,8909,3619,8907,3618xm8909,3618l8910,3619,8910,3619,8909,3618xm8907,3616l8907,3616,8909,3619,8910,3619,8909,3618,8907,3616xm8909,3618l8907,3618,8909,3619,8909,3618xm8907,3616l8907,3616,8909,3618,8907,3616xm8906,3616l8907,3616,8907,3616,8906,3616xm8907,3616l8906,3616,8907,3616,8907,3616xm8897,3602l8899,3606,8898,3603,8897,3602xm8898,3603l8899,3606,8900,3606,8898,3603xm8925,3598l8929,3606,8928,3603,8929,3603,8930,3603,8925,3598xm8928,3603l8929,3606,8929,3606,8928,3603xm8930,3603l8929,3603,8932,3605,8930,3603xm8943,3601l8930,3603,8932,3605,8942,3605,8943,3603,8941,3603,8943,3601xm8944,3601l8943,3601,8941,3603,8943,3602,8944,3601xm8943,3602l8941,3603,8943,3603,8943,3602xm8955,3598l8925,3598,8930,3603,8943,3601,8944,3600,8956,3600,8955,3598xm8897,3602l8897,3602,8898,3603,8897,3602xm8944,3601l8944,3601,8943,3602,8944,3601xm8944,3600l8943,3601,8944,3601,8944,3600xm8956,3600l8944,3600,8944,3601,8944,3601,8956,3601,8956,3600xm8454,3597l8456,3600,8454,3597,8454,3597xm8454,3597l8456,3600,8484,3600,8485,3597,8457,3597,8454,3597xm8454,3595l8454,3595,8454,3597,8457,3597,8454,3595xm8486,3595l8455,3595,8454,3595,8454,3595,8457,3597,8485,3597,8486,3595xm8454,3595l8453,3596,8453,3596,8454,3597,8454,3597,8454,3595xm8451,3595l8448,3596,8454,3597,8453,3596,8450,3596,8451,3595xm8452,3595l8451,3595,8450,3596,8452,3595,8452,3595xm8452,3595l8450,3596,8453,3596,8452,3595xm8453,3595l8452,3595,8453,3596,8453,3596,8453,3595,8453,3595xm8453,3595l8453,3596,8454,3595,8453,3595xm8454,3595l8454,3595,8454,3595,8454,3595xm8452,3595l8451,3595,8452,3595,8452,3595xm8453,3595l8452,3595,8452,3595,8453,3595,8453,3595xm8454,3595l8453,3595,8453,3595,8454,3595,8454,3595xm8454,3595l8454,3595,8454,3595,8454,3595,8454,3595xm8453,3594l8452,3595,8452,3595,8453,3595,8453,3595,8453,3594xm8453,3595l8453,3595,8453,3595,8453,3595xm8454,3595l8454,3595,8454,3595,8454,3595,8454,3595,8454,3595xm8454,3595l8454,3595,8454,3595,8454,3595,8454,3595xm8455,3593l8453,3594,8453,3595,8453,3595,8454,3595,8455,3593xm8455,3595l8454,3595,8454,3595,8455,3595xm8457,3592l8455,3593,8454,3595,8454,3595,8457,3592xm8486,3592l8457,3592,8454,3595,8455,3595,8486,3595,8486,3593,8486,3592xm8453,3594l8453,3594,8453,3595,8453,3594xm8451,3593l8452,3595,8453,3594,8451,3593xm8453,3593l8451,3593,8453,3594,8453,3594,8453,3593xm8457,3590l8455,3593,8457,3592,8487,3592,8487,3591,8457,3591,8457,3590xm8459,3588l8457,3590,8457,3591,8459,3588xm8488,3588l8459,3588,8457,3591,8487,3591,8488,3588xm8490,3582l8460,3582,8457,3590,8459,3588,8488,3588,8490,3582xm8500,3488l8495,3489,8491,3492,8486,3495,8485,3497,8483,3499,8480,3505,8480,3507,8479,3507,8479,3508,8475,3521,8469,3545,8462,3574,8460,3583,8460,3582,8490,3582,8490,3581,8497,3552,8502,3529,8497,3520,8491,3514,8507,3514,8508,3513,8524,3513,8521,3507,8521,3505,8520,3504,8513,3495,8509,3493,8507,3492,8500,3488xm8505,3516l8505,3516,8503,3525,8502,3529,8503,3531,8504,3533,8504,3533,8505,3534,8512,3541,8513,3543,8516,3545,8518,3545,8531,3549,8537,3549,8539,3548,8552,3544,8554,3544,8555,3543,8557,3541,8564,3535,8574,3521,8531,3521,8531,3521,8528,3519,8505,3519,8505,3516xm8405,3545l8405,3546,8406,3548,8405,3545xm8435,3545l8405,3545,8406,3548,8436,3548,8435,3545xm8368,3497l8381,3512,8394,3528,8405,3546,8405,3545,8435,3545,8430,3535,8430,3534,8429,3533,8415,3510,8405,3498,8370,3498,8368,3497xm8646,3518l8598,3518,8605,3523,8614,3529,8618,3529,8625,3530,8630,3530,8632,3529,8639,3525,8640,3524,8641,3524,8642,3523,8646,3518xm8497,3520l8502,3529,8503,3525,8504,3521,8498,3521,8497,3520xm8497,3519l8497,3520,8498,3521,8497,3519xm8504,3519l8497,3519,8498,3521,8504,3521,8504,3519xm8531,3521l8531,3521,8532,3521,8531,3521xm8532,3521l8531,3521,8532,3521,8532,3521xm8535,3520l8532,3521,8532,3521,8539,3521,8535,3520xm8540,3519l8535,3520,8539,3521,8574,3521,8575,3520,8538,3520,8540,3519xm8525,3518l8531,3521,8532,3521,8529,3519,8525,3518xm8529,3519l8532,3521,8535,3520,8529,3519xm8543,3518l8540,3519,8538,3520,8543,3518xm8578,3516l8577,3518,8543,3518,8538,3520,8575,3520,8578,3516xm8491,3514l8497,3520,8497,3519,8504,3519,8505,3518,8497,3518,8494,3516,8495,3516,8491,3514xm8507,3515l8505,3516,8505,3519,8507,3515xm8525,3515l8507,3515,8507,3515,8505,3519,8528,3519,8525,3518,8527,3518,8525,3515xm8595,3516l8600,3519,8598,3518,8646,3518,8648,3516,8597,3516,8595,3516xm8526,3516l8527,3518,8525,3518,8529,3519,8526,3516xm8588,3485l8586,3485,8584,3487,8571,3488,8569,3489,8566,3490,8564,3492,8558,3498,8556,3499,8556,3499,8550,3508,8544,3515,8540,3519,8543,3518,8577,3518,8580,3515,8576,3515,8583,3513,8651,3513,8658,3504,8619,3504,8623,3502,8622,3502,8621,3502,8623,3502,8621,3500,8615,3495,8614,3495,8613,3494,8607,3490,8605,3489,8603,3489,8590,3487,8588,3485xm8295,3412l8291,3412,8288,3414,8281,3417,8279,3418,8277,3421,8269,3437,8261,3457,8255,3478,8252,3489,8252,3514,8257,3515,8264,3518,8272,3515,8274,3507,8281,3487,8288,3464,8294,3447,8296,3444,8295,3442,8294,3442,8295,3442,8294,3441,8290,3440,8292,3439,8291,3438,8299,3438,8300,3437,8326,3437,8326,3436,8326,3435,8324,3433,8317,3425,8311,3418,8309,3417,8308,3416,8305,3416,8295,3412xm8495,3516l8494,3516,8497,3518,8495,3516xm8505,3515l8495,3516,8497,3518,8505,3518,8505,3516,8504,3516,8505,3515xm8525,3515l8527,3518,8526,3516,8525,3515xm8505,3515l8505,3515,8504,3516,8505,3516,8505,3515xm8505,3516l8504,3516,8505,3516,8505,3516xm8594,3515l8595,3516,8597,3516,8594,3515xm8649,3515l8594,3515,8597,3516,8648,3516,8649,3515xm8507,3514l8491,3514,8495,3516,8505,3515,8507,3514xm8650,3514l8589,3514,8586,3514,8595,3516,8594,3515,8649,3515,8650,3514xm8526,3515l8525,3515,8526,3516,8526,3515xm8505,3515l8505,3516,8505,3516,8505,3515xm8507,3515l8505,3515,8505,3516,8507,3515,8507,3515xm8508,3513l8505,3515,8505,3515,8505,3515,8507,3515,8508,3513xm8507,3515l8505,3515,8505,3515,8507,3515,8507,3515xm8507,3515l8507,3515,8507,3515,8507,3515xm8524,3513l8508,3513,8507,3515,8507,3515,8526,3515,8524,3513xm8583,3513l8576,3515,8580,3515,8583,3513xm8580,3515l8576,3515,8580,3515,8580,3515xm8651,3513l8583,3513,8580,3515,8586,3514,8584,3514,8650,3514,8651,3513xm8589,3514l8584,3514,8586,3514,8589,3514xm8847,3509l8847,3510,8848,3512,8847,3509xm8876,3509l8847,3509,8848,3512,8876,3512,8876,3510,8876,3509xm8837,3491l8847,3510,8847,3509,8876,3509,8873,3500,8873,3499,8872,3497,8869,3493,8839,3493,8837,3491xm8333,3449l8302,3449,8308,3461,8316,3477,8321,3488,8322,3488,8322,3489,8323,3490,8329,3498,8331,3502,8335,3504,8349,3504,8351,3503,8354,3502,8361,3497,8362,3497,8362,3495,8364,3494,8363,3493,8363,3493,8363,3493,8359,3490,8367,3490,8369,3489,8398,3489,8392,3482,8350,3482,8344,3478,8338,3478,8341,3476,8340,3476,8342,3476,8344,3474,8344,3473,8344,3473,8345,3473,8340,3462,8333,3449xm8623,3502l8619,3504,8625,3503,8624,3503,8622,3503,8623,3502,8623,3502xm8625,3503l8619,3504,8627,3504,8625,3503xm8625,3503l8625,3503,8627,3504,8625,3503xm8661,3500l8626,3500,8624,3502,8624,3502,8627,3503,8625,3503,8627,3504,8658,3504,8661,3500xm8623,3502l8623,3502,8625,3503,8625,3503,8624,3502,8623,3502xm8624,3502l8625,3503,8627,3503,8624,3502xm8623,3502l8622,3503,8623,3502,8623,3502xm8623,3502l8622,3503,8624,3503,8623,3502xm8623,3502l8623,3502,8623,3502,8623,3502,8623,3502,8623,3502xm8623,3502l8623,3502,8623,3502,8623,3502xm8621,3502l8623,3502,8623,3502,8623,3502,8621,3502xm8624,3502l8623,3502,8624,3502,8624,3502xm8623,3502l8623,3502,8623,3502,8623,3502xm8623,3502l8623,3502,8623,3502,8624,3502,8623,3502xm8623,3502l8623,3502,8623,3502,8623,3502,8623,3502xm8623,3502l8621,3502,8623,3502,8623,3502xm8626,3500l8623,3502,8624,3502,8626,3500xm8679,3443l8673,3443,8669,3447,8663,3451,8663,3452,8661,3453,8661,3454,8654,3462,8641,3481,8629,3495,8623,3502,8623,3502,8626,3500,8661,3500,8663,3498,8676,3478,8678,3476,8675,3472,8672,3471,8674,3470,8673,3469,8691,3469,8697,3458,8698,3456,8695,3452,8694,3451,8692,3448,8690,3448,8683,3446,8679,3443xm8754,3394l8749,3399,8749,3400,8756,3421,8762,3443,8769,3462,8769,3463,8770,3465,8770,3466,8783,3487,8785,3487,8786,3489,8787,3489,8800,3498,8804,3500,8808,3502,8812,3500,8818,3499,8820,3498,8822,3497,8823,3497,8830,3490,8833,3488,8826,3483,8863,3483,8859,3476,8816,3476,8810,3474,8805,3474,8806,3473,8804,3473,8807,3472,8809,3471,8809,3471,8807,3471,8803,3467,8805,3467,8796,3453,8795,3453,8789,3436,8778,3397,8751,3397,8754,3394xm8398,3489l8369,3489,8366,3491,8369,3492,8365,3492,8365,3493,8370,3498,8405,3498,8402,3494,8398,3489xm8364,3493l8364,3494,8365,3494,8364,3493xm8364,3493l8363,3493,8364,3494,8364,3493,8364,3493xm8364,3493l8364,3493,8364,3493,8365,3493,8364,3493xm8365,3492l8364,3493,8365,3493,8365,3492xm8363,3493l8363,3493,8363,3493,8363,3493xm8835,3489l8837,3491,8837,3491,8839,3493,8835,3489xm8867,3489l8835,3489,8839,3493,8869,3493,8867,3489xm9237,3361l9240,3373,9243,3389,9250,3427,9253,3446,9259,3474,9260,3477,9260,3477,9261,3479,9264,3484,9269,3490,9278,3493,9284,3488,9287,3485,9290,3484,9292,3482,9293,3478,9296,3469,9267,3469,9268,3465,9268,3464,9268,3464,9270,3461,9273,3448,9276,3433,9278,3425,9277,3422,9270,3382,9267,3365,9267,3364,9238,3364,9237,3361xm8364,3492l8363,3493,8364,3493,8364,3492xm8359,3490l8363,3493,8364,3492,8363,3492,8365,3492,8366,3491,8359,3490xm8364,3492l8364,3492,8364,3493,8364,3493,8364,3492xm8366,3491l8364,3492,8364,3493,8365,3492,8366,3491,8366,3491xm8363,3492l8364,3492,8364,3492,8363,3492xm8366,3491l8365,3492,8369,3492,8366,3491xm8365,3492l8363,3492,8364,3492,8365,3492xm8682,3471l8678,3476,8687,3487,8688,3487,8690,3488,8692,3489,8695,3490,8699,3492,8703,3492,8706,3490,8710,3488,8713,3487,8714,3485,8716,3483,8721,3474,8680,3474,8682,3471xm8369,3489l8366,3491,8366,3491,8369,3489xm8864,3484l8837,3484,8836,3485,8837,3485,8835,3486,8833,3488,8837,3491,8835,3489,8867,3489,8864,3484xm8367,3490l8359,3490,8366,3491,8367,3490xm8826,3483l8833,3488,8834,3487,8831,3487,8835,3485,8826,3483xm8835,3485l8831,3487,8835,3486,8836,3485,8835,3485xm8835,3486l8831,3487,8834,3487,8835,3486xm8836,3485l8835,3486,8837,3485,8836,3485xm8837,3484l8835,3485,8836,3485,8837,3484xm8863,3483l8826,3483,8835,3485,8837,3484,8864,3484,8863,3483xm8345,3475l8346,3476,8342,3477,8350,3482,8345,3475xm8369,3463l8365,3463,8362,3464,8355,3466,8353,3467,8351,3467,8350,3469,8345,3474,8345,3474,8345,3475,8350,3482,8392,3482,8389,3478,8389,3477,8388,3477,8381,3471,8380,3469,8379,3469,8378,3468,8372,3466,8369,3463xm8341,3476l8338,3478,8342,3477,8341,3476xm8342,3477l8338,3478,8344,3478,8342,3477xm8344,3474l8341,3476,8342,3477,8346,3476,8343,3476,8344,3474,8345,3474,8344,3474xm8342,3476l8340,3476,8341,3476,8342,3476xm8675,3472l8678,3476,8680,3473,8679,3473,8675,3472xm8345,3474l8343,3476,8345,3474,8345,3474,8345,3474xm8345,3474l8343,3476,8346,3476,8345,3474xm8345,3474l8345,3474,8346,3476,8345,3475,8345,3474xm8810,3472l8807,3474,8816,3476,8810,3472xm8857,3472l8810,3472,8810,3472,8816,3476,8859,3476,8857,3472xm8345,3474l8345,3474,8345,3475,8345,3474xm8685,3471l8682,3471,8680,3474,8685,3471xm8722,3469l8686,3469,8680,3474,8721,3474,8722,3471,8722,3469xm8806,3473l8805,3474,8807,3474,8806,3473xm8807,3474l8805,3474,8810,3474,8807,3474xm8345,3474l8345,3474,8345,3474,8345,3474,8345,3474xm8345,3474l8345,3474,8345,3474,8345,3474xm8344,3474l8344,3474,8345,3474,8345,3474,8344,3474xm8345,3473l8344,3473,8344,3474,8345,3474,8345,3474,8345,3473xm8810,3472l8807,3472,8806,3473,8807,3474,8810,3472,8810,3472xm8344,3473l8344,3474,8344,3473,8344,3473xm8345,3473l8344,3473,8344,3474,8345,3473,8345,3473xm8345,3473l8345,3473,8345,3474,8345,3473xm8807,3472l8804,3473,8806,3473,8807,3472xm8675,3470l8674,3470,8675,3472,8679,3473,8675,3470xm8686,3469l8675,3470,8679,3473,8680,3473,8682,3471,8685,3471,8686,3469xm8809,3471l8807,3472,8810,3472,8810,3472,8809,3471xm8834,3457l8830,3458,8824,3459,8822,3461,8820,3462,8818,3463,8812,3468,8809,3471,8810,3472,8810,3472,8856,3472,8842,3461,8839,3458,8834,3457xm8674,3470l8672,3471,8675,3472,8674,3470xm8803,3467l8807,3471,8806,3469,8803,3467xm8806,3469l8807,3471,8809,3471,8806,3469xm8673,3469l8674,3470,8675,3470,8673,3469xm8686,3469l8673,3469,8675,3470,8686,3469xm8699,3457l8698,3457,8691,3469,8695,3466,8694,3466,8698,3463,8704,3463,8701,3461,8699,3457xm8704,3465l8695,3466,8691,3469,8723,3469,8723,3468,8723,3467,8707,3467,8704,3465xm9268,3464l9267,3469,9270,3465,9268,3464xm9270,3465l9267,3469,9296,3469,9296,3468,9286,3468,9286,3468,9270,3465xm8805,3467l8803,3467,8806,3469,8805,3467xm9286,3468l9286,3468,9287,3468,9286,3468xm9286,3466l9286,3468,9287,3468,9286,3466xm9317,3357l9311,3358,9304,3360,9301,3361,9300,3361,9298,3364,9292,3370,9291,3371,9290,3373,9289,3375,9285,3386,9282,3400,9278,3425,9280,3441,9283,3457,9286,3466,9287,3468,9296,3468,9300,3457,9303,3438,9309,3406,9312,3392,9313,3390,9312,3390,9314,3386,9312,3386,9315,3385,9315,3384,9316,3384,9318,3382,9328,3382,9330,3381,9336,3378,9338,3376,9339,3374,9340,3373,9347,3360,9347,3359,9315,3359,9316,3357,9317,3357xm9284,3463l9286,3468,9286,3468,9286,3466,9284,3463xm9285,3462l9272,3462,9270,3465,9286,3468,9284,3463,9285,3463,9285,3462xm8705,3464l8704,3465,8707,3467,8705,3464xm8750,3365l8745,3366,8741,3369,8734,3374,8733,3375,8733,3376,8732,3378,8724,3389,8717,3401,8710,3418,8704,3439,8698,3456,8701,3461,8705,3464,8705,3464,8705,3464,8705,3465,8707,3467,8723,3467,8730,3448,8736,3427,8743,3411,8748,3401,8749,3399,8748,3396,8748,3396,8747,3394,8745,3394,8746,3393,8744,3390,8775,3390,8772,3382,8772,3381,8772,3381,8771,3380,8767,3375,8766,3373,8763,3371,8761,3370,8755,3368,8750,3365xm9285,3463l9284,3463,9286,3466,9285,3463xm8698,3463l8694,3466,8695,3466,8698,3463xm8695,3466l8694,3466,8695,3466,8695,3466xm8702,3463l8698,3463,8695,3466,8704,3465,8702,3463xm9272,3462l9268,3464,9268,3464,9270,3465,9272,3462xm8702,3463l8704,3465,8705,3464,8705,3464,8702,3463xm8705,3464l8705,3464,8705,3464,8705,3464xm9278,3425l9276,3433,9273,3448,9270,3461,9268,3464,9272,3462,9285,3462,9283,3457,9280,3441,9278,3425xm8704,3463l8702,3463,8705,3464,8704,3463xm8698,3456l8697,3458,8698,3457,8699,3457,8698,3456xm8794,3449l8795,3453,8796,3453,8794,3449xm8327,3438l8301,3438,8299,3439,8296,3444,8297,3445,8303,3452,8302,3449,8333,3449,8332,3447,8327,3438xm8295,3442l8295,3442,8296,3444,8297,3442,8297,3442,8295,3442xm8295,3442l8294,3442,8295,3442,8295,3442xm8295,3442l8294,3442,8295,3442,8295,3442xm8296,3441l8295,3442,8297,3442,8296,3441xm8299,3439l8296,3441,8297,3442,8297,3442,8299,3439xm8295,3441l8295,3442,8295,3442,8295,3442,8295,3441xm8294,3441l8295,3442,8295,3441,8294,3441xm8295,3441l8295,3441,8295,3442,8296,3441,8295,3441xm8292,3439l8292,3439,8294,3441,8295,3441,8295,3441,8292,3439xm8299,3438l8298,3439,8295,3441,8296,3441,8299,3439,8299,3438xm8298,3439l8292,3439,8295,3441,8298,3439xm8292,3439l8290,3440,8294,3441,8292,3439xm8301,3438l8299,3438,8299,3439,8301,3438xm8291,3438l8292,3439,8292,3439,8291,3438xm8299,3438l8291,3438,8292,3439,8298,3439,8299,3438xm8300,3437l8298,3439,8299,3438,8300,3437xm8326,3437l8300,3437,8299,3438,8301,3438,8327,3438,8326,3437xm9056,3405l9055,3405,9055,3407,9056,3405xm8747,3395l8749,3399,8752,3396,8751,3396,8747,3395xm8755,3394l8754,3394,8751,3397,8755,3394xm8776,3391l8758,3391,8751,3397,8778,3397,8776,3391xm8747,3394l8748,3396,8747,3395,8747,3394xm8747,3395l8748,3396,8748,3396,8747,3395,8747,3395xm8748,3393l8747,3393,8747,3395,8751,3396,8748,3393xm8758,3391l8748,3393,8751,3396,8752,3396,8754,3394,8755,3394,8758,3391xm8747,3393l8747,3393,8747,3395,8747,3395,8747,3393xm8747,3393l8746,3393,8747,3394,8747,3395,8747,3393xm8746,3393l8745,3394,8747,3394,8746,3393xm9061,3391l9060,3394,9061,3393,9061,3391xm9061,3393l9060,3394,9060,3394,9061,3393xm8744,3390l8746,3393,8747,3393,8747,3392,8747,3392,8744,3390xm8747,3392l8747,3393,8747,3393,8747,3392xm8747,3392l8747,3392,8747,3393,8748,3393,8747,3392xm8775,3390l8744,3390,8748,3393,8758,3391,8776,3391,8775,3390xm9062,3391l9061,3391,9061,3393,9062,3391xm9315,3385l9314,3386,9312,3390,9314,3388,9315,3385xm9314,3388l9312,3390,9313,3390,9314,3388xm9316,3385l9315,3385,9314,3388,9316,3385xm9315,3385l9312,3386,9314,3386,9315,3385xm9314,3386l9312,3386,9314,3386,9314,3386xm9315,3384l9315,3385,9314,3386,9315,3385,9315,3384xm9318,3382l9315,3384,9315,3385,9316,3385,9318,3382xm9328,3382l9318,3382,9316,3385,9320,3384,9327,3384,9328,3382xm9315,3384l9315,3385,9315,3384,9315,3384xm9316,3384l9315,3384,9315,3384,9316,3384xm9164,3266l9151,3266,9146,3275,9140,3284,9146,3308,9152,3338,9155,3350,9159,3360,9160,3361,9161,3363,9162,3364,9168,3370,9170,3373,9173,3374,9176,3374,9183,3375,9185,3376,9187,3376,9189,3375,9202,3371,9204,3371,9206,3370,9208,3368,9214,3361,9215,3361,9215,3360,9221,3350,9187,3350,9182,3348,9181,3348,9182,3348,9180,3347,9183,3347,9181,3344,9183,3344,9181,3342,9182,3342,9179,3332,9173,3302,9166,3273,9164,3266xm9227,3345l9238,3364,9267,3364,9263,3351,9263,3351,9262,3350,9260,3347,9228,3347,9227,3345xm9316,3357l9315,3359,9316,3358,9316,3357xm9316,3358l9315,3359,9316,3359,9316,3358xm9316,3358l9316,3358,9316,3359,9316,3358xm9348,3356l9320,3356,9316,3358,9316,3359,9347,3359,9348,3356xm9318,3357l9317,3357,9316,3357,9316,3358,9316,3358,9318,3357xm9320,3356l9318,3357,9316,3358,9320,3356xm9317,3357l9317,3357,9316,3357,9317,3357xm9363,3293l9357,3293,9350,3296,9347,3297,9344,3299,9342,3302,9336,3313,9335,3313,9335,3314,9335,3315,9328,3332,9322,3347,9317,3357,9317,3357,9320,3354,9349,3354,9355,3340,9360,3327,9359,3327,9361,3323,9361,3323,9358,3323,9359,3322,9354,3320,9360,3320,9366,3315,9399,3315,9405,3306,9370,3306,9374,3301,9373,3301,9374,3301,9375,3300,9373,3298,9363,3293xm9320,3354l9317,3357,9318,3357,9320,3354xm9349,3354l9320,3354,9318,3357,9320,3356,9348,3356,9349,3354xm9184,3347l9185,3349,9185,3349,9187,3350,9185,3347,9184,3347xm9185,3347l9187,3350,9221,3350,9222,3349,9223,3348,9187,3348,9185,3347xm9184,3347l9182,3348,9185,3349,9185,3349,9184,3347,9184,3347xm9184,3347l9185,3349,9184,3347,9184,3347xm9182,3348l9181,3348,9182,3348,9182,3348xm9191,3345l9184,3347,9185,3347,9187,3348,9188,3348,9191,3345xm9194,3344l9191,3345,9188,3348,9194,3344xm9225,3344l9194,3344,9188,3348,9223,3348,9226,3344,9225,3344xm9180,3347l9182,3348,9184,3347,9180,3347xm9184,3347l9184,3347,9184,3347,9185,3347,9184,3347xm9184,3347l9184,3347,9184,3347,9184,3347,9184,3347xm9183,3347l9180,3347,9184,3347,9183,3347,9183,3347xm9181,3344l9184,3347,9184,3347,9184,3346,9181,3344xm9184,3346l9184,3347,9184,3347,9184,3346xm9226,3344l9226,3344,9227,3345,9228,3347,9226,3344xm9256,3340l9231,3340,9227,3343,9226,3344,9226,3344,9228,3347,9260,3347,9256,3340xm9183,3344l9181,3344,9184,3346,9183,3344xm9226,3344l9226,3344,9227,3345,9226,3344xm9194,3342l9191,3345,9194,3344,9192,3344,9194,3342xm9226,3344l9225,3344,9225,3344,9226,3344,9226,3344,9226,3344xm9226,3344l9226,3344,9226,3344,9226,3344,9226,3344xm9194,3342l9194,3342,9192,3344,9194,3342xm9221,3342l9194,3342,9192,3344,9225,3344,9225,3344,9223,3342,9221,3342xm9225,3344l9225,3344,9225,3344,9225,3344xm9434,3293l9415,3293,9410,3297,9407,3302,9409,3304,9414,3313,9422,3323,9422,3324,9423,3325,9436,3338,9437,3339,9438,3339,9440,3340,9447,3343,9448,3344,9453,3344,9460,3343,9462,3343,9465,3342,9474,3333,9475,3332,9476,3332,9476,3330,9483,3319,9448,3319,9451,3317,9451,3317,9451,3317,9452,3315,9451,3314,9453,3314,9444,3307,9443,3307,9438,3299,9434,3293xm9227,3343l9226,3344,9226,3344,9226,3344,9227,3343xm9226,3344l9225,3344,9225,3344,9226,3344,9226,3344xm9223,3342l9225,3344,9226,3344,9226,3344,9225,3343,9226,3343,9223,3342xm9229,3341l9229,3341,9226,3344,9226,3344,9227,3343,9229,3341xm9225,3343l9226,3344,9226,3344,9225,3343xm9229,3341l9223,3341,9226,3343,9225,3343,9226,3344,9229,3341xm9231,3340l9229,3341,9227,3343,9231,3340xm9182,3342l9181,3342,9182,3343,9182,3342xm9223,3341l9223,3341,9223,3342,9226,3343,9223,3341xm9223,3341l9221,3342,9223,3342,9223,3341xm9225,3313l9220,3313,9211,3320,9209,3322,9208,3323,9207,3323,9199,3333,9194,3342,9194,3342,9221,3342,9223,3341,9221,3340,9256,3340,9249,3328,9248,3327,9247,3325,9246,3324,9239,3319,9237,3318,9235,3317,9234,3315,9228,3314,9225,3313xm9221,3340l9223,3341,9223,3341,9221,3340xm9229,3340l9221,3340,9223,3341,9229,3341,9229,3340xm9229,3340l9229,3341,9229,3341,9229,3340xm9231,3340l9229,3340,9229,3341,9231,3340xm9398,3315l9366,3315,9362,3321,9364,3322,9362,3322,9361,3323,9366,3327,9368,3328,9371,3329,9384,3329,9388,3328,9390,3324,9397,3318,9398,3317,9398,3315xm9361,3325l9359,3327,9360,3327,9361,3325xm9362,3322l9360,3322,9361,3323,9361,3323,9362,3322xm9359,3322l9358,3323,9360,3322,9359,3322xm9360,3322l9358,3323,9361,3323,9360,3322xm9360,3321l9359,3322,9360,3322,9362,3322,9362,3321,9360,3321xm9362,3321l9362,3322,9364,3322,9362,3321xm9354,3320l9359,3322,9360,3321,9354,3320xm9366,3315l9360,3321,9362,3321,9366,3315xm9360,3320l9354,3320,9360,3321,9360,3320xm9451,3317l9448,3319,9453,3317,9451,3317xm9453,3317l9448,3319,9483,3319,9484,3318,9457,3318,9453,3317xm9455,3316l9453,3317,9457,3318,9455,3317,9455,3317,9455,3316xm9485,3315l9457,3315,9455,3316,9455,3317,9457,3318,9484,3318,9485,3315xm9454,3316l9451,3317,9451,3317,9453,3317,9455,3316,9454,3316xm9451,3317l9451,3317,9451,3317,9451,3317xm9455,3316l9455,3316,9455,3317,9455,3317,9455,3316xm9455,3317l9455,3317,9455,3317,9455,3317xm9452,3315l9451,3317,9454,3316,9453,3315,9453,3315,9453,3315,9452,3315xm9455,3316l9455,3316,9455,3317,9455,3316xm9454,3316l9454,3316,9455,3316,9455,3316,9454,3316xm9454,3316l9454,3316,9455,3316,9455,3316,9454,3316xm9457,3315l9454,3316,9455,3316,9457,3315xm9453,3315l9453,3315,9454,3316,9454,3316,9453,3315xm9453,3315l9453,3315,9454,3316,9454,3316,9453,3315xm9487,3313l9455,3313,9453,3315,9454,3316,9457,3315,9485,3315,9487,3313xm9453,3315l9453,3315,9453,3315,9453,3315xm9453,3315l9453,3315,9453,3315,9453,3315,9453,3315xm9452,3315l9452,3315,9453,3315,9452,3315xm9453,3315l9452,3315,9453,3315,9453,3315,9453,3315xm9453,3314l9451,3314,9452,3315,9453,3315,9453,3314xm9455,3313l9454,3314,9453,3315,9453,3315,9455,3313xm9454,3314l9453,3315,9453,3315,9454,3314xm9521,3216l9516,3219,9509,3224,9508,3224,9507,3225,9506,3225,9500,3231,9499,3232,9499,3234,9498,3235,9486,3256,9472,3281,9460,3304,9454,3314,9455,3313,9487,3313,9497,3293,9509,3270,9520,3251,9520,3251,9522,3248,9522,3248,9526,3245,9528,3245,9531,3244,9537,3239,9538,3239,9539,3237,9540,3236,9547,3229,9548,3227,9548,3226,9549,3225,9552,3217,9520,3217,9521,3216xm9442,3304l9443,3307,9444,3307,9442,3304xm9374,3301l9370,3306,9378,3302,9374,3301xm9378,3302l9370,3306,9405,3306,9405,3304,9406,3303,9381,3303,9378,3302xm9379,3302l9378,3302,9381,3303,9379,3302xm9406,3301l9380,3301,9379,3302,9381,3303,9406,3303,9407,3302,9406,3301xm9403,3297l9407,3302,9409,3298,9405,3298,9403,3297xm9375,3300l9374,3301,9378,3302,9379,3302,9377,3301,9375,3301,9376,3300,9375,3300xm9409,3267l9403,3267,9392,3276,9390,3277,9390,3278,9388,3280,9382,3289,9376,3300,9379,3302,9380,3301,9406,3301,9403,3297,9399,3294,9415,3293,9434,3293,9431,3287,9423,3277,9422,3276,9420,3275,9414,3271,9409,3267xm9374,3301l9373,3301,9374,3301,9374,3301xm9376,3300l9375,3301,9377,3301,9376,3300xm9377,3298l9375,3300,9376,3300,9377,3298xm9401,3294l9403,3297,9405,3298,9401,3294xm9412,3294l9401,3294,9405,3298,9409,3298,9412,3294xm9412,3294l9409,3298,9410,3297,9412,3294xm9410,3297l9409,3298,9409,3298,9410,3297xm9415,3293l9399,3294,9403,3297,9401,3294,9413,3294,9415,3293xm9413,3294l9412,3294,9410,3297,9413,3294xm9109,3283l9109,3284,9108,3284,9109,3283xm9140,3283l9109,3283,9108,3284,9140,3284,9140,3284,9140,3283xm9137,3273l9140,3284,9146,3275,9147,3273,9137,3273,9137,3273xm9142,3242l9138,3245,9135,3245,9132,3246,9130,3248,9128,3251,9121,3261,9115,3273,9109,3284,9109,3283,9140,3283,9137,3273,9134,3266,9164,3266,9163,3262,9162,3261,9162,3261,9162,3260,9158,3253,9157,3251,9156,3250,9154,3247,9150,3245,9146,3244,9142,3242xm9136,3270l9137,3273,9137,3273,9136,3270xm9137,3270l9136,3270,9137,3273,9147,3273,9147,3272,9145,3272,9146,3271,9138,3271,9137,3270xm9134,3266l9137,3273,9136,3270,9137,3270,9135,3268,9136,3268,9134,3266xm9146,3271l9145,3272,9147,3271,9146,3271xm9151,3266l9146,3271,9147,3271,9145,3272,9147,3272,9151,3266xm9135,3268l9138,3271,9136,3269,9135,3268xm9136,3269l9138,3271,9146,3271,9146,3271,9136,3269xm9151,3266l9134,3266,9136,3269,9146,3271,9151,3266xm9136,3268l9135,3268,9136,3269,9136,3268xm9522,3248l9520,3251,9521,3250,9522,3248xm9521,3250l9520,3251,9520,3251,9521,3250xm9522,3248l9522,3248,9521,3250,9522,3248xm9528,3245l9526,3245,9524,3247,9528,3245xm9522,3215l9521,3216,9520,3217,9522,3215xm9553,3215l9522,3215,9520,3217,9552,3217,9553,3215xm9525,3211l9521,3216,9522,3215,9553,3215,9554,3214,9524,3214,9525,3211xm9526,3210l9525,3211,9524,3214,9526,3210xm9555,3210l9526,3210,9524,3214,9554,3214,9555,3210xm9570,3144l9558,3144,9554,3148,9551,3150,9544,3160,9544,3162,9544,3163,9543,3164,9537,3181,9531,3199,9525,3211,9526,3210,9555,3210,9563,3191,9566,3184,9564,3180,9559,3172,9559,3172,9556,3168,9572,3168,9574,3167,9580,3167,9581,3160,9582,3158,9581,3155,9579,3153,9578,3152,9575,3148,9573,3147,9570,3144xm9580,3167l9574,3167,9568,3177,9568,3177,9566,3184,9570,3191,9572,3194,9574,3196,9577,3198,9584,3200,9589,3200,9593,3196,9596,3195,9600,3191,9601,3189,9604,3181,9606,3179,9606,3178,9576,3178,9577,3174,9577,3174,9578,3174,9579,3171,9580,3167xm9558,3169l9564,3180,9566,3184,9569,3174,9570,3174,9570,3173,9562,3173,9564,3172,9558,3169xm9972,2710l9962,2710,9961,2714,9962,2714,9961,2714,9960,2717,9956,2730,9953,2745,9959,2773,9965,2814,9968,2849,9972,2900,9977,2975,9978,2997,9981,3049,9984,3096,9987,3133,9991,3160,9991,3163,9991,3164,9994,3170,9995,3175,10000,3179,10014,3179,10019,3177,10021,3173,10025,3168,10025,3168,10026,3167,10029,3160,10019,3160,10016,3158,9998,3158,10002,3152,10002,3152,10005,3146,10012,3124,10013,3120,10011,3093,10008,3046,10004,2983,9998,2887,9995,2845,9992,2811,9986,2768,9979,2732,9975,2719,9972,2710xm9579,3174l9577,3174,9576,3178,9579,3174xm9589,3173l9579,3174,9576,3178,9594,3178,9589,3173xm9590,3172l9587,3172,9590,3173,9589,3173,9594,3178,9590,3172xm9643,3071l9602,3071,9601,3072,9597,3085,9594,3100,9588,3131,9582,3157,9582,3158,9587,3168,9594,3178,9606,3178,9615,3137,9622,3105,9625,3091,9627,3085,9626,3085,9627,3082,9628,3082,9629,3081,9627,3081,9632,3076,9635,3076,9640,3072,9642,3072,9643,3071xm9569,3174l9568,3177,9568,3177,9569,3174xm9570,3174l9569,3174,9568,3177,9570,3174xm9578,3174l9577,3174,9577,3174,9578,3174xm9581,3172l9578,3174,9577,3174,9579,3174,9581,3172xm9579,3171l9578,3174,9579,3173,9578,3173,9579,3171xm9587,3172l9581,3172,9579,3174,9589,3173,9587,3172xm9587,3172l9589,3173,9590,3173,9587,3172xm9564,3172l9562,3173,9566,3173,9564,3172xm9574,3167l9564,3172,9566,3173,9570,3173,9574,3167xm9579,3169l9579,3171,9578,3173,9579,3169xm9588,3169l9579,3169,9578,3173,9579,3173,9581,3172,9590,3172,9588,3169xm9572,3168l9557,3168,9558,3169,9564,3172,9572,3168xm9556,3168l9559,3172,9557,3169,9556,3168xm9557,3169l9559,3172,9559,3172,9558,3169,9557,3169xm9582,3158l9581,3160,9579,3171,9579,3169,9588,3169,9587,3168,9582,3158xm9557,3168l9556,3168,9557,3169,9557,3168xm10017,3150l10010,3150,10008,3152,10019,3160,10018,3157,10018,3157,10017,3155,10017,3154,10017,3150xm10062,2936l10057,2937,10054,2941,10048,2945,10046,2946,10044,2948,10043,2952,10040,2966,10037,2983,10033,3004,10030,3028,10023,3072,10021,3091,10017,3106,10016,3114,10013,3120,10014,3132,10016,3147,10017,3155,10019,3160,10029,3160,10030,3158,10038,3133,10042,3123,10044,3113,10048,3098,10051,3077,10057,3031,10061,3008,10064,2987,10067,2969,10067,2968,10065,2967,10065,2967,10057,2964,10068,2962,10070,2959,10102,2959,10107,2952,10109,2949,10073,2949,10079,2944,10076,2942,10075,2942,10074,2941,10067,2938,10062,2936xm10002,3152l9998,3158,10004,3154,10001,3154,10002,3152xm10008,3152l9998,3158,10016,3158,10008,3152xm10017,3154l10018,3157,10017,3155,10017,3154xm10017,3155l10018,3157,10018,3157,10017,3155xm10017,3154l10017,3154,10017,3155,10017,3154xm10002,3152l10002,3152,10001,3154,10002,3152xm10013,3120l10012,3124,10005,3146,10001,3154,10004,3154,10008,3152,10006,3150,10017,3150,10016,3147,10014,3132,10013,3120xm10010,3150l10006,3150,10008,3152,10010,3150xm9627,3082l9626,3085,9627,3083,9627,3082xm9627,3083l9626,3085,9627,3085,9627,3083xm9628,3082l9627,3082,9627,3083,9628,3082xm9632,3076l9627,3081,9630,3079,9632,3076xm9630,3079l9627,3081,9629,3081,9630,3079xm9635,3076l9632,3076,9630,3079,9635,3076xm9627,3048l9620,3051,9613,3056,9611,3057,9609,3060,9608,3061,9602,3071,9644,3071,9651,3064,9652,3062,9653,3061,9658,3050,9625,3050,9627,3048xm9692,3012l9677,3012,9672,3018,9668,3026,9673,3036,9674,3039,9675,3040,9676,3041,9683,3048,9687,3051,9694,3051,9698,3050,9704,3046,9706,3046,9708,3045,9709,3044,9716,3036,9717,3035,9717,3034,9718,3034,9722,3026,9702,3026,9687,3024,9690,3023,9695,3017,9692,3012xm9628,3048l9627,3048,9625,3050,9628,3048,9628,3048xm9628,3048l9625,3050,9658,3050,9658,3049,9628,3049,9628,3048xm9629,3047l9629,3047,9628,3048,9628,3049,9629,3047xm9660,3045l9631,3045,9628,3049,9658,3049,9660,3045xm9629,3047l9627,3048,9628,3048,9628,3047,9629,3047xm9631,3045l9629,3047,9628,3048,9629,3047,9629,3047,9631,3045xm9663,2987l9659,2989,9656,2993,9649,3000,9649,3002,9648,3003,9647,3004,9640,3019,9634,3035,9629,3047,9631,3045,9660,3045,9667,3030,9668,3026,9668,3025,9662,3015,9662,3015,9659,3012,9692,3012,9691,3010,9684,2999,9683,2997,9680,2994,9678,2992,9675,2989,9671,2989,9668,2988,9663,2987xm9697,3022l9698,3024,9687,3024,9702,3026,9699,3024,9689,3024,9690,3023,9698,3023,9697,3022xm9746,2946l9740,2946,9735,2951,9729,2957,9728,2958,9727,2959,9726,2961,9719,2973,9713,2987,9707,2999,9695,3018,9695,3018,9697,3022,9702,3026,9722,3026,9730,3013,9737,3000,9744,2985,9746,2983,9740,2975,9737,2973,9754,2972,9771,2972,9770,2969,9763,2958,9761,2956,9760,2954,9758,2953,9752,2949,9746,2946xm9661,3013l9661,3013,9668,3025,9668,3026,9671,3019,9671,3019,9672,3016,9668,3016,9664,3015,9665,3015,9661,3013xm9771,2972l9754,2972,9751,2974,9746,2983,9746,2984,9752,2995,9759,3007,9760,3009,9763,3010,9765,3012,9778,3016,9779,3018,9782,3018,9795,3019,9792,3019,9805,3023,9806,3024,9814,3024,9817,3025,9820,3024,9821,3023,9828,3020,9830,3020,9832,3018,9833,3016,9839,3008,9845,2999,9812,2999,9813,2998,9811,2998,9814,2997,9801,2993,9800,2992,9789,2992,9785,2990,9782,2990,9776,2985,9778,2985,9776,2983,9771,2972xm9694,3021l9690,3023,9689,3024,9694,3021xm9696,3021l9694,3021,9689,3024,9698,3024,9696,3021xm9695,3020l9698,3024,9697,3022,9695,3020xm9695,3017l9690,3023,9694,3021,9696,3021,9695,3020,9696,3020,9696,3019,9694,3019,9695,3018,9695,3017xm9696,3020l9695,3020,9697,3022,9696,3020xm9673,3015l9671,3019,9672,3018,9673,3015xm9672,3018l9671,3019,9671,3019,9672,3018xm9695,3018l9694,3019,9695,3018,9695,3018xm9695,3018l9694,3019,9696,3019,9695,3018xm9696,3016l9695,3017,9695,3018,9696,3016xm9674,3015l9673,3015,9672,3018,9674,3015xm9665,3015l9664,3015,9668,3016,9665,3015xm9677,3012l9665,3015,9668,3016,9672,3016,9673,3015,9674,3015,9677,3012xm9659,3012l9662,3015,9661,3013,9661,3013,9659,3012xm9661,3013l9662,3015,9662,3015,9661,3013xm9677,3012l9659,3012,9665,3015,9677,3012xm9814,2997l9813,2997,9812,2999,9814,2997xm9847,2997l9817,2997,9814,2997,9812,2999,9845,2999,9847,2997xm9814,2997l9811,2998,9813,2997,9814,2997,9814,2997xm9813,2997l9811,2998,9813,2998,9813,2997xm9817,2995l9814,2997,9814,2997,9814,2997,9813,2997,9814,2997,9817,2995xm9847,2995l9817,2995,9814,2997,9817,2997,9847,2997,9847,2995xm9814,2997l9814,2997,9814,2997,9814,2997xm9949,2686l9943,2691,9940,2694,9938,2696,9937,2699,9936,2701,9933,2710,9929,2724,9926,2740,9919,2775,9916,2788,9914,2798,9908,2813,9902,2824,9895,2835,9887,2849,9876,2879,9862,2909,9850,2932,9836,2956,9824,2980,9818,2992,9814,2997,9817,2995,9847,2995,9861,2968,9874,2947,9887,2922,9900,2890,9914,2860,9919,2849,9925,2839,9933,2827,9939,2809,9943,2796,9946,2779,9953,2745,9952,2741,9949,2727,9945,2717,9943,2713,9942,2713,9943,2713,9942,2711,9961,2711,9962,2710,9972,2710,9971,2706,9967,2698,9967,2696,9957,2688,9949,2686xm9785,2990l9789,2992,9787,2991,9785,2990xm9787,2991l9789,2992,9798,2992,9787,2991xm9779,2987l9782,2990,9785,2990,9787,2991,9779,2987xm9776,2985l9782,2990,9779,2987,9776,2985xm9778,2985l9776,2985,9779,2987,9778,2985xm9740,2975l9746,2983,9749,2977,9744,2977,9740,2975xm9739,2973l9740,2975,9744,2977,9739,2973xm9752,2973l9739,2973,9744,2977,9748,2977,9751,2974,9751,2974,9752,2973xm9751,2974l9748,2977,9751,2974,9751,2974xm9751,2974l9748,2977,9749,2977,9751,2974xm9754,2972l9737,2973,9740,2975,9739,2973,9752,2973,9754,2972xm9751,2974l9751,2974,9751,2974,9751,2974xm10100,2962l10070,2962,10069,2963,10067,2968,10071,2971,10072,2972,10073,2972,10074,2973,10079,2974,10084,2974,10089,2973,10092,2969,10100,2962xm10069,2963l10065,2966,10063,2966,10067,2968,10069,2963xm10068,2962l10057,2964,10065,2967,10063,2966,10065,2966,10068,2962xm10063,2966l10065,2967,10065,2967,10063,2966xm10069,2962l10068,2962,10065,2966,10069,2963,10069,2962xm10070,2962l10069,2962,10069,2963,10070,2962xm10070,2959l10068,2962,10069,2962,10070,2959xm10102,2959l10070,2959,10069,2962,10070,2962,10100,2962,10102,2959xm10079,2944l10073,2949,10083,2947,10081,2946,10078,2946,10079,2944,10079,2944xm10083,2947l10073,2949,10109,2949,10110,2947,10084,2947,10083,2947xm10083,2947l10083,2947,10084,2947,10083,2947xm10111,2946l10086,2946,10083,2947,10084,2947,10110,2947,10111,2946xm10079,2944l10078,2946,10081,2946,10083,2947,10083,2947,10079,2944xm10138,2887l10134,2887,10130,2889,10123,2891,10122,2891,10120,2892,10119,2894,10112,2900,10097,2916,10090,2926,10084,2936,10079,2944,10083,2947,10086,2946,10111,2946,10114,2941,10120,2932,10132,2918,10133,2917,10133,2917,10133,2917,10133,2917,10133,2917,10128,2915,10204,2915,10205,2913,10168,2913,10168,2913,10162,2911,10165,2911,10158,2904,10151,2896,10150,2895,10149,2894,10147,2892,10141,2889,10138,2887xm10079,2944l10078,2946,10079,2944,10079,2944xm10079,2943l10079,2944,10079,2944,10079,2943xm10134,2917l10133,2917,10138,2922,10143,2930,10146,2932,10152,2936,10154,2937,10156,2938,10159,2938,10174,2941,10177,2941,10179,2940,10186,2937,10187,2936,10189,2936,10190,2935,10197,2928,10198,2926,10199,2925,10203,2917,10134,2917,10134,2917xm10134,2917l10133,2917,10133,2917,10133,2917,10134,2917,10134,2917xm10133,2917l10133,2917,10133,2917,10133,2917xm10134,2917l10134,2917,10134,2917,10134,2917xm10204,2915l10139,2915,10134,2917,10134,2917,10134,2917,10134,2917,10203,2917,10204,2915xm10133,2917l10133,2917,10133,2917,10134,2917,10133,2917xm10133,2917l10133,2917,10133,2917,10133,2917,10133,2917xm10134,2917l10134,2917,10134,2917,10134,2917xm10134,2917l10134,2917,10134,2917,10134,2917,10134,2917xm10134,2917l10134,2917,10134,2917,10134,2917xm10131,2915l10133,2917,10133,2917,10134,2917,10131,2915xm10137,2915l10134,2917,10134,2917,10134,2917,10137,2915xm10137,2915l10131,2915,10134,2917,10137,2915xm10139,2915l10137,2915,10134,2917,10139,2915xm10131,2915l10128,2915,10133,2917,10131,2915xm10168,2913l10168,2913,10169,2913,10168,2913xm10168,2913l10168,2913,10169,2913,10168,2913xm10171,2913l10168,2913,10169,2913,10171,2913,10172,2913,10171,2913xm10172,2913l10171,2913,10172,2913,10172,2913xm10172,2913l10171,2913,10176,2913,10172,2913xm10208,2907l10177,2907,10174,2911,10175,2911,10172,2913,10176,2913,10205,2913,10206,2912,10208,2907xm10162,2911l10168,2913,10168,2913,10166,2912,10162,2911xm10166,2912l10168,2913,10171,2913,10166,2912xm10175,2911l10173,2912,10172,2913,10172,2913,10175,2911xm10173,2912l10171,2913,10172,2913,10173,2912xm10175,2910l10173,2912,10175,2911,10174,2911,10175,2910xm10162,2909l10165,2911,10162,2911,10166,2912,10162,2909xm10177,2907l10175,2910,10174,2911,10177,2907xm10247,2760l10242,2760,10239,2761,10232,2765,10230,2766,10227,2768,10226,2771,10220,2783,10220,2784,10219,2786,10213,2804,10206,2827,10200,2848,10187,2884,10181,2899,10175,2910,10177,2907,10208,2907,10213,2895,10226,2856,10232,2835,10239,2813,10245,2796,10245,2796,10245,2795,10245,2794,10247,2790,10246,2789,10245,2789,10246,2789,10240,2787,10248,2786,10251,2783,10282,2783,10267,2771,10261,2766,10259,2763,10257,2763,10251,2761,10247,2760xm10285,2786l10252,2786,10249,2787,10247,2790,10249,2792,10256,2798,10269,2808,10275,2813,10276,2814,10278,2814,10279,2815,10285,2818,10287,2819,10293,2819,10300,2818,10301,2818,10310,2813,10324,2804,10331,2801,10332,2793,10296,2793,10288,2792,10291,2791,10290,2791,10291,2791,10286,2787,10285,2786xm10245,2794l10245,2796,10245,2795,10245,2794xm10245,2795l10245,2796,10245,2796,10245,2795xm10245,2794l10245,2794,10245,2795,10245,2794xm10291,2791l10288,2792,10296,2793,10293,2792,10291,2792,10292,2791,10292,2791,10291,2791xm10292,2791l10292,2792,10296,2793,10332,2793,10332,2792,10293,2792,10292,2791xm10292,2791l10291,2792,10292,2792,10292,2791xm10292,2792l10291,2792,10293,2792,10292,2792xm10292,2791l10292,2791,10293,2792,10292,2791xm10332,2791l10294,2791,10292,2791,10293,2792,10332,2792,10332,2791xm10292,2791l10292,2791,10292,2792,10292,2791,10292,2791xm10292,2791l10292,2791,10292,2791,10292,2791,10292,2791,10292,2791xm10291,2791l10291,2791,10292,2791,10292,2791,10291,2791xm10292,2791l10291,2791,10292,2791,10292,2791,10292,2791xm10294,2791l10292,2791,10292,2791,10292,2791,10294,2791xm10291,2791l10290,2791,10291,2791,10292,2791,10291,2791xm10292,2791l10292,2791,10292,2791,10292,2791xm10315,2777l10309,2781,10298,2788,10292,2791,10294,2791,10332,2791,10328,2786,10324,2778,10315,2777xm10246,2789l10247,2790,10248,2789,10247,2789,10246,2789xm10246,2789l10245,2789,10246,2789,10246,2789xm10246,2789l10245,2789,10246,2789,10246,2789,10246,2789xm10246,2789l10246,2789,10246,2789,10247,2789,10246,2789xm10249,2787l10246,2789,10246,2789,10247,2789,10248,2789,10249,2787xm10246,2789l10246,2789,10246,2789,10246,2789xm10246,2789l10246,2789,10246,2789,10246,2789xm10248,2786l10240,2787,10246,2789,10246,2789,10243,2787,10248,2787,10248,2786xm10246,2789l10246,2789,10246,2789,10246,2789xm10250,2786l10248,2786,10246,2789,10246,2789,10249,2787,10250,2786xm10243,2787l10246,2789,10246,2789,10243,2787xm10248,2787l10243,2787,10246,2789,10248,2787xm10252,2786l10250,2786,10249,2787,10252,2786xm10251,2783l10248,2786,10250,2786,10251,2783xm10282,2783l10251,2783,10250,2786,10252,2786,10285,2786,10282,2783xm9943,2713l9945,2717,9949,2727,9952,2741,9953,2745,9956,2730,9960,2717,9960,2716,9958,2716,9959,2715,9945,2715,9943,2713xm9960,2714l9958,2716,9961,2714,9961,2714,9960,2714xm9961,2714l9958,2716,9960,2716,9961,2714xm9943,2713l9943,2713,9945,2715,9943,2713,9943,2713xm9943,2713l9945,2715,9959,2715,9960,2714,9943,2713xm9961,2714l9961,2714,9962,2714,9961,2714xm9962,2710l9960,2714,9961,2714,9962,2710xm9961,2711l9942,2711,9943,2713,9960,2714,9961,2711xm9942,2713l9943,2713,9943,2713,9942,2713xm9942,2711l9943,2713,9943,2713,9942,2711xm9943,2713l9942,2713,9943,2713,9943,2713xe" filled="true" fillcolor="#497dba" stroked="false">
              <v:path arrowok="t"/>
              <v:fill type="solid"/>
            </v:shape>
            <v:shape style="position:absolute;left:8252;top:2686;width:2081;height:1031" coordorigin="8252,2686" coordsize="2081,1031" path="m8252,3488l8255,3477,8261,3456,8269,3436,8288,3413,8291,3411,8295,3411,8298,3413,8305,3415,8308,3415,8309,3417,8311,3418,8317,3424,8324,3433,8325,3433,8326,3434,8326,3435,8332,3446,8340,3462,8346,3475,8344,3472,8350,3481,8340,3475,8346,3475,8338,3477,8345,3472,8343,3474,8350,3468,8351,3467,8353,3466,8355,3465,8362,3463,8365,3463,8369,3463,8372,3464,8378,3468,8379,3468,8380,3469,8381,3470,8388,3476,8388,3476,8389,3476,8389,3477,8402,3493,8415,3509,8429,3532,8430,3533,8430,3533,8430,3534,8437,3550,8443,3571,8451,3588,8456,3598,8451,3593,8457,3597,8448,3595,8459,3588,8457,3590,8460,3582,8460,3583,8462,3572,8469,3545,8476,3518,8479,3507,8479,3506,8480,3505,8480,3505,8483,3498,8485,3496,8486,3495,8488,3493,8491,3491,8495,3488,8500,3488,8504,3490,8520,3503,8520,3503,8521,3504,8521,3505,8527,3517,8525,3514,8532,3521,8525,3517,8539,3520,8531,3521,8543,3517,8538,3520,8544,3514,8550,3507,8556,3499,8556,3498,8557,3498,8584,3485,8586,3485,8588,3485,8590,3485,8603,3488,8604,3489,8605,3489,8607,3490,8613,3493,8613,3494,8614,3494,8615,3494,8621,3499,8627,3503,8621,3501,8627,3502,8619,3503,8626,3499,8622,3502,8629,3495,8641,3480,8654,3462,8661,3453,8661,3452,8663,3451,8663,3450,8669,3446,8673,3443,8679,3442,8683,3445,8690,3447,8692,3448,8694,3450,8695,3451,8701,3460,8707,3466,8702,3463,8705,3464,8694,3464,8698,3463,8691,3468,8698,3456,8697,3458,8704,3438,8710,3418,8733,3375,8734,3373,8741,3368,8745,3365,8750,3365,8755,3366,8761,3369,8763,3370,8766,3372,8767,3374,8771,3379,8772,3380,8772,3381,8772,3382,8775,3390,8782,3412,8789,3435,8795,3452,8794,3449,8807,3470,8803,3466,8816,3475,8804,3472,8810,3471,8805,3474,8812,3468,8818,3463,8820,3461,8822,3460,8824,3459,8830,3457,8834,3456,8839,3457,8842,3460,8856,3471,8857,3472,8858,3473,8859,3474,8872,3496,8872,3498,8873,3498,8873,3499,8876,3510,8879,3524,8887,3554,8893,3585,8896,3597,8914,3618,8903,3621,8907,3618,8903,3624,8906,3617,8912,3601,8919,3587,8920,3586,8921,3584,8922,3583,8925,3580,8929,3576,8936,3574,8941,3578,8944,3579,8947,3581,8950,3583,8951,3586,8954,3594,8954,3595,8955,3596,8955,3597,8958,3610,8961,3628,8965,3647,8968,3667,8971,3682,8974,3694,8972,3689,8976,3695,8960,3689,8963,3688,8955,3695,8958,3689,8961,3681,8964,3670,8970,3643,8977,3617,8996,3549,9015,3458,9022,3425,9028,3398,9028,3397,9029,3397,9029,3396,9035,3380,9036,3379,9036,3379,9036,3378,9043,3367,9057,3348,9083,3312,9109,3282,9108,3284,9115,3273,9121,3260,9128,3250,9130,3248,9132,3246,9135,3244,9138,3244,9142,3242,9146,3242,9150,3244,9154,3247,9156,3249,9157,3250,9158,3252,9162,3259,9162,3260,9162,3260,9163,3262,9166,3272,9173,3301,9179,3330,9182,3342,9181,3340,9185,3348,9181,3344,9187,3350,9180,3346,9217,3315,9220,3313,9225,3312,9228,3313,9234,3315,9248,3326,9249,3327,9262,3349,9263,3350,9263,3351,9264,3352,9267,3365,9270,3382,9277,3421,9280,3440,9283,3456,9286,3467,9284,3463,9287,3468,9268,3464,9272,3462,9267,3469,9270,3460,9273,3448,9276,3432,9282,3400,9285,3386,9289,3374,9290,3372,9291,3371,9304,3360,9311,3357,9320,3356,9315,3358,9320,3354,9316,3358,9322,3346,9328,3330,9335,3315,9335,3314,9335,3313,9336,3312,9342,3301,9344,3298,9347,3296,9350,3295,9357,3293,9360,3293,9363,3293,9366,3294,9373,3298,9381,3302,9373,3300,9380,3300,9370,3305,9377,3298,9375,3300,9382,3289,9388,3278,9390,3277,9390,3276,9392,3275,9398,3270,9403,3267,9409,3267,9414,3270,9438,3299,9443,3306,9442,3304,9455,3316,9451,3314,9457,3317,9451,3316,9457,3315,9448,3319,9455,3312,9453,3315,9460,3304,9472,3280,9486,3256,9498,3234,9499,3232,9499,3232,9500,3231,9506,3224,9507,3224,9508,3223,9509,3222,9516,3218,9522,3214,9520,3217,9526,3209,9524,3213,9531,3199,9537,3181,9543,3163,9544,3162,9544,3161,9544,3160,9551,3150,9554,3147,9558,3144,9562,3144,9566,3144,9570,3144,9573,3146,9575,3148,9578,3151,9579,3152,9580,3153,9581,3154,9587,3167,9594,3177,9587,3171,9590,3172,9577,3173,9581,3171,9576,3177,9579,3169,9578,3172,9581,3160,9588,3130,9594,3098,9597,3084,9601,3072,9601,3071,9602,3070,9602,3070,9608,3061,9609,3059,9611,3057,9613,3056,9620,3051,9634,3035,9640,3018,9647,3003,9648,3002,9649,3001,9649,3000,9656,2992,9659,2989,9663,2986,9668,2988,9671,2988,9675,2989,9678,2990,9680,2993,9683,2996,9684,2997,9684,2998,9684,2998,9691,3010,9698,3024,9695,3020,9702,3026,9687,3024,9707,2998,9713,2986,9719,2972,9726,2959,9727,2958,9728,2957,9729,2956,9735,2950,9740,2945,9746,2945,9752,2949,9758,2953,9776,2982,9782,2990,9776,2985,9789,2990,9785,2990,9798,2991,9799,2991,9800,2991,9801,2992,9814,2996,9811,2996,9817,2996,9811,2998,9817,2994,9812,2999,9818,2990,9824,2980,9836,2955,9850,2932,9862,2908,9876,2878,9887,2848,9895,2835,9919,2774,9929,2723,9933,2709,9936,2700,9937,2698,9938,2695,9940,2694,9943,2691,9949,2686,9957,2687,9962,2691,9965,2694,9967,2696,9967,2697,9968,2699,9971,2706,9975,2718,9979,2732,9992,2809,9998,2890,10005,2994,10008,3046,10011,3093,10014,3131,10016,3146,10018,3156,10017,3153,10019,3159,10006,3150,10010,3150,9998,3157,10002,3151,10001,3153,10005,3144,10012,3124,10016,3114,10017,3105,10021,3091,10023,3072,10030,3027,10033,3003,10037,2982,10040,2965,10043,2951,10044,2948,10046,2945,10048,2944,10054,2940,10057,2936,10062,2935,10067,2937,10074,2940,10075,2941,10075,2941,10076,2941,10084,2946,10081,2945,10086,2945,10073,2949,10079,2943,10078,2945,10084,2935,10122,2891,10123,2890,10130,2888,10134,2886,10138,2886,10141,2888,10147,2892,10149,2893,10150,2894,10151,2895,10158,2902,10165,2911,10162,2908,10169,2913,10162,2911,10176,2912,10168,2913,10175,2910,10171,2913,10177,2907,10174,2911,10181,2898,10187,2883,10200,2847,10206,2826,10213,2804,10220,2785,10220,2784,10220,2784,10220,2783,10226,2770,10227,2767,10230,2766,10232,2764,10239,2760,10242,2758,10247,2758,10251,2760,10257,2762,10259,2763,10260,2764,10261,2765,10267,2770,10274,2775,10286,2786,10293,2791,10290,2789,10296,2792,10288,2791,10294,2790,10291,2791,10298,2788,10309,2780,10315,2776,10324,2778,10328,2785,10332,2791,10331,2800,10324,2804,10310,2813,10303,2816,10302,2817,10301,2817,10300,2817,10293,2819,10290,2819,10287,2819,10285,2817,10279,2814,10278,2814,10276,2813,10275,2813,10269,2807,10256,2797,10251,2782,10245,2795,10245,2793,10239,2813,10232,2835,10213,2894,10198,2925,10197,2926,10197,2927,10190,2933,10189,2935,10187,2935,10186,2936,10179,2939,10177,2940,10174,2940,10172,2940,10159,2938,10156,2938,10154,2937,10152,2935,10146,2931,10145,2930,10144,2929,10143,2929,10138,2922,10131,2914,10134,2917,10128,2914,10139,2914,10133,2916,10137,2914,10132,2918,10120,2931,10114,2940,10107,2951,10100,2961,10100,2961,10099,2962,10098,2963,10092,2969,10089,2972,10084,2974,10079,2973,10074,2972,10073,2971,10072,2971,10071,2970,10063,2965,10065,2967,10057,2964,10070,2961,10065,2965,10070,2958,10067,2969,10064,2986,10061,3007,10057,3031,10051,3076,10048,3097,10044,3113,10042,3122,10038,3133,10030,3157,10026,3165,10026,3166,10025,3167,10025,3167,10021,3172,10019,3176,10014,3178,10010,3178,10006,3178,10000,3178,9995,3175,9994,3169,9991,3163,9991,3162,9991,3161,9991,3160,9989,3148,9987,3133,9984,3095,9981,3048,9978,2996,9975,2942,9968,2848,9959,2773,9942,2710,9945,2714,9942,2711,9962,2713,9958,2715,9962,2709,9960,2717,9956,2729,9943,2795,9919,2848,9914,2859,9900,2890,9887,2921,9874,2946,9861,2967,9847,2994,9839,3007,9833,3016,9832,3017,9830,3019,9828,3020,9821,3022,9820,3024,9817,3024,9814,3024,9808,3023,9807,3023,9806,3023,9805,3022,9792,3018,9795,3018,9782,3017,9781,3017,9779,3017,9778,3016,9765,3010,9763,3010,9760,3008,9759,3006,9752,2994,9746,2983,9739,2972,9744,2976,9737,2972,9754,2971,9748,2976,9751,2973,9744,2985,9737,3000,9730,3012,9718,3033,9717,3034,9717,3035,9716,3035,9709,3043,9708,3044,9706,3045,9704,3046,9698,3049,9694,3051,9687,3051,9683,3046,9676,3040,9675,3039,9674,3038,9673,3036,9668,3024,9661,3012,9662,3014,9659,3011,9668,3016,9664,3015,9677,3010,9671,3018,9673,3014,9667,3030,9659,3047,9653,3061,9652,3062,9651,3063,9650,3065,9644,3070,9643,3071,9642,3071,9640,3072,9635,3075,9627,3080,9632,3075,9626,3084,9627,3081,9625,3090,9622,3104,9615,3136,9608,3167,9606,3178,9605,3179,9605,3180,9604,3181,9601,3189,9600,3191,9598,3193,9596,3194,9593,3196,9589,3199,9584,3200,9580,3198,9577,3197,9574,3196,9556,3168,9566,3172,9562,3172,9574,3166,9568,3176,9569,3173,9563,3190,9555,3210,9549,3224,9548,3226,9548,3227,9547,3228,9540,3236,9539,3236,9538,3238,9537,3238,9531,3242,9509,3269,9497,3293,9483,3319,9476,3330,9476,3331,9475,3331,9474,3332,9468,3338,9465,3341,9462,3342,9460,3342,9453,3343,9451,3344,9448,3343,9447,3342,9440,3339,9438,3338,9437,3338,9436,3337,9423,3324,9422,3324,9422,3323,9422,3323,9414,3313,9409,3303,9401,3294,9405,3298,9399,3293,9415,3293,9409,3298,9412,3294,9405,3303,9399,3315,9398,3315,9398,3316,9397,3317,9390,3324,9388,3327,9384,3328,9380,3328,9373,3328,9371,3328,9368,3327,9366,3326,9361,3323,9354,3319,9364,3320,9358,3322,9366,3315,9359,3326,9361,3324,9336,3376,9330,3380,9328,3382,9327,3383,9324,3383,9320,3383,9312,3386,9318,3382,9312,3389,9315,3383,9312,3392,9309,3405,9303,3438,9300,3456,9296,3469,9293,3478,9292,3481,9290,3483,9287,3485,9284,3487,9278,3492,9269,3490,9264,3484,9261,3478,9260,3476,9260,3476,9259,3474,9256,3462,9253,3445,9250,3427,9243,3387,9240,3372,9237,3360,9238,3364,9221,3340,9231,3339,9225,3343,9229,3340,9222,3348,9215,3359,9215,3360,9215,3360,9214,3360,9208,3367,9206,3369,9204,3370,9202,3371,9189,3375,9187,3375,9185,3375,9183,3375,9176,3373,9160,3361,9159,3360,9156,3351,9156,3351,9155,3350,9155,3349,9152,3337,9146,3307,9139,3280,9136,3269,9137,3272,9134,3266,9138,3270,9135,3268,9147,3270,9145,3271,9151,3266,9146,3274,9138,3287,9132,3298,9131,3299,9131,3299,9130,3300,9105,3329,9080,3365,9067,3382,9060,3393,9061,3391,9055,3407,9055,3404,9049,3430,9043,3464,9036,3499,9029,3531,9023,3557,9016,3581,9004,3624,8997,3649,8991,3678,8987,3691,8968,3716,8967,3716,8958,3716,8956,3715,8952,3710,8949,3704,8948,3703,8948,3702,8947,3700,8944,3688,8941,3671,8938,3653,8934,3633,8931,3616,8928,3603,8929,3606,8925,3597,8932,3604,8929,3602,8944,3600,8941,3602,8944,3599,8938,3612,8931,3628,8928,3635,8927,3637,8926,3639,8925,3640,8921,3643,8918,3645,8915,3646,8911,3646,8904,3645,8903,3645,8900,3645,8899,3643,8892,3639,8891,3639,8889,3637,8888,3636,8875,3618,8874,3617,8873,3616,8873,3614,8869,3603,8866,3590,8860,3561,8853,3530,8850,3519,8847,3508,8848,3510,8835,3488,8839,3492,8826,3482,8837,3485,8822,3496,8820,3498,8818,3498,8812,3500,8808,3500,8804,3500,8800,3498,8787,3489,8786,3488,8785,3486,8783,3485,8770,3465,8770,3464,8769,3463,8769,3462,8762,3443,8756,3421,8749,3400,8747,3392,8748,3395,8744,3390,8751,3395,8745,3393,8758,3391,8751,3396,8754,3393,8748,3401,8743,3411,8736,3426,8730,3447,8723,3467,8723,3468,8722,3469,8722,3470,8716,3482,8714,3484,8713,3486,8710,3488,8706,3490,8703,3491,8699,3491,8673,3468,8679,3472,8672,3470,8686,3468,8680,3473,8682,3470,8676,3478,8663,3497,8649,3515,8642,3521,8641,3523,8640,3523,8639,3525,8632,3528,8630,3529,8627,3530,8625,3529,8618,3529,8616,3529,8614,3528,8612,3527,8605,3522,8583,3512,8577,3517,8578,3516,8571,3525,8564,3534,8557,3540,8555,3542,8554,3543,8552,3543,8539,3547,8537,3548,8534,3548,8531,3548,8518,3544,8516,3544,8513,3542,8512,3540,8505,3533,8504,3532,8504,3531,8503,3530,8497,3519,8498,3521,8491,3513,8497,3517,8494,3516,8507,3514,8504,3516,8508,3512,8505,3518,8505,3515,8503,3525,8497,3551,8490,3580,8487,3591,8486,3592,8486,3592,8486,3592,8483,3601,8482,3602,8482,3602,8481,3603,8475,3611,8474,3613,8472,3614,8471,3615,8464,3619,8462,3621,8461,3621,8459,3621,8452,3622,8449,3623,8445,3622,8443,3621,8437,3617,8434,3616,8433,3614,8432,3612,8425,3598,8418,3580,8411,3561,8405,3545,8406,3547,8394,3527,8381,3511,8368,3495,8370,3497,8363,3491,8365,3493,8359,3490,8369,3491,8363,3492,8369,3489,8362,3495,8362,3495,8361,3496,8361,3496,8354,3500,8351,3502,8349,3503,8346,3503,8340,3503,8335,3503,8331,3501,8329,3498,8323,3490,8322,3489,8322,3488,8321,3487,8315,3474,8308,3460,8302,3449,8303,3451,8297,3444,8291,3438,8297,3441,8290,3439,8301,3438,8294,3442,8300,3436,8294,3446,8288,3464,8281,3486,8274,3506,8272,3514,8264,3517,8257,3515,8252,3513,8252,3488e" filled="false" stroked="true" strokeweight=".464286pt" strokecolor="#497dba">
              <v:path arrowok="t"/>
            </v:shape>
            <v:shape style="position:absolute;left:7814;top:2471;width:2655;height:1782" coordorigin="7814,2471" coordsize="2655,1782" path="m10467,2471l7816,2471,7814,2473,7814,4251,7816,4253,10467,4253,10468,4251,10468,4248,7823,4248,7819,4243,7823,4243,7823,2481,7819,2481,7823,2476,10468,2476,10468,2473,10467,2471xm7823,4243l7819,4243,7823,4248,7823,4243xm10459,4243l7823,4243,7823,4248,10459,4248,10459,4243xm10459,2476l10459,4248,10464,4243,10468,4243,10468,2481,10464,2481,10459,2476xm10468,4243l10464,4243,10459,4248,10468,4248,10468,4243xm7823,2476l7819,2481,7823,2481,7823,2476xm10459,2476l7823,2476,7823,2481,10459,2481,10459,2476xm10468,2476l10459,2476,10464,2481,10468,2481,10468,2476xe" filled="true" fillcolor="#858585" stroked="false">
              <v:path arrowok="t"/>
              <v:fill type="solid"/>
            </v:shape>
            <v:shape style="position:absolute;left:8808;top:5608;width:4325;height:2873" coordorigin="8808,5608" coordsize="4325,2873" path="m7814,2476l7814,2473,7816,2471,7819,2471,10464,2471,10467,2471,10468,2473,10468,2476,10468,4248,10468,4251,10467,4253,10464,4253,7819,4253,7816,4253,7814,4251,7814,4248,7814,2476xm7823,4248l7819,4243,10464,4243,10459,4248,10459,2476,10464,2481,7819,2481,7823,2476,7823,4248xe" filled="false" stroked="true" strokeweight=".086384pt" strokecolor="#858585">
              <v:path arrowok="t"/>
            </v:shape>
            <v:shape style="position:absolute;left:2736;top:694;width:2030;height:1231" type="#_x0000_t202" filled="false" stroked="false">
              <v:textbox inset="0,0,0,0">
                <w:txbxContent>
                  <w:p>
                    <w:pPr>
                      <w:tabs>
                        <w:tab w:pos="423" w:val="left" w:leader="none"/>
                      </w:tabs>
                      <w:spacing w:line="152" w:lineRule="exact" w:before="0"/>
                      <w:ind w:left="0" w:right="0" w:firstLine="0"/>
                      <w:jc w:val="left"/>
                      <w:rPr>
                        <w:rFonts w:ascii="Constantia" w:hAnsi="Constantia"/>
                        <w:b/>
                        <w:sz w:val="15"/>
                      </w:rPr>
                    </w:pPr>
                    <w:r>
                      <w:rPr>
                        <w:rFonts w:ascii="Calibri" w:hAnsi="Calibri"/>
                        <w:position w:val="2"/>
                        <w:sz w:val="12"/>
                      </w:rPr>
                      <w:t>2.50</w:t>
                      <w:tab/>
                    </w:r>
                    <w:r>
                      <w:rPr>
                        <w:rFonts w:ascii="Constantia" w:hAnsi="Constantia"/>
                        <w:b/>
                        <w:sz w:val="15"/>
                      </w:rPr>
                      <w:t>(a)</w:t>
                    </w:r>
                    <w:r>
                      <w:rPr>
                        <w:rFonts w:ascii="Constantia" w:hAnsi="Constantia"/>
                        <w:b/>
                        <w:spacing w:val="-7"/>
                        <w:sz w:val="15"/>
                      </w:rPr>
                      <w:t> </w:t>
                    </w:r>
                    <w:r>
                      <w:rPr>
                        <w:rFonts w:ascii="Constantia" w:hAnsi="Constantia"/>
                        <w:b/>
                        <w:sz w:val="15"/>
                      </w:rPr>
                      <w:t>Índice</w:t>
                    </w:r>
                    <w:r>
                      <w:rPr>
                        <w:rFonts w:ascii="Constantia" w:hAnsi="Constantia"/>
                        <w:b/>
                        <w:spacing w:val="-11"/>
                        <w:sz w:val="15"/>
                      </w:rPr>
                      <w:t> </w:t>
                    </w:r>
                    <w:r>
                      <w:rPr>
                        <w:rFonts w:ascii="Constantia" w:hAnsi="Constantia"/>
                        <w:b/>
                        <w:sz w:val="15"/>
                      </w:rPr>
                      <w:t>de</w:t>
                    </w:r>
                    <w:r>
                      <w:rPr>
                        <w:rFonts w:ascii="Constantia" w:hAnsi="Constantia"/>
                        <w:b/>
                        <w:spacing w:val="-11"/>
                        <w:sz w:val="15"/>
                      </w:rPr>
                      <w:t> </w:t>
                    </w:r>
                    <w:r>
                      <w:rPr>
                        <w:rFonts w:ascii="Constantia" w:hAnsi="Constantia"/>
                        <w:b/>
                        <w:sz w:val="15"/>
                      </w:rPr>
                      <w:t>precio</w:t>
                    </w:r>
                    <w:r>
                      <w:rPr>
                        <w:rFonts w:ascii="Constantia" w:hAnsi="Constantia"/>
                        <w:b/>
                        <w:spacing w:val="-11"/>
                        <w:sz w:val="15"/>
                      </w:rPr>
                      <w:t> </w:t>
                    </w:r>
                    <w:r>
                      <w:rPr>
                        <w:rFonts w:ascii="Constantia" w:hAnsi="Constantia"/>
                        <w:b/>
                        <w:sz w:val="15"/>
                      </w:rPr>
                      <w:t>del</w:t>
                    </w:r>
                  </w:p>
                  <w:p>
                    <w:pPr>
                      <w:tabs>
                        <w:tab w:pos="829" w:val="left" w:leader="none"/>
                      </w:tabs>
                      <w:spacing w:line="195" w:lineRule="exact" w:before="0"/>
                      <w:ind w:left="0" w:right="0" w:firstLine="0"/>
                      <w:jc w:val="left"/>
                      <w:rPr>
                        <w:rFonts w:ascii="Constantia"/>
                        <w:b/>
                        <w:sz w:val="15"/>
                      </w:rPr>
                    </w:pPr>
                    <w:r>
                      <w:rPr>
                        <w:rFonts w:ascii="Calibri"/>
                        <w:sz w:val="12"/>
                      </w:rPr>
                      <w:t>2.30</w:t>
                      <w:tab/>
                    </w:r>
                    <w:r>
                      <w:rPr>
                        <w:rFonts w:ascii="Constantia"/>
                        <w:b/>
                        <w:position w:val="2"/>
                        <w:sz w:val="15"/>
                      </w:rPr>
                      <w:t>gas</w:t>
                    </w:r>
                    <w:r>
                      <w:rPr>
                        <w:rFonts w:ascii="Constantia"/>
                        <w:b/>
                        <w:spacing w:val="-18"/>
                        <w:position w:val="2"/>
                        <w:sz w:val="15"/>
                      </w:rPr>
                      <w:t> </w:t>
                    </w:r>
                    <w:r>
                      <w:rPr>
                        <w:rFonts w:ascii="Constantia"/>
                        <w:b/>
                        <w:position w:val="2"/>
                        <w:sz w:val="15"/>
                      </w:rPr>
                      <w:t>natural</w:t>
                    </w:r>
                  </w:p>
                  <w:p>
                    <w:pPr>
                      <w:spacing w:before="75"/>
                      <w:ind w:left="0" w:right="0" w:firstLine="0"/>
                      <w:jc w:val="left"/>
                      <w:rPr>
                        <w:rFonts w:ascii="Calibri"/>
                        <w:sz w:val="12"/>
                      </w:rPr>
                    </w:pPr>
                    <w:r>
                      <w:rPr>
                        <w:rFonts w:ascii="Calibri"/>
                        <w:sz w:val="12"/>
                      </w:rPr>
                      <w:t>2.10</w:t>
                    </w:r>
                  </w:p>
                  <w:p>
                    <w:pPr>
                      <w:spacing w:before="75"/>
                      <w:ind w:left="0" w:right="0" w:firstLine="0"/>
                      <w:jc w:val="left"/>
                      <w:rPr>
                        <w:rFonts w:ascii="Calibri"/>
                        <w:sz w:val="12"/>
                      </w:rPr>
                    </w:pPr>
                    <w:r>
                      <w:rPr>
                        <w:rFonts w:ascii="Calibri"/>
                        <w:sz w:val="12"/>
                      </w:rPr>
                      <w:t>1.90</w:t>
                    </w:r>
                  </w:p>
                  <w:p>
                    <w:pPr>
                      <w:spacing w:before="75"/>
                      <w:ind w:left="0" w:right="0" w:firstLine="0"/>
                      <w:jc w:val="left"/>
                      <w:rPr>
                        <w:rFonts w:ascii="Calibri"/>
                        <w:sz w:val="12"/>
                      </w:rPr>
                    </w:pPr>
                    <w:r>
                      <w:rPr>
                        <w:rFonts w:ascii="Calibri"/>
                        <w:sz w:val="12"/>
                      </w:rPr>
                      <w:t>1.70</w:t>
                    </w:r>
                  </w:p>
                  <w:p>
                    <w:pPr>
                      <w:spacing w:line="145" w:lineRule="exact" w:before="75"/>
                      <w:ind w:left="0" w:right="0" w:firstLine="0"/>
                      <w:jc w:val="left"/>
                      <w:rPr>
                        <w:rFonts w:ascii="Calibri"/>
                        <w:sz w:val="12"/>
                      </w:rPr>
                    </w:pPr>
                    <w:r>
                      <w:rPr>
                        <w:rFonts w:ascii="Calibri"/>
                        <w:sz w:val="12"/>
                      </w:rPr>
                      <w:t>1.50</w:t>
                    </w:r>
                  </w:p>
                </w:txbxContent>
              </v:textbox>
              <w10:wrap type="none"/>
            </v:shape>
            <v:shape style="position:absolute;left:5215;top:715;width:217;height:1217" type="#_x0000_t202" filled="false" stroked="false">
              <v:textbox inset="0,0,0,0">
                <w:txbxContent>
                  <w:p>
                    <w:pPr>
                      <w:spacing w:line="123" w:lineRule="exact" w:before="0"/>
                      <w:ind w:left="0" w:right="-16" w:firstLine="0"/>
                      <w:jc w:val="left"/>
                      <w:rPr>
                        <w:rFonts w:ascii="Calibri"/>
                        <w:sz w:val="12"/>
                      </w:rPr>
                    </w:pPr>
                    <w:r>
                      <w:rPr>
                        <w:rFonts w:ascii="Calibri"/>
                        <w:sz w:val="12"/>
                      </w:rPr>
                      <w:t>2.40</w:t>
                    </w:r>
                  </w:p>
                  <w:p>
                    <w:pPr>
                      <w:spacing w:before="36"/>
                      <w:ind w:left="0" w:right="-16" w:firstLine="0"/>
                      <w:jc w:val="left"/>
                      <w:rPr>
                        <w:rFonts w:ascii="Calibri"/>
                        <w:sz w:val="12"/>
                      </w:rPr>
                    </w:pPr>
                    <w:r>
                      <w:rPr>
                        <w:rFonts w:ascii="Calibri"/>
                        <w:sz w:val="12"/>
                      </w:rPr>
                      <w:t>2.30</w:t>
                    </w:r>
                  </w:p>
                  <w:p>
                    <w:pPr>
                      <w:spacing w:before="36"/>
                      <w:ind w:left="0" w:right="-16" w:firstLine="0"/>
                      <w:jc w:val="left"/>
                      <w:rPr>
                        <w:rFonts w:ascii="Calibri"/>
                        <w:sz w:val="12"/>
                      </w:rPr>
                    </w:pPr>
                    <w:r>
                      <w:rPr>
                        <w:rFonts w:ascii="Calibri"/>
                        <w:sz w:val="12"/>
                      </w:rPr>
                      <w:t>2.20</w:t>
                    </w:r>
                  </w:p>
                  <w:p>
                    <w:pPr>
                      <w:spacing w:before="36"/>
                      <w:ind w:left="0" w:right="-16" w:firstLine="0"/>
                      <w:jc w:val="left"/>
                      <w:rPr>
                        <w:rFonts w:ascii="Calibri"/>
                        <w:sz w:val="12"/>
                      </w:rPr>
                    </w:pPr>
                    <w:r>
                      <w:rPr>
                        <w:rFonts w:ascii="Calibri"/>
                        <w:sz w:val="12"/>
                      </w:rPr>
                      <w:t>2.10</w:t>
                    </w:r>
                  </w:p>
                  <w:p>
                    <w:pPr>
                      <w:spacing w:before="36"/>
                      <w:ind w:left="0" w:right="-16" w:firstLine="0"/>
                      <w:jc w:val="left"/>
                      <w:rPr>
                        <w:rFonts w:ascii="Calibri"/>
                        <w:sz w:val="12"/>
                      </w:rPr>
                    </w:pPr>
                    <w:r>
                      <w:rPr>
                        <w:rFonts w:ascii="Calibri"/>
                        <w:sz w:val="12"/>
                      </w:rPr>
                      <w:t>2.00</w:t>
                    </w:r>
                  </w:p>
                  <w:p>
                    <w:pPr>
                      <w:spacing w:before="36"/>
                      <w:ind w:left="0" w:right="-16" w:firstLine="0"/>
                      <w:jc w:val="left"/>
                      <w:rPr>
                        <w:rFonts w:ascii="Calibri"/>
                        <w:sz w:val="12"/>
                      </w:rPr>
                    </w:pPr>
                    <w:r>
                      <w:rPr>
                        <w:rFonts w:ascii="Calibri"/>
                        <w:sz w:val="12"/>
                      </w:rPr>
                      <w:t>1.90</w:t>
                    </w:r>
                  </w:p>
                  <w:p>
                    <w:pPr>
                      <w:spacing w:line="145" w:lineRule="exact" w:before="36"/>
                      <w:ind w:left="0" w:right="-16" w:firstLine="0"/>
                      <w:jc w:val="left"/>
                      <w:rPr>
                        <w:rFonts w:ascii="Calibri"/>
                        <w:sz w:val="12"/>
                      </w:rPr>
                    </w:pPr>
                    <w:r>
                      <w:rPr>
                        <w:rFonts w:ascii="Calibri"/>
                        <w:sz w:val="12"/>
                      </w:rPr>
                      <w:t>1.80</w:t>
                    </w:r>
                  </w:p>
                </w:txbxContent>
              </v:textbox>
              <w10:wrap type="none"/>
            </v:shape>
            <v:shape style="position:absolute;left:5638;top:738;width:1916;height:336" type="#_x0000_t202" filled="false" stroked="false">
              <v:textbox inset="0,0,0,0">
                <w:txbxContent>
                  <w:p>
                    <w:pPr>
                      <w:spacing w:line="152" w:lineRule="exact" w:before="0"/>
                      <w:ind w:left="0" w:right="-10" w:firstLine="0"/>
                      <w:jc w:val="left"/>
                      <w:rPr>
                        <w:rFonts w:ascii="Constantia" w:hAnsi="Constantia"/>
                        <w:b/>
                        <w:sz w:val="15"/>
                      </w:rPr>
                    </w:pPr>
                    <w:r>
                      <w:rPr>
                        <w:rFonts w:ascii="Constantia" w:hAnsi="Constantia"/>
                        <w:b/>
                        <w:sz w:val="15"/>
                      </w:rPr>
                      <w:t>(b)</w:t>
                    </w:r>
                    <w:r>
                      <w:rPr>
                        <w:rFonts w:ascii="Constantia" w:hAnsi="Constantia"/>
                        <w:b/>
                        <w:spacing w:val="-17"/>
                        <w:sz w:val="15"/>
                      </w:rPr>
                      <w:t> </w:t>
                    </w:r>
                    <w:r>
                      <w:rPr>
                        <w:rFonts w:ascii="Constantia" w:hAnsi="Constantia"/>
                        <w:b/>
                        <w:sz w:val="15"/>
                      </w:rPr>
                      <w:t>Índice</w:t>
                    </w:r>
                    <w:r>
                      <w:rPr>
                        <w:rFonts w:ascii="Constantia" w:hAnsi="Constantia"/>
                        <w:b/>
                        <w:spacing w:val="-12"/>
                        <w:sz w:val="15"/>
                      </w:rPr>
                      <w:t> </w:t>
                    </w:r>
                    <w:r>
                      <w:rPr>
                        <w:rFonts w:ascii="Constantia" w:hAnsi="Constantia"/>
                        <w:b/>
                        <w:sz w:val="15"/>
                      </w:rPr>
                      <w:t>de</w:t>
                    </w:r>
                    <w:r>
                      <w:rPr>
                        <w:rFonts w:ascii="Constantia" w:hAnsi="Constantia"/>
                        <w:b/>
                        <w:spacing w:val="-12"/>
                        <w:sz w:val="15"/>
                      </w:rPr>
                      <w:t> </w:t>
                    </w:r>
                    <w:r>
                      <w:rPr>
                        <w:rFonts w:ascii="Constantia" w:hAnsi="Constantia"/>
                        <w:b/>
                        <w:sz w:val="15"/>
                      </w:rPr>
                      <w:t>precio</w:t>
                    </w:r>
                    <w:r>
                      <w:rPr>
                        <w:rFonts w:ascii="Constantia" w:hAnsi="Constantia"/>
                        <w:b/>
                        <w:spacing w:val="-12"/>
                        <w:sz w:val="15"/>
                      </w:rPr>
                      <w:t> </w:t>
                    </w:r>
                    <w:r>
                      <w:rPr>
                        <w:rFonts w:ascii="Constantia" w:hAnsi="Constantia"/>
                        <w:b/>
                        <w:sz w:val="15"/>
                      </w:rPr>
                      <w:t>de</w:t>
                    </w:r>
                    <w:r>
                      <w:rPr>
                        <w:rFonts w:ascii="Constantia" w:hAnsi="Constantia"/>
                        <w:b/>
                        <w:spacing w:val="-12"/>
                        <w:sz w:val="15"/>
                      </w:rPr>
                      <w:t> </w:t>
                    </w:r>
                    <w:r>
                      <w:rPr>
                        <w:rFonts w:ascii="Constantia" w:hAnsi="Constantia"/>
                        <w:b/>
                        <w:sz w:val="15"/>
                      </w:rPr>
                      <w:t>MAP</w:t>
                    </w:r>
                  </w:p>
                  <w:p>
                    <w:pPr>
                      <w:spacing w:line="180" w:lineRule="exact" w:before="3"/>
                      <w:ind w:left="488" w:right="-10" w:firstLine="0"/>
                      <w:jc w:val="left"/>
                      <w:rPr>
                        <w:rFonts w:ascii="Constantia"/>
                        <w:b/>
                        <w:sz w:val="15"/>
                      </w:rPr>
                    </w:pPr>
                    <w:r>
                      <w:rPr>
                        <w:rFonts w:ascii="Constantia"/>
                        <w:b/>
                        <w:sz w:val="15"/>
                      </w:rPr>
                      <w:t>no petroleras</w:t>
                    </w:r>
                  </w:p>
                </w:txbxContent>
              </v:textbox>
              <w10:wrap type="none"/>
            </v:shape>
            <v:shape style="position:absolute;left:7897;top:724;width:217;height:122" type="#_x0000_t202" filled="false" stroked="false">
              <v:textbox inset="0,0,0,0">
                <w:txbxContent>
                  <w:p>
                    <w:pPr>
                      <w:spacing w:line="121" w:lineRule="exact" w:before="0"/>
                      <w:ind w:left="0" w:right="-16" w:firstLine="0"/>
                      <w:jc w:val="left"/>
                      <w:rPr>
                        <w:rFonts w:ascii="Calibri"/>
                        <w:sz w:val="12"/>
                      </w:rPr>
                    </w:pPr>
                    <w:r>
                      <w:rPr>
                        <w:rFonts w:ascii="Calibri"/>
                        <w:sz w:val="12"/>
                      </w:rPr>
                      <w:t>2.35</w:t>
                    </w:r>
                  </w:p>
                </w:txbxContent>
              </v:textbox>
              <w10:wrap type="none"/>
            </v:shape>
            <v:shape style="position:absolute;left:7897;top:998;width:217;height:121" type="#_x0000_t202" filled="false" stroked="false">
              <v:textbox inset="0,0,0,0">
                <w:txbxContent>
                  <w:p>
                    <w:pPr>
                      <w:spacing w:line="121" w:lineRule="exact" w:before="0"/>
                      <w:ind w:left="0" w:right="-16" w:firstLine="0"/>
                      <w:jc w:val="left"/>
                      <w:rPr>
                        <w:rFonts w:ascii="Calibri"/>
                        <w:sz w:val="12"/>
                      </w:rPr>
                    </w:pPr>
                    <w:r>
                      <w:rPr>
                        <w:rFonts w:ascii="Calibri"/>
                        <w:sz w:val="12"/>
                      </w:rPr>
                      <w:t>2.25</w:t>
                    </w:r>
                  </w:p>
                </w:txbxContent>
              </v:textbox>
              <w10:wrap type="none"/>
            </v:shape>
            <v:shape style="position:absolute;left:8323;top:747;width:1927;height:336" type="#_x0000_t202" filled="false" stroked="false">
              <v:textbox inset="0,0,0,0">
                <w:txbxContent>
                  <w:p>
                    <w:pPr>
                      <w:spacing w:line="152" w:lineRule="exact" w:before="0"/>
                      <w:ind w:left="0" w:right="-9" w:firstLine="0"/>
                      <w:jc w:val="left"/>
                      <w:rPr>
                        <w:rFonts w:ascii="Constantia" w:hAnsi="Constantia"/>
                        <w:b/>
                        <w:sz w:val="15"/>
                      </w:rPr>
                    </w:pPr>
                    <w:r>
                      <w:rPr>
                        <w:rFonts w:ascii="Constantia" w:hAnsi="Constantia"/>
                        <w:b/>
                        <w:sz w:val="15"/>
                      </w:rPr>
                      <w:t>(c)</w:t>
                    </w:r>
                    <w:r>
                      <w:rPr>
                        <w:rFonts w:ascii="Constantia" w:hAnsi="Constantia"/>
                        <w:b/>
                        <w:spacing w:val="-16"/>
                        <w:sz w:val="15"/>
                      </w:rPr>
                      <w:t> </w:t>
                    </w:r>
                    <w:r>
                      <w:rPr>
                        <w:rFonts w:ascii="Constantia" w:hAnsi="Constantia"/>
                        <w:b/>
                        <w:sz w:val="15"/>
                      </w:rPr>
                      <w:t>Índice</w:t>
                    </w:r>
                    <w:r>
                      <w:rPr>
                        <w:rFonts w:ascii="Constantia" w:hAnsi="Constantia"/>
                        <w:b/>
                        <w:spacing w:val="-12"/>
                        <w:sz w:val="15"/>
                      </w:rPr>
                      <w:t> </w:t>
                    </w:r>
                    <w:r>
                      <w:rPr>
                        <w:rFonts w:ascii="Constantia" w:hAnsi="Constantia"/>
                        <w:b/>
                        <w:sz w:val="15"/>
                      </w:rPr>
                      <w:t>de</w:t>
                    </w:r>
                    <w:r>
                      <w:rPr>
                        <w:rFonts w:ascii="Constantia" w:hAnsi="Constantia"/>
                        <w:b/>
                        <w:spacing w:val="-12"/>
                        <w:sz w:val="15"/>
                      </w:rPr>
                      <w:t> </w:t>
                    </w:r>
                    <w:r>
                      <w:rPr>
                        <w:rFonts w:ascii="Constantia" w:hAnsi="Constantia"/>
                        <w:b/>
                        <w:sz w:val="15"/>
                      </w:rPr>
                      <w:t>tipo</w:t>
                    </w:r>
                    <w:r>
                      <w:rPr>
                        <w:rFonts w:ascii="Constantia" w:hAnsi="Constantia"/>
                        <w:b/>
                        <w:spacing w:val="-12"/>
                        <w:sz w:val="15"/>
                      </w:rPr>
                      <w:t> </w:t>
                    </w:r>
                    <w:r>
                      <w:rPr>
                        <w:rFonts w:ascii="Constantia" w:hAnsi="Constantia"/>
                        <w:b/>
                        <w:sz w:val="15"/>
                      </w:rPr>
                      <w:t>de</w:t>
                    </w:r>
                    <w:r>
                      <w:rPr>
                        <w:rFonts w:ascii="Constantia" w:hAnsi="Constantia"/>
                        <w:b/>
                        <w:spacing w:val="-12"/>
                        <w:sz w:val="15"/>
                      </w:rPr>
                      <w:t> </w:t>
                    </w:r>
                    <w:r>
                      <w:rPr>
                        <w:rFonts w:ascii="Constantia" w:hAnsi="Constantia"/>
                        <w:b/>
                        <w:sz w:val="15"/>
                      </w:rPr>
                      <w:t>cambio</w:t>
                    </w:r>
                  </w:p>
                  <w:p>
                    <w:pPr>
                      <w:spacing w:line="180" w:lineRule="exact" w:before="3"/>
                      <w:ind w:left="211" w:right="-9" w:firstLine="0"/>
                      <w:jc w:val="left"/>
                      <w:rPr>
                        <w:rFonts w:ascii="Constantia"/>
                        <w:b/>
                        <w:sz w:val="15"/>
                      </w:rPr>
                    </w:pPr>
                    <w:r>
                      <w:rPr>
                        <w:rFonts w:ascii="Constantia"/>
                        <w:b/>
                        <w:sz w:val="15"/>
                      </w:rPr>
                      <w:t>nominal efectivo EUA</w:t>
                    </w:r>
                  </w:p>
                </w:txbxContent>
              </v:textbox>
              <w10:wrap type="none"/>
            </v:shape>
            <v:shape style="position:absolute;left:7897;top:1271;width:217;height:122" type="#_x0000_t202" filled="false" stroked="false">
              <v:textbox inset="0,0,0,0">
                <w:txbxContent>
                  <w:p>
                    <w:pPr>
                      <w:spacing w:line="121" w:lineRule="exact" w:before="0"/>
                      <w:ind w:left="0" w:right="-16" w:firstLine="0"/>
                      <w:jc w:val="left"/>
                      <w:rPr>
                        <w:rFonts w:ascii="Calibri"/>
                        <w:sz w:val="12"/>
                      </w:rPr>
                    </w:pPr>
                    <w:r>
                      <w:rPr>
                        <w:rFonts w:ascii="Calibri"/>
                        <w:sz w:val="12"/>
                      </w:rPr>
                      <w:t>2.15</w:t>
                    </w:r>
                  </w:p>
                </w:txbxContent>
              </v:textbox>
              <w10:wrap type="none"/>
            </v:shape>
            <v:shape style="position:absolute;left:2787;top:1545;width:5327;height:1205" type="#_x0000_t202" filled="false" stroked="false">
              <v:textbox inset="0,0,0,0">
                <w:txbxContent>
                  <w:p>
                    <w:pPr>
                      <w:spacing w:line="123" w:lineRule="exact" w:before="0"/>
                      <w:ind w:left="0" w:right="0" w:firstLine="0"/>
                      <w:jc w:val="right"/>
                      <w:rPr>
                        <w:rFonts w:ascii="Calibri"/>
                        <w:sz w:val="12"/>
                      </w:rPr>
                    </w:pPr>
                    <w:r>
                      <w:rPr>
                        <w:rFonts w:ascii="Calibri"/>
                        <w:sz w:val="12"/>
                      </w:rPr>
                      <w:t>2.05</w:t>
                    </w:r>
                  </w:p>
                  <w:p>
                    <w:pPr>
                      <w:spacing w:line="240" w:lineRule="auto" w:before="0"/>
                      <w:rPr>
                        <w:sz w:val="11"/>
                      </w:rPr>
                    </w:pPr>
                  </w:p>
                  <w:p>
                    <w:pPr>
                      <w:spacing w:before="1"/>
                      <w:ind w:left="0" w:right="0" w:firstLine="0"/>
                      <w:jc w:val="right"/>
                      <w:rPr>
                        <w:rFonts w:ascii="Calibri"/>
                        <w:sz w:val="12"/>
                      </w:rPr>
                    </w:pPr>
                    <w:r>
                      <w:rPr>
                        <w:rFonts w:ascii="Calibri"/>
                        <w:sz w:val="12"/>
                      </w:rPr>
                      <w:t>1.95</w:t>
                    </w:r>
                  </w:p>
                  <w:p>
                    <w:pPr>
                      <w:spacing w:line="240" w:lineRule="auto" w:before="0"/>
                      <w:rPr>
                        <w:sz w:val="12"/>
                      </w:rPr>
                    </w:pPr>
                  </w:p>
                  <w:p>
                    <w:pPr>
                      <w:spacing w:line="240" w:lineRule="auto" w:before="0"/>
                      <w:rPr>
                        <w:sz w:val="12"/>
                      </w:rPr>
                    </w:pPr>
                  </w:p>
                  <w:p>
                    <w:pPr>
                      <w:spacing w:line="240" w:lineRule="auto" w:before="0"/>
                      <w:rPr>
                        <w:sz w:val="12"/>
                      </w:rPr>
                    </w:pPr>
                  </w:p>
                  <w:p>
                    <w:pPr>
                      <w:spacing w:line="240" w:lineRule="auto" w:before="0"/>
                      <w:rPr>
                        <w:sz w:val="12"/>
                      </w:rPr>
                    </w:pPr>
                  </w:p>
                  <w:p>
                    <w:pPr>
                      <w:spacing w:line="240" w:lineRule="auto" w:before="7"/>
                      <w:rPr>
                        <w:sz w:val="9"/>
                      </w:rPr>
                    </w:pPr>
                  </w:p>
                  <w:p>
                    <w:pPr>
                      <w:spacing w:line="145" w:lineRule="exact" w:before="0"/>
                      <w:ind w:left="0" w:right="0" w:firstLine="0"/>
                      <w:jc w:val="left"/>
                      <w:rPr>
                        <w:rFonts w:ascii="Calibri"/>
                        <w:sz w:val="12"/>
                      </w:rPr>
                    </w:pPr>
                    <w:r>
                      <w:rPr>
                        <w:rFonts w:ascii="Calibri"/>
                        <w:sz w:val="12"/>
                      </w:rPr>
                      <w:t>1.30</w:t>
                    </w:r>
                  </w:p>
                </w:txbxContent>
              </v:textbox>
              <w10:wrap type="none"/>
            </v:shape>
            <v:shape style="position:absolute;left:3231;top:2594;width:1551;height:336" type="#_x0000_t202" filled="false" stroked="false">
              <v:textbox inset="0,0,0,0">
                <w:txbxContent>
                  <w:p>
                    <w:pPr>
                      <w:spacing w:line="152" w:lineRule="exact" w:before="0"/>
                      <w:ind w:left="0" w:right="-11" w:firstLine="0"/>
                      <w:jc w:val="left"/>
                      <w:rPr>
                        <w:rFonts w:ascii="Constantia" w:hAnsi="Constantia"/>
                        <w:b/>
                        <w:sz w:val="15"/>
                      </w:rPr>
                    </w:pPr>
                    <w:r>
                      <w:rPr>
                        <w:rFonts w:ascii="Constantia" w:hAnsi="Constantia"/>
                        <w:b/>
                        <w:sz w:val="15"/>
                      </w:rPr>
                      <w:t>(d)</w:t>
                    </w:r>
                    <w:r>
                      <w:rPr>
                        <w:rFonts w:ascii="Constantia" w:hAnsi="Constantia"/>
                        <w:b/>
                        <w:spacing w:val="-19"/>
                        <w:sz w:val="15"/>
                      </w:rPr>
                      <w:t> </w:t>
                    </w:r>
                    <w:r>
                      <w:rPr>
                        <w:rFonts w:ascii="Constantia" w:hAnsi="Constantia"/>
                        <w:b/>
                        <w:sz w:val="15"/>
                      </w:rPr>
                      <w:t>tasa</w:t>
                    </w:r>
                    <w:r>
                      <w:rPr>
                        <w:rFonts w:ascii="Constantia" w:hAnsi="Constantia"/>
                        <w:b/>
                        <w:spacing w:val="-15"/>
                        <w:sz w:val="15"/>
                      </w:rPr>
                      <w:t> </w:t>
                    </w:r>
                    <w:r>
                      <w:rPr>
                        <w:rFonts w:ascii="Constantia" w:hAnsi="Constantia"/>
                        <w:b/>
                        <w:sz w:val="15"/>
                      </w:rPr>
                      <w:t>de</w:t>
                    </w:r>
                    <w:r>
                      <w:rPr>
                        <w:rFonts w:ascii="Constantia" w:hAnsi="Constantia"/>
                        <w:b/>
                        <w:spacing w:val="-15"/>
                        <w:sz w:val="15"/>
                      </w:rPr>
                      <w:t> </w:t>
                    </w:r>
                    <w:r>
                      <w:rPr>
                        <w:rFonts w:ascii="Constantia" w:hAnsi="Constantia"/>
                        <w:b/>
                        <w:sz w:val="15"/>
                      </w:rPr>
                      <w:t>interés</w:t>
                    </w:r>
                    <w:r>
                      <w:rPr>
                        <w:rFonts w:ascii="Constantia" w:hAnsi="Constantia"/>
                        <w:b/>
                        <w:spacing w:val="-20"/>
                        <w:sz w:val="15"/>
                      </w:rPr>
                      <w:t> </w:t>
                    </w:r>
                    <w:r>
                      <w:rPr>
                        <w:rFonts w:ascii="Constantia" w:hAnsi="Constantia"/>
                        <w:b/>
                        <w:sz w:val="15"/>
                      </w:rPr>
                      <w:t>Res.</w:t>
                    </w:r>
                  </w:p>
                  <w:p>
                    <w:pPr>
                      <w:spacing w:line="180" w:lineRule="exact" w:before="3"/>
                      <w:ind w:left="470" w:right="-11" w:firstLine="0"/>
                      <w:jc w:val="left"/>
                      <w:rPr>
                        <w:rFonts w:ascii="Constantia"/>
                        <w:b/>
                        <w:sz w:val="15"/>
                      </w:rPr>
                    </w:pPr>
                    <w:r>
                      <w:rPr>
                        <w:rFonts w:ascii="Constantia"/>
                        <w:b/>
                        <w:sz w:val="15"/>
                      </w:rPr>
                      <w:t>Fed. EUA</w:t>
                    </w:r>
                  </w:p>
                </w:txbxContent>
              </v:textbox>
              <w10:wrap type="none"/>
            </v:shape>
            <v:shape style="position:absolute;left:5271;top:2580;width:217;height:122" type="#_x0000_t202" filled="false" stroked="false">
              <v:textbox inset="0,0,0,0">
                <w:txbxContent>
                  <w:p>
                    <w:pPr>
                      <w:spacing w:line="121" w:lineRule="exact" w:before="0"/>
                      <w:ind w:left="0" w:right="-16" w:firstLine="0"/>
                      <w:jc w:val="left"/>
                      <w:rPr>
                        <w:rFonts w:ascii="Calibri"/>
                        <w:sz w:val="12"/>
                      </w:rPr>
                    </w:pPr>
                    <w:r>
                      <w:rPr>
                        <w:rFonts w:ascii="Calibri"/>
                        <w:sz w:val="12"/>
                      </w:rPr>
                      <w:t>2.50</w:t>
                    </w:r>
                  </w:p>
                </w:txbxContent>
              </v:textbox>
              <w10:wrap type="none"/>
            </v:shape>
            <v:shape style="position:absolute;left:5700;top:2578;width:1713;height:336" type="#_x0000_t202" filled="false" stroked="false">
              <v:textbox inset="0,0,0,0">
                <w:txbxContent>
                  <w:p>
                    <w:pPr>
                      <w:spacing w:line="152" w:lineRule="exact" w:before="0"/>
                      <w:ind w:left="0" w:right="-11" w:firstLine="0"/>
                      <w:jc w:val="left"/>
                      <w:rPr>
                        <w:rFonts w:ascii="Constantia"/>
                        <w:b/>
                        <w:sz w:val="15"/>
                      </w:rPr>
                    </w:pPr>
                    <w:r>
                      <w:rPr>
                        <w:rFonts w:ascii="Constantia"/>
                        <w:b/>
                        <w:sz w:val="15"/>
                      </w:rPr>
                      <w:t>(e)</w:t>
                    </w:r>
                    <w:r>
                      <w:rPr>
                        <w:rFonts w:ascii="Constantia"/>
                        <w:b/>
                        <w:spacing w:val="-14"/>
                        <w:sz w:val="15"/>
                      </w:rPr>
                      <w:t> </w:t>
                    </w:r>
                    <w:r>
                      <w:rPr>
                        <w:rFonts w:ascii="Constantia"/>
                        <w:b/>
                        <w:spacing w:val="-3"/>
                        <w:sz w:val="15"/>
                      </w:rPr>
                      <w:t>Tasa</w:t>
                    </w:r>
                    <w:r>
                      <w:rPr>
                        <w:rFonts w:ascii="Constantia"/>
                        <w:b/>
                        <w:spacing w:val="-8"/>
                        <w:sz w:val="15"/>
                      </w:rPr>
                      <w:t> </w:t>
                    </w:r>
                    <w:r>
                      <w:rPr>
                        <w:rFonts w:ascii="Constantia"/>
                        <w:b/>
                        <w:sz w:val="15"/>
                      </w:rPr>
                      <w:t>de</w:t>
                    </w:r>
                    <w:r>
                      <w:rPr>
                        <w:rFonts w:ascii="Constantia"/>
                        <w:b/>
                        <w:spacing w:val="-8"/>
                        <w:sz w:val="15"/>
                      </w:rPr>
                      <w:t> </w:t>
                    </w:r>
                    <w:r>
                      <w:rPr>
                        <w:rFonts w:ascii="Constantia"/>
                        <w:b/>
                        <w:sz w:val="15"/>
                      </w:rPr>
                      <w:t>Crec.</w:t>
                    </w:r>
                    <w:r>
                      <w:rPr>
                        <w:rFonts w:ascii="Constantia"/>
                        <w:b/>
                        <w:spacing w:val="-8"/>
                        <w:sz w:val="15"/>
                      </w:rPr>
                      <w:t> </w:t>
                    </w:r>
                    <w:r>
                      <w:rPr>
                        <w:rFonts w:ascii="Constantia"/>
                        <w:b/>
                        <w:sz w:val="15"/>
                      </w:rPr>
                      <w:t>PIB</w:t>
                    </w:r>
                    <w:r>
                      <w:rPr>
                        <w:rFonts w:ascii="Constantia"/>
                        <w:b/>
                        <w:spacing w:val="-8"/>
                        <w:sz w:val="15"/>
                      </w:rPr>
                      <w:t> </w:t>
                    </w:r>
                    <w:r>
                      <w:rPr>
                        <w:rFonts w:ascii="Constantia"/>
                        <w:b/>
                        <w:sz w:val="15"/>
                      </w:rPr>
                      <w:t>real</w:t>
                    </w:r>
                  </w:p>
                  <w:p>
                    <w:pPr>
                      <w:spacing w:line="180" w:lineRule="exact" w:before="3"/>
                      <w:ind w:left="616" w:right="625" w:firstLine="0"/>
                      <w:jc w:val="center"/>
                      <w:rPr>
                        <w:rFonts w:ascii="Constantia"/>
                        <w:b/>
                        <w:sz w:val="15"/>
                      </w:rPr>
                    </w:pPr>
                    <w:r>
                      <w:rPr>
                        <w:rFonts w:ascii="Constantia"/>
                        <w:b/>
                        <w:sz w:val="15"/>
                      </w:rPr>
                      <w:t>OECD</w:t>
                    </w:r>
                  </w:p>
                </w:txbxContent>
              </v:textbox>
              <w10:wrap type="none"/>
            </v:shape>
            <v:shape style="position:absolute;left:2787;top:2916;width:218;height:122" type="#_x0000_t202" filled="false" stroked="false">
              <v:textbox inset="0,0,0,0">
                <w:txbxContent>
                  <w:p>
                    <w:pPr>
                      <w:spacing w:line="121" w:lineRule="exact" w:before="0"/>
                      <w:ind w:left="0" w:right="-15" w:firstLine="0"/>
                      <w:jc w:val="left"/>
                      <w:rPr>
                        <w:rFonts w:ascii="Calibri"/>
                        <w:sz w:val="12"/>
                      </w:rPr>
                    </w:pPr>
                    <w:r>
                      <w:rPr>
                        <w:rFonts w:ascii="Calibri"/>
                        <w:sz w:val="12"/>
                      </w:rPr>
                      <w:t>0.80</w:t>
                    </w:r>
                  </w:p>
                </w:txbxContent>
              </v:textbox>
              <w10:wrap type="none"/>
            </v:shape>
            <v:shape style="position:absolute;left:5271;top:2879;width:217;height:122" type="#_x0000_t202" filled="false" stroked="false">
              <v:textbox inset="0,0,0,0">
                <w:txbxContent>
                  <w:p>
                    <w:pPr>
                      <w:spacing w:line="121" w:lineRule="exact" w:before="0"/>
                      <w:ind w:left="0" w:right="-16" w:firstLine="0"/>
                      <w:jc w:val="left"/>
                      <w:rPr>
                        <w:rFonts w:ascii="Calibri"/>
                        <w:sz w:val="12"/>
                      </w:rPr>
                    </w:pPr>
                    <w:r>
                      <w:rPr>
                        <w:rFonts w:ascii="Calibri"/>
                        <w:sz w:val="12"/>
                      </w:rPr>
                      <w:t>1.50</w:t>
                    </w:r>
                  </w:p>
                </w:txbxContent>
              </v:textbox>
              <w10:wrap type="none"/>
            </v:shape>
            <v:shape style="position:absolute;left:2787;top:3204;width:218;height:121" type="#_x0000_t202" filled="false" stroked="false">
              <v:textbox inset="0,0,0,0">
                <w:txbxContent>
                  <w:p>
                    <w:pPr>
                      <w:spacing w:line="121" w:lineRule="exact" w:before="0"/>
                      <w:ind w:left="0" w:right="-15" w:firstLine="0"/>
                      <w:jc w:val="left"/>
                      <w:rPr>
                        <w:rFonts w:ascii="Calibri"/>
                        <w:sz w:val="12"/>
                      </w:rPr>
                    </w:pPr>
                    <w:r>
                      <w:rPr>
                        <w:rFonts w:ascii="Calibri"/>
                        <w:sz w:val="12"/>
                      </w:rPr>
                      <w:t>0.30</w:t>
                    </w:r>
                  </w:p>
                </w:txbxContent>
              </v:textbox>
              <w10:wrap type="none"/>
            </v:shape>
            <v:shape style="position:absolute;left:5271;top:3178;width:217;height:122" type="#_x0000_t202" filled="false" stroked="false">
              <v:textbox inset="0,0,0,0">
                <w:txbxContent>
                  <w:p>
                    <w:pPr>
                      <w:spacing w:line="121" w:lineRule="exact" w:before="0"/>
                      <w:ind w:left="0" w:right="-16" w:firstLine="0"/>
                      <w:jc w:val="left"/>
                      <w:rPr>
                        <w:rFonts w:ascii="Calibri"/>
                        <w:sz w:val="12"/>
                      </w:rPr>
                    </w:pPr>
                    <w:r>
                      <w:rPr>
                        <w:rFonts w:ascii="Calibri"/>
                        <w:sz w:val="12"/>
                      </w:rPr>
                      <w:t>0.50</w:t>
                    </w:r>
                  </w:p>
                </w:txbxContent>
              </v:textbox>
              <w10:wrap type="none"/>
            </v:shape>
            <v:shape style="position:absolute;left:2736;top:3491;width:295;height:122" type="#_x0000_t202" filled="false" stroked="false">
              <v:textbox inset="0,0,0,0">
                <w:txbxContent>
                  <w:p>
                    <w:pPr>
                      <w:spacing w:line="121" w:lineRule="exact" w:before="0"/>
                      <w:ind w:left="0" w:right="-11" w:firstLine="0"/>
                      <w:jc w:val="left"/>
                      <w:rPr>
                        <w:rFonts w:ascii="Calibri"/>
                        <w:sz w:val="12"/>
                      </w:rPr>
                    </w:pPr>
                    <w:r>
                      <w:rPr>
                        <w:rFonts w:ascii="Calibri"/>
                        <w:sz w:val="12"/>
                      </w:rPr>
                      <w:t>(0.20)</w:t>
                    </w:r>
                  </w:p>
                </w:txbxContent>
              </v:textbox>
              <w10:wrap type="none"/>
            </v:shape>
            <v:shape style="position:absolute;left:5220;top:3478;width:294;height:122" type="#_x0000_t202" filled="false" stroked="false">
              <v:textbox inset="0,0,0,0">
                <w:txbxContent>
                  <w:p>
                    <w:pPr>
                      <w:spacing w:line="121" w:lineRule="exact" w:before="0"/>
                      <w:ind w:left="0" w:right="-12" w:firstLine="0"/>
                      <w:jc w:val="left"/>
                      <w:rPr>
                        <w:rFonts w:ascii="Calibri"/>
                        <w:sz w:val="12"/>
                      </w:rPr>
                    </w:pPr>
                    <w:r>
                      <w:rPr>
                        <w:rFonts w:ascii="Calibri"/>
                        <w:sz w:val="12"/>
                      </w:rPr>
                      <w:t>(0.50)</w:t>
                    </w:r>
                  </w:p>
                </w:txbxContent>
              </v:textbox>
              <w10:wrap type="none"/>
            </v:shape>
            <v:shape style="position:absolute;left:7897;top:2561;width:217;height:1217" type="#_x0000_t202" filled="false" stroked="false">
              <v:textbox inset="0,0,0,0">
                <w:txbxContent>
                  <w:p>
                    <w:pPr>
                      <w:spacing w:line="123" w:lineRule="exact" w:before="0"/>
                      <w:ind w:left="0" w:right="-16" w:firstLine="0"/>
                      <w:jc w:val="left"/>
                      <w:rPr>
                        <w:rFonts w:ascii="Calibri"/>
                        <w:sz w:val="12"/>
                      </w:rPr>
                    </w:pPr>
                    <w:r>
                      <w:rPr>
                        <w:rFonts w:ascii="Calibri"/>
                        <w:sz w:val="12"/>
                      </w:rPr>
                      <w:t>2.49</w:t>
                    </w:r>
                  </w:p>
                  <w:p>
                    <w:pPr>
                      <w:spacing w:before="36"/>
                      <w:ind w:left="0" w:right="-16" w:firstLine="0"/>
                      <w:jc w:val="left"/>
                      <w:rPr>
                        <w:rFonts w:ascii="Calibri"/>
                        <w:sz w:val="12"/>
                      </w:rPr>
                    </w:pPr>
                    <w:r>
                      <w:rPr>
                        <w:rFonts w:ascii="Calibri"/>
                        <w:sz w:val="12"/>
                      </w:rPr>
                      <w:t>2.29</w:t>
                    </w:r>
                  </w:p>
                  <w:p>
                    <w:pPr>
                      <w:spacing w:before="36"/>
                      <w:ind w:left="0" w:right="-16" w:firstLine="0"/>
                      <w:jc w:val="left"/>
                      <w:rPr>
                        <w:rFonts w:ascii="Calibri"/>
                        <w:sz w:val="12"/>
                      </w:rPr>
                    </w:pPr>
                    <w:r>
                      <w:rPr>
                        <w:rFonts w:ascii="Calibri"/>
                        <w:sz w:val="12"/>
                      </w:rPr>
                      <w:t>2.09</w:t>
                    </w:r>
                  </w:p>
                  <w:p>
                    <w:pPr>
                      <w:spacing w:before="36"/>
                      <w:ind w:left="0" w:right="-16" w:firstLine="0"/>
                      <w:jc w:val="left"/>
                      <w:rPr>
                        <w:rFonts w:ascii="Calibri"/>
                        <w:sz w:val="12"/>
                      </w:rPr>
                    </w:pPr>
                    <w:r>
                      <w:rPr>
                        <w:rFonts w:ascii="Calibri"/>
                        <w:sz w:val="12"/>
                      </w:rPr>
                      <w:t>1.89</w:t>
                    </w:r>
                  </w:p>
                  <w:p>
                    <w:pPr>
                      <w:spacing w:before="36"/>
                      <w:ind w:left="0" w:right="-16" w:firstLine="0"/>
                      <w:jc w:val="left"/>
                      <w:rPr>
                        <w:rFonts w:ascii="Calibri"/>
                        <w:sz w:val="12"/>
                      </w:rPr>
                    </w:pPr>
                    <w:r>
                      <w:rPr>
                        <w:rFonts w:ascii="Calibri"/>
                        <w:sz w:val="12"/>
                      </w:rPr>
                      <w:t>1.69</w:t>
                    </w:r>
                  </w:p>
                  <w:p>
                    <w:pPr>
                      <w:spacing w:before="36"/>
                      <w:ind w:left="0" w:right="-16" w:firstLine="0"/>
                      <w:jc w:val="left"/>
                      <w:rPr>
                        <w:rFonts w:ascii="Calibri"/>
                        <w:sz w:val="12"/>
                      </w:rPr>
                    </w:pPr>
                    <w:r>
                      <w:rPr>
                        <w:rFonts w:ascii="Calibri"/>
                        <w:sz w:val="12"/>
                      </w:rPr>
                      <w:t>1.49</w:t>
                    </w:r>
                  </w:p>
                  <w:p>
                    <w:pPr>
                      <w:spacing w:line="145" w:lineRule="exact" w:before="36"/>
                      <w:ind w:left="0" w:right="-16" w:firstLine="0"/>
                      <w:jc w:val="left"/>
                      <w:rPr>
                        <w:rFonts w:ascii="Calibri"/>
                        <w:sz w:val="12"/>
                      </w:rPr>
                    </w:pPr>
                    <w:r>
                      <w:rPr>
                        <w:rFonts w:ascii="Calibri"/>
                        <w:sz w:val="12"/>
                      </w:rPr>
                      <w:t>1.29</w:t>
                    </w:r>
                  </w:p>
                </w:txbxContent>
              </v:textbox>
              <w10:wrap type="none"/>
            </v:shape>
            <v:shape style="position:absolute;left:8311;top:2597;width:2002;height:336" type="#_x0000_t202" filled="false" stroked="false">
              <v:textbox inset="0,0,0,0">
                <w:txbxContent>
                  <w:p>
                    <w:pPr>
                      <w:spacing w:line="152" w:lineRule="exact" w:before="0"/>
                      <w:ind w:left="0" w:right="0" w:firstLine="0"/>
                      <w:jc w:val="center"/>
                      <w:rPr>
                        <w:rFonts w:ascii="Constantia" w:hAnsi="Constantia"/>
                        <w:b/>
                        <w:sz w:val="15"/>
                      </w:rPr>
                    </w:pPr>
                    <w:r>
                      <w:rPr>
                        <w:rFonts w:ascii="Constantia" w:hAnsi="Constantia"/>
                        <w:b/>
                        <w:sz w:val="15"/>
                      </w:rPr>
                      <w:t>(f</w:t>
                    </w:r>
                    <w:r>
                      <w:rPr>
                        <w:rFonts w:ascii="Constantia" w:hAnsi="Constantia"/>
                        <w:b/>
                        <w:spacing w:val="-22"/>
                        <w:sz w:val="15"/>
                      </w:rPr>
                      <w:t> </w:t>
                    </w:r>
                    <w:r>
                      <w:rPr>
                        <w:rFonts w:ascii="Constantia" w:hAnsi="Constantia"/>
                        <w:b/>
                        <w:sz w:val="15"/>
                      </w:rPr>
                      <w:t>)</w:t>
                    </w:r>
                    <w:r>
                      <w:rPr>
                        <w:rFonts w:ascii="Constantia" w:hAnsi="Constantia"/>
                        <w:b/>
                        <w:spacing w:val="-19"/>
                        <w:sz w:val="15"/>
                      </w:rPr>
                      <w:t> </w:t>
                    </w:r>
                    <w:r>
                      <w:rPr>
                        <w:rFonts w:ascii="Constantia" w:hAnsi="Constantia"/>
                        <w:b/>
                        <w:sz w:val="15"/>
                      </w:rPr>
                      <w:t>Índice</w:t>
                    </w:r>
                    <w:r>
                      <w:rPr>
                        <w:rFonts w:ascii="Constantia" w:hAnsi="Constantia"/>
                        <w:b/>
                        <w:spacing w:val="-15"/>
                        <w:sz w:val="15"/>
                      </w:rPr>
                      <w:t> </w:t>
                    </w:r>
                    <w:r>
                      <w:rPr>
                        <w:rFonts w:ascii="Constantia" w:hAnsi="Constantia"/>
                        <w:b/>
                        <w:sz w:val="15"/>
                      </w:rPr>
                      <w:t>mundial</w:t>
                    </w:r>
                    <w:r>
                      <w:rPr>
                        <w:rFonts w:ascii="Constantia" w:hAnsi="Constantia"/>
                        <w:b/>
                        <w:spacing w:val="-19"/>
                        <w:sz w:val="15"/>
                      </w:rPr>
                      <w:t> </w:t>
                    </w:r>
                    <w:r>
                      <w:rPr>
                        <w:rFonts w:ascii="Constantia" w:hAnsi="Constantia"/>
                        <w:b/>
                        <w:sz w:val="15"/>
                      </w:rPr>
                      <w:t>del</w:t>
                    </w:r>
                    <w:r>
                      <w:rPr>
                        <w:rFonts w:ascii="Constantia" w:hAnsi="Constantia"/>
                        <w:b/>
                        <w:spacing w:val="-13"/>
                        <w:sz w:val="15"/>
                      </w:rPr>
                      <w:t> </w:t>
                    </w:r>
                    <w:r>
                      <w:rPr>
                        <w:rFonts w:ascii="Constantia" w:hAnsi="Constantia"/>
                        <w:b/>
                        <w:sz w:val="15"/>
                      </w:rPr>
                      <w:t>Precio</w:t>
                    </w:r>
                  </w:p>
                  <w:p>
                    <w:pPr>
                      <w:spacing w:line="180" w:lineRule="exact" w:before="3"/>
                      <w:ind w:left="0" w:right="5" w:firstLine="0"/>
                      <w:jc w:val="center"/>
                      <w:rPr>
                        <w:rFonts w:ascii="Constantia" w:hAnsi="Constantia"/>
                        <w:b/>
                        <w:sz w:val="15"/>
                      </w:rPr>
                    </w:pPr>
                    <w:r>
                      <w:rPr>
                        <w:rFonts w:ascii="Constantia" w:hAnsi="Constantia"/>
                        <w:b/>
                        <w:sz w:val="15"/>
                      </w:rPr>
                      <w:t>del Petróleo</w:t>
                    </w:r>
                  </w:p>
                </w:txbxContent>
              </v:textbox>
              <w10:wrap type="none"/>
            </v:shape>
            <v:shape style="position:absolute;left:2736;top:3779;width:295;height:121" type="#_x0000_t202" filled="false" stroked="false">
              <v:textbox inset="0,0,0,0">
                <w:txbxContent>
                  <w:p>
                    <w:pPr>
                      <w:spacing w:line="121" w:lineRule="exact" w:before="0"/>
                      <w:ind w:left="0" w:right="-11" w:firstLine="0"/>
                      <w:jc w:val="left"/>
                      <w:rPr>
                        <w:rFonts w:ascii="Calibri"/>
                        <w:sz w:val="12"/>
                      </w:rPr>
                    </w:pPr>
                    <w:r>
                      <w:rPr>
                        <w:rFonts w:ascii="Calibri"/>
                        <w:sz w:val="12"/>
                      </w:rPr>
                      <w:t>(0.70)</w:t>
                    </w:r>
                  </w:p>
                </w:txbxContent>
              </v:textbox>
              <w10:wrap type="none"/>
            </v:shape>
            <v:shape style="position:absolute;left:5220;top:3777;width:294;height:121" type="#_x0000_t202" filled="false" stroked="false">
              <v:textbox inset="0,0,0,0">
                <w:txbxContent>
                  <w:p>
                    <w:pPr>
                      <w:spacing w:line="121" w:lineRule="exact" w:before="0"/>
                      <w:ind w:left="0" w:right="-12" w:firstLine="0"/>
                      <w:jc w:val="left"/>
                      <w:rPr>
                        <w:rFonts w:ascii="Calibri"/>
                        <w:sz w:val="12"/>
                      </w:rPr>
                    </w:pPr>
                    <w:r>
                      <w:rPr>
                        <w:rFonts w:ascii="Calibri"/>
                        <w:sz w:val="12"/>
                      </w:rPr>
                      <w:t>(1.50)</w:t>
                    </w:r>
                  </w:p>
                </w:txbxContent>
              </v:textbox>
              <w10:wrap type="none"/>
            </v:shape>
            <v:shape style="position:absolute;left:2736;top:4067;width:295;height:122" type="#_x0000_t202" filled="false" stroked="false">
              <v:textbox inset="0,0,0,0">
                <w:txbxContent>
                  <w:p>
                    <w:pPr>
                      <w:spacing w:line="121" w:lineRule="exact" w:before="0"/>
                      <w:ind w:left="0" w:right="-11" w:firstLine="0"/>
                      <w:jc w:val="left"/>
                      <w:rPr>
                        <w:rFonts w:ascii="Calibri"/>
                        <w:sz w:val="12"/>
                      </w:rPr>
                    </w:pPr>
                    <w:r>
                      <w:rPr>
                        <w:rFonts w:ascii="Calibri"/>
                        <w:sz w:val="12"/>
                      </w:rPr>
                      <w:t>(1.20)</w:t>
                    </w:r>
                  </w:p>
                </w:txbxContent>
              </v:textbox>
              <w10:wrap type="none"/>
            </v:shape>
            <v:shape style="position:absolute;left:5220;top:4076;width:294;height:122" type="#_x0000_t202" filled="false" stroked="false">
              <v:textbox inset="0,0,0,0">
                <w:txbxContent>
                  <w:p>
                    <w:pPr>
                      <w:spacing w:line="121" w:lineRule="exact" w:before="0"/>
                      <w:ind w:left="0" w:right="-12" w:firstLine="0"/>
                      <w:jc w:val="left"/>
                      <w:rPr>
                        <w:rFonts w:ascii="Calibri"/>
                        <w:sz w:val="12"/>
                      </w:rPr>
                    </w:pPr>
                    <w:r>
                      <w:rPr>
                        <w:rFonts w:ascii="Calibri"/>
                        <w:sz w:val="12"/>
                      </w:rPr>
                      <w:t>(2.50)</w:t>
                    </w:r>
                  </w:p>
                </w:txbxContent>
              </v:textbox>
              <w10:wrap type="none"/>
            </v:shape>
            <w10:wrap type="none"/>
          </v:group>
        </w:pict>
      </w:r>
      <w:r>
        <w:rPr/>
        <w:pict>
          <v:shape style="position:absolute;margin-left:151.814758pt;margin-top:96.102188pt;width:91.9pt;height:20.2pt;mso-position-horizontal-relative:page;mso-position-vertical-relative:paragraph;z-index:5728" type="#_x0000_t202" filled="false" stroked="false">
            <v:textbox inset="0,0,0,0" style="layout-flow:vertical;mso-layout-flow-alt:bottom-to-top">
              <w:txbxContent>
                <w:p>
                  <w:pPr>
                    <w:spacing w:line="304" w:lineRule="auto" w:before="0"/>
                    <w:ind w:left="20" w:right="18" w:firstLine="0"/>
                    <w:jc w:val="both"/>
                    <w:rPr>
                      <w:rFonts w:ascii="Calibri"/>
                      <w:sz w:val="12"/>
                    </w:rPr>
                  </w:pPr>
                  <w:r>
                    <w:rPr>
                      <w:rFonts w:ascii="Calibri"/>
                      <w:spacing w:val="-4"/>
                      <w:w w:val="100"/>
                      <w:sz w:val="12"/>
                    </w:rPr>
                    <w:t>m</w:t>
                  </w:r>
                  <w:r>
                    <w:rPr>
                      <w:rFonts w:ascii="Calibri"/>
                      <w:spacing w:val="-3"/>
                      <w:w w:val="100"/>
                      <w:sz w:val="12"/>
                    </w:rPr>
                    <w:t>a</w:t>
                  </w:r>
                  <w:r>
                    <w:rPr>
                      <w:rFonts w:ascii="Calibri"/>
                      <w:spacing w:val="4"/>
                      <w:w w:val="100"/>
                      <w:sz w:val="12"/>
                    </w:rPr>
                    <w:t>r</w:t>
                  </w:r>
                  <w:r>
                    <w:rPr>
                      <w:rFonts w:ascii="Calibri"/>
                      <w:w w:val="100"/>
                      <w:sz w:val="12"/>
                    </w:rPr>
                    <w:t>-</w:t>
                  </w:r>
                  <w:r>
                    <w:rPr>
                      <w:rFonts w:ascii="Calibri"/>
                      <w:spacing w:val="3"/>
                      <w:w w:val="100"/>
                      <w:sz w:val="12"/>
                    </w:rPr>
                    <w:t>92 </w:t>
                  </w:r>
                  <w:r>
                    <w:rPr>
                      <w:rFonts w:ascii="Calibri"/>
                      <w:spacing w:val="-4"/>
                      <w:w w:val="101"/>
                      <w:sz w:val="12"/>
                    </w:rPr>
                    <w:t>m</w:t>
                  </w:r>
                  <w:r>
                    <w:rPr>
                      <w:rFonts w:ascii="Calibri"/>
                      <w:spacing w:val="-3"/>
                      <w:w w:val="101"/>
                      <w:sz w:val="12"/>
                    </w:rPr>
                    <w:t>a</w:t>
                  </w:r>
                  <w:r>
                    <w:rPr>
                      <w:rFonts w:ascii="Calibri"/>
                      <w:spacing w:val="4"/>
                      <w:w w:val="101"/>
                      <w:sz w:val="12"/>
                    </w:rPr>
                    <w:t>r</w:t>
                  </w:r>
                  <w:r>
                    <w:rPr>
                      <w:rFonts w:ascii="Calibri"/>
                      <w:w w:val="101"/>
                      <w:sz w:val="12"/>
                    </w:rPr>
                    <w:t>-</w:t>
                  </w:r>
                  <w:r>
                    <w:rPr>
                      <w:rFonts w:ascii="Calibri"/>
                      <w:spacing w:val="3"/>
                      <w:w w:val="101"/>
                      <w:sz w:val="12"/>
                    </w:rPr>
                    <w:t>94 </w:t>
                  </w:r>
                  <w:r>
                    <w:rPr>
                      <w:rFonts w:ascii="Calibri"/>
                      <w:spacing w:val="-4"/>
                      <w:w w:val="100"/>
                      <w:sz w:val="12"/>
                    </w:rPr>
                    <w:t>m</w:t>
                  </w:r>
                  <w:r>
                    <w:rPr>
                      <w:rFonts w:ascii="Calibri"/>
                      <w:spacing w:val="-3"/>
                      <w:w w:val="100"/>
                      <w:sz w:val="12"/>
                    </w:rPr>
                    <w:t>a</w:t>
                  </w:r>
                  <w:r>
                    <w:rPr>
                      <w:rFonts w:ascii="Calibri"/>
                      <w:spacing w:val="4"/>
                      <w:w w:val="100"/>
                      <w:sz w:val="12"/>
                    </w:rPr>
                    <w:t>r</w:t>
                  </w:r>
                  <w:r>
                    <w:rPr>
                      <w:rFonts w:ascii="Calibri"/>
                      <w:w w:val="100"/>
                      <w:sz w:val="12"/>
                    </w:rPr>
                    <w:t>-</w:t>
                  </w:r>
                  <w:r>
                    <w:rPr>
                      <w:rFonts w:ascii="Calibri"/>
                      <w:spacing w:val="3"/>
                      <w:w w:val="100"/>
                      <w:sz w:val="12"/>
                    </w:rPr>
                    <w:t>96 </w:t>
                  </w:r>
                  <w:r>
                    <w:rPr>
                      <w:rFonts w:ascii="Calibri"/>
                      <w:spacing w:val="-4"/>
                      <w:w w:val="100"/>
                      <w:sz w:val="12"/>
                    </w:rPr>
                    <w:t>m</w:t>
                  </w:r>
                  <w:r>
                    <w:rPr>
                      <w:rFonts w:ascii="Calibri"/>
                      <w:spacing w:val="-3"/>
                      <w:w w:val="100"/>
                      <w:sz w:val="12"/>
                    </w:rPr>
                    <w:t>a</w:t>
                  </w:r>
                  <w:r>
                    <w:rPr>
                      <w:rFonts w:ascii="Calibri"/>
                      <w:spacing w:val="4"/>
                      <w:w w:val="100"/>
                      <w:sz w:val="12"/>
                    </w:rPr>
                    <w:t>r</w:t>
                  </w:r>
                  <w:r>
                    <w:rPr>
                      <w:rFonts w:ascii="Calibri"/>
                      <w:w w:val="100"/>
                      <w:sz w:val="12"/>
                    </w:rPr>
                    <w:t>-</w:t>
                  </w:r>
                  <w:r>
                    <w:rPr>
                      <w:rFonts w:ascii="Calibri"/>
                      <w:spacing w:val="3"/>
                      <w:w w:val="100"/>
                      <w:sz w:val="12"/>
                    </w:rPr>
                    <w:t>98 </w:t>
                  </w:r>
                  <w:r>
                    <w:rPr>
                      <w:rFonts w:ascii="Calibri"/>
                      <w:spacing w:val="-4"/>
                      <w:w w:val="101"/>
                      <w:sz w:val="12"/>
                    </w:rPr>
                    <w:t>m</w:t>
                  </w:r>
                  <w:r>
                    <w:rPr>
                      <w:rFonts w:ascii="Calibri"/>
                      <w:spacing w:val="-3"/>
                      <w:w w:val="101"/>
                      <w:sz w:val="12"/>
                    </w:rPr>
                    <w:t>a</w:t>
                  </w:r>
                  <w:r>
                    <w:rPr>
                      <w:rFonts w:ascii="Calibri"/>
                      <w:spacing w:val="4"/>
                      <w:w w:val="101"/>
                      <w:sz w:val="12"/>
                    </w:rPr>
                    <w:t>r</w:t>
                  </w:r>
                  <w:r>
                    <w:rPr>
                      <w:rFonts w:ascii="Calibri"/>
                      <w:w w:val="101"/>
                      <w:sz w:val="12"/>
                    </w:rPr>
                    <w:t>-</w:t>
                  </w:r>
                  <w:r>
                    <w:rPr>
                      <w:rFonts w:ascii="Calibri"/>
                      <w:spacing w:val="3"/>
                      <w:w w:val="101"/>
                      <w:sz w:val="12"/>
                    </w:rPr>
                    <w:t>00 </w:t>
                  </w:r>
                  <w:r>
                    <w:rPr>
                      <w:rFonts w:ascii="Calibri"/>
                      <w:spacing w:val="-4"/>
                      <w:w w:val="100"/>
                      <w:sz w:val="12"/>
                    </w:rPr>
                    <w:t>m</w:t>
                  </w:r>
                  <w:r>
                    <w:rPr>
                      <w:rFonts w:ascii="Calibri"/>
                      <w:spacing w:val="-3"/>
                      <w:w w:val="100"/>
                      <w:sz w:val="12"/>
                    </w:rPr>
                    <w:t>a</w:t>
                  </w:r>
                  <w:r>
                    <w:rPr>
                      <w:rFonts w:ascii="Calibri"/>
                      <w:spacing w:val="4"/>
                      <w:w w:val="100"/>
                      <w:sz w:val="12"/>
                    </w:rPr>
                    <w:t>r</w:t>
                  </w:r>
                  <w:r>
                    <w:rPr>
                      <w:rFonts w:ascii="Calibri"/>
                      <w:w w:val="100"/>
                      <w:sz w:val="12"/>
                    </w:rPr>
                    <w:t>-</w:t>
                  </w:r>
                  <w:r>
                    <w:rPr>
                      <w:rFonts w:ascii="Calibri"/>
                      <w:spacing w:val="3"/>
                      <w:w w:val="100"/>
                      <w:sz w:val="12"/>
                    </w:rPr>
                    <w:t>02 </w:t>
                  </w:r>
                  <w:r>
                    <w:rPr>
                      <w:rFonts w:ascii="Calibri"/>
                      <w:spacing w:val="-4"/>
                      <w:w w:val="100"/>
                      <w:sz w:val="12"/>
                    </w:rPr>
                    <w:t>m</w:t>
                  </w:r>
                  <w:r>
                    <w:rPr>
                      <w:rFonts w:ascii="Calibri"/>
                      <w:spacing w:val="-3"/>
                      <w:w w:val="100"/>
                      <w:sz w:val="12"/>
                    </w:rPr>
                    <w:t>a</w:t>
                  </w:r>
                  <w:r>
                    <w:rPr>
                      <w:rFonts w:ascii="Calibri"/>
                      <w:spacing w:val="4"/>
                      <w:w w:val="100"/>
                      <w:sz w:val="12"/>
                    </w:rPr>
                    <w:t>r</w:t>
                  </w:r>
                  <w:r>
                    <w:rPr>
                      <w:rFonts w:ascii="Calibri"/>
                      <w:w w:val="100"/>
                      <w:sz w:val="12"/>
                    </w:rPr>
                    <w:t>-</w:t>
                  </w:r>
                  <w:r>
                    <w:rPr>
                      <w:rFonts w:ascii="Calibri"/>
                      <w:spacing w:val="3"/>
                      <w:w w:val="100"/>
                      <w:sz w:val="12"/>
                    </w:rPr>
                    <w:t>04 </w:t>
                  </w:r>
                  <w:r>
                    <w:rPr>
                      <w:rFonts w:ascii="Calibri"/>
                      <w:spacing w:val="-4"/>
                      <w:w w:val="101"/>
                      <w:sz w:val="12"/>
                    </w:rPr>
                    <w:t>m</w:t>
                  </w:r>
                  <w:r>
                    <w:rPr>
                      <w:rFonts w:ascii="Calibri"/>
                      <w:spacing w:val="-3"/>
                      <w:w w:val="101"/>
                      <w:sz w:val="12"/>
                    </w:rPr>
                    <w:t>a</w:t>
                  </w:r>
                  <w:r>
                    <w:rPr>
                      <w:rFonts w:ascii="Calibri"/>
                      <w:spacing w:val="4"/>
                      <w:w w:val="101"/>
                      <w:sz w:val="12"/>
                    </w:rPr>
                    <w:t>r</w:t>
                  </w:r>
                  <w:r>
                    <w:rPr>
                      <w:rFonts w:ascii="Calibri"/>
                      <w:w w:val="101"/>
                      <w:sz w:val="12"/>
                    </w:rPr>
                    <w:t>-</w:t>
                  </w:r>
                  <w:r>
                    <w:rPr>
                      <w:rFonts w:ascii="Calibri"/>
                      <w:spacing w:val="3"/>
                      <w:w w:val="101"/>
                      <w:sz w:val="12"/>
                    </w:rPr>
                    <w:t>06 </w:t>
                  </w:r>
                  <w:r>
                    <w:rPr>
                      <w:rFonts w:ascii="Calibri"/>
                      <w:spacing w:val="-4"/>
                      <w:w w:val="100"/>
                      <w:sz w:val="12"/>
                    </w:rPr>
                    <w:t>m</w:t>
                  </w:r>
                  <w:r>
                    <w:rPr>
                      <w:rFonts w:ascii="Calibri"/>
                      <w:spacing w:val="-3"/>
                      <w:w w:val="100"/>
                      <w:sz w:val="12"/>
                    </w:rPr>
                    <w:t>a</w:t>
                  </w:r>
                  <w:r>
                    <w:rPr>
                      <w:rFonts w:ascii="Calibri"/>
                      <w:spacing w:val="4"/>
                      <w:w w:val="100"/>
                      <w:sz w:val="12"/>
                    </w:rPr>
                    <w:t>r</w:t>
                  </w:r>
                  <w:r>
                    <w:rPr>
                      <w:rFonts w:ascii="Calibri"/>
                      <w:w w:val="100"/>
                      <w:sz w:val="12"/>
                    </w:rPr>
                    <w:t>-</w:t>
                  </w:r>
                  <w:r>
                    <w:rPr>
                      <w:rFonts w:ascii="Calibri"/>
                      <w:spacing w:val="3"/>
                      <w:w w:val="100"/>
                      <w:sz w:val="12"/>
                    </w:rPr>
                    <w:t>08 </w:t>
                  </w:r>
                  <w:r>
                    <w:rPr>
                      <w:rFonts w:ascii="Calibri"/>
                      <w:spacing w:val="-4"/>
                      <w:w w:val="100"/>
                      <w:sz w:val="12"/>
                    </w:rPr>
                    <w:t>m</w:t>
                  </w:r>
                  <w:r>
                    <w:rPr>
                      <w:rFonts w:ascii="Calibri"/>
                      <w:spacing w:val="-3"/>
                      <w:w w:val="100"/>
                      <w:sz w:val="12"/>
                    </w:rPr>
                    <w:t>a</w:t>
                  </w:r>
                  <w:r>
                    <w:rPr>
                      <w:rFonts w:ascii="Calibri"/>
                      <w:spacing w:val="4"/>
                      <w:w w:val="100"/>
                      <w:sz w:val="12"/>
                    </w:rPr>
                    <w:t>r</w:t>
                  </w:r>
                  <w:r>
                    <w:rPr>
                      <w:rFonts w:ascii="Calibri"/>
                      <w:w w:val="100"/>
                      <w:sz w:val="12"/>
                    </w:rPr>
                    <w:t>-</w:t>
                  </w:r>
                  <w:r>
                    <w:rPr>
                      <w:rFonts w:ascii="Calibri"/>
                      <w:spacing w:val="3"/>
                      <w:w w:val="100"/>
                      <w:sz w:val="12"/>
                    </w:rPr>
                    <w:t>10</w:t>
                  </w:r>
                </w:p>
              </w:txbxContent>
            </v:textbox>
            <w10:wrap type="none"/>
          </v:shape>
        </w:pict>
      </w:r>
      <w:r>
        <w:rPr/>
        <w:pict>
          <v:shape style="position:absolute;margin-left:275.788147pt;margin-top:96.009132pt;width:103.7pt;height:20.9pt;mso-position-horizontal-relative:page;mso-position-vertical-relative:paragraph;z-index:5776" type="#_x0000_t202" filled="false" stroked="false">
            <v:textbox inset="0,0,0,0" style="layout-flow:vertical;mso-layout-flow-alt:bottom-to-top">
              <w:txbxContent>
                <w:p>
                  <w:pPr>
                    <w:spacing w:line="314" w:lineRule="auto" w:before="0"/>
                    <w:ind w:left="20" w:right="18" w:firstLine="6"/>
                    <w:jc w:val="right"/>
                    <w:rPr>
                      <w:rFonts w:ascii="Calibri"/>
                      <w:sz w:val="12"/>
                    </w:rPr>
                  </w:pPr>
                  <w:r>
                    <w:rPr>
                      <w:rFonts w:ascii="Calibri"/>
                      <w:spacing w:val="-4"/>
                      <w:w w:val="101"/>
                      <w:sz w:val="12"/>
                    </w:rPr>
                    <w:t>m</w:t>
                  </w:r>
                  <w:r>
                    <w:rPr>
                      <w:rFonts w:ascii="Calibri"/>
                      <w:spacing w:val="-2"/>
                      <w:w w:val="101"/>
                      <w:sz w:val="12"/>
                    </w:rPr>
                    <w:t>a</w:t>
                  </w:r>
                  <w:r>
                    <w:rPr>
                      <w:rFonts w:ascii="Calibri"/>
                      <w:spacing w:val="3"/>
                      <w:w w:val="101"/>
                      <w:sz w:val="12"/>
                    </w:rPr>
                    <w:t>r</w:t>
                  </w:r>
                  <w:r>
                    <w:rPr>
                      <w:rFonts w:ascii="Calibri"/>
                      <w:w w:val="101"/>
                      <w:sz w:val="12"/>
                    </w:rPr>
                    <w:t>-</w:t>
                  </w:r>
                  <w:r>
                    <w:rPr>
                      <w:rFonts w:ascii="Calibri"/>
                      <w:spacing w:val="3"/>
                      <w:w w:val="101"/>
                      <w:sz w:val="12"/>
                    </w:rPr>
                    <w:t>92 </w:t>
                  </w:r>
                  <w:r>
                    <w:rPr>
                      <w:rFonts w:ascii="Calibri"/>
                      <w:spacing w:val="4"/>
                      <w:w w:val="100"/>
                      <w:sz w:val="12"/>
                    </w:rPr>
                    <w:t>e</w:t>
                  </w:r>
                  <w:r>
                    <w:rPr>
                      <w:rFonts w:ascii="Calibri"/>
                      <w:spacing w:val="1"/>
                      <w:w w:val="100"/>
                      <w:sz w:val="12"/>
                    </w:rPr>
                    <w:t>n</w:t>
                  </w:r>
                  <w:r>
                    <w:rPr>
                      <w:rFonts w:ascii="Calibri"/>
                      <w:spacing w:val="5"/>
                      <w:w w:val="100"/>
                      <w:sz w:val="12"/>
                    </w:rPr>
                    <w:t>e</w:t>
                  </w:r>
                  <w:r>
                    <w:rPr>
                      <w:rFonts w:ascii="Calibri"/>
                      <w:w w:val="100"/>
                      <w:sz w:val="12"/>
                    </w:rPr>
                    <w:t>-</w:t>
                  </w:r>
                  <w:r>
                    <w:rPr>
                      <w:rFonts w:ascii="Calibri"/>
                      <w:spacing w:val="3"/>
                      <w:w w:val="100"/>
                      <w:sz w:val="12"/>
                    </w:rPr>
                    <w:t>94 </w:t>
                  </w:r>
                  <w:r>
                    <w:rPr>
                      <w:rFonts w:ascii="Calibri"/>
                      <w:spacing w:val="1"/>
                      <w:w w:val="100"/>
                      <w:sz w:val="12"/>
                    </w:rPr>
                    <w:t>no</w:t>
                  </w:r>
                  <w:r>
                    <w:rPr>
                      <w:rFonts w:ascii="Calibri"/>
                      <w:spacing w:val="2"/>
                      <w:w w:val="100"/>
                      <w:sz w:val="12"/>
                    </w:rPr>
                    <w:t>v</w:t>
                  </w:r>
                  <w:r>
                    <w:rPr>
                      <w:rFonts w:ascii="Calibri"/>
                      <w:w w:val="100"/>
                      <w:sz w:val="12"/>
                    </w:rPr>
                    <w:t>-</w:t>
                  </w:r>
                  <w:r>
                    <w:rPr>
                      <w:rFonts w:ascii="Calibri"/>
                      <w:spacing w:val="3"/>
                      <w:w w:val="100"/>
                      <w:sz w:val="12"/>
                    </w:rPr>
                    <w:t>95 </w:t>
                  </w:r>
                  <w:r>
                    <w:rPr>
                      <w:rFonts w:ascii="Calibri"/>
                      <w:spacing w:val="-1"/>
                      <w:w w:val="101"/>
                      <w:sz w:val="12"/>
                    </w:rPr>
                    <w:t>s</w:t>
                  </w:r>
                  <w:r>
                    <w:rPr>
                      <w:rFonts w:ascii="Calibri"/>
                      <w:spacing w:val="4"/>
                      <w:w w:val="101"/>
                      <w:sz w:val="12"/>
                    </w:rPr>
                    <w:t>e</w:t>
                  </w:r>
                  <w:r>
                    <w:rPr>
                      <w:rFonts w:ascii="Calibri"/>
                      <w:spacing w:val="2"/>
                      <w:w w:val="101"/>
                      <w:sz w:val="12"/>
                    </w:rPr>
                    <w:t>p</w:t>
                  </w:r>
                  <w:r>
                    <w:rPr>
                      <w:rFonts w:ascii="Calibri"/>
                      <w:w w:val="101"/>
                      <w:sz w:val="12"/>
                    </w:rPr>
                    <w:t>-</w:t>
                  </w:r>
                  <w:r>
                    <w:rPr>
                      <w:rFonts w:ascii="Calibri"/>
                      <w:spacing w:val="3"/>
                      <w:w w:val="101"/>
                      <w:sz w:val="12"/>
                    </w:rPr>
                    <w:t>97 </w:t>
                  </w:r>
                  <w:r>
                    <w:rPr>
                      <w:rFonts w:ascii="Calibri"/>
                      <w:spacing w:val="-1"/>
                      <w:w w:val="100"/>
                      <w:sz w:val="12"/>
                    </w:rPr>
                    <w:t>j</w:t>
                  </w:r>
                  <w:r>
                    <w:rPr>
                      <w:rFonts w:ascii="Calibri"/>
                      <w:spacing w:val="1"/>
                      <w:w w:val="100"/>
                      <w:sz w:val="12"/>
                    </w:rPr>
                    <w:t>u</w:t>
                  </w:r>
                  <w:r>
                    <w:rPr>
                      <w:rFonts w:ascii="Calibri"/>
                      <w:w w:val="100"/>
                      <w:sz w:val="12"/>
                    </w:rPr>
                    <w:t>l-</w:t>
                  </w:r>
                  <w:r>
                    <w:rPr>
                      <w:rFonts w:ascii="Calibri"/>
                      <w:spacing w:val="3"/>
                      <w:w w:val="100"/>
                      <w:sz w:val="12"/>
                    </w:rPr>
                    <w:t>99 </w:t>
                  </w:r>
                  <w:r>
                    <w:rPr>
                      <w:rFonts w:ascii="Calibri"/>
                      <w:spacing w:val="-4"/>
                      <w:w w:val="100"/>
                      <w:sz w:val="12"/>
                    </w:rPr>
                    <w:t>m</w:t>
                  </w:r>
                  <w:r>
                    <w:rPr>
                      <w:rFonts w:ascii="Calibri"/>
                      <w:spacing w:val="-2"/>
                      <w:w w:val="100"/>
                      <w:sz w:val="12"/>
                    </w:rPr>
                    <w:t>a</w:t>
                  </w:r>
                  <w:r>
                    <w:rPr>
                      <w:rFonts w:ascii="Calibri"/>
                      <w:w w:val="100"/>
                      <w:sz w:val="12"/>
                    </w:rPr>
                    <w:t>y-</w:t>
                  </w:r>
                  <w:r>
                    <w:rPr>
                      <w:rFonts w:ascii="Calibri"/>
                      <w:spacing w:val="4"/>
                      <w:w w:val="100"/>
                      <w:sz w:val="12"/>
                    </w:rPr>
                    <w:t>01 </w:t>
                  </w:r>
                  <w:r>
                    <w:rPr>
                      <w:rFonts w:ascii="Calibri"/>
                      <w:spacing w:val="-4"/>
                      <w:w w:val="101"/>
                      <w:sz w:val="12"/>
                    </w:rPr>
                    <w:t>m</w:t>
                  </w:r>
                  <w:r>
                    <w:rPr>
                      <w:rFonts w:ascii="Calibri"/>
                      <w:spacing w:val="-2"/>
                      <w:w w:val="101"/>
                      <w:sz w:val="12"/>
                    </w:rPr>
                    <w:t>a</w:t>
                  </w:r>
                  <w:r>
                    <w:rPr>
                      <w:rFonts w:ascii="Calibri"/>
                      <w:spacing w:val="3"/>
                      <w:w w:val="101"/>
                      <w:sz w:val="12"/>
                    </w:rPr>
                    <w:t>r</w:t>
                  </w:r>
                  <w:r>
                    <w:rPr>
                      <w:rFonts w:ascii="Calibri"/>
                      <w:w w:val="101"/>
                      <w:sz w:val="12"/>
                    </w:rPr>
                    <w:t>-</w:t>
                  </w:r>
                  <w:r>
                    <w:rPr>
                      <w:rFonts w:ascii="Calibri"/>
                      <w:spacing w:val="3"/>
                      <w:w w:val="101"/>
                      <w:sz w:val="12"/>
                    </w:rPr>
                    <w:t>03 </w:t>
                  </w:r>
                  <w:r>
                    <w:rPr>
                      <w:rFonts w:ascii="Calibri"/>
                      <w:spacing w:val="4"/>
                      <w:w w:val="100"/>
                      <w:sz w:val="12"/>
                    </w:rPr>
                    <w:t>e</w:t>
                  </w:r>
                  <w:r>
                    <w:rPr>
                      <w:rFonts w:ascii="Calibri"/>
                      <w:spacing w:val="1"/>
                      <w:w w:val="100"/>
                      <w:sz w:val="12"/>
                    </w:rPr>
                    <w:t>n</w:t>
                  </w:r>
                  <w:r>
                    <w:rPr>
                      <w:rFonts w:ascii="Calibri"/>
                      <w:spacing w:val="5"/>
                      <w:w w:val="100"/>
                      <w:sz w:val="12"/>
                    </w:rPr>
                    <w:t>e</w:t>
                  </w:r>
                  <w:r>
                    <w:rPr>
                      <w:rFonts w:ascii="Calibri"/>
                      <w:w w:val="100"/>
                      <w:sz w:val="12"/>
                    </w:rPr>
                    <w:t>-</w:t>
                  </w:r>
                  <w:r>
                    <w:rPr>
                      <w:rFonts w:ascii="Calibri"/>
                      <w:spacing w:val="3"/>
                      <w:w w:val="100"/>
                      <w:sz w:val="12"/>
                    </w:rPr>
                    <w:t>05 </w:t>
                  </w:r>
                  <w:r>
                    <w:rPr>
                      <w:rFonts w:ascii="Calibri"/>
                      <w:spacing w:val="1"/>
                      <w:w w:val="101"/>
                      <w:sz w:val="12"/>
                    </w:rPr>
                    <w:t>nov</w:t>
                  </w:r>
                  <w:r>
                    <w:rPr>
                      <w:rFonts w:ascii="Calibri"/>
                      <w:w w:val="101"/>
                      <w:sz w:val="12"/>
                    </w:rPr>
                    <w:t>-</w:t>
                  </w:r>
                  <w:r>
                    <w:rPr>
                      <w:rFonts w:ascii="Calibri"/>
                      <w:spacing w:val="3"/>
                      <w:w w:val="101"/>
                      <w:sz w:val="12"/>
                    </w:rPr>
                    <w:t>06 </w:t>
                  </w:r>
                  <w:r>
                    <w:rPr>
                      <w:rFonts w:ascii="Calibri"/>
                      <w:spacing w:val="-1"/>
                      <w:w w:val="101"/>
                      <w:sz w:val="12"/>
                    </w:rPr>
                    <w:t>s</w:t>
                  </w:r>
                  <w:r>
                    <w:rPr>
                      <w:rFonts w:ascii="Calibri"/>
                      <w:spacing w:val="4"/>
                      <w:w w:val="101"/>
                      <w:sz w:val="12"/>
                    </w:rPr>
                    <w:t>e</w:t>
                  </w:r>
                  <w:r>
                    <w:rPr>
                      <w:rFonts w:ascii="Calibri"/>
                      <w:spacing w:val="2"/>
                      <w:w w:val="101"/>
                      <w:sz w:val="12"/>
                    </w:rPr>
                    <w:t>p</w:t>
                  </w:r>
                  <w:r>
                    <w:rPr>
                      <w:rFonts w:ascii="Calibri"/>
                      <w:w w:val="101"/>
                      <w:sz w:val="12"/>
                    </w:rPr>
                    <w:t>-</w:t>
                  </w:r>
                  <w:r>
                    <w:rPr>
                      <w:rFonts w:ascii="Calibri"/>
                      <w:spacing w:val="3"/>
                      <w:w w:val="101"/>
                      <w:sz w:val="12"/>
                    </w:rPr>
                    <w:t>08 </w:t>
                  </w:r>
                  <w:r>
                    <w:rPr>
                      <w:rFonts w:ascii="Calibri"/>
                      <w:spacing w:val="-1"/>
                      <w:w w:val="100"/>
                      <w:sz w:val="12"/>
                    </w:rPr>
                    <w:t>j</w:t>
                  </w:r>
                  <w:r>
                    <w:rPr>
                      <w:rFonts w:ascii="Calibri"/>
                      <w:spacing w:val="1"/>
                      <w:w w:val="100"/>
                      <w:sz w:val="12"/>
                    </w:rPr>
                    <w:t>u</w:t>
                  </w:r>
                  <w:r>
                    <w:rPr>
                      <w:rFonts w:ascii="Calibri"/>
                      <w:w w:val="100"/>
                      <w:sz w:val="12"/>
                    </w:rPr>
                    <w:t>l-</w:t>
                  </w:r>
                  <w:r>
                    <w:rPr>
                      <w:rFonts w:ascii="Calibri"/>
                      <w:spacing w:val="3"/>
                      <w:w w:val="100"/>
                      <w:sz w:val="12"/>
                    </w:rPr>
                    <w:t>10</w:t>
                  </w:r>
                </w:p>
              </w:txbxContent>
            </v:textbox>
            <w10:wrap type="none"/>
          </v:shape>
        </w:pict>
      </w:r>
      <w:r>
        <w:rPr/>
        <w:pict>
          <v:shape style="position:absolute;margin-left:409.880615pt;margin-top:96.474808pt;width:103.7pt;height:20.9pt;mso-position-horizontal-relative:page;mso-position-vertical-relative:paragraph;z-index:5848" type="#_x0000_t202" filled="false" stroked="false">
            <v:textbox inset="0,0,0,0" style="layout-flow:vertical;mso-layout-flow-alt:bottom-to-top">
              <w:txbxContent>
                <w:p>
                  <w:pPr>
                    <w:spacing w:line="314" w:lineRule="auto" w:before="0"/>
                    <w:ind w:left="20" w:right="18" w:firstLine="6"/>
                    <w:jc w:val="right"/>
                    <w:rPr>
                      <w:rFonts w:ascii="Calibri"/>
                      <w:sz w:val="12"/>
                    </w:rPr>
                  </w:pPr>
                  <w:r>
                    <w:rPr>
                      <w:rFonts w:ascii="Calibri"/>
                      <w:spacing w:val="-4"/>
                      <w:w w:val="101"/>
                      <w:sz w:val="12"/>
                    </w:rPr>
                    <w:t>m</w:t>
                  </w:r>
                  <w:r>
                    <w:rPr>
                      <w:rFonts w:ascii="Calibri"/>
                      <w:spacing w:val="-2"/>
                      <w:w w:val="101"/>
                      <w:sz w:val="12"/>
                    </w:rPr>
                    <w:t>a</w:t>
                  </w:r>
                  <w:r>
                    <w:rPr>
                      <w:rFonts w:ascii="Calibri"/>
                      <w:spacing w:val="3"/>
                      <w:w w:val="101"/>
                      <w:sz w:val="12"/>
                    </w:rPr>
                    <w:t>r</w:t>
                  </w:r>
                  <w:r>
                    <w:rPr>
                      <w:rFonts w:ascii="Calibri"/>
                      <w:w w:val="101"/>
                      <w:sz w:val="12"/>
                    </w:rPr>
                    <w:t>-</w:t>
                  </w:r>
                  <w:r>
                    <w:rPr>
                      <w:rFonts w:ascii="Calibri"/>
                      <w:spacing w:val="3"/>
                      <w:w w:val="101"/>
                      <w:sz w:val="12"/>
                    </w:rPr>
                    <w:t>92 </w:t>
                  </w:r>
                  <w:r>
                    <w:rPr>
                      <w:rFonts w:ascii="Calibri"/>
                      <w:spacing w:val="5"/>
                      <w:w w:val="100"/>
                      <w:sz w:val="12"/>
                    </w:rPr>
                    <w:t>e</w:t>
                  </w:r>
                  <w:r>
                    <w:rPr>
                      <w:rFonts w:ascii="Calibri"/>
                      <w:spacing w:val="1"/>
                      <w:w w:val="100"/>
                      <w:sz w:val="12"/>
                    </w:rPr>
                    <w:t>n</w:t>
                  </w:r>
                  <w:r>
                    <w:rPr>
                      <w:rFonts w:ascii="Calibri"/>
                      <w:spacing w:val="4"/>
                      <w:w w:val="100"/>
                      <w:sz w:val="12"/>
                    </w:rPr>
                    <w:t>e</w:t>
                  </w:r>
                  <w:r>
                    <w:rPr>
                      <w:rFonts w:ascii="Calibri"/>
                      <w:w w:val="100"/>
                      <w:sz w:val="12"/>
                    </w:rPr>
                    <w:t>-</w:t>
                  </w:r>
                  <w:r>
                    <w:rPr>
                      <w:rFonts w:ascii="Calibri"/>
                      <w:spacing w:val="4"/>
                      <w:w w:val="100"/>
                      <w:sz w:val="12"/>
                    </w:rPr>
                    <w:t>94 </w:t>
                  </w:r>
                  <w:r>
                    <w:rPr>
                      <w:rFonts w:ascii="Calibri"/>
                      <w:spacing w:val="1"/>
                      <w:w w:val="101"/>
                      <w:sz w:val="12"/>
                    </w:rPr>
                    <w:t>nov</w:t>
                  </w:r>
                  <w:r>
                    <w:rPr>
                      <w:rFonts w:ascii="Calibri"/>
                      <w:w w:val="101"/>
                      <w:sz w:val="12"/>
                    </w:rPr>
                    <w:t>-</w:t>
                  </w:r>
                  <w:r>
                    <w:rPr>
                      <w:rFonts w:ascii="Calibri"/>
                      <w:spacing w:val="3"/>
                      <w:w w:val="101"/>
                      <w:sz w:val="12"/>
                    </w:rPr>
                    <w:t>95 </w:t>
                  </w:r>
                  <w:r>
                    <w:rPr>
                      <w:rFonts w:ascii="Calibri"/>
                      <w:spacing w:val="-1"/>
                      <w:w w:val="100"/>
                      <w:sz w:val="12"/>
                    </w:rPr>
                    <w:t>s</w:t>
                  </w:r>
                  <w:r>
                    <w:rPr>
                      <w:rFonts w:ascii="Calibri"/>
                      <w:spacing w:val="4"/>
                      <w:w w:val="100"/>
                      <w:sz w:val="12"/>
                    </w:rPr>
                    <w:t>e</w:t>
                  </w:r>
                  <w:r>
                    <w:rPr>
                      <w:rFonts w:ascii="Calibri"/>
                      <w:spacing w:val="2"/>
                      <w:w w:val="100"/>
                      <w:sz w:val="12"/>
                    </w:rPr>
                    <w:t>p</w:t>
                  </w:r>
                  <w:r>
                    <w:rPr>
                      <w:rFonts w:ascii="Calibri"/>
                      <w:w w:val="100"/>
                      <w:sz w:val="12"/>
                    </w:rPr>
                    <w:t>-</w:t>
                  </w:r>
                  <w:r>
                    <w:rPr>
                      <w:rFonts w:ascii="Calibri"/>
                      <w:spacing w:val="3"/>
                      <w:w w:val="100"/>
                      <w:sz w:val="12"/>
                    </w:rPr>
                    <w:t>97 </w:t>
                  </w:r>
                  <w:r>
                    <w:rPr>
                      <w:rFonts w:ascii="Calibri"/>
                      <w:spacing w:val="-1"/>
                      <w:w w:val="100"/>
                      <w:sz w:val="12"/>
                    </w:rPr>
                    <w:t>j</w:t>
                  </w:r>
                  <w:r>
                    <w:rPr>
                      <w:rFonts w:ascii="Calibri"/>
                      <w:spacing w:val="1"/>
                      <w:w w:val="100"/>
                      <w:sz w:val="12"/>
                    </w:rPr>
                    <w:t>u</w:t>
                  </w:r>
                  <w:r>
                    <w:rPr>
                      <w:rFonts w:ascii="Calibri"/>
                      <w:w w:val="100"/>
                      <w:sz w:val="12"/>
                    </w:rPr>
                    <w:t>l-</w:t>
                  </w:r>
                  <w:r>
                    <w:rPr>
                      <w:rFonts w:ascii="Calibri"/>
                      <w:spacing w:val="3"/>
                      <w:w w:val="100"/>
                      <w:sz w:val="12"/>
                    </w:rPr>
                    <w:t>99 </w:t>
                  </w:r>
                  <w:r>
                    <w:rPr>
                      <w:rFonts w:ascii="Calibri"/>
                      <w:spacing w:val="-4"/>
                      <w:w w:val="101"/>
                      <w:sz w:val="12"/>
                    </w:rPr>
                    <w:t>m</w:t>
                  </w:r>
                  <w:r>
                    <w:rPr>
                      <w:rFonts w:ascii="Calibri"/>
                      <w:spacing w:val="-2"/>
                      <w:w w:val="101"/>
                      <w:sz w:val="12"/>
                    </w:rPr>
                    <w:t>a</w:t>
                  </w:r>
                  <w:r>
                    <w:rPr>
                      <w:rFonts w:ascii="Calibri"/>
                      <w:w w:val="101"/>
                      <w:sz w:val="12"/>
                    </w:rPr>
                    <w:t>y-</w:t>
                  </w:r>
                  <w:r>
                    <w:rPr>
                      <w:rFonts w:ascii="Calibri"/>
                      <w:spacing w:val="3"/>
                      <w:w w:val="101"/>
                      <w:sz w:val="12"/>
                    </w:rPr>
                    <w:t>01 </w:t>
                  </w:r>
                  <w:r>
                    <w:rPr>
                      <w:rFonts w:ascii="Calibri"/>
                      <w:spacing w:val="-4"/>
                      <w:w w:val="100"/>
                      <w:sz w:val="12"/>
                    </w:rPr>
                    <w:t>m</w:t>
                  </w:r>
                  <w:r>
                    <w:rPr>
                      <w:rFonts w:ascii="Calibri"/>
                      <w:spacing w:val="-2"/>
                      <w:w w:val="100"/>
                      <w:sz w:val="12"/>
                    </w:rPr>
                    <w:t>a</w:t>
                  </w:r>
                  <w:r>
                    <w:rPr>
                      <w:rFonts w:ascii="Calibri"/>
                      <w:spacing w:val="4"/>
                      <w:w w:val="100"/>
                      <w:sz w:val="12"/>
                    </w:rPr>
                    <w:t>r</w:t>
                  </w:r>
                  <w:r>
                    <w:rPr>
                      <w:rFonts w:ascii="Calibri"/>
                      <w:w w:val="100"/>
                      <w:sz w:val="12"/>
                    </w:rPr>
                    <w:t>-</w:t>
                  </w:r>
                  <w:r>
                    <w:rPr>
                      <w:rFonts w:ascii="Calibri"/>
                      <w:spacing w:val="4"/>
                      <w:w w:val="100"/>
                      <w:sz w:val="12"/>
                    </w:rPr>
                    <w:t>03 </w:t>
                  </w:r>
                  <w:r>
                    <w:rPr>
                      <w:rFonts w:ascii="Calibri"/>
                      <w:spacing w:val="5"/>
                      <w:w w:val="100"/>
                      <w:sz w:val="12"/>
                    </w:rPr>
                    <w:t>e</w:t>
                  </w:r>
                  <w:r>
                    <w:rPr>
                      <w:rFonts w:ascii="Calibri"/>
                      <w:spacing w:val="1"/>
                      <w:w w:val="100"/>
                      <w:sz w:val="12"/>
                    </w:rPr>
                    <w:t>n</w:t>
                  </w:r>
                  <w:r>
                    <w:rPr>
                      <w:rFonts w:ascii="Calibri"/>
                      <w:spacing w:val="4"/>
                      <w:w w:val="100"/>
                      <w:sz w:val="12"/>
                    </w:rPr>
                    <w:t>e</w:t>
                  </w:r>
                  <w:r>
                    <w:rPr>
                      <w:rFonts w:ascii="Calibri"/>
                      <w:w w:val="100"/>
                      <w:sz w:val="12"/>
                    </w:rPr>
                    <w:t>-</w:t>
                  </w:r>
                  <w:r>
                    <w:rPr>
                      <w:rFonts w:ascii="Calibri"/>
                      <w:spacing w:val="4"/>
                      <w:w w:val="100"/>
                      <w:sz w:val="12"/>
                    </w:rPr>
                    <w:t>05 </w:t>
                  </w:r>
                  <w:r>
                    <w:rPr>
                      <w:rFonts w:ascii="Calibri"/>
                      <w:spacing w:val="1"/>
                      <w:w w:val="101"/>
                      <w:sz w:val="12"/>
                    </w:rPr>
                    <w:t>nov</w:t>
                  </w:r>
                  <w:r>
                    <w:rPr>
                      <w:rFonts w:ascii="Calibri"/>
                      <w:w w:val="101"/>
                      <w:sz w:val="12"/>
                    </w:rPr>
                    <w:t>-</w:t>
                  </w:r>
                  <w:r>
                    <w:rPr>
                      <w:rFonts w:ascii="Calibri"/>
                      <w:spacing w:val="3"/>
                      <w:w w:val="101"/>
                      <w:sz w:val="12"/>
                    </w:rPr>
                    <w:t>06 </w:t>
                  </w:r>
                  <w:r>
                    <w:rPr>
                      <w:rFonts w:ascii="Calibri"/>
                      <w:spacing w:val="-1"/>
                      <w:w w:val="100"/>
                      <w:sz w:val="12"/>
                    </w:rPr>
                    <w:t>s</w:t>
                  </w:r>
                  <w:r>
                    <w:rPr>
                      <w:rFonts w:ascii="Calibri"/>
                      <w:spacing w:val="4"/>
                      <w:w w:val="100"/>
                      <w:sz w:val="12"/>
                    </w:rPr>
                    <w:t>e</w:t>
                  </w:r>
                  <w:r>
                    <w:rPr>
                      <w:rFonts w:ascii="Calibri"/>
                      <w:spacing w:val="2"/>
                      <w:w w:val="100"/>
                      <w:sz w:val="12"/>
                    </w:rPr>
                    <w:t>p</w:t>
                  </w:r>
                  <w:r>
                    <w:rPr>
                      <w:rFonts w:ascii="Calibri"/>
                      <w:w w:val="100"/>
                      <w:sz w:val="12"/>
                    </w:rPr>
                    <w:t>-</w:t>
                  </w:r>
                  <w:r>
                    <w:rPr>
                      <w:rFonts w:ascii="Calibri"/>
                      <w:spacing w:val="3"/>
                      <w:w w:val="100"/>
                      <w:sz w:val="12"/>
                    </w:rPr>
                    <w:t>08 </w:t>
                  </w:r>
                  <w:r>
                    <w:rPr>
                      <w:rFonts w:ascii="Calibri"/>
                      <w:spacing w:val="-1"/>
                      <w:w w:val="100"/>
                      <w:sz w:val="12"/>
                    </w:rPr>
                    <w:t>j</w:t>
                  </w:r>
                  <w:r>
                    <w:rPr>
                      <w:rFonts w:ascii="Calibri"/>
                      <w:spacing w:val="1"/>
                      <w:w w:val="100"/>
                      <w:sz w:val="12"/>
                    </w:rPr>
                    <w:t>u</w:t>
                  </w:r>
                  <w:r>
                    <w:rPr>
                      <w:rFonts w:ascii="Calibri"/>
                      <w:w w:val="100"/>
                      <w:sz w:val="12"/>
                    </w:rPr>
                    <w:t>l-</w:t>
                  </w:r>
                  <w:r>
                    <w:rPr>
                      <w:rFonts w:ascii="Calibri"/>
                      <w:spacing w:val="3"/>
                      <w:w w:val="100"/>
                      <w:sz w:val="12"/>
                    </w:rPr>
                    <w:t>10</w:t>
                  </w:r>
                </w:p>
              </w:txbxContent>
            </v:textbox>
            <w10:wrap type="none"/>
          </v:shape>
        </w:pict>
      </w:r>
      <w:bookmarkStart w:name="_bookmark38" w:id="60"/>
      <w:bookmarkEnd w:id="60"/>
      <w:r>
        <w:rPr/>
      </w:r>
      <w:r>
        <w:rPr/>
        <w:t>Figura 2. 6: Series de tiempo trimestrales para 1992 - 2010</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29"/>
        </w:rPr>
      </w:pPr>
    </w:p>
    <w:p>
      <w:pPr>
        <w:spacing w:before="0"/>
        <w:ind w:left="1538" w:right="115" w:firstLine="0"/>
        <w:jc w:val="left"/>
        <w:rPr>
          <w:sz w:val="18"/>
        </w:rPr>
      </w:pPr>
      <w:r>
        <w:rPr/>
        <w:pict>
          <v:shape style="position:absolute;margin-left:154.1353pt;margin-top:-50.19561pt;width:89.4pt;height:20.7pt;mso-position-horizontal-relative:page;mso-position-vertical-relative:paragraph;z-index:5752" type="#_x0000_t202" filled="false" stroked="false">
            <v:textbox inset="0,0,0,0" style="layout-flow:vertical;mso-layout-flow-alt:bottom-to-top">
              <w:txbxContent>
                <w:p>
                  <w:pPr>
                    <w:spacing w:line="333" w:lineRule="auto" w:before="0"/>
                    <w:ind w:left="20" w:right="18" w:firstLine="0"/>
                    <w:jc w:val="both"/>
                    <w:rPr>
                      <w:rFonts w:ascii="Calibri"/>
                      <w:sz w:val="12"/>
                    </w:rPr>
                  </w:pPr>
                  <w:r>
                    <w:rPr>
                      <w:rFonts w:ascii="Calibri"/>
                      <w:spacing w:val="-4"/>
                      <w:w w:val="101"/>
                      <w:sz w:val="12"/>
                    </w:rPr>
                    <w:t>m</w:t>
                  </w:r>
                  <w:r>
                    <w:rPr>
                      <w:rFonts w:ascii="Calibri"/>
                      <w:spacing w:val="-2"/>
                      <w:w w:val="101"/>
                      <w:sz w:val="12"/>
                    </w:rPr>
                    <w:t>a</w:t>
                  </w:r>
                  <w:r>
                    <w:rPr>
                      <w:rFonts w:ascii="Calibri"/>
                      <w:spacing w:val="3"/>
                      <w:w w:val="101"/>
                      <w:sz w:val="12"/>
                    </w:rPr>
                    <w:t>r</w:t>
                  </w:r>
                  <w:r>
                    <w:rPr>
                      <w:rFonts w:ascii="Calibri"/>
                      <w:w w:val="101"/>
                      <w:sz w:val="12"/>
                    </w:rPr>
                    <w:t>-</w:t>
                  </w:r>
                  <w:r>
                    <w:rPr>
                      <w:rFonts w:ascii="Calibri"/>
                      <w:spacing w:val="3"/>
                      <w:w w:val="101"/>
                      <w:sz w:val="12"/>
                    </w:rPr>
                    <w:t>92 </w:t>
                  </w:r>
                  <w:r>
                    <w:rPr>
                      <w:rFonts w:ascii="Calibri"/>
                      <w:spacing w:val="-2"/>
                      <w:w w:val="101"/>
                      <w:sz w:val="12"/>
                    </w:rPr>
                    <w:t>j</w:t>
                  </w:r>
                  <w:r>
                    <w:rPr>
                      <w:rFonts w:ascii="Calibri"/>
                      <w:spacing w:val="1"/>
                      <w:w w:val="101"/>
                      <w:sz w:val="12"/>
                    </w:rPr>
                    <w:t>un</w:t>
                  </w:r>
                  <w:r>
                    <w:rPr>
                      <w:rFonts w:ascii="Calibri"/>
                      <w:w w:val="101"/>
                      <w:sz w:val="12"/>
                    </w:rPr>
                    <w:t>-</w:t>
                  </w:r>
                  <w:r>
                    <w:rPr>
                      <w:rFonts w:ascii="Calibri"/>
                      <w:spacing w:val="3"/>
                      <w:w w:val="101"/>
                      <w:sz w:val="12"/>
                    </w:rPr>
                    <w:t>94 </w:t>
                  </w:r>
                  <w:r>
                    <w:rPr>
                      <w:rFonts w:ascii="Calibri"/>
                      <w:spacing w:val="-1"/>
                      <w:w w:val="101"/>
                      <w:sz w:val="12"/>
                    </w:rPr>
                    <w:t>s</w:t>
                  </w:r>
                  <w:r>
                    <w:rPr>
                      <w:rFonts w:ascii="Calibri"/>
                      <w:spacing w:val="4"/>
                      <w:w w:val="101"/>
                      <w:sz w:val="12"/>
                    </w:rPr>
                    <w:t>e</w:t>
                  </w:r>
                  <w:r>
                    <w:rPr>
                      <w:rFonts w:ascii="Calibri"/>
                      <w:spacing w:val="2"/>
                      <w:w w:val="101"/>
                      <w:sz w:val="12"/>
                    </w:rPr>
                    <w:t>p</w:t>
                  </w:r>
                  <w:r>
                    <w:rPr>
                      <w:rFonts w:ascii="Calibri"/>
                      <w:w w:val="101"/>
                      <w:sz w:val="12"/>
                    </w:rPr>
                    <w:t>-</w:t>
                  </w:r>
                  <w:r>
                    <w:rPr>
                      <w:rFonts w:ascii="Calibri"/>
                      <w:spacing w:val="3"/>
                      <w:w w:val="101"/>
                      <w:sz w:val="12"/>
                    </w:rPr>
                    <w:t>96 </w:t>
                  </w:r>
                  <w:r>
                    <w:rPr>
                      <w:rFonts w:ascii="Calibri"/>
                      <w:spacing w:val="1"/>
                      <w:w w:val="101"/>
                      <w:sz w:val="12"/>
                    </w:rPr>
                    <w:t>d</w:t>
                  </w:r>
                  <w:r>
                    <w:rPr>
                      <w:rFonts w:ascii="Calibri"/>
                      <w:w w:val="101"/>
                      <w:sz w:val="12"/>
                    </w:rPr>
                    <w:t>i</w:t>
                  </w:r>
                  <w:r>
                    <w:rPr>
                      <w:rFonts w:ascii="Calibri"/>
                      <w:spacing w:val="4"/>
                      <w:w w:val="101"/>
                      <w:sz w:val="12"/>
                    </w:rPr>
                    <w:t>c</w:t>
                  </w:r>
                  <w:r>
                    <w:rPr>
                      <w:rFonts w:ascii="Calibri"/>
                      <w:w w:val="101"/>
                      <w:sz w:val="12"/>
                    </w:rPr>
                    <w:t>-</w:t>
                  </w:r>
                  <w:r>
                    <w:rPr>
                      <w:rFonts w:ascii="Calibri"/>
                      <w:spacing w:val="3"/>
                      <w:w w:val="101"/>
                      <w:sz w:val="12"/>
                    </w:rPr>
                    <w:t>98 </w:t>
                  </w:r>
                  <w:r>
                    <w:rPr>
                      <w:rFonts w:ascii="Calibri"/>
                      <w:spacing w:val="-4"/>
                      <w:w w:val="101"/>
                      <w:sz w:val="12"/>
                    </w:rPr>
                    <w:t>m</w:t>
                  </w:r>
                  <w:r>
                    <w:rPr>
                      <w:rFonts w:ascii="Calibri"/>
                      <w:spacing w:val="-2"/>
                      <w:w w:val="101"/>
                      <w:sz w:val="12"/>
                    </w:rPr>
                    <w:t>a</w:t>
                  </w:r>
                  <w:r>
                    <w:rPr>
                      <w:rFonts w:ascii="Calibri"/>
                      <w:spacing w:val="3"/>
                      <w:w w:val="101"/>
                      <w:sz w:val="12"/>
                    </w:rPr>
                    <w:t>r</w:t>
                  </w:r>
                  <w:r>
                    <w:rPr>
                      <w:rFonts w:ascii="Calibri"/>
                      <w:w w:val="101"/>
                      <w:sz w:val="12"/>
                    </w:rPr>
                    <w:t>-</w:t>
                  </w:r>
                  <w:r>
                    <w:rPr>
                      <w:rFonts w:ascii="Calibri"/>
                      <w:spacing w:val="3"/>
                      <w:w w:val="101"/>
                      <w:sz w:val="12"/>
                    </w:rPr>
                    <w:t>01 </w:t>
                  </w:r>
                  <w:r>
                    <w:rPr>
                      <w:rFonts w:ascii="Calibri"/>
                      <w:spacing w:val="-2"/>
                      <w:w w:val="101"/>
                      <w:sz w:val="12"/>
                    </w:rPr>
                    <w:t>j</w:t>
                  </w:r>
                  <w:r>
                    <w:rPr>
                      <w:rFonts w:ascii="Calibri"/>
                      <w:spacing w:val="1"/>
                      <w:w w:val="101"/>
                      <w:sz w:val="12"/>
                    </w:rPr>
                    <w:t>un</w:t>
                  </w:r>
                  <w:r>
                    <w:rPr>
                      <w:rFonts w:ascii="Calibri"/>
                      <w:w w:val="101"/>
                      <w:sz w:val="12"/>
                    </w:rPr>
                    <w:t>-</w:t>
                  </w:r>
                  <w:r>
                    <w:rPr>
                      <w:rFonts w:ascii="Calibri"/>
                      <w:spacing w:val="3"/>
                      <w:w w:val="101"/>
                      <w:sz w:val="12"/>
                    </w:rPr>
                    <w:t>03 </w:t>
                  </w:r>
                  <w:r>
                    <w:rPr>
                      <w:rFonts w:ascii="Calibri"/>
                      <w:spacing w:val="-1"/>
                      <w:w w:val="101"/>
                      <w:sz w:val="12"/>
                    </w:rPr>
                    <w:t>s</w:t>
                  </w:r>
                  <w:r>
                    <w:rPr>
                      <w:rFonts w:ascii="Calibri"/>
                      <w:spacing w:val="4"/>
                      <w:w w:val="101"/>
                      <w:sz w:val="12"/>
                    </w:rPr>
                    <w:t>e</w:t>
                  </w:r>
                  <w:r>
                    <w:rPr>
                      <w:rFonts w:ascii="Calibri"/>
                      <w:spacing w:val="2"/>
                      <w:w w:val="101"/>
                      <w:sz w:val="12"/>
                    </w:rPr>
                    <w:t>p</w:t>
                  </w:r>
                  <w:r>
                    <w:rPr>
                      <w:rFonts w:ascii="Calibri"/>
                      <w:w w:val="101"/>
                      <w:sz w:val="12"/>
                    </w:rPr>
                    <w:t>-</w:t>
                  </w:r>
                  <w:r>
                    <w:rPr>
                      <w:rFonts w:ascii="Calibri"/>
                      <w:spacing w:val="3"/>
                      <w:w w:val="101"/>
                      <w:sz w:val="12"/>
                    </w:rPr>
                    <w:t>05 </w:t>
                  </w:r>
                  <w:r>
                    <w:rPr>
                      <w:rFonts w:ascii="Calibri"/>
                      <w:spacing w:val="1"/>
                      <w:w w:val="101"/>
                      <w:sz w:val="12"/>
                    </w:rPr>
                    <w:t>d</w:t>
                  </w:r>
                  <w:r>
                    <w:rPr>
                      <w:rFonts w:ascii="Calibri"/>
                      <w:w w:val="101"/>
                      <w:sz w:val="12"/>
                    </w:rPr>
                    <w:t>i</w:t>
                  </w:r>
                  <w:r>
                    <w:rPr>
                      <w:rFonts w:ascii="Calibri"/>
                      <w:spacing w:val="4"/>
                      <w:w w:val="101"/>
                      <w:sz w:val="12"/>
                    </w:rPr>
                    <w:t>c</w:t>
                  </w:r>
                  <w:r>
                    <w:rPr>
                      <w:rFonts w:ascii="Calibri"/>
                      <w:w w:val="101"/>
                      <w:sz w:val="12"/>
                    </w:rPr>
                    <w:t>-</w:t>
                  </w:r>
                  <w:r>
                    <w:rPr>
                      <w:rFonts w:ascii="Calibri"/>
                      <w:spacing w:val="3"/>
                      <w:w w:val="101"/>
                      <w:sz w:val="12"/>
                    </w:rPr>
                    <w:t>07</w:t>
                  </w:r>
                </w:p>
                <w:p>
                  <w:pPr>
                    <w:spacing w:line="146" w:lineRule="exact" w:before="0"/>
                    <w:ind w:left="20" w:right="0" w:firstLine="0"/>
                    <w:jc w:val="both"/>
                    <w:rPr>
                      <w:rFonts w:ascii="Calibri"/>
                      <w:sz w:val="12"/>
                    </w:rPr>
                  </w:pPr>
                  <w:r>
                    <w:rPr>
                      <w:rFonts w:ascii="Calibri"/>
                      <w:spacing w:val="-4"/>
                      <w:w w:val="100"/>
                      <w:sz w:val="12"/>
                    </w:rPr>
                    <w:t>m</w:t>
                  </w:r>
                  <w:r>
                    <w:rPr>
                      <w:rFonts w:ascii="Calibri"/>
                      <w:spacing w:val="-2"/>
                      <w:w w:val="100"/>
                      <w:sz w:val="12"/>
                    </w:rPr>
                    <w:t>a</w:t>
                  </w:r>
                  <w:r>
                    <w:rPr>
                      <w:rFonts w:ascii="Calibri"/>
                      <w:spacing w:val="4"/>
                      <w:w w:val="100"/>
                      <w:sz w:val="12"/>
                    </w:rPr>
                    <w:t>r</w:t>
                  </w:r>
                  <w:r>
                    <w:rPr>
                      <w:rFonts w:ascii="Calibri"/>
                      <w:w w:val="100"/>
                      <w:sz w:val="12"/>
                    </w:rPr>
                    <w:t>-</w:t>
                  </w:r>
                  <w:r>
                    <w:rPr>
                      <w:rFonts w:ascii="Calibri"/>
                      <w:spacing w:val="4"/>
                      <w:w w:val="100"/>
                      <w:sz w:val="12"/>
                    </w:rPr>
                    <w:t>10</w:t>
                  </w:r>
                </w:p>
              </w:txbxContent>
            </v:textbox>
            <w10:wrap type="none"/>
          </v:shape>
        </w:pict>
      </w:r>
      <w:r>
        <w:rPr/>
        <w:pict>
          <v:shape style="position:absolute;margin-left:278.580475pt;margin-top:-52.522366pt;width:101.55pt;height:20.95pt;mso-position-horizontal-relative:page;mso-position-vertical-relative:paragraph;z-index:5800" type="#_x0000_t202" filled="false" stroked="false">
            <v:textbox inset="0,0,0,0" style="layout-flow:vertical;mso-layout-flow-alt:bottom-to-top">
              <w:txbxContent>
                <w:p>
                  <w:pPr>
                    <w:spacing w:line="307" w:lineRule="auto" w:before="0"/>
                    <w:ind w:left="20" w:right="18" w:firstLine="6"/>
                    <w:jc w:val="right"/>
                    <w:rPr>
                      <w:rFonts w:ascii="Calibri"/>
                      <w:sz w:val="12"/>
                    </w:rPr>
                  </w:pPr>
                  <w:r>
                    <w:rPr>
                      <w:rFonts w:ascii="Calibri"/>
                      <w:spacing w:val="-4"/>
                      <w:w w:val="101"/>
                      <w:sz w:val="12"/>
                    </w:rPr>
                    <w:t>m</w:t>
                  </w:r>
                  <w:r>
                    <w:rPr>
                      <w:rFonts w:ascii="Calibri"/>
                      <w:spacing w:val="-3"/>
                      <w:w w:val="101"/>
                      <w:sz w:val="12"/>
                    </w:rPr>
                    <w:t>a</w:t>
                  </w:r>
                  <w:r>
                    <w:rPr>
                      <w:rFonts w:ascii="Calibri"/>
                      <w:spacing w:val="4"/>
                      <w:w w:val="101"/>
                      <w:sz w:val="12"/>
                    </w:rPr>
                    <w:t>r</w:t>
                  </w:r>
                  <w:r>
                    <w:rPr>
                      <w:rFonts w:ascii="Calibri"/>
                      <w:w w:val="101"/>
                      <w:sz w:val="12"/>
                    </w:rPr>
                    <w:t>-</w:t>
                  </w:r>
                  <w:r>
                    <w:rPr>
                      <w:rFonts w:ascii="Calibri"/>
                      <w:spacing w:val="3"/>
                      <w:w w:val="101"/>
                      <w:sz w:val="12"/>
                    </w:rPr>
                    <w:t>92 </w:t>
                  </w:r>
                  <w:r>
                    <w:rPr>
                      <w:rFonts w:ascii="Calibri"/>
                      <w:spacing w:val="4"/>
                      <w:w w:val="100"/>
                      <w:sz w:val="12"/>
                    </w:rPr>
                    <w:t>e</w:t>
                  </w:r>
                  <w:r>
                    <w:rPr>
                      <w:rFonts w:ascii="Calibri"/>
                      <w:spacing w:val="1"/>
                      <w:w w:val="100"/>
                      <w:sz w:val="12"/>
                    </w:rPr>
                    <w:t>n</w:t>
                  </w:r>
                  <w:r>
                    <w:rPr>
                      <w:rFonts w:ascii="Calibri"/>
                      <w:spacing w:val="5"/>
                      <w:w w:val="100"/>
                      <w:sz w:val="12"/>
                    </w:rPr>
                    <w:t>e</w:t>
                  </w:r>
                  <w:r>
                    <w:rPr>
                      <w:rFonts w:ascii="Calibri"/>
                      <w:w w:val="100"/>
                      <w:sz w:val="12"/>
                    </w:rPr>
                    <w:t>-</w:t>
                  </w:r>
                  <w:r>
                    <w:rPr>
                      <w:rFonts w:ascii="Calibri"/>
                      <w:spacing w:val="3"/>
                      <w:w w:val="100"/>
                      <w:sz w:val="12"/>
                    </w:rPr>
                    <w:t>94 </w:t>
                  </w:r>
                  <w:r>
                    <w:rPr>
                      <w:rFonts w:ascii="Calibri"/>
                      <w:spacing w:val="1"/>
                      <w:w w:val="101"/>
                      <w:sz w:val="12"/>
                    </w:rPr>
                    <w:t>no</w:t>
                  </w:r>
                  <w:r>
                    <w:rPr>
                      <w:rFonts w:ascii="Calibri"/>
                      <w:w w:val="101"/>
                      <w:sz w:val="12"/>
                    </w:rPr>
                    <w:t>v-</w:t>
                  </w:r>
                  <w:r>
                    <w:rPr>
                      <w:rFonts w:ascii="Calibri"/>
                      <w:spacing w:val="3"/>
                      <w:w w:val="101"/>
                      <w:sz w:val="12"/>
                    </w:rPr>
                    <w:t>95 </w:t>
                  </w:r>
                  <w:r>
                    <w:rPr>
                      <w:rFonts w:ascii="Calibri"/>
                      <w:spacing w:val="-1"/>
                      <w:w w:val="100"/>
                      <w:sz w:val="12"/>
                    </w:rPr>
                    <w:t>s</w:t>
                  </w:r>
                  <w:r>
                    <w:rPr>
                      <w:rFonts w:ascii="Calibri"/>
                      <w:spacing w:val="5"/>
                      <w:w w:val="100"/>
                      <w:sz w:val="12"/>
                    </w:rPr>
                    <w:t>e</w:t>
                  </w:r>
                  <w:r>
                    <w:rPr>
                      <w:rFonts w:ascii="Calibri"/>
                      <w:spacing w:val="1"/>
                      <w:w w:val="100"/>
                      <w:sz w:val="12"/>
                    </w:rPr>
                    <w:t>p</w:t>
                  </w:r>
                  <w:r>
                    <w:rPr>
                      <w:rFonts w:ascii="Calibri"/>
                      <w:w w:val="100"/>
                      <w:sz w:val="12"/>
                    </w:rPr>
                    <w:t>-</w:t>
                  </w:r>
                  <w:r>
                    <w:rPr>
                      <w:rFonts w:ascii="Calibri"/>
                      <w:spacing w:val="4"/>
                      <w:w w:val="100"/>
                      <w:sz w:val="12"/>
                    </w:rPr>
                    <w:t>97 </w:t>
                  </w:r>
                  <w:r>
                    <w:rPr>
                      <w:rFonts w:ascii="Calibri"/>
                      <w:spacing w:val="-1"/>
                      <w:w w:val="101"/>
                      <w:sz w:val="12"/>
                    </w:rPr>
                    <w:t>j</w:t>
                  </w:r>
                  <w:r>
                    <w:rPr>
                      <w:rFonts w:ascii="Calibri"/>
                      <w:spacing w:val="1"/>
                      <w:w w:val="101"/>
                      <w:sz w:val="12"/>
                    </w:rPr>
                    <w:t>u</w:t>
                  </w:r>
                  <w:r>
                    <w:rPr>
                      <w:rFonts w:ascii="Calibri"/>
                      <w:spacing w:val="-1"/>
                      <w:w w:val="101"/>
                      <w:sz w:val="12"/>
                    </w:rPr>
                    <w:t>l</w:t>
                  </w:r>
                  <w:r>
                    <w:rPr>
                      <w:rFonts w:ascii="Calibri"/>
                      <w:w w:val="101"/>
                      <w:sz w:val="12"/>
                    </w:rPr>
                    <w:t>-</w:t>
                  </w:r>
                  <w:r>
                    <w:rPr>
                      <w:rFonts w:ascii="Calibri"/>
                      <w:spacing w:val="3"/>
                      <w:w w:val="101"/>
                      <w:sz w:val="12"/>
                    </w:rPr>
                    <w:t>99 </w:t>
                  </w:r>
                  <w:r>
                    <w:rPr>
                      <w:rFonts w:ascii="Calibri"/>
                      <w:spacing w:val="-4"/>
                      <w:w w:val="100"/>
                      <w:sz w:val="12"/>
                    </w:rPr>
                    <w:t>m</w:t>
                  </w:r>
                  <w:r>
                    <w:rPr>
                      <w:rFonts w:ascii="Calibri"/>
                      <w:spacing w:val="-3"/>
                      <w:w w:val="100"/>
                      <w:sz w:val="12"/>
                    </w:rPr>
                    <w:t>a</w:t>
                  </w:r>
                  <w:r>
                    <w:rPr>
                      <w:rFonts w:ascii="Calibri"/>
                      <w:spacing w:val="1"/>
                      <w:w w:val="100"/>
                      <w:sz w:val="12"/>
                    </w:rPr>
                    <w:t>y</w:t>
                  </w:r>
                  <w:r>
                    <w:rPr>
                      <w:rFonts w:ascii="Calibri"/>
                      <w:w w:val="100"/>
                      <w:sz w:val="12"/>
                    </w:rPr>
                    <w:t>-</w:t>
                  </w:r>
                  <w:r>
                    <w:rPr>
                      <w:rFonts w:ascii="Calibri"/>
                      <w:spacing w:val="3"/>
                      <w:w w:val="100"/>
                      <w:sz w:val="12"/>
                    </w:rPr>
                    <w:t>01 </w:t>
                  </w:r>
                  <w:r>
                    <w:rPr>
                      <w:rFonts w:ascii="Calibri"/>
                      <w:spacing w:val="-4"/>
                      <w:w w:val="100"/>
                      <w:sz w:val="12"/>
                    </w:rPr>
                    <w:t>m</w:t>
                  </w:r>
                  <w:r>
                    <w:rPr>
                      <w:rFonts w:ascii="Calibri"/>
                      <w:spacing w:val="-3"/>
                      <w:w w:val="100"/>
                      <w:sz w:val="12"/>
                    </w:rPr>
                    <w:t>a</w:t>
                  </w:r>
                  <w:r>
                    <w:rPr>
                      <w:rFonts w:ascii="Calibri"/>
                      <w:spacing w:val="4"/>
                      <w:w w:val="100"/>
                      <w:sz w:val="12"/>
                    </w:rPr>
                    <w:t>r</w:t>
                  </w:r>
                  <w:r>
                    <w:rPr>
                      <w:rFonts w:ascii="Calibri"/>
                      <w:w w:val="100"/>
                      <w:sz w:val="12"/>
                    </w:rPr>
                    <w:t>-</w:t>
                  </w:r>
                  <w:r>
                    <w:rPr>
                      <w:rFonts w:ascii="Calibri"/>
                      <w:spacing w:val="3"/>
                      <w:w w:val="100"/>
                      <w:sz w:val="12"/>
                    </w:rPr>
                    <w:t>03 </w:t>
                  </w:r>
                  <w:r>
                    <w:rPr>
                      <w:rFonts w:ascii="Calibri"/>
                      <w:spacing w:val="4"/>
                      <w:w w:val="101"/>
                      <w:sz w:val="12"/>
                    </w:rPr>
                    <w:t>e</w:t>
                  </w:r>
                  <w:r>
                    <w:rPr>
                      <w:rFonts w:ascii="Calibri"/>
                      <w:spacing w:val="1"/>
                      <w:w w:val="101"/>
                      <w:sz w:val="12"/>
                    </w:rPr>
                    <w:t>n</w:t>
                  </w:r>
                  <w:r>
                    <w:rPr>
                      <w:rFonts w:ascii="Calibri"/>
                      <w:spacing w:val="5"/>
                      <w:w w:val="101"/>
                      <w:sz w:val="12"/>
                    </w:rPr>
                    <w:t>e</w:t>
                  </w:r>
                  <w:r>
                    <w:rPr>
                      <w:rFonts w:ascii="Calibri"/>
                      <w:w w:val="101"/>
                      <w:sz w:val="12"/>
                    </w:rPr>
                    <w:t>-</w:t>
                  </w:r>
                  <w:r>
                    <w:rPr>
                      <w:rFonts w:ascii="Calibri"/>
                      <w:spacing w:val="3"/>
                      <w:w w:val="101"/>
                      <w:sz w:val="12"/>
                    </w:rPr>
                    <w:t>05 </w:t>
                  </w:r>
                  <w:r>
                    <w:rPr>
                      <w:rFonts w:ascii="Calibri"/>
                      <w:spacing w:val="1"/>
                      <w:w w:val="100"/>
                      <w:sz w:val="12"/>
                    </w:rPr>
                    <w:t>nov</w:t>
                  </w:r>
                  <w:r>
                    <w:rPr>
                      <w:rFonts w:ascii="Calibri"/>
                      <w:w w:val="100"/>
                      <w:sz w:val="12"/>
                    </w:rPr>
                    <w:t>-</w:t>
                  </w:r>
                  <w:r>
                    <w:rPr>
                      <w:rFonts w:ascii="Calibri"/>
                      <w:spacing w:val="4"/>
                      <w:w w:val="100"/>
                      <w:sz w:val="12"/>
                    </w:rPr>
                    <w:t>06 </w:t>
                  </w:r>
                  <w:r>
                    <w:rPr>
                      <w:rFonts w:ascii="Calibri"/>
                      <w:spacing w:val="-1"/>
                      <w:w w:val="101"/>
                      <w:sz w:val="12"/>
                    </w:rPr>
                    <w:t>s</w:t>
                  </w:r>
                  <w:r>
                    <w:rPr>
                      <w:rFonts w:ascii="Calibri"/>
                      <w:spacing w:val="5"/>
                      <w:w w:val="101"/>
                      <w:sz w:val="12"/>
                    </w:rPr>
                    <w:t>e</w:t>
                  </w:r>
                  <w:r>
                    <w:rPr>
                      <w:rFonts w:ascii="Calibri"/>
                      <w:spacing w:val="1"/>
                      <w:w w:val="101"/>
                      <w:sz w:val="12"/>
                    </w:rPr>
                    <w:t>p</w:t>
                  </w:r>
                  <w:r>
                    <w:rPr>
                      <w:rFonts w:ascii="Calibri"/>
                      <w:w w:val="101"/>
                      <w:sz w:val="12"/>
                    </w:rPr>
                    <w:t>-</w:t>
                  </w:r>
                  <w:r>
                    <w:rPr>
                      <w:rFonts w:ascii="Calibri"/>
                      <w:spacing w:val="3"/>
                      <w:w w:val="101"/>
                      <w:sz w:val="12"/>
                    </w:rPr>
                    <w:t>08 </w:t>
                  </w:r>
                  <w:r>
                    <w:rPr>
                      <w:rFonts w:ascii="Calibri"/>
                      <w:spacing w:val="-1"/>
                      <w:w w:val="100"/>
                      <w:sz w:val="12"/>
                    </w:rPr>
                    <w:t>j</w:t>
                  </w:r>
                  <w:r>
                    <w:rPr>
                      <w:rFonts w:ascii="Calibri"/>
                      <w:spacing w:val="1"/>
                      <w:w w:val="100"/>
                      <w:sz w:val="12"/>
                    </w:rPr>
                    <w:t>u</w:t>
                  </w:r>
                  <w:r>
                    <w:rPr>
                      <w:rFonts w:ascii="Calibri"/>
                      <w:w w:val="100"/>
                      <w:sz w:val="12"/>
                    </w:rPr>
                    <w:t>l-</w:t>
                  </w:r>
                  <w:r>
                    <w:rPr>
                      <w:rFonts w:ascii="Calibri"/>
                      <w:spacing w:val="4"/>
                      <w:w w:val="100"/>
                      <w:sz w:val="12"/>
                    </w:rPr>
                    <w:t>10</w:t>
                  </w:r>
                </w:p>
              </w:txbxContent>
            </v:textbox>
            <w10:wrap type="none"/>
          </v:shape>
        </w:pict>
      </w:r>
      <w:r>
        <w:rPr/>
        <w:pict>
          <v:shape style="position:absolute;margin-left:409.880615pt;margin-top:-36.082405pt;width:103.7pt;height:20.9pt;mso-position-horizontal-relative:page;mso-position-vertical-relative:paragraph;z-index:5824" type="#_x0000_t202" filled="false" stroked="false">
            <v:textbox inset="0,0,0,0" style="layout-flow:vertical;mso-layout-flow-alt:bottom-to-top">
              <w:txbxContent>
                <w:p>
                  <w:pPr>
                    <w:spacing w:line="314" w:lineRule="auto" w:before="0"/>
                    <w:ind w:left="20" w:right="18" w:firstLine="6"/>
                    <w:jc w:val="right"/>
                    <w:rPr>
                      <w:rFonts w:ascii="Calibri"/>
                      <w:sz w:val="12"/>
                    </w:rPr>
                  </w:pPr>
                  <w:r>
                    <w:rPr>
                      <w:rFonts w:ascii="Calibri"/>
                      <w:spacing w:val="-4"/>
                      <w:w w:val="101"/>
                      <w:sz w:val="12"/>
                    </w:rPr>
                    <w:t>m</w:t>
                  </w:r>
                  <w:r>
                    <w:rPr>
                      <w:rFonts w:ascii="Calibri"/>
                      <w:spacing w:val="-2"/>
                      <w:w w:val="101"/>
                      <w:sz w:val="12"/>
                    </w:rPr>
                    <w:t>a</w:t>
                  </w:r>
                  <w:r>
                    <w:rPr>
                      <w:rFonts w:ascii="Calibri"/>
                      <w:spacing w:val="3"/>
                      <w:w w:val="101"/>
                      <w:sz w:val="12"/>
                    </w:rPr>
                    <w:t>r</w:t>
                  </w:r>
                  <w:r>
                    <w:rPr>
                      <w:rFonts w:ascii="Calibri"/>
                      <w:w w:val="101"/>
                      <w:sz w:val="12"/>
                    </w:rPr>
                    <w:t>-</w:t>
                  </w:r>
                  <w:r>
                    <w:rPr>
                      <w:rFonts w:ascii="Calibri"/>
                      <w:spacing w:val="3"/>
                      <w:w w:val="101"/>
                      <w:sz w:val="12"/>
                    </w:rPr>
                    <w:t>92 </w:t>
                  </w:r>
                  <w:r>
                    <w:rPr>
                      <w:rFonts w:ascii="Calibri"/>
                      <w:spacing w:val="4"/>
                      <w:w w:val="100"/>
                      <w:sz w:val="12"/>
                    </w:rPr>
                    <w:t>e</w:t>
                  </w:r>
                  <w:r>
                    <w:rPr>
                      <w:rFonts w:ascii="Calibri"/>
                      <w:spacing w:val="1"/>
                      <w:w w:val="100"/>
                      <w:sz w:val="12"/>
                    </w:rPr>
                    <w:t>n</w:t>
                  </w:r>
                  <w:r>
                    <w:rPr>
                      <w:rFonts w:ascii="Calibri"/>
                      <w:spacing w:val="5"/>
                      <w:w w:val="100"/>
                      <w:sz w:val="12"/>
                    </w:rPr>
                    <w:t>e</w:t>
                  </w:r>
                  <w:r>
                    <w:rPr>
                      <w:rFonts w:ascii="Calibri"/>
                      <w:w w:val="100"/>
                      <w:sz w:val="12"/>
                    </w:rPr>
                    <w:t>-</w:t>
                  </w:r>
                  <w:r>
                    <w:rPr>
                      <w:rFonts w:ascii="Calibri"/>
                      <w:spacing w:val="3"/>
                      <w:w w:val="100"/>
                      <w:sz w:val="12"/>
                    </w:rPr>
                    <w:t>94 </w:t>
                  </w:r>
                  <w:r>
                    <w:rPr>
                      <w:rFonts w:ascii="Calibri"/>
                      <w:spacing w:val="1"/>
                      <w:w w:val="101"/>
                      <w:sz w:val="12"/>
                    </w:rPr>
                    <w:t>nov</w:t>
                  </w:r>
                  <w:r>
                    <w:rPr>
                      <w:rFonts w:ascii="Calibri"/>
                      <w:w w:val="101"/>
                      <w:sz w:val="12"/>
                    </w:rPr>
                    <w:t>-</w:t>
                  </w:r>
                  <w:r>
                    <w:rPr>
                      <w:rFonts w:ascii="Calibri"/>
                      <w:spacing w:val="3"/>
                      <w:w w:val="101"/>
                      <w:sz w:val="12"/>
                    </w:rPr>
                    <w:t>95 </w:t>
                  </w:r>
                  <w:r>
                    <w:rPr>
                      <w:rFonts w:ascii="Calibri"/>
                      <w:spacing w:val="-1"/>
                      <w:w w:val="100"/>
                      <w:sz w:val="12"/>
                    </w:rPr>
                    <w:t>s</w:t>
                  </w:r>
                  <w:r>
                    <w:rPr>
                      <w:rFonts w:ascii="Calibri"/>
                      <w:spacing w:val="4"/>
                      <w:w w:val="100"/>
                      <w:sz w:val="12"/>
                    </w:rPr>
                    <w:t>e</w:t>
                  </w:r>
                  <w:r>
                    <w:rPr>
                      <w:rFonts w:ascii="Calibri"/>
                      <w:spacing w:val="2"/>
                      <w:w w:val="100"/>
                      <w:sz w:val="12"/>
                    </w:rPr>
                    <w:t>p</w:t>
                  </w:r>
                  <w:r>
                    <w:rPr>
                      <w:rFonts w:ascii="Calibri"/>
                      <w:w w:val="100"/>
                      <w:sz w:val="12"/>
                    </w:rPr>
                    <w:t>-</w:t>
                  </w:r>
                  <w:r>
                    <w:rPr>
                      <w:rFonts w:ascii="Calibri"/>
                      <w:spacing w:val="3"/>
                      <w:w w:val="100"/>
                      <w:sz w:val="12"/>
                    </w:rPr>
                    <w:t>97 </w:t>
                  </w:r>
                  <w:r>
                    <w:rPr>
                      <w:rFonts w:ascii="Calibri"/>
                      <w:spacing w:val="-1"/>
                      <w:w w:val="100"/>
                      <w:sz w:val="12"/>
                    </w:rPr>
                    <w:t>j</w:t>
                  </w:r>
                  <w:r>
                    <w:rPr>
                      <w:rFonts w:ascii="Calibri"/>
                      <w:spacing w:val="1"/>
                      <w:w w:val="100"/>
                      <w:sz w:val="12"/>
                    </w:rPr>
                    <w:t>u</w:t>
                  </w:r>
                  <w:r>
                    <w:rPr>
                      <w:rFonts w:ascii="Calibri"/>
                      <w:w w:val="100"/>
                      <w:sz w:val="12"/>
                    </w:rPr>
                    <w:t>l-</w:t>
                  </w:r>
                  <w:r>
                    <w:rPr>
                      <w:rFonts w:ascii="Calibri"/>
                      <w:spacing w:val="3"/>
                      <w:w w:val="100"/>
                      <w:sz w:val="12"/>
                    </w:rPr>
                    <w:t>99 </w:t>
                  </w:r>
                  <w:r>
                    <w:rPr>
                      <w:rFonts w:ascii="Calibri"/>
                      <w:spacing w:val="-4"/>
                      <w:w w:val="101"/>
                      <w:sz w:val="12"/>
                    </w:rPr>
                    <w:t>m</w:t>
                  </w:r>
                  <w:r>
                    <w:rPr>
                      <w:rFonts w:ascii="Calibri"/>
                      <w:spacing w:val="-3"/>
                      <w:w w:val="101"/>
                      <w:sz w:val="12"/>
                    </w:rPr>
                    <w:t>a</w:t>
                  </w:r>
                  <w:r>
                    <w:rPr>
                      <w:rFonts w:ascii="Calibri"/>
                      <w:spacing w:val="1"/>
                      <w:w w:val="101"/>
                      <w:sz w:val="12"/>
                    </w:rPr>
                    <w:t>y</w:t>
                  </w:r>
                  <w:r>
                    <w:rPr>
                      <w:rFonts w:ascii="Calibri"/>
                      <w:w w:val="101"/>
                      <w:sz w:val="12"/>
                    </w:rPr>
                    <w:t>-</w:t>
                  </w:r>
                  <w:r>
                    <w:rPr>
                      <w:rFonts w:ascii="Calibri"/>
                      <w:spacing w:val="3"/>
                      <w:w w:val="101"/>
                      <w:sz w:val="12"/>
                    </w:rPr>
                    <w:t>01 </w:t>
                  </w:r>
                  <w:r>
                    <w:rPr>
                      <w:rFonts w:ascii="Calibri"/>
                      <w:spacing w:val="-4"/>
                      <w:w w:val="100"/>
                      <w:sz w:val="12"/>
                    </w:rPr>
                    <w:t>m</w:t>
                  </w:r>
                  <w:r>
                    <w:rPr>
                      <w:rFonts w:ascii="Calibri"/>
                      <w:spacing w:val="-2"/>
                      <w:w w:val="100"/>
                      <w:sz w:val="12"/>
                    </w:rPr>
                    <w:t>a</w:t>
                  </w:r>
                  <w:r>
                    <w:rPr>
                      <w:rFonts w:ascii="Calibri"/>
                      <w:spacing w:val="4"/>
                      <w:w w:val="100"/>
                      <w:sz w:val="12"/>
                    </w:rPr>
                    <w:t>r</w:t>
                  </w:r>
                  <w:r>
                    <w:rPr>
                      <w:rFonts w:ascii="Calibri"/>
                      <w:w w:val="100"/>
                      <w:sz w:val="12"/>
                    </w:rPr>
                    <w:t>-</w:t>
                  </w:r>
                  <w:r>
                    <w:rPr>
                      <w:rFonts w:ascii="Calibri"/>
                      <w:spacing w:val="4"/>
                      <w:w w:val="100"/>
                      <w:sz w:val="12"/>
                    </w:rPr>
                    <w:t>03 e</w:t>
                  </w:r>
                  <w:r>
                    <w:rPr>
                      <w:rFonts w:ascii="Calibri"/>
                      <w:spacing w:val="1"/>
                      <w:w w:val="100"/>
                      <w:sz w:val="12"/>
                    </w:rPr>
                    <w:t>n</w:t>
                  </w:r>
                  <w:r>
                    <w:rPr>
                      <w:rFonts w:ascii="Calibri"/>
                      <w:spacing w:val="5"/>
                      <w:w w:val="100"/>
                      <w:sz w:val="12"/>
                    </w:rPr>
                    <w:t>e</w:t>
                  </w:r>
                  <w:r>
                    <w:rPr>
                      <w:rFonts w:ascii="Calibri"/>
                      <w:w w:val="100"/>
                      <w:sz w:val="12"/>
                    </w:rPr>
                    <w:t>-</w:t>
                  </w:r>
                  <w:r>
                    <w:rPr>
                      <w:rFonts w:ascii="Calibri"/>
                      <w:spacing w:val="3"/>
                      <w:w w:val="100"/>
                      <w:sz w:val="12"/>
                    </w:rPr>
                    <w:t>05 </w:t>
                  </w:r>
                  <w:r>
                    <w:rPr>
                      <w:rFonts w:ascii="Calibri"/>
                      <w:spacing w:val="1"/>
                      <w:w w:val="101"/>
                      <w:sz w:val="12"/>
                    </w:rPr>
                    <w:t>nov</w:t>
                  </w:r>
                  <w:r>
                    <w:rPr>
                      <w:rFonts w:ascii="Calibri"/>
                      <w:w w:val="101"/>
                      <w:sz w:val="12"/>
                    </w:rPr>
                    <w:t>-</w:t>
                  </w:r>
                  <w:r>
                    <w:rPr>
                      <w:rFonts w:ascii="Calibri"/>
                      <w:spacing w:val="3"/>
                      <w:w w:val="101"/>
                      <w:sz w:val="12"/>
                    </w:rPr>
                    <w:t>06 </w:t>
                  </w:r>
                  <w:r>
                    <w:rPr>
                      <w:rFonts w:ascii="Calibri"/>
                      <w:spacing w:val="-1"/>
                      <w:w w:val="100"/>
                      <w:sz w:val="12"/>
                    </w:rPr>
                    <w:t>s</w:t>
                  </w:r>
                  <w:r>
                    <w:rPr>
                      <w:rFonts w:ascii="Calibri"/>
                      <w:spacing w:val="4"/>
                      <w:w w:val="100"/>
                      <w:sz w:val="12"/>
                    </w:rPr>
                    <w:t>e</w:t>
                  </w:r>
                  <w:r>
                    <w:rPr>
                      <w:rFonts w:ascii="Calibri"/>
                      <w:spacing w:val="2"/>
                      <w:w w:val="100"/>
                      <w:sz w:val="12"/>
                    </w:rPr>
                    <w:t>p</w:t>
                  </w:r>
                  <w:r>
                    <w:rPr>
                      <w:rFonts w:ascii="Calibri"/>
                      <w:w w:val="100"/>
                      <w:sz w:val="12"/>
                    </w:rPr>
                    <w:t>-</w:t>
                  </w:r>
                  <w:r>
                    <w:rPr>
                      <w:rFonts w:ascii="Calibri"/>
                      <w:spacing w:val="3"/>
                      <w:w w:val="100"/>
                      <w:sz w:val="12"/>
                    </w:rPr>
                    <w:t>08 </w:t>
                  </w:r>
                  <w:r>
                    <w:rPr>
                      <w:rFonts w:ascii="Calibri"/>
                      <w:spacing w:val="-1"/>
                      <w:w w:val="100"/>
                      <w:sz w:val="12"/>
                    </w:rPr>
                    <w:t>j</w:t>
                  </w:r>
                  <w:r>
                    <w:rPr>
                      <w:rFonts w:ascii="Calibri"/>
                      <w:spacing w:val="1"/>
                      <w:w w:val="100"/>
                      <w:sz w:val="12"/>
                    </w:rPr>
                    <w:t>u</w:t>
                  </w:r>
                  <w:r>
                    <w:rPr>
                      <w:rFonts w:ascii="Calibri"/>
                      <w:w w:val="100"/>
                      <w:sz w:val="12"/>
                    </w:rPr>
                    <w:t>l-</w:t>
                  </w:r>
                  <w:r>
                    <w:rPr>
                      <w:rFonts w:ascii="Calibri"/>
                      <w:spacing w:val="3"/>
                      <w:w w:val="100"/>
                      <w:sz w:val="12"/>
                    </w:rPr>
                    <w:t>10</w:t>
                  </w:r>
                </w:p>
              </w:txbxContent>
            </v:textbox>
            <w10:wrap type="none"/>
          </v:shape>
        </w:pict>
      </w:r>
      <w:r>
        <w:rPr>
          <w:sz w:val="18"/>
        </w:rPr>
        <w:t>Fuente: Elaboración propia.</w:t>
      </w:r>
    </w:p>
    <w:p>
      <w:pPr>
        <w:pStyle w:val="BodyText"/>
        <w:spacing w:line="360" w:lineRule="auto" w:before="102"/>
        <w:ind w:left="122" w:right="122" w:firstLine="770"/>
        <w:jc w:val="both"/>
      </w:pPr>
      <w:r>
        <w:rPr/>
        <w:t>Luego, la </w:t>
      </w:r>
      <w:r>
        <w:rPr>
          <w:i/>
        </w:rPr>
        <w:t>figura 2.7 </w:t>
      </w:r>
      <w:r>
        <w:rPr/>
        <w:t>permite apreciar diagramas de dispersión entre el precio del  gas natural y sus posibles factores</w:t>
      </w:r>
      <w:r>
        <w:rPr>
          <w:spacing w:val="-8"/>
        </w:rPr>
        <w:t> </w:t>
      </w:r>
      <w:r>
        <w:rPr/>
        <w:t>explicativos:</w:t>
      </w:r>
    </w:p>
    <w:p>
      <w:pPr>
        <w:pStyle w:val="BodyText"/>
        <w:rPr>
          <w:sz w:val="20"/>
        </w:rPr>
      </w:pPr>
    </w:p>
    <w:p>
      <w:pPr>
        <w:pStyle w:val="BodyText"/>
        <w:rPr>
          <w:sz w:val="20"/>
        </w:rPr>
      </w:pPr>
    </w:p>
    <w:p>
      <w:pPr>
        <w:pStyle w:val="BodyText"/>
        <w:rPr>
          <w:sz w:val="20"/>
        </w:rPr>
      </w:pPr>
    </w:p>
    <w:p>
      <w:pPr>
        <w:pStyle w:val="BodyText"/>
        <w:spacing w:before="1"/>
        <w:rPr>
          <w:sz w:val="25"/>
        </w:rPr>
      </w:pPr>
      <w:r>
        <w:rPr/>
        <w:pict>
          <v:line style="position:absolute;mso-position-horizontal-relative:page;mso-position-vertical-relative:paragraph;z-index:5128;mso-wrap-distance-left:0;mso-wrap-distance-right:0" from="85.103996pt,16.678682pt" to="229.123996pt,16.678682pt" stroked="true" strokeweight=".60004pt" strokecolor="#000000">
            <w10:wrap type="topAndBottom"/>
          </v:line>
        </w:pict>
      </w:r>
    </w:p>
    <w:p>
      <w:pPr>
        <w:spacing w:line="243" w:lineRule="exact" w:before="50"/>
        <w:ind w:left="122" w:right="115" w:firstLine="0"/>
        <w:jc w:val="left"/>
        <w:rPr>
          <w:sz w:val="20"/>
        </w:rPr>
      </w:pPr>
      <w:r>
        <w:rPr>
          <w:position w:val="9"/>
          <w:sz w:val="13"/>
        </w:rPr>
        <w:t>40 </w:t>
      </w:r>
      <w:r>
        <w:rPr>
          <w:sz w:val="20"/>
        </w:rPr>
        <w:t>Australia, Francia, Estados Unidos, Sud-África, Reino Unido, Corea del Sur, Italia y Canadá.</w:t>
      </w:r>
    </w:p>
    <w:p>
      <w:pPr>
        <w:spacing w:line="243" w:lineRule="exact" w:before="0"/>
        <w:ind w:left="122" w:right="115" w:firstLine="0"/>
        <w:jc w:val="left"/>
        <w:rPr>
          <w:sz w:val="20"/>
        </w:rPr>
      </w:pPr>
      <w:r>
        <w:rPr>
          <w:position w:val="9"/>
          <w:sz w:val="13"/>
        </w:rPr>
        <w:t>41 </w:t>
      </w:r>
      <w:r>
        <w:rPr>
          <w:sz w:val="20"/>
        </w:rPr>
        <w:t>Nominal Effective Exchange Rate.</w:t>
      </w:r>
    </w:p>
    <w:p>
      <w:pPr>
        <w:spacing w:after="0" w:line="243" w:lineRule="exact"/>
        <w:jc w:val="left"/>
        <w:rPr>
          <w:sz w:val="20"/>
        </w:rPr>
        <w:sectPr>
          <w:pgSz w:w="12250" w:h="15850"/>
          <w:pgMar w:header="0" w:footer="1037" w:top="1360" w:bottom="1220" w:left="1580" w:right="1580"/>
        </w:sectPr>
      </w:pPr>
    </w:p>
    <w:p>
      <w:pPr>
        <w:pStyle w:val="BodyText"/>
        <w:spacing w:before="141"/>
        <w:ind w:left="2767" w:right="115"/>
      </w:pPr>
      <w:bookmarkStart w:name="_bookmark39" w:id="61"/>
      <w:bookmarkEnd w:id="61"/>
      <w:r>
        <w:rPr/>
      </w:r>
      <w:r>
        <w:rPr/>
        <w:t>Figura 2. 7: Diagramas de dispersión</w:t>
      </w:r>
    </w:p>
    <w:p>
      <w:pPr>
        <w:pStyle w:val="BodyText"/>
        <w:spacing w:before="11"/>
        <w:rPr>
          <w:sz w:val="27"/>
        </w:rPr>
      </w:pPr>
      <w:r>
        <w:rPr/>
        <w:pict>
          <v:group style="position:absolute;margin-left:132.560928pt;margin-top:18.026941pt;width:390.45pt;height:200pt;mso-position-horizontal-relative:page;mso-position-vertical-relative:paragraph;z-index:6160;mso-wrap-distance-left:0;mso-wrap-distance-right:0" coordorigin="2651,361" coordsize="7809,4000">
            <v:shape style="position:absolute;left:2651;top:371;width:2424;height:1945" type="#_x0000_t75" stroked="false">
              <v:imagedata r:id="rId104" o:title=""/>
            </v:shape>
            <v:shape style="position:absolute;left:5248;top:504;width:2377;height:1683" type="#_x0000_t75" stroked="false">
              <v:imagedata r:id="rId105" o:title=""/>
            </v:shape>
            <v:line style="position:absolute" from="5248,2167" to="5257,2167" stroked="true" strokeweight="2.029781pt" strokecolor="#858585"/>
            <v:shape style="position:absolute;left:6260;top:477;width:156;height:222" type="#_x0000_t75" stroked="false">
              <v:imagedata r:id="rId106" o:title=""/>
            </v:shape>
            <v:shape style="position:absolute;left:2651;top:361;width:5112;height:3949" type="#_x0000_t75" stroked="false">
              <v:imagedata r:id="rId107" o:title=""/>
            </v:shape>
            <v:shape style="position:absolute;left:6435;top:2962;width:186;height:197" type="#_x0000_t75" stroked="false">
              <v:imagedata r:id="rId108" o:title=""/>
            </v:shape>
            <v:shape style="position:absolute;left:6227;top:2935;width:83;height:92" coordorigin="6227,2935" coordsize="83,92" path="m6269,2935l6227,2981,6269,3027,6310,2981,6269,2935xe" filled="true" fillcolor="#4f81bc" stroked="false">
              <v:path arrowok="t"/>
              <v:fill type="solid"/>
            </v:shape>
            <v:shape style="position:absolute;left:6223;top:2930;width:93;height:103" coordorigin="6223,2930" coordsize="93,103" path="m6270,2930l6268,2930,6223,2979,6223,2983,6268,3032,6270,3032,6278,3023,6266,3023,6269,3020,6238,2985,6231,2985,6231,2977,6238,2977,6269,2942,6266,2939,6279,2939,6270,2930xm6269,3020l6266,3023,6272,3023,6269,3020xm6304,2981l6269,3020,6272,3023,6278,3023,6314,2985,6307,2985,6304,2981xm6231,2977l6231,2985,6234,2981,6231,2977xm6234,2981l6231,2985,6238,2985,6234,2981xm6307,2977l6304,2981,6307,2985,6307,2977xm6314,2977l6307,2977,6307,2985,6314,2985,6315,2983,6315,2979,6314,2977xm6238,2977l6231,2977,6234,2981,6238,2977xm6279,2939l6272,2939,6269,2942,6304,2981,6307,2977,6314,2977,6279,2939xm6272,2939l6266,2939,6269,2942,6272,2939xe" filled="true" fillcolor="#497dba" stroked="false">
              <v:path arrowok="t"/>
              <v:fill type="solid"/>
            </v:shape>
            <v:shape style="position:absolute;left:6223;top:2930;width:93;height:103" coordorigin="6223,2930" coordsize="93,103" path="m6272,3030l6270,3032,6268,3032,6266,3030,6225,2985,6223,2983,6223,2979,6225,2977,6266,2932,6268,2930,6270,2930,6272,2932,6314,2977,6315,2979,6315,2983,6314,2985,6272,3030xe" filled="false" stroked="true" strokeweight=".089662pt" strokecolor="#497dba">
              <v:path arrowok="t"/>
            </v:shape>
            <v:shape style="position:absolute;left:6231;top:2939;width:76;height:85" coordorigin="6231,2939" coordsize="76,85" path="m6307,2977l6307,2985,6266,2939,6272,2939,6231,2985,6231,2977,6272,3023,6266,3023,6307,2977xe" filled="false" stroked="true" strokeweight=".089634pt" strokecolor="#497dba">
              <v:path arrowok="t"/>
            </v:shape>
            <v:shape style="position:absolute;left:5157;top:2416;width:2643;height:1943" coordorigin="5157,2416" coordsize="2643,1943" path="m7797,2416l5159,2416,5157,2419,5157,4357,5159,4359,7797,4359,7799,4357,7799,4354,5166,4354,5161,4349,5166,4349,5166,2426,5161,2426,5166,2421,7799,2421,7799,2419,7797,2416xm5166,4349l5161,4349,5166,4354,5166,4349xm7789,4349l5166,4349,5166,4354,7789,4354,7789,4349xm7789,2421l7789,4354,7794,4349,7799,4349,7799,2426,7794,2426,7789,2421xm7799,4349l7794,4349,7789,4354,7799,4354,7799,4349xm5166,2421l5161,2426,5166,2426,5166,2421xm7789,2421l5166,2421,5166,2426,7789,2426,7789,2421xm7799,2421l7789,2421,7794,2426,7799,2426,7799,2421xe" filled="true" fillcolor="#858585" stroked="false">
              <v:path arrowok="t"/>
              <v:fill type="solid"/>
            </v:shape>
            <v:shape style="position:absolute;left:5157;top:2416;width:2643;height:1943" coordorigin="5157,2416" coordsize="2643,1943" path="m5157,2421l5157,2419,5159,2416,5161,2416,7794,2416,7797,2416,7799,2419,7799,2421,7799,4354,7799,4357,7797,4359,7794,4359,5161,4359,5159,4359,5157,4357,5157,4354,5157,2421xe" filled="false" stroked="true" strokeweight=".091495pt" strokecolor="#858585">
              <v:path arrowok="t"/>
            </v:shape>
            <v:shape style="position:absolute;left:5161;top:2421;width:2633;height:1933" coordorigin="5161,2421" coordsize="2633,1933" path="m5166,4354l5161,4349,7794,4349,7789,4354,7789,2421,7794,2426,5161,2426,5166,2421,5166,4354xe" filled="false" stroked="true" strokeweight=".091502pt" strokecolor="#858585">
              <v:path arrowok="t"/>
            </v:shape>
            <v:shape style="position:absolute;left:7880;top:504;width:2414;height:1684" type="#_x0000_t75" stroked="false">
              <v:imagedata r:id="rId109" o:title=""/>
            </v:shape>
            <v:line style="position:absolute" from="7918,2167" to="7927,2167" stroked="true" strokeweight="2.029781pt" strokecolor="#858585"/>
            <v:line style="position:absolute" from="8441,2167" to="8450,2167" stroked="true" strokeweight="2.029781pt" strokecolor="#858585"/>
            <v:line style="position:absolute" from="10019,2167" to="10028,2167" stroked="true" strokeweight="2.029781pt" strokecolor="#858585"/>
            <v:shape style="position:absolute;left:9562;top:1709;width:129;height:277" type="#_x0000_t75" stroked="false">
              <v:imagedata r:id="rId110" o:title=""/>
            </v:shape>
            <v:shape style="position:absolute;left:9282;top:1837;width:83;height:92" coordorigin="9282,1837" coordsize="83,92" path="m9324,1837l9282,1883,9324,1928,9365,1883,9324,1837xe" filled="true" fillcolor="#4f81bc" stroked="false">
              <v:path arrowok="t"/>
              <v:fill type="solid"/>
            </v:shape>
            <v:shape style="position:absolute;left:9277;top:1831;width:93;height:103" coordorigin="9277,1831" coordsize="93,103" path="m9325,1831l9322,1831,9279,1879,9277,1881,9277,1884,9320,1932,9322,1933,9325,1933,9333,1925,9320,1925,9323,1921,9291,1886,9285,1886,9285,1879,9291,1879,9323,1843,9320,1840,9333,1840,9326,1833,9325,1831xm9323,1921l9320,1925,9326,1925,9323,1921xm9358,1882l9323,1921,9326,1925,9333,1925,9368,1886,9362,1886,9358,1882xm9285,1879l9285,1886,9288,1882,9285,1879xm9288,1882l9285,1886,9291,1886,9288,1882xm9362,1879l9358,1882,9362,1886,9362,1879xm9368,1879l9362,1879,9362,1886,9368,1886,9369,1884,9369,1881,9368,1879xm9291,1879l9285,1879,9288,1882,9291,1879xm9333,1840l9326,1840,9323,1843,9358,1882,9362,1879,9368,1879,9333,1840xm9326,1840l9320,1840,9323,1843,9326,1840xe" filled="true" fillcolor="#497dba" stroked="false">
              <v:path arrowok="t"/>
              <v:fill type="solid"/>
            </v:shape>
            <v:shape style="position:absolute;left:9277;top:1831;width:93;height:103" coordorigin="9277,1831" coordsize="93,103" path="m9326,1932l9325,1933,9322,1933,9320,1932,9279,1886,9277,1884,9277,1881,9279,1879,9320,1833,9322,1831,9325,1831,9326,1833,9368,1879,9369,1881,9369,1884,9368,1886,9326,1932xe" filled="false" stroked="true" strokeweight=".089656pt" strokecolor="#497dba">
              <v:path arrowok="t"/>
            </v:shape>
            <v:shape style="position:absolute;left:9285;top:1840;width:77;height:85" coordorigin="9285,1840" coordsize="77,85" path="m9362,1879l9362,1886,9320,1840,9326,1840,9285,1886,9285,1879,9326,1925,9320,1925,9362,1879xe" filled="false" stroked="true" strokeweight=".089656pt" strokecolor="#497dba">
              <v:path arrowok="t"/>
            </v:shape>
            <v:shape style="position:absolute;left:8930;top:1868;width:83;height:92" coordorigin="8930,1868" coordsize="83,92" path="m8972,1868l8930,1914,8972,1960,9013,1914,8972,1868xe" filled="true" fillcolor="#4f81bc" stroked="false">
              <v:path arrowok="t"/>
              <v:fill type="solid"/>
            </v:shape>
            <v:shape style="position:absolute;left:8925;top:1862;width:93;height:103" coordorigin="8925,1862" coordsize="93,103" path="m8973,1862l8970,1862,8968,1864,8927,1910,8925,1912,8925,1915,8927,1918,8968,1964,8970,1965,8973,1965,8975,1964,8982,1956,8968,1956,8971,1952,8940,1918,8933,1918,8933,1910,8940,1910,8971,1875,8968,1872,8982,1872,8975,1864,8973,1862xm8971,1952l8968,1956,8975,1956,8971,1952xm9006,1914l8971,1952,8975,1956,8982,1956,9016,1918,9009,1918,9006,1914xm8933,1910l8933,1918,8936,1914,8933,1910xm8936,1914l8933,1918,8940,1918,8936,1914xm9009,1910l9006,1914,9009,1918,9009,1910xm9016,1910l9009,1910,9009,1918,9016,1918,9017,1915,9017,1912,9016,1910xm8940,1910l8933,1910,8936,1914,8940,1910xm8982,1872l8975,1872,8971,1875,9006,1914,9009,1910,9016,1910,8982,1872xm8975,1872l8968,1872,8971,1875,8975,1872xe" filled="true" fillcolor="#497dba" stroked="false">
              <v:path arrowok="t"/>
              <v:fill type="solid"/>
            </v:shape>
            <v:shape style="position:absolute;left:8925;top:1862;width:93;height:103" coordorigin="8925,1862" coordsize="93,103" path="m8975,1964l8973,1965,8970,1965,8968,1964,8927,1918,8925,1915,8925,1912,8927,1910,8968,1864,8970,1862,8973,1862,8975,1864,9016,1910,9017,1912,9017,1915,9016,1918,8975,1964xe" filled="false" stroked="true" strokeweight=".089626pt" strokecolor="#497dba">
              <v:path arrowok="t"/>
            </v:shape>
            <v:shape style="position:absolute;left:8933;top:1872;width:77;height:84" coordorigin="8933,1872" coordsize="77,84" path="m9009,1910l9009,1918,8968,1872,8975,1872,8933,1918,8933,1910,8975,1956,8968,1956,9009,1910xe" filled="false" stroked="true" strokeweight=".089692pt" strokecolor="#497dba">
              <v:path arrowok="t"/>
            </v:shape>
            <v:shape style="position:absolute;left:8694;top:1944;width:83;height:92" coordorigin="8694,1944" coordsize="83,92" path="m8735,1944l8694,1990,8735,2035,8776,1990,8735,1944xe" filled="true" fillcolor="#4f81bc" stroked="false">
              <v:path arrowok="t"/>
              <v:fill type="solid"/>
            </v:shape>
            <v:shape style="position:absolute;left:8689;top:1938;width:93;height:103" coordorigin="8689,1938" coordsize="93,103" path="m8737,1938l8734,1938,8732,1940,8691,1986,8689,1988,8689,1991,8691,1993,8732,2038,8734,2040,8737,2040,8738,2038,8744,2032,8732,2032,8735,2028,8703,1993,8697,1993,8697,1986,8703,1986,8735,1950,8732,1947,8745,1947,8738,1940,8737,1938xm8735,2028l8732,2032,8738,2032,8735,2028xm8770,1989l8735,2028,8738,2032,8744,2032,8779,1993,8773,1993,8770,1989xm8697,1986l8697,1993,8700,1989,8697,1986xm8700,1989l8697,1993,8703,1993,8700,1989xm8773,1986l8770,1989,8773,1993,8773,1986xm8779,1986l8773,1986,8773,1993,8779,1993,8781,1991,8781,1988,8779,1986xm8703,1986l8697,1986,8700,1989,8703,1986xm8745,1947l8738,1947,8735,1950,8770,1989,8773,1986,8779,1986,8745,1947xm8738,1947l8732,1947,8735,1950,8738,1947xe" filled="true" fillcolor="#497dba" stroked="false">
              <v:path arrowok="t"/>
              <v:fill type="solid"/>
            </v:shape>
            <v:shape style="position:absolute;left:8689;top:1938;width:93;height:103" coordorigin="8689,1938" coordsize="93,103" path="m8738,2038l8737,2040,8734,2040,8732,2038,8691,1993,8689,1991,8689,1988,8691,1986,8732,1940,8734,1938,8737,1938,8738,1940,8779,1986,8781,1988,8781,1991,8779,1993,8738,2038xe" filled="false" stroked="true" strokeweight=".089644pt" strokecolor="#497dba">
              <v:path arrowok="t"/>
            </v:shape>
            <v:shape style="position:absolute;left:8697;top:1947;width:77;height:85" coordorigin="8697,1947" coordsize="77,85" path="m8773,1986l8773,1993,8732,1947,8738,1947,8697,1993,8697,1986,8738,2032,8732,2032,8773,1986xe" filled="false" stroked="true" strokeweight=".089656pt" strokecolor="#497dba">
              <v:path arrowok="t"/>
            </v:shape>
            <v:shape style="position:absolute;left:8336;top:1944;width:118;height:141" type="#_x0000_t75" stroked="false">
              <v:imagedata r:id="rId111" o:title=""/>
            </v:shape>
            <v:shape style="position:absolute;left:8139;top:1795;width:260;height:208" type="#_x0000_t75" stroked="false">
              <v:imagedata r:id="rId112" o:title=""/>
            </v:shape>
            <v:shape style="position:absolute;left:8455;top:1741;width:83;height:92" coordorigin="8455,1741" coordsize="83,92" path="m8496,1741l8455,1787,8496,1832,8537,1787,8496,1741xe" filled="true" fillcolor="#4f81bc" stroked="false">
              <v:path arrowok="t"/>
              <v:fill type="solid"/>
            </v:shape>
            <v:shape style="position:absolute;left:8450;top:1735;width:93;height:103" coordorigin="8450,1735" coordsize="93,103" path="m8498,1735l8494,1735,8493,1737,8452,1783,8450,1785,8450,1788,8452,1790,8493,1836,8494,1838,8498,1838,8499,1836,8506,1829,8493,1829,8496,1825,8465,1790,8458,1790,8458,1783,8465,1783,8496,1748,8493,1745,8506,1745,8498,1735xm8496,1825l8493,1829,8499,1829,8496,1825xm8531,1787l8496,1825,8499,1829,8506,1829,8541,1790,8534,1790,8531,1787xm8458,1783l8458,1790,8461,1787,8458,1783xm8461,1787l8458,1790,8465,1790,8461,1787xm8534,1783l8531,1787,8534,1790,8534,1783xm8541,1783l8534,1783,8534,1790,8541,1790,8542,1788,8542,1785,8541,1783xm8465,1783l8458,1783,8461,1787,8465,1783xm8506,1745l8499,1745,8496,1748,8531,1787,8534,1783,8541,1783,8506,1745xm8499,1745l8493,1745,8496,1748,8499,1745xe" filled="true" fillcolor="#497dba" stroked="false">
              <v:path arrowok="t"/>
              <v:fill type="solid"/>
            </v:shape>
            <v:shape style="position:absolute;left:8450;top:1735;width:93;height:103" coordorigin="8450,1735" coordsize="93,103" path="m8499,1836l8498,1838,8494,1838,8493,1836,8452,1790,8450,1788,8450,1785,8452,1783,8493,1737,8494,1735,8498,1735,8499,1737,8541,1783,8542,1785,8542,1788,8541,1790,8499,1836xe" filled="false" stroked="true" strokeweight=".089626pt" strokecolor="#497dba">
              <v:path arrowok="t"/>
            </v:shape>
            <v:shape style="position:absolute;left:8458;top:1745;width:77;height:84" coordorigin="8458,1745" coordsize="77,84" path="m8534,1783l8534,1790,8493,1745,8499,1745,8458,1790,8458,1783,8499,1829,8493,1829,8534,1783xe" filled="false" stroked="true" strokeweight=".089692pt" strokecolor="#497dba">
              <v:path arrowok="t"/>
            </v:shape>
            <v:shape style="position:absolute;left:8578;top:1811;width:83;height:92" coordorigin="8578,1811" coordsize="83,92" path="m8620,1811l8578,1857,8620,1903,8661,1857,8620,1811xe" filled="true" fillcolor="#4f81bc" stroked="false">
              <v:path arrowok="t"/>
              <v:fill type="solid"/>
            </v:shape>
            <v:shape style="position:absolute;left:8573;top:1806;width:93;height:103" coordorigin="8573,1806" coordsize="93,103" path="m8621,1806l8618,1806,8616,1808,8575,1854,8573,1856,8573,1859,8575,1861,8616,1907,8618,1909,8621,1909,8623,1907,8629,1900,8616,1900,8619,1896,8588,1861,8582,1861,8582,1854,8588,1854,8619,1819,8616,1815,8629,1815,8623,1808,8621,1806xm8619,1896l8616,1900,8623,1900,8619,1896xm8654,1858l8619,1896,8623,1900,8629,1900,8664,1861,8658,1861,8654,1858xm8582,1854l8582,1861,8585,1858,8582,1854xm8585,1858l8582,1861,8588,1861,8585,1858xm8658,1854l8654,1858,8658,1861,8658,1854xm8664,1854l8658,1854,8658,1861,8664,1861,8666,1859,8666,1856,8664,1854xm8588,1854l8582,1854,8585,1858,8588,1854xm8629,1815l8623,1815,8619,1819,8654,1858,8658,1854,8664,1854,8629,1815xm8623,1815l8616,1815,8619,1819,8623,1815xe" filled="true" fillcolor="#497dba" stroked="false">
              <v:path arrowok="t"/>
              <v:fill type="solid"/>
            </v:shape>
            <v:shape style="position:absolute;left:8573;top:1806;width:93;height:103" coordorigin="8573,1806" coordsize="93,103" path="m8623,1907l8621,1909,8618,1909,8616,1907,8575,1861,8573,1859,8573,1856,8575,1854,8616,1808,8618,1806,8621,1806,8623,1808,8664,1854,8666,1856,8666,1859,8664,1861,8623,1907xe" filled="false" stroked="true" strokeweight=".089662pt" strokecolor="#497dba">
              <v:path arrowok="t"/>
            </v:shape>
            <v:shape style="position:absolute;left:8582;top:1815;width:76;height:85" coordorigin="8582,1815" coordsize="76,85" path="m8658,1854l8658,1861,8616,1815,8623,1815,8582,1861,8582,1854,8623,1900,8616,1900,8658,1854xe" filled="false" stroked="true" strokeweight=".089619pt" strokecolor="#497dba">
              <v:path arrowok="t"/>
            </v:shape>
            <v:shape style="position:absolute;left:8686;top:1680;width:83;height:92" coordorigin="8686,1680" coordsize="83,92" path="m8727,1680l8686,1726,8727,1772,8769,1726,8727,1680xe" filled="true" fillcolor="#4f81bc" stroked="false">
              <v:path arrowok="t"/>
              <v:fill type="solid"/>
            </v:shape>
            <v:shape style="position:absolute;left:8681;top:1675;width:93;height:103" coordorigin="8681,1675" coordsize="93,103" path="m8728,1675l8726,1675,8683,1723,8681,1725,8681,1728,8683,1730,8726,1778,8728,1778,8736,1769,8724,1769,8727,1765,8695,1730,8689,1730,8689,1723,8695,1723,8727,1688,8724,1684,8737,1684,8728,1675xm8727,1765l8724,1769,8730,1769,8727,1765xm8762,1727l8727,1765,8730,1769,8736,1769,8771,1730,8765,1730,8762,1727xm8689,1723l8689,1730,8692,1727,8689,1723xm8692,1727l8689,1730,8695,1730,8692,1727xm8765,1723l8762,1727,8765,1730,8765,1723xm8771,1723l8765,1723,8765,1730,8771,1730,8773,1728,8773,1725,8771,1723xm8695,1723l8689,1723,8692,1727,8695,1723xm8737,1684l8730,1684,8727,1688,8762,1727,8765,1723,8771,1723,8737,1684xm8730,1684l8724,1684,8727,1688,8730,1684xe" filled="true" fillcolor="#497dba" stroked="false">
              <v:path arrowok="t"/>
              <v:fill type="solid"/>
            </v:shape>
            <v:shape style="position:absolute;left:8681;top:1675;width:93;height:103" coordorigin="8681,1675" coordsize="93,103" path="m8730,1776l8728,1778,8726,1778,8724,1776,8683,1730,8681,1728,8681,1725,8683,1723,8724,1677,8726,1675,8728,1675,8730,1677,8771,1723,8773,1725,8773,1728,8771,1730,8730,1776xe" filled="false" stroked="true" strokeweight=".089644pt" strokecolor="#497dba">
              <v:path arrowok="t"/>
            </v:shape>
            <v:shape style="position:absolute;left:8689;top:1684;width:77;height:85" coordorigin="8689,1684" coordsize="77,85" path="m8765,1723l8765,1730,8724,1684,8730,1684,8689,1730,8689,1723,8730,1769,8724,1769,8765,1723xe" filled="false" stroked="true" strokeweight=".089641pt" strokecolor="#497dba">
              <v:path arrowok="t"/>
            </v:shape>
            <v:shape style="position:absolute;left:8833;top:1440;width:525;height:227" type="#_x0000_t75" stroked="false">
              <v:imagedata r:id="rId113" o:title=""/>
            </v:shape>
            <v:shape style="position:absolute;left:8573;top:1318;width:83;height:92" coordorigin="8573,1318" coordsize="83,92" path="m8614,1318l8573,1364,8614,1410,8656,1364,8614,1318xe" filled="true" fillcolor="#4f81bc" stroked="false">
              <v:path arrowok="t"/>
              <v:fill type="solid"/>
            </v:shape>
            <v:shape style="position:absolute;left:8568;top:1312;width:93;height:104" coordorigin="8568,1312" coordsize="93,104" path="m8616,1312l8613,1312,8611,1315,8570,1361,8568,1363,8568,1366,8570,1368,8611,1414,8613,1416,8616,1416,8617,1414,8624,1406,8611,1406,8614,1403,8582,1368,8576,1368,8576,1361,8582,1361,8614,1325,8611,1322,8623,1322,8617,1315,8616,1312xm8614,1403l8611,1406,8617,1406,8614,1403xm8649,1364l8614,1403,8617,1406,8624,1406,8658,1368,8652,1368,8649,1364xm8576,1361l8576,1368,8579,1364,8576,1361xm8579,1364l8576,1368,8582,1368,8579,1364xm8652,1361l8649,1364,8652,1368,8652,1361xm8658,1361l8652,1361,8652,1368,8658,1368,8660,1366,8660,1363,8658,1361xm8582,1361l8576,1361,8579,1364,8582,1361xm8623,1322l8617,1322,8614,1325,8649,1364,8652,1361,8658,1361,8623,1322xm8617,1322l8611,1322,8614,1325,8617,1322xe" filled="true" fillcolor="#497dba" stroked="false">
              <v:path arrowok="t"/>
              <v:fill type="solid"/>
            </v:shape>
            <v:shape style="position:absolute;left:8568;top:1312;width:93;height:104" coordorigin="8568,1312" coordsize="93,104" path="m8617,1414l8616,1416,8613,1416,8611,1414,8570,1368,8568,1366,8568,1363,8570,1361,8611,1315,8613,1312,8616,1312,8617,1315,8658,1361,8660,1363,8660,1366,8658,1368,8617,1414xe" filled="false" stroked="true" strokeweight=".089608pt" strokecolor="#497dba">
              <v:path arrowok="t"/>
            </v:shape>
            <v:shape style="position:absolute;left:8576;top:1322;width:77;height:85" coordorigin="8576,1322" coordsize="77,85" path="m8652,1361l8652,1368,8611,1322,8617,1322,8576,1368,8576,1361,8617,1406,8611,1406,8652,1361xe" filled="false" stroked="true" strokeweight=".089656pt" strokecolor="#497dba">
              <v:path arrowok="t"/>
            </v:shape>
            <v:shape style="position:absolute;left:8357;top:1077;width:144;height:179" type="#_x0000_t75" stroked="false">
              <v:imagedata r:id="rId114" o:title=""/>
            </v:shape>
            <v:shape style="position:absolute;left:7789;top:361;width:2644;height:1945" type="#_x0000_t75" stroked="false">
              <v:imagedata r:id="rId115" o:title=""/>
            </v:shape>
            <v:shape style="position:absolute;left:7945;top:2559;width:2377;height:1683" type="#_x0000_t75" stroked="false">
              <v:imagedata r:id="rId116" o:title=""/>
            </v:shape>
            <v:line style="position:absolute" from="8844,4222" to="8854,4222" stroked="true" strokeweight="2.029781pt" strokecolor="#858585"/>
            <v:line style="position:absolute" from="9707,4222" to="9716,4222" stroked="true" strokeweight="2.029781pt" strokecolor="#858585"/>
            <v:shape style="position:absolute;left:9104;top:2929;width:192;height:137" type="#_x0000_t75" stroked="false">
              <v:imagedata r:id="rId117" o:title=""/>
            </v:shape>
            <v:shape style="position:absolute;left:7854;top:2416;width:2606;height:1943" coordorigin="7854,2416" coordsize="2606,1943" path="m10457,2416l7856,2416,7854,2419,7854,4357,7856,4359,10457,4359,10459,4357,10459,4354,7863,4354,7858,4349,7863,4349,7863,2426,7858,2426,7863,2421,10459,2421,10459,2419,10457,2416xm7863,4349l7858,4349,7863,4354,7863,4349xm10450,4349l7863,4349,7863,4354,10450,4354,10450,4349xm10450,2421l10450,4354,10454,4349,10459,4349,10459,2426,10454,2426,10450,2421xm10459,4349l10454,4349,10450,4354,10459,4354,10459,4349xm7863,2421l7858,2426,7863,2426,7863,2421xm10450,2421l7863,2421,7863,2426,10450,2426,10450,2421xm10459,2421l10450,2421,10454,2426,10459,2426,10459,2421xe" filled="true" fillcolor="#858585" stroked="false">
              <v:path arrowok="t"/>
              <v:fill type="solid"/>
            </v:shape>
            <v:shape style="position:absolute;left:7854;top:2416;width:2606;height:1943" coordorigin="7854,2416" coordsize="2606,1943" path="m7854,2421l7854,2419,7856,2416,7858,2416,10454,2416,10457,2416,10459,2419,10459,2421,10459,4354,10459,4357,10457,4359,10454,4359,7858,4359,7856,4359,7854,4357,7854,4354,7854,2421xe" filled="false" stroked="true" strokeweight=".091436pt" strokecolor="#858585">
              <v:path arrowok="t"/>
            </v:shape>
            <v:shape style="position:absolute;left:7858;top:2421;width:2597;height:1933" coordorigin="7858,2421" coordsize="2597,1933" path="m7863,4354l7858,4349,10454,4349,10450,4354,10450,2421,10454,2426,7858,2426,7863,2421,7863,4354xe" filled="false" stroked="true" strokeweight=".091443pt" strokecolor="#858585">
              <v:path arrowok="t"/>
            </v:shape>
            <v:shape style="position:absolute;left:2772;top:476;width:1117;height:367" type="#_x0000_t202" filled="false" stroked="false">
              <v:textbox inset="0,0,0,0">
                <w:txbxContent>
                  <w:p>
                    <w:pPr>
                      <w:spacing w:line="165" w:lineRule="exact" w:before="0"/>
                      <w:ind w:left="0" w:right="-12" w:firstLine="0"/>
                      <w:jc w:val="left"/>
                      <w:rPr>
                        <w:rFonts w:ascii="Constantia" w:hAnsi="Constantia"/>
                        <w:b/>
                        <w:sz w:val="16"/>
                      </w:rPr>
                    </w:pPr>
                    <w:r>
                      <w:rPr>
                        <w:rFonts w:ascii="Constantia" w:hAnsi="Constantia"/>
                        <w:b/>
                        <w:w w:val="95"/>
                        <w:sz w:val="16"/>
                      </w:rPr>
                      <w:t>Índice</w:t>
                    </w:r>
                    <w:r>
                      <w:rPr>
                        <w:rFonts w:ascii="Constantia" w:hAnsi="Constantia"/>
                        <w:b/>
                        <w:spacing w:val="-26"/>
                        <w:w w:val="95"/>
                        <w:sz w:val="16"/>
                      </w:rPr>
                      <w:t> </w:t>
                    </w:r>
                    <w:r>
                      <w:rPr>
                        <w:rFonts w:ascii="Constantia" w:hAnsi="Constantia"/>
                        <w:b/>
                        <w:w w:val="95"/>
                        <w:sz w:val="16"/>
                      </w:rPr>
                      <w:t>de</w:t>
                    </w:r>
                    <w:r>
                      <w:rPr>
                        <w:rFonts w:ascii="Constantia" w:hAnsi="Constantia"/>
                        <w:b/>
                        <w:spacing w:val="-26"/>
                        <w:w w:val="95"/>
                        <w:sz w:val="16"/>
                      </w:rPr>
                      <w:t> </w:t>
                    </w:r>
                    <w:r>
                      <w:rPr>
                        <w:rFonts w:ascii="Constantia" w:hAnsi="Constantia"/>
                        <w:b/>
                        <w:w w:val="95"/>
                        <w:sz w:val="16"/>
                      </w:rPr>
                      <w:t>precio</w:t>
                    </w:r>
                  </w:p>
                  <w:p>
                    <w:pPr>
                      <w:spacing w:line="193" w:lineRule="exact" w:before="8"/>
                      <w:ind w:left="0" w:right="-12" w:firstLine="0"/>
                      <w:jc w:val="left"/>
                      <w:rPr>
                        <w:rFonts w:ascii="Constantia"/>
                        <w:b/>
                        <w:sz w:val="16"/>
                      </w:rPr>
                    </w:pPr>
                    <w:r>
                      <w:rPr>
                        <w:rFonts w:ascii="Constantia"/>
                        <w:b/>
                        <w:w w:val="95"/>
                        <w:sz w:val="16"/>
                      </w:rPr>
                      <w:t>del gas natural</w:t>
                    </w:r>
                  </w:p>
                </w:txbxContent>
              </v:textbox>
              <w10:wrap type="none"/>
            </v:shape>
            <v:shape style="position:absolute;left:5478;top:608;width:1153;height:367" type="#_x0000_t202" filled="false" stroked="false">
              <v:textbox inset="0,0,0,0">
                <w:txbxContent>
                  <w:p>
                    <w:pPr>
                      <w:spacing w:line="165" w:lineRule="exact" w:before="0"/>
                      <w:ind w:left="27" w:right="-13" w:firstLine="0"/>
                      <w:jc w:val="left"/>
                      <w:rPr>
                        <w:rFonts w:ascii="Constantia" w:hAnsi="Constantia"/>
                        <w:b/>
                        <w:sz w:val="16"/>
                      </w:rPr>
                    </w:pPr>
                    <w:r>
                      <w:rPr>
                        <w:rFonts w:ascii="Constantia" w:hAnsi="Constantia"/>
                        <w:b/>
                        <w:w w:val="95"/>
                        <w:sz w:val="16"/>
                      </w:rPr>
                      <w:t>Índice</w:t>
                    </w:r>
                    <w:r>
                      <w:rPr>
                        <w:rFonts w:ascii="Constantia" w:hAnsi="Constantia"/>
                        <w:b/>
                        <w:spacing w:val="-19"/>
                        <w:w w:val="95"/>
                        <w:sz w:val="16"/>
                      </w:rPr>
                      <w:t> </w:t>
                    </w:r>
                    <w:r>
                      <w:rPr>
                        <w:rFonts w:ascii="Constantia" w:hAnsi="Constantia"/>
                        <w:b/>
                        <w:w w:val="95"/>
                        <w:sz w:val="16"/>
                      </w:rPr>
                      <w:t>de</w:t>
                    </w:r>
                    <w:r>
                      <w:rPr>
                        <w:rFonts w:ascii="Constantia" w:hAnsi="Constantia"/>
                        <w:b/>
                        <w:spacing w:val="-23"/>
                        <w:w w:val="95"/>
                        <w:sz w:val="16"/>
                      </w:rPr>
                      <w:t> </w:t>
                    </w:r>
                    <w:r>
                      <w:rPr>
                        <w:rFonts w:ascii="Constantia" w:hAnsi="Constantia"/>
                        <w:b/>
                        <w:w w:val="95"/>
                        <w:sz w:val="16"/>
                      </w:rPr>
                      <w:t>precio</w:t>
                    </w:r>
                  </w:p>
                  <w:p>
                    <w:pPr>
                      <w:spacing w:line="193" w:lineRule="exact" w:before="8"/>
                      <w:ind w:left="0" w:right="-13" w:firstLine="0"/>
                      <w:jc w:val="left"/>
                      <w:rPr>
                        <w:rFonts w:ascii="Constantia"/>
                        <w:b/>
                        <w:sz w:val="16"/>
                      </w:rPr>
                    </w:pPr>
                    <w:r>
                      <w:rPr>
                        <w:rFonts w:ascii="Constantia"/>
                        <w:b/>
                        <w:w w:val="95"/>
                        <w:sz w:val="16"/>
                      </w:rPr>
                      <w:t>del gas natural</w:t>
                    </w:r>
                  </w:p>
                </w:txbxContent>
              </v:textbox>
              <w10:wrap type="none"/>
            </v:shape>
            <v:shape style="position:absolute;left:8029;top:516;width:1151;height:367" type="#_x0000_t202" filled="false" stroked="false">
              <v:textbox inset="0,0,0,0">
                <w:txbxContent>
                  <w:p>
                    <w:pPr>
                      <w:spacing w:line="165" w:lineRule="exact" w:before="0"/>
                      <w:ind w:left="27" w:right="-12" w:firstLine="0"/>
                      <w:jc w:val="left"/>
                      <w:rPr>
                        <w:rFonts w:ascii="Constantia" w:hAnsi="Constantia"/>
                        <w:b/>
                        <w:sz w:val="16"/>
                      </w:rPr>
                    </w:pPr>
                    <w:r>
                      <w:rPr>
                        <w:rFonts w:ascii="Constantia" w:hAnsi="Constantia"/>
                        <w:b/>
                        <w:w w:val="95"/>
                        <w:sz w:val="16"/>
                      </w:rPr>
                      <w:t>Índice</w:t>
                    </w:r>
                    <w:r>
                      <w:rPr>
                        <w:rFonts w:ascii="Constantia" w:hAnsi="Constantia"/>
                        <w:b/>
                        <w:spacing w:val="-21"/>
                        <w:w w:val="95"/>
                        <w:sz w:val="16"/>
                      </w:rPr>
                      <w:t> </w:t>
                    </w:r>
                    <w:r>
                      <w:rPr>
                        <w:rFonts w:ascii="Constantia" w:hAnsi="Constantia"/>
                        <w:b/>
                        <w:w w:val="95"/>
                        <w:sz w:val="16"/>
                      </w:rPr>
                      <w:t>de</w:t>
                    </w:r>
                    <w:r>
                      <w:rPr>
                        <w:rFonts w:ascii="Constantia" w:hAnsi="Constantia"/>
                        <w:b/>
                        <w:spacing w:val="-24"/>
                        <w:w w:val="95"/>
                        <w:sz w:val="16"/>
                      </w:rPr>
                      <w:t> </w:t>
                    </w:r>
                    <w:r>
                      <w:rPr>
                        <w:rFonts w:ascii="Constantia" w:hAnsi="Constantia"/>
                        <w:b/>
                        <w:w w:val="95"/>
                        <w:sz w:val="16"/>
                      </w:rPr>
                      <w:t>precio</w:t>
                    </w:r>
                  </w:p>
                  <w:p>
                    <w:pPr>
                      <w:spacing w:line="193" w:lineRule="exact" w:before="8"/>
                      <w:ind w:left="0" w:right="-12" w:firstLine="0"/>
                      <w:jc w:val="left"/>
                      <w:rPr>
                        <w:rFonts w:ascii="Constantia"/>
                        <w:b/>
                        <w:sz w:val="16"/>
                      </w:rPr>
                    </w:pPr>
                    <w:r>
                      <w:rPr>
                        <w:rFonts w:ascii="Constantia"/>
                        <w:b/>
                        <w:w w:val="95"/>
                        <w:sz w:val="16"/>
                      </w:rPr>
                      <w:t>del gas natural</w:t>
                    </w:r>
                  </w:p>
                </w:txbxContent>
              </v:textbox>
              <w10:wrap type="none"/>
            </v:shape>
            <v:shape style="position:absolute;left:3634;top:1900;width:1344;height:367" type="#_x0000_t202" filled="false" stroked="false">
              <v:textbox inset="0,0,0,0">
                <w:txbxContent>
                  <w:p>
                    <w:pPr>
                      <w:spacing w:line="165" w:lineRule="exact" w:before="0"/>
                      <w:ind w:left="0" w:right="-12" w:firstLine="0"/>
                      <w:jc w:val="left"/>
                      <w:rPr>
                        <w:rFonts w:ascii="Constantia" w:hAnsi="Constantia"/>
                        <w:b/>
                        <w:sz w:val="16"/>
                      </w:rPr>
                    </w:pPr>
                    <w:r>
                      <w:rPr>
                        <w:rFonts w:ascii="Constantia" w:hAnsi="Constantia"/>
                        <w:b/>
                        <w:w w:val="95"/>
                        <w:sz w:val="16"/>
                      </w:rPr>
                      <w:t>(a)</w:t>
                    </w:r>
                    <w:r>
                      <w:rPr>
                        <w:rFonts w:ascii="Constantia" w:hAnsi="Constantia"/>
                        <w:b/>
                        <w:spacing w:val="-23"/>
                        <w:w w:val="95"/>
                        <w:sz w:val="16"/>
                      </w:rPr>
                      <w:t> </w:t>
                    </w:r>
                    <w:r>
                      <w:rPr>
                        <w:rFonts w:ascii="Constantia" w:hAnsi="Constantia"/>
                        <w:b/>
                        <w:w w:val="95"/>
                        <w:sz w:val="16"/>
                      </w:rPr>
                      <w:t>Índice</w:t>
                    </w:r>
                    <w:r>
                      <w:rPr>
                        <w:rFonts w:ascii="Constantia" w:hAnsi="Constantia"/>
                        <w:b/>
                        <w:spacing w:val="-16"/>
                        <w:w w:val="95"/>
                        <w:sz w:val="16"/>
                      </w:rPr>
                      <w:t> </w:t>
                    </w:r>
                    <w:r>
                      <w:rPr>
                        <w:rFonts w:ascii="Constantia" w:hAnsi="Constantia"/>
                        <w:b/>
                        <w:w w:val="95"/>
                        <w:sz w:val="16"/>
                      </w:rPr>
                      <w:t>de</w:t>
                    </w:r>
                    <w:r>
                      <w:rPr>
                        <w:rFonts w:ascii="Constantia" w:hAnsi="Constantia"/>
                        <w:b/>
                        <w:spacing w:val="-21"/>
                        <w:w w:val="95"/>
                        <w:sz w:val="16"/>
                      </w:rPr>
                      <w:t> </w:t>
                    </w:r>
                    <w:r>
                      <w:rPr>
                        <w:rFonts w:ascii="Constantia" w:hAnsi="Constantia"/>
                        <w:b/>
                        <w:w w:val="95"/>
                        <w:sz w:val="16"/>
                      </w:rPr>
                      <w:t>precio</w:t>
                    </w:r>
                  </w:p>
                  <w:p>
                    <w:pPr>
                      <w:spacing w:line="193" w:lineRule="exact" w:before="8"/>
                      <w:ind w:left="495" w:right="-1" w:firstLine="0"/>
                      <w:jc w:val="left"/>
                      <w:rPr>
                        <w:rFonts w:ascii="Constantia" w:hAnsi="Constantia"/>
                        <w:b/>
                        <w:sz w:val="16"/>
                      </w:rPr>
                    </w:pPr>
                    <w:r>
                      <w:rPr>
                        <w:rFonts w:ascii="Constantia" w:hAnsi="Constantia"/>
                        <w:b/>
                        <w:w w:val="90"/>
                        <w:sz w:val="16"/>
                      </w:rPr>
                      <w:t>del petróleo</w:t>
                    </w:r>
                  </w:p>
                </w:txbxContent>
              </v:textbox>
              <w10:wrap type="none"/>
            </v:shape>
            <v:shape style="position:absolute;left:6799;top:1514;width:873;height:763" type="#_x0000_t202" filled="false" stroked="false">
              <v:textbox inset="0,0,0,0">
                <w:txbxContent>
                  <w:p>
                    <w:pPr>
                      <w:spacing w:line="165" w:lineRule="exact" w:before="0"/>
                      <w:ind w:left="0" w:right="-15" w:firstLine="669"/>
                      <w:jc w:val="left"/>
                      <w:rPr>
                        <w:rFonts w:ascii="Constantia"/>
                        <w:b/>
                        <w:sz w:val="16"/>
                      </w:rPr>
                    </w:pPr>
                    <w:r>
                      <w:rPr>
                        <w:rFonts w:ascii="Constantia"/>
                        <w:b/>
                        <w:w w:val="90"/>
                        <w:sz w:val="16"/>
                      </w:rPr>
                      <w:t>(b)</w:t>
                    </w:r>
                  </w:p>
                  <w:p>
                    <w:pPr>
                      <w:spacing w:line="194" w:lineRule="exact" w:before="8"/>
                      <w:ind w:left="0" w:right="-15" w:firstLine="0"/>
                      <w:jc w:val="left"/>
                      <w:rPr>
                        <w:rFonts w:ascii="Constantia"/>
                        <w:b/>
                        <w:sz w:val="16"/>
                      </w:rPr>
                    </w:pPr>
                    <w:r>
                      <w:rPr>
                        <w:rFonts w:ascii="Constantia"/>
                        <w:b/>
                        <w:w w:val="90"/>
                        <w:sz w:val="16"/>
                      </w:rPr>
                      <w:t>Crecimiento</w:t>
                    </w:r>
                  </w:p>
                  <w:p>
                    <w:pPr>
                      <w:spacing w:line="194" w:lineRule="exact" w:before="0"/>
                      <w:ind w:left="321" w:right="-17" w:firstLine="0"/>
                      <w:jc w:val="left"/>
                      <w:rPr>
                        <w:rFonts w:ascii="Constantia"/>
                        <w:b/>
                        <w:sz w:val="16"/>
                      </w:rPr>
                    </w:pPr>
                    <w:r>
                      <w:rPr>
                        <w:rFonts w:ascii="Constantia"/>
                        <w:b/>
                        <w:w w:val="95"/>
                        <w:sz w:val="16"/>
                      </w:rPr>
                      <w:t>PIB</w:t>
                    </w:r>
                    <w:r>
                      <w:rPr>
                        <w:rFonts w:ascii="Constantia"/>
                        <w:b/>
                        <w:spacing w:val="-24"/>
                        <w:w w:val="95"/>
                        <w:sz w:val="16"/>
                      </w:rPr>
                      <w:t> </w:t>
                    </w:r>
                    <w:r>
                      <w:rPr>
                        <w:rFonts w:ascii="Constantia"/>
                        <w:b/>
                        <w:w w:val="95"/>
                        <w:sz w:val="16"/>
                      </w:rPr>
                      <w:t>real</w:t>
                    </w:r>
                  </w:p>
                  <w:p>
                    <w:pPr>
                      <w:spacing w:line="193" w:lineRule="exact" w:before="8"/>
                      <w:ind w:left="394" w:right="-11" w:firstLine="0"/>
                      <w:jc w:val="left"/>
                      <w:rPr>
                        <w:rFonts w:ascii="Constantia"/>
                        <w:b/>
                        <w:sz w:val="16"/>
                      </w:rPr>
                    </w:pPr>
                    <w:r>
                      <w:rPr>
                        <w:rFonts w:ascii="Constantia"/>
                        <w:b/>
                        <w:w w:val="90"/>
                        <w:sz w:val="16"/>
                      </w:rPr>
                      <w:t>intern.</w:t>
                    </w:r>
                  </w:p>
                </w:txbxContent>
              </v:textbox>
              <w10:wrap type="none"/>
            </v:shape>
            <v:shape style="position:absolute;left:9607;top:1555;width:737;height:560" type="#_x0000_t202" filled="false" stroked="false">
              <v:textbox inset="0,0,0,0">
                <w:txbxContent>
                  <w:p>
                    <w:pPr>
                      <w:spacing w:line="165" w:lineRule="exact" w:before="0"/>
                      <w:ind w:left="0" w:right="-11" w:firstLine="0"/>
                      <w:jc w:val="left"/>
                      <w:rPr>
                        <w:rFonts w:ascii="Constantia"/>
                        <w:b/>
                        <w:sz w:val="16"/>
                      </w:rPr>
                    </w:pPr>
                    <w:r>
                      <w:rPr>
                        <w:rFonts w:ascii="Constantia"/>
                        <w:b/>
                        <w:w w:val="95"/>
                        <w:sz w:val="16"/>
                      </w:rPr>
                      <w:t>(c)</w:t>
                    </w:r>
                    <w:r>
                      <w:rPr>
                        <w:rFonts w:ascii="Constantia"/>
                        <w:b/>
                        <w:spacing w:val="-21"/>
                        <w:w w:val="95"/>
                        <w:sz w:val="16"/>
                      </w:rPr>
                      <w:t> </w:t>
                    </w:r>
                    <w:r>
                      <w:rPr>
                        <w:rFonts w:ascii="Constantia"/>
                        <w:b/>
                        <w:w w:val="95"/>
                        <w:sz w:val="16"/>
                      </w:rPr>
                      <w:t>Tasa</w:t>
                    </w:r>
                    <w:r>
                      <w:rPr>
                        <w:rFonts w:ascii="Constantia"/>
                        <w:b/>
                        <w:spacing w:val="-18"/>
                        <w:w w:val="95"/>
                        <w:sz w:val="16"/>
                      </w:rPr>
                      <w:t> </w:t>
                    </w:r>
                    <w:r>
                      <w:rPr>
                        <w:rFonts w:ascii="Constantia"/>
                        <w:b/>
                        <w:w w:val="95"/>
                        <w:sz w:val="16"/>
                      </w:rPr>
                      <w:t>de</w:t>
                    </w:r>
                  </w:p>
                  <w:p>
                    <w:pPr>
                      <w:spacing w:line="194" w:lineRule="exact" w:before="5"/>
                      <w:ind w:left="256" w:right="-9" w:hanging="10"/>
                      <w:jc w:val="left"/>
                      <w:rPr>
                        <w:rFonts w:ascii="Constantia" w:hAnsi="Constantia"/>
                        <w:b/>
                        <w:sz w:val="16"/>
                      </w:rPr>
                    </w:pPr>
                    <w:r>
                      <w:rPr>
                        <w:rFonts w:ascii="Constantia" w:hAnsi="Constantia"/>
                        <w:b/>
                        <w:w w:val="90"/>
                        <w:sz w:val="16"/>
                      </w:rPr>
                      <w:t>interés intern.</w:t>
                    </w:r>
                  </w:p>
                </w:txbxContent>
              </v:textbox>
              <w10:wrap type="none"/>
            </v:shape>
            <v:shape style="position:absolute;left:2745;top:2450;width:1153;height:366" type="#_x0000_t202" filled="false" stroked="false">
              <v:textbox inset="0,0,0,0">
                <w:txbxContent>
                  <w:p>
                    <w:pPr>
                      <w:spacing w:line="165" w:lineRule="exact" w:before="0"/>
                      <w:ind w:left="27" w:right="-13" w:firstLine="0"/>
                      <w:jc w:val="left"/>
                      <w:rPr>
                        <w:rFonts w:ascii="Constantia" w:hAnsi="Constantia"/>
                        <w:b/>
                        <w:sz w:val="16"/>
                      </w:rPr>
                    </w:pPr>
                    <w:r>
                      <w:rPr>
                        <w:rFonts w:ascii="Constantia" w:hAnsi="Constantia"/>
                        <w:b/>
                        <w:w w:val="95"/>
                        <w:sz w:val="16"/>
                      </w:rPr>
                      <w:t>Índice</w:t>
                    </w:r>
                    <w:r>
                      <w:rPr>
                        <w:rFonts w:ascii="Constantia" w:hAnsi="Constantia"/>
                        <w:b/>
                        <w:spacing w:val="-19"/>
                        <w:w w:val="95"/>
                        <w:sz w:val="16"/>
                      </w:rPr>
                      <w:t> </w:t>
                    </w:r>
                    <w:r>
                      <w:rPr>
                        <w:rFonts w:ascii="Constantia" w:hAnsi="Constantia"/>
                        <w:b/>
                        <w:w w:val="95"/>
                        <w:sz w:val="16"/>
                      </w:rPr>
                      <w:t>de</w:t>
                    </w:r>
                    <w:r>
                      <w:rPr>
                        <w:rFonts w:ascii="Constantia" w:hAnsi="Constantia"/>
                        <w:b/>
                        <w:spacing w:val="-23"/>
                        <w:w w:val="95"/>
                        <w:sz w:val="16"/>
                      </w:rPr>
                      <w:t> </w:t>
                    </w:r>
                    <w:r>
                      <w:rPr>
                        <w:rFonts w:ascii="Constantia" w:hAnsi="Constantia"/>
                        <w:b/>
                        <w:w w:val="95"/>
                        <w:sz w:val="16"/>
                      </w:rPr>
                      <w:t>precio</w:t>
                    </w:r>
                  </w:p>
                  <w:p>
                    <w:pPr>
                      <w:spacing w:line="193" w:lineRule="exact" w:before="8"/>
                      <w:ind w:left="0" w:right="-13" w:firstLine="0"/>
                      <w:jc w:val="left"/>
                      <w:rPr>
                        <w:rFonts w:ascii="Constantia"/>
                        <w:b/>
                        <w:sz w:val="16"/>
                      </w:rPr>
                    </w:pPr>
                    <w:r>
                      <w:rPr>
                        <w:rFonts w:ascii="Constantia"/>
                        <w:b/>
                        <w:w w:val="95"/>
                        <w:sz w:val="16"/>
                      </w:rPr>
                      <w:t>del gas natural</w:t>
                    </w:r>
                  </w:p>
                </w:txbxContent>
              </v:textbox>
              <w10:wrap type="none"/>
            </v:shape>
            <v:shape style="position:absolute;left:5249;top:2500;width:1154;height:367" type="#_x0000_t202" filled="false" stroked="false">
              <v:textbox inset="0,0,0,0">
                <w:txbxContent>
                  <w:p>
                    <w:pPr>
                      <w:spacing w:line="165" w:lineRule="exact" w:before="0"/>
                      <w:ind w:left="27" w:right="-13" w:firstLine="0"/>
                      <w:jc w:val="left"/>
                      <w:rPr>
                        <w:rFonts w:ascii="Constantia" w:hAnsi="Constantia"/>
                        <w:b/>
                        <w:sz w:val="16"/>
                      </w:rPr>
                    </w:pPr>
                    <w:r>
                      <w:rPr>
                        <w:rFonts w:ascii="Constantia" w:hAnsi="Constantia"/>
                        <w:b/>
                        <w:w w:val="95"/>
                        <w:sz w:val="16"/>
                      </w:rPr>
                      <w:t>Índice</w:t>
                    </w:r>
                    <w:r>
                      <w:rPr>
                        <w:rFonts w:ascii="Constantia" w:hAnsi="Constantia"/>
                        <w:b/>
                        <w:spacing w:val="-18"/>
                        <w:w w:val="95"/>
                        <w:sz w:val="16"/>
                      </w:rPr>
                      <w:t> </w:t>
                    </w:r>
                    <w:r>
                      <w:rPr>
                        <w:rFonts w:ascii="Constantia" w:hAnsi="Constantia"/>
                        <w:b/>
                        <w:w w:val="95"/>
                        <w:sz w:val="16"/>
                      </w:rPr>
                      <w:t>de</w:t>
                    </w:r>
                    <w:r>
                      <w:rPr>
                        <w:rFonts w:ascii="Constantia" w:hAnsi="Constantia"/>
                        <w:b/>
                        <w:spacing w:val="-23"/>
                        <w:w w:val="95"/>
                        <w:sz w:val="16"/>
                      </w:rPr>
                      <w:t> </w:t>
                    </w:r>
                    <w:r>
                      <w:rPr>
                        <w:rFonts w:ascii="Constantia" w:hAnsi="Constantia"/>
                        <w:b/>
                        <w:w w:val="95"/>
                        <w:sz w:val="16"/>
                      </w:rPr>
                      <w:t>precio</w:t>
                    </w:r>
                  </w:p>
                  <w:p>
                    <w:pPr>
                      <w:spacing w:line="193" w:lineRule="exact" w:before="8"/>
                      <w:ind w:left="0" w:right="-13" w:firstLine="0"/>
                      <w:jc w:val="left"/>
                      <w:rPr>
                        <w:rFonts w:ascii="Constantia"/>
                        <w:b/>
                        <w:sz w:val="16"/>
                      </w:rPr>
                    </w:pPr>
                    <w:r>
                      <w:rPr>
                        <w:rFonts w:ascii="Constantia"/>
                        <w:b/>
                        <w:w w:val="95"/>
                        <w:sz w:val="16"/>
                      </w:rPr>
                      <w:t>del gas natural</w:t>
                    </w:r>
                  </w:p>
                </w:txbxContent>
              </v:textbox>
              <w10:wrap type="none"/>
            </v:shape>
            <v:shape style="position:absolute;left:7946;top:2500;width:1153;height:367" type="#_x0000_t202" filled="false" stroked="false">
              <v:textbox inset="0,0,0,0">
                <w:txbxContent>
                  <w:p>
                    <w:pPr>
                      <w:spacing w:line="165" w:lineRule="exact" w:before="0"/>
                      <w:ind w:left="27" w:right="-13" w:firstLine="0"/>
                      <w:jc w:val="left"/>
                      <w:rPr>
                        <w:rFonts w:ascii="Constantia" w:hAnsi="Constantia"/>
                        <w:b/>
                        <w:sz w:val="16"/>
                      </w:rPr>
                    </w:pPr>
                    <w:r>
                      <w:rPr>
                        <w:rFonts w:ascii="Constantia" w:hAnsi="Constantia"/>
                        <w:b/>
                        <w:w w:val="95"/>
                        <w:sz w:val="16"/>
                      </w:rPr>
                      <w:t>Índice</w:t>
                    </w:r>
                    <w:r>
                      <w:rPr>
                        <w:rFonts w:ascii="Constantia" w:hAnsi="Constantia"/>
                        <w:b/>
                        <w:spacing w:val="-19"/>
                        <w:w w:val="95"/>
                        <w:sz w:val="16"/>
                      </w:rPr>
                      <w:t> </w:t>
                    </w:r>
                    <w:r>
                      <w:rPr>
                        <w:rFonts w:ascii="Constantia" w:hAnsi="Constantia"/>
                        <w:b/>
                        <w:w w:val="95"/>
                        <w:sz w:val="16"/>
                      </w:rPr>
                      <w:t>de</w:t>
                    </w:r>
                    <w:r>
                      <w:rPr>
                        <w:rFonts w:ascii="Constantia" w:hAnsi="Constantia"/>
                        <w:b/>
                        <w:spacing w:val="-23"/>
                        <w:w w:val="95"/>
                        <w:sz w:val="16"/>
                      </w:rPr>
                      <w:t> </w:t>
                    </w:r>
                    <w:r>
                      <w:rPr>
                        <w:rFonts w:ascii="Constantia" w:hAnsi="Constantia"/>
                        <w:b/>
                        <w:w w:val="95"/>
                        <w:sz w:val="16"/>
                      </w:rPr>
                      <w:t>precio</w:t>
                    </w:r>
                  </w:p>
                  <w:p>
                    <w:pPr>
                      <w:spacing w:line="193" w:lineRule="exact" w:before="8"/>
                      <w:ind w:left="0" w:right="-13" w:firstLine="0"/>
                      <w:jc w:val="left"/>
                      <w:rPr>
                        <w:rFonts w:ascii="Constantia"/>
                        <w:b/>
                        <w:sz w:val="16"/>
                      </w:rPr>
                    </w:pPr>
                    <w:r>
                      <w:rPr>
                        <w:rFonts w:ascii="Constantia"/>
                        <w:b/>
                        <w:w w:val="95"/>
                        <w:sz w:val="16"/>
                      </w:rPr>
                      <w:t>del gas natural</w:t>
                    </w:r>
                  </w:p>
                </w:txbxContent>
              </v:textbox>
              <w10:wrap type="none"/>
            </v:shape>
            <v:shape style="position:absolute;left:3721;top:3792;width:1276;height:367" type="#_x0000_t202" filled="false" stroked="false">
              <v:textbox inset="0,0,0,0">
                <w:txbxContent>
                  <w:p>
                    <w:pPr>
                      <w:spacing w:line="165" w:lineRule="exact" w:before="0"/>
                      <w:ind w:left="0" w:right="-9" w:firstLine="0"/>
                      <w:jc w:val="left"/>
                      <w:rPr>
                        <w:rFonts w:ascii="Constantia" w:hAnsi="Constantia"/>
                        <w:b/>
                        <w:sz w:val="16"/>
                      </w:rPr>
                    </w:pPr>
                    <w:r>
                      <w:rPr>
                        <w:rFonts w:ascii="Constantia" w:hAnsi="Constantia"/>
                        <w:b/>
                        <w:w w:val="95"/>
                        <w:sz w:val="16"/>
                      </w:rPr>
                      <w:t>(d)</w:t>
                    </w:r>
                    <w:r>
                      <w:rPr>
                        <w:rFonts w:ascii="Constantia" w:hAnsi="Constantia"/>
                        <w:b/>
                        <w:spacing w:val="-20"/>
                        <w:w w:val="95"/>
                        <w:sz w:val="16"/>
                      </w:rPr>
                      <w:t> </w:t>
                    </w:r>
                    <w:r>
                      <w:rPr>
                        <w:rFonts w:ascii="Constantia" w:hAnsi="Constantia"/>
                        <w:b/>
                        <w:w w:val="95"/>
                        <w:sz w:val="16"/>
                      </w:rPr>
                      <w:t>Valor</w:t>
                    </w:r>
                    <w:r>
                      <w:rPr>
                        <w:rFonts w:ascii="Constantia" w:hAnsi="Constantia"/>
                        <w:b/>
                        <w:spacing w:val="-19"/>
                        <w:w w:val="95"/>
                        <w:sz w:val="16"/>
                      </w:rPr>
                      <w:t> </w:t>
                    </w:r>
                    <w:r>
                      <w:rPr>
                        <w:rFonts w:ascii="Constantia" w:hAnsi="Constantia"/>
                        <w:b/>
                        <w:w w:val="95"/>
                        <w:sz w:val="16"/>
                      </w:rPr>
                      <w:t>del</w:t>
                    </w:r>
                    <w:r>
                      <w:rPr>
                        <w:rFonts w:ascii="Constantia" w:hAnsi="Constantia"/>
                        <w:b/>
                        <w:spacing w:val="-15"/>
                        <w:w w:val="95"/>
                        <w:sz w:val="16"/>
                      </w:rPr>
                      <w:t> </w:t>
                    </w:r>
                    <w:r>
                      <w:rPr>
                        <w:rFonts w:ascii="Constantia" w:hAnsi="Constantia"/>
                        <w:b/>
                        <w:w w:val="95"/>
                        <w:sz w:val="16"/>
                      </w:rPr>
                      <w:t>dólar</w:t>
                    </w:r>
                  </w:p>
                  <w:p>
                    <w:pPr>
                      <w:spacing w:line="193" w:lineRule="exact" w:before="8"/>
                      <w:ind w:left="844" w:right="-9" w:firstLine="0"/>
                      <w:jc w:val="left"/>
                      <w:rPr>
                        <w:rFonts w:ascii="Constantia"/>
                        <w:b/>
                        <w:sz w:val="16"/>
                      </w:rPr>
                    </w:pPr>
                    <w:r>
                      <w:rPr>
                        <w:rFonts w:ascii="Constantia"/>
                        <w:b/>
                        <w:w w:val="90"/>
                        <w:sz w:val="16"/>
                      </w:rPr>
                      <w:t>(neer)</w:t>
                    </w:r>
                  </w:p>
                </w:txbxContent>
              </v:textbox>
              <w10:wrap type="none"/>
            </v:shape>
            <v:shape style="position:absolute;left:6772;top:3579;width:874;height:763" type="#_x0000_t202" filled="false" stroked="false">
              <v:textbox inset="0,0,0,0">
                <w:txbxContent>
                  <w:p>
                    <w:pPr>
                      <w:spacing w:line="165" w:lineRule="exact" w:before="0"/>
                      <w:ind w:left="0" w:right="3" w:firstLine="0"/>
                      <w:jc w:val="right"/>
                      <w:rPr>
                        <w:rFonts w:ascii="Constantia" w:hAnsi="Constantia"/>
                        <w:b/>
                        <w:sz w:val="16"/>
                      </w:rPr>
                    </w:pPr>
                    <w:r>
                      <w:rPr>
                        <w:rFonts w:ascii="Constantia" w:hAnsi="Constantia"/>
                        <w:b/>
                        <w:w w:val="95"/>
                        <w:sz w:val="16"/>
                      </w:rPr>
                      <w:t>(e)</w:t>
                    </w:r>
                    <w:r>
                      <w:rPr>
                        <w:rFonts w:ascii="Constantia" w:hAnsi="Constantia"/>
                        <w:b/>
                        <w:spacing w:val="-24"/>
                        <w:w w:val="95"/>
                        <w:sz w:val="16"/>
                      </w:rPr>
                      <w:t> </w:t>
                    </w:r>
                    <w:r>
                      <w:rPr>
                        <w:rFonts w:ascii="Constantia" w:hAnsi="Constantia"/>
                        <w:b/>
                        <w:w w:val="95"/>
                        <w:sz w:val="16"/>
                      </w:rPr>
                      <w:t>Índice</w:t>
                    </w:r>
                    <w:r>
                      <w:rPr>
                        <w:rFonts w:ascii="Constantia" w:hAnsi="Constantia"/>
                        <w:b/>
                        <w:spacing w:val="-17"/>
                        <w:w w:val="95"/>
                        <w:sz w:val="16"/>
                      </w:rPr>
                      <w:t> </w:t>
                    </w:r>
                    <w:r>
                      <w:rPr>
                        <w:rFonts w:ascii="Constantia" w:hAnsi="Constantia"/>
                        <w:b/>
                        <w:w w:val="95"/>
                        <w:sz w:val="16"/>
                      </w:rPr>
                      <w:t>de</w:t>
                    </w:r>
                  </w:p>
                  <w:p>
                    <w:pPr>
                      <w:spacing w:line="244" w:lineRule="auto" w:before="8"/>
                      <w:ind w:left="256" w:right="0" w:firstLine="164"/>
                      <w:jc w:val="right"/>
                      <w:rPr>
                        <w:rFonts w:ascii="Constantia"/>
                        <w:b/>
                        <w:sz w:val="16"/>
                      </w:rPr>
                    </w:pPr>
                    <w:r>
                      <w:rPr>
                        <w:rFonts w:ascii="Constantia"/>
                        <w:b/>
                        <w:w w:val="90"/>
                        <w:sz w:val="16"/>
                      </w:rPr>
                      <w:t>precio materias primas</w:t>
                    </w:r>
                  </w:p>
                </w:txbxContent>
              </v:textbox>
              <w10:wrap type="none"/>
            </v:shape>
            <v:shape style="position:absolute;left:9269;top:3579;width:1039;height:725" type="#_x0000_t202" filled="false" stroked="false">
              <v:textbox inset="0,0,0,0">
                <w:txbxContent>
                  <w:p>
                    <w:pPr>
                      <w:spacing w:line="165" w:lineRule="exact" w:before="0"/>
                      <w:ind w:left="82" w:right="-8" w:firstLine="109"/>
                      <w:jc w:val="left"/>
                      <w:rPr>
                        <w:rFonts w:ascii="Constantia" w:hAnsi="Constantia"/>
                        <w:b/>
                        <w:sz w:val="16"/>
                      </w:rPr>
                    </w:pPr>
                    <w:r>
                      <w:rPr>
                        <w:rFonts w:ascii="Constantia" w:hAnsi="Constantia"/>
                        <w:b/>
                        <w:w w:val="95"/>
                        <w:sz w:val="16"/>
                      </w:rPr>
                      <w:t>(f)</w:t>
                    </w:r>
                    <w:r>
                      <w:rPr>
                        <w:rFonts w:ascii="Constantia" w:hAnsi="Constantia"/>
                        <w:b/>
                        <w:spacing w:val="-24"/>
                        <w:w w:val="95"/>
                        <w:sz w:val="16"/>
                      </w:rPr>
                      <w:t> </w:t>
                    </w:r>
                    <w:r>
                      <w:rPr>
                        <w:rFonts w:ascii="Constantia" w:hAnsi="Constantia"/>
                        <w:b/>
                        <w:w w:val="95"/>
                        <w:sz w:val="16"/>
                      </w:rPr>
                      <w:t>Índice</w:t>
                    </w:r>
                    <w:r>
                      <w:rPr>
                        <w:rFonts w:ascii="Constantia" w:hAnsi="Constantia"/>
                        <w:b/>
                        <w:spacing w:val="-17"/>
                        <w:w w:val="95"/>
                        <w:sz w:val="16"/>
                      </w:rPr>
                      <w:t> </w:t>
                    </w:r>
                    <w:r>
                      <w:rPr>
                        <w:rFonts w:ascii="Constantia" w:hAnsi="Constantia"/>
                        <w:b/>
                        <w:w w:val="95"/>
                        <w:sz w:val="16"/>
                      </w:rPr>
                      <w:t>de</w:t>
                    </w:r>
                  </w:p>
                  <w:p>
                    <w:pPr>
                      <w:spacing w:line="194" w:lineRule="exact" w:before="5"/>
                      <w:ind w:left="0" w:right="-17" w:firstLine="82"/>
                      <w:jc w:val="left"/>
                      <w:rPr>
                        <w:rFonts w:ascii="Constantia" w:hAnsi="Constantia"/>
                        <w:b/>
                        <w:sz w:val="13"/>
                      </w:rPr>
                    </w:pPr>
                    <w:r>
                      <w:rPr>
                        <w:rFonts w:ascii="Constantia" w:hAnsi="Constantia"/>
                        <w:b/>
                        <w:w w:val="95"/>
                        <w:sz w:val="16"/>
                      </w:rPr>
                      <w:t>precio</w:t>
                    </w:r>
                    <w:r>
                      <w:rPr>
                        <w:rFonts w:ascii="Constantia" w:hAnsi="Constantia"/>
                        <w:b/>
                        <w:spacing w:val="-15"/>
                        <w:w w:val="95"/>
                        <w:sz w:val="16"/>
                      </w:rPr>
                      <w:t> </w:t>
                    </w:r>
                    <w:r>
                      <w:rPr>
                        <w:rFonts w:ascii="Constantia" w:hAnsi="Constantia"/>
                        <w:b/>
                        <w:w w:val="95"/>
                        <w:sz w:val="16"/>
                      </w:rPr>
                      <w:t>del</w:t>
                    </w:r>
                    <w:r>
                      <w:rPr>
                        <w:rFonts w:ascii="Constantia" w:hAnsi="Constantia"/>
                        <w:b/>
                        <w:spacing w:val="-20"/>
                        <w:w w:val="95"/>
                        <w:sz w:val="16"/>
                      </w:rPr>
                      <w:t> </w:t>
                    </w:r>
                    <w:r>
                      <w:rPr>
                        <w:rFonts w:ascii="Constantia" w:hAnsi="Constantia"/>
                        <w:b/>
                        <w:w w:val="95"/>
                        <w:sz w:val="16"/>
                      </w:rPr>
                      <w:t>gas </w:t>
                    </w:r>
                    <w:r>
                      <w:rPr>
                        <w:rFonts w:ascii="Constantia" w:hAnsi="Constantia"/>
                        <w:b/>
                        <w:w w:val="90"/>
                        <w:sz w:val="16"/>
                      </w:rPr>
                      <w:t>natural</w:t>
                    </w:r>
                    <w:r>
                      <w:rPr>
                        <w:rFonts w:ascii="Constantia" w:hAnsi="Constantia"/>
                        <w:b/>
                        <w:spacing w:val="11"/>
                        <w:w w:val="90"/>
                        <w:sz w:val="16"/>
                      </w:rPr>
                      <w:t> </w:t>
                    </w:r>
                    <w:r>
                      <w:rPr>
                        <w:rFonts w:ascii="Constantia" w:hAnsi="Constantia"/>
                        <w:b/>
                        <w:w w:val="90"/>
                        <w:sz w:val="13"/>
                      </w:rPr>
                      <w:t>(período</w:t>
                    </w:r>
                  </w:p>
                  <w:p>
                    <w:pPr>
                      <w:spacing w:line="157" w:lineRule="exact" w:before="10"/>
                      <w:ind w:left="523" w:right="-6" w:firstLine="0"/>
                      <w:jc w:val="left"/>
                      <w:rPr>
                        <w:rFonts w:ascii="Constantia"/>
                        <w:b/>
                        <w:sz w:val="13"/>
                      </w:rPr>
                    </w:pPr>
                    <w:r>
                      <w:rPr>
                        <w:rFonts w:ascii="Constantia"/>
                        <w:b/>
                        <w:w w:val="90"/>
                        <w:sz w:val="13"/>
                      </w:rPr>
                      <w:t>anterior)</w:t>
                    </w:r>
                  </w:p>
                </w:txbxContent>
              </v:textbox>
              <w10:wrap type="none"/>
            </v:shape>
            <w10:wrap type="topAndBottom"/>
          </v:group>
        </w:pict>
      </w:r>
    </w:p>
    <w:p>
      <w:pPr>
        <w:pStyle w:val="BodyText"/>
        <w:spacing w:line="360" w:lineRule="auto" w:before="39"/>
        <w:ind w:left="122" w:right="115" w:firstLine="707"/>
        <w:jc w:val="both"/>
      </w:pPr>
      <w:r>
        <w:rPr/>
        <w:t>De forma preliminar, el precio del gas natural tendría una relación directa con el precio del petróleo (a), con el precio de las materias primas (e) y con sus precios anteriores (f). Conforme a la teoría, existiría una relación inversa entre el valor del dólar – </w:t>
      </w:r>
      <w:r>
        <w:rPr>
          <w:i/>
        </w:rPr>
        <w:t>neer </w:t>
      </w:r>
      <w:r>
        <w:rPr/>
        <w:t>(d) y  el precio del gas natural. Para finalizar, la relación observada entre el crecimiento económico internacional (b), la tasa de interés internacional (c) respecto del precio del gas natural es una cuestión a resolver</w:t>
      </w:r>
      <w:r>
        <w:rPr>
          <w:spacing w:val="-9"/>
        </w:rPr>
        <w:t> </w:t>
      </w:r>
      <w:r>
        <w:rPr/>
        <w:t>empíricamente.</w:t>
      </w:r>
    </w:p>
    <w:p>
      <w:pPr>
        <w:pStyle w:val="BodyText"/>
        <w:spacing w:line="282" w:lineRule="exact"/>
        <w:ind w:left="122" w:firstLine="707"/>
        <w:jc w:val="both"/>
      </w:pPr>
      <w:r>
        <w:rPr/>
        <w:t>Mediante estimaciones propias</w:t>
      </w:r>
      <w:r>
        <w:rPr>
          <w:position w:val="11"/>
          <w:sz w:val="16"/>
        </w:rPr>
        <w:t>42</w:t>
      </w:r>
      <w:r>
        <w:rPr/>
        <w:t>, se puede sugerir que el precio del petróleo  </w:t>
      </w:r>
      <w:r>
        <w:rPr>
          <w:spacing w:val="55"/>
        </w:rPr>
        <w:t> </w:t>
      </w:r>
      <w:r>
        <w:rPr/>
        <w:t>ejerce</w:t>
      </w:r>
    </w:p>
    <w:p>
      <w:pPr>
        <w:pStyle w:val="BodyText"/>
        <w:spacing w:line="360" w:lineRule="auto" w:before="137"/>
        <w:ind w:left="122" w:right="120"/>
        <w:jc w:val="both"/>
      </w:pPr>
      <w:r>
        <w:rPr/>
        <w:t>una relación directa únicamente en el largo plazo (influencia), sin embargo, existiría un desacoplamiento en el corto plazo entre los precios del petróleo y los precios del gas natural (divergencia). Mediante mecanismos alternativos de explicación, se evidenció que la demanda internacional (por el lado del crecimiento del PIB real), la tasa de interés internacional y el precio de las materias primas influyen positiva y significativamente en el largo plazo. Paralelamente, el valor del dólar influye negativamente en el precio del gas natural. Mientras que en el corto plazo, los precios del gas natural responden predominantemente a sus propias influencias. En consecuencia, la existencia de un efecto positivo en el precio del petróleo, en el corto plazo, no implicaría necesariamente un impacto directo en los precios internacionales del gas natural, considerando que  la demanda  agregada  internacional  y los  precios  de  las  materias  primas  no  petroleras</w:t>
      </w:r>
      <w:r>
        <w:rPr>
          <w:spacing w:val="36"/>
        </w:rPr>
        <w:t> </w:t>
      </w:r>
      <w:r>
        <w:rPr/>
        <w:t>no</w:t>
      </w:r>
    </w:p>
    <w:p>
      <w:pPr>
        <w:spacing w:before="139"/>
        <w:ind w:left="122" w:right="115" w:firstLine="0"/>
        <w:jc w:val="left"/>
        <w:rPr>
          <w:sz w:val="20"/>
        </w:rPr>
      </w:pPr>
      <w:r>
        <w:rPr>
          <w:position w:val="9"/>
          <w:sz w:val="13"/>
        </w:rPr>
        <w:t>42 </w:t>
      </w:r>
      <w:r>
        <w:rPr>
          <w:sz w:val="20"/>
        </w:rPr>
        <w:t>Se estimó un modelo de vectores estructurales con corrector de errores (SVEC) en base a información trimestral de 1992 (T1) a 2011 (T4)</w:t>
      </w:r>
    </w:p>
    <w:p>
      <w:pPr>
        <w:spacing w:after="0"/>
        <w:jc w:val="left"/>
        <w:rPr>
          <w:sz w:val="20"/>
        </w:rPr>
        <w:sectPr>
          <w:footerReference w:type="default" r:id="rId103"/>
          <w:pgSz w:w="12250" w:h="15850"/>
          <w:pgMar w:footer="1167" w:header="0" w:top="1500" w:bottom="1360" w:left="1580" w:right="1580"/>
        </w:sectPr>
      </w:pPr>
    </w:p>
    <w:p>
      <w:pPr>
        <w:pStyle w:val="BodyText"/>
        <w:spacing w:line="360" w:lineRule="auto" w:before="50"/>
        <w:ind w:left="122" w:right="115"/>
      </w:pPr>
      <w:r>
        <w:rPr/>
        <w:t>acompañen un entorno adecuado (el efecto sustitución sería contrarrestado por el efecto ingreso).</w:t>
      </w:r>
    </w:p>
    <w:p>
      <w:pPr>
        <w:pStyle w:val="BodyText"/>
        <w:spacing w:before="7"/>
        <w:rPr>
          <w:sz w:val="21"/>
        </w:rPr>
      </w:pPr>
    </w:p>
    <w:p>
      <w:pPr>
        <w:pStyle w:val="Heading4"/>
        <w:numPr>
          <w:ilvl w:val="1"/>
          <w:numId w:val="10"/>
        </w:numPr>
        <w:tabs>
          <w:tab w:pos="697" w:val="left" w:leader="none"/>
          <w:tab w:pos="698" w:val="left" w:leader="none"/>
        </w:tabs>
        <w:spacing w:line="240" w:lineRule="auto" w:before="0" w:after="0"/>
        <w:ind w:left="698" w:right="0" w:hanging="576"/>
        <w:jc w:val="left"/>
      </w:pPr>
      <w:bookmarkStart w:name="_bookmark40" w:id="62"/>
      <w:bookmarkEnd w:id="62"/>
      <w:r>
        <w:rPr>
          <w:b w:val="0"/>
        </w:rPr>
      </w:r>
      <w:bookmarkStart w:name="_bookmark40" w:id="63"/>
      <w:bookmarkEnd w:id="63"/>
      <w:r>
        <w:rPr/>
        <w:t>I</w:t>
      </w:r>
      <w:r>
        <w:rPr/>
        <w:t>mportancia del mercado del gas natural en la economía</w:t>
      </w:r>
      <w:r>
        <w:rPr>
          <w:spacing w:val="-9"/>
        </w:rPr>
        <w:t> </w:t>
      </w:r>
      <w:r>
        <w:rPr/>
        <w:t>boliviana</w:t>
      </w:r>
    </w:p>
    <w:p>
      <w:pPr>
        <w:pStyle w:val="BodyText"/>
        <w:rPr>
          <w:b/>
          <w:sz w:val="29"/>
        </w:rPr>
      </w:pPr>
    </w:p>
    <w:p>
      <w:pPr>
        <w:pStyle w:val="BodyText"/>
        <w:spacing w:line="360" w:lineRule="auto"/>
        <w:ind w:left="122" w:right="115" w:firstLine="767"/>
        <w:jc w:val="both"/>
      </w:pPr>
      <w:r>
        <w:rPr/>
        <w:t>En el caso de Bolivia, los precios de exportación del gas natural (para mercados de Brasil y Argentina) se encuentran indexados al precio el petróleo mediante formulas de ajuste trimestral (</w:t>
      </w:r>
      <w:r>
        <w:rPr>
          <w:i/>
        </w:rPr>
        <w:t>véase anexo 2.5</w:t>
      </w:r>
      <w:r>
        <w:rPr/>
        <w:t>), por tanto, lo que suceda directamente con la cotización de este energético afectará al rumbo de los precios de exportación para el recurso natural boliviano (Zambrano &amp; Aguilera, 2010).</w:t>
      </w:r>
    </w:p>
    <w:p>
      <w:pPr>
        <w:pStyle w:val="BodyText"/>
        <w:spacing w:line="345" w:lineRule="auto" w:before="4"/>
        <w:ind w:left="122" w:right="117" w:firstLine="707"/>
        <w:jc w:val="both"/>
      </w:pPr>
      <w:r>
        <w:rPr/>
        <w:t>En consecuencia,  a manera de regla de dedo (</w:t>
      </w:r>
      <w:r>
        <w:rPr>
          <w:i/>
        </w:rPr>
        <w:t>rule of thumb</w:t>
      </w:r>
      <w:r>
        <w:rPr/>
        <w:t>), un cambio en  el  precio del petróleo afectará significativamente en 0.75% al precio de exportación del gas natural</w:t>
      </w:r>
      <w:r>
        <w:rPr>
          <w:spacing w:val="23"/>
        </w:rPr>
        <w:t> </w:t>
      </w:r>
      <w:r>
        <w:rPr/>
        <w:t>boliviano</w:t>
      </w:r>
      <w:r>
        <w:rPr>
          <w:position w:val="11"/>
          <w:sz w:val="16"/>
        </w:rPr>
        <w:t>43</w:t>
      </w:r>
      <w:r>
        <w:rPr/>
        <w:t>.</w:t>
      </w:r>
      <w:r>
        <w:rPr>
          <w:spacing w:val="23"/>
        </w:rPr>
        <w:t> </w:t>
      </w:r>
      <w:r>
        <w:rPr/>
        <w:t>Como</w:t>
      </w:r>
      <w:r>
        <w:rPr>
          <w:spacing w:val="23"/>
        </w:rPr>
        <w:t> </w:t>
      </w:r>
      <w:r>
        <w:rPr/>
        <w:t>se</w:t>
      </w:r>
      <w:r>
        <w:rPr>
          <w:spacing w:val="22"/>
        </w:rPr>
        <w:t> </w:t>
      </w:r>
      <w:r>
        <w:rPr/>
        <w:t>indicará</w:t>
      </w:r>
      <w:r>
        <w:rPr>
          <w:spacing w:val="23"/>
        </w:rPr>
        <w:t> </w:t>
      </w:r>
      <w:r>
        <w:rPr/>
        <w:t>posteriormente,</w:t>
      </w:r>
      <w:r>
        <w:rPr>
          <w:spacing w:val="22"/>
        </w:rPr>
        <w:t> </w:t>
      </w:r>
      <w:r>
        <w:rPr/>
        <w:t>la</w:t>
      </w:r>
      <w:r>
        <w:rPr>
          <w:spacing w:val="25"/>
        </w:rPr>
        <w:t> </w:t>
      </w:r>
      <w:r>
        <w:rPr/>
        <w:t>importancia</w:t>
      </w:r>
      <w:r>
        <w:rPr>
          <w:spacing w:val="22"/>
        </w:rPr>
        <w:t> </w:t>
      </w:r>
      <w:r>
        <w:rPr/>
        <w:t>del</w:t>
      </w:r>
      <w:r>
        <w:rPr>
          <w:spacing w:val="25"/>
        </w:rPr>
        <w:t> </w:t>
      </w:r>
      <w:r>
        <w:rPr/>
        <w:t>mercado</w:t>
      </w:r>
      <w:r>
        <w:rPr>
          <w:spacing w:val="24"/>
        </w:rPr>
        <w:t> </w:t>
      </w:r>
      <w:r>
        <w:rPr/>
        <w:t>del</w:t>
      </w:r>
      <w:r>
        <w:rPr>
          <w:spacing w:val="25"/>
        </w:rPr>
        <w:t> </w:t>
      </w:r>
      <w:r>
        <w:rPr/>
        <w:t>gas</w:t>
      </w:r>
    </w:p>
    <w:p>
      <w:pPr>
        <w:pStyle w:val="BodyText"/>
        <w:spacing w:line="360" w:lineRule="auto" w:before="5"/>
        <w:ind w:left="122" w:right="129"/>
      </w:pPr>
      <w:r>
        <w:rPr/>
        <w:t>natural, se relaciona con un mecanismo directo para los ingresos fiscales, cuya asignación de recursos determinará la posición fiscal de Bolivia.</w:t>
      </w:r>
    </w:p>
    <w:p>
      <w:pPr>
        <w:pStyle w:val="BodyText"/>
        <w:spacing w:line="276" w:lineRule="auto" w:before="6"/>
        <w:ind w:left="3941" w:right="526" w:hanging="3402"/>
      </w:pPr>
      <w:bookmarkStart w:name="_bookmark41" w:id="64"/>
      <w:bookmarkEnd w:id="64"/>
      <w:r>
        <w:rPr/>
      </w:r>
      <w:r>
        <w:rPr/>
        <w:t>Figura 2. 8: Precios del petróleo y precios de exportación del gas natural de Bolivia 2003 – 2011</w:t>
      </w:r>
    </w:p>
    <w:p>
      <w:pPr>
        <w:pStyle w:val="BodyText"/>
        <w:spacing w:before="1"/>
      </w:pPr>
    </w:p>
    <w:p>
      <w:pPr>
        <w:pStyle w:val="BodyText"/>
        <w:tabs>
          <w:tab w:pos="5364" w:val="left" w:leader="none"/>
          <w:tab w:pos="5405" w:val="left" w:leader="none"/>
        </w:tabs>
        <w:spacing w:line="360" w:lineRule="auto" w:after="8"/>
        <w:ind w:left="1898" w:right="303" w:hanging="360"/>
      </w:pPr>
      <w:r>
        <w:rPr/>
        <w:t>Precios</w:t>
      </w:r>
      <w:r>
        <w:rPr>
          <w:spacing w:val="-3"/>
        </w:rPr>
        <w:t> </w:t>
      </w:r>
      <w:r>
        <w:rPr/>
        <w:t>del</w:t>
      </w:r>
      <w:r>
        <w:rPr>
          <w:spacing w:val="-2"/>
        </w:rPr>
        <w:t> </w:t>
      </w:r>
      <w:r>
        <w:rPr/>
        <w:t>petróleo</w:t>
        <w:tab/>
        <w:t>Precios promedios</w:t>
      </w:r>
      <w:r>
        <w:rPr>
          <w:spacing w:val="-4"/>
        </w:rPr>
        <w:t> </w:t>
      </w:r>
      <w:r>
        <w:rPr/>
        <w:t>de</w:t>
      </w:r>
      <w:r>
        <w:rPr>
          <w:spacing w:val="-2"/>
        </w:rPr>
        <w:t> </w:t>
      </w:r>
      <w:r>
        <w:rPr/>
        <w:t>exportación (USD/barril)</w:t>
        <w:tab/>
        <w:tab/>
        <w:t>del gas natural (En USD por</w:t>
      </w:r>
      <w:r>
        <w:rPr>
          <w:spacing w:val="-6"/>
        </w:rPr>
        <w:t> </w:t>
      </w:r>
      <w:r>
        <w:rPr/>
        <w:t>MPC)</w:t>
      </w:r>
    </w:p>
    <w:p>
      <w:pPr>
        <w:tabs>
          <w:tab w:pos="5099" w:val="left" w:leader="none"/>
        </w:tabs>
        <w:spacing w:line="240" w:lineRule="auto"/>
        <w:ind w:left="1140" w:right="0" w:firstLine="0"/>
        <w:rPr>
          <w:sz w:val="20"/>
        </w:rPr>
      </w:pPr>
      <w:r>
        <w:rPr>
          <w:position w:val="1"/>
          <w:sz w:val="20"/>
        </w:rPr>
        <w:drawing>
          <wp:inline distT="0" distB="0" distL="0" distR="0">
            <wp:extent cx="2208046" cy="1832514"/>
            <wp:effectExtent l="0" t="0" r="0" b="0"/>
            <wp:docPr id="7" name="image106.jpeg" descr=""/>
            <wp:cNvGraphicFramePr>
              <a:graphicFrameLocks noChangeAspect="1"/>
            </wp:cNvGraphicFramePr>
            <a:graphic>
              <a:graphicData uri="http://schemas.openxmlformats.org/drawingml/2006/picture">
                <pic:pic>
                  <pic:nvPicPr>
                    <pic:cNvPr id="8" name="image106.jpeg"/>
                    <pic:cNvPicPr/>
                  </pic:nvPicPr>
                  <pic:blipFill>
                    <a:blip r:embed="rId119" cstate="print"/>
                    <a:stretch>
                      <a:fillRect/>
                    </a:stretch>
                  </pic:blipFill>
                  <pic:spPr>
                    <a:xfrm>
                      <a:off x="0" y="0"/>
                      <a:ext cx="2208046" cy="1832514"/>
                    </a:xfrm>
                    <a:prstGeom prst="rect">
                      <a:avLst/>
                    </a:prstGeom>
                  </pic:spPr>
                </pic:pic>
              </a:graphicData>
            </a:graphic>
          </wp:inline>
        </w:drawing>
      </w:r>
      <w:r>
        <w:rPr>
          <w:position w:val="1"/>
          <w:sz w:val="20"/>
        </w:rPr>
      </w:r>
      <w:r>
        <w:rPr>
          <w:position w:val="1"/>
          <w:sz w:val="20"/>
        </w:rPr>
        <w:tab/>
      </w:r>
      <w:r>
        <w:rPr>
          <w:sz w:val="20"/>
        </w:rPr>
        <w:drawing>
          <wp:inline distT="0" distB="0" distL="0" distR="0">
            <wp:extent cx="2267847" cy="1797939"/>
            <wp:effectExtent l="0" t="0" r="0" b="0"/>
            <wp:docPr id="9" name="image107.jpeg" descr=""/>
            <wp:cNvGraphicFramePr>
              <a:graphicFrameLocks noChangeAspect="1"/>
            </wp:cNvGraphicFramePr>
            <a:graphic>
              <a:graphicData uri="http://schemas.openxmlformats.org/drawingml/2006/picture">
                <pic:pic>
                  <pic:nvPicPr>
                    <pic:cNvPr id="10" name="image107.jpeg"/>
                    <pic:cNvPicPr/>
                  </pic:nvPicPr>
                  <pic:blipFill>
                    <a:blip r:embed="rId120" cstate="print"/>
                    <a:stretch>
                      <a:fillRect/>
                    </a:stretch>
                  </pic:blipFill>
                  <pic:spPr>
                    <a:xfrm>
                      <a:off x="0" y="0"/>
                      <a:ext cx="2267847" cy="1797939"/>
                    </a:xfrm>
                    <a:prstGeom prst="rect">
                      <a:avLst/>
                    </a:prstGeom>
                  </pic:spPr>
                </pic:pic>
              </a:graphicData>
            </a:graphic>
          </wp:inline>
        </w:drawing>
      </w:r>
      <w:r>
        <w:rPr>
          <w:sz w:val="20"/>
        </w:rPr>
      </w:r>
    </w:p>
    <w:p>
      <w:pPr>
        <w:spacing w:before="140"/>
        <w:ind w:left="830" w:right="115" w:firstLine="0"/>
        <w:jc w:val="left"/>
        <w:rPr>
          <w:sz w:val="20"/>
        </w:rPr>
      </w:pPr>
      <w:r>
        <w:rPr>
          <w:sz w:val="20"/>
        </w:rPr>
        <w:t>Fuente: FMI/ Yacimientos Petrolíferos Fiscales Bolivianos (2012)</w:t>
      </w:r>
    </w:p>
    <w:p>
      <w:pPr>
        <w:pStyle w:val="BodyText"/>
        <w:rPr>
          <w:sz w:val="20"/>
        </w:rPr>
      </w:pPr>
    </w:p>
    <w:p>
      <w:pPr>
        <w:pStyle w:val="BodyText"/>
        <w:rPr>
          <w:sz w:val="26"/>
        </w:rPr>
      </w:pPr>
    </w:p>
    <w:p>
      <w:pPr>
        <w:pStyle w:val="BodyText"/>
        <w:spacing w:line="360" w:lineRule="auto"/>
        <w:ind w:left="122" w:right="124" w:firstLine="707"/>
        <w:jc w:val="both"/>
      </w:pPr>
      <w:r>
        <w:rPr/>
        <w:t>Durante el período 1992 a 2000, los precios del gas fueron relativamente estables.  El  mayor  crecimiento  se  observa  después  del  2000,  en  particular  con  una   </w:t>
      </w:r>
      <w:r>
        <w:rPr>
          <w:spacing w:val="4"/>
        </w:rPr>
        <w:t> </w:t>
      </w:r>
      <w:r>
        <w:rPr/>
        <w:t>tendencia</w:t>
      </w:r>
    </w:p>
    <w:p>
      <w:pPr>
        <w:pStyle w:val="BodyText"/>
        <w:spacing w:before="7"/>
        <w:rPr>
          <w:sz w:val="17"/>
        </w:rPr>
      </w:pPr>
      <w:r>
        <w:rPr/>
        <w:pict>
          <v:line style="position:absolute;mso-position-horizontal-relative:page;mso-position-vertical-relative:paragraph;z-index:6184;mso-wrap-distance-left:0;mso-wrap-distance-right:0" from="85.103996pt,12.415742pt" to="229.123996pt,12.415742pt" stroked="true" strokeweight=".60004pt" strokecolor="#000000">
            <w10:wrap type="topAndBottom"/>
          </v:line>
        </w:pict>
      </w:r>
    </w:p>
    <w:p>
      <w:pPr>
        <w:spacing w:before="50"/>
        <w:ind w:left="122" w:right="115" w:firstLine="0"/>
        <w:jc w:val="left"/>
        <w:rPr>
          <w:sz w:val="20"/>
        </w:rPr>
      </w:pPr>
      <w:r>
        <w:rPr>
          <w:position w:val="9"/>
          <w:sz w:val="13"/>
        </w:rPr>
        <w:t>43 </w:t>
      </w:r>
      <w:r>
        <w:rPr>
          <w:sz w:val="20"/>
        </w:rPr>
        <w:t>En base a la correlación de Pearson entre el precio del petróleo de </w:t>
      </w:r>
      <w:r>
        <w:rPr>
          <w:i/>
          <w:sz w:val="20"/>
        </w:rPr>
        <w:t>West Texas Intermediate </w:t>
      </w:r>
      <w:r>
        <w:rPr>
          <w:sz w:val="20"/>
        </w:rPr>
        <w:t>(WTI) y los precios de exportación del gas natural de Bolivia al 1% de significancia estadística.</w:t>
      </w:r>
    </w:p>
    <w:p>
      <w:pPr>
        <w:spacing w:after="0"/>
        <w:jc w:val="left"/>
        <w:rPr>
          <w:sz w:val="20"/>
        </w:rPr>
        <w:sectPr>
          <w:footerReference w:type="default" r:id="rId118"/>
          <w:pgSz w:w="12250" w:h="15850"/>
          <w:pgMar w:footer="1037" w:header="0" w:top="1360" w:bottom="1220" w:left="1580" w:right="1580"/>
          <w:pgNumType w:start="85"/>
        </w:sectPr>
      </w:pPr>
    </w:p>
    <w:p>
      <w:pPr>
        <w:pStyle w:val="BodyText"/>
        <w:spacing w:line="360" w:lineRule="auto" w:before="50"/>
        <w:ind w:left="102" w:right="127"/>
      </w:pPr>
      <w:r>
        <w:rPr/>
        <w:t>creciente hasta 2008, cuya tasa de crecimiento promedio fue del 20% anual, lo cual se tradujo en un incremento de las exportaciones bolivianas.</w:t>
      </w:r>
    </w:p>
    <w:p>
      <w:pPr>
        <w:pStyle w:val="BodyText"/>
        <w:spacing w:line="360" w:lineRule="auto" w:before="6"/>
        <w:ind w:left="102" w:right="117" w:firstLine="767"/>
        <w:jc w:val="both"/>
      </w:pPr>
      <w:r>
        <w:rPr/>
        <w:t>Sin embargo, durante el 2009 y principios de 2010, los precios externos del gas tuvieron una contracción alrededor del 25%, reduciéndose las cuantías de exportaciones bolivianas. La caída en los precios de exportación del gas natural del 2009 se vio influenciado por la desaceleración económica mundial, lo que llevó a una caída de los precios del petróleo y por ende del gas natural, provocando una caída de los volúmenes de exportación en términos monetarios (</w:t>
      </w:r>
      <w:r>
        <w:rPr>
          <w:i/>
        </w:rPr>
        <w:t>figura 2.9</w:t>
      </w:r>
      <w:r>
        <w:rPr/>
        <w:t>).</w:t>
      </w:r>
    </w:p>
    <w:p>
      <w:pPr>
        <w:pStyle w:val="BodyText"/>
        <w:spacing w:before="6"/>
      </w:pPr>
    </w:p>
    <w:p>
      <w:pPr>
        <w:pStyle w:val="BodyText"/>
        <w:spacing w:line="360" w:lineRule="auto" w:before="1" w:after="11"/>
        <w:ind w:left="1952" w:right="1972"/>
        <w:jc w:val="center"/>
      </w:pPr>
      <w:bookmarkStart w:name="_bookmark42" w:id="65"/>
      <w:bookmarkEnd w:id="65"/>
      <w:r>
        <w:rPr/>
      </w:r>
      <w:r>
        <w:rPr/>
        <w:t>Figura 2. 9: Volúmenes de exportación de gas natural (En millones de dólares, 2003 - 2011)</w:t>
      </w:r>
    </w:p>
    <w:p>
      <w:pPr>
        <w:pStyle w:val="BodyText"/>
        <w:ind w:left="2282"/>
        <w:rPr>
          <w:sz w:val="20"/>
        </w:rPr>
      </w:pPr>
      <w:r>
        <w:rPr>
          <w:sz w:val="20"/>
        </w:rPr>
        <w:drawing>
          <wp:inline distT="0" distB="0" distL="0" distR="0">
            <wp:extent cx="2857101" cy="1797939"/>
            <wp:effectExtent l="0" t="0" r="0" b="0"/>
            <wp:docPr id="11" name="image108.jpeg" descr=""/>
            <wp:cNvGraphicFramePr>
              <a:graphicFrameLocks noChangeAspect="1"/>
            </wp:cNvGraphicFramePr>
            <a:graphic>
              <a:graphicData uri="http://schemas.openxmlformats.org/drawingml/2006/picture">
                <pic:pic>
                  <pic:nvPicPr>
                    <pic:cNvPr id="12" name="image108.jpeg"/>
                    <pic:cNvPicPr/>
                  </pic:nvPicPr>
                  <pic:blipFill>
                    <a:blip r:embed="rId121" cstate="print"/>
                    <a:stretch>
                      <a:fillRect/>
                    </a:stretch>
                  </pic:blipFill>
                  <pic:spPr>
                    <a:xfrm>
                      <a:off x="0" y="0"/>
                      <a:ext cx="2857101" cy="1797939"/>
                    </a:xfrm>
                    <a:prstGeom prst="rect">
                      <a:avLst/>
                    </a:prstGeom>
                  </pic:spPr>
                </pic:pic>
              </a:graphicData>
            </a:graphic>
          </wp:inline>
        </w:drawing>
      </w:r>
      <w:r>
        <w:rPr>
          <w:sz w:val="20"/>
        </w:rPr>
      </w:r>
    </w:p>
    <w:p>
      <w:pPr>
        <w:spacing w:before="136"/>
        <w:ind w:left="185" w:right="22" w:firstLine="0"/>
        <w:jc w:val="center"/>
        <w:rPr>
          <w:sz w:val="20"/>
        </w:rPr>
      </w:pPr>
      <w:r>
        <w:rPr>
          <w:sz w:val="18"/>
        </w:rPr>
        <w:t>Fuente: </w:t>
      </w:r>
      <w:r>
        <w:rPr>
          <w:sz w:val="20"/>
        </w:rPr>
        <w:t>Yacimientos Petrolíferos Fiscales Bolivianos (2012)</w:t>
      </w:r>
    </w:p>
    <w:p>
      <w:pPr>
        <w:pStyle w:val="BodyText"/>
        <w:rPr>
          <w:sz w:val="20"/>
        </w:rPr>
      </w:pPr>
    </w:p>
    <w:p>
      <w:pPr>
        <w:pStyle w:val="BodyText"/>
        <w:rPr>
          <w:sz w:val="26"/>
        </w:rPr>
      </w:pPr>
    </w:p>
    <w:p>
      <w:pPr>
        <w:pStyle w:val="BodyText"/>
        <w:spacing w:line="360" w:lineRule="auto"/>
        <w:ind w:left="102" w:right="117" w:firstLine="707"/>
        <w:jc w:val="both"/>
      </w:pPr>
      <w:r>
        <w:rPr/>
        <w:t>Durante la fase de contracción en los precios del gas natural (2009), los ingresos fiscales tuvieron una reducción del 6%, lo cual reflejó el efecto negativo de la disminución del precio del gas natural. Si se considera que a finales de 2011, las  exportaciones bolivianas tuvieron una fuerte concentración proveniente del gas natural (superior al 40% del volumen de exportación), lo anterior implica una alta exposición a riesgos de choques de precios internacionales; pero sobre todo, se hace mención al diseño de estrategias para administrar los recursos petroleros con el fin de conseguir una posición fiscal</w:t>
      </w:r>
      <w:r>
        <w:rPr>
          <w:spacing w:val="-16"/>
        </w:rPr>
        <w:t> </w:t>
      </w:r>
      <w:r>
        <w:rPr/>
        <w:t>estable.</w:t>
      </w:r>
    </w:p>
    <w:p>
      <w:pPr>
        <w:spacing w:after="0" w:line="360" w:lineRule="auto"/>
        <w:jc w:val="both"/>
        <w:sectPr>
          <w:pgSz w:w="12250" w:h="15850"/>
          <w:pgMar w:header="0" w:footer="1037" w:top="1360" w:bottom="1220" w:left="1600" w:right="1580"/>
        </w:sectPr>
      </w:pPr>
    </w:p>
    <w:p>
      <w:pPr>
        <w:pStyle w:val="Heading4"/>
        <w:numPr>
          <w:ilvl w:val="2"/>
          <w:numId w:val="10"/>
        </w:numPr>
        <w:tabs>
          <w:tab w:pos="983" w:val="left" w:leader="none"/>
          <w:tab w:pos="984" w:val="left" w:leader="none"/>
        </w:tabs>
        <w:spacing w:line="360" w:lineRule="auto" w:before="55" w:after="0"/>
        <w:ind w:left="983" w:right="608" w:hanging="720"/>
        <w:jc w:val="left"/>
      </w:pPr>
      <w:bookmarkStart w:name="_bookmark43" w:id="66"/>
      <w:bookmarkEnd w:id="66"/>
      <w:r>
        <w:rPr>
          <w:b w:val="0"/>
        </w:rPr>
      </w:r>
      <w:bookmarkStart w:name="_bookmark43" w:id="67"/>
      <w:bookmarkEnd w:id="67"/>
      <w:r>
        <w:rPr/>
        <w:t>S</w:t>
      </w:r>
      <w:r>
        <w:rPr/>
        <w:t>endero de proyección para los precios de gas natural en Bolivia hacia el mediano</w:t>
      </w:r>
      <w:r>
        <w:rPr>
          <w:spacing w:val="-2"/>
        </w:rPr>
        <w:t> </w:t>
      </w:r>
      <w:r>
        <w:rPr/>
        <w:t>plazo</w:t>
      </w:r>
    </w:p>
    <w:p>
      <w:pPr>
        <w:pStyle w:val="BodyText"/>
        <w:spacing w:line="360" w:lineRule="auto" w:before="61"/>
        <w:ind w:left="122" w:right="117" w:firstLine="707"/>
        <w:jc w:val="both"/>
      </w:pPr>
      <w:r>
        <w:rPr/>
        <w:t>La importancia en la proyección de los precios de exportación del gas natural radica que servirán como elementos de análisis para evaluar la asignación de ingresos fiscales al gasto público (corriente y de capital), la trayectoria de la posición fiscal, y por ende de la deuda pública, en el corto y mediano plazo (2012-2016). En tal sentido, el pronóstico de precios del gas natural fue realizado con base a las proyecciones del precio del petróleo.</w:t>
      </w:r>
    </w:p>
    <w:p>
      <w:pPr>
        <w:pStyle w:val="BodyText"/>
        <w:spacing w:line="362" w:lineRule="auto" w:before="4"/>
        <w:ind w:left="122" w:right="118" w:firstLine="707"/>
        <w:jc w:val="both"/>
      </w:pPr>
      <w:r>
        <w:rPr/>
        <w:t>Como se indicó el precio del petróleo se correlaciona directa y significativamente en 0.75%  con el precio de exportación del gas boliviano.</w:t>
      </w:r>
    </w:p>
    <w:p>
      <w:pPr>
        <w:pStyle w:val="BodyText"/>
        <w:spacing w:line="360" w:lineRule="auto" w:before="1"/>
        <w:ind w:left="122" w:right="118" w:firstLine="707"/>
        <w:jc w:val="both"/>
      </w:pPr>
      <w:r>
        <w:rPr/>
        <w:t>Para efectos de proyección, se consideraron los precios </w:t>
      </w:r>
      <w:r>
        <w:rPr>
          <w:i/>
        </w:rPr>
        <w:t>spots </w:t>
      </w:r>
      <w:r>
        <w:rPr/>
        <w:t>de </w:t>
      </w:r>
      <w:r>
        <w:rPr>
          <w:i/>
        </w:rPr>
        <w:t>West Texas </w:t>
      </w:r>
      <w:r>
        <w:rPr>
          <w:i/>
        </w:rPr>
        <w:t>Intermediate </w:t>
      </w:r>
      <w:r>
        <w:rPr/>
        <w:t>para pronósticos de corto plazo (2012-2014) y para la prospectiva de largo plazo (2015 – 2035)  (EIA, 2012).</w:t>
      </w:r>
    </w:p>
    <w:p>
      <w:pPr>
        <w:pStyle w:val="BodyText"/>
        <w:spacing w:before="6"/>
        <w:ind w:left="830" w:right="115"/>
      </w:pPr>
      <w:r>
        <w:rPr/>
        <w:t>Se estimó un modelo GARCH (1,1) con periodicidad mensual de 1999 a 2011:</w:t>
      </w:r>
    </w:p>
    <w:p>
      <w:pPr>
        <w:tabs>
          <w:tab w:pos="7464" w:val="left" w:leader="none"/>
        </w:tabs>
        <w:spacing w:before="141"/>
        <w:ind w:left="0" w:right="1" w:firstLine="0"/>
        <w:jc w:val="center"/>
        <w:rPr>
          <w:sz w:val="24"/>
        </w:rPr>
      </w:pPr>
      <w:r>
        <w:rPr>
          <w:rFonts w:ascii="Cambria Math"/>
          <w:w w:val="270"/>
          <w:sz w:val="24"/>
        </w:rPr>
        <w:t> </w:t>
      </w:r>
      <w:r>
        <w:rPr>
          <w:rFonts w:ascii="Cambria Math"/>
          <w:w w:val="255"/>
          <w:sz w:val="24"/>
        </w:rPr>
        <w:t>   </w:t>
      </w:r>
      <w:r>
        <w:rPr>
          <w:rFonts w:ascii="Cambria Math"/>
          <w:spacing w:val="-6"/>
          <w:w w:val="255"/>
          <w:sz w:val="24"/>
        </w:rPr>
        <w:t> </w:t>
      </w:r>
      <w:r>
        <w:rPr>
          <w:rFonts w:ascii="Cambria Math"/>
          <w:w w:val="200"/>
          <w:position w:val="-4"/>
          <w:sz w:val="17"/>
        </w:rPr>
        <w:t> </w:t>
      </w:r>
      <w:r>
        <w:rPr>
          <w:rFonts w:ascii="Cambria Math"/>
          <w:position w:val="-4"/>
          <w:sz w:val="17"/>
        </w:rPr>
        <w:t> </w:t>
      </w:r>
      <w:r>
        <w:rPr>
          <w:rFonts w:ascii="Cambria Math"/>
          <w:spacing w:val="3"/>
          <w:position w:val="-4"/>
          <w:sz w:val="17"/>
        </w:rPr>
        <w:t> </w:t>
      </w:r>
      <w:r>
        <w:rPr>
          <w:rFonts w:ascii="Cambria Math"/>
          <w:w w:val="339"/>
          <w:sz w:val="24"/>
        </w:rPr>
        <w:t> </w:t>
      </w:r>
      <w:r>
        <w:rPr>
          <w:rFonts w:ascii="Cambria Math"/>
          <w:spacing w:val="15"/>
          <w:sz w:val="24"/>
        </w:rPr>
        <w:t> </w:t>
      </w:r>
      <w:r>
        <w:rPr>
          <w:rFonts w:ascii="Cambria Math"/>
          <w:spacing w:val="-19"/>
          <w:w w:val="275"/>
          <w:sz w:val="24"/>
        </w:rPr>
        <w:t> </w:t>
      </w:r>
      <w:r>
        <w:rPr>
          <w:rFonts w:ascii="Cambria Math"/>
          <w:spacing w:val="9"/>
          <w:w w:val="263"/>
          <w:position w:val="-4"/>
          <w:sz w:val="17"/>
        </w:rPr>
        <w:t> </w:t>
      </w:r>
      <w:r>
        <w:rPr>
          <w:rFonts w:ascii="Cambria Math"/>
          <w:spacing w:val="-2"/>
          <w:w w:val="270"/>
          <w:sz w:val="24"/>
        </w:rPr>
        <w:t> </w:t>
      </w:r>
      <w:r>
        <w:rPr>
          <w:rFonts w:ascii="Cambria Math"/>
          <w:w w:val="255"/>
          <w:sz w:val="24"/>
        </w:rPr>
        <w:t>   </w:t>
      </w:r>
      <w:r>
        <w:rPr>
          <w:rFonts w:ascii="Cambria Math"/>
          <w:spacing w:val="-6"/>
          <w:w w:val="255"/>
          <w:sz w:val="24"/>
        </w:rPr>
        <w:t> </w:t>
      </w:r>
      <w:r>
        <w:rPr>
          <w:rFonts w:ascii="Cambria Math"/>
          <w:spacing w:val="2"/>
          <w:w w:val="200"/>
          <w:position w:val="-4"/>
          <w:sz w:val="17"/>
        </w:rPr>
        <w:t> </w:t>
      </w:r>
      <w:r>
        <w:rPr>
          <w:rFonts w:ascii="Cambria Math"/>
          <w:w w:val="331"/>
          <w:position w:val="-4"/>
          <w:sz w:val="17"/>
        </w:rPr>
        <w:t> </w:t>
      </w:r>
      <w:r>
        <w:rPr>
          <w:rFonts w:ascii="Cambria Math"/>
          <w:w w:val="263"/>
          <w:position w:val="-4"/>
          <w:sz w:val="17"/>
        </w:rPr>
        <w:t> </w:t>
      </w:r>
      <w:r>
        <w:rPr>
          <w:rFonts w:ascii="Cambria Math"/>
          <w:position w:val="-4"/>
          <w:sz w:val="17"/>
        </w:rPr>
        <w:t> </w:t>
      </w:r>
      <w:r>
        <w:rPr>
          <w:rFonts w:ascii="Cambria Math"/>
          <w:spacing w:val="-13"/>
          <w:position w:val="-4"/>
          <w:sz w:val="17"/>
        </w:rPr>
        <w:t> </w:t>
      </w:r>
      <w:r>
        <w:rPr>
          <w:rFonts w:ascii="Cambria Math"/>
          <w:w w:val="339"/>
          <w:sz w:val="24"/>
        </w:rPr>
        <w:t> </w:t>
      </w:r>
      <w:r>
        <w:rPr>
          <w:rFonts w:ascii="Cambria Math"/>
          <w:sz w:val="24"/>
        </w:rPr>
        <w:t> </w:t>
      </w:r>
      <w:r>
        <w:rPr>
          <w:rFonts w:ascii="Cambria Math"/>
          <w:spacing w:val="-14"/>
          <w:w w:val="275"/>
          <w:sz w:val="24"/>
        </w:rPr>
        <w:t> </w:t>
      </w:r>
      <w:r>
        <w:rPr>
          <w:rFonts w:ascii="Cambria Math"/>
          <w:spacing w:val="9"/>
          <w:w w:val="263"/>
          <w:position w:val="-4"/>
          <w:sz w:val="17"/>
        </w:rPr>
        <w:t> </w:t>
      </w:r>
      <w:r>
        <w:rPr>
          <w:rFonts w:ascii="Cambria Math"/>
          <w:w w:val="270"/>
          <w:sz w:val="24"/>
        </w:rPr>
        <w:t> </w:t>
      </w:r>
      <w:r>
        <w:rPr>
          <w:rFonts w:ascii="Cambria Math"/>
          <w:w w:val="253"/>
          <w:sz w:val="24"/>
        </w:rPr>
        <w:t>  </w:t>
      </w:r>
      <w:r>
        <w:rPr>
          <w:rFonts w:ascii="Cambria Math"/>
          <w:spacing w:val="-1"/>
          <w:w w:val="253"/>
          <w:sz w:val="24"/>
        </w:rPr>
        <w:t> </w:t>
      </w:r>
      <w:r>
        <w:rPr>
          <w:rFonts w:ascii="Cambria Math"/>
          <w:spacing w:val="-4"/>
          <w:w w:val="179"/>
          <w:sz w:val="24"/>
        </w:rPr>
        <w:t> </w:t>
      </w:r>
      <w:r>
        <w:rPr>
          <w:rFonts w:ascii="Cambria Math"/>
          <w:spacing w:val="1"/>
          <w:w w:val="200"/>
          <w:position w:val="-4"/>
          <w:sz w:val="17"/>
        </w:rPr>
        <w:t> </w:t>
      </w:r>
      <w:r>
        <w:rPr>
          <w:rFonts w:ascii="Cambria Math"/>
          <w:w w:val="331"/>
          <w:position w:val="-4"/>
          <w:sz w:val="17"/>
        </w:rPr>
        <w:t> </w:t>
      </w:r>
      <w:r>
        <w:rPr>
          <w:rFonts w:ascii="Cambria Math"/>
          <w:w w:val="263"/>
          <w:position w:val="-4"/>
          <w:sz w:val="17"/>
        </w:rPr>
        <w:t> </w:t>
      </w:r>
      <w:r>
        <w:rPr>
          <w:rFonts w:ascii="Cambria Math"/>
          <w:position w:val="-4"/>
          <w:sz w:val="17"/>
        </w:rPr>
        <w:t> </w:t>
      </w:r>
      <w:r>
        <w:rPr>
          <w:rFonts w:ascii="Cambria Math"/>
          <w:spacing w:val="-13"/>
          <w:position w:val="-4"/>
          <w:sz w:val="17"/>
        </w:rPr>
        <w:t> </w:t>
      </w:r>
      <w:r>
        <w:rPr>
          <w:rFonts w:ascii="Cambria Math"/>
          <w:w w:val="339"/>
          <w:sz w:val="24"/>
        </w:rPr>
        <w:t> </w:t>
      </w:r>
      <w:r>
        <w:rPr>
          <w:rFonts w:ascii="Cambria Math"/>
          <w:sz w:val="24"/>
        </w:rPr>
        <w:t> </w:t>
      </w:r>
      <w:r>
        <w:rPr>
          <w:rFonts w:ascii="Cambria Math"/>
          <w:spacing w:val="-14"/>
          <w:w w:val="275"/>
          <w:sz w:val="24"/>
        </w:rPr>
        <w:t> </w:t>
      </w:r>
      <w:r>
        <w:rPr>
          <w:rFonts w:ascii="Cambria Math"/>
          <w:spacing w:val="9"/>
          <w:w w:val="263"/>
          <w:position w:val="-4"/>
          <w:sz w:val="17"/>
        </w:rPr>
        <w:t> </w:t>
      </w:r>
      <w:r>
        <w:rPr>
          <w:rFonts w:ascii="Cambria Math"/>
          <w:w w:val="270"/>
          <w:sz w:val="24"/>
        </w:rPr>
        <w:t> </w:t>
      </w:r>
      <w:r>
        <w:rPr>
          <w:rFonts w:ascii="Cambria Math"/>
          <w:w w:val="253"/>
          <w:sz w:val="24"/>
        </w:rPr>
        <w:t>  </w:t>
      </w:r>
      <w:r>
        <w:rPr>
          <w:rFonts w:ascii="Cambria Math"/>
          <w:spacing w:val="1"/>
          <w:w w:val="253"/>
          <w:sz w:val="24"/>
        </w:rPr>
        <w:t> </w:t>
      </w:r>
      <w:r>
        <w:rPr>
          <w:rFonts w:ascii="Cambria Math"/>
          <w:spacing w:val="-3"/>
          <w:w w:val="179"/>
          <w:sz w:val="24"/>
        </w:rPr>
        <w:t> </w:t>
      </w:r>
      <w:r>
        <w:rPr>
          <w:rFonts w:ascii="Cambria Math"/>
          <w:spacing w:val="1"/>
          <w:w w:val="200"/>
          <w:position w:val="-4"/>
          <w:sz w:val="17"/>
        </w:rPr>
        <w:t> </w:t>
      </w:r>
      <w:r>
        <w:rPr>
          <w:rFonts w:ascii="Cambria Math"/>
          <w:w w:val="331"/>
          <w:position w:val="-4"/>
          <w:sz w:val="17"/>
        </w:rPr>
        <w:t> </w:t>
      </w:r>
      <w:r>
        <w:rPr>
          <w:rFonts w:ascii="Cambria Math"/>
          <w:w w:val="263"/>
          <w:position w:val="-4"/>
          <w:sz w:val="17"/>
        </w:rPr>
        <w:t> </w:t>
      </w:r>
      <w:r>
        <w:rPr>
          <w:rFonts w:ascii="Cambria Math"/>
          <w:position w:val="-4"/>
          <w:sz w:val="17"/>
        </w:rPr>
        <w:t> </w:t>
      </w:r>
      <w:r>
        <w:rPr>
          <w:rFonts w:ascii="Cambria Math"/>
          <w:spacing w:val="-13"/>
          <w:position w:val="-4"/>
          <w:sz w:val="17"/>
        </w:rPr>
        <w:t> </w:t>
      </w:r>
      <w:r>
        <w:rPr>
          <w:rFonts w:ascii="Cambria Math"/>
          <w:w w:val="339"/>
          <w:sz w:val="24"/>
        </w:rPr>
        <w:t> </w:t>
      </w:r>
      <w:r>
        <w:rPr>
          <w:rFonts w:ascii="Cambria Math"/>
          <w:sz w:val="24"/>
        </w:rPr>
        <w:t> </w:t>
      </w:r>
      <w:r>
        <w:rPr>
          <w:rFonts w:ascii="Cambria Math"/>
          <w:spacing w:val="-24"/>
          <w:w w:val="275"/>
          <w:sz w:val="24"/>
        </w:rPr>
        <w:t> </w:t>
      </w:r>
      <w:r>
        <w:rPr>
          <w:rFonts w:ascii="Cambria Math"/>
          <w:w w:val="263"/>
          <w:position w:val="-4"/>
          <w:sz w:val="17"/>
        </w:rPr>
        <w:t> </w:t>
      </w:r>
      <w:r>
        <w:rPr>
          <w:rFonts w:ascii="Cambria Math"/>
          <w:position w:val="-4"/>
          <w:sz w:val="17"/>
        </w:rPr>
        <w:t> </w:t>
      </w:r>
      <w:r>
        <w:rPr>
          <w:rFonts w:ascii="Cambria Math"/>
          <w:spacing w:val="-13"/>
          <w:position w:val="-4"/>
          <w:sz w:val="17"/>
        </w:rPr>
        <w:t> </w:t>
      </w:r>
      <w:r>
        <w:rPr>
          <w:rFonts w:ascii="Cambria Math"/>
          <w:w w:val="270"/>
          <w:sz w:val="24"/>
        </w:rPr>
        <w:t> </w:t>
      </w:r>
      <w:r>
        <w:rPr>
          <w:rFonts w:ascii="Cambria Math"/>
          <w:w w:val="267"/>
          <w:sz w:val="24"/>
        </w:rPr>
        <w:t>  </w:t>
      </w:r>
      <w:r>
        <w:rPr>
          <w:rFonts w:ascii="Cambria Math"/>
          <w:spacing w:val="-2"/>
          <w:w w:val="225"/>
          <w:sz w:val="24"/>
        </w:rPr>
        <w:t> </w:t>
      </w:r>
      <w:r>
        <w:rPr>
          <w:rFonts w:ascii="Cambria Math"/>
          <w:spacing w:val="-4"/>
          <w:w w:val="179"/>
          <w:sz w:val="24"/>
        </w:rPr>
        <w:t> </w:t>
      </w:r>
      <w:r>
        <w:rPr>
          <w:rFonts w:ascii="Cambria Math"/>
          <w:spacing w:val="4"/>
          <w:w w:val="200"/>
          <w:position w:val="-4"/>
          <w:sz w:val="17"/>
        </w:rPr>
        <w:t> </w:t>
      </w:r>
      <w:r>
        <w:rPr>
          <w:rFonts w:ascii="Cambria Math"/>
          <w:w w:val="331"/>
          <w:position w:val="-4"/>
          <w:sz w:val="17"/>
        </w:rPr>
        <w:t> </w:t>
      </w:r>
      <w:r>
        <w:rPr>
          <w:rFonts w:ascii="Cambria Math"/>
          <w:w w:val="263"/>
          <w:position w:val="-4"/>
          <w:sz w:val="17"/>
        </w:rPr>
        <w:t> </w:t>
      </w:r>
      <w:r>
        <w:rPr>
          <w:rFonts w:ascii="Cambria Math"/>
          <w:position w:val="-4"/>
          <w:sz w:val="17"/>
        </w:rPr>
        <w:t> </w:t>
      </w:r>
      <w:r>
        <w:rPr>
          <w:rFonts w:ascii="Cambria Math"/>
          <w:spacing w:val="-16"/>
          <w:position w:val="-4"/>
          <w:sz w:val="17"/>
        </w:rPr>
        <w:t> </w:t>
      </w:r>
      <w:r>
        <w:rPr>
          <w:rFonts w:ascii="Cambria Math"/>
          <w:w w:val="339"/>
          <w:sz w:val="24"/>
        </w:rPr>
        <w:t> </w:t>
      </w:r>
      <w:r>
        <w:rPr>
          <w:rFonts w:ascii="Cambria Math"/>
          <w:sz w:val="24"/>
        </w:rPr>
        <w:t> </w:t>
      </w:r>
      <w:r>
        <w:rPr>
          <w:rFonts w:ascii="Cambria Math"/>
          <w:w w:val="206"/>
          <w:sz w:val="24"/>
        </w:rPr>
        <w:t> </w:t>
      </w:r>
      <w:r>
        <w:rPr>
          <w:rFonts w:ascii="Cambria Math"/>
          <w:sz w:val="24"/>
        </w:rPr>
        <w:tab/>
      </w:r>
      <w:r>
        <w:rPr>
          <w:sz w:val="24"/>
        </w:rPr>
        <w:t>(2.9)</w:t>
      </w:r>
    </w:p>
    <w:p>
      <w:pPr>
        <w:pStyle w:val="BodyText"/>
        <w:spacing w:before="8"/>
      </w:pPr>
    </w:p>
    <w:p>
      <w:pPr>
        <w:tabs>
          <w:tab w:pos="943" w:val="left" w:leader="none"/>
        </w:tabs>
        <w:spacing w:before="0"/>
        <w:ind w:left="598" w:right="0" w:firstLine="0"/>
        <w:jc w:val="center"/>
        <w:rPr>
          <w:rFonts w:ascii="Cambria Math"/>
          <w:sz w:val="24"/>
        </w:rPr>
      </w:pPr>
      <w:r>
        <w:rPr>
          <w:rFonts w:ascii="Cambria Math"/>
          <w:w w:val="263"/>
          <w:position w:val="9"/>
          <w:sz w:val="17"/>
        </w:rPr>
        <w:t> </w:t>
      </w:r>
      <w:r>
        <w:rPr>
          <w:rFonts w:ascii="Cambria Math"/>
          <w:position w:val="9"/>
          <w:sz w:val="17"/>
        </w:rPr>
        <w:tab/>
      </w:r>
      <w:r>
        <w:rPr>
          <w:rFonts w:ascii="Cambria Math"/>
          <w:w w:val="339"/>
          <w:sz w:val="24"/>
        </w:rPr>
        <w:t> </w:t>
      </w:r>
      <w:r>
        <w:rPr>
          <w:rFonts w:ascii="Cambria Math"/>
          <w:sz w:val="24"/>
        </w:rPr>
        <w:t> </w:t>
      </w:r>
      <w:r>
        <w:rPr>
          <w:rFonts w:ascii="Cambria Math"/>
          <w:w w:val="238"/>
          <w:sz w:val="24"/>
        </w:rPr>
        <w:t> </w:t>
      </w:r>
      <w:r>
        <w:rPr>
          <w:rFonts w:ascii="Cambria Math"/>
          <w:sz w:val="24"/>
        </w:rPr>
        <w:t> </w:t>
      </w:r>
      <w:r>
        <w:rPr>
          <w:rFonts w:ascii="Cambria Math"/>
          <w:spacing w:val="-9"/>
          <w:sz w:val="24"/>
        </w:rPr>
        <w:t> </w:t>
      </w:r>
      <w:r>
        <w:rPr>
          <w:rFonts w:ascii="Cambria Math"/>
          <w:w w:val="252"/>
          <w:sz w:val="24"/>
        </w:rPr>
        <w:t> </w:t>
      </w:r>
    </w:p>
    <w:p>
      <w:pPr>
        <w:pStyle w:val="BodyText"/>
        <w:spacing w:before="11"/>
        <w:rPr>
          <w:rFonts w:ascii="Cambria Math"/>
          <w:sz w:val="13"/>
        </w:rPr>
      </w:pPr>
    </w:p>
    <w:p>
      <w:pPr>
        <w:pStyle w:val="BodyText"/>
        <w:spacing w:before="81"/>
        <w:ind w:left="2392" w:right="115"/>
        <w:rPr>
          <w:sz w:val="16"/>
        </w:rPr>
      </w:pPr>
      <w:r>
        <w:rPr/>
        <w:t>Con la restricción IGARCH:                     </w:t>
      </w:r>
      <w:r>
        <w:rPr>
          <w:spacing w:val="55"/>
        </w:rPr>
        <w:t> </w:t>
      </w:r>
      <w:r>
        <w:rPr>
          <w:position w:val="11"/>
          <w:sz w:val="16"/>
        </w:rPr>
        <w:t>44</w:t>
      </w:r>
    </w:p>
    <w:p>
      <w:pPr>
        <w:pStyle w:val="BodyText"/>
        <w:spacing w:line="360" w:lineRule="auto" w:before="276" w:after="11"/>
        <w:ind w:left="1420" w:right="791" w:hanging="1299"/>
      </w:pPr>
      <w:r>
        <w:rPr/>
        <w:t>Como resultado, se obtuvo el siguiente pronóstico deterministico (tendencia central): </w:t>
      </w:r>
      <w:bookmarkStart w:name="_bookmark44" w:id="68"/>
      <w:bookmarkEnd w:id="68"/>
      <w:r>
        <w:rPr/>
      </w:r>
      <w:r>
        <w:rPr/>
        <w:t>Figura 2. 10: Proyección de los precios de gas natural hasta 2017</w:t>
      </w:r>
    </w:p>
    <w:p>
      <w:pPr>
        <w:pStyle w:val="BodyText"/>
        <w:ind w:left="2675"/>
        <w:rPr>
          <w:sz w:val="20"/>
        </w:rPr>
      </w:pPr>
      <w:r>
        <w:rPr>
          <w:sz w:val="20"/>
        </w:rPr>
        <w:drawing>
          <wp:inline distT="0" distB="0" distL="0" distR="0">
            <wp:extent cx="2787682" cy="1728787"/>
            <wp:effectExtent l="0" t="0" r="0" b="0"/>
            <wp:docPr id="13" name="image109.jpeg" descr=""/>
            <wp:cNvGraphicFramePr>
              <a:graphicFrameLocks noChangeAspect="1"/>
            </wp:cNvGraphicFramePr>
            <a:graphic>
              <a:graphicData uri="http://schemas.openxmlformats.org/drawingml/2006/picture">
                <pic:pic>
                  <pic:nvPicPr>
                    <pic:cNvPr id="14" name="image109.jpeg"/>
                    <pic:cNvPicPr/>
                  </pic:nvPicPr>
                  <pic:blipFill>
                    <a:blip r:embed="rId122" cstate="print"/>
                    <a:stretch>
                      <a:fillRect/>
                    </a:stretch>
                  </pic:blipFill>
                  <pic:spPr>
                    <a:xfrm>
                      <a:off x="0" y="0"/>
                      <a:ext cx="2787682" cy="1728787"/>
                    </a:xfrm>
                    <a:prstGeom prst="rect">
                      <a:avLst/>
                    </a:prstGeom>
                  </pic:spPr>
                </pic:pic>
              </a:graphicData>
            </a:graphic>
          </wp:inline>
        </w:drawing>
      </w:r>
      <w:r>
        <w:rPr>
          <w:sz w:val="20"/>
        </w:rPr>
      </w:r>
    </w:p>
    <w:p>
      <w:pPr>
        <w:spacing w:before="42"/>
        <w:ind w:left="1965" w:right="115" w:firstLine="0"/>
        <w:jc w:val="left"/>
        <w:rPr>
          <w:sz w:val="20"/>
        </w:rPr>
      </w:pPr>
      <w:r>
        <w:rPr>
          <w:sz w:val="20"/>
        </w:rPr>
        <w:t>Fuente: Estimaciones propias con base al precio del petróleo (EIA, 2012)</w:t>
      </w:r>
    </w:p>
    <w:p>
      <w:pPr>
        <w:pStyle w:val="BodyText"/>
        <w:spacing w:before="1"/>
      </w:pPr>
    </w:p>
    <w:p>
      <w:pPr>
        <w:pStyle w:val="BodyText"/>
        <w:spacing w:line="360" w:lineRule="auto"/>
        <w:ind w:left="122" w:right="115" w:firstLine="707"/>
      </w:pPr>
      <w:r>
        <w:rPr/>
        <w:t>Las proyecciones de corto y mediano plazo indican que los precios del gas natural serán       estables en torno al pasado reciente (tendencia deterministica creciente a partir del</w:t>
      </w:r>
    </w:p>
    <w:p>
      <w:pPr>
        <w:pStyle w:val="BodyText"/>
        <w:rPr>
          <w:sz w:val="20"/>
        </w:rPr>
      </w:pPr>
    </w:p>
    <w:p>
      <w:pPr>
        <w:pStyle w:val="BodyText"/>
        <w:spacing w:before="9"/>
        <w:rPr>
          <w:sz w:val="29"/>
        </w:rPr>
      </w:pPr>
      <w:r>
        <w:rPr/>
        <w:pict>
          <v:line style="position:absolute;mso-position-horizontal-relative:page;mso-position-vertical-relative:paragraph;z-index:6208;mso-wrap-distance-left:0;mso-wrap-distance-right:0" from="85.103996pt,19.420725pt" to="229.123996pt,19.420725pt" stroked="true" strokeweight=".60004pt" strokecolor="#000000">
            <w10:wrap type="topAndBottom"/>
          </v:line>
        </w:pict>
      </w:r>
    </w:p>
    <w:p>
      <w:pPr>
        <w:spacing w:before="50"/>
        <w:ind w:left="122" w:right="115" w:firstLine="0"/>
        <w:jc w:val="left"/>
        <w:rPr>
          <w:sz w:val="20"/>
        </w:rPr>
      </w:pPr>
      <w:r>
        <w:rPr>
          <w:position w:val="9"/>
          <w:sz w:val="13"/>
        </w:rPr>
        <w:t>44 </w:t>
      </w:r>
      <w:r>
        <w:rPr>
          <w:sz w:val="20"/>
        </w:rPr>
        <w:t>Se incorporó la restricción IGARCH con el propósito de obtener una varianza estable para el pronóstico.</w:t>
      </w:r>
    </w:p>
    <w:p>
      <w:pPr>
        <w:spacing w:after="0"/>
        <w:jc w:val="left"/>
        <w:rPr>
          <w:sz w:val="20"/>
        </w:rPr>
        <w:sectPr>
          <w:pgSz w:w="12250" w:h="15850"/>
          <w:pgMar w:header="0" w:footer="1037" w:top="1360" w:bottom="1220" w:left="1580" w:right="1580"/>
        </w:sectPr>
      </w:pPr>
    </w:p>
    <w:p>
      <w:pPr>
        <w:pStyle w:val="BodyText"/>
        <w:spacing w:line="360" w:lineRule="auto" w:before="50"/>
        <w:ind w:left="122" w:right="123"/>
        <w:jc w:val="both"/>
      </w:pPr>
      <w:r>
        <w:rPr/>
        <w:t>2003), por lo cual se asume un escenario conservador y se encuentra en la relación directa con los precios esperados del petróleo (</w:t>
      </w:r>
      <w:r>
        <w:rPr>
          <w:i/>
        </w:rPr>
        <w:t>véase anexo 2.6</w:t>
      </w:r>
      <w:r>
        <w:rPr/>
        <w:t>).</w:t>
      </w:r>
    </w:p>
    <w:p>
      <w:pPr>
        <w:pStyle w:val="BodyText"/>
        <w:spacing w:before="7"/>
        <w:rPr>
          <w:sz w:val="21"/>
        </w:rPr>
      </w:pPr>
    </w:p>
    <w:p>
      <w:pPr>
        <w:pStyle w:val="Heading4"/>
        <w:numPr>
          <w:ilvl w:val="2"/>
          <w:numId w:val="10"/>
        </w:numPr>
        <w:tabs>
          <w:tab w:pos="983" w:val="left" w:leader="none"/>
          <w:tab w:pos="984" w:val="left" w:leader="none"/>
        </w:tabs>
        <w:spacing w:line="240" w:lineRule="auto" w:before="0" w:after="0"/>
        <w:ind w:left="983" w:right="0" w:hanging="720"/>
        <w:jc w:val="left"/>
      </w:pPr>
      <w:bookmarkStart w:name="_bookmark45" w:id="69"/>
      <w:bookmarkEnd w:id="69"/>
      <w:r>
        <w:rPr>
          <w:b w:val="0"/>
        </w:rPr>
      </w:r>
      <w:bookmarkStart w:name="_bookmark45" w:id="70"/>
      <w:bookmarkEnd w:id="70"/>
      <w:r>
        <w:rPr/>
        <w:t>La</w:t>
      </w:r>
      <w:r>
        <w:rPr/>
        <w:t> industria  del gas</w:t>
      </w:r>
      <w:r>
        <w:rPr>
          <w:spacing w:val="-6"/>
        </w:rPr>
        <w:t> </w:t>
      </w:r>
      <w:r>
        <w:rPr/>
        <w:t>boliviano</w:t>
      </w:r>
    </w:p>
    <w:p>
      <w:pPr>
        <w:pStyle w:val="BodyText"/>
        <w:rPr>
          <w:b/>
          <w:sz w:val="29"/>
        </w:rPr>
      </w:pPr>
    </w:p>
    <w:p>
      <w:pPr>
        <w:pStyle w:val="BodyText"/>
        <w:spacing w:line="360" w:lineRule="auto"/>
        <w:ind w:left="122" w:right="117" w:firstLine="707"/>
        <w:jc w:val="both"/>
      </w:pPr>
      <w:r>
        <w:rPr/>
        <w:t>La industria gasífera en Bolivia ha sufrido un ciclo de participación estatal dentro  del proceso productivo del gas natural en tres fases: (i) participación estatal durante sesenta años (1936 – 1996); (ii) reducción de la participación estatal 1996 – 2005; (iii) nueva participación del Estado (2006 a la fecha). En consecuencia, todos los cambios de la participación estatal en la industria gasífera han surgido de  cambios normativos del</w:t>
      </w:r>
      <w:r>
        <w:rPr>
          <w:spacing w:val="-11"/>
        </w:rPr>
        <w:t> </w:t>
      </w:r>
      <w:r>
        <w:rPr/>
        <w:t>sector.</w:t>
      </w:r>
    </w:p>
    <w:p>
      <w:pPr>
        <w:pStyle w:val="BodyText"/>
        <w:spacing w:line="280" w:lineRule="exact"/>
        <w:ind w:left="122" w:firstLine="707"/>
        <w:jc w:val="both"/>
      </w:pPr>
      <w:r>
        <w:rPr/>
        <w:t>Durante el período 1996 – 2005, empresas privadas</w:t>
      </w:r>
      <w:r>
        <w:rPr>
          <w:position w:val="11"/>
          <w:sz w:val="16"/>
        </w:rPr>
        <w:t>45    </w:t>
      </w:r>
      <w:r>
        <w:rPr/>
        <w:t>predominaron en   la   cadena</w:t>
      </w:r>
    </w:p>
    <w:p>
      <w:pPr>
        <w:pStyle w:val="BodyText"/>
        <w:spacing w:line="360" w:lineRule="auto" w:before="139"/>
        <w:ind w:left="122" w:right="118"/>
        <w:jc w:val="both"/>
      </w:pPr>
      <w:r>
        <w:rPr/>
        <w:t>productiva de los hidrocarburos. Para el período 2006 en adelante, la empresa estatal hidrocarburífera de Bolivia (YPFB) volvió a tomar el control que inicialmente se le había asignado (se realizó la nacionalización de los hidrocarburos) (</w:t>
      </w:r>
      <w:r>
        <w:rPr>
          <w:i/>
        </w:rPr>
        <w:t>véase figura 2.11</w:t>
      </w:r>
      <w:r>
        <w:rPr/>
        <w:t>).</w:t>
      </w:r>
    </w:p>
    <w:p>
      <w:pPr>
        <w:pStyle w:val="BodyText"/>
      </w:pPr>
    </w:p>
    <w:p>
      <w:pPr>
        <w:pStyle w:val="BodyText"/>
        <w:spacing w:line="360" w:lineRule="auto" w:before="143"/>
        <w:ind w:left="4017" w:right="275" w:hanging="3733"/>
      </w:pPr>
      <w:bookmarkStart w:name="_bookmark46" w:id="71"/>
      <w:bookmarkEnd w:id="71"/>
      <w:r>
        <w:rPr/>
      </w:r>
      <w:r>
        <w:rPr/>
        <w:t>Figura 2. 11: Niveles de producción y cambios de estructura en el mercado boliviano del gas natural</w:t>
      </w:r>
    </w:p>
    <w:p>
      <w:pPr>
        <w:pStyle w:val="BodyText"/>
        <w:spacing w:before="6"/>
        <w:ind w:left="2313" w:right="115"/>
      </w:pPr>
      <w:r>
        <w:rPr/>
        <w:t>(Producción en billones de pies cúbicos, 1980 - 2010)</w:t>
      </w:r>
    </w:p>
    <w:p>
      <w:pPr>
        <w:pStyle w:val="BodyText"/>
        <w:spacing w:before="10"/>
        <w:rPr>
          <w:sz w:val="8"/>
        </w:rPr>
      </w:pPr>
      <w:r>
        <w:rPr/>
        <w:drawing>
          <wp:anchor distT="0" distB="0" distL="0" distR="0" allowOverlap="1" layoutInCell="1" locked="0" behindDoc="0" simplePos="0" relativeHeight="6232">
            <wp:simplePos x="0" y="0"/>
            <wp:positionH relativeFrom="page">
              <wp:posOffset>2717419</wp:posOffset>
            </wp:positionH>
            <wp:positionV relativeFrom="paragraph">
              <wp:posOffset>89716</wp:posOffset>
            </wp:positionV>
            <wp:extent cx="3225712" cy="2114550"/>
            <wp:effectExtent l="0" t="0" r="0" b="0"/>
            <wp:wrapTopAndBottom/>
            <wp:docPr id="15" name="image110.jpeg" descr=""/>
            <wp:cNvGraphicFramePr>
              <a:graphicFrameLocks noChangeAspect="1"/>
            </wp:cNvGraphicFramePr>
            <a:graphic>
              <a:graphicData uri="http://schemas.openxmlformats.org/drawingml/2006/picture">
                <pic:pic>
                  <pic:nvPicPr>
                    <pic:cNvPr id="16" name="image110.jpeg"/>
                    <pic:cNvPicPr/>
                  </pic:nvPicPr>
                  <pic:blipFill>
                    <a:blip r:embed="rId123" cstate="print"/>
                    <a:stretch>
                      <a:fillRect/>
                    </a:stretch>
                  </pic:blipFill>
                  <pic:spPr>
                    <a:xfrm>
                      <a:off x="0" y="0"/>
                      <a:ext cx="3225712" cy="2114550"/>
                    </a:xfrm>
                    <a:prstGeom prst="rect">
                      <a:avLst/>
                    </a:prstGeom>
                  </pic:spPr>
                </pic:pic>
              </a:graphicData>
            </a:graphic>
          </wp:anchor>
        </w:drawing>
      </w:r>
    </w:p>
    <w:p>
      <w:pPr>
        <w:spacing w:before="132"/>
        <w:ind w:left="2954" w:right="115" w:firstLine="0"/>
        <w:jc w:val="left"/>
        <w:rPr>
          <w:sz w:val="18"/>
        </w:rPr>
      </w:pPr>
      <w:r>
        <w:rPr>
          <w:sz w:val="18"/>
        </w:rPr>
        <w:t>Fuente: Energy Information Administration EIA - U.S. (2011)</w:t>
      </w:r>
    </w:p>
    <w:p>
      <w:pPr>
        <w:pStyle w:val="BodyText"/>
        <w:rPr>
          <w:sz w:val="18"/>
        </w:rPr>
      </w:pPr>
    </w:p>
    <w:p>
      <w:pPr>
        <w:pStyle w:val="BodyText"/>
        <w:spacing w:before="8"/>
        <w:rPr>
          <w:sz w:val="17"/>
        </w:rPr>
      </w:pPr>
    </w:p>
    <w:p>
      <w:pPr>
        <w:pStyle w:val="BodyText"/>
        <w:spacing w:line="360" w:lineRule="auto" w:before="1"/>
        <w:ind w:left="122" w:right="117" w:firstLine="707"/>
        <w:jc w:val="both"/>
      </w:pPr>
      <w:r>
        <w:rPr/>
        <w:t>La ley de hidrocarburos de 1996 establecía que la refinación e industrialización de hidrocarburos,  así  como  la  comercialización  de  sus  productos,  era  libre  y  podría   ser</w:t>
      </w:r>
    </w:p>
    <w:p>
      <w:pPr>
        <w:pStyle w:val="BodyText"/>
        <w:spacing w:before="1"/>
        <w:rPr>
          <w:sz w:val="14"/>
        </w:rPr>
      </w:pPr>
      <w:r>
        <w:rPr/>
        <w:pict>
          <v:line style="position:absolute;mso-position-horizontal-relative:page;mso-position-vertical-relative:paragraph;z-index:6256;mso-wrap-distance-left:0;mso-wrap-distance-right:0" from="85.103996pt,10.379772pt" to="229.123996pt,10.379772pt" stroked="true" strokeweight=".599980pt" strokecolor="#000000">
            <w10:wrap type="topAndBottom"/>
          </v:line>
        </w:pict>
      </w:r>
    </w:p>
    <w:p>
      <w:pPr>
        <w:spacing w:before="50"/>
        <w:ind w:left="122" w:right="115" w:firstLine="0"/>
        <w:jc w:val="left"/>
        <w:rPr>
          <w:sz w:val="20"/>
        </w:rPr>
      </w:pPr>
      <w:r>
        <w:rPr>
          <w:position w:val="9"/>
          <w:sz w:val="13"/>
        </w:rPr>
        <w:t>45 </w:t>
      </w:r>
      <w:r>
        <w:rPr>
          <w:sz w:val="20"/>
        </w:rPr>
        <w:t>Chaco S.A., Andina S.A., Transredes S.A., Petrobras Bolivia Refinación S.A. y compañía Logística de Hidrocarburos de Bolivia S.A.</w:t>
      </w:r>
    </w:p>
    <w:p>
      <w:pPr>
        <w:spacing w:after="0"/>
        <w:jc w:val="left"/>
        <w:rPr>
          <w:sz w:val="20"/>
        </w:rPr>
        <w:sectPr>
          <w:pgSz w:w="12250" w:h="15850"/>
          <w:pgMar w:header="0" w:footer="1037" w:top="1360" w:bottom="1220" w:left="1580" w:right="1580"/>
        </w:sectPr>
      </w:pPr>
    </w:p>
    <w:p>
      <w:pPr>
        <w:pStyle w:val="BodyText"/>
        <w:spacing w:line="350" w:lineRule="auto" w:before="50"/>
        <w:ind w:left="122" w:right="121"/>
        <w:jc w:val="both"/>
        <w:rPr>
          <w:sz w:val="16"/>
        </w:rPr>
      </w:pPr>
      <w:r>
        <w:rPr/>
        <w:t>realizada por cualquier persona individual o colectiva, nacional o extranjera, mediante su registro respectivo en la Superintendencia de Hidrocarburos del Sistema de Regulación Sectorial (SIRESE) y con base al cumplimiento de las disposiciones legales que regulaban estas actividades. Luego, se estableció una regalía del 18% para el Estado.</w:t>
      </w:r>
      <w:r>
        <w:rPr>
          <w:position w:val="11"/>
          <w:sz w:val="16"/>
        </w:rPr>
        <w:t>46</w:t>
      </w:r>
    </w:p>
    <w:p>
      <w:pPr>
        <w:pStyle w:val="BodyText"/>
        <w:spacing w:line="338" w:lineRule="auto"/>
        <w:ind w:left="122" w:right="118" w:firstLine="707"/>
        <w:jc w:val="both"/>
      </w:pPr>
      <w:r>
        <w:rPr/>
        <w:t>La nueva ley de hidrocarburos (2005) dio ejecución y cumplimiento del reglamento al referéndum de julio de 2004</w:t>
      </w:r>
      <w:r>
        <w:rPr>
          <w:position w:val="11"/>
          <w:sz w:val="16"/>
        </w:rPr>
        <w:t>47 </w:t>
      </w:r>
      <w:r>
        <w:rPr/>
        <w:t>que expresaba la decisión del pueblo boliviano sobre la política de hidrocarburos en Bolivia, en consecuencia, se abrogó la anterior ley de hidrocarburos (1996)</w:t>
      </w:r>
      <w:r>
        <w:rPr>
          <w:position w:val="11"/>
          <w:sz w:val="16"/>
        </w:rPr>
        <w:t>48</w:t>
      </w:r>
      <w:r>
        <w:rPr/>
        <w:t>.</w:t>
      </w:r>
    </w:p>
    <w:p>
      <w:pPr>
        <w:pStyle w:val="BodyText"/>
        <w:spacing w:line="360" w:lineRule="auto" w:before="15"/>
        <w:ind w:left="122" w:right="120" w:firstLine="767"/>
        <w:jc w:val="both"/>
      </w:pPr>
      <w:r>
        <w:rPr/>
        <w:t>Por tanto, la nueva ley aprobó la recuperación de la propiedad de todos los hidrocarburos en boca de pozo para el Estado Boliviano, ejerciendo su derecho a través de la empresa estatal Yacimientos Petrolíferos Fiscales Bolivianos (YPFB), empresa que fue refundada permitiéndose su participación en la cadena productiva de</w:t>
      </w:r>
      <w:r>
        <w:rPr>
          <w:spacing w:val="-12"/>
        </w:rPr>
        <w:t> </w:t>
      </w:r>
      <w:r>
        <w:rPr/>
        <w:t>hidrocarburos.</w:t>
      </w:r>
    </w:p>
    <w:p>
      <w:pPr>
        <w:pStyle w:val="BodyText"/>
        <w:spacing w:line="360" w:lineRule="auto" w:before="6"/>
        <w:ind w:left="122" w:right="113" w:firstLine="767"/>
        <w:jc w:val="both"/>
      </w:pPr>
      <w:r>
        <w:rPr/>
        <w:t>Así también se dispuso una retención del 50% del valor de la producción de gas y petróleo a favor del Estado. Sin embargo, en esta ley no se contempló la exclusividad de YPFB en los procesos de producción, comercialización e industrialización de los hidrocarburos en el país. Se mantuvo el 18% de regalías a favor del Estado y se aplicó un nuevo impuesto directo a los hidrocarburos (IDH): 32% sobre el total de la producción.</w:t>
      </w:r>
    </w:p>
    <w:p>
      <w:pPr>
        <w:pStyle w:val="BodyText"/>
        <w:spacing w:line="360" w:lineRule="auto" w:before="4"/>
        <w:ind w:left="122" w:right="119" w:firstLine="707"/>
        <w:jc w:val="both"/>
      </w:pPr>
      <w:r>
        <w:rPr/>
        <w:t>El Decreto Supremo 28701 (2006) obligó a las empresas petroleras privadas, que operaban en Bolivia, a entregar toda la producción de petróleo y gas natural a la empresa estatal Yacimientos Petrolíferos Fiscales Bolivianos (YPFB), misma que en representación del Estado asumió la comercialización de los hidrocarburos</w:t>
      </w:r>
      <w:r>
        <w:rPr>
          <w:spacing w:val="51"/>
        </w:rPr>
        <w:t> </w:t>
      </w:r>
      <w:r>
        <w:rPr/>
        <w:t>(Gaceta oficial de Bolivia:</w:t>
      </w:r>
    </w:p>
    <w:p>
      <w:pPr>
        <w:pStyle w:val="BodyText"/>
        <w:spacing w:before="4"/>
        <w:ind w:left="122"/>
        <w:jc w:val="both"/>
      </w:pPr>
      <w:r>
        <w:rPr>
          <w:spacing w:val="-1"/>
          <w:w w:val="44"/>
        </w:rPr>
        <w:t>―</w:t>
      </w:r>
      <w:r>
        <w:rPr>
          <w:w w:val="119"/>
        </w:rPr>
        <w:t>H</w:t>
      </w:r>
      <w:r>
        <w:rPr>
          <w:spacing w:val="-2"/>
          <w:w w:val="119"/>
        </w:rPr>
        <w:t> </w:t>
      </w:r>
      <w:r>
        <w:rPr>
          <w:w w:val="166"/>
        </w:rPr>
        <w:t> </w:t>
      </w:r>
      <w:r>
        <w:rPr>
          <w:spacing w:val="1"/>
          <w:w w:val="166"/>
        </w:rPr>
        <w:t> </w:t>
      </w:r>
      <w:r>
        <w:rPr>
          <w:spacing w:val="-1"/>
          <w:w w:val="177"/>
        </w:rPr>
        <w:t> </w:t>
      </w:r>
      <w:r>
        <w:rPr>
          <w:w w:val="155"/>
        </w:rPr>
        <w:t> </w:t>
      </w:r>
      <w:r>
        <w:rPr/>
        <w:t> </w:t>
      </w:r>
      <w:r>
        <w:rPr>
          <w:w w:val="162"/>
        </w:rPr>
        <w:t>   </w:t>
      </w:r>
      <w:r>
        <w:rPr/>
        <w:t> </w:t>
      </w:r>
      <w:r>
        <w:rPr>
          <w:w w:val="205"/>
        </w:rPr>
        <w:t>   </w:t>
      </w:r>
      <w:r>
        <w:rPr>
          <w:spacing w:val="-2"/>
          <w:w w:val="205"/>
        </w:rPr>
        <w:t> </w:t>
      </w:r>
      <w:r>
        <w:rPr>
          <w:spacing w:val="2"/>
          <w:w w:val="200"/>
        </w:rPr>
        <w:t> </w:t>
      </w:r>
      <w:r>
        <w:rPr>
          <w:spacing w:val="-2"/>
          <w:w w:val="99"/>
        </w:rPr>
        <w:t>"</w:t>
      </w:r>
      <w:r>
        <w:rPr/>
        <w:t>  </w:t>
      </w:r>
      <w:r>
        <w:rPr>
          <w:w w:val="200"/>
        </w:rPr>
        <w:t>  </w:t>
      </w:r>
      <w:r>
        <w:rPr>
          <w:spacing w:val="2"/>
          <w:w w:val="200"/>
        </w:rPr>
        <w:t> </w:t>
      </w:r>
      <w:r>
        <w:rPr>
          <w:w w:val="111"/>
        </w:rPr>
        <w:t>6 </w:t>
      </w:r>
      <w:r>
        <w:rPr/>
        <w:t>.</w:t>
      </w:r>
    </w:p>
    <w:p>
      <w:pPr>
        <w:pStyle w:val="BodyText"/>
        <w:spacing w:line="360" w:lineRule="auto" w:before="139"/>
        <w:ind w:left="122" w:right="116" w:firstLine="707"/>
        <w:jc w:val="both"/>
      </w:pPr>
      <w:r>
        <w:rPr/>
        <w:t>En consecuencia, el Estado tomó el control y la dirección de la producción, comercialización e industrialización de los hidrocarburos en el país, nacionalizándose las acciones necesarias para que YPFB controle el 51% de las empresas Chaco S.A., Andina S.A., Transredes S.A. y Petrobras.</w:t>
      </w:r>
    </w:p>
    <w:p>
      <w:pPr>
        <w:pStyle w:val="BodyText"/>
        <w:rPr>
          <w:sz w:val="20"/>
        </w:rPr>
      </w:pPr>
    </w:p>
    <w:p>
      <w:pPr>
        <w:pStyle w:val="BodyText"/>
        <w:spacing w:before="10"/>
        <w:rPr>
          <w:sz w:val="21"/>
        </w:rPr>
      </w:pPr>
      <w:r>
        <w:rPr/>
        <w:pict>
          <v:line style="position:absolute;mso-position-horizontal-relative:page;mso-position-vertical-relative:paragraph;z-index:6280;mso-wrap-distance-left:0;mso-wrap-distance-right:0" from="85.103996pt,14.840757pt" to="229.123996pt,14.840757pt" stroked="true" strokeweight=".599980pt" strokecolor="#000000">
            <w10:wrap type="topAndBottom"/>
          </v:line>
        </w:pict>
      </w:r>
    </w:p>
    <w:p>
      <w:pPr>
        <w:spacing w:before="50"/>
        <w:ind w:left="122" w:right="342" w:firstLine="0"/>
        <w:jc w:val="left"/>
        <w:rPr>
          <w:sz w:val="20"/>
        </w:rPr>
      </w:pPr>
      <w:r>
        <w:rPr>
          <w:position w:val="9"/>
          <w:sz w:val="13"/>
        </w:rPr>
        <w:t>46 </w:t>
      </w:r>
      <w:r>
        <w:rPr>
          <w:sz w:val="20"/>
        </w:rPr>
        <w:t>Ley de hidrocarburos Nº 1689 del 30 de abril de 1996  (Gaceta oficial de Bolivia "Héroes del Chaco",  1996).</w:t>
      </w:r>
    </w:p>
    <w:p>
      <w:pPr>
        <w:pStyle w:val="BodyText"/>
        <w:spacing w:before="10"/>
        <w:rPr>
          <w:sz w:val="17"/>
        </w:rPr>
      </w:pPr>
    </w:p>
    <w:p>
      <w:pPr>
        <w:spacing w:before="0"/>
        <w:ind w:left="122" w:right="115" w:firstLine="0"/>
        <w:jc w:val="left"/>
        <w:rPr>
          <w:sz w:val="20"/>
        </w:rPr>
      </w:pPr>
      <w:r>
        <w:rPr>
          <w:position w:val="9"/>
          <w:sz w:val="13"/>
        </w:rPr>
        <w:t>47 </w:t>
      </w:r>
      <w:r>
        <w:rPr>
          <w:sz w:val="20"/>
        </w:rPr>
        <w:t>Referéndum sobre política de hidrocarburos de 18 de julio de 2004.</w:t>
      </w:r>
    </w:p>
    <w:p>
      <w:pPr>
        <w:pStyle w:val="BodyText"/>
        <w:spacing w:before="8"/>
        <w:rPr>
          <w:sz w:val="17"/>
        </w:rPr>
      </w:pPr>
    </w:p>
    <w:p>
      <w:pPr>
        <w:spacing w:before="0"/>
        <w:ind w:left="122" w:right="342" w:firstLine="0"/>
        <w:jc w:val="left"/>
        <w:rPr>
          <w:sz w:val="20"/>
        </w:rPr>
      </w:pPr>
      <w:r>
        <w:rPr>
          <w:position w:val="9"/>
          <w:sz w:val="13"/>
        </w:rPr>
        <w:t>48 </w:t>
      </w:r>
      <w:r>
        <w:rPr>
          <w:sz w:val="20"/>
        </w:rPr>
        <w:t>Ley de hidrocarburos Nº 3058 del 17 de mayo de 2005 (Gaceta oficial de Bolivia "Héroes del Chaco", 2005).</w:t>
      </w:r>
    </w:p>
    <w:p>
      <w:pPr>
        <w:spacing w:after="0"/>
        <w:jc w:val="left"/>
        <w:rPr>
          <w:sz w:val="20"/>
        </w:rPr>
        <w:sectPr>
          <w:pgSz w:w="12250" w:h="15850"/>
          <w:pgMar w:header="0" w:footer="1037" w:top="1360" w:bottom="1220" w:left="1580" w:right="1580"/>
        </w:sectPr>
      </w:pPr>
    </w:p>
    <w:p>
      <w:pPr>
        <w:pStyle w:val="BodyText"/>
        <w:spacing w:line="360" w:lineRule="auto" w:before="50"/>
        <w:ind w:left="122" w:right="115" w:firstLine="707"/>
        <w:jc w:val="both"/>
      </w:pPr>
      <w:r>
        <w:rPr/>
        <w:t>La nueva Constitución Política del Estado Plurinacional de Bolivia (octubre de  2008) estableció el control y la dirección sobre la exploración, industrialización y comercialización de los recursos naturales estratégicos a través de entidades públicas, las que podrán a su vez contratar a empresas privadas y constituir empresas mixtas  (Art.</w:t>
      </w:r>
      <w:r>
        <w:rPr>
          <w:spacing w:val="-12"/>
        </w:rPr>
        <w:t> </w:t>
      </w:r>
      <w:r>
        <w:rPr/>
        <w:t>351).</w:t>
      </w:r>
    </w:p>
    <w:p>
      <w:pPr>
        <w:pStyle w:val="BodyText"/>
        <w:spacing w:line="360" w:lineRule="auto" w:before="6"/>
        <w:ind w:left="122" w:right="116" w:firstLine="707"/>
        <w:jc w:val="both"/>
      </w:pPr>
      <w:r>
        <w:rPr/>
        <w:t>Por otra parte, específicamente en el tema de los hidrocarburos, estos son inalienables, prohibiéndose la transferencia de los derechos y obligaciones de la empresa estatal hidrocarburífera de Bolivia, aunque con la posibilidad de suscripción de contratos en sociedades con terceros, con mayoría accionaria para el proceso de industrialización de los hidrocarburos o  prestación de servicios a favor del Estado (Art. 361 y 362).</w:t>
      </w:r>
    </w:p>
    <w:p>
      <w:pPr>
        <w:pStyle w:val="BodyText"/>
        <w:spacing w:line="360" w:lineRule="auto" w:before="4"/>
        <w:ind w:left="122" w:right="119" w:firstLine="707"/>
        <w:jc w:val="both"/>
      </w:pPr>
      <w:r>
        <w:rPr/>
        <w:t>La industria del gas natural boliviano se encuentra conformada por dos grandes procesos productivos: la exploración y la explotación – (</w:t>
      </w:r>
      <w:r>
        <w:rPr>
          <w:i/>
        </w:rPr>
        <w:t>Upstream</w:t>
      </w:r>
      <w:r>
        <w:rPr/>
        <w:t>) y la segunda fase que comprende las etapas de: refinación, industrialización, transporte, almacenaje  (</w:t>
      </w:r>
      <w:r>
        <w:rPr>
          <w:i/>
        </w:rPr>
        <w:t>Downstream</w:t>
      </w:r>
      <w:r>
        <w:rPr/>
        <w:t>)  y</w:t>
      </w:r>
      <w:r>
        <w:rPr>
          <w:spacing w:val="-5"/>
        </w:rPr>
        <w:t> </w:t>
      </w:r>
      <w:r>
        <w:rPr/>
        <w:t>exportación.</w:t>
      </w:r>
    </w:p>
    <w:p>
      <w:pPr>
        <w:pStyle w:val="BodyText"/>
        <w:spacing w:line="350" w:lineRule="auto" w:before="4"/>
        <w:ind w:left="122" w:right="115" w:firstLine="707"/>
        <w:jc w:val="both"/>
      </w:pPr>
      <w:r>
        <w:rPr/>
        <w:t>Por consiguiente, el estado boliviano, mediante su empresa representante estatal (YPFB), estuvo a cargo de la industria hidrocarburífera </w:t>
      </w:r>
      <w:r>
        <w:rPr>
          <w:spacing w:val="3"/>
        </w:rPr>
        <w:t>de </w:t>
      </w:r>
      <w:r>
        <w:rPr/>
        <w:t>1936 hasta 1996</w:t>
      </w:r>
      <w:r>
        <w:rPr>
          <w:position w:val="11"/>
          <w:sz w:val="16"/>
        </w:rPr>
        <w:t>49</w:t>
      </w:r>
      <w:r>
        <w:rPr/>
        <w:t>, luego, a  partir de mediados de 1996 hasta el 2006 la industria del gas estuvo comprendida por una fuerte presencia privada (Villegas,</w:t>
      </w:r>
      <w:r>
        <w:rPr>
          <w:spacing w:val="-9"/>
        </w:rPr>
        <w:t> </w:t>
      </w:r>
      <w:r>
        <w:rPr/>
        <w:t>2004).</w:t>
      </w:r>
    </w:p>
    <w:p>
      <w:pPr>
        <w:pStyle w:val="BodyText"/>
      </w:pPr>
    </w:p>
    <w:p>
      <w:pPr>
        <w:pStyle w:val="BodyText"/>
        <w:spacing w:before="151"/>
        <w:ind w:left="1403" w:right="115"/>
      </w:pPr>
      <w:bookmarkStart w:name="_bookmark47" w:id="72"/>
      <w:bookmarkEnd w:id="72"/>
      <w:r>
        <w:rPr/>
      </w:r>
      <w:r>
        <w:rPr/>
        <w:t>Figura 2. 12: Proceso productivo de la industria del gas boliviano</w:t>
      </w:r>
    </w:p>
    <w:p>
      <w:pPr>
        <w:pStyle w:val="BodyText"/>
        <w:spacing w:before="5"/>
        <w:rPr>
          <w:sz w:val="14"/>
        </w:rPr>
      </w:pPr>
      <w:r>
        <w:rPr/>
        <w:pict>
          <v:group style="position:absolute;margin-left:173.122742pt;margin-top:10.277658pt;width:217.95pt;height:30.35pt;mso-position-horizontal-relative:page;mso-position-vertical-relative:paragraph;z-index:6376;mso-wrap-distance-left:0;mso-wrap-distance-right:0" coordorigin="3462,206" coordsize="4359,607">
            <v:shape style="position:absolute;left:3462;top:206;width:1229;height:607" type="#_x0000_t75" stroked="false">
              <v:imagedata r:id="rId124" o:title=""/>
            </v:shape>
            <v:shape style="position:absolute;left:5143;top:206;width:1137;height:607" type="#_x0000_t75" stroked="false">
              <v:imagedata r:id="rId125" o:title=""/>
            </v:shape>
            <v:shape style="position:absolute;left:4708;top:383;width:383;height:207" type="#_x0000_t75" stroked="false">
              <v:imagedata r:id="rId126" o:title=""/>
            </v:shape>
            <v:shape style="position:absolute;left:6683;top:206;width:1137;height:607" type="#_x0000_t75" stroked="false">
              <v:imagedata r:id="rId125" o:title=""/>
            </v:shape>
            <v:shape style="position:absolute;left:6340;top:398;width:327;height:208" type="#_x0000_t75" stroked="false">
              <v:imagedata r:id="rId127" o:title=""/>
            </v:shape>
            <v:shape style="position:absolute;left:3646;top:418;width:856;height:215" type="#_x0000_t202" filled="false" stroked="false">
              <v:textbox inset="0,0,0,0">
                <w:txbxContent>
                  <w:p>
                    <w:pPr>
                      <w:spacing w:line="215" w:lineRule="exact" w:before="0"/>
                      <w:ind w:left="0" w:right="-7" w:firstLine="0"/>
                      <w:jc w:val="left"/>
                      <w:rPr>
                        <w:b/>
                        <w:sz w:val="21"/>
                      </w:rPr>
                    </w:pPr>
                    <w:r>
                      <w:rPr>
                        <w:b/>
                        <w:w w:val="95"/>
                        <w:sz w:val="21"/>
                      </w:rPr>
                      <w:t>Upstream</w:t>
                    </w:r>
                  </w:p>
                </w:txbxContent>
              </v:textbox>
              <w10:wrap type="none"/>
            </v:shape>
            <v:shape style="position:absolute;left:5348;top:436;width:723;height:156" type="#_x0000_t202" filled="false" stroked="false">
              <v:textbox inset="0,0,0,0">
                <w:txbxContent>
                  <w:p>
                    <w:pPr>
                      <w:spacing w:line="155" w:lineRule="exact" w:before="0"/>
                      <w:ind w:left="0" w:right="-8" w:firstLine="0"/>
                      <w:jc w:val="left"/>
                      <w:rPr>
                        <w:sz w:val="15"/>
                      </w:rPr>
                    </w:pPr>
                    <w:r>
                      <w:rPr>
                        <w:w w:val="95"/>
                        <w:sz w:val="15"/>
                      </w:rPr>
                      <w:t>Exploración</w:t>
                    </w:r>
                  </w:p>
                </w:txbxContent>
              </v:textbox>
              <w10:wrap type="none"/>
            </v:shape>
            <v:shape style="position:absolute;left:6874;top:339;width:754;height:356" type="#_x0000_t202" filled="false" stroked="false">
              <v:textbox inset="0,0,0,0">
                <w:txbxContent>
                  <w:p>
                    <w:pPr>
                      <w:spacing w:line="157" w:lineRule="exact" w:before="0"/>
                      <w:ind w:left="42" w:right="0" w:hanging="43"/>
                      <w:jc w:val="left"/>
                      <w:rPr>
                        <w:sz w:val="15"/>
                      </w:rPr>
                    </w:pPr>
                    <w:r>
                      <w:rPr>
                        <w:w w:val="95"/>
                        <w:sz w:val="15"/>
                      </w:rPr>
                      <w:t>Explotación/</w:t>
                    </w:r>
                  </w:p>
                  <w:p>
                    <w:pPr>
                      <w:spacing w:line="170" w:lineRule="exact" w:before="27"/>
                      <w:ind w:left="42" w:right="0" w:firstLine="0"/>
                      <w:jc w:val="left"/>
                      <w:rPr>
                        <w:sz w:val="15"/>
                      </w:rPr>
                    </w:pPr>
                    <w:r>
                      <w:rPr>
                        <w:sz w:val="15"/>
                      </w:rPr>
                      <w:t>Producción</w:t>
                    </w:r>
                  </w:p>
                </w:txbxContent>
              </v:textbox>
              <w10:wrap type="none"/>
            </v:shape>
            <w10:wrap type="topAndBottom"/>
          </v:group>
        </w:pict>
      </w:r>
    </w:p>
    <w:p>
      <w:pPr>
        <w:pStyle w:val="BodyText"/>
        <w:spacing w:before="5"/>
        <w:rPr>
          <w:sz w:val="3"/>
        </w:rPr>
      </w:pPr>
    </w:p>
    <w:p>
      <w:pPr>
        <w:pStyle w:val="BodyText"/>
        <w:ind w:left="1878"/>
        <w:rPr>
          <w:sz w:val="20"/>
        </w:rPr>
      </w:pPr>
      <w:r>
        <w:rPr>
          <w:sz w:val="20"/>
        </w:rPr>
        <w:pict>
          <v:group style="width:303.45pt;height:67.6pt;mso-position-horizontal-relative:char;mso-position-vertical-relative:line" coordorigin="0,0" coordsize="6069,1352">
            <v:shape style="position:absolute;left:4;top:745;width:1229;height:607" type="#_x0000_t75" stroked="false">
              <v:imagedata r:id="rId128" o:title=""/>
            </v:shape>
            <v:shape style="position:absolute;left:1685;top:745;width:1137;height:607" type="#_x0000_t75" stroked="false">
              <v:imagedata r:id="rId129" o:title=""/>
            </v:shape>
            <v:shape style="position:absolute;left:3225;top:745;width:1137;height:607" type="#_x0000_t75" stroked="false">
              <v:imagedata r:id="rId129" o:title=""/>
            </v:shape>
            <v:shape style="position:absolute;left:4828;top:745;width:1137;height:607" type="#_x0000_t75" stroked="false">
              <v:imagedata r:id="rId129" o:title=""/>
            </v:shape>
            <v:line style="position:absolute" from="4,1348" to="6064,1348" stroked="true" strokeweight=".366263pt" strokecolor="#ffffff"/>
            <v:shape style="position:absolute;left:441;top:1;width:197;height:704" coordorigin="441,1" coordsize="197,704" path="m465,501l455,507,444,513,441,526,447,537,537,704,562,661,559,661,516,660,517,578,484,515,478,505,465,501xm517,578l516,660,559,661,559,649,556,649,520,649,538,616,517,578xm614,502l601,506,595,517,560,579,559,661,562,661,632,539,638,529,634,515,624,509,614,502xm538,616l520,649,556,649,538,616xm560,579l538,616,556,649,559,649,560,579xm523,1l517,578,538,616,560,579,566,1,523,1xe" filled="true" fillcolor="#7e7e7e" stroked="false">
              <v:path arrowok="t"/>
              <v:fill type="solid"/>
            </v:shape>
            <v:shape style="position:absolute;left:516;top:1;width:50;height:660" coordorigin="516,1" coordsize="50,660" path="m566,1l559,661,516,660,523,1,566,1xe" filled="false" stroked="true" strokeweight=".065863pt" strokecolor="#7e7e7e">
              <v:path arrowok="t"/>
            </v:shape>
            <v:shape style="position:absolute;left:440;top:500;width:198;height:205" type="#_x0000_t75" stroked="false">
              <v:imagedata r:id="rId130" o:title=""/>
            </v:shape>
            <v:shape style="position:absolute;left:1271;top:914;width:383;height:207" type="#_x0000_t75" stroked="false">
              <v:imagedata r:id="rId131" o:title=""/>
            </v:shape>
            <v:shape style="position:absolute;left:2867;top:937;width:327;height:208" type="#_x0000_t75" stroked="false">
              <v:imagedata r:id="rId132" o:title=""/>
            </v:shape>
            <v:shape style="position:absolute;left:4428;top:959;width:327;height:208" type="#_x0000_t75" stroked="false">
              <v:imagedata r:id="rId133" o:title=""/>
            </v:shape>
            <v:shape style="position:absolute;left:67;top:957;width:1096;height:215" type="#_x0000_t202" filled="false" stroked="false">
              <v:textbox inset="0,0,0,0">
                <w:txbxContent>
                  <w:p>
                    <w:pPr>
                      <w:spacing w:line="215" w:lineRule="exact" w:before="0"/>
                      <w:ind w:left="0" w:right="-10" w:firstLine="0"/>
                      <w:jc w:val="left"/>
                      <w:rPr>
                        <w:b/>
                        <w:sz w:val="21"/>
                      </w:rPr>
                    </w:pPr>
                    <w:r>
                      <w:rPr>
                        <w:b/>
                        <w:w w:val="95"/>
                        <w:sz w:val="21"/>
                      </w:rPr>
                      <w:t>Downstream</w:t>
                    </w:r>
                  </w:p>
                </w:txbxContent>
              </v:textbox>
              <w10:wrap type="none"/>
            </v:shape>
            <v:shape style="position:absolute;left:1763;top:878;width:984;height:356" type="#_x0000_t202" filled="false" stroked="false">
              <v:textbox inset="0,0,0,0">
                <w:txbxContent>
                  <w:p>
                    <w:pPr>
                      <w:spacing w:line="157" w:lineRule="exact" w:before="0"/>
                      <w:ind w:left="0" w:right="1" w:firstLine="0"/>
                      <w:jc w:val="center"/>
                      <w:rPr>
                        <w:sz w:val="15"/>
                      </w:rPr>
                    </w:pPr>
                    <w:r>
                      <w:rPr>
                        <w:sz w:val="15"/>
                      </w:rPr>
                      <w:t>Refinación</w:t>
                    </w:r>
                    <w:r>
                      <w:rPr>
                        <w:spacing w:val="-23"/>
                        <w:sz w:val="15"/>
                      </w:rPr>
                      <w:t> </w:t>
                    </w:r>
                    <w:r>
                      <w:rPr>
                        <w:sz w:val="15"/>
                      </w:rPr>
                      <w:t>e</w:t>
                    </w:r>
                  </w:p>
                  <w:p>
                    <w:pPr>
                      <w:spacing w:line="170" w:lineRule="exact" w:before="27"/>
                      <w:ind w:left="0" w:right="0" w:firstLine="0"/>
                      <w:jc w:val="center"/>
                      <w:rPr>
                        <w:sz w:val="15"/>
                      </w:rPr>
                    </w:pPr>
                    <w:r>
                      <w:rPr>
                        <w:w w:val="95"/>
                        <w:sz w:val="15"/>
                      </w:rPr>
                      <w:t>industrialización</w:t>
                    </w:r>
                  </w:p>
                </w:txbxContent>
              </v:textbox>
              <w10:wrap type="none"/>
            </v:shape>
            <v:shape style="position:absolute;left:3479;top:975;width:631;height:156" type="#_x0000_t202" filled="false" stroked="false">
              <v:textbox inset="0,0,0,0">
                <w:txbxContent>
                  <w:p>
                    <w:pPr>
                      <w:spacing w:line="155" w:lineRule="exact" w:before="0"/>
                      <w:ind w:left="0" w:right="-7" w:firstLine="0"/>
                      <w:jc w:val="left"/>
                      <w:rPr>
                        <w:sz w:val="15"/>
                      </w:rPr>
                    </w:pPr>
                    <w:r>
                      <w:rPr>
                        <w:w w:val="95"/>
                        <w:sz w:val="15"/>
                      </w:rPr>
                      <w:t>Transporte</w:t>
                    </w:r>
                  </w:p>
                </w:txbxContent>
              </v:textbox>
              <w10:wrap type="none"/>
            </v:shape>
            <v:shape style="position:absolute;left:4899;top:975;width:985;height:156" type="#_x0000_t202" filled="false" stroked="false">
              <v:textbox inset="0,0,0,0">
                <w:txbxContent>
                  <w:p>
                    <w:pPr>
                      <w:spacing w:line="155" w:lineRule="exact" w:before="0"/>
                      <w:ind w:left="0" w:right="-9" w:firstLine="0"/>
                      <w:jc w:val="left"/>
                      <w:rPr>
                        <w:sz w:val="15"/>
                      </w:rPr>
                    </w:pPr>
                    <w:r>
                      <w:rPr>
                        <w:w w:val="95"/>
                        <w:sz w:val="15"/>
                      </w:rPr>
                      <w:t>Almacenamiento</w:t>
                    </w:r>
                  </w:p>
                </w:txbxContent>
              </v:textbox>
              <w10:wrap type="none"/>
            </v:shape>
          </v:group>
        </w:pict>
      </w:r>
      <w:r>
        <w:rPr>
          <w:sz w:val="20"/>
        </w:rPr>
      </w:r>
    </w:p>
    <w:p>
      <w:pPr>
        <w:spacing w:before="92"/>
        <w:ind w:left="1538" w:right="115" w:firstLine="0"/>
        <w:jc w:val="left"/>
        <w:rPr>
          <w:sz w:val="20"/>
        </w:rPr>
      </w:pPr>
      <w:r>
        <w:rPr>
          <w:sz w:val="20"/>
        </w:rPr>
        <w:t>Fuente: Adaptado de Villegas (2004)</w:t>
      </w:r>
    </w:p>
    <w:p>
      <w:pPr>
        <w:pStyle w:val="BodyText"/>
        <w:rPr>
          <w:sz w:val="20"/>
        </w:rPr>
      </w:pPr>
    </w:p>
    <w:p>
      <w:pPr>
        <w:pStyle w:val="BodyText"/>
        <w:spacing w:before="11"/>
        <w:rPr>
          <w:sz w:val="19"/>
        </w:rPr>
      </w:pPr>
    </w:p>
    <w:p>
      <w:pPr>
        <w:pStyle w:val="BodyText"/>
        <w:spacing w:line="360" w:lineRule="auto"/>
        <w:ind w:left="122" w:right="116" w:firstLine="707"/>
        <w:jc w:val="both"/>
      </w:pPr>
      <w:r>
        <w:rPr/>
        <w:t>En la </w:t>
      </w:r>
      <w:r>
        <w:rPr>
          <w:i/>
        </w:rPr>
        <w:t>figura 2.12</w:t>
      </w:r>
      <w:r>
        <w:rPr/>
        <w:t>, se sugiere que la industria del gas boliviano desde el 2006, en sus fases de refinación e industrialización, almacenamiento y exportación son competencias exclusivas de la empresa estatal boliviana.  De la misma manera, el proceso de explotación,</w:t>
      </w:r>
    </w:p>
    <w:p>
      <w:pPr>
        <w:pStyle w:val="BodyText"/>
        <w:rPr>
          <w:sz w:val="20"/>
        </w:rPr>
      </w:pPr>
    </w:p>
    <w:p>
      <w:pPr>
        <w:pStyle w:val="BodyText"/>
        <w:spacing w:before="3"/>
        <w:rPr>
          <w:sz w:val="12"/>
        </w:rPr>
      </w:pPr>
      <w:r>
        <w:rPr/>
        <w:pict>
          <v:line style="position:absolute;mso-position-horizontal-relative:page;mso-position-vertical-relative:paragraph;z-index:6520;mso-wrap-distance-left:0;mso-wrap-distance-right:0" from="85.103996pt,9.316728pt" to="229.123996pt,9.316728pt" stroked="true" strokeweight=".60004pt" strokecolor="#000000">
            <w10:wrap type="topAndBottom"/>
          </v:line>
        </w:pict>
      </w:r>
    </w:p>
    <w:p>
      <w:pPr>
        <w:spacing w:before="50"/>
        <w:ind w:left="122" w:right="115" w:firstLine="0"/>
        <w:jc w:val="left"/>
        <w:rPr>
          <w:sz w:val="20"/>
        </w:rPr>
      </w:pPr>
      <w:r>
        <w:rPr>
          <w:position w:val="9"/>
          <w:sz w:val="13"/>
        </w:rPr>
        <w:t>49 </w:t>
      </w:r>
      <w:r>
        <w:rPr>
          <w:sz w:val="20"/>
        </w:rPr>
        <w:t>El 21 de diciembre de 1936 se funda YPFB y el 30 de abril de 1996 se aprueba la ley de capitalización Nº 1689 (Gaceta oficial de Bolivia "Héroes del Chaco", 1996).</w:t>
      </w:r>
    </w:p>
    <w:p>
      <w:pPr>
        <w:spacing w:after="0"/>
        <w:jc w:val="left"/>
        <w:rPr>
          <w:sz w:val="20"/>
        </w:rPr>
        <w:sectPr>
          <w:pgSz w:w="12250" w:h="15850"/>
          <w:pgMar w:header="0" w:footer="1037" w:top="1360" w:bottom="1220" w:left="1580" w:right="1580"/>
        </w:sectPr>
      </w:pPr>
    </w:p>
    <w:p>
      <w:pPr>
        <w:pStyle w:val="BodyText"/>
        <w:spacing w:line="360" w:lineRule="auto" w:before="50"/>
        <w:ind w:left="102" w:right="116"/>
        <w:jc w:val="both"/>
      </w:pPr>
      <w:r>
        <w:rPr/>
        <w:t>producción y distribución comercial, también son de propiedad de YPFB. Las empresas extranjeras o contratistas no tienen la competencia para establecer criterios de comercialización. La empresa estatal YPFB depende del Ministerio de Hidrocarburos y Energía. En el 2009, fue establecida la Empresa Boliviana de Industrialización de Hidrocarburos, cuya misión es coadyuvar a desarrollar </w:t>
      </w:r>
      <w:r>
        <w:rPr>
          <w:spacing w:val="2"/>
        </w:rPr>
        <w:t>una </w:t>
      </w:r>
      <w:r>
        <w:rPr/>
        <w:t>industria petroquímica basada en las reservas de gas natural de este</w:t>
      </w:r>
      <w:r>
        <w:rPr>
          <w:spacing w:val="-7"/>
        </w:rPr>
        <w:t> </w:t>
      </w:r>
      <w:r>
        <w:rPr/>
        <w:t>país.</w:t>
      </w:r>
    </w:p>
    <w:p>
      <w:pPr>
        <w:pStyle w:val="BodyText"/>
        <w:spacing w:before="7"/>
        <w:rPr>
          <w:sz w:val="21"/>
        </w:rPr>
      </w:pPr>
    </w:p>
    <w:p>
      <w:pPr>
        <w:pStyle w:val="Heading4"/>
        <w:numPr>
          <w:ilvl w:val="2"/>
          <w:numId w:val="10"/>
        </w:numPr>
        <w:tabs>
          <w:tab w:pos="963" w:val="left" w:leader="none"/>
          <w:tab w:pos="964" w:val="left" w:leader="none"/>
        </w:tabs>
        <w:spacing w:line="240" w:lineRule="auto" w:before="0" w:after="0"/>
        <w:ind w:left="963" w:right="0" w:hanging="720"/>
        <w:jc w:val="left"/>
      </w:pPr>
      <w:bookmarkStart w:name="_bookmark48" w:id="73"/>
      <w:bookmarkEnd w:id="73"/>
      <w:r>
        <w:rPr>
          <w:b w:val="0"/>
        </w:rPr>
      </w:r>
      <w:bookmarkStart w:name="_bookmark48" w:id="74"/>
      <w:bookmarkEnd w:id="74"/>
      <w:r>
        <w:rPr/>
        <w:t>In</w:t>
      </w:r>
      <w:r>
        <w:rPr/>
        <w:t>versiones e infraestructura en la industria del</w:t>
      </w:r>
      <w:r>
        <w:rPr>
          <w:spacing w:val="-11"/>
        </w:rPr>
        <w:t> </w:t>
      </w:r>
      <w:r>
        <w:rPr/>
        <w:t>gas</w:t>
      </w:r>
    </w:p>
    <w:p>
      <w:pPr>
        <w:pStyle w:val="BodyText"/>
        <w:rPr>
          <w:b/>
        </w:rPr>
      </w:pPr>
    </w:p>
    <w:p>
      <w:pPr>
        <w:pStyle w:val="BodyText"/>
        <w:spacing w:line="360" w:lineRule="auto" w:before="195"/>
        <w:ind w:left="102" w:right="119" w:firstLine="707"/>
        <w:jc w:val="both"/>
      </w:pPr>
      <w:r>
        <w:rPr/>
        <w:t>La industria del gas natural, se caracteriza por ser intensiva en capital para los proceso de exploración y explotación. Asimismo, los cambios en la participación estatal  han traído cambios en el nivel de inversiones.     </w:t>
      </w:r>
      <w:r>
        <w:rPr>
          <w:spacing w:val="38"/>
        </w:rPr>
        <w:t> </w:t>
      </w:r>
      <w:r>
        <w:rPr/>
        <w:t>Por ejemplo, durante los primeros años de</w:t>
      </w:r>
    </w:p>
    <w:p>
      <w:pPr>
        <w:pStyle w:val="BodyText"/>
        <w:spacing w:before="6"/>
        <w:ind w:left="102"/>
        <w:jc w:val="both"/>
      </w:pPr>
      <w:r>
        <w:rPr>
          <w:w w:val="155"/>
        </w:rPr>
        <w:t>   </w:t>
      </w:r>
      <w:r>
        <w:rPr/>
        <w:t> </w:t>
      </w:r>
      <w:r>
        <w:rPr>
          <w:w w:val="110"/>
        </w:rPr>
        <w:t>9 ‘                                                                                                              ientras a</w:t>
      </w:r>
    </w:p>
    <w:p>
      <w:pPr>
        <w:pStyle w:val="BodyText"/>
        <w:spacing w:line="360" w:lineRule="auto" w:before="137"/>
        <w:ind w:left="102" w:right="123"/>
        <w:jc w:val="both"/>
      </w:pPr>
      <w:r>
        <w:rPr>
          <w:w w:val="155"/>
        </w:rPr>
        <w:t>    </w:t>
      </w:r>
      <w:r>
        <w:rPr>
          <w:w w:val="148"/>
        </w:rPr>
        <w:t>   </w:t>
      </w:r>
      <w:r>
        <w:rPr/>
        <w:t>  </w:t>
      </w:r>
      <w:r>
        <w:rPr>
          <w:w w:val="188"/>
        </w:rPr>
        <w:t>  </w:t>
      </w:r>
      <w:r>
        <w:rPr/>
        <w:t>  </w:t>
      </w:r>
      <w:r>
        <w:rPr>
          <w:w w:val="155"/>
        </w:rPr>
        <w:t>   </w:t>
      </w:r>
      <w:r>
        <w:rPr/>
        <w:t>  9 ‘ stas alcanzaron los 600 millones en un contexto de participantes privados, con una tendencia decreciente hasta la posterior nacionalización.</w:t>
      </w:r>
    </w:p>
    <w:p>
      <w:pPr>
        <w:pStyle w:val="BodyText"/>
        <w:spacing w:line="360" w:lineRule="auto" w:before="4"/>
        <w:ind w:left="102" w:right="117" w:firstLine="707"/>
        <w:jc w:val="both"/>
      </w:pPr>
      <w:r>
        <w:rPr/>
        <w:t>Posteriormente, estas inversiones se tradujeron en mayores volúmenes de reservas de gas natural. Sin embargo, después de la nacionalización, el sendero de la inversión fue creciente, y de acuerdo al plan estratégico de YPFB, las inversiones en sector gasífero durante el período 2010 – 2015 requeridas son de 3.6 billones de dólares. En la </w:t>
      </w:r>
      <w:r>
        <w:rPr>
          <w:i/>
        </w:rPr>
        <w:t>figura 2.13</w:t>
      </w:r>
      <w:r>
        <w:rPr/>
        <w:t>, se muestra el comportamiento de las inversiones en las tres fases de la industria del gas boliviano:</w:t>
      </w:r>
    </w:p>
    <w:p>
      <w:pPr>
        <w:pStyle w:val="BodyText"/>
        <w:spacing w:before="4"/>
        <w:ind w:right="18"/>
        <w:jc w:val="center"/>
      </w:pPr>
      <w:bookmarkStart w:name="_bookmark49" w:id="75"/>
      <w:bookmarkEnd w:id="75"/>
      <w:r>
        <w:rPr/>
      </w:r>
      <w:r>
        <w:rPr/>
        <w:t>Figura 2. 13: Nivel de inversiones en la industria del Gas Natural de Bolivia</w:t>
      </w:r>
    </w:p>
    <w:p>
      <w:pPr>
        <w:pStyle w:val="BodyText"/>
        <w:spacing w:before="139"/>
        <w:ind w:left="3412" w:right="127"/>
      </w:pPr>
      <w:r>
        <w:rPr/>
        <w:t>(En millones de dólares, 1990 - 2011)</w:t>
      </w:r>
    </w:p>
    <w:p>
      <w:pPr>
        <w:pStyle w:val="BodyText"/>
        <w:spacing w:before="10"/>
        <w:rPr>
          <w:sz w:val="8"/>
        </w:rPr>
      </w:pPr>
      <w:r>
        <w:rPr/>
        <w:drawing>
          <wp:anchor distT="0" distB="0" distL="0" distR="0" allowOverlap="1" layoutInCell="1" locked="0" behindDoc="0" simplePos="0" relativeHeight="6544">
            <wp:simplePos x="0" y="0"/>
            <wp:positionH relativeFrom="page">
              <wp:posOffset>2082926</wp:posOffset>
            </wp:positionH>
            <wp:positionV relativeFrom="paragraph">
              <wp:posOffset>89589</wp:posOffset>
            </wp:positionV>
            <wp:extent cx="4105088" cy="1888140"/>
            <wp:effectExtent l="0" t="0" r="0" b="0"/>
            <wp:wrapTopAndBottom/>
            <wp:docPr id="17" name="image121.jpeg" descr=""/>
            <wp:cNvGraphicFramePr>
              <a:graphicFrameLocks noChangeAspect="1"/>
            </wp:cNvGraphicFramePr>
            <a:graphic>
              <a:graphicData uri="http://schemas.openxmlformats.org/drawingml/2006/picture">
                <pic:pic>
                  <pic:nvPicPr>
                    <pic:cNvPr id="18" name="image121.jpeg"/>
                    <pic:cNvPicPr/>
                  </pic:nvPicPr>
                  <pic:blipFill>
                    <a:blip r:embed="rId134" cstate="print"/>
                    <a:stretch>
                      <a:fillRect/>
                    </a:stretch>
                  </pic:blipFill>
                  <pic:spPr>
                    <a:xfrm>
                      <a:off x="0" y="0"/>
                      <a:ext cx="4105088" cy="1888140"/>
                    </a:xfrm>
                    <a:prstGeom prst="rect">
                      <a:avLst/>
                    </a:prstGeom>
                  </pic:spPr>
                </pic:pic>
              </a:graphicData>
            </a:graphic>
          </wp:anchor>
        </w:drawing>
      </w:r>
    </w:p>
    <w:p>
      <w:pPr>
        <w:spacing w:before="76"/>
        <w:ind w:left="1518" w:right="127" w:firstLine="0"/>
        <w:jc w:val="left"/>
        <w:rPr>
          <w:sz w:val="20"/>
        </w:rPr>
      </w:pPr>
      <w:r>
        <w:rPr>
          <w:sz w:val="20"/>
        </w:rPr>
        <w:t>Fuente: Yacimientos Petrolíferos Fiscales Bolivianos (2012)</w:t>
      </w:r>
    </w:p>
    <w:p>
      <w:pPr>
        <w:spacing w:after="0"/>
        <w:jc w:val="left"/>
        <w:rPr>
          <w:sz w:val="20"/>
        </w:rPr>
        <w:sectPr>
          <w:pgSz w:w="12250" w:h="15850"/>
          <w:pgMar w:header="0" w:footer="1037" w:top="1360" w:bottom="1220" w:left="1600" w:right="1580"/>
        </w:sectPr>
      </w:pPr>
    </w:p>
    <w:p>
      <w:pPr>
        <w:pStyle w:val="BodyText"/>
        <w:spacing w:line="360" w:lineRule="auto" w:before="50"/>
        <w:ind w:left="102" w:right="119" w:firstLine="707"/>
        <w:jc w:val="both"/>
      </w:pPr>
      <w:r>
        <w:rPr/>
        <w:t>Para hablar de la infraestructura, es importante mencionar que el último record alcanzado en producción de gas natural fue de 590 billones de pies cúbicos en 2011, habiendo superado su anterior del 2008 (518 MPC). De acuerdo con información de EIA (2012), aproximadamente más 50% de la producción de gas natural de Bolivia proviene de dos localidades: Sábalo (35%) y San Alberto (26%), ambos puntos se encuentran en el departamento de Tarija.</w:t>
      </w:r>
    </w:p>
    <w:p>
      <w:pPr>
        <w:pStyle w:val="BodyText"/>
        <w:spacing w:before="4"/>
        <w:rPr>
          <w:sz w:val="21"/>
        </w:rPr>
      </w:pPr>
    </w:p>
    <w:p>
      <w:pPr>
        <w:pStyle w:val="BodyText"/>
        <w:spacing w:line="360" w:lineRule="auto" w:before="1"/>
        <w:ind w:left="102" w:right="120" w:firstLine="707"/>
        <w:jc w:val="both"/>
      </w:pPr>
      <w:r>
        <w:rPr/>
        <w:t>La producción de gas natural en Bolivia se encuentra concentrada en dos departamentos: Tarija que cubre más del 70% de la producción y Santa Cruz que representa el segundo lugar de aportación (20%).</w:t>
      </w:r>
    </w:p>
    <w:p>
      <w:pPr>
        <w:pStyle w:val="BodyText"/>
        <w:spacing w:before="2"/>
        <w:rPr>
          <w:sz w:val="21"/>
        </w:rPr>
      </w:pPr>
    </w:p>
    <w:p>
      <w:pPr>
        <w:pStyle w:val="BodyText"/>
        <w:spacing w:line="360" w:lineRule="auto"/>
        <w:ind w:left="102" w:right="117" w:firstLine="707"/>
        <w:jc w:val="both"/>
      </w:pPr>
      <w:r>
        <w:rPr/>
        <w:t>A pesar de que la empresa YPFB tiene todo el control de la industria gasífera en Bolivia, la firma Petrobras opera en los campos Sábalo y San Alberto, cuya explotación representa el 60% de la producción de gas en Bolivia. Las empresas estatizadas YPFB Chaco y YPFB Andina producen el 22% del gas natural de Bolivia con la ayuda de un número de firmas privadas responsables de los pozos de explotación más pequeños [EIA, 2012]. Estos campos no solo pertenecen al gas natural sino también al petróleo, debido a que ambos energéticos son complementarios en la producción por la similitud de sus procesos de exploración y explotación  (Villar &amp; Joutz,</w:t>
      </w:r>
      <w:r>
        <w:rPr>
          <w:spacing w:val="-8"/>
        </w:rPr>
        <w:t> </w:t>
      </w:r>
      <w:r>
        <w:rPr/>
        <w:t>2006).</w:t>
      </w:r>
    </w:p>
    <w:p>
      <w:pPr>
        <w:pStyle w:val="BodyText"/>
        <w:spacing w:before="2"/>
        <w:rPr>
          <w:sz w:val="21"/>
        </w:rPr>
      </w:pPr>
    </w:p>
    <w:p>
      <w:pPr>
        <w:pStyle w:val="BodyText"/>
        <w:spacing w:line="360" w:lineRule="auto"/>
        <w:ind w:left="102" w:right="116" w:firstLine="707"/>
        <w:jc w:val="both"/>
      </w:pPr>
      <w:r>
        <w:rPr/>
        <w:t>La empresa YPFB Transporte controla toda la distribución de gas natural, predominante por tuberías. La Central de Inteligencia de Estados Unidos (CIA) estima que en Bolivia existe una infruestructura de tuberías de gas de más de cinco mil kilometros (5,192 km.). Destacándose, las conexiones a sus dos principales mercados de exportación Brasil y Argentina (que se entrará en detalle posteriormente).</w:t>
      </w:r>
    </w:p>
    <w:p>
      <w:pPr>
        <w:pStyle w:val="BodyText"/>
        <w:spacing w:before="4"/>
        <w:rPr>
          <w:sz w:val="21"/>
        </w:rPr>
      </w:pPr>
    </w:p>
    <w:p>
      <w:pPr>
        <w:pStyle w:val="BodyText"/>
        <w:spacing w:line="360" w:lineRule="auto" w:before="1"/>
        <w:ind w:left="102" w:right="115" w:firstLine="707"/>
        <w:jc w:val="both"/>
      </w:pPr>
      <w:r>
        <w:rPr/>
        <w:t>El gaseoducto Bolivia – Brasil es la infraestructura más grande de Latinoámerica con 3,069 km, de los cuales solo 557 son de Bolivia, inversión que demandó más de dos   mil millones de dólares financiado por Petrobas (BRA) en 1997 con una capacidad máxima de 1.1 BPC/día. Paralelamente, Argentina que es el segundo mercado de exportación más importante para Bolivia, cuenta con una red de tubería desde 1972 con una capacidad de 210 MPD/día [EIA, 2012]. En la </w:t>
      </w:r>
      <w:r>
        <w:rPr>
          <w:i/>
        </w:rPr>
        <w:t>figura 2.14</w:t>
      </w:r>
      <w:r>
        <w:rPr/>
        <w:t>, se muestran las mayores redes de tuberías de gas natural en</w:t>
      </w:r>
      <w:r>
        <w:rPr>
          <w:spacing w:val="-6"/>
        </w:rPr>
        <w:t> </w:t>
      </w:r>
      <w:r>
        <w:rPr/>
        <w:t>Bolivia.</w:t>
      </w:r>
    </w:p>
    <w:p>
      <w:pPr>
        <w:spacing w:after="0" w:line="360" w:lineRule="auto"/>
        <w:jc w:val="both"/>
        <w:sectPr>
          <w:pgSz w:w="12250" w:h="15850"/>
          <w:pgMar w:header="0" w:footer="1037" w:top="1360" w:bottom="1220" w:left="1600" w:right="1580"/>
        </w:sectPr>
      </w:pPr>
    </w:p>
    <w:p>
      <w:pPr>
        <w:pStyle w:val="BodyText"/>
        <w:spacing w:line="360" w:lineRule="auto" w:before="55"/>
        <w:ind w:left="1773" w:right="2592" w:firstLine="3"/>
        <w:jc w:val="center"/>
      </w:pPr>
      <w:bookmarkStart w:name="_bookmark50" w:id="76"/>
      <w:bookmarkEnd w:id="76"/>
      <w:r>
        <w:rPr/>
      </w:r>
      <w:r>
        <w:rPr/>
        <w:t>Figura 2. 14: Red de tuberías de Gas Natural en Bolivia</w:t>
      </w:r>
      <w:r>
        <w:rPr>
          <w:position w:val="11"/>
          <w:sz w:val="16"/>
        </w:rPr>
        <w:t>50 </w:t>
      </w:r>
      <w:r>
        <w:rPr/>
        <w:t>(Al interior del país y hacía sus mercados de exportación)</w:t>
      </w:r>
    </w:p>
    <w:p>
      <w:pPr>
        <w:pStyle w:val="BodyText"/>
        <w:spacing w:before="5"/>
        <w:rPr>
          <w:sz w:val="18"/>
        </w:rPr>
      </w:pPr>
      <w:r>
        <w:rPr/>
        <w:pict>
          <v:group style="position:absolute;margin-left:85.550003pt;margin-top:12.579761pt;width:483.05pt;height:476.5pt;mso-position-horizontal-relative:page;mso-position-vertical-relative:paragraph;z-index:6616;mso-wrap-distance-left:0;mso-wrap-distance-right:0" coordorigin="1711,252" coordsize="9661,9530">
            <v:shape style="position:absolute;left:1711;top:252;width:8808;height:8977" type="#_x0000_t75" stroked="false">
              <v:imagedata r:id="rId135" o:title=""/>
            </v:shape>
            <v:shape style="position:absolute;left:9074;top:3374;width:2297;height:1080" type="#_x0000_t75" stroked="false">
              <v:imagedata r:id="rId136" o:title=""/>
            </v:shape>
            <v:shape style="position:absolute;left:5354;top:8986;width:2926;height:795" type="#_x0000_t75" stroked="false">
              <v:imagedata r:id="rId137" o:title=""/>
            </v:shape>
            <v:shape style="position:absolute;left:9558;top:3522;width:1334;height:521" type="#_x0000_t202" filled="false" stroked="false">
              <v:textbox inset="0,0,0,0">
                <w:txbxContent>
                  <w:p>
                    <w:pPr>
                      <w:spacing w:line="521" w:lineRule="exact" w:before="0"/>
                      <w:ind w:left="0" w:right="-15" w:firstLine="0"/>
                      <w:jc w:val="left"/>
                      <w:rPr>
                        <w:b/>
                        <w:sz w:val="52"/>
                      </w:rPr>
                    </w:pPr>
                    <w:hyperlink r:id="rId138">
                      <w:r>
                        <w:rPr>
                          <w:b/>
                          <w:color w:val="92D050"/>
                          <w:sz w:val="52"/>
                        </w:rPr>
                        <w:t>Bra</w:t>
                      </w:r>
                    </w:hyperlink>
                    <w:r>
                      <w:rPr>
                        <w:b/>
                        <w:color w:val="92D050"/>
                        <w:sz w:val="52"/>
                      </w:rPr>
                      <w:t>sil</w:t>
                    </w:r>
                  </w:p>
                </w:txbxContent>
              </v:textbox>
              <w10:wrap type="none"/>
            </v:shape>
            <v:shape style="position:absolute;left:5691;top:9135;width:2255;height:521" type="#_x0000_t202" filled="false" stroked="false">
              <v:textbox inset="0,0,0,0">
                <w:txbxContent>
                  <w:p>
                    <w:pPr>
                      <w:spacing w:line="521" w:lineRule="exact" w:before="0"/>
                      <w:ind w:left="0" w:right="-19" w:firstLine="0"/>
                      <w:jc w:val="left"/>
                      <w:rPr>
                        <w:b/>
                        <w:sz w:val="52"/>
                      </w:rPr>
                    </w:pPr>
                    <w:r>
                      <w:rPr>
                        <w:b/>
                        <w:color w:val="00AFEF"/>
                        <w:sz w:val="52"/>
                      </w:rPr>
                      <w:t>Argentina</w:t>
                    </w:r>
                  </w:p>
                </w:txbxContent>
              </v:textbox>
              <w10:wrap type="none"/>
            </v:shape>
            <w10:wrap type="topAndBottom"/>
          </v:group>
        </w:pict>
      </w:r>
    </w:p>
    <w:p>
      <w:pPr>
        <w:spacing w:before="135"/>
        <w:ind w:left="1524" w:right="2391" w:firstLine="0"/>
        <w:jc w:val="center"/>
        <w:rPr>
          <w:sz w:val="20"/>
        </w:rPr>
      </w:pPr>
      <w:r>
        <w:rPr>
          <w:sz w:val="20"/>
        </w:rPr>
        <w:t>Fuente: Yacimientos Petrolíferos Fiscales Bolivianos (2012),  EIA (2012).</w:t>
      </w:r>
    </w:p>
    <w:p>
      <w:pPr>
        <w:pStyle w:val="BodyText"/>
        <w:rPr>
          <w:sz w:val="20"/>
        </w:rPr>
      </w:pPr>
    </w:p>
    <w:p>
      <w:pPr>
        <w:pStyle w:val="BodyText"/>
        <w:rPr>
          <w:sz w:val="20"/>
        </w:rPr>
      </w:pPr>
    </w:p>
    <w:p>
      <w:pPr>
        <w:pStyle w:val="BodyText"/>
        <w:rPr>
          <w:sz w:val="20"/>
        </w:rPr>
      </w:pPr>
    </w:p>
    <w:p>
      <w:pPr>
        <w:pStyle w:val="BodyText"/>
        <w:spacing w:before="1"/>
        <w:rPr>
          <w:sz w:val="21"/>
        </w:rPr>
      </w:pPr>
      <w:r>
        <w:rPr/>
        <w:pict>
          <v:line style="position:absolute;mso-position-horizontal-relative:page;mso-position-vertical-relative:paragraph;z-index:6640;mso-wrap-distance-left:0;mso-wrap-distance-right:0" from="85.103996pt,14.399853pt" to="229.123996pt,14.399853pt" stroked="true" strokeweight=".599980pt" strokecolor="#000000">
            <w10:wrap type="topAndBottom"/>
          </v:line>
        </w:pict>
      </w:r>
    </w:p>
    <w:p>
      <w:pPr>
        <w:spacing w:before="52"/>
        <w:ind w:left="122" w:right="937" w:firstLine="0"/>
        <w:jc w:val="both"/>
        <w:rPr>
          <w:sz w:val="20"/>
        </w:rPr>
      </w:pPr>
      <w:r>
        <w:rPr>
          <w:position w:val="9"/>
          <w:sz w:val="13"/>
        </w:rPr>
        <w:t>50 </w:t>
      </w:r>
      <w:r>
        <w:rPr>
          <w:sz w:val="20"/>
        </w:rPr>
        <w:t>La superficie de Bolivia es de 1.098.581 km</w:t>
      </w:r>
      <w:r>
        <w:rPr>
          <w:rFonts w:ascii="Arial" w:hAnsi="Arial"/>
          <w:sz w:val="20"/>
        </w:rPr>
        <w:t>² </w:t>
      </w:r>
      <w:r>
        <w:rPr>
          <w:sz w:val="20"/>
        </w:rPr>
        <w:t>y está compuesta por nueve departamentos: Santa Cruz, Beni, Pando. La Paz, Oruro, Potosí, Tarija, Chuquisaca y Cochabamba. Está ubicada en el corazón de Sudamérica. Limita con cinco países: al noreste con Brasil; al noroeste con Paraguay; al oeste con Argentina; al sudoeste con  Chile; y al oeste con Perú.</w:t>
      </w:r>
    </w:p>
    <w:p>
      <w:pPr>
        <w:spacing w:after="0"/>
        <w:jc w:val="both"/>
        <w:rPr>
          <w:sz w:val="20"/>
        </w:rPr>
        <w:sectPr>
          <w:pgSz w:w="12250" w:h="15850"/>
          <w:pgMar w:header="0" w:footer="1037" w:top="1320" w:bottom="1220" w:left="1580" w:right="760"/>
        </w:sectPr>
      </w:pPr>
    </w:p>
    <w:p>
      <w:pPr>
        <w:pStyle w:val="Heading4"/>
        <w:numPr>
          <w:ilvl w:val="2"/>
          <w:numId w:val="10"/>
        </w:numPr>
        <w:tabs>
          <w:tab w:pos="963" w:val="left" w:leader="none"/>
          <w:tab w:pos="964" w:val="left" w:leader="none"/>
        </w:tabs>
        <w:spacing w:line="240" w:lineRule="auto" w:before="53" w:after="0"/>
        <w:ind w:left="963" w:right="0" w:hanging="720"/>
        <w:jc w:val="left"/>
      </w:pPr>
      <w:bookmarkStart w:name="_bookmark51" w:id="77"/>
      <w:bookmarkEnd w:id="77"/>
      <w:r>
        <w:rPr>
          <w:b w:val="0"/>
        </w:rPr>
      </w:r>
      <w:bookmarkStart w:name="_bookmark51" w:id="78"/>
      <w:bookmarkEnd w:id="78"/>
      <w:r>
        <w:rPr/>
        <w:t>M</w:t>
      </w:r>
      <w:r>
        <w:rPr/>
        <w:t>ercados de exportación del gas</w:t>
      </w:r>
      <w:r>
        <w:rPr>
          <w:spacing w:val="-9"/>
        </w:rPr>
        <w:t> </w:t>
      </w:r>
      <w:r>
        <w:rPr/>
        <w:t>boliviano</w:t>
      </w:r>
    </w:p>
    <w:p>
      <w:pPr>
        <w:pStyle w:val="BodyText"/>
        <w:rPr>
          <w:b/>
          <w:sz w:val="29"/>
        </w:rPr>
      </w:pPr>
    </w:p>
    <w:p>
      <w:pPr>
        <w:pStyle w:val="BodyText"/>
        <w:spacing w:line="360" w:lineRule="auto"/>
        <w:ind w:left="102" w:right="112" w:firstLine="707"/>
        <w:jc w:val="both"/>
      </w:pPr>
      <w:r>
        <w:rPr/>
        <w:t>Bolivia tiene dos mercados de exportación: Brasil y Argentina. El mercado de exportación boliviano tiene un cambio importante en el año 2000.  Desde principios de los  9 ‘       2000, el mercado argentino cubrió el 100% de la demanda externa del  gas       natural boliviano. Después del 2000, el mercado brasileño pasó a ser el principal destino de exportación debido a la construcción del gaseoducto Bolivia – Brasil. Para finales de 2011, Brasil representó el 65% de las exportaciones del gas boliviano (6.1 billones de USD) y Argentina el 35% restante (3.3 billones de USD) [según datos oficiales de</w:t>
      </w:r>
      <w:r>
        <w:rPr>
          <w:spacing w:val="-11"/>
        </w:rPr>
        <w:t> </w:t>
      </w:r>
      <w:r>
        <w:rPr/>
        <w:t>YPFB].</w:t>
      </w:r>
    </w:p>
    <w:p>
      <w:pPr>
        <w:pStyle w:val="BodyText"/>
        <w:spacing w:line="360" w:lineRule="auto" w:before="4"/>
        <w:ind w:left="102" w:right="116" w:firstLine="770"/>
        <w:jc w:val="both"/>
      </w:pPr>
      <w:r>
        <w:rPr/>
        <w:t>Las </w:t>
      </w:r>
      <w:r>
        <w:rPr>
          <w:i/>
        </w:rPr>
        <w:t>figuras 2.15 y 2.16 </w:t>
      </w:r>
      <w:r>
        <w:rPr/>
        <w:t>muestran la evolución en la composición de las exportaciones bolivianas del gas natural en porcentaje y en términos monetarios para cada mercado respectivo (argentino y brasileño):</w:t>
      </w:r>
    </w:p>
    <w:p>
      <w:pPr>
        <w:pStyle w:val="BodyText"/>
        <w:spacing w:line="357" w:lineRule="auto" w:before="6"/>
        <w:ind w:left="2622" w:right="257" w:hanging="2521"/>
      </w:pPr>
      <w:r>
        <w:rPr/>
        <w:drawing>
          <wp:anchor distT="0" distB="0" distL="0" distR="0" allowOverlap="1" layoutInCell="1" locked="0" behindDoc="1" simplePos="0" relativeHeight="267869999">
            <wp:simplePos x="0" y="0"/>
            <wp:positionH relativeFrom="page">
              <wp:posOffset>2258314</wp:posOffset>
            </wp:positionH>
            <wp:positionV relativeFrom="paragraph">
              <wp:posOffset>444412</wp:posOffset>
            </wp:positionV>
            <wp:extent cx="3266694" cy="1869693"/>
            <wp:effectExtent l="0" t="0" r="0" b="0"/>
            <wp:wrapNone/>
            <wp:docPr id="19" name="image125.jpeg" descr=""/>
            <wp:cNvGraphicFramePr>
              <a:graphicFrameLocks noChangeAspect="1"/>
            </wp:cNvGraphicFramePr>
            <a:graphic>
              <a:graphicData uri="http://schemas.openxmlformats.org/drawingml/2006/picture">
                <pic:pic>
                  <pic:nvPicPr>
                    <pic:cNvPr id="20" name="image125.jpeg"/>
                    <pic:cNvPicPr/>
                  </pic:nvPicPr>
                  <pic:blipFill>
                    <a:blip r:embed="rId139" cstate="print"/>
                    <a:stretch>
                      <a:fillRect/>
                    </a:stretch>
                  </pic:blipFill>
                  <pic:spPr>
                    <a:xfrm>
                      <a:off x="0" y="0"/>
                      <a:ext cx="3266694" cy="1869693"/>
                    </a:xfrm>
                    <a:prstGeom prst="rect">
                      <a:avLst/>
                    </a:prstGeom>
                  </pic:spPr>
                </pic:pic>
              </a:graphicData>
            </a:graphic>
          </wp:anchor>
        </w:drawing>
      </w:r>
      <w:bookmarkStart w:name="_bookmark52" w:id="79"/>
      <w:bookmarkEnd w:id="79"/>
      <w:r>
        <w:rPr/>
      </w:r>
      <w:r>
        <w:rPr/>
        <w:t>Figura 2. 15: Composición de las exportaciones bolivianas: Mercado argentino y brasileño (Expresado en porcentaje, 1990 - 2011)</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28"/>
        </w:rPr>
      </w:pPr>
    </w:p>
    <w:p>
      <w:pPr>
        <w:spacing w:before="0"/>
        <w:ind w:left="810" w:right="127" w:firstLine="0"/>
        <w:jc w:val="left"/>
        <w:rPr>
          <w:sz w:val="20"/>
        </w:rPr>
      </w:pPr>
      <w:r>
        <w:rPr>
          <w:sz w:val="20"/>
        </w:rPr>
        <w:t>Fuente: Yacimientos Petrolíferos Fiscales Bolivianos (2012)</w:t>
      </w:r>
    </w:p>
    <w:p>
      <w:pPr>
        <w:pStyle w:val="BodyText"/>
        <w:rPr>
          <w:sz w:val="20"/>
        </w:rPr>
      </w:pPr>
    </w:p>
    <w:p>
      <w:pPr>
        <w:pStyle w:val="BodyText"/>
        <w:spacing w:before="2"/>
        <w:rPr>
          <w:sz w:val="16"/>
        </w:rPr>
      </w:pPr>
    </w:p>
    <w:p>
      <w:pPr>
        <w:pStyle w:val="BodyText"/>
        <w:spacing w:line="357" w:lineRule="auto"/>
        <w:ind w:left="2187" w:right="127" w:hanging="1412"/>
      </w:pPr>
      <w:bookmarkStart w:name="_bookmark53" w:id="80"/>
      <w:bookmarkEnd w:id="80"/>
      <w:r>
        <w:rPr/>
      </w:r>
      <w:r>
        <w:rPr/>
        <w:t>Figura 2. 16: Exportaciones del gas boliviano: Mercado argentino y brasileño (Expresado en millones de dólares, 1990 - 2011)</w:t>
      </w:r>
    </w:p>
    <w:p>
      <w:pPr>
        <w:pStyle w:val="BodyText"/>
        <w:spacing w:before="3"/>
        <w:rPr>
          <w:sz w:val="16"/>
        </w:rPr>
      </w:pPr>
    </w:p>
    <w:p>
      <w:pPr>
        <w:spacing w:before="85"/>
        <w:ind w:left="2603" w:right="127" w:firstLine="0"/>
        <w:jc w:val="left"/>
        <w:rPr>
          <w:sz w:val="13"/>
        </w:rPr>
      </w:pPr>
      <w:r>
        <w:rPr/>
        <w:pict>
          <v:group style="position:absolute;margin-left:231.981949pt;margin-top:2.950414pt;width:204.45pt;height:77.7pt;mso-position-horizontal-relative:page;mso-position-vertical-relative:paragraph;z-index:6688" coordorigin="4640,59" coordsize="4089,1554">
            <v:shape style="position:absolute;left:893;top:447;width:6113;height:2078" coordorigin="893,447" coordsize="6113,2078" path="m4694,1296l8718,1296m4699,1013l8723,1013m4699,725l8723,725m4699,446l8723,446m4699,158l8723,158e" filled="false" stroked="true" strokeweight=".452545pt" strokecolor="#858585">
              <v:path arrowok="t"/>
              <v:stroke dashstyle="dash"/>
            </v:shape>
            <v:shape style="position:absolute;left:818;top:275;width:6181;height:2820" coordorigin="818,275" coordsize="6181,2820" path="m4694,1575l4694,64m4644,1575l4694,1575m4644,1296l4694,1296m4644,1009l4694,1009m4644,729l4694,729m4644,442l4694,442m4644,163l4694,163m4694,1575l8718,1575m4694,1575l4694,1608m4881,1575l4881,1608m5059,1575l5059,1608m5247,1575l5247,1608m5425,1575l5425,1608m5613,1575l5613,1608m5791,1575l5791,1608m5979,1575l5979,1608m6157,1575l6157,1608m6345,1575l6345,1608m6523,1575l6523,1608m6711,1575l6711,1608m6889,1575l6889,1608m7077,1575l7077,1608m7255,1575l7255,1608m7443,1575l7443,1608m7621,1575l7621,1608m7809,1575l7809,1608m7987,1575l7987,1608m8175,1575l8175,1608m8353,1575l8353,1608m8540,1575l8540,1608m8718,1575l8718,1608e" filled="false" stroked="true" strokeweight=".452545pt" strokecolor="#858585">
              <v:path arrowok="t"/>
            </v:shape>
            <v:shape style="position:absolute;left:4703;top:1403;width:3046;height:173" coordorigin="4703,1403" coordsize="3046,173" path="m4703,1468l4713,1485,4733,1477,4743,1493,4763,1468,4783,1468,4792,1477,4812,1477,4822,1485,4842,1468,4852,1468,4872,1468,4881,1444,4901,1460,4911,1444,4931,1460,4951,1460,4961,1468,4980,1485,4990,1485,5010,1485,5020,1493,5040,1493,5050,1493,5069,1485,5079,1509,5099,1501,5109,1493,5129,1534,5218,1534,5237,1518,5247,1542,5267,1559,5277,1534,5297,1534,5435,1534,5445,1542,5465,1542,5475,1534,5495,1534,5514,1526,5524,1526,5544,1526,5554,1534,5574,1534,5584,1542,5603,1551,5613,1551,5633,1542,5643,1542,5663,1534,5682,1534,5692,1526,5712,1526,5722,1526,5742,1534,5752,1534,5771,1534,5781,1534,5801,1534,5811,1542,5831,1542,5841,1542,5861,1526,5880,1526,5890,1526,5910,1534,5920,1534,5940,1534,5950,1542,5969,1542,5979,1542,5999,1559,6009,1551,6029,1551,6048,1542,6058,1534,6078,1534,6088,1542,6108,1542,6118,1551,6137,1551,6147,1551,6226,1551,6246,1542,6256,1542,6276,1542,6286,1551,6306,1559,6315,1559,6335,1567,6345,1575,6365,1575,6375,1575,7324,1575,7344,1542,7354,1526,7374,1526,7383,1526,7403,1518,7413,1526,7433,1518,7443,1526,7463,1518,7472,1509,7492,1509,7512,1509,7522,1526,7542,1501,7552,1501,7571,1509,7581,1501,7601,1501,7611,1493,7631,1477,7641,1468,7660,1468,7680,1518,7690,1460,7710,1460,7720,1444,7739,1403,7749,1460e" filled="false" stroked="true" strokeweight="1.232757pt" strokecolor="#000000">
              <v:path arrowok="t"/>
            </v:shape>
            <v:shape style="position:absolute;left:7749;top:943;width:960;height:567" coordorigin="7749,943" coordsize="960,567" path="m7749,1460l7769,1436,7779,1460,7799,1452,7809,1444,7828,1436,7838,1411,7858,1427,7878,1394,7888,1411,7908,1411,7917,1436,7937,1501,7947,1501,7967,1485,7977,1477,7997,1460,8006,1477,8026,1460,8046,1477,8056,1493,8076,1485,8086,1436,8105,1493,8115,1493,8135,1485,8145,1386,8165,1280,8175,1378,8194,1312,8204,1337,8224,1436,8244,1444,8254,1444,8273,1411,8283,1419,8303,1419,8313,1460,8333,1493,8343,1509,8362,1477,8372,1427,8392,1362,8412,1403,8422,1337,8442,1362,8451,1312,8471,1353,8481,1378,8501,1362,8511,1386,8530,1329,8540,1312,8560,1288,8570,1247,8590,1238,8610,1197,8619,1222,8639,1123,8649,1148,8669,1148,8679,1091,8699,1099,8708,943e" filled="false" stroked="true" strokeweight="1.296984pt" strokecolor="#000000">
              <v:path arrowok="t"/>
            </v:shape>
            <v:shape style="position:absolute;left:4703;top:951;width:3046;height:625" coordorigin="4703,951" coordsize="3046,625" path="m4703,1575l4703,1575,6424,1575,6444,1567,6454,1567,6474,1567,6484,1559,6503,1559,6513,1559,6533,1551,6543,1551,6563,1551,6573,1542,6592,1542,6612,1526,6622,1509,6642,1526,6652,1518,6671,1501,6681,1509,6701,1509,6711,1509,6731,1493,6741,1485,6760,1501,6780,1468,6790,1485,6810,1477,6820,1468,6840,1477,6849,1477,6869,1477,6879,1477,6899,1485,6909,1493,6929,1485,6938,1501,6958,1509,6978,1509,6988,1493,7008,1493,7018,1477,7037,1468,7047,1477,7067,1477,7077,1460,7097,1477,7107,1452,7126,1427,7146,1427,7156,1411,7176,1411,7186,1427,7205,1427,7215,1394,7235,1378,7245,1403,7265,1403,7275,1378,7294,1345,7304,1362,7324,1337,7344,1345,7354,1329,7374,1321,7383,1337,7403,1321,7413,1337,7433,1345,7443,1337,7463,1353,7472,1304,7492,1288,7512,1288,7522,1304,7542,1238,7552,1189,7571,1181,7581,1115,7601,1123,7611,1140,7631,1132,7641,1140,7660,1074,7680,1123,7690,1050,7710,1058,7720,992,7739,959,7749,951e" filled="false" stroked="true" strokeweight="1.242084pt" strokecolor="#000000">
              <v:path arrowok="t"/>
              <v:stroke dashstyle="longDash"/>
            </v:shape>
            <v:shape style="position:absolute;left:7749;top:89;width:960;height:1002" coordorigin="7749,89" coordsize="960,1002" path="m7749,951l7769,951,7779,1050,7799,1025,7809,1091,7828,1091,7838,1050,7858,1082,7878,1050,7888,1025,7908,910,7917,902,7937,852,7947,705,7967,737,7977,713,7997,557,8006,614,8026,549,8046,499,8056,458,8076,491,8086,261,8105,261,8115,343,8135,89,8145,228,8165,393,8175,894,8194,976,8204,918,8224,1041,8244,844,8254,852,8273,910,8283,984,8303,1041,8313,902,8333,967,8343,984,8362,877,8372,770,8392,721,8412,811,8422,573,8442,540,8451,532,8471,483,8481,516,8501,532,8511,549,8530,680,8540,721,8560,549,8570,508,8590,614,8610,549,8619,327,8639,163,8649,146,8669,220,8679,130,8699,195,8708,417e" filled="false" stroked="true" strokeweight="1.363116pt" strokecolor="#000000">
              <v:path arrowok="t"/>
              <v:stroke dashstyle="longDash"/>
            </v:shape>
            <w10:wrap type="none"/>
          </v:group>
        </w:pict>
      </w:r>
      <w:r>
        <w:rPr>
          <w:w w:val="120"/>
          <w:sz w:val="13"/>
        </w:rPr>
        <w:t>7,500</w:t>
      </w:r>
    </w:p>
    <w:p>
      <w:pPr>
        <w:pStyle w:val="BodyText"/>
        <w:spacing w:before="8"/>
        <w:rPr>
          <w:sz w:val="11"/>
        </w:rPr>
      </w:pPr>
    </w:p>
    <w:p>
      <w:pPr>
        <w:spacing w:before="0"/>
        <w:ind w:left="2603" w:right="127" w:firstLine="0"/>
        <w:jc w:val="left"/>
        <w:rPr>
          <w:sz w:val="13"/>
        </w:rPr>
      </w:pPr>
      <w:r>
        <w:rPr>
          <w:w w:val="120"/>
          <w:sz w:val="13"/>
        </w:rPr>
        <w:t>6,000</w:t>
      </w:r>
    </w:p>
    <w:p>
      <w:pPr>
        <w:pStyle w:val="BodyText"/>
        <w:spacing w:before="7"/>
        <w:rPr>
          <w:sz w:val="11"/>
        </w:rPr>
      </w:pPr>
    </w:p>
    <w:p>
      <w:pPr>
        <w:spacing w:before="1"/>
        <w:ind w:left="2603" w:right="127" w:firstLine="0"/>
        <w:jc w:val="left"/>
        <w:rPr>
          <w:sz w:val="13"/>
        </w:rPr>
      </w:pPr>
      <w:r>
        <w:rPr>
          <w:w w:val="120"/>
          <w:sz w:val="13"/>
        </w:rPr>
        <w:t>4,500</w:t>
      </w:r>
    </w:p>
    <w:p>
      <w:pPr>
        <w:pStyle w:val="BodyText"/>
        <w:spacing w:before="8"/>
        <w:rPr>
          <w:sz w:val="11"/>
        </w:rPr>
      </w:pPr>
    </w:p>
    <w:p>
      <w:pPr>
        <w:spacing w:before="0"/>
        <w:ind w:left="2603" w:right="127" w:firstLine="0"/>
        <w:jc w:val="left"/>
        <w:rPr>
          <w:sz w:val="13"/>
        </w:rPr>
      </w:pPr>
      <w:r>
        <w:rPr>
          <w:w w:val="120"/>
          <w:sz w:val="13"/>
        </w:rPr>
        <w:t>3,000</w:t>
      </w:r>
    </w:p>
    <w:p>
      <w:pPr>
        <w:pStyle w:val="BodyText"/>
        <w:spacing w:before="7"/>
        <w:rPr>
          <w:sz w:val="11"/>
        </w:rPr>
      </w:pPr>
    </w:p>
    <w:p>
      <w:pPr>
        <w:spacing w:before="1"/>
        <w:ind w:left="2603" w:right="127" w:firstLine="0"/>
        <w:jc w:val="left"/>
        <w:rPr>
          <w:sz w:val="13"/>
        </w:rPr>
      </w:pPr>
      <w:r>
        <w:rPr>
          <w:w w:val="120"/>
          <w:sz w:val="13"/>
        </w:rPr>
        <w:t>1,500</w:t>
      </w:r>
    </w:p>
    <w:p>
      <w:pPr>
        <w:pStyle w:val="BodyText"/>
        <w:spacing w:before="7"/>
        <w:rPr>
          <w:sz w:val="11"/>
        </w:rPr>
      </w:pPr>
    </w:p>
    <w:p>
      <w:pPr>
        <w:spacing w:before="1"/>
        <w:ind w:left="2881" w:right="0" w:firstLine="0"/>
        <w:jc w:val="left"/>
        <w:rPr>
          <w:sz w:val="13"/>
        </w:rPr>
      </w:pPr>
      <w:r>
        <w:rPr/>
        <w:pict>
          <v:shape style="position:absolute;margin-left:231.262543pt;margin-top:6.308698pt;width:201pt;height:17.25pt;mso-position-horizontal-relative:page;mso-position-vertical-relative:paragraph;z-index:6760" type="#_x0000_t202" filled="false" stroked="false">
            <v:textbox inset="0,0,0,0" style="layout-flow:vertical;mso-layout-flow-alt:bottom-to-top">
              <w:txbxContent>
                <w:p>
                  <w:pPr>
                    <w:spacing w:line="295" w:lineRule="auto" w:before="2"/>
                    <w:ind w:left="20" w:right="18" w:firstLine="0"/>
                    <w:jc w:val="both"/>
                    <w:rPr>
                      <w:sz w:val="13"/>
                    </w:rPr>
                  </w:pPr>
                  <w:r>
                    <w:rPr>
                      <w:spacing w:val="1"/>
                      <w:w w:val="82"/>
                      <w:sz w:val="13"/>
                    </w:rPr>
                    <w:t>e</w:t>
                  </w:r>
                  <w:r>
                    <w:rPr>
                      <w:spacing w:val="4"/>
                      <w:w w:val="82"/>
                      <w:sz w:val="13"/>
                    </w:rPr>
                    <w:t>n</w:t>
                  </w:r>
                  <w:r>
                    <w:rPr>
                      <w:spacing w:val="1"/>
                      <w:w w:val="82"/>
                      <w:sz w:val="13"/>
                    </w:rPr>
                    <w:t>e</w:t>
                  </w:r>
                  <w:r>
                    <w:rPr>
                      <w:spacing w:val="-3"/>
                      <w:w w:val="82"/>
                      <w:sz w:val="13"/>
                    </w:rPr>
                    <w:t>-</w:t>
                  </w:r>
                  <w:r>
                    <w:rPr>
                      <w:spacing w:val="4"/>
                      <w:w w:val="82"/>
                      <w:sz w:val="13"/>
                    </w:rPr>
                    <w:t>90 </w:t>
                  </w:r>
                  <w:r>
                    <w:rPr>
                      <w:spacing w:val="1"/>
                      <w:w w:val="82"/>
                      <w:sz w:val="13"/>
                    </w:rPr>
                    <w:t>e</w:t>
                  </w:r>
                  <w:r>
                    <w:rPr>
                      <w:spacing w:val="4"/>
                      <w:w w:val="82"/>
                      <w:sz w:val="13"/>
                    </w:rPr>
                    <w:t>n</w:t>
                  </w:r>
                  <w:r>
                    <w:rPr>
                      <w:spacing w:val="1"/>
                      <w:w w:val="82"/>
                      <w:sz w:val="13"/>
                    </w:rPr>
                    <w:t>e</w:t>
                  </w:r>
                  <w:r>
                    <w:rPr>
                      <w:spacing w:val="-3"/>
                      <w:w w:val="82"/>
                      <w:sz w:val="13"/>
                    </w:rPr>
                    <w:t>-</w:t>
                  </w:r>
                  <w:r>
                    <w:rPr>
                      <w:spacing w:val="4"/>
                      <w:w w:val="82"/>
                      <w:sz w:val="13"/>
                    </w:rPr>
                    <w:t>91 </w:t>
                  </w:r>
                  <w:r>
                    <w:rPr>
                      <w:spacing w:val="1"/>
                      <w:w w:val="82"/>
                      <w:sz w:val="13"/>
                    </w:rPr>
                    <w:t>e</w:t>
                  </w:r>
                  <w:r>
                    <w:rPr>
                      <w:spacing w:val="4"/>
                      <w:w w:val="82"/>
                      <w:sz w:val="13"/>
                    </w:rPr>
                    <w:t>n</w:t>
                  </w:r>
                  <w:r>
                    <w:rPr>
                      <w:spacing w:val="1"/>
                      <w:w w:val="82"/>
                      <w:sz w:val="13"/>
                    </w:rPr>
                    <w:t>e</w:t>
                  </w:r>
                  <w:r>
                    <w:rPr>
                      <w:spacing w:val="-3"/>
                      <w:w w:val="82"/>
                      <w:sz w:val="13"/>
                    </w:rPr>
                    <w:t>-</w:t>
                  </w:r>
                  <w:r>
                    <w:rPr>
                      <w:spacing w:val="4"/>
                      <w:w w:val="82"/>
                      <w:sz w:val="13"/>
                    </w:rPr>
                    <w:t>92 </w:t>
                  </w:r>
                  <w:r>
                    <w:rPr>
                      <w:spacing w:val="2"/>
                      <w:w w:val="82"/>
                      <w:sz w:val="13"/>
                    </w:rPr>
                    <w:t>e</w:t>
                  </w:r>
                  <w:r>
                    <w:rPr>
                      <w:spacing w:val="4"/>
                      <w:w w:val="82"/>
                      <w:sz w:val="13"/>
                    </w:rPr>
                    <w:t>n</w:t>
                  </w:r>
                  <w:r>
                    <w:rPr>
                      <w:spacing w:val="2"/>
                      <w:w w:val="82"/>
                      <w:sz w:val="13"/>
                    </w:rPr>
                    <w:t>e</w:t>
                  </w:r>
                  <w:r>
                    <w:rPr>
                      <w:spacing w:val="-3"/>
                      <w:w w:val="82"/>
                      <w:sz w:val="13"/>
                    </w:rPr>
                    <w:t>-</w:t>
                  </w:r>
                  <w:r>
                    <w:rPr>
                      <w:spacing w:val="4"/>
                      <w:w w:val="82"/>
                      <w:sz w:val="13"/>
                    </w:rPr>
                    <w:t>93 </w:t>
                  </w:r>
                  <w:r>
                    <w:rPr>
                      <w:spacing w:val="1"/>
                      <w:w w:val="82"/>
                      <w:sz w:val="13"/>
                    </w:rPr>
                    <w:t>e</w:t>
                  </w:r>
                  <w:r>
                    <w:rPr>
                      <w:spacing w:val="4"/>
                      <w:w w:val="82"/>
                      <w:sz w:val="13"/>
                    </w:rPr>
                    <w:t>n</w:t>
                  </w:r>
                  <w:r>
                    <w:rPr>
                      <w:spacing w:val="1"/>
                      <w:w w:val="82"/>
                      <w:sz w:val="13"/>
                    </w:rPr>
                    <w:t>e</w:t>
                  </w:r>
                  <w:r>
                    <w:rPr>
                      <w:spacing w:val="-3"/>
                      <w:w w:val="82"/>
                      <w:sz w:val="13"/>
                    </w:rPr>
                    <w:t>-</w:t>
                  </w:r>
                  <w:r>
                    <w:rPr>
                      <w:spacing w:val="4"/>
                      <w:w w:val="82"/>
                      <w:sz w:val="13"/>
                    </w:rPr>
                    <w:t>94 </w:t>
                  </w:r>
                  <w:r>
                    <w:rPr>
                      <w:spacing w:val="1"/>
                      <w:w w:val="82"/>
                      <w:sz w:val="13"/>
                    </w:rPr>
                    <w:t>e</w:t>
                  </w:r>
                  <w:r>
                    <w:rPr>
                      <w:spacing w:val="4"/>
                      <w:w w:val="82"/>
                      <w:sz w:val="13"/>
                    </w:rPr>
                    <w:t>n</w:t>
                  </w:r>
                  <w:r>
                    <w:rPr>
                      <w:spacing w:val="1"/>
                      <w:w w:val="82"/>
                      <w:sz w:val="13"/>
                    </w:rPr>
                    <w:t>e</w:t>
                  </w:r>
                  <w:r>
                    <w:rPr>
                      <w:spacing w:val="-3"/>
                      <w:w w:val="82"/>
                      <w:sz w:val="13"/>
                    </w:rPr>
                    <w:t>-</w:t>
                  </w:r>
                  <w:r>
                    <w:rPr>
                      <w:spacing w:val="4"/>
                      <w:w w:val="82"/>
                      <w:sz w:val="13"/>
                    </w:rPr>
                    <w:t>95 </w:t>
                  </w:r>
                  <w:r>
                    <w:rPr>
                      <w:spacing w:val="1"/>
                      <w:w w:val="82"/>
                      <w:sz w:val="13"/>
                    </w:rPr>
                    <w:t>e</w:t>
                  </w:r>
                  <w:r>
                    <w:rPr>
                      <w:spacing w:val="4"/>
                      <w:w w:val="82"/>
                      <w:sz w:val="13"/>
                    </w:rPr>
                    <w:t>n</w:t>
                  </w:r>
                  <w:r>
                    <w:rPr>
                      <w:spacing w:val="1"/>
                      <w:w w:val="82"/>
                      <w:sz w:val="13"/>
                    </w:rPr>
                    <w:t>e</w:t>
                  </w:r>
                  <w:r>
                    <w:rPr>
                      <w:spacing w:val="-3"/>
                      <w:w w:val="82"/>
                      <w:sz w:val="13"/>
                    </w:rPr>
                    <w:t>-</w:t>
                  </w:r>
                  <w:r>
                    <w:rPr>
                      <w:spacing w:val="4"/>
                      <w:w w:val="82"/>
                      <w:sz w:val="13"/>
                    </w:rPr>
                    <w:t>96 </w:t>
                  </w:r>
                  <w:r>
                    <w:rPr>
                      <w:spacing w:val="2"/>
                      <w:w w:val="82"/>
                      <w:sz w:val="13"/>
                    </w:rPr>
                    <w:t>e</w:t>
                  </w:r>
                  <w:r>
                    <w:rPr>
                      <w:spacing w:val="4"/>
                      <w:w w:val="82"/>
                      <w:sz w:val="13"/>
                    </w:rPr>
                    <w:t>n</w:t>
                  </w:r>
                  <w:r>
                    <w:rPr>
                      <w:spacing w:val="2"/>
                      <w:w w:val="82"/>
                      <w:sz w:val="13"/>
                    </w:rPr>
                    <w:t>e</w:t>
                  </w:r>
                  <w:r>
                    <w:rPr>
                      <w:spacing w:val="-3"/>
                      <w:w w:val="82"/>
                      <w:sz w:val="13"/>
                    </w:rPr>
                    <w:t>-</w:t>
                  </w:r>
                  <w:r>
                    <w:rPr>
                      <w:spacing w:val="4"/>
                      <w:w w:val="82"/>
                      <w:sz w:val="13"/>
                    </w:rPr>
                    <w:t>97 </w:t>
                  </w:r>
                  <w:r>
                    <w:rPr>
                      <w:spacing w:val="1"/>
                      <w:w w:val="82"/>
                      <w:sz w:val="13"/>
                    </w:rPr>
                    <w:t>e</w:t>
                  </w:r>
                  <w:r>
                    <w:rPr>
                      <w:spacing w:val="4"/>
                      <w:w w:val="82"/>
                      <w:sz w:val="13"/>
                    </w:rPr>
                    <w:t>n</w:t>
                  </w:r>
                  <w:r>
                    <w:rPr>
                      <w:spacing w:val="1"/>
                      <w:w w:val="82"/>
                      <w:sz w:val="13"/>
                    </w:rPr>
                    <w:t>e</w:t>
                  </w:r>
                  <w:r>
                    <w:rPr>
                      <w:spacing w:val="-3"/>
                      <w:w w:val="82"/>
                      <w:sz w:val="13"/>
                    </w:rPr>
                    <w:t>-</w:t>
                  </w:r>
                  <w:r>
                    <w:rPr>
                      <w:spacing w:val="4"/>
                      <w:w w:val="82"/>
                      <w:sz w:val="13"/>
                    </w:rPr>
                    <w:t>98 </w:t>
                  </w:r>
                  <w:r>
                    <w:rPr>
                      <w:spacing w:val="1"/>
                      <w:w w:val="82"/>
                      <w:sz w:val="13"/>
                    </w:rPr>
                    <w:t>e</w:t>
                  </w:r>
                  <w:r>
                    <w:rPr>
                      <w:spacing w:val="4"/>
                      <w:w w:val="82"/>
                      <w:sz w:val="13"/>
                    </w:rPr>
                    <w:t>n</w:t>
                  </w:r>
                  <w:r>
                    <w:rPr>
                      <w:spacing w:val="1"/>
                      <w:w w:val="82"/>
                      <w:sz w:val="13"/>
                    </w:rPr>
                    <w:t>e</w:t>
                  </w:r>
                  <w:r>
                    <w:rPr>
                      <w:spacing w:val="-3"/>
                      <w:w w:val="82"/>
                      <w:sz w:val="13"/>
                    </w:rPr>
                    <w:t>-</w:t>
                  </w:r>
                  <w:r>
                    <w:rPr>
                      <w:spacing w:val="4"/>
                      <w:w w:val="82"/>
                      <w:sz w:val="13"/>
                    </w:rPr>
                    <w:t>99 </w:t>
                  </w:r>
                  <w:r>
                    <w:rPr>
                      <w:spacing w:val="1"/>
                      <w:w w:val="82"/>
                      <w:sz w:val="13"/>
                    </w:rPr>
                    <w:t>e</w:t>
                  </w:r>
                  <w:r>
                    <w:rPr>
                      <w:spacing w:val="4"/>
                      <w:w w:val="82"/>
                      <w:sz w:val="13"/>
                    </w:rPr>
                    <w:t>n</w:t>
                  </w:r>
                  <w:r>
                    <w:rPr>
                      <w:spacing w:val="1"/>
                      <w:w w:val="82"/>
                      <w:sz w:val="13"/>
                    </w:rPr>
                    <w:t>e</w:t>
                  </w:r>
                  <w:r>
                    <w:rPr>
                      <w:spacing w:val="-3"/>
                      <w:w w:val="82"/>
                      <w:sz w:val="13"/>
                    </w:rPr>
                    <w:t>-</w:t>
                  </w:r>
                  <w:r>
                    <w:rPr>
                      <w:spacing w:val="4"/>
                      <w:w w:val="82"/>
                      <w:sz w:val="13"/>
                    </w:rPr>
                    <w:t>00 </w:t>
                  </w:r>
                  <w:r>
                    <w:rPr>
                      <w:spacing w:val="2"/>
                      <w:w w:val="82"/>
                      <w:sz w:val="13"/>
                    </w:rPr>
                    <w:t>e</w:t>
                  </w:r>
                  <w:r>
                    <w:rPr>
                      <w:spacing w:val="4"/>
                      <w:w w:val="82"/>
                      <w:sz w:val="13"/>
                    </w:rPr>
                    <w:t>n</w:t>
                  </w:r>
                  <w:r>
                    <w:rPr>
                      <w:spacing w:val="2"/>
                      <w:w w:val="82"/>
                      <w:sz w:val="13"/>
                    </w:rPr>
                    <w:t>e</w:t>
                  </w:r>
                  <w:r>
                    <w:rPr>
                      <w:spacing w:val="-3"/>
                      <w:w w:val="82"/>
                      <w:sz w:val="13"/>
                    </w:rPr>
                    <w:t>-</w:t>
                  </w:r>
                  <w:r>
                    <w:rPr>
                      <w:spacing w:val="4"/>
                      <w:w w:val="82"/>
                      <w:sz w:val="13"/>
                    </w:rPr>
                    <w:t>01 </w:t>
                  </w:r>
                  <w:r>
                    <w:rPr>
                      <w:spacing w:val="1"/>
                      <w:w w:val="82"/>
                      <w:sz w:val="13"/>
                    </w:rPr>
                    <w:t>e</w:t>
                  </w:r>
                  <w:r>
                    <w:rPr>
                      <w:spacing w:val="4"/>
                      <w:w w:val="82"/>
                      <w:sz w:val="13"/>
                    </w:rPr>
                    <w:t>n</w:t>
                  </w:r>
                  <w:r>
                    <w:rPr>
                      <w:spacing w:val="1"/>
                      <w:w w:val="82"/>
                      <w:sz w:val="13"/>
                    </w:rPr>
                    <w:t>e</w:t>
                  </w:r>
                  <w:r>
                    <w:rPr>
                      <w:spacing w:val="-3"/>
                      <w:w w:val="82"/>
                      <w:sz w:val="13"/>
                    </w:rPr>
                    <w:t>-</w:t>
                  </w:r>
                  <w:r>
                    <w:rPr>
                      <w:spacing w:val="4"/>
                      <w:w w:val="82"/>
                      <w:sz w:val="13"/>
                    </w:rPr>
                    <w:t>02 </w:t>
                  </w:r>
                  <w:r>
                    <w:rPr>
                      <w:spacing w:val="1"/>
                      <w:w w:val="82"/>
                      <w:sz w:val="13"/>
                    </w:rPr>
                    <w:t>e</w:t>
                  </w:r>
                  <w:r>
                    <w:rPr>
                      <w:spacing w:val="4"/>
                      <w:w w:val="82"/>
                      <w:sz w:val="13"/>
                    </w:rPr>
                    <w:t>n</w:t>
                  </w:r>
                  <w:r>
                    <w:rPr>
                      <w:spacing w:val="1"/>
                      <w:w w:val="82"/>
                      <w:sz w:val="13"/>
                    </w:rPr>
                    <w:t>e</w:t>
                  </w:r>
                  <w:r>
                    <w:rPr>
                      <w:spacing w:val="-3"/>
                      <w:w w:val="82"/>
                      <w:sz w:val="13"/>
                    </w:rPr>
                    <w:t>-</w:t>
                  </w:r>
                  <w:r>
                    <w:rPr>
                      <w:spacing w:val="4"/>
                      <w:w w:val="82"/>
                      <w:sz w:val="13"/>
                    </w:rPr>
                    <w:t>03 </w:t>
                  </w:r>
                  <w:r>
                    <w:rPr>
                      <w:spacing w:val="1"/>
                      <w:w w:val="82"/>
                      <w:sz w:val="13"/>
                    </w:rPr>
                    <w:t>e</w:t>
                  </w:r>
                  <w:r>
                    <w:rPr>
                      <w:spacing w:val="4"/>
                      <w:w w:val="82"/>
                      <w:sz w:val="13"/>
                    </w:rPr>
                    <w:t>n</w:t>
                  </w:r>
                  <w:r>
                    <w:rPr>
                      <w:spacing w:val="1"/>
                      <w:w w:val="82"/>
                      <w:sz w:val="13"/>
                    </w:rPr>
                    <w:t>e</w:t>
                  </w:r>
                  <w:r>
                    <w:rPr>
                      <w:spacing w:val="-3"/>
                      <w:w w:val="82"/>
                      <w:sz w:val="13"/>
                    </w:rPr>
                    <w:t>-</w:t>
                  </w:r>
                  <w:r>
                    <w:rPr>
                      <w:spacing w:val="4"/>
                      <w:w w:val="82"/>
                      <w:sz w:val="13"/>
                    </w:rPr>
                    <w:t>04 </w:t>
                  </w:r>
                  <w:r>
                    <w:rPr>
                      <w:spacing w:val="2"/>
                      <w:w w:val="82"/>
                      <w:sz w:val="13"/>
                    </w:rPr>
                    <w:t>e</w:t>
                  </w:r>
                  <w:r>
                    <w:rPr>
                      <w:spacing w:val="4"/>
                      <w:w w:val="82"/>
                      <w:sz w:val="13"/>
                    </w:rPr>
                    <w:t>n</w:t>
                  </w:r>
                  <w:r>
                    <w:rPr>
                      <w:spacing w:val="2"/>
                      <w:w w:val="82"/>
                      <w:sz w:val="13"/>
                    </w:rPr>
                    <w:t>e</w:t>
                  </w:r>
                  <w:r>
                    <w:rPr>
                      <w:spacing w:val="-3"/>
                      <w:w w:val="82"/>
                      <w:sz w:val="13"/>
                    </w:rPr>
                    <w:t>-</w:t>
                  </w:r>
                  <w:r>
                    <w:rPr>
                      <w:spacing w:val="4"/>
                      <w:w w:val="82"/>
                      <w:sz w:val="13"/>
                    </w:rPr>
                    <w:t>05 </w:t>
                  </w:r>
                  <w:r>
                    <w:rPr>
                      <w:spacing w:val="1"/>
                      <w:w w:val="82"/>
                      <w:sz w:val="13"/>
                    </w:rPr>
                    <w:t>e</w:t>
                  </w:r>
                  <w:r>
                    <w:rPr>
                      <w:spacing w:val="4"/>
                      <w:w w:val="82"/>
                      <w:sz w:val="13"/>
                    </w:rPr>
                    <w:t>n</w:t>
                  </w:r>
                  <w:r>
                    <w:rPr>
                      <w:spacing w:val="1"/>
                      <w:w w:val="82"/>
                      <w:sz w:val="13"/>
                    </w:rPr>
                    <w:t>e</w:t>
                  </w:r>
                  <w:r>
                    <w:rPr>
                      <w:spacing w:val="-3"/>
                      <w:w w:val="82"/>
                      <w:sz w:val="13"/>
                    </w:rPr>
                    <w:t>-</w:t>
                  </w:r>
                  <w:r>
                    <w:rPr>
                      <w:spacing w:val="4"/>
                      <w:w w:val="82"/>
                      <w:sz w:val="13"/>
                    </w:rPr>
                    <w:t>06 </w:t>
                  </w:r>
                  <w:r>
                    <w:rPr>
                      <w:spacing w:val="1"/>
                      <w:w w:val="82"/>
                      <w:sz w:val="13"/>
                    </w:rPr>
                    <w:t>e</w:t>
                  </w:r>
                  <w:r>
                    <w:rPr>
                      <w:spacing w:val="4"/>
                      <w:w w:val="82"/>
                      <w:sz w:val="13"/>
                    </w:rPr>
                    <w:t>n</w:t>
                  </w:r>
                  <w:r>
                    <w:rPr>
                      <w:spacing w:val="1"/>
                      <w:w w:val="82"/>
                      <w:sz w:val="13"/>
                    </w:rPr>
                    <w:t>e</w:t>
                  </w:r>
                  <w:r>
                    <w:rPr>
                      <w:spacing w:val="-3"/>
                      <w:w w:val="82"/>
                      <w:sz w:val="13"/>
                    </w:rPr>
                    <w:t>-</w:t>
                  </w:r>
                  <w:r>
                    <w:rPr>
                      <w:spacing w:val="4"/>
                      <w:w w:val="82"/>
                      <w:sz w:val="13"/>
                    </w:rPr>
                    <w:t>07 </w:t>
                  </w:r>
                  <w:r>
                    <w:rPr>
                      <w:spacing w:val="1"/>
                      <w:w w:val="82"/>
                      <w:sz w:val="13"/>
                    </w:rPr>
                    <w:t>e</w:t>
                  </w:r>
                  <w:r>
                    <w:rPr>
                      <w:spacing w:val="4"/>
                      <w:w w:val="82"/>
                      <w:sz w:val="13"/>
                    </w:rPr>
                    <w:t>n</w:t>
                  </w:r>
                  <w:r>
                    <w:rPr>
                      <w:spacing w:val="1"/>
                      <w:w w:val="82"/>
                      <w:sz w:val="13"/>
                    </w:rPr>
                    <w:t>e</w:t>
                  </w:r>
                  <w:r>
                    <w:rPr>
                      <w:spacing w:val="-3"/>
                      <w:w w:val="82"/>
                      <w:sz w:val="13"/>
                    </w:rPr>
                    <w:t>-</w:t>
                  </w:r>
                  <w:r>
                    <w:rPr>
                      <w:spacing w:val="4"/>
                      <w:w w:val="82"/>
                      <w:sz w:val="13"/>
                    </w:rPr>
                    <w:t>08 </w:t>
                  </w:r>
                  <w:r>
                    <w:rPr>
                      <w:spacing w:val="1"/>
                      <w:w w:val="82"/>
                      <w:sz w:val="13"/>
                    </w:rPr>
                    <w:t>e</w:t>
                  </w:r>
                  <w:r>
                    <w:rPr>
                      <w:spacing w:val="4"/>
                      <w:w w:val="82"/>
                      <w:sz w:val="13"/>
                    </w:rPr>
                    <w:t>n</w:t>
                  </w:r>
                  <w:r>
                    <w:rPr>
                      <w:spacing w:val="1"/>
                      <w:w w:val="82"/>
                      <w:sz w:val="13"/>
                    </w:rPr>
                    <w:t>e</w:t>
                  </w:r>
                  <w:r>
                    <w:rPr>
                      <w:spacing w:val="-3"/>
                      <w:w w:val="82"/>
                      <w:sz w:val="13"/>
                    </w:rPr>
                    <w:t>-</w:t>
                  </w:r>
                  <w:r>
                    <w:rPr>
                      <w:spacing w:val="4"/>
                      <w:w w:val="82"/>
                      <w:sz w:val="13"/>
                    </w:rPr>
                    <w:t>09 </w:t>
                  </w:r>
                  <w:r>
                    <w:rPr>
                      <w:spacing w:val="1"/>
                      <w:w w:val="82"/>
                      <w:sz w:val="13"/>
                    </w:rPr>
                    <w:t>e</w:t>
                  </w:r>
                  <w:r>
                    <w:rPr>
                      <w:spacing w:val="4"/>
                      <w:w w:val="82"/>
                      <w:sz w:val="13"/>
                    </w:rPr>
                    <w:t>n</w:t>
                  </w:r>
                  <w:r>
                    <w:rPr>
                      <w:spacing w:val="1"/>
                      <w:w w:val="82"/>
                      <w:sz w:val="13"/>
                    </w:rPr>
                    <w:t>e</w:t>
                  </w:r>
                  <w:r>
                    <w:rPr>
                      <w:spacing w:val="-3"/>
                      <w:w w:val="82"/>
                      <w:sz w:val="13"/>
                    </w:rPr>
                    <w:t>-</w:t>
                  </w:r>
                  <w:r>
                    <w:rPr>
                      <w:spacing w:val="4"/>
                      <w:w w:val="82"/>
                      <w:sz w:val="13"/>
                    </w:rPr>
                    <w:t>10 </w:t>
                  </w:r>
                  <w:r>
                    <w:rPr>
                      <w:spacing w:val="1"/>
                      <w:w w:val="82"/>
                      <w:sz w:val="13"/>
                    </w:rPr>
                    <w:t>e</w:t>
                  </w:r>
                  <w:r>
                    <w:rPr>
                      <w:spacing w:val="4"/>
                      <w:w w:val="82"/>
                      <w:sz w:val="13"/>
                    </w:rPr>
                    <w:t>n</w:t>
                  </w:r>
                  <w:r>
                    <w:rPr>
                      <w:spacing w:val="1"/>
                      <w:w w:val="82"/>
                      <w:sz w:val="13"/>
                    </w:rPr>
                    <w:t>e</w:t>
                  </w:r>
                  <w:r>
                    <w:rPr>
                      <w:spacing w:val="-3"/>
                      <w:w w:val="82"/>
                      <w:sz w:val="13"/>
                    </w:rPr>
                    <w:t>-</w:t>
                  </w:r>
                  <w:r>
                    <w:rPr>
                      <w:spacing w:val="4"/>
                      <w:w w:val="82"/>
                      <w:sz w:val="13"/>
                    </w:rPr>
                    <w:t>11</w:t>
                  </w:r>
                </w:p>
              </w:txbxContent>
            </v:textbox>
            <w10:wrap type="none"/>
          </v:shape>
        </w:pict>
      </w:r>
      <w:r>
        <w:rPr>
          <w:w w:val="122"/>
          <w:sz w:val="13"/>
        </w:rPr>
        <w:t>0</w:t>
      </w:r>
    </w:p>
    <w:p>
      <w:pPr>
        <w:pStyle w:val="BodyText"/>
        <w:spacing w:before="6"/>
        <w:rPr>
          <w:sz w:val="26"/>
        </w:rPr>
      </w:pPr>
    </w:p>
    <w:p>
      <w:pPr>
        <w:tabs>
          <w:tab w:pos="5061" w:val="left" w:leader="none"/>
          <w:tab w:pos="5480" w:val="left" w:leader="none"/>
        </w:tabs>
        <w:spacing w:before="86"/>
        <w:ind w:left="3472" w:right="127" w:firstLine="0"/>
        <w:jc w:val="left"/>
        <w:rPr>
          <w:sz w:val="15"/>
        </w:rPr>
      </w:pPr>
      <w:r>
        <w:rPr/>
        <w:pict>
          <v:line style="position:absolute;mso-position-horizontal-relative:page;mso-position-vertical-relative:paragraph;z-index:6712" from="235.173584pt,8.276825pt" to="251.490088pt,8.276825pt" stroked="true" strokeweight="1.231954pt" strokecolor="#000000">
            <w10:wrap type="none"/>
          </v:line>
        </w:pict>
      </w:r>
      <w:r>
        <w:rPr/>
        <w:pict>
          <v:line style="position:absolute;mso-position-horizontal-relative:page;mso-position-vertical-relative:paragraph;z-index:-565384" from="333.075928pt,8.276825pt" to="349.886872pt,8.276825pt" stroked="true" strokeweight="1.231954pt" strokecolor="#000000">
            <v:stroke dashstyle="longDash"/>
            <w10:wrap type="none"/>
          </v:line>
        </w:pict>
      </w:r>
      <w:r>
        <w:rPr>
          <w:spacing w:val="2"/>
          <w:w w:val="125"/>
          <w:sz w:val="15"/>
        </w:rPr>
        <w:t>Export.</w:t>
      </w:r>
      <w:r>
        <w:rPr>
          <w:spacing w:val="-26"/>
          <w:w w:val="125"/>
          <w:sz w:val="15"/>
        </w:rPr>
        <w:t> </w:t>
      </w:r>
      <w:r>
        <w:rPr>
          <w:w w:val="125"/>
          <w:sz w:val="15"/>
        </w:rPr>
        <w:t>Argentina</w:t>
        <w:tab/>
        <w:tab/>
      </w:r>
      <w:r>
        <w:rPr>
          <w:spacing w:val="2"/>
          <w:w w:val="125"/>
          <w:sz w:val="15"/>
        </w:rPr>
        <w:t>Export. </w:t>
      </w:r>
      <w:r>
        <w:rPr>
          <w:w w:val="125"/>
          <w:sz w:val="15"/>
        </w:rPr>
        <w:t>Al</w:t>
      </w:r>
      <w:r>
        <w:rPr>
          <w:spacing w:val="-21"/>
          <w:w w:val="125"/>
          <w:sz w:val="15"/>
        </w:rPr>
        <w:t> </w:t>
      </w:r>
      <w:r>
        <w:rPr>
          <w:w w:val="125"/>
          <w:sz w:val="15"/>
        </w:rPr>
        <w:t>Brasil</w:t>
      </w:r>
    </w:p>
    <w:p>
      <w:pPr>
        <w:spacing w:before="95"/>
        <w:ind w:left="2809" w:right="127" w:firstLine="0"/>
        <w:jc w:val="left"/>
        <w:rPr>
          <w:sz w:val="20"/>
        </w:rPr>
      </w:pPr>
      <w:r>
        <w:rPr>
          <w:sz w:val="20"/>
        </w:rPr>
        <w:t>Fuente: Yacimientos Petrolíferos Fiscales Bolivianos (2012)</w:t>
      </w:r>
    </w:p>
    <w:p>
      <w:pPr>
        <w:spacing w:after="0"/>
        <w:jc w:val="left"/>
        <w:rPr>
          <w:sz w:val="20"/>
        </w:rPr>
        <w:sectPr>
          <w:pgSz w:w="12250" w:h="15850"/>
          <w:pgMar w:header="0" w:footer="1037" w:top="1360" w:bottom="1220" w:left="1600" w:right="1580"/>
        </w:sectPr>
      </w:pPr>
    </w:p>
    <w:p>
      <w:pPr>
        <w:pStyle w:val="BodyText"/>
        <w:spacing w:line="360" w:lineRule="auto" w:before="50"/>
        <w:ind w:left="102" w:right="117" w:firstLine="707"/>
        <w:jc w:val="both"/>
      </w:pPr>
      <w:r>
        <w:rPr/>
        <w:t>En el caso del mercado brasileño, existe un contrato bilateral de venta de gas natural hacia este país por 20 años entre las empresas de YPFB y Petrobras, por la cual, Bolivia  está conminada a proveer 1.1 billones de pies cúbicos (BPC) por día, garantizándose un flujo promedio mínimo de 85 BPC/ día. Como se indicó al inicio del documento, los  precios son fijados mediante fórmulas con ajustes trimestrales. Por otra parte, Bolivia comenzó a exportar gas natural a Argentina en 1972, con una adenda de contrato entre YPFB y Energía Argentina Sociedad Anónima (ENARSA) con una provisión de 272 millones de pies cúbicos (MPC) diarios. Sin embargo, por restricciones de capacidad productiva, en 2011 Bolivia realizó una enmienda al contrato que estipulaba una provisión de 263 MPC/día [EIA,</w:t>
      </w:r>
      <w:r>
        <w:rPr>
          <w:spacing w:val="-2"/>
        </w:rPr>
        <w:t> </w:t>
      </w:r>
      <w:r>
        <w:rPr/>
        <w:t>2012].</w:t>
      </w:r>
    </w:p>
    <w:p>
      <w:pPr>
        <w:pStyle w:val="BodyText"/>
        <w:spacing w:before="7"/>
        <w:rPr>
          <w:sz w:val="21"/>
        </w:rPr>
      </w:pPr>
    </w:p>
    <w:p>
      <w:pPr>
        <w:pStyle w:val="Heading4"/>
        <w:numPr>
          <w:ilvl w:val="2"/>
          <w:numId w:val="10"/>
        </w:numPr>
        <w:tabs>
          <w:tab w:pos="963" w:val="left" w:leader="none"/>
          <w:tab w:pos="964" w:val="left" w:leader="none"/>
        </w:tabs>
        <w:spacing w:line="240" w:lineRule="auto" w:before="0" w:after="0"/>
        <w:ind w:left="963" w:right="0" w:hanging="720"/>
        <w:jc w:val="left"/>
      </w:pPr>
      <w:bookmarkStart w:name="_bookmark54" w:id="81"/>
      <w:bookmarkEnd w:id="81"/>
      <w:r>
        <w:rPr>
          <w:b w:val="0"/>
        </w:rPr>
      </w:r>
      <w:bookmarkStart w:name="_bookmark54" w:id="82"/>
      <w:bookmarkEnd w:id="82"/>
      <w:r>
        <w:rPr/>
        <w:t>R</w:t>
      </w:r>
      <w:r>
        <w:rPr/>
        <w:t>eservas,  producción y  consumo de gas natural en</w:t>
      </w:r>
      <w:r>
        <w:rPr>
          <w:spacing w:val="-11"/>
        </w:rPr>
        <w:t> </w:t>
      </w:r>
      <w:r>
        <w:rPr/>
        <w:t>Bolivia</w:t>
      </w:r>
    </w:p>
    <w:p>
      <w:pPr>
        <w:pStyle w:val="BodyText"/>
        <w:rPr>
          <w:b/>
        </w:rPr>
      </w:pPr>
    </w:p>
    <w:p>
      <w:pPr>
        <w:pStyle w:val="BodyText"/>
        <w:spacing w:line="360" w:lineRule="auto" w:before="194"/>
        <w:ind w:left="102" w:right="115" w:firstLine="707"/>
        <w:jc w:val="both"/>
      </w:pPr>
      <w:r>
        <w:rPr/>
        <w:t>El descubrimiento de reservas gasíferas importantes en Bolivia fue a partir del año 2000. Así, mientras que a finales de 1999, existían 8.58 trillones de pies cúbicos (TCF, en inglés) de reservas certificadas de gas en Bolivia, para finales del año 2000, el nivel de reservas alcanzó los 32.2 TCF, y luego para las gestiones posteriores: 46.83 TCF, a finales del 2001; y las reservas gasíferas llegaron a los 52.59 TCF, a finales de la gestión 2002 (Garrón, 2003) (</w:t>
      </w:r>
      <w:r>
        <w:rPr>
          <w:i/>
        </w:rPr>
        <w:t>véase figura 2.17</w:t>
      </w:r>
      <w:r>
        <w:rPr/>
        <w:t>).</w:t>
      </w:r>
    </w:p>
    <w:p>
      <w:pPr>
        <w:pStyle w:val="BodyText"/>
      </w:pPr>
    </w:p>
    <w:p>
      <w:pPr>
        <w:pStyle w:val="BodyText"/>
        <w:spacing w:line="360" w:lineRule="auto" w:before="143" w:after="11"/>
        <w:ind w:left="3189" w:right="1528" w:hanging="1023"/>
      </w:pPr>
      <w:bookmarkStart w:name="_bookmark55" w:id="83"/>
      <w:bookmarkEnd w:id="83"/>
      <w:r>
        <w:rPr/>
      </w:r>
      <w:r>
        <w:rPr/>
        <w:t>Figura 2. 17: Reservas de Gas Natural de Bolivia (En trillones de pies cúbicos, 1996 - 2005)</w:t>
      </w:r>
    </w:p>
    <w:p>
      <w:pPr>
        <w:pStyle w:val="BodyText"/>
        <w:ind w:left="2542"/>
        <w:rPr>
          <w:sz w:val="20"/>
        </w:rPr>
      </w:pPr>
      <w:r>
        <w:rPr>
          <w:sz w:val="20"/>
        </w:rPr>
        <w:drawing>
          <wp:inline distT="0" distB="0" distL="0" distR="0">
            <wp:extent cx="3460129" cy="1999868"/>
            <wp:effectExtent l="0" t="0" r="0" b="0"/>
            <wp:docPr id="21" name="image126.jpeg" descr=""/>
            <wp:cNvGraphicFramePr>
              <a:graphicFrameLocks noChangeAspect="1"/>
            </wp:cNvGraphicFramePr>
            <a:graphic>
              <a:graphicData uri="http://schemas.openxmlformats.org/drawingml/2006/picture">
                <pic:pic>
                  <pic:nvPicPr>
                    <pic:cNvPr id="22" name="image126.jpeg"/>
                    <pic:cNvPicPr/>
                  </pic:nvPicPr>
                  <pic:blipFill>
                    <a:blip r:embed="rId140" cstate="print"/>
                    <a:stretch>
                      <a:fillRect/>
                    </a:stretch>
                  </pic:blipFill>
                  <pic:spPr>
                    <a:xfrm>
                      <a:off x="0" y="0"/>
                      <a:ext cx="3460129" cy="1999868"/>
                    </a:xfrm>
                    <a:prstGeom prst="rect">
                      <a:avLst/>
                    </a:prstGeom>
                  </pic:spPr>
                </pic:pic>
              </a:graphicData>
            </a:graphic>
          </wp:inline>
        </w:drawing>
      </w:r>
      <w:r>
        <w:rPr>
          <w:sz w:val="20"/>
        </w:rPr>
      </w:r>
    </w:p>
    <w:p>
      <w:pPr>
        <w:spacing w:before="107"/>
        <w:ind w:left="1518" w:right="127" w:firstLine="0"/>
        <w:jc w:val="left"/>
        <w:rPr>
          <w:sz w:val="20"/>
        </w:rPr>
      </w:pPr>
      <w:r>
        <w:rPr>
          <w:sz w:val="20"/>
        </w:rPr>
        <w:t>Fuente: Yacimientos Petrolíferos Fiscales Bolivianos (2012)</w:t>
      </w:r>
    </w:p>
    <w:p>
      <w:pPr>
        <w:spacing w:after="0"/>
        <w:jc w:val="left"/>
        <w:rPr>
          <w:sz w:val="20"/>
        </w:rPr>
        <w:sectPr>
          <w:pgSz w:w="12250" w:h="15850"/>
          <w:pgMar w:header="0" w:footer="1037" w:top="1360" w:bottom="1220" w:left="1600" w:right="1580"/>
        </w:sectPr>
      </w:pPr>
    </w:p>
    <w:p>
      <w:pPr>
        <w:pStyle w:val="BodyText"/>
        <w:spacing w:line="360" w:lineRule="auto" w:before="50"/>
        <w:ind w:left="102" w:right="118" w:firstLine="707"/>
        <w:jc w:val="both"/>
      </w:pPr>
      <w:r>
        <w:rPr>
          <w:w w:val="233"/>
        </w:rPr>
        <w:t> </w:t>
      </w:r>
      <w:r>
        <w:rPr>
          <w:spacing w:val="-2"/>
          <w:w w:val="233"/>
        </w:rPr>
        <w:t> </w:t>
      </w:r>
      <w:r>
        <w:rPr>
          <w:w w:val="177"/>
        </w:rPr>
        <w:t>   </w:t>
      </w:r>
      <w:r>
        <w:rPr>
          <w:spacing w:val="20"/>
        </w:rPr>
        <w:t> </w:t>
      </w:r>
      <w:r>
        <w:rPr>
          <w:w w:val="166"/>
        </w:rPr>
        <w:t> </w:t>
      </w:r>
      <w:r>
        <w:rPr>
          <w:spacing w:val="-1"/>
          <w:w w:val="166"/>
        </w:rPr>
        <w:t> </w:t>
      </w:r>
      <w:r>
        <w:rPr>
          <w:w w:val="158"/>
        </w:rPr>
        <w:t>        </w:t>
      </w:r>
      <w:r>
        <w:rPr>
          <w:spacing w:val="21"/>
        </w:rPr>
        <w:t> </w:t>
      </w:r>
      <w:r>
        <w:rPr>
          <w:w w:val="188"/>
        </w:rPr>
        <w:t>  </w:t>
      </w:r>
      <w:r>
        <w:rPr>
          <w:spacing w:val="20"/>
        </w:rPr>
        <w:t> </w:t>
      </w:r>
      <w:r>
        <w:rPr>
          <w:w w:val="155"/>
        </w:rPr>
        <w:t>   </w:t>
      </w:r>
      <w:r>
        <w:rPr>
          <w:spacing w:val="19"/>
        </w:rPr>
        <w:t> </w:t>
      </w:r>
      <w:r>
        <w:rPr/>
        <w:t>9                                                                                  ‘ estable alrededor de los 60 millones de pies cúbicos por año. Sin embargo, a partir del  2003, en Bolivia se promovió el consumo de gas natural especialmente en el sector automotriz, lo cual derivó en un cambio del consumo medio bordeando los 100 MPC (hasta finales de</w:t>
      </w:r>
      <w:r>
        <w:rPr>
          <w:spacing w:val="-6"/>
        </w:rPr>
        <w:t> </w:t>
      </w:r>
      <w:r>
        <w:rPr/>
        <w:t>2010).</w:t>
      </w:r>
    </w:p>
    <w:p>
      <w:pPr>
        <w:pStyle w:val="BodyText"/>
        <w:spacing w:line="360" w:lineRule="auto" w:before="4"/>
        <w:ind w:left="102" w:right="115" w:firstLine="707"/>
        <w:jc w:val="both"/>
      </w:pPr>
      <w:r>
        <w:rPr/>
        <w:t>Es        para        considerar        que        durante                            9        ‘  exportador neto de gas natural. El diferencial entre la producción y el consumo interno fue canalizado hacia el mercado externo. La </w:t>
      </w:r>
      <w:r>
        <w:rPr>
          <w:i/>
        </w:rPr>
        <w:t>figura 2.18 </w:t>
      </w:r>
      <w:r>
        <w:rPr/>
        <w:t>permite apreciar la evolución del comportamiento del consumo y la producción de gas natural en</w:t>
      </w:r>
      <w:r>
        <w:rPr>
          <w:spacing w:val="-11"/>
        </w:rPr>
        <w:t> </w:t>
      </w:r>
      <w:r>
        <w:rPr/>
        <w:t>Bolivia.</w:t>
      </w:r>
    </w:p>
    <w:p>
      <w:pPr>
        <w:pStyle w:val="BodyText"/>
      </w:pPr>
    </w:p>
    <w:p>
      <w:pPr>
        <w:pStyle w:val="BodyText"/>
        <w:spacing w:before="143"/>
        <w:ind w:right="20"/>
        <w:jc w:val="center"/>
      </w:pPr>
      <w:bookmarkStart w:name="_bookmark56" w:id="84"/>
      <w:bookmarkEnd w:id="84"/>
      <w:r>
        <w:rPr/>
      </w:r>
      <w:r>
        <w:rPr/>
        <w:t>Figura 2. 18:   Nivel de Consumo interno y Producción de gas natural  en Bolivia</w:t>
      </w:r>
    </w:p>
    <w:p>
      <w:pPr>
        <w:pStyle w:val="BodyText"/>
        <w:spacing w:before="137"/>
        <w:ind w:left="2958" w:right="127"/>
      </w:pPr>
      <w:r>
        <w:rPr/>
        <w:t>(En billones de pies cúbicos- bpc, 1990 - 2010)</w:t>
      </w:r>
    </w:p>
    <w:p>
      <w:pPr>
        <w:pStyle w:val="BodyText"/>
        <w:spacing w:before="1"/>
        <w:rPr>
          <w:sz w:val="9"/>
        </w:rPr>
      </w:pPr>
      <w:r>
        <w:rPr/>
        <w:drawing>
          <wp:anchor distT="0" distB="0" distL="0" distR="0" allowOverlap="1" layoutInCell="1" locked="0" behindDoc="0" simplePos="0" relativeHeight="6784">
            <wp:simplePos x="0" y="0"/>
            <wp:positionH relativeFrom="page">
              <wp:posOffset>1998345</wp:posOffset>
            </wp:positionH>
            <wp:positionV relativeFrom="paragraph">
              <wp:posOffset>91367</wp:posOffset>
            </wp:positionV>
            <wp:extent cx="3586429" cy="1970817"/>
            <wp:effectExtent l="0" t="0" r="0" b="0"/>
            <wp:wrapTopAndBottom/>
            <wp:docPr id="23" name="image127.jpeg" descr=""/>
            <wp:cNvGraphicFramePr>
              <a:graphicFrameLocks noChangeAspect="1"/>
            </wp:cNvGraphicFramePr>
            <a:graphic>
              <a:graphicData uri="http://schemas.openxmlformats.org/drawingml/2006/picture">
                <pic:pic>
                  <pic:nvPicPr>
                    <pic:cNvPr id="24" name="image127.jpeg"/>
                    <pic:cNvPicPr/>
                  </pic:nvPicPr>
                  <pic:blipFill>
                    <a:blip r:embed="rId141" cstate="print"/>
                    <a:stretch>
                      <a:fillRect/>
                    </a:stretch>
                  </pic:blipFill>
                  <pic:spPr>
                    <a:xfrm>
                      <a:off x="0" y="0"/>
                      <a:ext cx="3586429" cy="1970817"/>
                    </a:xfrm>
                    <a:prstGeom prst="rect">
                      <a:avLst/>
                    </a:prstGeom>
                  </pic:spPr>
                </pic:pic>
              </a:graphicData>
            </a:graphic>
          </wp:anchor>
        </w:drawing>
      </w:r>
    </w:p>
    <w:p>
      <w:pPr>
        <w:spacing w:before="97"/>
        <w:ind w:left="0" w:right="166" w:firstLine="0"/>
        <w:jc w:val="center"/>
        <w:rPr>
          <w:sz w:val="20"/>
        </w:rPr>
      </w:pPr>
      <w:r>
        <w:rPr>
          <w:sz w:val="20"/>
        </w:rPr>
        <w:t>Fuente: Yacimientos Petrolíferos Fiscales Bolivianos (2012), EIA (2012)</w:t>
      </w:r>
    </w:p>
    <w:p>
      <w:pPr>
        <w:pStyle w:val="BodyText"/>
        <w:rPr>
          <w:sz w:val="20"/>
        </w:rPr>
      </w:pPr>
    </w:p>
    <w:p>
      <w:pPr>
        <w:pStyle w:val="BodyText"/>
        <w:spacing w:before="11"/>
        <w:rPr>
          <w:sz w:val="19"/>
        </w:rPr>
      </w:pPr>
    </w:p>
    <w:p>
      <w:pPr>
        <w:pStyle w:val="BodyText"/>
        <w:spacing w:line="360" w:lineRule="auto"/>
        <w:ind w:left="102" w:right="118" w:firstLine="707"/>
        <w:jc w:val="both"/>
      </w:pPr>
      <w:r>
        <w:rPr>
          <w:w w:val="233"/>
        </w:rPr>
        <w:t> </w:t>
      </w:r>
      <w:r>
        <w:rPr>
          <w:spacing w:val="-2"/>
          <w:w w:val="233"/>
        </w:rPr>
        <w:t> </w:t>
      </w:r>
      <w:r>
        <w:rPr>
          <w:w w:val="177"/>
        </w:rPr>
        <w:t>   </w:t>
      </w:r>
      <w:r>
        <w:rPr>
          <w:spacing w:val="1"/>
        </w:rPr>
        <w:t> </w:t>
      </w:r>
      <w:r>
        <w:rPr>
          <w:w w:val="155"/>
        </w:rPr>
        <w:t>   </w:t>
      </w:r>
      <w:r>
        <w:rPr>
          <w:spacing w:val="2"/>
        </w:rPr>
        <w:t> </w:t>
      </w:r>
      <w:r>
        <w:rPr/>
        <w:t>9 ‘                                                         producción y el consumo interno fue destinado al mercado argentino (100% de las exportaciones). Después del 2000 hasta el 2010, en promedio, las exportaciones fueron destinadas al Brasil (80%) y a la Argentina (20%) según datos oficiales de YPFB. Sin embargo, la participación porcentual del  mercado brasileño ha presentado una reducción en su participación porcentual (65% de participación a finales de 2011) dado el incremento de exportaciones hacia el mercado argentino.</w:t>
      </w:r>
    </w:p>
    <w:p>
      <w:pPr>
        <w:spacing w:after="0" w:line="360" w:lineRule="auto"/>
        <w:jc w:val="both"/>
        <w:sectPr>
          <w:pgSz w:w="12250" w:h="15850"/>
          <w:pgMar w:header="0" w:footer="1037" w:top="1360" w:bottom="1220" w:left="1600" w:right="1580"/>
        </w:sectPr>
      </w:pPr>
    </w:p>
    <w:p>
      <w:pPr>
        <w:pStyle w:val="Heading4"/>
        <w:numPr>
          <w:ilvl w:val="2"/>
          <w:numId w:val="10"/>
        </w:numPr>
        <w:tabs>
          <w:tab w:pos="983" w:val="left" w:leader="none"/>
          <w:tab w:pos="984" w:val="left" w:leader="none"/>
        </w:tabs>
        <w:spacing w:line="360" w:lineRule="auto" w:before="55" w:after="0"/>
        <w:ind w:left="983" w:right="257" w:hanging="720"/>
        <w:jc w:val="left"/>
      </w:pPr>
      <w:bookmarkStart w:name="_bookmark57" w:id="85"/>
      <w:bookmarkEnd w:id="85"/>
      <w:r>
        <w:rPr>
          <w:b w:val="0"/>
        </w:rPr>
      </w:r>
      <w:bookmarkStart w:name="_bookmark57" w:id="86"/>
      <w:bookmarkEnd w:id="86"/>
      <w:r>
        <w:rPr/>
        <w:t>S</w:t>
      </w:r>
      <w:r>
        <w:rPr/>
        <w:t>endero de crecimiento para la producción de gas natural en Bolivia hacia el mediano plazo (hasta el</w:t>
      </w:r>
      <w:r>
        <w:rPr>
          <w:spacing w:val="-7"/>
        </w:rPr>
        <w:t> </w:t>
      </w:r>
      <w:r>
        <w:rPr/>
        <w:t>2016)</w:t>
      </w:r>
    </w:p>
    <w:p>
      <w:pPr>
        <w:pStyle w:val="BodyText"/>
        <w:spacing w:line="360" w:lineRule="auto" w:before="61"/>
        <w:ind w:left="122" w:right="116" w:firstLine="707"/>
        <w:jc w:val="both"/>
      </w:pPr>
      <w:r>
        <w:rPr/>
        <w:t>Al igual que la justificación sobre la proyección de los precios del gas natural, el sendero en la producción de gas natural fungirá como elemento de análisis para evaluar la trayectoria de la posición fiscal en el corto y mediano plazo. En tal sentido, para la producción de gas natural se consideró la planificación elaborada por la empresa estatal boliviana (YPFB).</w:t>
      </w:r>
    </w:p>
    <w:p>
      <w:pPr>
        <w:pStyle w:val="BodyText"/>
        <w:spacing w:line="345" w:lineRule="auto" w:before="4"/>
        <w:ind w:left="122" w:right="120" w:firstLine="707"/>
        <w:jc w:val="both"/>
      </w:pPr>
      <w:r>
        <w:rPr/>
        <w:t>La previsión para los próximos años será nuevamente un repunte en la demanda del gas natural por parte de Brasil, país con el que se ha considerado duplicar la cantidad diaria, cuyo contrato tiene una vigencia de veinte años computable desde 1999</w:t>
      </w:r>
      <w:r>
        <w:rPr>
          <w:position w:val="11"/>
          <w:sz w:val="16"/>
        </w:rPr>
        <w:t>51  </w:t>
      </w:r>
      <w:r>
        <w:rPr/>
        <w:t>(EIA, 2012).</w:t>
      </w:r>
    </w:p>
    <w:p>
      <w:pPr>
        <w:pStyle w:val="BodyText"/>
        <w:spacing w:line="360" w:lineRule="auto" w:before="5"/>
        <w:ind w:left="122" w:right="121" w:firstLine="707"/>
        <w:jc w:val="both"/>
      </w:pPr>
      <w:r>
        <w:rPr/>
        <w:t>La proyección de gas natural se realizó considerándose los supuestos de inversiones, producción y exploraciones de la empresa estatal hidrocarburífera YPFB (Bol), planificación elaborada para el período 2009 - 2026, incluyéndose el crecimiento en la cantidad demandada contractual de exportación con Brasil y Argentina. Así por ejemplo, se prevé un incremento del 100% de la cantidad diaria contractual con el mercado brasileño.</w:t>
      </w:r>
    </w:p>
    <w:p>
      <w:pPr>
        <w:pStyle w:val="BodyText"/>
        <w:spacing w:before="4"/>
        <w:ind w:left="719" w:right="115"/>
      </w:pPr>
      <w:bookmarkStart w:name="_bookmark58" w:id="87"/>
      <w:bookmarkEnd w:id="87"/>
      <w:r>
        <w:rPr/>
      </w:r>
      <w:r>
        <w:rPr/>
        <w:t>Figura 2. 19: Proyección de la producción de gas natural (en Bpc) hasta el 2016</w:t>
      </w:r>
    </w:p>
    <w:p>
      <w:pPr>
        <w:pStyle w:val="BodyText"/>
        <w:spacing w:before="1"/>
        <w:rPr>
          <w:sz w:val="9"/>
        </w:rPr>
      </w:pPr>
      <w:r>
        <w:rPr/>
        <w:drawing>
          <wp:anchor distT="0" distB="0" distL="0" distR="0" allowOverlap="1" layoutInCell="1" locked="0" behindDoc="0" simplePos="0" relativeHeight="6808">
            <wp:simplePos x="0" y="0"/>
            <wp:positionH relativeFrom="page">
              <wp:posOffset>2305685</wp:posOffset>
            </wp:positionH>
            <wp:positionV relativeFrom="paragraph">
              <wp:posOffset>91113</wp:posOffset>
            </wp:positionV>
            <wp:extent cx="3172185" cy="1838801"/>
            <wp:effectExtent l="0" t="0" r="0" b="0"/>
            <wp:wrapTopAndBottom/>
            <wp:docPr id="25" name="image128.jpeg" descr=""/>
            <wp:cNvGraphicFramePr>
              <a:graphicFrameLocks noChangeAspect="1"/>
            </wp:cNvGraphicFramePr>
            <a:graphic>
              <a:graphicData uri="http://schemas.openxmlformats.org/drawingml/2006/picture">
                <pic:pic>
                  <pic:nvPicPr>
                    <pic:cNvPr id="26" name="image128.jpeg"/>
                    <pic:cNvPicPr/>
                  </pic:nvPicPr>
                  <pic:blipFill>
                    <a:blip r:embed="rId142" cstate="print"/>
                    <a:stretch>
                      <a:fillRect/>
                    </a:stretch>
                  </pic:blipFill>
                  <pic:spPr>
                    <a:xfrm>
                      <a:off x="0" y="0"/>
                      <a:ext cx="3172185" cy="1838801"/>
                    </a:xfrm>
                    <a:prstGeom prst="rect">
                      <a:avLst/>
                    </a:prstGeom>
                  </pic:spPr>
                </pic:pic>
              </a:graphicData>
            </a:graphic>
          </wp:anchor>
        </w:drawing>
      </w:r>
    </w:p>
    <w:p>
      <w:pPr>
        <w:spacing w:before="0"/>
        <w:ind w:left="2246" w:right="115" w:firstLine="0"/>
        <w:jc w:val="left"/>
        <w:rPr>
          <w:sz w:val="20"/>
        </w:rPr>
      </w:pPr>
      <w:r>
        <w:rPr>
          <w:sz w:val="20"/>
        </w:rPr>
        <w:t>Fuente: Basado en supuestos de proyección de YPFB (2012)</w:t>
      </w:r>
    </w:p>
    <w:p>
      <w:pPr>
        <w:pStyle w:val="BodyText"/>
        <w:rPr>
          <w:sz w:val="20"/>
        </w:rPr>
      </w:pPr>
    </w:p>
    <w:p>
      <w:pPr>
        <w:pStyle w:val="BodyText"/>
        <w:rPr>
          <w:sz w:val="26"/>
        </w:rPr>
      </w:pPr>
    </w:p>
    <w:p>
      <w:pPr>
        <w:pStyle w:val="BodyText"/>
        <w:spacing w:line="360" w:lineRule="auto"/>
        <w:ind w:left="122" w:right="123" w:firstLine="767"/>
        <w:jc w:val="both"/>
      </w:pPr>
      <w:r>
        <w:rPr/>
        <w:t>A diferencia del pronóstico de precios del gas natural, el sendero proyectado para la producción es optimista,  con una expansión muy significativa (más del 50% hasta el 2016).</w:t>
      </w:r>
    </w:p>
    <w:p>
      <w:pPr>
        <w:pStyle w:val="BodyText"/>
        <w:rPr>
          <w:sz w:val="20"/>
        </w:rPr>
      </w:pPr>
    </w:p>
    <w:p>
      <w:pPr>
        <w:pStyle w:val="BodyText"/>
        <w:rPr>
          <w:sz w:val="20"/>
        </w:rPr>
      </w:pPr>
    </w:p>
    <w:p>
      <w:pPr>
        <w:pStyle w:val="BodyText"/>
        <w:rPr>
          <w:sz w:val="20"/>
        </w:rPr>
      </w:pPr>
    </w:p>
    <w:p>
      <w:pPr>
        <w:pStyle w:val="BodyText"/>
        <w:spacing w:before="1"/>
        <w:rPr>
          <w:sz w:val="26"/>
        </w:rPr>
      </w:pPr>
      <w:r>
        <w:rPr/>
        <w:pict>
          <v:line style="position:absolute;mso-position-horizontal-relative:page;mso-position-vertical-relative:paragraph;z-index:6832;mso-wrap-distance-left:0;mso-wrap-distance-right:0" from="85.103996pt,17.282711pt" to="229.123996pt,17.282711pt" stroked="true" strokeweight=".599980pt" strokecolor="#000000">
            <w10:wrap type="topAndBottom"/>
          </v:line>
        </w:pict>
      </w:r>
    </w:p>
    <w:p>
      <w:pPr>
        <w:spacing w:before="50"/>
        <w:ind w:left="122" w:right="118" w:firstLine="0"/>
        <w:jc w:val="both"/>
        <w:rPr>
          <w:sz w:val="20"/>
        </w:rPr>
      </w:pPr>
      <w:r>
        <w:rPr>
          <w:position w:val="9"/>
          <w:sz w:val="13"/>
        </w:rPr>
        <w:t>51 </w:t>
      </w:r>
      <w:r>
        <w:rPr>
          <w:sz w:val="20"/>
        </w:rPr>
        <w:t>El contrato original se basa en el compromiso de Bolivia al proveer a Brasil una oferta de 1.1 billones de pies cúbicos (bpc) por día y un flujo promedio mínimo de 85 bpc están garantizados bajo la modalidad de previsión </w:t>
      </w:r>
      <w:r>
        <w:rPr>
          <w:i/>
          <w:sz w:val="20"/>
        </w:rPr>
        <w:t>take or pay</w:t>
      </w:r>
      <w:r>
        <w:rPr>
          <w:sz w:val="20"/>
        </w:rPr>
        <w:t>. Este contrato está sujeto a enmiendas acordadas entre ambas partes interesadas.</w:t>
      </w:r>
    </w:p>
    <w:p>
      <w:pPr>
        <w:spacing w:after="0"/>
        <w:jc w:val="both"/>
        <w:rPr>
          <w:sz w:val="20"/>
        </w:rPr>
        <w:sectPr>
          <w:pgSz w:w="12250" w:h="15850"/>
          <w:pgMar w:header="0" w:footer="1037" w:top="1360" w:bottom="1220" w:left="1580" w:right="1580"/>
        </w:sectPr>
      </w:pPr>
    </w:p>
    <w:p>
      <w:pPr>
        <w:pStyle w:val="Heading4"/>
        <w:numPr>
          <w:ilvl w:val="2"/>
          <w:numId w:val="10"/>
        </w:numPr>
        <w:tabs>
          <w:tab w:pos="963" w:val="left" w:leader="none"/>
          <w:tab w:pos="964" w:val="left" w:leader="none"/>
        </w:tabs>
        <w:spacing w:line="240" w:lineRule="auto" w:before="53" w:after="0"/>
        <w:ind w:left="963" w:right="0" w:hanging="720"/>
        <w:jc w:val="left"/>
      </w:pPr>
      <w:bookmarkStart w:name="_bookmark59" w:id="88"/>
      <w:bookmarkEnd w:id="88"/>
      <w:r>
        <w:rPr>
          <w:b w:val="0"/>
        </w:rPr>
      </w:r>
      <w:bookmarkStart w:name="_bookmark59" w:id="89"/>
      <w:bookmarkEnd w:id="89"/>
      <w:r>
        <w:rPr/>
        <w:t>Ago</w:t>
      </w:r>
      <w:r>
        <w:rPr/>
        <w:t>tamiento del gas natural boliviano y su importancia</w:t>
      </w:r>
      <w:r>
        <w:rPr>
          <w:spacing w:val="-13"/>
        </w:rPr>
        <w:t> </w:t>
      </w:r>
      <w:r>
        <w:rPr/>
        <w:t>fiscal</w:t>
      </w:r>
    </w:p>
    <w:p>
      <w:pPr>
        <w:pStyle w:val="BodyText"/>
        <w:rPr>
          <w:b/>
        </w:rPr>
      </w:pPr>
    </w:p>
    <w:p>
      <w:pPr>
        <w:pStyle w:val="BodyText"/>
        <w:spacing w:line="360" w:lineRule="auto" w:before="194"/>
        <w:ind w:left="102" w:right="117" w:firstLine="707"/>
        <w:jc w:val="both"/>
      </w:pPr>
      <w:r>
        <w:rPr/>
        <w:t>Lo más relevante no radica en el descubrimiento de nuevas reservas del energético, sino el comportamiento tendencial en el agotamiento del recurso natural, para ello, se analiza un ratio que compara el nivel de reservas con el nivel de producción:</w:t>
      </w:r>
    </w:p>
    <w:p>
      <w:pPr>
        <w:pStyle w:val="BodyText"/>
      </w:pPr>
    </w:p>
    <w:p>
      <w:pPr>
        <w:pStyle w:val="BodyText"/>
        <w:spacing w:before="140" w:after="8"/>
        <w:ind w:left="644" w:right="127"/>
      </w:pPr>
      <w:bookmarkStart w:name="_bookmark60" w:id="90"/>
      <w:bookmarkEnd w:id="90"/>
      <w:r>
        <w:rPr/>
      </w:r>
      <w:r>
        <w:rPr/>
        <w:t>Figura 2. 20: Ratio de reservas probadas/ producción de gas natural, 1980 - 2010</w:t>
      </w:r>
    </w:p>
    <w:p>
      <w:pPr>
        <w:pStyle w:val="BodyText"/>
        <w:ind w:left="2970"/>
        <w:rPr>
          <w:sz w:val="20"/>
        </w:rPr>
      </w:pPr>
      <w:r>
        <w:rPr>
          <w:sz w:val="20"/>
        </w:rPr>
        <w:drawing>
          <wp:inline distT="0" distB="0" distL="0" distR="0">
            <wp:extent cx="2417474" cy="1474470"/>
            <wp:effectExtent l="0" t="0" r="0" b="0"/>
            <wp:docPr id="27" name="image129.jpeg" descr=""/>
            <wp:cNvGraphicFramePr>
              <a:graphicFrameLocks noChangeAspect="1"/>
            </wp:cNvGraphicFramePr>
            <a:graphic>
              <a:graphicData uri="http://schemas.openxmlformats.org/drawingml/2006/picture">
                <pic:pic>
                  <pic:nvPicPr>
                    <pic:cNvPr id="28" name="image129.jpeg"/>
                    <pic:cNvPicPr/>
                  </pic:nvPicPr>
                  <pic:blipFill>
                    <a:blip r:embed="rId143" cstate="print"/>
                    <a:stretch>
                      <a:fillRect/>
                    </a:stretch>
                  </pic:blipFill>
                  <pic:spPr>
                    <a:xfrm>
                      <a:off x="0" y="0"/>
                      <a:ext cx="2417474" cy="1474470"/>
                    </a:xfrm>
                    <a:prstGeom prst="rect">
                      <a:avLst/>
                    </a:prstGeom>
                  </pic:spPr>
                </pic:pic>
              </a:graphicData>
            </a:graphic>
          </wp:inline>
        </w:drawing>
      </w:r>
      <w:r>
        <w:rPr>
          <w:sz w:val="20"/>
        </w:rPr>
      </w:r>
    </w:p>
    <w:p>
      <w:pPr>
        <w:spacing w:before="146"/>
        <w:ind w:left="2790" w:right="127" w:firstLine="0"/>
        <w:jc w:val="left"/>
        <w:rPr>
          <w:sz w:val="20"/>
        </w:rPr>
      </w:pPr>
      <w:r>
        <w:rPr>
          <w:sz w:val="20"/>
        </w:rPr>
        <w:t>Fuente: Energy Information Administration EIA - U.S. (2011)</w:t>
      </w:r>
    </w:p>
    <w:p>
      <w:pPr>
        <w:pStyle w:val="BodyText"/>
        <w:rPr>
          <w:sz w:val="20"/>
        </w:rPr>
      </w:pPr>
    </w:p>
    <w:p>
      <w:pPr>
        <w:pStyle w:val="BodyText"/>
        <w:rPr>
          <w:sz w:val="26"/>
        </w:rPr>
      </w:pPr>
    </w:p>
    <w:p>
      <w:pPr>
        <w:pStyle w:val="BodyText"/>
        <w:spacing w:line="360" w:lineRule="auto"/>
        <w:ind w:left="102" w:right="120" w:firstLine="707"/>
        <w:jc w:val="both"/>
      </w:pPr>
      <w:r>
        <w:rPr/>
        <w:t>En la  </w:t>
      </w:r>
      <w:r>
        <w:rPr>
          <w:i/>
        </w:rPr>
        <w:t>figura 2.20  </w:t>
      </w:r>
      <w:r>
        <w:rPr/>
        <w:t>se aprecia que antes del descubrimiento de reservas (alrededor  del 2000), el agotamiento de reservas de gas natural era relativamente estable, luego después del descubrimiento, volvió a su nivel inicial en un período de 10 años, por tanto, el período estimado de agotamiento del gas natural en Bolivia se encuentra por encima de los 50 años (contemplándose el último año de reservas probadas en relación con su nivel de producción)</w:t>
      </w:r>
    </w:p>
    <w:p>
      <w:pPr>
        <w:pStyle w:val="BodyText"/>
        <w:spacing w:line="360" w:lineRule="auto" w:before="4"/>
        <w:ind w:left="102" w:right="117" w:firstLine="707"/>
        <w:jc w:val="both"/>
      </w:pPr>
      <w:r>
        <w:rPr/>
        <w:t>La importancia del descubrimiento de reservas gasíferas, posteriormente se tradujo en incrementos de volúmenes de exportaciones, generándose incrementos en los ingresos fiscales, a través de mayor recaudación de impuestos directos provenientes de los hidrocarburos. Por ello, los ingresos fiscales presentaron dos tasas anuales distintas de crecimiento: 7% para el período 1992 – 2002 y  20% para 2003 – 2011.</w:t>
      </w:r>
    </w:p>
    <w:p>
      <w:pPr>
        <w:pStyle w:val="BodyText"/>
        <w:spacing w:line="360" w:lineRule="auto" w:before="6"/>
        <w:ind w:left="102" w:right="116" w:firstLine="707"/>
        <w:jc w:val="both"/>
      </w:pPr>
      <w:r>
        <w:rPr/>
        <w:t>Para finalizar, se destaca como aspecto relevante la participación del gas natural en los ingresos fiscales de Bolivia y por ende en su posición fiscal. Así por ejemplo, en Baunsgaard, et al. (2012), se  define una alta dependencia proveniente de un recurso  natural, cuando los ingresos públicos son igual o mayores al 20%. En el caso de la finanzas públicas de Bolivia,   en los últimos 5 años,   esta participación ha sido superior al 40%  </w:t>
      </w:r>
      <w:r>
        <w:rPr>
          <w:spacing w:val="51"/>
        </w:rPr>
        <w:t> </w:t>
      </w:r>
      <w:r>
        <w:rPr/>
        <w:t>de</w:t>
      </w:r>
    </w:p>
    <w:p>
      <w:pPr>
        <w:spacing w:after="0" w:line="360" w:lineRule="auto"/>
        <w:jc w:val="both"/>
        <w:sectPr>
          <w:pgSz w:w="12250" w:h="15850"/>
          <w:pgMar w:header="0" w:footer="1037" w:top="1360" w:bottom="1220" w:left="1600" w:right="1580"/>
        </w:sectPr>
      </w:pPr>
    </w:p>
    <w:p>
      <w:pPr>
        <w:pStyle w:val="BodyText"/>
        <w:spacing w:line="360" w:lineRule="auto" w:before="50"/>
        <w:ind w:left="102" w:right="116"/>
        <w:jc w:val="both"/>
      </w:pPr>
      <w:r>
        <w:rPr/>
        <w:t>los ingresos públicos, lo cual refleja la importancia de este recurso natural (</w:t>
      </w:r>
      <w:r>
        <w:rPr>
          <w:i/>
        </w:rPr>
        <w:t>véase figura </w:t>
      </w:r>
      <w:r>
        <w:rPr>
          <w:i/>
        </w:rPr>
        <w:t>2.21</w:t>
      </w:r>
      <w:r>
        <w:rPr/>
        <w:t>).</w:t>
      </w:r>
    </w:p>
    <w:p>
      <w:pPr>
        <w:pStyle w:val="BodyText"/>
      </w:pPr>
    </w:p>
    <w:p>
      <w:pPr>
        <w:pStyle w:val="BodyText"/>
        <w:spacing w:before="143"/>
        <w:ind w:left="102"/>
        <w:jc w:val="both"/>
      </w:pPr>
      <w:bookmarkStart w:name="_bookmark61" w:id="91"/>
      <w:bookmarkEnd w:id="91"/>
      <w:r>
        <w:rPr/>
      </w:r>
      <w:r>
        <w:rPr/>
        <w:t>Figura 2. 21:   Participación de los ingresos del gas natural en los ingresos públicos</w:t>
      </w:r>
    </w:p>
    <w:p>
      <w:pPr>
        <w:pStyle w:val="BodyText"/>
        <w:spacing w:before="139"/>
        <w:ind w:left="3678" w:right="127"/>
      </w:pPr>
      <w:r>
        <w:rPr/>
        <w:t>(En porcentaje, 2003 - 2011)</w:t>
      </w:r>
    </w:p>
    <w:p>
      <w:pPr>
        <w:pStyle w:val="BodyText"/>
        <w:rPr>
          <w:sz w:val="9"/>
        </w:rPr>
      </w:pPr>
      <w:r>
        <w:rPr/>
        <w:drawing>
          <wp:anchor distT="0" distB="0" distL="0" distR="0" allowOverlap="1" layoutInCell="1" locked="0" behindDoc="0" simplePos="0" relativeHeight="6856">
            <wp:simplePos x="0" y="0"/>
            <wp:positionH relativeFrom="page">
              <wp:posOffset>2370454</wp:posOffset>
            </wp:positionH>
            <wp:positionV relativeFrom="paragraph">
              <wp:posOffset>90605</wp:posOffset>
            </wp:positionV>
            <wp:extent cx="3078265" cy="1861947"/>
            <wp:effectExtent l="0" t="0" r="0" b="0"/>
            <wp:wrapTopAndBottom/>
            <wp:docPr id="29" name="image130.jpeg" descr=""/>
            <wp:cNvGraphicFramePr>
              <a:graphicFrameLocks noChangeAspect="1"/>
            </wp:cNvGraphicFramePr>
            <a:graphic>
              <a:graphicData uri="http://schemas.openxmlformats.org/drawingml/2006/picture">
                <pic:pic>
                  <pic:nvPicPr>
                    <pic:cNvPr id="30" name="image130.jpeg"/>
                    <pic:cNvPicPr/>
                  </pic:nvPicPr>
                  <pic:blipFill>
                    <a:blip r:embed="rId144" cstate="print"/>
                    <a:stretch>
                      <a:fillRect/>
                    </a:stretch>
                  </pic:blipFill>
                  <pic:spPr>
                    <a:xfrm>
                      <a:off x="0" y="0"/>
                      <a:ext cx="3078265" cy="1861947"/>
                    </a:xfrm>
                    <a:prstGeom prst="rect">
                      <a:avLst/>
                    </a:prstGeom>
                  </pic:spPr>
                </pic:pic>
              </a:graphicData>
            </a:graphic>
          </wp:anchor>
        </w:drawing>
      </w:r>
    </w:p>
    <w:p>
      <w:pPr>
        <w:spacing w:before="78"/>
        <w:ind w:left="1518" w:right="127" w:firstLine="0"/>
        <w:jc w:val="left"/>
        <w:rPr>
          <w:sz w:val="20"/>
        </w:rPr>
      </w:pPr>
      <w:r>
        <w:rPr>
          <w:sz w:val="20"/>
        </w:rPr>
        <w:t>Fuente: Banco Central de Bolivia (2012)</w:t>
      </w:r>
    </w:p>
    <w:p>
      <w:pPr>
        <w:pStyle w:val="BodyText"/>
        <w:rPr>
          <w:sz w:val="20"/>
        </w:rPr>
      </w:pPr>
    </w:p>
    <w:p>
      <w:pPr>
        <w:pStyle w:val="BodyText"/>
        <w:rPr>
          <w:sz w:val="26"/>
        </w:rPr>
      </w:pPr>
    </w:p>
    <w:p>
      <w:pPr>
        <w:pStyle w:val="BodyText"/>
        <w:spacing w:line="362" w:lineRule="auto"/>
        <w:ind w:left="102" w:right="117" w:firstLine="707"/>
      </w:pPr>
      <w:r>
        <w:rPr/>
        <w:t>En la </w:t>
      </w:r>
      <w:r>
        <w:rPr>
          <w:i/>
        </w:rPr>
        <w:t>figura 2.21</w:t>
      </w:r>
      <w:r>
        <w:rPr/>
        <w:t>, se aprecian los cambios en la trayectoria de los ingresos públicos como dependencia de los ingresos hidrocarburíferos en función de dos cambios normativos:</w:t>
      </w:r>
    </w:p>
    <w:p>
      <w:pPr>
        <w:pStyle w:val="BodyText"/>
        <w:spacing w:line="360" w:lineRule="auto" w:before="1"/>
        <w:ind w:left="102" w:right="118"/>
        <w:jc w:val="both"/>
      </w:pPr>
      <w:r>
        <w:rPr/>
        <w:t>i) la aprobación de la nueva ley de hidrocarburos (mayo de 2005) y ii) la nacionalización de los hidrocarburos (mayo de 2006), lo cual provocó un incremento en los ingresos fiscales petroleros (en este caso el gas natural).</w:t>
      </w:r>
    </w:p>
    <w:p>
      <w:pPr>
        <w:spacing w:after="0" w:line="360" w:lineRule="auto"/>
        <w:jc w:val="both"/>
        <w:sectPr>
          <w:pgSz w:w="12250" w:h="15850"/>
          <w:pgMar w:header="0" w:footer="1037" w:top="1360" w:bottom="1220" w:left="1600" w:right="1580"/>
        </w:sectPr>
      </w:pPr>
    </w:p>
    <w:p>
      <w:pPr>
        <w:pStyle w:val="Heading4"/>
        <w:numPr>
          <w:ilvl w:val="2"/>
          <w:numId w:val="10"/>
        </w:numPr>
        <w:tabs>
          <w:tab w:pos="983" w:val="left" w:leader="none"/>
          <w:tab w:pos="984" w:val="left" w:leader="none"/>
        </w:tabs>
        <w:spacing w:line="240" w:lineRule="auto" w:before="55" w:after="0"/>
        <w:ind w:left="983" w:right="0" w:hanging="720"/>
        <w:jc w:val="left"/>
      </w:pPr>
      <w:bookmarkStart w:name="_bookmark62" w:id="92"/>
      <w:bookmarkEnd w:id="92"/>
      <w:r>
        <w:rPr>
          <w:b w:val="0"/>
        </w:rPr>
      </w:r>
      <w:bookmarkStart w:name="_bookmark62" w:id="93"/>
      <w:bookmarkEnd w:id="93"/>
      <w:r>
        <w:rPr/>
        <w:t>R</w:t>
      </w:r>
      <w:r>
        <w:rPr/>
        <w:t>égimen  de asignación y distribución de ingresos del gas natural en</w:t>
      </w:r>
      <w:r>
        <w:rPr>
          <w:spacing w:val="-13"/>
        </w:rPr>
        <w:t> </w:t>
      </w:r>
      <w:r>
        <w:rPr/>
        <w:t>Bolivia</w:t>
      </w:r>
    </w:p>
    <w:p>
      <w:pPr>
        <w:pStyle w:val="BodyText"/>
        <w:spacing w:before="4"/>
        <w:rPr>
          <w:b/>
          <w:sz w:val="32"/>
        </w:rPr>
      </w:pPr>
    </w:p>
    <w:p>
      <w:pPr>
        <w:pStyle w:val="BodyText"/>
        <w:spacing w:line="360" w:lineRule="auto"/>
        <w:ind w:left="122" w:right="138" w:firstLine="707"/>
        <w:jc w:val="both"/>
      </w:pPr>
      <w:r>
        <w:rPr/>
        <w:t>Antes de abordar el régimen de asignación y distribución de ingresos fiscales al gasto público en Bolivia, se hace necesario contemplar las relaciones entre los precios de exportación del gas natural y los componentes del gasto público (gasto corriente y de capital):</w:t>
      </w:r>
    </w:p>
    <w:p>
      <w:pPr>
        <w:pStyle w:val="BodyText"/>
        <w:spacing w:line="360" w:lineRule="auto" w:before="4"/>
        <w:ind w:left="2233" w:right="1221" w:hanging="1023"/>
      </w:pPr>
      <w:bookmarkStart w:name="_bookmark63" w:id="94"/>
      <w:bookmarkEnd w:id="94"/>
      <w:r>
        <w:rPr/>
      </w:r>
      <w:r>
        <w:rPr/>
        <w:t>Figura 2. 22: Relación entre precios del gas natural y el gasto público Series desestacionalizadas en escala logarítmica</w:t>
      </w:r>
    </w:p>
    <w:p>
      <w:pPr>
        <w:pStyle w:val="ListParagraph"/>
        <w:numPr>
          <w:ilvl w:val="3"/>
          <w:numId w:val="10"/>
        </w:numPr>
        <w:tabs>
          <w:tab w:pos="1402" w:val="left" w:leader="none"/>
          <w:tab w:pos="5169" w:val="left" w:leader="none"/>
        </w:tabs>
        <w:spacing w:line="240" w:lineRule="auto" w:before="7" w:after="0"/>
        <w:ind w:left="1401" w:right="0" w:hanging="259"/>
        <w:jc w:val="left"/>
        <w:rPr>
          <w:sz w:val="24"/>
        </w:rPr>
      </w:pPr>
      <w:r>
        <w:rPr>
          <w:sz w:val="24"/>
        </w:rPr>
        <w:t>Gasto</w:t>
      </w:r>
      <w:r>
        <w:rPr>
          <w:spacing w:val="-1"/>
          <w:sz w:val="24"/>
        </w:rPr>
        <w:t> </w:t>
      </w:r>
      <w:r>
        <w:rPr>
          <w:sz w:val="24"/>
        </w:rPr>
        <w:t>de</w:t>
      </w:r>
      <w:r>
        <w:rPr>
          <w:spacing w:val="-1"/>
          <w:sz w:val="24"/>
        </w:rPr>
        <w:t> </w:t>
      </w:r>
      <w:r>
        <w:rPr>
          <w:sz w:val="24"/>
        </w:rPr>
        <w:t>capital</w:t>
        <w:tab/>
      </w:r>
      <w:r>
        <w:rPr>
          <w:i/>
          <w:sz w:val="24"/>
        </w:rPr>
        <w:t>b</w:t>
      </w:r>
      <w:r>
        <w:rPr>
          <w:sz w:val="24"/>
        </w:rPr>
        <w:t>) Gasto</w:t>
      </w:r>
      <w:r>
        <w:rPr>
          <w:spacing w:val="-5"/>
          <w:sz w:val="24"/>
        </w:rPr>
        <w:t> </w:t>
      </w:r>
      <w:r>
        <w:rPr>
          <w:sz w:val="24"/>
        </w:rPr>
        <w:t>corriente</w:t>
      </w:r>
    </w:p>
    <w:p>
      <w:pPr>
        <w:pStyle w:val="BodyText"/>
        <w:spacing w:before="10"/>
        <w:rPr>
          <w:sz w:val="10"/>
        </w:rPr>
      </w:pPr>
    </w:p>
    <w:p>
      <w:pPr>
        <w:spacing w:after="0"/>
        <w:rPr>
          <w:sz w:val="10"/>
        </w:rPr>
        <w:sectPr>
          <w:footerReference w:type="default" r:id="rId145"/>
          <w:pgSz w:w="12250" w:h="15850"/>
          <w:pgMar w:footer="1037" w:header="0" w:top="1360" w:bottom="1220" w:left="1580" w:right="1560"/>
        </w:sectPr>
      </w:pPr>
    </w:p>
    <w:p>
      <w:pPr>
        <w:pStyle w:val="BodyText"/>
        <w:spacing w:before="1"/>
        <w:rPr>
          <w:sz w:val="15"/>
        </w:rPr>
      </w:pPr>
    </w:p>
    <w:p>
      <w:pPr>
        <w:spacing w:before="0"/>
        <w:ind w:left="0" w:right="0" w:firstLine="0"/>
        <w:jc w:val="right"/>
        <w:rPr>
          <w:sz w:val="12"/>
        </w:rPr>
      </w:pPr>
      <w:r>
        <w:rPr/>
        <w:pict>
          <v:shape style="position:absolute;margin-left:145.093170pt;margin-top:7.424965pt;width:8.950pt;height:50.9pt;mso-position-horizontal-relative:page;mso-position-vertical-relative:paragraph;z-index:6952" type="#_x0000_t202" filled="false" stroked="false">
            <v:textbox inset="0,0,0,0" style="layout-flow:vertical;mso-layout-flow-alt:bottom-to-top">
              <w:txbxContent>
                <w:p>
                  <w:pPr>
                    <w:spacing w:line="161" w:lineRule="exact" w:before="0"/>
                    <w:ind w:left="20" w:right="-277" w:firstLine="0"/>
                    <w:jc w:val="left"/>
                    <w:rPr>
                      <w:rFonts w:ascii="Constantia"/>
                      <w:b/>
                      <w:sz w:val="14"/>
                    </w:rPr>
                  </w:pPr>
                  <w:r>
                    <w:rPr>
                      <w:rFonts w:ascii="Constantia"/>
                      <w:b/>
                      <w:spacing w:val="2"/>
                      <w:w w:val="93"/>
                      <w:sz w:val="14"/>
                    </w:rPr>
                    <w:t>G</w:t>
                  </w:r>
                  <w:r>
                    <w:rPr>
                      <w:rFonts w:ascii="Constantia"/>
                      <w:b/>
                      <w:spacing w:val="-2"/>
                      <w:w w:val="93"/>
                      <w:sz w:val="14"/>
                    </w:rPr>
                    <w:t>a</w:t>
                  </w:r>
                  <w:r>
                    <w:rPr>
                      <w:rFonts w:ascii="Constantia"/>
                      <w:b/>
                      <w:spacing w:val="2"/>
                      <w:w w:val="93"/>
                      <w:sz w:val="14"/>
                    </w:rPr>
                    <w:t>s</w:t>
                  </w:r>
                  <w:r>
                    <w:rPr>
                      <w:rFonts w:ascii="Constantia"/>
                      <w:b/>
                      <w:spacing w:val="-1"/>
                      <w:w w:val="93"/>
                      <w:sz w:val="14"/>
                    </w:rPr>
                    <w:t>t</w:t>
                  </w:r>
                  <w:r>
                    <w:rPr>
                      <w:rFonts w:ascii="Constantia"/>
                      <w:b/>
                      <w:w w:val="93"/>
                      <w:sz w:val="14"/>
                    </w:rPr>
                    <w:t>o</w:t>
                  </w:r>
                  <w:r>
                    <w:rPr>
                      <w:rFonts w:ascii="Constantia"/>
                      <w:b/>
                      <w:spacing w:val="-12"/>
                      <w:sz w:val="14"/>
                    </w:rPr>
                    <w:t> </w:t>
                  </w:r>
                  <w:r>
                    <w:rPr>
                      <w:rFonts w:ascii="Constantia"/>
                      <w:b/>
                      <w:w w:val="93"/>
                      <w:sz w:val="14"/>
                    </w:rPr>
                    <w:t>de</w:t>
                  </w:r>
                  <w:r>
                    <w:rPr>
                      <w:rFonts w:ascii="Constantia"/>
                      <w:b/>
                      <w:spacing w:val="-5"/>
                      <w:sz w:val="14"/>
                    </w:rPr>
                    <w:t> </w:t>
                  </w:r>
                  <w:r>
                    <w:rPr>
                      <w:rFonts w:ascii="Constantia"/>
                      <w:b/>
                      <w:spacing w:val="-1"/>
                      <w:w w:val="93"/>
                      <w:sz w:val="14"/>
                    </w:rPr>
                    <w:t>c</w:t>
                  </w:r>
                  <w:r>
                    <w:rPr>
                      <w:rFonts w:ascii="Constantia"/>
                      <w:b/>
                      <w:spacing w:val="-2"/>
                      <w:w w:val="93"/>
                      <w:sz w:val="14"/>
                    </w:rPr>
                    <w:t>a</w:t>
                  </w:r>
                  <w:r>
                    <w:rPr>
                      <w:rFonts w:ascii="Constantia"/>
                      <w:b/>
                      <w:spacing w:val="1"/>
                      <w:w w:val="93"/>
                      <w:sz w:val="14"/>
                    </w:rPr>
                    <w:t>p</w:t>
                  </w:r>
                  <w:r>
                    <w:rPr>
                      <w:rFonts w:ascii="Constantia"/>
                      <w:b/>
                      <w:w w:val="93"/>
                      <w:sz w:val="14"/>
                    </w:rPr>
                    <w:t>i</w:t>
                  </w:r>
                  <w:r>
                    <w:rPr>
                      <w:rFonts w:ascii="Constantia"/>
                      <w:b/>
                      <w:spacing w:val="-1"/>
                      <w:w w:val="93"/>
                      <w:sz w:val="14"/>
                    </w:rPr>
                    <w:t>t</w:t>
                  </w:r>
                  <w:r>
                    <w:rPr>
                      <w:rFonts w:ascii="Constantia"/>
                      <w:b/>
                      <w:spacing w:val="-2"/>
                      <w:w w:val="93"/>
                      <w:sz w:val="14"/>
                    </w:rPr>
                    <w:t>a</w:t>
                  </w:r>
                  <w:r>
                    <w:rPr>
                      <w:rFonts w:ascii="Constantia"/>
                      <w:b/>
                      <w:w w:val="93"/>
                      <w:sz w:val="14"/>
                    </w:rPr>
                    <w:t>l</w:t>
                  </w:r>
                </w:p>
              </w:txbxContent>
            </v:textbox>
            <w10:wrap type="none"/>
          </v:shape>
        </w:pict>
      </w:r>
      <w:r>
        <w:rPr>
          <w:w w:val="105"/>
          <w:sz w:val="12"/>
        </w:rPr>
        <w:t>8.9</w:t>
      </w:r>
    </w:p>
    <w:p>
      <w:pPr>
        <w:spacing w:before="78"/>
        <w:ind w:left="0" w:right="0" w:firstLine="0"/>
        <w:jc w:val="right"/>
        <w:rPr>
          <w:sz w:val="12"/>
        </w:rPr>
      </w:pPr>
      <w:r>
        <w:rPr>
          <w:w w:val="105"/>
          <w:sz w:val="12"/>
        </w:rPr>
        <w:t>8.7</w:t>
      </w:r>
    </w:p>
    <w:p>
      <w:pPr>
        <w:spacing w:before="78"/>
        <w:ind w:left="0" w:right="0" w:firstLine="0"/>
        <w:jc w:val="right"/>
        <w:rPr>
          <w:sz w:val="12"/>
        </w:rPr>
      </w:pPr>
      <w:r>
        <w:rPr>
          <w:w w:val="105"/>
          <w:sz w:val="12"/>
        </w:rPr>
        <w:t>8.5</w:t>
      </w:r>
    </w:p>
    <w:p>
      <w:pPr>
        <w:spacing w:before="78"/>
        <w:ind w:left="0" w:right="0" w:firstLine="0"/>
        <w:jc w:val="right"/>
        <w:rPr>
          <w:sz w:val="12"/>
        </w:rPr>
      </w:pPr>
      <w:r>
        <w:rPr>
          <w:w w:val="105"/>
          <w:sz w:val="12"/>
        </w:rPr>
        <w:t>8.3</w:t>
      </w:r>
    </w:p>
    <w:p>
      <w:pPr>
        <w:spacing w:before="78"/>
        <w:ind w:left="0" w:right="0" w:firstLine="0"/>
        <w:jc w:val="right"/>
        <w:rPr>
          <w:sz w:val="12"/>
        </w:rPr>
      </w:pPr>
      <w:r>
        <w:rPr>
          <w:w w:val="105"/>
          <w:sz w:val="12"/>
        </w:rPr>
        <w:t>8.1</w:t>
      </w:r>
    </w:p>
    <w:p>
      <w:pPr>
        <w:spacing w:before="78"/>
        <w:ind w:left="0" w:right="0" w:firstLine="0"/>
        <w:jc w:val="right"/>
        <w:rPr>
          <w:sz w:val="12"/>
        </w:rPr>
      </w:pPr>
      <w:r>
        <w:rPr>
          <w:w w:val="105"/>
          <w:sz w:val="12"/>
        </w:rPr>
        <w:t>7.9</w:t>
      </w:r>
    </w:p>
    <w:p>
      <w:pPr>
        <w:spacing w:before="78"/>
        <w:ind w:left="0" w:right="0" w:firstLine="0"/>
        <w:jc w:val="right"/>
        <w:rPr>
          <w:sz w:val="12"/>
        </w:rPr>
      </w:pPr>
      <w:r>
        <w:rPr>
          <w:w w:val="105"/>
          <w:sz w:val="12"/>
        </w:rPr>
        <w:t>7.7</w:t>
      </w:r>
    </w:p>
    <w:p>
      <w:pPr>
        <w:spacing w:before="78"/>
        <w:ind w:left="0" w:right="0" w:firstLine="0"/>
        <w:jc w:val="right"/>
        <w:rPr>
          <w:sz w:val="12"/>
        </w:rPr>
      </w:pPr>
      <w:r>
        <w:rPr>
          <w:w w:val="105"/>
          <w:sz w:val="12"/>
        </w:rPr>
        <w:t>7.5</w:t>
      </w:r>
    </w:p>
    <w:p>
      <w:pPr>
        <w:pStyle w:val="BodyText"/>
        <w:rPr>
          <w:sz w:val="12"/>
        </w:rPr>
      </w:pPr>
      <w:r>
        <w:rPr/>
        <w:br w:type="column"/>
      </w:r>
      <w:r>
        <w:rPr>
          <w:sz w:val="12"/>
        </w:rPr>
      </w: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spacing w:before="1"/>
        <w:rPr>
          <w:sz w:val="15"/>
        </w:rPr>
      </w:pPr>
    </w:p>
    <w:p>
      <w:pPr>
        <w:tabs>
          <w:tab w:pos="564" w:val="left" w:leader="none"/>
          <w:tab w:pos="1149" w:val="left" w:leader="none"/>
          <w:tab w:pos="1733" w:val="left" w:leader="none"/>
        </w:tabs>
        <w:spacing w:before="0"/>
        <w:ind w:left="-20" w:right="0" w:firstLine="0"/>
        <w:jc w:val="left"/>
        <w:rPr>
          <w:sz w:val="12"/>
        </w:rPr>
      </w:pPr>
      <w:r>
        <w:rPr>
          <w:w w:val="105"/>
          <w:sz w:val="12"/>
        </w:rPr>
        <w:t>0.5</w:t>
        <w:tab/>
        <w:t>1.0</w:t>
        <w:tab/>
        <w:t>1.5</w:t>
        <w:tab/>
        <w:t>2.0</w:t>
      </w:r>
    </w:p>
    <w:p>
      <w:pPr>
        <w:spacing w:before="27"/>
        <w:ind w:left="380" w:right="0" w:firstLine="0"/>
        <w:jc w:val="left"/>
        <w:rPr>
          <w:rFonts w:ascii="Constantia"/>
          <w:b/>
          <w:sz w:val="13"/>
        </w:rPr>
      </w:pPr>
      <w:r>
        <w:rPr>
          <w:rFonts w:ascii="Constantia"/>
          <w:b/>
          <w:w w:val="105"/>
          <w:sz w:val="13"/>
        </w:rPr>
        <w:t>Precios del gas natural</w:t>
      </w:r>
    </w:p>
    <w:p>
      <w:pPr>
        <w:spacing w:before="85"/>
        <w:ind w:left="0" w:right="0" w:firstLine="0"/>
        <w:jc w:val="right"/>
        <w:rPr>
          <w:sz w:val="12"/>
        </w:rPr>
      </w:pPr>
      <w:r>
        <w:rPr/>
        <w:br w:type="column"/>
      </w:r>
      <w:r>
        <w:rPr>
          <w:w w:val="105"/>
          <w:sz w:val="12"/>
        </w:rPr>
        <w:t>10.0</w:t>
      </w:r>
    </w:p>
    <w:p>
      <w:pPr>
        <w:spacing w:before="32"/>
        <w:ind w:left="0" w:right="0" w:firstLine="0"/>
        <w:jc w:val="right"/>
        <w:rPr>
          <w:sz w:val="12"/>
        </w:rPr>
      </w:pPr>
      <w:r>
        <w:rPr/>
        <w:pict>
          <v:group style="position:absolute;margin-left:175.892029pt;margin-top:-4.280957pt;width:107.25pt;height:82.95pt;mso-position-horizontal-relative:page;mso-position-vertical-relative:paragraph;z-index:6928" coordorigin="3518,-86" coordsize="2145,1659">
            <v:shape style="position:absolute;left:2025;top:5627;width:4800;height:3128" coordorigin="2025,5627" coordsize="4800,3128" path="m3561,1321l5655,1321m3557,1107l5659,1107m3557,890l5659,890m3557,672l5659,672m3557,455l5659,455m3557,244l5659,244m3557,27l5659,27e" filled="false" stroked="true" strokeweight=".319407pt" strokecolor="#858585">
              <v:path arrowok="t"/>
              <v:stroke dashstyle="dash"/>
            </v:shape>
            <v:shape style="position:absolute;left:1943;top:5365;width:4876;height:3990" coordorigin="1943,5365" coordsize="4876,3990" path="m3561,1539l3561,-82m3521,1539l3561,1539m3521,1321l3561,1321m3521,1104l3561,1104m3521,893l3561,893m3521,675l3561,675m3521,458l3561,458m3521,241l3561,241m3521,23l3561,23m3561,1539l5655,1539m3561,1539l3561,1570m4139,1539l4139,1570m4723,1539l4723,1570m5307,1539l5307,1570e" filled="false" stroked="true" strokeweight=".319407pt" strokecolor="#858585">
              <v:path arrowok="t"/>
            </v:shape>
            <v:shape style="position:absolute;left:3560;top:1376;width:66;height:63" coordorigin="3560,1376" coordsize="66,63" path="m3593,1376l3560,1407,3593,1438,3626,1407,3593,1376xe" filled="true" fillcolor="#000000" stroked="false">
              <v:path arrowok="t"/>
              <v:fill type="solid"/>
            </v:shape>
            <v:shape style="position:absolute;left:3560;top:1376;width:66;height:63" coordorigin="3560,1376" coordsize="66,63" path="m3593,1438l3560,1407,3593,1376,3626,1407,3593,1438xe" filled="false" stroked="true" strokeweight=".319229pt" strokecolor="#497dba">
              <v:path arrowok="t"/>
            </v:shape>
            <v:shape style="position:absolute;left:3683;top:720;width:204;height:478" type="#_x0000_t75" stroked="false">
              <v:imagedata r:id="rId146" o:title=""/>
            </v:shape>
            <v:shape style="position:absolute;left:3923;top:802;width:66;height:63" coordorigin="3923,802" coordsize="66,63" path="m3956,802l3923,833,3956,864,3989,833,3956,802xe" filled="true" fillcolor="#000000" stroked="false">
              <v:path arrowok="t"/>
              <v:fill type="solid"/>
            </v:shape>
            <v:shape style="position:absolute;left:3923;top:802;width:66;height:63" coordorigin="3923,802" coordsize="66,63" path="m3956,864l3923,833,3956,802,3989,833,3956,864xe" filled="false" stroked="true" strokeweight=".319229pt" strokecolor="#497dba">
              <v:path arrowok="t"/>
            </v:shape>
            <v:shape style="position:absolute;left:4128;top:708;width:66;height:63" coordorigin="4128,708" coordsize="66,63" path="m4161,708l4128,739,4161,770,4194,739,4161,708xe" filled="true" fillcolor="#000000" stroked="false">
              <v:path arrowok="t"/>
              <v:fill type="solid"/>
            </v:shape>
            <v:shape style="position:absolute;left:4128;top:708;width:66;height:63" coordorigin="4128,708" coordsize="66,63" path="m4161,770l4128,739,4161,708,4194,739,4161,770xe" filled="false" stroked="true" strokeweight=".319229pt" strokecolor="#497dba">
              <v:path arrowok="t"/>
            </v:shape>
            <v:shape style="position:absolute;left:4278;top:621;width:66;height:63" coordorigin="4278,621" coordsize="66,63" path="m4311,621l4278,652,4311,683,4344,652,4311,621xe" filled="true" fillcolor="#000000" stroked="false">
              <v:path arrowok="t"/>
              <v:fill type="solid"/>
            </v:shape>
            <v:shape style="position:absolute;left:4278;top:621;width:66;height:63" coordorigin="4278,621" coordsize="66,63" path="m4311,683l4278,652,4311,621,4344,652,4311,683xe" filled="false" stroked="true" strokeweight=".319229pt" strokecolor="#497dba">
              <v:path arrowok="t"/>
            </v:shape>
            <v:shape style="position:absolute;left:4381;top:693;width:66;height:63" coordorigin="4381,693" coordsize="66,63" path="m4413,693l4381,725,4413,756,4446,725,4413,693xe" filled="true" fillcolor="#000000" stroked="false">
              <v:path arrowok="t"/>
              <v:fill type="solid"/>
            </v:shape>
            <v:shape style="position:absolute;left:4381;top:693;width:66;height:63" coordorigin="4381,693" coordsize="66,63" path="m4413,756l4381,725,4413,693,4446,725,4413,756xe" filled="false" stroked="true" strokeweight=".319229pt" strokecolor="#497dba">
              <v:path arrowok="t"/>
            </v:shape>
            <v:shape style="position:absolute;left:4481;top:695;width:66;height:63" coordorigin="4481,695" coordsize="66,63" path="m4514,695l4481,726,4514,757,4547,726,4514,695xe" filled="true" fillcolor="#000000" stroked="false">
              <v:path arrowok="t"/>
              <v:fill type="solid"/>
            </v:shape>
            <v:shape style="position:absolute;left:4481;top:695;width:66;height:63" coordorigin="4481,695" coordsize="66,63" path="m4514,757l4481,726,4514,695,4547,726,4514,757xe" filled="false" stroked="true" strokeweight=".319229pt" strokecolor="#497dba">
              <v:path arrowok="t"/>
            </v:shape>
            <v:shape style="position:absolute;left:4604;top:594;width:66;height:63" coordorigin="4604,594" coordsize="66,63" path="m4637,594l4604,625,4637,656,4670,625,4637,594xe" filled="true" fillcolor="#000000" stroked="false">
              <v:path arrowok="t"/>
              <v:fill type="solid"/>
            </v:shape>
            <v:shape style="position:absolute;left:4604;top:594;width:66;height:63" coordorigin="4604,594" coordsize="66,63" path="m4637,656l4604,625,4637,594,4670,625,4637,656xe" filled="false" stroked="true" strokeweight=".319229pt" strokecolor="#497dba">
              <v:path arrowok="t"/>
            </v:shape>
            <v:shape style="position:absolute;left:4590;top:480;width:66;height:63" coordorigin="4590,480" coordsize="66,63" path="m4622,480l4590,511,4622,542,4655,511,4622,480xe" filled="true" fillcolor="#000000" stroked="false">
              <v:path arrowok="t"/>
              <v:fill type="solid"/>
            </v:shape>
            <v:shape style="position:absolute;left:4590;top:480;width:66;height:63" coordorigin="4590,480" coordsize="66,63" path="m4622,542l4590,511,4622,480,4655,511,4622,542xe" filled="false" stroked="true" strokeweight=".319229pt" strokecolor="#497dba">
              <v:path arrowok="t"/>
            </v:shape>
            <v:shape style="position:absolute;left:4533;top:219;width:162;height:177" type="#_x0000_t75" stroked="false">
              <v:imagedata r:id="rId147" o:title=""/>
            </v:shape>
            <v:shape style="position:absolute;left:4759;top:262;width:66;height:63" coordorigin="4759,262" coordsize="66,63" path="m4792,262l4759,293,4792,324,4824,293,4792,262xe" filled="true" fillcolor="#000000" stroked="false">
              <v:path arrowok="t"/>
              <v:fill type="solid"/>
            </v:shape>
            <v:shape style="position:absolute;left:4759;top:262;width:66;height:63" coordorigin="4759,262" coordsize="66,63" path="m4792,324l4759,293,4792,262,4824,293,4792,324xe" filled="false" stroked="true" strokeweight=".319229pt" strokecolor="#497dba">
              <v:path arrowok="t"/>
            </v:shape>
            <v:shape style="position:absolute;left:4971;top:256;width:66;height:63" coordorigin="4971,256" coordsize="66,63" path="m5004,256l4971,287,5004,318,5037,287,5004,256xe" filled="true" fillcolor="#000000" stroked="false">
              <v:path arrowok="t"/>
              <v:fill type="solid"/>
            </v:shape>
            <v:shape style="position:absolute;left:4971;top:256;width:66;height:63" coordorigin="4971,256" coordsize="66,63" path="m5004,318l4971,287,5004,256,5037,287,5004,318xe" filled="false" stroked="true" strokeweight=".319229pt" strokecolor="#497dba">
              <v:path arrowok="t"/>
            </v:shape>
            <v:shape style="position:absolute;left:5073;top:253;width:66;height:63" coordorigin="5073,253" coordsize="66,63" path="m5106,253l5073,284,5106,315,5139,284,5106,253xe" filled="true" fillcolor="#000000" stroked="false">
              <v:path arrowok="t"/>
              <v:fill type="solid"/>
            </v:shape>
            <v:shape style="position:absolute;left:5073;top:253;width:66;height:63" coordorigin="5073,253" coordsize="66,63" path="m5106,315l5073,284,5106,253,5139,284,5106,315xe" filled="false" stroked="true" strokeweight=".319229pt" strokecolor="#497dba">
              <v:path arrowok="t"/>
            </v:shape>
            <v:shape style="position:absolute;left:5240;top:236;width:66;height:63" coordorigin="5240,236" coordsize="66,63" path="m5273,236l5240,267,5273,298,5306,267,5273,236xe" filled="true" fillcolor="#000000" stroked="false">
              <v:path arrowok="t"/>
              <v:fill type="solid"/>
            </v:shape>
            <v:shape style="position:absolute;left:5240;top:236;width:66;height:63" coordorigin="5240,236" coordsize="66,63" path="m5273,298l5240,267,5273,236,5306,267,5273,298xe" filled="false" stroked="true" strokeweight=".319229pt" strokecolor="#497dba">
              <v:path arrowok="t"/>
            </v:shape>
            <v:shape style="position:absolute;left:5397;top:219;width:66;height:63" coordorigin="5397,219" coordsize="66,63" path="m5430,219l5397,250,5430,281,5463,250,5430,219xe" filled="true" fillcolor="#000000" stroked="false">
              <v:path arrowok="t"/>
              <v:fill type="solid"/>
            </v:shape>
            <v:shape style="position:absolute;left:5397;top:219;width:66;height:63" coordorigin="5397,219" coordsize="66,63" path="m5430,281l5397,250,5430,219,5463,250,5430,281xe" filled="false" stroked="true" strokeweight=".319229pt" strokecolor="#497dba">
              <v:path arrowok="t"/>
            </v:shape>
            <v:shape style="position:absolute;left:5057;top:62;width:66;height:63" coordorigin="5057,62" coordsize="66,63" path="m5089,62l5057,93,5089,124,5122,93,5089,62xe" filled="true" fillcolor="#000000" stroked="false">
              <v:path arrowok="t"/>
              <v:fill type="solid"/>
            </v:shape>
            <v:shape style="position:absolute;left:5057;top:62;width:66;height:63" coordorigin="5057,62" coordsize="66,63" path="m5089,124l5057,93,5089,62,5122,93,5089,124xe" filled="false" stroked="true" strokeweight=".319229pt" strokecolor="#497dba">
              <v:path arrowok="t"/>
            </v:shape>
            <v:shape style="position:absolute;left:4743;top:185;width:66;height:63" coordorigin="4743,185" coordsize="66,63" path="m4776,185l4743,216,4776,247,4809,216,4776,185xe" filled="true" fillcolor="#000000" stroked="false">
              <v:path arrowok="t"/>
              <v:fill type="solid"/>
            </v:shape>
            <v:shape style="position:absolute;left:4743;top:185;width:66;height:63" coordorigin="4743,185" coordsize="66,63" path="m4776,247l4743,216,4776,185,4809,216,4776,247xe" filled="false" stroked="true" strokeweight=".319229pt" strokecolor="#497dba">
              <v:path arrowok="t"/>
            </v:shape>
            <v:shape style="position:absolute;left:4727;top:204;width:66;height:63" coordorigin="4727,204" coordsize="66,63" path="m4760,204l4727,235,4760,267,4792,235,4760,204xe" filled="true" fillcolor="#000000" stroked="false">
              <v:path arrowok="t"/>
              <v:fill type="solid"/>
            </v:shape>
            <v:shape style="position:absolute;left:4727;top:204;width:66;height:63" coordorigin="4727,204" coordsize="66,63" path="m4760,267l4727,235,4760,204,4792,235,4760,267xe" filled="false" stroked="true" strokeweight=".319229pt" strokecolor="#497dba">
              <v:path arrowok="t"/>
            </v:shape>
            <v:shape style="position:absolute;left:4830;top:196;width:66;height:63" coordorigin="4830,196" coordsize="66,63" path="m4863,196l4830,227,4863,258,4896,227,4863,196xe" filled="true" fillcolor="#000000" stroked="false">
              <v:path arrowok="t"/>
              <v:fill type="solid"/>
            </v:shape>
            <v:shape style="position:absolute;left:4830;top:196;width:66;height:63" coordorigin="4830,196" coordsize="66,63" path="m4863,258l4830,227,4863,196,4896,227,4863,258xe" filled="false" stroked="true" strokeweight=".319229pt" strokecolor="#497dba">
              <v:path arrowok="t"/>
            </v:shape>
            <v:shape style="position:absolute;left:5024;top:52;width:66;height:63" coordorigin="5024,52" coordsize="66,63" path="m5056,52l5024,83,5056,114,5089,83,5056,52xe" filled="true" fillcolor="#000000" stroked="false">
              <v:path arrowok="t"/>
              <v:fill type="solid"/>
            </v:shape>
            <v:shape style="position:absolute;left:5024;top:52;width:66;height:63" coordorigin="5024,52" coordsize="66,63" path="m5056,114l5024,83,5056,52,5089,83,5056,114xe" filled="false" stroked="true" strokeweight=".319229pt" strokecolor="#497dba">
              <v:path arrowok="t"/>
            </v:shape>
            <v:shape style="position:absolute;left:5099;top:151;width:66;height:63" coordorigin="5099,151" coordsize="66,63" path="m5132,151l5099,182,5132,213,5165,182,5132,151xe" filled="true" fillcolor="#000000" stroked="false">
              <v:path arrowok="t"/>
              <v:fill type="solid"/>
            </v:shape>
            <v:shape style="position:absolute;left:5099;top:151;width:66;height:63" coordorigin="5099,151" coordsize="66,63" path="m5132,213l5099,182,5132,151,5165,182,5132,213xe" filled="false" stroked="true" strokeweight=".319229pt" strokecolor="#497dba">
              <v:path arrowok="t"/>
            </v:shape>
            <v:shape style="position:absolute;left:5108;top:303;width:66;height:63" coordorigin="5108,303" coordsize="66,63" path="m5140,303l5108,335,5140,366,5173,335,5140,303xe" filled="true" fillcolor="#000000" stroked="false">
              <v:path arrowok="t"/>
              <v:fill type="solid"/>
            </v:shape>
            <v:shape style="position:absolute;left:5108;top:303;width:66;height:63" coordorigin="5108,303" coordsize="66,63" path="m5140,366l5108,335,5140,303,5173,335,5140,366xe" filled="false" stroked="true" strokeweight=".319229pt" strokecolor="#497dba">
              <v:path arrowok="t"/>
            </v:shape>
            <v:shape style="position:absolute;left:5087;top:323;width:66;height:63" coordorigin="5087,323" coordsize="66,63" path="m5120,323l5087,354,5120,385,5153,354,5120,323xe" filled="true" fillcolor="#000000" stroked="false">
              <v:path arrowok="t"/>
              <v:fill type="solid"/>
            </v:shape>
            <v:shape style="position:absolute;left:5087;top:323;width:66;height:63" coordorigin="5087,323" coordsize="66,63" path="m5120,385l5087,354,5120,323,5153,354,5120,385xe" filled="false" stroked="true" strokeweight=".319229pt" strokecolor="#497dba">
              <v:path arrowok="t"/>
            </v:shape>
            <v:shape style="position:absolute;left:5167;top:427;width:66;height:63" coordorigin="5167,427" coordsize="66,63" path="m5200,427l5167,458,5200,489,5233,458,5200,427xe" filled="true" fillcolor="#000000" stroked="false">
              <v:path arrowok="t"/>
              <v:fill type="solid"/>
            </v:shape>
            <v:shape style="position:absolute;left:5167;top:427;width:66;height:63" coordorigin="5167,427" coordsize="66,63" path="m5200,489l5167,458,5200,427,5233,458,5200,489xe" filled="false" stroked="true" strokeweight=".319229pt" strokecolor="#497dba">
              <v:path arrowok="t"/>
            </v:shape>
            <v:shape style="position:absolute;left:5324;top:189;width:66;height:63" coordorigin="5324,189" coordsize="66,63" path="m5357,189l5324,220,5357,251,5390,220,5357,189xe" filled="true" fillcolor="#000000" stroked="false">
              <v:path arrowok="t"/>
              <v:fill type="solid"/>
            </v:shape>
            <v:shape style="position:absolute;left:5324;top:189;width:66;height:63" coordorigin="5324,189" coordsize="66,63" path="m5357,251l5324,220,5357,189,5390,220,5357,251xe" filled="false" stroked="true" strokeweight=".319229pt" strokecolor="#497dba">
              <v:path arrowok="t"/>
            </v:shape>
            <v:shape style="position:absolute;left:5465;top:160;width:66;height:63" coordorigin="5465,160" coordsize="66,63" path="m5498,160l5465,191,5498,222,5531,191,5498,160xe" filled="true" fillcolor="#000000" stroked="false">
              <v:path arrowok="t"/>
              <v:fill type="solid"/>
            </v:shape>
            <v:shape style="position:absolute;left:5465;top:160;width:66;height:63" coordorigin="5465,160" coordsize="66,63" path="m5498,222l5465,191,5498,160,5531,191,5498,222xe" filled="false" stroked="true" strokeweight=".319229pt" strokecolor="#497dba">
              <v:path arrowok="t"/>
            </v:shape>
            <v:shape style="position:absolute;left:5527;top:-12;width:66;height:63" coordorigin="5527,-12" coordsize="66,63" path="m5560,-12l5527,19,5560,50,5593,19,5560,-12xe" filled="true" fillcolor="#000000" stroked="false">
              <v:path arrowok="t"/>
              <v:fill type="solid"/>
            </v:shape>
            <v:shape style="position:absolute;left:5527;top:-12;width:66;height:63" coordorigin="5527,-12" coordsize="66,63" path="m5560,50l5527,19,5560,-12,5593,19,5560,50xe" filled="false" stroked="true" strokeweight=".319229pt" strokecolor="#497dba">
              <v:path arrowok="t"/>
            </v:shape>
            <v:line style="position:absolute" from="3594,1048" to="5557,11" stroked="true" strokeweight=".943152pt" strokecolor="#000000"/>
            <w10:wrap type="none"/>
          </v:group>
        </w:pict>
      </w:r>
      <w:r>
        <w:rPr>
          <w:w w:val="105"/>
          <w:sz w:val="12"/>
        </w:rPr>
        <w:t>9.9</w:t>
      </w:r>
    </w:p>
    <w:p>
      <w:pPr>
        <w:spacing w:before="32"/>
        <w:ind w:left="0" w:right="0" w:firstLine="0"/>
        <w:jc w:val="right"/>
        <w:rPr>
          <w:sz w:val="12"/>
        </w:rPr>
      </w:pPr>
      <w:r>
        <w:rPr/>
        <w:pict>
          <v:shape style="position:absolute;margin-left:323.993286pt;margin-top:8.584547pt;width:9.1pt;height:50.4pt;mso-position-horizontal-relative:page;mso-position-vertical-relative:paragraph;z-index:6976" type="#_x0000_t202" filled="false" stroked="false">
            <v:textbox inset="0,0,0,0" style="layout-flow:vertical;mso-layout-flow-alt:bottom-to-top">
              <w:txbxContent>
                <w:p>
                  <w:pPr>
                    <w:spacing w:line="164" w:lineRule="exact" w:before="0"/>
                    <w:ind w:left="20" w:right="-436" w:firstLine="0"/>
                    <w:jc w:val="left"/>
                    <w:rPr>
                      <w:rFonts w:ascii="Constantia"/>
                      <w:b/>
                      <w:sz w:val="14"/>
                    </w:rPr>
                  </w:pPr>
                  <w:r>
                    <w:rPr>
                      <w:rFonts w:ascii="Constantia"/>
                      <w:b/>
                      <w:spacing w:val="2"/>
                      <w:w w:val="95"/>
                      <w:sz w:val="14"/>
                    </w:rPr>
                    <w:t>G</w:t>
                  </w:r>
                  <w:r>
                    <w:rPr>
                      <w:rFonts w:ascii="Constantia"/>
                      <w:b/>
                      <w:spacing w:val="-2"/>
                      <w:w w:val="95"/>
                      <w:sz w:val="14"/>
                    </w:rPr>
                    <w:t>a</w:t>
                  </w:r>
                  <w:r>
                    <w:rPr>
                      <w:rFonts w:ascii="Constantia"/>
                      <w:b/>
                      <w:spacing w:val="2"/>
                      <w:w w:val="95"/>
                      <w:sz w:val="14"/>
                    </w:rPr>
                    <w:t>s</w:t>
                  </w:r>
                  <w:r>
                    <w:rPr>
                      <w:rFonts w:ascii="Constantia"/>
                      <w:b/>
                      <w:spacing w:val="-1"/>
                      <w:w w:val="95"/>
                      <w:sz w:val="14"/>
                    </w:rPr>
                    <w:t>t</w:t>
                  </w:r>
                  <w:r>
                    <w:rPr>
                      <w:rFonts w:ascii="Constantia"/>
                      <w:b/>
                      <w:w w:val="95"/>
                      <w:sz w:val="14"/>
                    </w:rPr>
                    <w:t>o</w:t>
                  </w:r>
                  <w:r>
                    <w:rPr>
                      <w:rFonts w:ascii="Constantia"/>
                      <w:b/>
                      <w:spacing w:val="-12"/>
                      <w:sz w:val="14"/>
                    </w:rPr>
                    <w:t> </w:t>
                  </w:r>
                  <w:r>
                    <w:rPr>
                      <w:rFonts w:ascii="Constantia"/>
                      <w:b/>
                      <w:spacing w:val="-1"/>
                      <w:w w:val="95"/>
                      <w:sz w:val="14"/>
                    </w:rPr>
                    <w:t>c</w:t>
                  </w:r>
                  <w:r>
                    <w:rPr>
                      <w:rFonts w:ascii="Constantia"/>
                      <w:b/>
                      <w:spacing w:val="2"/>
                      <w:w w:val="95"/>
                      <w:sz w:val="14"/>
                    </w:rPr>
                    <w:t>o</w:t>
                  </w:r>
                  <w:r>
                    <w:rPr>
                      <w:rFonts w:ascii="Constantia"/>
                      <w:b/>
                      <w:spacing w:val="-1"/>
                      <w:w w:val="95"/>
                      <w:sz w:val="14"/>
                    </w:rPr>
                    <w:t>rr</w:t>
                  </w:r>
                  <w:r>
                    <w:rPr>
                      <w:rFonts w:ascii="Constantia"/>
                      <w:b/>
                      <w:w w:val="95"/>
                      <w:sz w:val="14"/>
                    </w:rPr>
                    <w:t>i</w:t>
                  </w:r>
                  <w:r>
                    <w:rPr>
                      <w:rFonts w:ascii="Constantia"/>
                      <w:b/>
                      <w:spacing w:val="-2"/>
                      <w:w w:val="95"/>
                      <w:sz w:val="14"/>
                    </w:rPr>
                    <w:t>e</w:t>
                  </w:r>
                  <w:r>
                    <w:rPr>
                      <w:rFonts w:ascii="Constantia"/>
                      <w:b/>
                      <w:spacing w:val="-3"/>
                      <w:w w:val="95"/>
                      <w:sz w:val="14"/>
                    </w:rPr>
                    <w:t>n</w:t>
                  </w:r>
                  <w:r>
                    <w:rPr>
                      <w:rFonts w:ascii="Constantia"/>
                      <w:b/>
                      <w:spacing w:val="-1"/>
                      <w:w w:val="95"/>
                      <w:sz w:val="14"/>
                    </w:rPr>
                    <w:t>t</w:t>
                  </w:r>
                  <w:r>
                    <w:rPr>
                      <w:rFonts w:ascii="Constantia"/>
                      <w:b/>
                      <w:w w:val="95"/>
                      <w:sz w:val="14"/>
                    </w:rPr>
                    <w:t>e</w:t>
                  </w:r>
                </w:p>
              </w:txbxContent>
            </v:textbox>
            <w10:wrap type="none"/>
          </v:shape>
        </w:pict>
      </w:r>
      <w:r>
        <w:rPr>
          <w:w w:val="105"/>
          <w:sz w:val="12"/>
        </w:rPr>
        <w:t>9.8</w:t>
      </w:r>
    </w:p>
    <w:p>
      <w:pPr>
        <w:spacing w:before="32"/>
        <w:ind w:left="0" w:right="0" w:firstLine="0"/>
        <w:jc w:val="right"/>
        <w:rPr>
          <w:sz w:val="12"/>
        </w:rPr>
      </w:pPr>
      <w:r>
        <w:rPr>
          <w:w w:val="105"/>
          <w:sz w:val="12"/>
        </w:rPr>
        <w:t>9.7</w:t>
      </w:r>
    </w:p>
    <w:p>
      <w:pPr>
        <w:spacing w:before="32"/>
        <w:ind w:left="0" w:right="0" w:firstLine="0"/>
        <w:jc w:val="right"/>
        <w:rPr>
          <w:sz w:val="12"/>
        </w:rPr>
      </w:pPr>
      <w:r>
        <w:rPr>
          <w:w w:val="105"/>
          <w:sz w:val="12"/>
        </w:rPr>
        <w:t>9.6</w:t>
      </w:r>
    </w:p>
    <w:p>
      <w:pPr>
        <w:spacing w:before="32"/>
        <w:ind w:left="0" w:right="0" w:firstLine="0"/>
        <w:jc w:val="right"/>
        <w:rPr>
          <w:sz w:val="12"/>
        </w:rPr>
      </w:pPr>
      <w:r>
        <w:rPr>
          <w:w w:val="105"/>
          <w:sz w:val="12"/>
        </w:rPr>
        <w:t>9.5</w:t>
      </w:r>
    </w:p>
    <w:p>
      <w:pPr>
        <w:spacing w:before="32"/>
        <w:ind w:left="0" w:right="0" w:firstLine="0"/>
        <w:jc w:val="right"/>
        <w:rPr>
          <w:sz w:val="12"/>
        </w:rPr>
      </w:pPr>
      <w:r>
        <w:rPr>
          <w:w w:val="105"/>
          <w:sz w:val="12"/>
        </w:rPr>
        <w:t>9.4</w:t>
      </w:r>
    </w:p>
    <w:p>
      <w:pPr>
        <w:spacing w:before="32"/>
        <w:ind w:left="0" w:right="0" w:firstLine="0"/>
        <w:jc w:val="right"/>
        <w:rPr>
          <w:sz w:val="12"/>
        </w:rPr>
      </w:pPr>
      <w:r>
        <w:rPr>
          <w:w w:val="105"/>
          <w:sz w:val="12"/>
        </w:rPr>
        <w:t>9.3</w:t>
      </w:r>
    </w:p>
    <w:p>
      <w:pPr>
        <w:spacing w:before="32"/>
        <w:ind w:left="0" w:right="0" w:firstLine="0"/>
        <w:jc w:val="right"/>
        <w:rPr>
          <w:sz w:val="12"/>
        </w:rPr>
      </w:pPr>
      <w:r>
        <w:rPr>
          <w:w w:val="105"/>
          <w:sz w:val="12"/>
        </w:rPr>
        <w:t>9.2</w:t>
      </w:r>
    </w:p>
    <w:p>
      <w:pPr>
        <w:spacing w:before="32"/>
        <w:ind w:left="0" w:right="0" w:firstLine="0"/>
        <w:jc w:val="right"/>
        <w:rPr>
          <w:sz w:val="12"/>
        </w:rPr>
      </w:pPr>
      <w:r>
        <w:rPr>
          <w:w w:val="105"/>
          <w:sz w:val="12"/>
        </w:rPr>
        <w:t>9.1</w:t>
      </w:r>
    </w:p>
    <w:p>
      <w:pPr>
        <w:spacing w:before="32"/>
        <w:ind w:left="0" w:right="0" w:firstLine="0"/>
        <w:jc w:val="right"/>
        <w:rPr>
          <w:sz w:val="12"/>
        </w:rPr>
      </w:pPr>
      <w:r>
        <w:rPr>
          <w:w w:val="105"/>
          <w:sz w:val="12"/>
        </w:rPr>
        <w:t>9.0</w:t>
      </w:r>
    </w:p>
    <w:p>
      <w:pPr>
        <w:pStyle w:val="BodyText"/>
        <w:spacing w:before="2" w:after="40"/>
        <w:rPr>
          <w:sz w:val="10"/>
        </w:rPr>
      </w:pPr>
      <w:r>
        <w:rPr/>
        <w:br w:type="column"/>
      </w:r>
      <w:r>
        <w:rPr>
          <w:sz w:val="10"/>
        </w:rPr>
      </w:r>
    </w:p>
    <w:p>
      <w:pPr>
        <w:pStyle w:val="BodyText"/>
        <w:ind w:left="24"/>
        <w:rPr>
          <w:sz w:val="20"/>
        </w:rPr>
      </w:pPr>
      <w:r>
        <w:rPr>
          <w:sz w:val="20"/>
        </w:rPr>
        <w:pict>
          <v:group style="width:120.95pt;height:86.85pt;mso-position-horizontal-relative:char;mso-position-vertical-relative:line" coordorigin="0,0" coordsize="2419,1737">
            <v:line style="position:absolute" from="37,1530" to="2411,1530" stroked="true" strokeweight=".316794pt" strokecolor="#858585">
              <v:stroke dashstyle="dash"/>
            </v:line>
            <v:line style="position:absolute" from="40,1363" to="2415,1363" stroked="true" strokeweight=".316794pt" strokecolor="#858585">
              <v:stroke dashstyle="dash"/>
            </v:line>
            <v:line style="position:absolute" from="40,1191" to="2415,1191" stroked="true" strokeweight=".316794pt" strokecolor="#858585">
              <v:stroke dashstyle="dash"/>
            </v:line>
            <v:line style="position:absolute" from="40,1020" to="2415,1020" stroked="true" strokeweight=".316794pt" strokecolor="#858585">
              <v:stroke dashstyle="dash"/>
            </v:line>
            <v:line style="position:absolute" from="40,849" to="2415,849" stroked="true" strokeweight=".316794pt" strokecolor="#858585">
              <v:stroke dashstyle="dash"/>
            </v:line>
            <v:line style="position:absolute" from="40,685" to="2415,685" stroked="true" strokeweight=".316794pt" strokecolor="#858585">
              <v:stroke dashstyle="dash"/>
            </v:line>
            <v:line style="position:absolute" from="40,513" to="2415,513" stroked="true" strokeweight=".316794pt" strokecolor="#858585">
              <v:stroke dashstyle="dash"/>
            </v:line>
            <v:line style="position:absolute" from="40,342" to="2415,342" stroked="true" strokeweight=".316794pt" strokecolor="#858585">
              <v:stroke dashstyle="dash"/>
            </v:line>
            <v:line style="position:absolute" from="40,171" to="2415,171" stroked="true" strokeweight=".316794pt" strokecolor="#858585">
              <v:stroke dashstyle="dash"/>
            </v:line>
            <v:line style="position:absolute" from="40,7" to="2415,7" stroked="true" strokeweight=".316794pt" strokecolor="#858585">
              <v:stroke dashstyle="dash"/>
            </v:line>
            <v:line style="position:absolute" from="37,1701" to="37,3" stroked="true" strokeweight=".335352pt" strokecolor="#858585"/>
            <v:line style="position:absolute" from="3,1701" to="37,1701" stroked="true" strokeweight=".316794pt" strokecolor="#858585"/>
            <v:line style="position:absolute" from="3,1530" to="37,1530" stroked="true" strokeweight=".316794pt" strokecolor="#858585"/>
            <v:line style="position:absolute" from="3,1359" to="37,1359" stroked="true" strokeweight=".316794pt" strokecolor="#858585"/>
            <v:line style="position:absolute" from="3,1188" to="37,1188" stroked="true" strokeweight=".316794pt" strokecolor="#858585"/>
            <v:line style="position:absolute" from="3,1024" to="37,1024" stroked="true" strokeweight=".316794pt" strokecolor="#858585"/>
            <v:line style="position:absolute" from="3,853" to="37,853" stroked="true" strokeweight=".316794pt" strokecolor="#858585"/>
            <v:line style="position:absolute" from="3,681" to="37,681" stroked="true" strokeweight=".316794pt" strokecolor="#858585"/>
            <v:line style="position:absolute" from="3,510" to="37,510" stroked="true" strokeweight=".316794pt" strokecolor="#858585"/>
            <v:line style="position:absolute" from="3,346" to="37,346" stroked="true" strokeweight=".316794pt" strokecolor="#858585"/>
            <v:line style="position:absolute" from="3,175" to="37,175" stroked="true" strokeweight=".316794pt" strokecolor="#858585"/>
            <v:line style="position:absolute" from="3,3" to="37,3" stroked="true" strokeweight=".316794pt" strokecolor="#858585"/>
            <v:line style="position:absolute" from="37,1701" to="2411,1701" stroked="true" strokeweight=".316794pt" strokecolor="#858585"/>
            <v:line style="position:absolute" from="37,1701" to="37,1733" stroked="true" strokeweight=".335352pt" strokecolor="#858585"/>
            <v:line style="position:absolute" from="701,1701" to="701,1733" stroked="true" strokeweight=".335352pt" strokecolor="#858585"/>
            <v:line style="position:absolute" from="1358,1701" to="1358,1733" stroked="true" strokeweight=".335352pt" strokecolor="#858585"/>
            <v:line style="position:absolute" from="2016,1701" to="2016,1733" stroked="true" strokeweight=".335352pt" strokecolor="#858585"/>
            <v:shape style="position:absolute;left:50;top:1181;width:61;height:58" coordorigin="50,1181" coordsize="61,58" path="m80,1181l50,1209,80,1238,110,1209,80,1181xe" filled="true" fillcolor="#000000" stroked="false">
              <v:path arrowok="t"/>
              <v:fill type="solid"/>
            </v:shape>
            <v:shape style="position:absolute;left:50;top:1181;width:61;height:58" coordorigin="50,1181" coordsize="61,58" path="m80,1238l50,1209,80,1181,110,1209,80,1238xe" filled="false" stroked="true" strokeweight=".325871pt" strokecolor="#497dba">
              <v:path arrowok="t"/>
            </v:shape>
            <v:shape style="position:absolute;left:290;top:1170;width:61;height:58" coordorigin="290,1170" coordsize="61,58" path="m321,1170l290,1198,321,1227,351,1198,321,1170xe" filled="true" fillcolor="#000000" stroked="false">
              <v:path arrowok="t"/>
              <v:fill type="solid"/>
            </v:shape>
            <v:shape style="position:absolute;left:290;top:1170;width:61;height:58" coordorigin="290,1170" coordsize="61,58" path="m321,1227l290,1198,321,1170,351,1198,321,1227xe" filled="false" stroked="true" strokeweight=".325871pt" strokecolor="#497dba">
              <v:path arrowok="t"/>
            </v:shape>
            <v:shape style="position:absolute;left:193;top:1155;width:61;height:58" coordorigin="193,1155" coordsize="61,58" path="m223,1155l193,1183,223,1212,253,1183,223,1155xe" filled="true" fillcolor="#000000" stroked="false">
              <v:path arrowok="t"/>
              <v:fill type="solid"/>
            </v:shape>
            <v:shape style="position:absolute;left:193;top:1155;width:61;height:58" coordorigin="193,1155" coordsize="61,58" path="m223,1212l193,1183,223,1155,253,1183,223,1212xe" filled="false" stroked="true" strokeweight=".325867pt" strokecolor="#497dba">
              <v:path arrowok="t"/>
            </v:shape>
            <v:shape style="position:absolute;left:220;top:1172;width:61;height:58" coordorigin="220,1172" coordsize="61,58" path="m250,1172l220,1201,250,1229,280,1201,250,1172xe" filled="true" fillcolor="#000000" stroked="false">
              <v:path arrowok="t"/>
              <v:fill type="solid"/>
            </v:shape>
            <v:shape style="position:absolute;left:220;top:1172;width:61;height:58" coordorigin="220,1172" coordsize="61,58" path="m250,1229l220,1201,250,1172,280,1201,250,1229xe" filled="false" stroked="true" strokeweight=".325874pt" strokecolor="#497dba">
              <v:path arrowok="t"/>
            </v:shape>
            <v:shape style="position:absolute;left:291;top:1397;width:61;height:58" coordorigin="291,1397" coordsize="61,58" path="m321,1397l291,1425,321,1454,351,1425,321,1397xe" filled="true" fillcolor="#000000" stroked="false">
              <v:path arrowok="t"/>
              <v:fill type="solid"/>
            </v:shape>
            <v:shape style="position:absolute;left:291;top:1397;width:61;height:58" coordorigin="291,1397" coordsize="61,58" path="m321,1454l291,1425,321,1397,351,1425,321,1454xe" filled="false" stroked="true" strokeweight=".325871pt" strokecolor="#497dba">
              <v:path arrowok="t"/>
            </v:shape>
            <v:shape style="position:absolute;left:297;top:1368;width:61;height:58" coordorigin="297,1368" coordsize="61,58" path="m327,1368l297,1396,327,1425,357,1396,327,1368xe" filled="true" fillcolor="#000000" stroked="false">
              <v:path arrowok="t"/>
              <v:fill type="solid"/>
            </v:shape>
            <v:shape style="position:absolute;left:297;top:1368;width:61;height:58" coordorigin="297,1368" coordsize="61,58" path="m327,1425l297,1396,327,1368,357,1396,327,1425xe" filled="false" stroked="true" strokeweight=".325871pt" strokecolor="#497dba">
              <v:path arrowok="t"/>
            </v:shape>
            <v:shape style="position:absolute;left:338;top:1403;width:61;height:58" coordorigin="338,1403" coordsize="61,58" path="m368,1403l338,1432,368,1460,398,1432,368,1403xe" filled="true" fillcolor="#000000" stroked="false">
              <v:path arrowok="t"/>
              <v:fill type="solid"/>
            </v:shape>
            <v:shape style="position:absolute;left:338;top:1403;width:61;height:58" coordorigin="338,1403" coordsize="61,58" path="m368,1460l338,1432,368,1403,398,1432,368,1460xe" filled="false" stroked="true" strokeweight=".325871pt" strokecolor="#497dba">
              <v:path arrowok="t"/>
            </v:shape>
            <v:shape style="position:absolute;left:318;top:1376;width:61;height:58" coordorigin="318,1376" coordsize="61,58" path="m348,1376l318,1404,348,1433,379,1404,348,1376xe" filled="true" fillcolor="#000000" stroked="false">
              <v:path arrowok="t"/>
              <v:fill type="solid"/>
            </v:shape>
            <v:shape style="position:absolute;left:318;top:1376;width:61;height:58" coordorigin="318,1376" coordsize="61,58" path="m348,1433l318,1404,348,1376,379,1404,348,1433xe" filled="false" stroked="true" strokeweight=".325871pt" strokecolor="#497dba">
              <v:path arrowok="t"/>
            </v:shape>
            <v:shape style="position:absolute;left:342;top:1397;width:61;height:58" coordorigin="342,1397" coordsize="61,58" path="m372,1397l342,1426,372,1454,402,1426,372,1397xe" filled="true" fillcolor="#000000" stroked="false">
              <v:path arrowok="t"/>
              <v:fill type="solid"/>
            </v:shape>
            <v:shape style="position:absolute;left:342;top:1397;width:61;height:58" coordorigin="342,1397" coordsize="61,58" path="m372,1454l342,1426,372,1397,402,1426,372,1454xe" filled="false" stroked="true" strokeweight=".325871pt" strokecolor="#497dba">
              <v:path arrowok="t"/>
            </v:shape>
            <v:shape style="position:absolute;left:460;top:1371;width:61;height:58" coordorigin="460,1371" coordsize="61,58" path="m490,1371l460,1400,490,1428,521,1400,490,1371xe" filled="true" fillcolor="#000000" stroked="false">
              <v:path arrowok="t"/>
              <v:fill type="solid"/>
            </v:shape>
            <v:shape style="position:absolute;left:460;top:1371;width:61;height:58" coordorigin="460,1371" coordsize="61,58" path="m490,1428l460,1400,490,1371,521,1400,490,1428xe" filled="false" stroked="true" strokeweight=".325871pt" strokecolor="#497dba">
              <v:path arrowok="t"/>
            </v:shape>
            <v:shape style="position:absolute;left:692;top:1330;width:61;height:58" coordorigin="692,1330" coordsize="61,58" path="m722,1330l692,1359,722,1387,752,1359,722,1330xe" filled="true" fillcolor="#000000" stroked="false">
              <v:path arrowok="t"/>
              <v:fill type="solid"/>
            </v:shape>
            <v:shape style="position:absolute;left:692;top:1330;width:61;height:58" coordorigin="692,1330" coordsize="61,58" path="m722,1387l692,1359,722,1330,752,1359,722,1387xe" filled="false" stroked="true" strokeweight=".325874pt" strokecolor="#497dba">
              <v:path arrowok="t"/>
            </v:shape>
            <v:shape style="position:absolute;left:862;top:1282;width:61;height:58" coordorigin="862,1282" coordsize="61,58" path="m892,1282l862,1311,892,1339,922,1311,892,1282xe" filled="true" fillcolor="#000000" stroked="false">
              <v:path arrowok="t"/>
              <v:fill type="solid"/>
            </v:shape>
            <v:shape style="position:absolute;left:862;top:1282;width:61;height:58" coordorigin="862,1282" coordsize="61,58" path="m892,1339l862,1311,892,1282,922,1311,892,1339xe" filled="false" stroked="true" strokeweight=".325874pt" strokecolor="#497dba">
              <v:path arrowok="t"/>
            </v:shape>
            <v:shape style="position:absolute;left:977;top:1435;width:61;height:58" coordorigin="977,1435" coordsize="61,58" path="m1007,1435l977,1463,1007,1492,1037,1463,1007,1435xe" filled="true" fillcolor="#000000" stroked="false">
              <v:path arrowok="t"/>
              <v:fill type="solid"/>
            </v:shape>
            <v:shape style="position:absolute;left:977;top:1435;width:61;height:58" coordorigin="977,1435" coordsize="61,58" path="m1007,1492l977,1463,1007,1435,1037,1463,1007,1492xe" filled="false" stroked="true" strokeweight=".325871pt" strokecolor="#497dba">
              <v:path arrowok="t"/>
            </v:shape>
            <v:shape style="position:absolute;left:1091;top:1301;width:61;height:58" coordorigin="1091,1301" coordsize="61,58" path="m1121,1301l1091,1329,1121,1358,1151,1329,1121,1301xe" filled="true" fillcolor="#000000" stroked="false">
              <v:path arrowok="t"/>
              <v:fill type="solid"/>
            </v:shape>
            <v:shape style="position:absolute;left:1091;top:1301;width:61;height:58" coordorigin="1091,1301" coordsize="61,58" path="m1121,1358l1091,1329,1121,1301,1151,1329,1121,1358xe" filled="false" stroked="true" strokeweight=".325876pt" strokecolor="#497dba">
              <v:path arrowok="t"/>
            </v:shape>
            <v:shape style="position:absolute;left:1230;top:1113;width:61;height:58" coordorigin="1230,1113" coordsize="61,58" path="m1260,1113l1230,1142,1260,1170,1290,1142,1260,1113xe" filled="true" fillcolor="#000000" stroked="false">
              <v:path arrowok="t"/>
              <v:fill type="solid"/>
            </v:shape>
            <v:shape style="position:absolute;left:1230;top:1113;width:61;height:58" coordorigin="1230,1113" coordsize="61,58" path="m1260,1170l1230,1142,1260,1113,1290,1142,1260,1170xe" filled="false" stroked="true" strokeweight=".325871pt" strokecolor="#497dba">
              <v:path arrowok="t"/>
            </v:shape>
            <v:shape style="position:absolute;left:1213;top:996;width:61;height:58" coordorigin="1213,996" coordsize="61,58" path="m1243,996l1213,1025,1243,1053,1274,1025,1243,996xe" filled="true" fillcolor="#000000" stroked="false">
              <v:path arrowok="t"/>
              <v:fill type="solid"/>
            </v:shape>
            <v:shape style="position:absolute;left:1213;top:996;width:61;height:58" coordorigin="1213,996" coordsize="61,58" path="m1243,1053l1213,1025,1243,996,1274,1025,1243,1053xe" filled="false" stroked="true" strokeweight=".325871pt" strokecolor="#497dba">
              <v:path arrowok="t"/>
            </v:shape>
            <v:shape style="position:absolute;left:1150;top:723;width:169;height:139" type="#_x0000_t75" stroked="false">
              <v:imagedata r:id="rId148" o:title=""/>
            </v:shape>
            <v:shape style="position:absolute;left:1405;top:683;width:61;height:58" coordorigin="1405,683" coordsize="61,58" path="m1435,683l1405,712,1435,740,1465,712,1435,683xe" filled="true" fillcolor="#000000" stroked="false">
              <v:path arrowok="t"/>
              <v:fill type="solid"/>
            </v:shape>
            <v:shape style="position:absolute;left:1405;top:683;width:61;height:58" coordorigin="1405,683" coordsize="61,58" path="m1435,740l1405,712,1435,683,1465,712,1435,740xe" filled="false" stroked="true" strokeweight=".325871pt" strokecolor="#497dba">
              <v:path arrowok="t"/>
            </v:shape>
            <v:shape style="position:absolute;left:1645;top:479;width:61;height:58" coordorigin="1645,479" coordsize="61,58" path="m1675,479l1645,507,1675,536,1705,507,1675,479xe" filled="true" fillcolor="#000000" stroked="false">
              <v:path arrowok="t"/>
              <v:fill type="solid"/>
            </v:shape>
            <v:shape style="position:absolute;left:1645;top:479;width:61;height:58" coordorigin="1645,479" coordsize="61,58" path="m1675,536l1645,507,1675,479,1705,507,1675,536xe" filled="false" stroked="true" strokeweight=".325871pt" strokecolor="#497dba">
              <v:path arrowok="t"/>
            </v:shape>
            <v:shape style="position:absolute;left:1760;top:437;width:61;height:58" coordorigin="1760,437" coordsize="61,58" path="m1790,437l1760,465,1790,494,1820,465,1790,437xe" filled="true" fillcolor="#000000" stroked="false">
              <v:path arrowok="t"/>
              <v:fill type="solid"/>
            </v:shape>
            <v:shape style="position:absolute;left:1760;top:437;width:61;height:58" coordorigin="1760,437" coordsize="61,58" path="m1790,494l1760,465,1790,437,1820,465,1790,494xe" filled="false" stroked="true" strokeweight=".325871pt" strokecolor="#497dba">
              <v:path arrowok="t"/>
            </v:shape>
            <v:shape style="position:absolute;left:1949;top:470;width:61;height:58" coordorigin="1949,470" coordsize="61,58" path="m1979,470l1949,499,1979,528,2009,499,1979,470xe" filled="true" fillcolor="#000000" stroked="false">
              <v:path arrowok="t"/>
              <v:fill type="solid"/>
            </v:shape>
            <v:shape style="position:absolute;left:1949;top:470;width:61;height:58" coordorigin="1949,470" coordsize="61,58" path="m1979,528l1949,499,1979,470,2009,499,1979,528xe" filled="false" stroked="true" strokeweight=".325871pt" strokecolor="#497dba">
              <v:path arrowok="t"/>
            </v:shape>
            <v:shape style="position:absolute;left:2126;top:426;width:61;height:58" coordorigin="2126,426" coordsize="61,58" path="m2156,426l2126,454,2156,483,2186,454,2156,426xe" filled="true" fillcolor="#000000" stroked="false">
              <v:path arrowok="t"/>
              <v:fill type="solid"/>
            </v:shape>
            <v:shape style="position:absolute;left:2126;top:426;width:61;height:58" coordorigin="2126,426" coordsize="61,58" path="m2156,483l2126,454,2156,426,2186,454,2156,483xe" filled="false" stroked="true" strokeweight=".325871pt" strokecolor="#497dba">
              <v:path arrowok="t"/>
            </v:shape>
            <v:shape style="position:absolute;left:1741;top:608;width:61;height:58" coordorigin="1741,608" coordsize="61,58" path="m1771,608l1741,636,1771,665,1801,636,1771,608xe" filled="true" fillcolor="#000000" stroked="false">
              <v:path arrowok="t"/>
              <v:fill type="solid"/>
            </v:shape>
            <v:shape style="position:absolute;left:1741;top:608;width:61;height:58" coordorigin="1741,608" coordsize="61,58" path="m1771,665l1741,636,1771,608,1801,636,1771,665xe" filled="false" stroked="true" strokeweight=".325871pt" strokecolor="#497dba">
              <v:path arrowok="t"/>
            </v:shape>
            <v:shape style="position:absolute;left:1387;top:397;width:61;height:58" coordorigin="1387,397" coordsize="61,58" path="m1417,397l1387,425,1417,454,1447,425,1417,397xe" filled="true" fillcolor="#000000" stroked="false">
              <v:path arrowok="t"/>
              <v:fill type="solid"/>
            </v:shape>
            <v:shape style="position:absolute;left:1387;top:397;width:61;height:58" coordorigin="1387,397" coordsize="61,58" path="m1417,454l1387,425,1417,397,1447,425,1417,454xe" filled="false" stroked="true" strokeweight=".325871pt" strokecolor="#497dba">
              <v:path arrowok="t"/>
            </v:shape>
            <v:shape style="position:absolute;left:1368;top:404;width:61;height:58" coordorigin="1368,404" coordsize="61,58" path="m1398,404l1368,433,1398,461,1429,433,1398,404xe" filled="true" fillcolor="#000000" stroked="false">
              <v:path arrowok="t"/>
              <v:fill type="solid"/>
            </v:shape>
            <v:shape style="position:absolute;left:1368;top:404;width:61;height:58" coordorigin="1368,404" coordsize="61,58" path="m1398,461l1368,433,1398,404,1429,433,1398,461xe" filled="false" stroked="true" strokeweight=".325871pt" strokecolor="#497dba">
              <v:path arrowok="t"/>
            </v:shape>
            <v:shape style="position:absolute;left:1485;top:410;width:61;height:58" coordorigin="1485,410" coordsize="61,58" path="m1516,410l1485,438,1516,467,1546,438,1516,410xe" filled="true" fillcolor="#000000" stroked="false">
              <v:path arrowok="t"/>
              <v:fill type="solid"/>
            </v:shape>
            <v:shape style="position:absolute;left:1485;top:410;width:61;height:58" coordorigin="1485,410" coordsize="61,58" path="m1516,467l1485,438,1516,410,1546,438,1516,467xe" filled="false" stroked="true" strokeweight=".325871pt" strokecolor="#497dba">
              <v:path arrowok="t"/>
            </v:shape>
            <v:shape style="position:absolute;left:1704;top:142;width:61;height:58" coordorigin="1704,142" coordsize="61,58" path="m1734,142l1704,170,1734,199,1764,170,1734,142xe" filled="true" fillcolor="#000000" stroked="false">
              <v:path arrowok="t"/>
              <v:fill type="solid"/>
            </v:shape>
            <v:shape style="position:absolute;left:1704;top:142;width:61;height:58" coordorigin="1704,142" coordsize="61,58" path="m1734,199l1704,170,1734,142,1764,170,1734,199xe" filled="false" stroked="true" strokeweight=".325871pt" strokecolor="#497dba">
              <v:path arrowok="t"/>
            </v:shape>
            <v:shape style="position:absolute;left:1789;top:370;width:61;height:58" coordorigin="1789,370" coordsize="61,58" path="m1820,370l1789,399,1820,427,1850,399,1820,370xe" filled="true" fillcolor="#000000" stroked="false">
              <v:path arrowok="t"/>
              <v:fill type="solid"/>
            </v:shape>
            <v:shape style="position:absolute;left:1789;top:370;width:61;height:58" coordorigin="1789,370" coordsize="61,58" path="m1820,427l1789,399,1820,370,1850,399,1820,427xe" filled="false" stroked="true" strokeweight=".325871pt" strokecolor="#497dba">
              <v:path arrowok="t"/>
            </v:shape>
            <v:shape style="position:absolute;left:1799;top:350;width:61;height:58" coordorigin="1799,350" coordsize="61,58" path="m1829,350l1799,378,1829,407,1859,378,1829,350xe" filled="true" fillcolor="#000000" stroked="false">
              <v:path arrowok="t"/>
              <v:fill type="solid"/>
            </v:shape>
            <v:shape style="position:absolute;left:1799;top:350;width:61;height:58" coordorigin="1799,350" coordsize="61,58" path="m1829,407l1799,378,1829,350,1859,378,1829,407xe" filled="false" stroked="true" strokeweight=".325871pt" strokecolor="#497dba">
              <v:path arrowok="t"/>
            </v:shape>
            <v:shape style="position:absolute;left:1775;top:394;width:61;height:58" coordorigin="1775,394" coordsize="61,58" path="m1806,394l1775,422,1806,451,1836,422,1806,394xe" filled="true" fillcolor="#000000" stroked="false">
              <v:path arrowok="t"/>
              <v:fill type="solid"/>
            </v:shape>
            <v:shape style="position:absolute;left:1775;top:394;width:61;height:58" coordorigin="1775,394" coordsize="61,58" path="m1806,451l1775,422,1806,394,1836,422,1806,451xe" filled="false" stroked="true" strokeweight=".325871pt" strokecolor="#497dba">
              <v:path arrowok="t"/>
            </v:shape>
            <v:shape style="position:absolute;left:1866;top:234;width:61;height:58" coordorigin="1866,234" coordsize="61,58" path="m1896,234l1866,263,1896,291,1927,263,1896,234xe" filled="true" fillcolor="#000000" stroked="false">
              <v:path arrowok="t"/>
              <v:fill type="solid"/>
            </v:shape>
            <v:shape style="position:absolute;left:1866;top:234;width:61;height:58" coordorigin="1866,234" coordsize="61,58" path="m1896,291l1866,263,1896,234,1927,263,1896,291xe" filled="false" stroked="true" strokeweight=".325871pt" strokecolor="#497dba">
              <v:path arrowok="t"/>
            </v:shape>
            <v:shape style="position:absolute;left:2044;top:277;width:61;height:58" coordorigin="2044,277" coordsize="61,58" path="m2074,277l2044,305,2074,334,2104,305,2074,277xe" filled="true" fillcolor="#000000" stroked="false">
              <v:path arrowok="t"/>
              <v:fill type="solid"/>
            </v:shape>
            <v:shape style="position:absolute;left:2044;top:277;width:61;height:58" coordorigin="2044,277" coordsize="61,58" path="m2074,334l2044,305,2074,277,2104,305,2074,334xe" filled="false" stroked="true" strokeweight=".325871pt" strokecolor="#497dba">
              <v:path arrowok="t"/>
            </v:shape>
            <v:shape style="position:absolute;left:2202;top:260;width:61;height:58" coordorigin="2202,260" coordsize="61,58" path="m2233,260l2202,288,2233,317,2263,288,2233,260xe" filled="true" fillcolor="#000000" stroked="false">
              <v:path arrowok="t"/>
              <v:fill type="solid"/>
            </v:shape>
            <v:shape style="position:absolute;left:2202;top:260;width:61;height:58" coordorigin="2202,260" coordsize="61,58" path="m2233,317l2202,288,2233,260,2263,288,2233,317xe" filled="false" stroked="true" strokeweight=".325871pt" strokecolor="#497dba">
              <v:path arrowok="t"/>
            </v:shape>
            <v:shape style="position:absolute;left:2273;top:225;width:61;height:58" coordorigin="2273,225" coordsize="61,58" path="m2303,225l2273,254,2303,282,2334,254,2303,225xe" filled="true" fillcolor="#000000" stroked="false">
              <v:path arrowok="t"/>
              <v:fill type="solid"/>
            </v:shape>
            <v:shape style="position:absolute;left:2273;top:225;width:61;height:58" coordorigin="2273,225" coordsize="61,58" path="m2303,282l2273,254,2303,225,2334,254,2303,282xe" filled="false" stroked="true" strokeweight=".325871pt" strokecolor="#497dba">
              <v:path arrowok="t"/>
            </v:shape>
            <v:line style="position:absolute" from="77,1511" to="2297,194" stroked="true" strokeweight=".964888pt" strokecolor="#000000"/>
          </v:group>
        </w:pict>
      </w:r>
      <w:r>
        <w:rPr>
          <w:sz w:val="20"/>
        </w:rPr>
      </w:r>
    </w:p>
    <w:p>
      <w:pPr>
        <w:tabs>
          <w:tab w:pos="638" w:val="left" w:leader="none"/>
          <w:tab w:pos="1299" w:val="left" w:leader="none"/>
          <w:tab w:pos="1959" w:val="left" w:leader="none"/>
        </w:tabs>
        <w:spacing w:before="16"/>
        <w:ind w:left="-22" w:right="0" w:firstLine="0"/>
        <w:jc w:val="left"/>
        <w:rPr>
          <w:sz w:val="12"/>
        </w:rPr>
      </w:pPr>
      <w:r>
        <w:rPr>
          <w:w w:val="105"/>
          <w:sz w:val="12"/>
        </w:rPr>
        <w:t>0.5</w:t>
        <w:tab/>
        <w:t>1.0</w:t>
        <w:tab/>
        <w:t>1.5</w:t>
        <w:tab/>
        <w:t>2.0</w:t>
      </w:r>
    </w:p>
    <w:p>
      <w:pPr>
        <w:spacing w:before="31"/>
        <w:ind w:left="502" w:right="0" w:firstLine="0"/>
        <w:jc w:val="left"/>
        <w:rPr>
          <w:rFonts w:ascii="Constantia"/>
          <w:b/>
          <w:sz w:val="13"/>
        </w:rPr>
      </w:pPr>
      <w:r>
        <w:rPr>
          <w:rFonts w:ascii="Constantia"/>
          <w:b/>
          <w:w w:val="110"/>
          <w:sz w:val="13"/>
        </w:rPr>
        <w:t>Precios del gas natural</w:t>
      </w:r>
    </w:p>
    <w:p>
      <w:pPr>
        <w:spacing w:after="0"/>
        <w:jc w:val="left"/>
        <w:rPr>
          <w:rFonts w:ascii="Constantia"/>
          <w:sz w:val="13"/>
        </w:rPr>
        <w:sectPr>
          <w:type w:val="continuous"/>
          <w:pgSz w:w="12250" w:h="15850"/>
          <w:pgMar w:top="1500" w:bottom="280" w:left="1580" w:right="1560"/>
          <w:cols w:num="4" w:equalWidth="0">
            <w:col w:w="1875" w:space="40"/>
            <w:col w:w="1895" w:space="40"/>
            <w:col w:w="1532" w:space="40"/>
            <w:col w:w="3688"/>
          </w:cols>
        </w:sectPr>
      </w:pPr>
    </w:p>
    <w:p>
      <w:pPr>
        <w:pStyle w:val="BodyText"/>
        <w:spacing w:before="4"/>
        <w:rPr>
          <w:rFonts w:ascii="Constantia"/>
          <w:b/>
          <w:sz w:val="11"/>
        </w:rPr>
      </w:pPr>
    </w:p>
    <w:p>
      <w:pPr>
        <w:spacing w:before="74"/>
        <w:ind w:left="122" w:right="148" w:firstLine="0"/>
        <w:jc w:val="left"/>
        <w:rPr>
          <w:sz w:val="20"/>
        </w:rPr>
      </w:pPr>
      <w:r>
        <w:rPr>
          <w:sz w:val="20"/>
        </w:rPr>
        <w:t>Fuente: Estimaciones propias con base en información del Banco Central de Bolivia (2012) y Yacimientos Petrolíferos Fiscales Bolivianos (2012).</w:t>
      </w:r>
    </w:p>
    <w:p>
      <w:pPr>
        <w:pStyle w:val="BodyText"/>
        <w:rPr>
          <w:sz w:val="20"/>
        </w:rPr>
      </w:pPr>
    </w:p>
    <w:p>
      <w:pPr>
        <w:pStyle w:val="BodyText"/>
        <w:spacing w:line="360" w:lineRule="auto" w:before="117"/>
        <w:ind w:left="122" w:right="137" w:firstLine="707"/>
        <w:jc w:val="both"/>
      </w:pPr>
      <w:r>
        <w:rPr/>
        <w:t>De acuerdo con la </w:t>
      </w:r>
      <w:r>
        <w:rPr>
          <w:i/>
        </w:rPr>
        <w:t>figura 2.22</w:t>
      </w:r>
      <w:r>
        <w:rPr/>
        <w:t>, de forma preliminar se apreció una relación directa entre los precios del gas natural y el gasto de capital (inciso </w:t>
      </w:r>
      <w:r>
        <w:rPr>
          <w:i/>
        </w:rPr>
        <w:t>a</w:t>
      </w:r>
      <w:r>
        <w:rPr/>
        <w:t>), al igual que una asociación positiva con el gasto corriente (inciso </w:t>
      </w:r>
      <w:r>
        <w:rPr>
          <w:i/>
        </w:rPr>
        <w:t>b</w:t>
      </w:r>
      <w:r>
        <w:rPr/>
        <w:t>). Frente a ello, para el período 2003-2011 una variación del +1% en los precios de exportación del recurso natural se relacionó con una variación del +0.90% en el gasto de capital y con una variación del +0.89% en el gasto</w:t>
      </w:r>
    </w:p>
    <w:p>
      <w:pPr>
        <w:pStyle w:val="BodyText"/>
        <w:spacing w:line="280" w:lineRule="exact"/>
        <w:ind w:left="122" w:right="148"/>
        <w:rPr>
          <w:sz w:val="16"/>
        </w:rPr>
      </w:pPr>
      <w:r>
        <w:rPr/>
        <w:t>corriente de forma respectiva.</w:t>
      </w:r>
      <w:r>
        <w:rPr>
          <w:position w:val="11"/>
          <w:sz w:val="16"/>
        </w:rPr>
        <w:t>52</w:t>
      </w:r>
    </w:p>
    <w:p>
      <w:pPr>
        <w:pStyle w:val="BodyText"/>
        <w:spacing w:line="360" w:lineRule="auto" w:before="140"/>
        <w:ind w:left="122" w:right="142" w:firstLine="707"/>
        <w:jc w:val="both"/>
      </w:pPr>
      <w:r>
        <w:rPr/>
        <w:t>Sin embargo, la forma de operacionalizar las variables puede cambiar las conclusiones previas. Así por ejemplo, al medir el gasto de capital proporcional a los ingresos fiscales de hidrocarburos y el gasto corriente en términos de ingresos fiscales no hidr                                                                                                                                         La medición del gasto público en términos de ingresos fiscales corresponde a la definición de </w:t>
      </w:r>
      <w:r>
        <w:rPr>
          <w:i/>
        </w:rPr>
        <w:t>presión fiscal </w:t>
      </w:r>
      <w:r>
        <w:rPr/>
        <w:t>(</w:t>
      </w:r>
      <w:r>
        <w:rPr>
          <w:i/>
        </w:rPr>
        <w:t>figura</w:t>
      </w:r>
      <w:r>
        <w:rPr>
          <w:i/>
          <w:spacing w:val="-6"/>
        </w:rPr>
        <w:t> </w:t>
      </w:r>
      <w:r>
        <w:rPr>
          <w:i/>
        </w:rPr>
        <w:t>2.23</w:t>
      </w:r>
      <w:r>
        <w:rPr/>
        <w:t>):</w:t>
      </w:r>
    </w:p>
    <w:p>
      <w:pPr>
        <w:pStyle w:val="BodyText"/>
        <w:rPr>
          <w:sz w:val="20"/>
        </w:rPr>
      </w:pPr>
    </w:p>
    <w:p>
      <w:pPr>
        <w:pStyle w:val="BodyText"/>
        <w:rPr>
          <w:sz w:val="20"/>
        </w:rPr>
      </w:pPr>
    </w:p>
    <w:p>
      <w:pPr>
        <w:pStyle w:val="BodyText"/>
        <w:rPr>
          <w:sz w:val="20"/>
        </w:rPr>
      </w:pPr>
    </w:p>
    <w:p>
      <w:pPr>
        <w:pStyle w:val="BodyText"/>
        <w:spacing w:before="5"/>
        <w:rPr>
          <w:sz w:val="13"/>
        </w:rPr>
      </w:pPr>
      <w:r>
        <w:rPr/>
        <w:pict>
          <v:line style="position:absolute;mso-position-horizontal-relative:page;mso-position-vertical-relative:paragraph;z-index:6904;mso-wrap-distance-left:0;mso-wrap-distance-right:0" from="85.103996pt,9.982676pt" to="229.123996pt,9.982676pt" stroked="true" strokeweight=".60004pt" strokecolor="#000000">
            <w10:wrap type="topAndBottom"/>
          </v:line>
        </w:pict>
      </w:r>
    </w:p>
    <w:p>
      <w:pPr>
        <w:spacing w:before="50"/>
        <w:ind w:left="122" w:right="148" w:firstLine="0"/>
        <w:jc w:val="left"/>
        <w:rPr>
          <w:sz w:val="20"/>
        </w:rPr>
      </w:pPr>
      <w:r>
        <w:rPr>
          <w:position w:val="9"/>
          <w:sz w:val="13"/>
        </w:rPr>
        <w:t>52 </w:t>
      </w:r>
      <w:r>
        <w:rPr>
          <w:sz w:val="20"/>
        </w:rPr>
        <w:t>Al 1% de significancia estadística al emplear correlaciones de Pearson.</w:t>
      </w:r>
    </w:p>
    <w:p>
      <w:pPr>
        <w:spacing w:after="0"/>
        <w:jc w:val="left"/>
        <w:rPr>
          <w:sz w:val="20"/>
        </w:rPr>
        <w:sectPr>
          <w:type w:val="continuous"/>
          <w:pgSz w:w="12250" w:h="15850"/>
          <w:pgMar w:top="1500" w:bottom="280" w:left="1580" w:right="1560"/>
        </w:sectPr>
      </w:pPr>
    </w:p>
    <w:p>
      <w:pPr>
        <w:pStyle w:val="BodyText"/>
        <w:spacing w:line="360" w:lineRule="auto" w:before="50"/>
        <w:ind w:left="241" w:right="1844"/>
        <w:jc w:val="center"/>
      </w:pPr>
      <w:bookmarkStart w:name="_bookmark64" w:id="95"/>
      <w:bookmarkEnd w:id="95"/>
      <w:r>
        <w:rPr/>
      </w:r>
      <w:r>
        <w:rPr/>
        <w:t>Figura 2. 23: Relación entre precios del gas natural y la asignación de ingresos fiscales al gasto público, 2003 -2011</w:t>
      </w:r>
    </w:p>
    <w:p>
      <w:pPr>
        <w:pStyle w:val="BodyText"/>
        <w:spacing w:before="6"/>
        <w:ind w:left="241" w:right="1843"/>
        <w:jc w:val="center"/>
      </w:pPr>
      <w:r>
        <w:rPr/>
        <w:t>Series desestacionalizadas en escala logarítmica</w:t>
      </w:r>
    </w:p>
    <w:p>
      <w:pPr>
        <w:pStyle w:val="BodyText"/>
        <w:spacing w:before="8"/>
        <w:rPr>
          <w:sz w:val="31"/>
        </w:rPr>
      </w:pPr>
    </w:p>
    <w:p>
      <w:pPr>
        <w:pStyle w:val="BodyText"/>
        <w:tabs>
          <w:tab w:pos="4273" w:val="left" w:leader="none"/>
        </w:tabs>
        <w:ind w:left="102" w:right="1103"/>
      </w:pPr>
      <w:r>
        <w:rPr>
          <w:i/>
        </w:rPr>
        <w:t>a</w:t>
      </w:r>
      <w:r>
        <w:rPr/>
        <w:t>) Gasto de capital/ Ing.</w:t>
      </w:r>
      <w:r>
        <w:rPr>
          <w:spacing w:val="-4"/>
        </w:rPr>
        <w:t> </w:t>
      </w:r>
      <w:r>
        <w:rPr/>
        <w:t>Fisc.</w:t>
      </w:r>
      <w:r>
        <w:rPr>
          <w:spacing w:val="-3"/>
        </w:rPr>
        <w:t> </w:t>
      </w:r>
      <w:r>
        <w:rPr/>
        <w:t>Hidr.</w:t>
        <w:tab/>
      </w:r>
      <w:r>
        <w:rPr>
          <w:i/>
        </w:rPr>
        <w:t>b</w:t>
      </w:r>
      <w:r>
        <w:rPr/>
        <w:t>) Gasto corriente/ Ing. Fisc. No</w:t>
      </w:r>
      <w:r>
        <w:rPr>
          <w:spacing w:val="-7"/>
        </w:rPr>
        <w:t> </w:t>
      </w:r>
      <w:r>
        <w:rPr/>
        <w:t>hidr.</w:t>
      </w:r>
    </w:p>
    <w:p>
      <w:pPr>
        <w:spacing w:after="0"/>
        <w:sectPr>
          <w:footerReference w:type="default" r:id="rId149"/>
          <w:pgSz w:w="12250" w:h="15850"/>
          <w:pgMar w:footer="1037" w:header="0" w:top="1360" w:bottom="1220" w:left="1600" w:right="0"/>
          <w:pgNumType w:start="101"/>
        </w:sectPr>
      </w:pPr>
    </w:p>
    <w:p>
      <w:pPr>
        <w:spacing w:before="58"/>
        <w:ind w:left="0" w:right="0" w:firstLine="0"/>
        <w:jc w:val="right"/>
        <w:rPr>
          <w:sz w:val="13"/>
        </w:rPr>
      </w:pPr>
      <w:r>
        <w:rPr/>
        <w:pict>
          <v:group style="position:absolute;margin-left:110.114258pt;margin-top:6.584633pt;width:137.85pt;height:108.85pt;mso-position-horizontal-relative:page;mso-position-vertical-relative:paragraph;z-index:-565024" coordorigin="2202,132" coordsize="2757,2177">
            <v:shape style="position:absolute;left:1680;top:7374;width:5055;height:4568" coordorigin="1680,7374" coordsize="5055,4568" path="m2539,2304l4952,2304m2535,2058l4955,2058m2535,1823l4955,1823m2535,1581l4955,1581m2535,1339l4955,1339m2535,1097l4955,1097m2535,620l4955,620m2535,378l4955,378m2535,136l4955,136e" filled="false" stroked="true" strokeweight=".357534pt" strokecolor="#858585">
              <v:path arrowok="t"/>
              <v:stroke dashstyle="dash"/>
            </v:shape>
            <v:shape style="position:absolute;left:1598;top:7382;width:5131;height:4560" coordorigin="1598,7382" coordsize="5131,4560" path="m2539,2304l2539,139m2496,2304l2539,2304m2496,2062l2539,2062m2496,1820l2539,1820m2496,1578l2539,1578m2496,1343l2539,1343m2496,1101l2539,1101m2496,858l2539,858m2496,616l2539,616m2496,381l2539,381m2496,139l2539,139m2539,858l4952,858m2539,858l2539,901m3207,858l3207,901m3882,858l3882,901m4549,858l4549,901e" filled="false" stroked="true" strokeweight=".357534pt" strokecolor="#858585">
              <v:path arrowok="t"/>
            </v:shape>
            <v:shape style="position:absolute;left:2548;top:1322;width:65;height:65" coordorigin="2548,1322" coordsize="65,65" path="m2581,1322l2548,1355,2581,1387,2613,1355,2581,1322xe" filled="true" fillcolor="#000000" stroked="false">
              <v:path arrowok="t"/>
              <v:fill type="solid"/>
            </v:shape>
            <v:shape style="position:absolute;left:2548;top:1322;width:65;height:65" coordorigin="2548,1322" coordsize="65,65" path="m2581,1387l2548,1355,2581,1322,2613,1355,2581,1387xe" filled="false" stroked="true" strokeweight=".357879pt" strokecolor="#497dba">
              <v:path arrowok="t"/>
            </v:shape>
            <v:shape style="position:absolute;left:2793;top:1258;width:65;height:65" coordorigin="2793,1258" coordsize="65,65" path="m2826,1258l2793,1290,2826,1322,2858,1290,2826,1258xe" filled="true" fillcolor="#000000" stroked="false">
              <v:path arrowok="t"/>
              <v:fill type="solid"/>
            </v:shape>
            <v:shape style="position:absolute;left:2793;top:1258;width:65;height:65" coordorigin="2793,1258" coordsize="65,65" path="m2826,1322l2793,1290,2826,1258,2858,1290,2826,1322xe" filled="false" stroked="true" strokeweight=".357879pt" strokecolor="#497dba">
              <v:path arrowok="t"/>
            </v:shape>
            <v:shape style="position:absolute;left:2694;top:1191;width:65;height:65" coordorigin="2694,1191" coordsize="65,65" path="m2726,1191l2694,1223,2726,1255,2759,1223,2726,1191xe" filled="true" fillcolor="#000000" stroked="false">
              <v:path arrowok="t"/>
              <v:fill type="solid"/>
            </v:shape>
            <v:shape style="position:absolute;left:2694;top:1191;width:65;height:65" coordorigin="2694,1191" coordsize="65,65" path="m2726,1255l2694,1223,2726,1191,2759,1223,2726,1255xe" filled="false" stroked="true" strokeweight=".357879pt" strokecolor="#497dba">
              <v:path arrowok="t"/>
            </v:shape>
            <v:shape style="position:absolute;left:2721;top:1106;width:65;height:65" coordorigin="2721,1106" coordsize="65,65" path="m2754,1106l2721,1138,2754,1170,2786,1138,2754,1106xe" filled="true" fillcolor="#000000" stroked="false">
              <v:path arrowok="t"/>
              <v:fill type="solid"/>
            </v:shape>
            <v:shape style="position:absolute;left:2721;top:1106;width:65;height:65" coordorigin="2721,1106" coordsize="65,65" path="m2754,1170l2721,1138,2754,1106,2786,1138,2754,1170xe" filled="false" stroked="true" strokeweight=".357879pt" strokecolor="#497dba">
              <v:path arrowok="t"/>
            </v:shape>
            <v:shape style="position:absolute;left:2794;top:511;width:65;height:65" coordorigin="2794,511" coordsize="65,65" path="m2826,511l2794,543,2826,575,2859,543,2826,511xe" filled="true" fillcolor="#000000" stroked="false">
              <v:path arrowok="t"/>
              <v:fill type="solid"/>
            </v:shape>
            <v:shape style="position:absolute;left:2794;top:511;width:65;height:65" coordorigin="2794,511" coordsize="65,65" path="m2826,575l2794,543,2826,511,2859,543,2826,575xe" filled="false" stroked="true" strokeweight=".357879pt" strokecolor="#497dba">
              <v:path arrowok="t"/>
            </v:shape>
            <v:shape style="position:absolute;left:2800;top:425;width:65;height:65" coordorigin="2800,425" coordsize="65,65" path="m2832,425l2800,457,2832,489,2865,457,2832,425xe" filled="true" fillcolor="#000000" stroked="false">
              <v:path arrowok="t"/>
              <v:fill type="solid"/>
            </v:shape>
            <v:shape style="position:absolute;left:2800;top:425;width:65;height:65" coordorigin="2800,425" coordsize="65,65" path="m2832,489l2800,457,2832,425,2865,457,2832,489xe" filled="false" stroked="true" strokeweight=".357879pt" strokecolor="#497dba">
              <v:path arrowok="t"/>
            </v:shape>
            <v:shape style="position:absolute;left:2842;top:272;width:65;height:65" coordorigin="2842,272" coordsize="65,65" path="m2874,272l2842,304,2874,336,2907,304,2874,272xe" filled="true" fillcolor="#000000" stroked="false">
              <v:path arrowok="t"/>
              <v:fill type="solid"/>
            </v:shape>
            <v:shape style="position:absolute;left:2842;top:272;width:65;height:65" coordorigin="2842,272" coordsize="65,65" path="m2874,336l2842,304,2874,272,2907,304,2874,336xe" filled="false" stroked="true" strokeweight=".357879pt" strokecolor="#497dba">
              <v:path arrowok="t"/>
            </v:shape>
            <v:shape style="position:absolute;left:2822;top:315;width:65;height:65" coordorigin="2822,315" coordsize="65,65" path="m2854,315l2822,347,2854,379,2886,347,2854,315xe" filled="true" fillcolor="#000000" stroked="false">
              <v:path arrowok="t"/>
              <v:fill type="solid"/>
            </v:shape>
            <v:shape style="position:absolute;left:2822;top:315;width:65;height:65" coordorigin="2822,315" coordsize="65,65" path="m2854,379l2822,347,2854,315,2886,347,2854,379xe" filled="false" stroked="true" strokeweight=".357879pt" strokecolor="#497dba">
              <v:path arrowok="t"/>
            </v:shape>
            <v:shape style="position:absolute;left:2846;top:790;width:65;height:65" coordorigin="2846,790" coordsize="65,65" path="m2878,790l2846,822,2878,854,2910,822,2878,790xe" filled="true" fillcolor="#000000" stroked="false">
              <v:path arrowok="t"/>
              <v:fill type="solid"/>
            </v:shape>
            <v:shape style="position:absolute;left:2846;top:790;width:65;height:65" coordorigin="2846,790" coordsize="65,65" path="m2878,854l2846,822,2878,790,2910,822,2878,854xe" filled="false" stroked="true" strokeweight=".357879pt" strokecolor="#497dba">
              <v:path arrowok="t"/>
            </v:shape>
            <v:shape style="position:absolute;left:2967;top:771;width:65;height:65" coordorigin="2967,771" coordsize="65,65" path="m2999,771l2967,803,2999,835,3031,803,2999,771xe" filled="true" fillcolor="#000000" stroked="false">
              <v:path arrowok="t"/>
              <v:fill type="solid"/>
            </v:shape>
            <v:shape style="position:absolute;left:2967;top:771;width:65;height:65" coordorigin="2967,771" coordsize="65,65" path="m2999,835l2967,803,2999,771,3031,803,2999,835xe" filled="false" stroked="true" strokeweight=".357879pt" strokecolor="#497dba">
              <v:path arrowok="t"/>
            </v:shape>
            <v:shape style="position:absolute;left:3203;top:903;width:65;height:65" coordorigin="3203,903" coordsize="65,65" path="m3235,903l3203,935,3235,967,3267,935,3235,903xe" filled="true" fillcolor="#000000" stroked="false">
              <v:path arrowok="t"/>
              <v:fill type="solid"/>
            </v:shape>
            <v:shape style="position:absolute;left:3203;top:903;width:65;height:65" coordorigin="3203,903" coordsize="65,65" path="m3235,967l3203,935,3235,903,3267,935,3235,967xe" filled="false" stroked="true" strokeweight=".357879pt" strokecolor="#497dba">
              <v:path arrowok="t"/>
            </v:shape>
            <v:shape style="position:absolute;left:3375;top:924;width:65;height:65" coordorigin="3375,924" coordsize="65,65" path="m3408,924l3375,956,3408,988,3440,956,3408,924xe" filled="true" fillcolor="#000000" stroked="false">
              <v:path arrowok="t"/>
              <v:fill type="solid"/>
            </v:shape>
            <v:shape style="position:absolute;left:3375;top:924;width:65;height:65" coordorigin="3375,924" coordsize="65,65" path="m3408,988l3375,956,3408,924,3440,956,3408,988xe" filled="false" stroked="true" strokeweight=".357879pt" strokecolor="#497dba">
              <v:path arrowok="t"/>
            </v:shape>
            <v:shape style="position:absolute;left:3493;top:1378;width:65;height:65" coordorigin="3493,1378" coordsize="65,65" path="m3525,1378l3493,1410,3525,1442,3558,1410,3525,1378xe" filled="true" fillcolor="#000000" stroked="false">
              <v:path arrowok="t"/>
              <v:fill type="solid"/>
            </v:shape>
            <v:shape style="position:absolute;left:3493;top:1378;width:65;height:65" coordorigin="3493,1378" coordsize="65,65" path="m3525,1442l3493,1410,3525,1378,3558,1410,3525,1442xe" filled="false" stroked="true" strokeweight=".357879pt" strokecolor="#497dba">
              <v:path arrowok="t"/>
            </v:shape>
            <v:shape style="position:absolute;left:3609;top:1484;width:65;height:65" coordorigin="3609,1484" coordsize="65,65" path="m3642,1484l3609,1516,3642,1548,3674,1516,3642,1484xe" filled="true" fillcolor="#000000" stroked="false">
              <v:path arrowok="t"/>
              <v:fill type="solid"/>
            </v:shape>
            <v:shape style="position:absolute;left:3609;top:1484;width:65;height:65" coordorigin="3609,1484" coordsize="65,65" path="m3642,1548l3609,1516,3642,1484,3674,1516,3642,1548xe" filled="false" stroked="true" strokeweight=".357879pt" strokecolor="#497dba">
              <v:path arrowok="t"/>
            </v:shape>
            <v:shape style="position:absolute;left:3751;top:1661;width:65;height:65" coordorigin="3751,1661" coordsize="65,65" path="m3783,1661l3751,1693,3783,1725,3815,1693,3783,1661xe" filled="true" fillcolor="#000000" stroked="false">
              <v:path arrowok="t"/>
              <v:fill type="solid"/>
            </v:shape>
            <v:shape style="position:absolute;left:3751;top:1661;width:65;height:65" coordorigin="3751,1661" coordsize="65,65" path="m3783,1725l3751,1693,3783,1661,3815,1693,3783,1725xe" filled="false" stroked="true" strokeweight=".357879pt" strokecolor="#497dba">
              <v:path arrowok="t"/>
            </v:shape>
            <v:shape style="position:absolute;left:3734;top:1700;width:65;height:65" coordorigin="3734,1700" coordsize="65,65" path="m3766,1700l3734,1732,3766,1764,3799,1732,3766,1700xe" filled="true" fillcolor="#000000" stroked="false">
              <v:path arrowok="t"/>
              <v:fill type="solid"/>
            </v:shape>
            <v:shape style="position:absolute;left:3734;top:1700;width:65;height:65" coordorigin="3734,1700" coordsize="65,65" path="m3766,1764l3734,1732,3766,1700,3799,1732,3766,1764xe" filled="false" stroked="true" strokeweight=".35788pt" strokecolor="#497dba">
              <v:path arrowok="t"/>
            </v:shape>
            <v:shape style="position:absolute;left:3717;top:1630;width:65;height:65" coordorigin="3717,1630" coordsize="65,65" path="m3749,1630l3717,1662,3749,1694,3781,1662,3749,1630xe" filled="true" fillcolor="#000000" stroked="false">
              <v:path arrowok="t"/>
              <v:fill type="solid"/>
            </v:shape>
            <v:shape style="position:absolute;left:3717;top:1630;width:65;height:65" coordorigin="3717,1630" coordsize="65,65" path="m3749,1694l3717,1662,3749,1630,3781,1662,3749,1694xe" filled="false" stroked="true" strokeweight=".357879pt" strokecolor="#497dba">
              <v:path arrowok="t"/>
            </v:shape>
            <v:shape style="position:absolute;left:3672;top:1526;width:65;height:65" coordorigin="3672,1526" coordsize="65,65" path="m3705,1526l3672,1558,3705,1590,3737,1558,3705,1526xe" filled="true" fillcolor="#000000" stroked="false">
              <v:path arrowok="t"/>
              <v:fill type="solid"/>
            </v:shape>
            <v:shape style="position:absolute;left:3672;top:1526;width:65;height:65" coordorigin="3672,1526" coordsize="65,65" path="m3705,1590l3672,1558,3705,1526,3737,1558,3705,1590xe" filled="false" stroked="true" strokeweight=".357879pt" strokecolor="#497dba">
              <v:path arrowok="t"/>
            </v:shape>
            <v:shape style="position:absolute;left:3776;top:1547;width:65;height:65" coordorigin="3776,1547" coordsize="65,65" path="m3809,1547l3776,1579,3809,1611,3841,1579,3809,1547xe" filled="true" fillcolor="#000000" stroked="false">
              <v:path arrowok="t"/>
              <v:fill type="solid"/>
            </v:shape>
            <v:shape style="position:absolute;left:3776;top:1547;width:65;height:65" coordorigin="3776,1547" coordsize="65,65" path="m3809,1611l3776,1579,3809,1547,3841,1579,3809,1611xe" filled="false" stroked="true" strokeweight=".357879pt" strokecolor="#497dba">
              <v:path arrowok="t"/>
            </v:shape>
            <v:shape style="position:absolute;left:3929;top:1628;width:65;height:65" coordorigin="3929,1628" coordsize="65,65" path="m3961,1628l3929,1660,3961,1692,3993,1660,3961,1628xe" filled="true" fillcolor="#000000" stroked="false">
              <v:path arrowok="t"/>
              <v:fill type="solid"/>
            </v:shape>
            <v:shape style="position:absolute;left:3929;top:1628;width:65;height:65" coordorigin="3929,1628" coordsize="65,65" path="m3961,1692l3929,1660,3961,1628,3993,1660,3961,1692xe" filled="false" stroked="true" strokeweight=".357879pt" strokecolor="#497dba">
              <v:path arrowok="t"/>
            </v:shape>
            <v:shape style="position:absolute;left:4174;top:1678;width:65;height:65" coordorigin="4174,1678" coordsize="65,65" path="m4206,1678l4174,1710,4206,1742,4238,1710,4206,1678xe" filled="true" fillcolor="#000000" stroked="false">
              <v:path arrowok="t"/>
              <v:fill type="solid"/>
            </v:shape>
            <v:shape style="position:absolute;left:4174;top:1678;width:65;height:65" coordorigin="4174,1678" coordsize="65,65" path="m4206,1742l4174,1710,4206,1678,4238,1710,4206,1742xe" filled="false" stroked="true" strokeweight=".357879pt" strokecolor="#497dba">
              <v:path arrowok="t"/>
            </v:shape>
            <v:shape style="position:absolute;left:4291;top:1872;width:65;height:65" coordorigin="4291,1872" coordsize="65,65" path="m4323,1872l4291,1904,4323,1936,4356,1904,4323,1872xe" filled="true" fillcolor="#000000" stroked="false">
              <v:path arrowok="t"/>
              <v:fill type="solid"/>
            </v:shape>
            <v:shape style="position:absolute;left:4291;top:1872;width:65;height:65" coordorigin="4291,1872" coordsize="65,65" path="m4323,1936l4291,1904,4323,1872,4356,1904,4323,1936xe" filled="false" stroked="true" strokeweight=".357879pt" strokecolor="#497dba">
              <v:path arrowok="t"/>
            </v:shape>
            <v:shape style="position:absolute;left:4483;top:1842;width:65;height:65" coordorigin="4483,1842" coordsize="65,65" path="m4516,1842l4483,1874,4516,1906,4548,1874,4516,1842xe" filled="true" fillcolor="#000000" stroked="false">
              <v:path arrowok="t"/>
              <v:fill type="solid"/>
            </v:shape>
            <v:shape style="position:absolute;left:4483;top:1842;width:65;height:65" coordorigin="4483,1842" coordsize="65,65" path="m4516,1906l4483,1874,4516,1842,4548,1874,4516,1906xe" filled="false" stroked="true" strokeweight=".357879pt" strokecolor="#497dba">
              <v:path arrowok="t"/>
            </v:shape>
            <v:shape style="position:absolute;left:4664;top:1859;width:65;height:65" coordorigin="4664,1859" coordsize="65,65" path="m4696,1859l4664,1891,4696,1923,4728,1891,4696,1859xe" filled="true" fillcolor="#000000" stroked="false">
              <v:path arrowok="t"/>
              <v:fill type="solid"/>
            </v:shape>
            <v:shape style="position:absolute;left:4664;top:1859;width:65;height:65" coordorigin="4664,1859" coordsize="65,65" path="m4696,1923l4664,1891,4696,1859,4728,1891,4696,1923xe" filled="false" stroked="true" strokeweight=".357879pt" strokecolor="#497dba">
              <v:path arrowok="t"/>
            </v:shape>
            <v:shape style="position:absolute;left:4272;top:1585;width:65;height:65" coordorigin="4272,1585" coordsize="65,65" path="m4304,1585l4272,1617,4304,1649,4336,1617,4304,1585xe" filled="true" fillcolor="#000000" stroked="false">
              <v:path arrowok="t"/>
              <v:fill type="solid"/>
            </v:shape>
            <v:shape style="position:absolute;left:4272;top:1585;width:65;height:65" coordorigin="4272,1585" coordsize="65,65" path="m4304,1649l4272,1617,4304,1585,4336,1617,4304,1649xe" filled="false" stroked="true" strokeweight=".357879pt" strokecolor="#497dba">
              <v:path arrowok="t"/>
            </v:shape>
            <v:shape style="position:absolute;left:3911;top:1737;width:65;height:65" coordorigin="3911,1737" coordsize="65,65" path="m3943,1737l3911,1769,3943,1801,3975,1769,3943,1737xe" filled="true" fillcolor="#000000" stroked="false">
              <v:path arrowok="t"/>
              <v:fill type="solid"/>
            </v:shape>
            <v:shape style="position:absolute;left:3911;top:1737;width:65;height:65" coordorigin="3911,1737" coordsize="65,65" path="m3943,1801l3911,1769,3943,1737,3975,1769,3943,1801xe" filled="false" stroked="true" strokeweight=".357879pt" strokecolor="#497dba">
              <v:path arrowok="t"/>
            </v:shape>
            <v:shape style="position:absolute;left:3892;top:1710;width:65;height:65" coordorigin="3892,1710" coordsize="65,65" path="m3924,1710l3892,1742,3924,1774,3956,1742,3924,1710xe" filled="true" fillcolor="#000000" stroked="false">
              <v:path arrowok="t"/>
              <v:fill type="solid"/>
            </v:shape>
            <v:shape style="position:absolute;left:3892;top:1710;width:65;height:65" coordorigin="3892,1710" coordsize="65,65" path="m3924,1774l3892,1742,3924,1710,3956,1742,3924,1774xe" filled="false" stroked="true" strokeweight=".357879pt" strokecolor="#497dba">
              <v:path arrowok="t"/>
            </v:shape>
            <v:shape style="position:absolute;left:4011;top:1725;width:65;height:65" coordorigin="4011,1725" coordsize="65,65" path="m4044,1725l4011,1757,4044,1789,4076,1757,4044,1725xe" filled="true" fillcolor="#000000" stroked="false">
              <v:path arrowok="t"/>
              <v:fill type="solid"/>
            </v:shape>
            <v:shape style="position:absolute;left:4011;top:1725;width:65;height:65" coordorigin="4011,1725" coordsize="65,65" path="m4044,1789l4011,1757,4044,1725,4076,1757,4044,1789xe" filled="false" stroked="true" strokeweight=".357879pt" strokecolor="#497dba">
              <v:path arrowok="t"/>
            </v:shape>
            <v:shape style="position:absolute;left:4234;top:1436;width:65;height:65" coordorigin="4234,1436" coordsize="65,65" path="m4266,1436l4234,1468,4266,1501,4298,1468,4266,1436xe" filled="true" fillcolor="#000000" stroked="false">
              <v:path arrowok="t"/>
              <v:fill type="solid"/>
            </v:shape>
            <v:shape style="position:absolute;left:4234;top:1436;width:65;height:65" coordorigin="4234,1436" coordsize="65,65" path="m4266,1501l4234,1468,4266,1436,4298,1468,4266,1501xe" filled="false" stroked="true" strokeweight=".357879pt" strokecolor="#497dba">
              <v:path arrowok="t"/>
            </v:shape>
            <v:shape style="position:absolute;left:4321;top:1592;width:65;height:65" coordorigin="4321,1592" coordsize="65,65" path="m4353,1592l4321,1624,4353,1656,4386,1624,4353,1592xe" filled="true" fillcolor="#000000" stroked="false">
              <v:path arrowok="t"/>
              <v:fill type="solid"/>
            </v:shape>
            <v:shape style="position:absolute;left:4321;top:1592;width:65;height:65" coordorigin="4321,1592" coordsize="65,65" path="m4353,1656l4321,1624,4353,1592,4386,1624,4353,1656xe" filled="false" stroked="true" strokeweight=".357879pt" strokecolor="#497dba">
              <v:path arrowok="t"/>
            </v:shape>
            <v:shape style="position:absolute;left:4331;top:1815;width:65;height:65" coordorigin="4331,1815" coordsize="65,65" path="m4363,1815l4331,1847,4363,1879,4395,1847,4363,1815xe" filled="true" fillcolor="#000000" stroked="false">
              <v:path arrowok="t"/>
              <v:fill type="solid"/>
            </v:shape>
            <v:shape style="position:absolute;left:4331;top:1815;width:65;height:65" coordorigin="4331,1815" coordsize="65,65" path="m4363,1879l4331,1847,4363,1815,4395,1847,4363,1879xe" filled="false" stroked="true" strokeweight=".357879pt" strokecolor="#497dba">
              <v:path arrowok="t"/>
            </v:shape>
            <v:shape style="position:absolute;left:4307;top:1917;width:65;height:65" coordorigin="4307,1917" coordsize="65,65" path="m4339,1917l4307,1949,4339,1981,4372,1949,4339,1917xe" filled="true" fillcolor="#000000" stroked="false">
              <v:path arrowok="t"/>
              <v:fill type="solid"/>
            </v:shape>
            <v:shape style="position:absolute;left:4307;top:1917;width:65;height:65" coordorigin="4307,1917" coordsize="65,65" path="m4339,1981l4307,1949,4339,1917,4372,1949,4339,1981xe" filled="false" stroked="true" strokeweight=".357879pt" strokecolor="#497dba">
              <v:path arrowok="t"/>
            </v:shape>
            <v:shape style="position:absolute;left:4399;top:1806;width:65;height:65" coordorigin="4399,1806" coordsize="65,65" path="m4432,1806l4399,1838,4432,1871,4464,1838,4432,1806xe" filled="true" fillcolor="#000000" stroked="false">
              <v:path arrowok="t"/>
              <v:fill type="solid"/>
            </v:shape>
            <v:shape style="position:absolute;left:4399;top:1806;width:65;height:65" coordorigin="4399,1806" coordsize="65,65" path="m4432,1871l4399,1838,4432,1806,4464,1838,4432,1871xe" filled="false" stroked="true" strokeweight=".357879pt" strokecolor="#497dba">
              <v:path arrowok="t"/>
            </v:shape>
            <v:shape style="position:absolute;left:4580;top:1711;width:65;height:65" coordorigin="4580,1711" coordsize="65,65" path="m4613,1711l4580,1743,4613,1775,4645,1743,4613,1711xe" filled="true" fillcolor="#000000" stroked="false">
              <v:path arrowok="t"/>
              <v:fill type="solid"/>
            </v:shape>
            <v:shape style="position:absolute;left:4580;top:1711;width:65;height:65" coordorigin="4580,1711" coordsize="65,65" path="m4613,1775l4580,1743,4613,1711,4645,1743,4613,1775xe" filled="false" stroked="true" strokeweight=".357879pt" strokecolor="#497dba">
              <v:path arrowok="t"/>
            </v:shape>
            <v:shape style="position:absolute;left:4742;top:1686;width:65;height:65" coordorigin="4742,1686" coordsize="65,65" path="m4774,1686l4742,1718,4774,1750,4807,1718,4774,1686xe" filled="true" fillcolor="#000000" stroked="false">
              <v:path arrowok="t"/>
              <v:fill type="solid"/>
            </v:shape>
            <v:shape style="position:absolute;left:4742;top:1686;width:65;height:65" coordorigin="4742,1686" coordsize="65,65" path="m4774,1750l4742,1718,4774,1686,4807,1718,4774,1750xe" filled="false" stroked="true" strokeweight=".35788pt" strokecolor="#497dba">
              <v:path arrowok="t"/>
            </v:shape>
            <v:shape style="position:absolute;left:4814;top:1538;width:65;height:65" coordorigin="4814,1538" coordsize="65,65" path="m4847,1538l4814,1570,4847,1602,4879,1570,4847,1538xe" filled="true" fillcolor="#000000" stroked="false">
              <v:path arrowok="t"/>
              <v:fill type="solid"/>
            </v:shape>
            <v:shape style="position:absolute;left:4814;top:1538;width:65;height:65" coordorigin="4814,1538" coordsize="65,65" path="m4847,1602l4814,1570,4847,1538,4879,1570,4847,1602xe" filled="false" stroked="true" strokeweight=".357879pt" strokecolor="#497dba">
              <v:path arrowok="t"/>
            </v:shape>
            <v:line style="position:absolute" from="2575,780" to="4837,2012" stroked="true" strokeweight="1.070171pt" strokecolor="#000000"/>
            <v:shape style="position:absolute;left:2202;top:311;width:418;height:1824" type="#_x0000_t202" filled="false" stroked="false">
              <v:textbox inset="0,0,0,0">
                <w:txbxContent>
                  <w:p>
                    <w:pPr>
                      <w:spacing w:line="137" w:lineRule="exact" w:before="0"/>
                      <w:ind w:left="44" w:right="-17" w:firstLine="0"/>
                      <w:jc w:val="left"/>
                      <w:rPr>
                        <w:sz w:val="13"/>
                      </w:rPr>
                    </w:pPr>
                    <w:r>
                      <w:rPr>
                        <w:w w:val="105"/>
                        <w:sz w:val="13"/>
                      </w:rPr>
                      <w:t>0.4</w:t>
                    </w:r>
                  </w:p>
                  <w:p>
                    <w:pPr>
                      <w:spacing w:before="91"/>
                      <w:ind w:left="44" w:right="-17" w:firstLine="0"/>
                      <w:jc w:val="left"/>
                      <w:rPr>
                        <w:sz w:val="13"/>
                      </w:rPr>
                    </w:pPr>
                    <w:r>
                      <w:rPr>
                        <w:w w:val="105"/>
                        <w:sz w:val="13"/>
                      </w:rPr>
                      <w:t>0.2</w:t>
                    </w:r>
                  </w:p>
                  <w:p>
                    <w:pPr>
                      <w:spacing w:before="91"/>
                      <w:ind w:left="44" w:right="-17" w:firstLine="0"/>
                      <w:jc w:val="left"/>
                      <w:rPr>
                        <w:sz w:val="13"/>
                      </w:rPr>
                    </w:pPr>
                    <w:r>
                      <w:rPr>
                        <w:w w:val="105"/>
                        <w:sz w:val="13"/>
                      </w:rPr>
                      <w:t>0.0</w:t>
                    </w:r>
                  </w:p>
                  <w:p>
                    <w:pPr>
                      <w:spacing w:before="11"/>
                      <w:ind w:left="0" w:right="-17" w:firstLine="0"/>
                      <w:jc w:val="left"/>
                      <w:rPr>
                        <w:sz w:val="13"/>
                      </w:rPr>
                    </w:pPr>
                    <w:r>
                      <w:rPr>
                        <w:w w:val="105"/>
                        <w:sz w:val="13"/>
                      </w:rPr>
                      <w:t>-0.2</w:t>
                    </w:r>
                    <w:r>
                      <w:rPr>
                        <w:spacing w:val="-6"/>
                        <w:w w:val="105"/>
                        <w:sz w:val="13"/>
                      </w:rPr>
                      <w:t> </w:t>
                    </w:r>
                    <w:r>
                      <w:rPr>
                        <w:w w:val="105"/>
                        <w:position w:val="8"/>
                        <w:sz w:val="13"/>
                      </w:rPr>
                      <w:t>0.5</w:t>
                    </w:r>
                  </w:p>
                  <w:p>
                    <w:pPr>
                      <w:spacing w:before="91"/>
                      <w:ind w:left="0" w:right="-17" w:firstLine="0"/>
                      <w:jc w:val="left"/>
                      <w:rPr>
                        <w:sz w:val="13"/>
                      </w:rPr>
                    </w:pPr>
                    <w:r>
                      <w:rPr>
                        <w:w w:val="105"/>
                        <w:sz w:val="13"/>
                      </w:rPr>
                      <w:t>-0.4</w:t>
                    </w:r>
                  </w:p>
                  <w:p>
                    <w:pPr>
                      <w:spacing w:before="91"/>
                      <w:ind w:left="0" w:right="-17" w:firstLine="0"/>
                      <w:jc w:val="left"/>
                      <w:rPr>
                        <w:sz w:val="13"/>
                      </w:rPr>
                    </w:pPr>
                    <w:r>
                      <w:rPr>
                        <w:w w:val="105"/>
                        <w:sz w:val="13"/>
                      </w:rPr>
                      <w:t>-0.6</w:t>
                    </w:r>
                  </w:p>
                  <w:p>
                    <w:pPr>
                      <w:spacing w:before="91"/>
                      <w:ind w:left="0" w:right="-17" w:firstLine="0"/>
                      <w:jc w:val="left"/>
                      <w:rPr>
                        <w:sz w:val="13"/>
                      </w:rPr>
                    </w:pPr>
                    <w:r>
                      <w:rPr>
                        <w:w w:val="105"/>
                        <w:sz w:val="13"/>
                      </w:rPr>
                      <w:t>-0.8</w:t>
                    </w:r>
                  </w:p>
                  <w:p>
                    <w:pPr>
                      <w:spacing w:line="148" w:lineRule="exact" w:before="91"/>
                      <w:ind w:left="0" w:right="-17" w:firstLine="0"/>
                      <w:jc w:val="left"/>
                      <w:rPr>
                        <w:sz w:val="13"/>
                      </w:rPr>
                    </w:pPr>
                    <w:r>
                      <w:rPr>
                        <w:w w:val="105"/>
                        <w:sz w:val="13"/>
                      </w:rPr>
                      <w:t>-1.0</w:t>
                    </w:r>
                  </w:p>
                </w:txbxContent>
              </v:textbox>
              <w10:wrap type="none"/>
            </v:shape>
            <v:shape style="position:absolute;left:3118;top:953;width:177;height:136" type="#_x0000_t202" filled="false" stroked="false">
              <v:textbox inset="0,0,0,0">
                <w:txbxContent>
                  <w:p>
                    <w:pPr>
                      <w:spacing w:line="136" w:lineRule="exact" w:before="0"/>
                      <w:ind w:left="0" w:right="-14" w:firstLine="0"/>
                      <w:jc w:val="left"/>
                      <w:rPr>
                        <w:sz w:val="13"/>
                      </w:rPr>
                    </w:pPr>
                    <w:r>
                      <w:rPr>
                        <w:w w:val="105"/>
                        <w:sz w:val="13"/>
                      </w:rPr>
                      <w:t>1.0</w:t>
                    </w:r>
                  </w:p>
                </w:txbxContent>
              </v:textbox>
              <w10:wrap type="none"/>
            </v:shape>
            <v:shape style="position:absolute;left:3791;top:953;width:176;height:136" type="#_x0000_t202" filled="false" stroked="false">
              <v:textbox inset="0,0,0,0">
                <w:txbxContent>
                  <w:p>
                    <w:pPr>
                      <w:spacing w:line="136" w:lineRule="exact" w:before="0"/>
                      <w:ind w:left="0" w:right="-15" w:firstLine="0"/>
                      <w:jc w:val="left"/>
                      <w:rPr>
                        <w:sz w:val="13"/>
                      </w:rPr>
                    </w:pPr>
                    <w:r>
                      <w:rPr>
                        <w:w w:val="105"/>
                        <w:sz w:val="13"/>
                      </w:rPr>
                      <w:t>1.5</w:t>
                    </w:r>
                  </w:p>
                </w:txbxContent>
              </v:textbox>
              <w10:wrap type="none"/>
            </v:shape>
            <v:shape style="position:absolute;left:4464;top:953;width:177;height:136" type="#_x0000_t202" filled="false" stroked="false">
              <v:textbox inset="0,0,0,0">
                <w:txbxContent>
                  <w:p>
                    <w:pPr>
                      <w:spacing w:line="136" w:lineRule="exact" w:before="0"/>
                      <w:ind w:left="0" w:right="-14" w:firstLine="0"/>
                      <w:jc w:val="left"/>
                      <w:rPr>
                        <w:sz w:val="13"/>
                      </w:rPr>
                    </w:pPr>
                    <w:r>
                      <w:rPr>
                        <w:w w:val="105"/>
                        <w:sz w:val="13"/>
                      </w:rPr>
                      <w:t>2.0</w:t>
                    </w:r>
                  </w:p>
                </w:txbxContent>
              </v:textbox>
              <w10:wrap type="none"/>
            </v:shape>
            <w10:wrap type="none"/>
          </v:group>
        </w:pict>
      </w:r>
      <w:r>
        <w:rPr/>
        <w:pict>
          <v:shape style="position:absolute;margin-left:94.07325pt;margin-top:9.434777pt;width:8.85pt;height:102.75pt;mso-position-horizontal-relative:page;mso-position-vertical-relative:paragraph;z-index:7144" type="#_x0000_t202" filled="false" stroked="false">
            <v:textbox inset="0,0,0,0" style="layout-flow:vertical;mso-layout-flow-alt:bottom-to-top">
              <w:txbxContent>
                <w:p>
                  <w:pPr>
                    <w:spacing w:line="158" w:lineRule="exact" w:before="0"/>
                    <w:ind w:left="20" w:right="-366" w:firstLine="0"/>
                    <w:jc w:val="left"/>
                    <w:rPr>
                      <w:rFonts w:ascii="Constantia"/>
                      <w:b/>
                      <w:sz w:val="13"/>
                    </w:rPr>
                  </w:pPr>
                  <w:r>
                    <w:rPr>
                      <w:rFonts w:ascii="Constantia"/>
                      <w:b/>
                      <w:spacing w:val="-1"/>
                      <w:w w:val="104"/>
                      <w:sz w:val="13"/>
                    </w:rPr>
                    <w:t>G</w:t>
                  </w:r>
                  <w:r>
                    <w:rPr>
                      <w:rFonts w:ascii="Constantia"/>
                      <w:b/>
                      <w:spacing w:val="-2"/>
                      <w:w w:val="104"/>
                      <w:sz w:val="13"/>
                    </w:rPr>
                    <w:t>a</w:t>
                  </w:r>
                  <w:r>
                    <w:rPr>
                      <w:rFonts w:ascii="Constantia"/>
                      <w:b/>
                      <w:spacing w:val="2"/>
                      <w:w w:val="104"/>
                      <w:sz w:val="13"/>
                    </w:rPr>
                    <w:t>s</w:t>
                  </w:r>
                  <w:r>
                    <w:rPr>
                      <w:rFonts w:ascii="Constantia"/>
                      <w:b/>
                      <w:spacing w:val="-3"/>
                      <w:w w:val="104"/>
                      <w:sz w:val="13"/>
                    </w:rPr>
                    <w:t>t</w:t>
                  </w:r>
                  <w:r>
                    <w:rPr>
                      <w:rFonts w:ascii="Constantia"/>
                      <w:b/>
                      <w:w w:val="104"/>
                      <w:sz w:val="13"/>
                    </w:rPr>
                    <w:t>o</w:t>
                  </w:r>
                  <w:r>
                    <w:rPr>
                      <w:rFonts w:ascii="Constantia"/>
                      <w:b/>
                      <w:spacing w:val="-13"/>
                      <w:sz w:val="13"/>
                    </w:rPr>
                    <w:t> </w:t>
                  </w:r>
                  <w:r>
                    <w:rPr>
                      <w:rFonts w:ascii="Constantia"/>
                      <w:b/>
                      <w:spacing w:val="1"/>
                      <w:w w:val="104"/>
                      <w:sz w:val="13"/>
                    </w:rPr>
                    <w:t>d</w:t>
                  </w:r>
                  <w:r>
                    <w:rPr>
                      <w:rFonts w:ascii="Constantia"/>
                      <w:b/>
                      <w:w w:val="104"/>
                      <w:sz w:val="13"/>
                    </w:rPr>
                    <w:t>e</w:t>
                  </w:r>
                  <w:r>
                    <w:rPr>
                      <w:rFonts w:ascii="Constantia"/>
                      <w:b/>
                      <w:spacing w:val="-12"/>
                      <w:sz w:val="13"/>
                    </w:rPr>
                    <w:t> </w:t>
                  </w:r>
                  <w:r>
                    <w:rPr>
                      <w:rFonts w:ascii="Constantia"/>
                      <w:b/>
                      <w:spacing w:val="3"/>
                      <w:w w:val="104"/>
                      <w:sz w:val="13"/>
                    </w:rPr>
                    <w:t>C</w:t>
                  </w:r>
                  <w:r>
                    <w:rPr>
                      <w:rFonts w:ascii="Constantia"/>
                      <w:b/>
                      <w:spacing w:val="-2"/>
                      <w:w w:val="104"/>
                      <w:sz w:val="13"/>
                    </w:rPr>
                    <w:t>a</w:t>
                  </w:r>
                  <w:r>
                    <w:rPr>
                      <w:rFonts w:ascii="Constantia"/>
                      <w:b/>
                      <w:spacing w:val="2"/>
                      <w:w w:val="104"/>
                      <w:sz w:val="13"/>
                    </w:rPr>
                    <w:t>p</w:t>
                  </w:r>
                  <w:r>
                    <w:rPr>
                      <w:rFonts w:ascii="Constantia"/>
                      <w:b/>
                      <w:spacing w:val="-3"/>
                      <w:w w:val="104"/>
                      <w:sz w:val="13"/>
                    </w:rPr>
                    <w:t>it</w:t>
                  </w:r>
                  <w:r>
                    <w:rPr>
                      <w:rFonts w:ascii="Constantia"/>
                      <w:b/>
                      <w:spacing w:val="-2"/>
                      <w:w w:val="104"/>
                      <w:sz w:val="13"/>
                    </w:rPr>
                    <w:t>al</w:t>
                  </w:r>
                  <w:r>
                    <w:rPr>
                      <w:rFonts w:ascii="Constantia"/>
                      <w:b/>
                      <w:w w:val="104"/>
                      <w:sz w:val="13"/>
                    </w:rPr>
                    <w:t>/</w:t>
                  </w:r>
                  <w:r>
                    <w:rPr>
                      <w:rFonts w:ascii="Constantia"/>
                      <w:b/>
                      <w:spacing w:val="-8"/>
                      <w:sz w:val="13"/>
                    </w:rPr>
                    <w:t> </w:t>
                  </w:r>
                  <w:r>
                    <w:rPr>
                      <w:rFonts w:ascii="Constantia"/>
                      <w:b/>
                      <w:spacing w:val="-4"/>
                      <w:w w:val="104"/>
                      <w:sz w:val="13"/>
                    </w:rPr>
                    <w:t>I</w:t>
                  </w:r>
                  <w:r>
                    <w:rPr>
                      <w:rFonts w:ascii="Constantia"/>
                      <w:b/>
                      <w:spacing w:val="-2"/>
                      <w:w w:val="104"/>
                      <w:sz w:val="13"/>
                    </w:rPr>
                    <w:t>n</w:t>
                  </w:r>
                  <w:r>
                    <w:rPr>
                      <w:rFonts w:ascii="Constantia"/>
                      <w:b/>
                      <w:spacing w:val="-3"/>
                      <w:w w:val="104"/>
                      <w:sz w:val="13"/>
                    </w:rPr>
                    <w:t>g</w:t>
                  </w:r>
                  <w:r>
                    <w:rPr>
                      <w:rFonts w:ascii="Constantia"/>
                      <w:b/>
                      <w:w w:val="104"/>
                      <w:sz w:val="13"/>
                    </w:rPr>
                    <w:t>.</w:t>
                  </w:r>
                  <w:r>
                    <w:rPr>
                      <w:rFonts w:ascii="Constantia"/>
                      <w:b/>
                      <w:spacing w:val="1"/>
                      <w:sz w:val="13"/>
                    </w:rPr>
                    <w:t> </w:t>
                  </w:r>
                  <w:r>
                    <w:rPr>
                      <w:rFonts w:ascii="Constantia"/>
                      <w:b/>
                      <w:spacing w:val="2"/>
                      <w:w w:val="104"/>
                      <w:sz w:val="13"/>
                    </w:rPr>
                    <w:t>F</w:t>
                  </w:r>
                  <w:r>
                    <w:rPr>
                      <w:rFonts w:ascii="Constantia"/>
                      <w:b/>
                      <w:spacing w:val="-3"/>
                      <w:w w:val="104"/>
                      <w:sz w:val="13"/>
                    </w:rPr>
                    <w:t>i</w:t>
                  </w:r>
                  <w:r>
                    <w:rPr>
                      <w:rFonts w:ascii="Constantia"/>
                      <w:b/>
                      <w:spacing w:val="2"/>
                      <w:w w:val="104"/>
                      <w:sz w:val="13"/>
                    </w:rPr>
                    <w:t>s</w:t>
                  </w:r>
                  <w:r>
                    <w:rPr>
                      <w:rFonts w:ascii="Constantia"/>
                      <w:b/>
                      <w:spacing w:val="-2"/>
                      <w:w w:val="104"/>
                      <w:sz w:val="13"/>
                    </w:rPr>
                    <w:t>c</w:t>
                  </w:r>
                  <w:r>
                    <w:rPr>
                      <w:rFonts w:ascii="Constantia"/>
                      <w:b/>
                      <w:w w:val="104"/>
                      <w:sz w:val="13"/>
                    </w:rPr>
                    <w:t>.</w:t>
                  </w:r>
                  <w:r>
                    <w:rPr>
                      <w:rFonts w:ascii="Constantia"/>
                      <w:b/>
                      <w:spacing w:val="-6"/>
                      <w:sz w:val="13"/>
                    </w:rPr>
                    <w:t> </w:t>
                  </w:r>
                  <w:r>
                    <w:rPr>
                      <w:rFonts w:ascii="Constantia"/>
                      <w:b/>
                      <w:spacing w:val="1"/>
                      <w:w w:val="104"/>
                      <w:sz w:val="13"/>
                    </w:rPr>
                    <w:t>H</w:t>
                  </w:r>
                  <w:r>
                    <w:rPr>
                      <w:rFonts w:ascii="Constantia"/>
                      <w:b/>
                      <w:spacing w:val="-3"/>
                      <w:w w:val="104"/>
                      <w:sz w:val="13"/>
                    </w:rPr>
                    <w:t>i</w:t>
                  </w:r>
                  <w:r>
                    <w:rPr>
                      <w:rFonts w:ascii="Constantia"/>
                      <w:b/>
                      <w:spacing w:val="1"/>
                      <w:w w:val="104"/>
                      <w:sz w:val="13"/>
                    </w:rPr>
                    <w:t>d</w:t>
                  </w:r>
                  <w:r>
                    <w:rPr>
                      <w:rFonts w:ascii="Constantia"/>
                      <w:b/>
                      <w:spacing w:val="-17"/>
                      <w:w w:val="104"/>
                      <w:sz w:val="13"/>
                    </w:rPr>
                    <w:t>r</w:t>
                  </w:r>
                  <w:r>
                    <w:rPr>
                      <w:rFonts w:ascii="Constantia"/>
                      <w:b/>
                      <w:w w:val="104"/>
                      <w:sz w:val="13"/>
                    </w:rPr>
                    <w:t>.</w:t>
                  </w:r>
                </w:p>
              </w:txbxContent>
            </v:textbox>
            <w10:wrap type="none"/>
          </v:shape>
        </w:pict>
      </w:r>
      <w:r>
        <w:rPr>
          <w:w w:val="105"/>
          <w:sz w:val="13"/>
        </w:rPr>
        <w:t>0.6</w:t>
      </w: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spacing w:line="130" w:lineRule="exact" w:before="88"/>
        <w:ind w:left="0" w:right="0" w:firstLine="0"/>
        <w:jc w:val="right"/>
        <w:rPr>
          <w:sz w:val="13"/>
        </w:rPr>
      </w:pPr>
      <w:r>
        <w:rPr>
          <w:w w:val="105"/>
          <w:sz w:val="13"/>
        </w:rPr>
        <w:t>-1.2</w:t>
      </w:r>
    </w:p>
    <w:p>
      <w:pPr>
        <w:spacing w:before="94"/>
        <w:ind w:left="640" w:right="0" w:firstLine="0"/>
        <w:jc w:val="left"/>
        <w:rPr>
          <w:sz w:val="13"/>
        </w:rPr>
      </w:pPr>
      <w:r>
        <w:rPr/>
        <w:br w:type="column"/>
      </w:r>
      <w:r>
        <w:rPr>
          <w:sz w:val="13"/>
        </w:rPr>
        <w:t>0.5</w:t>
      </w:r>
    </w:p>
    <w:p>
      <w:pPr>
        <w:spacing w:before="80"/>
        <w:ind w:left="640" w:right="0" w:firstLine="0"/>
        <w:jc w:val="left"/>
        <w:rPr>
          <w:sz w:val="13"/>
        </w:rPr>
      </w:pPr>
      <w:r>
        <w:rPr/>
        <w:pict>
          <v:group style="position:absolute;margin-left:329.395935pt;margin-top:-3.732466pt;width:116.3pt;height:91.85pt;mso-position-horizontal-relative:page;mso-position-vertical-relative:paragraph;z-index:-565000" coordorigin="6588,-75" coordsize="2326,1837">
            <v:shape style="position:absolute;left:1830;top:7295;width:5543;height:3788" coordorigin="1830,7295" coordsize="5543,3788" path="m6629,1758l8909,1758m6626,1531l8906,1531m6626,1299l8906,1299m6626,844l8906,844m6626,620l8906,620m6626,388l8906,388m6626,157l8906,157m6626,-67l8906,-67e" filled="false" stroked="true" strokeweight=".335223pt" strokecolor="#858585">
              <v:path arrowok="t"/>
              <v:stroke dashstyle="dash"/>
            </v:shape>
            <v:shape style="position:absolute;left:1748;top:7288;width:5626;height:3795" coordorigin="1748,7288" coordsize="5626,3795" path="m6629,1758l6629,-71m6592,1758l6629,1758m6592,1534l6629,1534m6592,1303l6629,1303m6592,1072l6629,1072m6592,847l6629,847m6592,616l6629,616m6592,385l6629,385m6592,161l6629,161m6592,-71l6629,-71m6629,1072l8909,1072m6629,1072l6629,1115m7259,1072l7259,1115m7896,1072l7896,1115m8526,1072l8526,1115e" filled="false" stroked="true" strokeweight=".335223pt" strokecolor="#858585">
              <v:path arrowok="t"/>
            </v:shape>
            <v:shape style="position:absolute;left:6641;top:393;width:56;height:66" coordorigin="6641,393" coordsize="56,66" path="m6668,393l6641,425,6668,458,6696,425,6668,393xe" filled="true" fillcolor="#000000" stroked="false">
              <v:path arrowok="t"/>
              <v:fill type="solid"/>
            </v:shape>
            <v:shape style="position:absolute;left:6641;top:393;width:56;height:66" coordorigin="6641,393" coordsize="56,66" path="m6668,458l6641,425,6668,393,6696,425,6668,458xe" filled="false" stroked="true" strokeweight=".331481pt" strokecolor="#497dba">
              <v:path arrowok="t"/>
            </v:shape>
            <v:shape style="position:absolute;left:6871;top:382;width:56;height:66" coordorigin="6871,382" coordsize="56,66" path="m6899,382l6871,414,6899,447,6927,414,6899,382xe" filled="true" fillcolor="#000000" stroked="false">
              <v:path arrowok="t"/>
              <v:fill type="solid"/>
            </v:shape>
            <v:shape style="position:absolute;left:6871;top:382;width:56;height:66" coordorigin="6871,382" coordsize="56,66" path="m6899,447l6871,414,6899,382,6927,414,6899,447xe" filled="false" stroked="true" strokeweight=".33147pt" strokecolor="#497dba">
              <v:path arrowok="t"/>
            </v:shape>
            <v:shape style="position:absolute;left:6778;top:391;width:56;height:66" coordorigin="6778,391" coordsize="56,66" path="m6806,391l6778,423,6806,456,6833,423,6806,391xe" filled="true" fillcolor="#000000" stroked="false">
              <v:path arrowok="t"/>
              <v:fill type="solid"/>
            </v:shape>
            <v:shape style="position:absolute;left:6778;top:391;width:56;height:66" coordorigin="6778,391" coordsize="56,66" path="m6806,456l6778,423,6806,391,6833,423,6806,456xe" filled="false" stroked="true" strokeweight=".33147pt" strokecolor="#497dba">
              <v:path arrowok="t"/>
            </v:shape>
            <v:shape style="position:absolute;left:6803;top:542;width:56;height:66" coordorigin="6803,542" coordsize="56,66" path="m6831,542l6803,575,6831,607,6859,575,6831,542xe" filled="true" fillcolor="#000000" stroked="false">
              <v:path arrowok="t"/>
              <v:fill type="solid"/>
            </v:shape>
            <v:shape style="position:absolute;left:6803;top:542;width:56;height:66" coordorigin="6803,542" coordsize="56,66" path="m6831,607l6803,575,6831,542,6859,575,6831,607xe" filled="false" stroked="true" strokeweight=".33147pt" strokecolor="#497dba">
              <v:path arrowok="t"/>
            </v:shape>
            <v:shape style="position:absolute;left:6869;top:1041;width:111;height:298" type="#_x0000_t75" stroked="false">
              <v:imagedata r:id="rId150" o:title=""/>
            </v:shape>
            <v:shape style="position:absolute;left:7035;top:1146;width:56;height:66" coordorigin="7035,1146" coordsize="56,66" path="m7062,1146l7035,1179,7062,1211,7090,1179,7062,1146xe" filled="true" fillcolor="#000000" stroked="false">
              <v:path arrowok="t"/>
              <v:fill type="solid"/>
            </v:shape>
            <v:shape style="position:absolute;left:7035;top:1146;width:56;height:66" coordorigin="7035,1146" coordsize="56,66" path="m7062,1211l7035,1179,7062,1146,7090,1179,7062,1211xe" filled="false" stroked="true" strokeweight=".33147pt" strokecolor="#497dba">
              <v:path arrowok="t"/>
            </v:shape>
            <v:shape style="position:absolute;left:7257;top:1232;width:56;height:66" coordorigin="7257,1232" coordsize="56,66" path="m7285,1232l7257,1265,7285,1297,7313,1265,7285,1232xe" filled="true" fillcolor="#000000" stroked="false">
              <v:path arrowok="t"/>
              <v:fill type="solid"/>
            </v:shape>
            <v:shape style="position:absolute;left:7257;top:1232;width:56;height:66" coordorigin="7257,1232" coordsize="56,66" path="m7285,1297l7257,1265,7285,1232,7313,1265,7285,1297xe" filled="false" stroked="true" strokeweight=".33147pt" strokecolor="#497dba">
              <v:path arrowok="t"/>
            </v:shape>
            <v:shape style="position:absolute;left:7420;top:1271;width:56;height:66" coordorigin="7420,1271" coordsize="56,66" path="m7448,1271l7420,1303,7448,1336,7475,1303,7448,1271xe" filled="true" fillcolor="#000000" stroked="false">
              <v:path arrowok="t"/>
              <v:fill type="solid"/>
            </v:shape>
            <v:shape style="position:absolute;left:7420;top:1271;width:56;height:66" coordorigin="7420,1271" coordsize="56,66" path="m7448,1336l7420,1303,7448,1271,7475,1303,7448,1336xe" filled="false" stroked="true" strokeweight=".33147pt" strokecolor="#497dba">
              <v:path arrowok="t"/>
            </v:shape>
            <v:shape style="position:absolute;left:7531;top:1583;width:56;height:66" coordorigin="7531,1583" coordsize="56,66" path="m7559,1583l7531,1616,7559,1648,7586,1616,7559,1583xe" filled="true" fillcolor="#000000" stroked="false">
              <v:path arrowok="t"/>
              <v:fill type="solid"/>
            </v:shape>
            <v:shape style="position:absolute;left:7531;top:1583;width:56;height:66" coordorigin="7531,1583" coordsize="56,66" path="m7559,1648l7531,1616,7559,1583,7586,1616,7559,1648xe" filled="false" stroked="true" strokeweight=".33147pt" strokecolor="#497dba">
              <v:path arrowok="t"/>
            </v:shape>
            <v:shape style="position:absolute;left:7640;top:1480;width:56;height:66" coordorigin="7640,1480" coordsize="56,66" path="m7668,1480l7640,1512,7668,1545,7696,1512,7668,1480xe" filled="true" fillcolor="#000000" stroked="false">
              <v:path arrowok="t"/>
              <v:fill type="solid"/>
            </v:shape>
            <v:shape style="position:absolute;left:7640;top:1480;width:56;height:66" coordorigin="7640,1480" coordsize="56,66" path="m7668,1545l7640,1512,7668,1480,7696,1512,7668,1545xe" filled="false" stroked="true" strokeweight=".33147pt" strokecolor="#497dba">
              <v:path arrowok="t"/>
            </v:shape>
            <v:shape style="position:absolute;left:7773;top:1282;width:56;height:66" coordorigin="7773,1282" coordsize="56,66" path="m7801,1282l7773,1315,7801,1347,7829,1315,7801,1282xe" filled="true" fillcolor="#000000" stroked="false">
              <v:path arrowok="t"/>
              <v:fill type="solid"/>
            </v:shape>
            <v:shape style="position:absolute;left:7773;top:1282;width:56;height:66" coordorigin="7773,1282" coordsize="56,66" path="m7801,1347l7773,1315,7801,1282,7829,1315,7801,1347xe" filled="false" stroked="true" strokeweight=".33147pt" strokecolor="#497dba">
              <v:path arrowok="t"/>
            </v:shape>
            <v:shape style="position:absolute;left:7758;top:1101;width:56;height:66" coordorigin="7758,1101" coordsize="56,66" path="m7786,1101l7758,1133,7786,1166,7813,1133,7786,1101xe" filled="true" fillcolor="#000000" stroked="false">
              <v:path arrowok="t"/>
              <v:fill type="solid"/>
            </v:shape>
            <v:shape style="position:absolute;left:7758;top:1101;width:56;height:66" coordorigin="7758,1101" coordsize="56,66" path="m7786,1166l7758,1133,7786,1101,7813,1133,7786,1166xe" filled="false" stroked="true" strokeweight=".33147pt" strokecolor="#497dba">
              <v:path arrowok="t"/>
            </v:shape>
            <v:shape style="position:absolute;left:7741;top:911;width:56;height:66" coordorigin="7741,911" coordsize="56,66" path="m7769,911l7741,944,7769,977,7797,944,7769,911xe" filled="true" fillcolor="#000000" stroked="false">
              <v:path arrowok="t"/>
              <v:fill type="solid"/>
            </v:shape>
            <v:shape style="position:absolute;left:7741;top:911;width:56;height:66" coordorigin="7741,911" coordsize="56,66" path="m7769,977l7741,944,7769,911,7797,944,7769,977xe" filled="false" stroked="true" strokeweight=".33147pt" strokecolor="#497dba">
              <v:path arrowok="t"/>
            </v:shape>
            <v:shape style="position:absolute;left:7700;top:793;width:56;height:66" coordorigin="7700,793" coordsize="56,66" path="m7728,793l7700,825,7728,858,7755,825,7728,793xe" filled="true" fillcolor="#000000" stroked="false">
              <v:path arrowok="t"/>
              <v:fill type="solid"/>
            </v:shape>
            <v:shape style="position:absolute;left:7700;top:793;width:56;height:66" coordorigin="7700,793" coordsize="56,66" path="m7728,858l7700,825,7728,793,7755,825,7728,858xe" filled="false" stroked="true" strokeweight=".33147pt" strokecolor="#497dba">
              <v:path arrowok="t"/>
            </v:shape>
            <v:shape style="position:absolute;left:7798;top:783;width:56;height:66" coordorigin="7798,783" coordsize="56,66" path="m7825,783l7798,816,7825,848,7853,816,7825,783xe" filled="true" fillcolor="#000000" stroked="false">
              <v:path arrowok="t"/>
              <v:fill type="solid"/>
            </v:shape>
            <v:shape style="position:absolute;left:7798;top:783;width:56;height:66" coordorigin="7798,783" coordsize="56,66" path="m7825,848l7798,816,7825,783,7853,816,7825,848xe" filled="false" stroked="true" strokeweight=".33147pt" strokecolor="#497dba">
              <v:path arrowok="t"/>
            </v:shape>
            <v:shape style="position:absolute;left:7941;top:754;width:56;height:66" coordorigin="7941,754" coordsize="56,66" path="m7969,754l7941,786,7969,819,7997,786,7969,754xe" filled="true" fillcolor="#000000" stroked="false">
              <v:path arrowok="t"/>
              <v:fill type="solid"/>
            </v:shape>
            <v:shape style="position:absolute;left:7941;top:754;width:56;height:66" coordorigin="7941,754" coordsize="56,66" path="m7969,819l7941,786,7969,754,7997,786,7969,819xe" filled="false" stroked="true" strokeweight=".33147pt" strokecolor="#497dba">
              <v:path arrowok="t"/>
            </v:shape>
            <v:shape style="position:absolute;left:8172;top:745;width:56;height:66" coordorigin="8172,745" coordsize="56,66" path="m8200,745l8172,778,8200,810,8228,778,8200,745xe" filled="true" fillcolor="#000000" stroked="false">
              <v:path arrowok="t"/>
              <v:fill type="solid"/>
            </v:shape>
            <v:shape style="position:absolute;left:8172;top:745;width:56;height:66" coordorigin="8172,745" coordsize="56,66" path="m8200,810l8172,778,8200,745,8228,778,8200,810xe" filled="false" stroked="true" strokeweight=".33147pt" strokecolor="#497dba">
              <v:path arrowok="t"/>
            </v:shape>
            <v:shape style="position:absolute;left:8283;top:597;width:56;height:66" coordorigin="8283,597" coordsize="56,66" path="m8311,597l8283,629,8311,662,8338,629,8311,597xe" filled="true" fillcolor="#000000" stroked="false">
              <v:path arrowok="t"/>
              <v:fill type="solid"/>
            </v:shape>
            <v:shape style="position:absolute;left:8283;top:597;width:56;height:66" coordorigin="8283,597" coordsize="56,66" path="m8311,662l8283,629,8311,597,8338,629,8311,662xe" filled="false" stroked="true" strokeweight=".33147pt" strokecolor="#497dba">
              <v:path arrowok="t"/>
            </v:shape>
            <v:shape style="position:absolute;left:8464;top:664;width:56;height:66" coordorigin="8464,664" coordsize="56,66" path="m8492,664l8464,697,8492,729,8520,697,8492,664xe" filled="true" fillcolor="#000000" stroked="false">
              <v:path arrowok="t"/>
              <v:fill type="solid"/>
            </v:shape>
            <v:shape style="position:absolute;left:8464;top:664;width:56;height:66" coordorigin="8464,664" coordsize="56,66" path="m8492,729l8464,697,8492,664,8520,697,8492,729xe" filled="false" stroked="true" strokeweight=".33147pt" strokecolor="#497dba">
              <v:path arrowok="t"/>
            </v:shape>
            <v:shape style="position:absolute;left:8634;top:561;width:56;height:66" coordorigin="8634,561" coordsize="56,66" path="m8662,561l8634,593,8662,626,8690,593,8662,561xe" filled="true" fillcolor="#000000" stroked="false">
              <v:path arrowok="t"/>
              <v:fill type="solid"/>
            </v:shape>
            <v:shape style="position:absolute;left:8634;top:561;width:56;height:66" coordorigin="8634,561" coordsize="56,66" path="m8662,626l8634,593,8662,561,8690,593,8662,626xe" filled="false" stroked="true" strokeweight=".33147pt" strokecolor="#497dba">
              <v:path arrowok="t"/>
            </v:shape>
            <v:shape style="position:absolute;left:8264;top:572;width:56;height:66" coordorigin="8264,572" coordsize="56,66" path="m8292,572l8264,604,8292,637,8320,604,8292,572xe" filled="true" fillcolor="#000000" stroked="false">
              <v:path arrowok="t"/>
              <v:fill type="solid"/>
            </v:shape>
            <v:shape style="position:absolute;left:8264;top:572;width:56;height:66" coordorigin="8264,572" coordsize="56,66" path="m8292,637l8264,604,8292,572,8320,604,8292,637xe" filled="false" stroked="true" strokeweight=".33147pt" strokecolor="#497dba">
              <v:path arrowok="t"/>
            </v:shape>
            <v:shape style="position:absolute;left:7924;top:541;width:56;height:66" coordorigin="7924,541" coordsize="56,66" path="m7952,541l7924,574,7952,606,7980,574,7952,541xe" filled="true" fillcolor="#000000" stroked="false">
              <v:path arrowok="t"/>
              <v:fill type="solid"/>
            </v:shape>
            <v:shape style="position:absolute;left:7924;top:541;width:56;height:66" coordorigin="7924,541" coordsize="56,66" path="m7952,606l7924,574,7952,541,7980,574,7952,606xe" filled="false" stroked="true" strokeweight=".33147pt" strokecolor="#497dba">
              <v:path arrowok="t"/>
            </v:shape>
            <v:shape style="position:absolute;left:7907;top:551;width:56;height:66" coordorigin="7907,551" coordsize="56,66" path="m7934,551l7907,583,7934,616,7962,583,7934,551xe" filled="true" fillcolor="#000000" stroked="false">
              <v:path arrowok="t"/>
              <v:fill type="solid"/>
            </v:shape>
            <v:shape style="position:absolute;left:7907;top:551;width:56;height:66" coordorigin="7907,551" coordsize="56,66" path="m7934,616l7907,583,7934,551,7962,583,7934,616xe" filled="false" stroked="true" strokeweight=".33147pt" strokecolor="#497dba">
              <v:path arrowok="t"/>
            </v:shape>
            <v:shape style="position:absolute;left:8019;top:524;width:56;height:66" coordorigin="8019,524" coordsize="56,66" path="m8047,524l8019,557,8047,589,8075,557,8047,524xe" filled="true" fillcolor="#000000" stroked="false">
              <v:path arrowok="t"/>
              <v:fill type="solid"/>
            </v:shape>
            <v:shape style="position:absolute;left:8019;top:524;width:56;height:66" coordorigin="8019,524" coordsize="56,66" path="m8047,589l8019,557,8047,524,8075,557,8047,589xe" filled="false" stroked="true" strokeweight=".33147pt" strokecolor="#497dba">
              <v:path arrowok="t"/>
            </v:shape>
            <v:shape style="position:absolute;left:8229;top:195;width:56;height:66" coordorigin="8229,195" coordsize="56,66" path="m8257,195l8229,228,8257,261,8284,228,8257,195xe" filled="true" fillcolor="#000000" stroked="false">
              <v:path arrowok="t"/>
              <v:fill type="solid"/>
            </v:shape>
            <v:shape style="position:absolute;left:8229;top:195;width:56;height:66" coordorigin="8229,195" coordsize="56,66" path="m8257,261l8229,228,8257,195,8284,228,8257,261xe" filled="false" stroked="true" strokeweight=".33147pt" strokecolor="#497dba">
              <v:path arrowok="t"/>
            </v:shape>
            <v:shape style="position:absolute;left:8311;top:523;width:56;height:66" coordorigin="8311,523" coordsize="56,66" path="m8339,523l8311,555,8339,588,8367,555,8339,523xe" filled="true" fillcolor="#000000" stroked="false">
              <v:path arrowok="t"/>
              <v:fill type="solid"/>
            </v:shape>
            <v:shape style="position:absolute;left:8311;top:523;width:56;height:66" coordorigin="8311,523" coordsize="56,66" path="m8339,588l8311,555,8339,523,8367,555,8339,588xe" filled="false" stroked="true" strokeweight=".33147pt" strokecolor="#497dba">
              <v:path arrowok="t"/>
            </v:shape>
            <v:shape style="position:absolute;left:8320;top:496;width:56;height:66" coordorigin="8320,496" coordsize="56,66" path="m8348,496l8320,529,8348,561,8376,529,8348,496xe" filled="true" fillcolor="#000000" stroked="false">
              <v:path arrowok="t"/>
              <v:fill type="solid"/>
            </v:shape>
            <v:shape style="position:absolute;left:8320;top:496;width:56;height:66" coordorigin="8320,496" coordsize="56,66" path="m8348,561l8320,529,8348,496,8376,529,8348,561xe" filled="false" stroked="true" strokeweight=".33147pt" strokecolor="#497dba">
              <v:path arrowok="t"/>
            </v:shape>
            <v:shape style="position:absolute;left:8298;top:598;width:56;height:66" coordorigin="8298,598" coordsize="56,66" path="m8326,598l8298,631,8326,663,8353,631,8326,598xe" filled="true" fillcolor="#000000" stroked="false">
              <v:path arrowok="t"/>
              <v:fill type="solid"/>
            </v:shape>
            <v:shape style="position:absolute;left:8298;top:598;width:56;height:66" coordorigin="8298,598" coordsize="56,66" path="m8326,663l8298,631,8326,598,8353,631,8326,663xe" filled="false" stroked="true" strokeweight=".33147pt" strokecolor="#497dba">
              <v:path arrowok="t"/>
            </v:shape>
            <v:shape style="position:absolute;left:8385;top:647;width:56;height:66" coordorigin="8385,647" coordsize="56,66" path="m8413,647l8385,680,8413,712,8440,680,8413,647xe" filled="true" fillcolor="#000000" stroked="false">
              <v:path arrowok="t"/>
              <v:fill type="solid"/>
            </v:shape>
            <v:shape style="position:absolute;left:8385;top:647;width:56;height:66" coordorigin="8385,647" coordsize="56,66" path="m8413,712l8385,680,8413,647,8440,680,8413,712xe" filled="false" stroked="true" strokeweight=".33147pt" strokecolor="#497dba">
              <v:path arrowok="t"/>
            </v:shape>
            <v:shape style="position:absolute;left:8555;top:673;width:56;height:66" coordorigin="8555,673" coordsize="56,66" path="m8583,673l8555,706,8583,738,8611,706,8583,673xe" filled="true" fillcolor="#000000" stroked="false">
              <v:path arrowok="t"/>
              <v:fill type="solid"/>
            </v:shape>
            <v:shape style="position:absolute;left:8555;top:673;width:56;height:66" coordorigin="8555,673" coordsize="56,66" path="m8583,738l8555,706,8583,673,8611,706,8583,738xe" filled="false" stroked="true" strokeweight=".33147pt" strokecolor="#497dba">
              <v:path arrowok="t"/>
            </v:shape>
            <v:shape style="position:absolute;left:8704;top:759;width:130;height:103" type="#_x0000_t75" stroked="false">
              <v:imagedata r:id="rId151" o:title=""/>
            </v:shape>
            <v:line style="position:absolute" from="6666,1028" to="8798,660" stroked="true" strokeweight="1.079833pt" strokecolor="#000000"/>
            <w10:wrap type="none"/>
          </v:group>
        </w:pict>
      </w:r>
      <w:r>
        <w:rPr/>
        <w:pict>
          <v:shape style="position:absolute;margin-left:300.007141pt;margin-top:-8.827754pt;width:15pt;height:94.3pt;mso-position-horizontal-relative:page;mso-position-vertical-relative:paragraph;z-index:7168" type="#_x0000_t202" filled="false" stroked="false">
            <v:textbox inset="0,0,0,0" style="layout-flow:vertical;mso-layout-flow-alt:bottom-to-top">
              <w:txbxContent>
                <w:p>
                  <w:pPr>
                    <w:spacing w:line="254" w:lineRule="auto" w:before="3"/>
                    <w:ind w:left="780" w:right="-1120" w:hanging="761"/>
                    <w:jc w:val="left"/>
                    <w:rPr>
                      <w:rFonts w:ascii="Constantia"/>
                      <w:b/>
                      <w:sz w:val="11"/>
                    </w:rPr>
                  </w:pPr>
                  <w:r>
                    <w:rPr>
                      <w:rFonts w:ascii="Constantia"/>
                      <w:b/>
                      <w:spacing w:val="-1"/>
                      <w:w w:val="125"/>
                      <w:sz w:val="11"/>
                    </w:rPr>
                    <w:t>G</w:t>
                  </w:r>
                  <w:r>
                    <w:rPr>
                      <w:rFonts w:ascii="Constantia"/>
                      <w:b/>
                      <w:spacing w:val="-2"/>
                      <w:w w:val="125"/>
                      <w:sz w:val="11"/>
                    </w:rPr>
                    <w:t>a</w:t>
                  </w:r>
                  <w:r>
                    <w:rPr>
                      <w:rFonts w:ascii="Constantia"/>
                      <w:b/>
                      <w:spacing w:val="2"/>
                      <w:w w:val="125"/>
                      <w:sz w:val="11"/>
                    </w:rPr>
                    <w:t>s</w:t>
                  </w:r>
                  <w:r>
                    <w:rPr>
                      <w:rFonts w:ascii="Constantia"/>
                      <w:b/>
                      <w:spacing w:val="-3"/>
                      <w:w w:val="125"/>
                      <w:sz w:val="11"/>
                    </w:rPr>
                    <w:t>t</w:t>
                  </w:r>
                  <w:r>
                    <w:rPr>
                      <w:rFonts w:ascii="Constantia"/>
                      <w:b/>
                      <w:w w:val="125"/>
                      <w:sz w:val="11"/>
                    </w:rPr>
                    <w:t>o</w:t>
                  </w:r>
                  <w:r>
                    <w:rPr>
                      <w:rFonts w:ascii="Constantia"/>
                      <w:b/>
                      <w:spacing w:val="-7"/>
                      <w:sz w:val="11"/>
                    </w:rPr>
                    <w:t> </w:t>
                  </w:r>
                  <w:r>
                    <w:rPr>
                      <w:rFonts w:ascii="Constantia"/>
                      <w:b/>
                      <w:spacing w:val="-2"/>
                      <w:w w:val="125"/>
                      <w:sz w:val="11"/>
                    </w:rPr>
                    <w:t>c</w:t>
                  </w:r>
                  <w:r>
                    <w:rPr>
                      <w:rFonts w:ascii="Constantia"/>
                      <w:b/>
                      <w:spacing w:val="-3"/>
                      <w:w w:val="125"/>
                      <w:sz w:val="11"/>
                    </w:rPr>
                    <w:t>o</w:t>
                  </w:r>
                  <w:r>
                    <w:rPr>
                      <w:rFonts w:ascii="Constantia"/>
                      <w:b/>
                      <w:spacing w:val="-2"/>
                      <w:w w:val="125"/>
                      <w:sz w:val="11"/>
                    </w:rPr>
                    <w:t>rrien</w:t>
                  </w:r>
                  <w:r>
                    <w:rPr>
                      <w:rFonts w:ascii="Constantia"/>
                      <w:b/>
                      <w:spacing w:val="-3"/>
                      <w:w w:val="125"/>
                      <w:sz w:val="11"/>
                    </w:rPr>
                    <w:t>t</w:t>
                  </w:r>
                  <w:r>
                    <w:rPr>
                      <w:rFonts w:ascii="Constantia"/>
                      <w:b/>
                      <w:spacing w:val="-2"/>
                      <w:w w:val="125"/>
                      <w:sz w:val="11"/>
                    </w:rPr>
                    <w:t>e</w:t>
                  </w:r>
                  <w:r>
                    <w:rPr>
                      <w:rFonts w:ascii="Constantia"/>
                      <w:b/>
                      <w:w w:val="125"/>
                      <w:sz w:val="11"/>
                    </w:rPr>
                    <w:t>/</w:t>
                  </w:r>
                  <w:r>
                    <w:rPr>
                      <w:rFonts w:ascii="Constantia"/>
                      <w:b/>
                      <w:spacing w:val="-2"/>
                      <w:sz w:val="11"/>
                    </w:rPr>
                    <w:t> </w:t>
                  </w:r>
                  <w:r>
                    <w:rPr>
                      <w:rFonts w:ascii="Constantia"/>
                      <w:b/>
                      <w:spacing w:val="-3"/>
                      <w:w w:val="125"/>
                      <w:sz w:val="11"/>
                    </w:rPr>
                    <w:t>I</w:t>
                  </w:r>
                  <w:r>
                    <w:rPr>
                      <w:rFonts w:ascii="Constantia"/>
                      <w:b/>
                      <w:spacing w:val="-2"/>
                      <w:w w:val="125"/>
                      <w:sz w:val="11"/>
                    </w:rPr>
                    <w:t>n</w:t>
                  </w:r>
                  <w:r>
                    <w:rPr>
                      <w:rFonts w:ascii="Constantia"/>
                      <w:b/>
                      <w:spacing w:val="-3"/>
                      <w:w w:val="125"/>
                      <w:sz w:val="11"/>
                    </w:rPr>
                    <w:t>g</w:t>
                  </w:r>
                  <w:r>
                    <w:rPr>
                      <w:rFonts w:ascii="Constantia"/>
                      <w:b/>
                      <w:w w:val="125"/>
                      <w:sz w:val="11"/>
                    </w:rPr>
                    <w:t>.</w:t>
                  </w:r>
                  <w:r>
                    <w:rPr>
                      <w:rFonts w:ascii="Constantia"/>
                      <w:b/>
                      <w:spacing w:val="6"/>
                      <w:sz w:val="11"/>
                    </w:rPr>
                    <w:t> </w:t>
                  </w:r>
                  <w:r>
                    <w:rPr>
                      <w:rFonts w:ascii="Constantia"/>
                      <w:b/>
                      <w:spacing w:val="2"/>
                      <w:w w:val="125"/>
                      <w:sz w:val="11"/>
                    </w:rPr>
                    <w:t>F</w:t>
                  </w:r>
                  <w:r>
                    <w:rPr>
                      <w:rFonts w:ascii="Constantia"/>
                      <w:b/>
                      <w:spacing w:val="-2"/>
                      <w:w w:val="125"/>
                      <w:sz w:val="11"/>
                    </w:rPr>
                    <w:t>i</w:t>
                  </w:r>
                  <w:r>
                    <w:rPr>
                      <w:rFonts w:ascii="Constantia"/>
                      <w:b/>
                      <w:spacing w:val="2"/>
                      <w:w w:val="125"/>
                      <w:sz w:val="11"/>
                    </w:rPr>
                    <w:t>s</w:t>
                  </w:r>
                  <w:r>
                    <w:rPr>
                      <w:rFonts w:ascii="Constantia"/>
                      <w:b/>
                      <w:spacing w:val="-2"/>
                      <w:w w:val="125"/>
                      <w:sz w:val="11"/>
                    </w:rPr>
                    <w:t>c</w:t>
                  </w:r>
                  <w:r>
                    <w:rPr>
                      <w:rFonts w:ascii="Constantia"/>
                      <w:b/>
                      <w:w w:val="125"/>
                      <w:sz w:val="11"/>
                    </w:rPr>
                    <w:t>.</w:t>
                  </w:r>
                  <w:r>
                    <w:rPr>
                      <w:rFonts w:ascii="Constantia"/>
                      <w:b/>
                      <w:spacing w:val="-1"/>
                      <w:sz w:val="11"/>
                    </w:rPr>
                    <w:t> </w:t>
                  </w:r>
                  <w:r>
                    <w:rPr>
                      <w:rFonts w:ascii="Constantia"/>
                      <w:b/>
                      <w:spacing w:val="-3"/>
                      <w:w w:val="125"/>
                      <w:sz w:val="11"/>
                    </w:rPr>
                    <w:t>N</w:t>
                  </w:r>
                  <w:r>
                    <w:rPr>
                      <w:rFonts w:ascii="Constantia"/>
                      <w:b/>
                      <w:w w:val="125"/>
                      <w:sz w:val="11"/>
                    </w:rPr>
                    <w:t>o </w:t>
                  </w:r>
                  <w:r>
                    <w:rPr>
                      <w:rFonts w:ascii="Constantia"/>
                      <w:b/>
                      <w:spacing w:val="2"/>
                      <w:w w:val="125"/>
                      <w:sz w:val="11"/>
                    </w:rPr>
                    <w:t>H</w:t>
                  </w:r>
                  <w:r>
                    <w:rPr>
                      <w:rFonts w:ascii="Constantia"/>
                      <w:b/>
                      <w:spacing w:val="-2"/>
                      <w:w w:val="125"/>
                      <w:sz w:val="11"/>
                    </w:rPr>
                    <w:t>i</w:t>
                  </w:r>
                  <w:r>
                    <w:rPr>
                      <w:rFonts w:ascii="Constantia"/>
                      <w:b/>
                      <w:spacing w:val="1"/>
                      <w:w w:val="125"/>
                      <w:sz w:val="11"/>
                    </w:rPr>
                    <w:t>d</w:t>
                  </w:r>
                  <w:r>
                    <w:rPr>
                      <w:rFonts w:ascii="Constantia"/>
                      <w:b/>
                      <w:spacing w:val="-17"/>
                      <w:w w:val="125"/>
                      <w:sz w:val="11"/>
                    </w:rPr>
                    <w:t>r</w:t>
                  </w:r>
                  <w:r>
                    <w:rPr>
                      <w:rFonts w:ascii="Constantia"/>
                      <w:b/>
                      <w:w w:val="125"/>
                      <w:sz w:val="11"/>
                    </w:rPr>
                    <w:t>.</w:t>
                  </w:r>
                </w:p>
              </w:txbxContent>
            </v:textbox>
            <w10:wrap type="none"/>
          </v:shape>
        </w:pict>
      </w:r>
      <w:r>
        <w:rPr>
          <w:sz w:val="13"/>
        </w:rPr>
        <w:t>0.4</w:t>
      </w:r>
    </w:p>
    <w:p>
      <w:pPr>
        <w:spacing w:before="80"/>
        <w:ind w:left="640" w:right="0" w:firstLine="0"/>
        <w:jc w:val="left"/>
        <w:rPr>
          <w:sz w:val="13"/>
        </w:rPr>
      </w:pPr>
      <w:r>
        <w:rPr>
          <w:sz w:val="13"/>
        </w:rPr>
        <w:t>0.3</w:t>
      </w:r>
    </w:p>
    <w:p>
      <w:pPr>
        <w:spacing w:before="80"/>
        <w:ind w:left="640" w:right="0" w:firstLine="0"/>
        <w:jc w:val="left"/>
        <w:rPr>
          <w:sz w:val="13"/>
        </w:rPr>
      </w:pPr>
      <w:r>
        <w:rPr>
          <w:sz w:val="13"/>
        </w:rPr>
        <w:t>0.2</w:t>
      </w:r>
    </w:p>
    <w:p>
      <w:pPr>
        <w:spacing w:before="80"/>
        <w:ind w:left="640" w:right="0" w:firstLine="0"/>
        <w:jc w:val="left"/>
        <w:rPr>
          <w:sz w:val="13"/>
        </w:rPr>
      </w:pPr>
      <w:r>
        <w:rPr>
          <w:sz w:val="13"/>
        </w:rPr>
        <w:t>0.1</w:t>
      </w:r>
    </w:p>
    <w:p>
      <w:pPr>
        <w:spacing w:before="80"/>
        <w:ind w:left="640" w:right="0" w:firstLine="0"/>
        <w:jc w:val="left"/>
        <w:rPr>
          <w:sz w:val="13"/>
        </w:rPr>
      </w:pPr>
      <w:r>
        <w:rPr>
          <w:sz w:val="13"/>
        </w:rPr>
        <w:t>0.0</w:t>
      </w:r>
    </w:p>
    <w:p>
      <w:pPr>
        <w:tabs>
          <w:tab w:pos="1444" w:val="left" w:leader="none"/>
          <w:tab w:pos="2079" w:val="left" w:leader="none"/>
          <w:tab w:pos="2713" w:val="left" w:leader="none"/>
        </w:tabs>
        <w:spacing w:before="12"/>
        <w:ind w:left="602" w:right="0" w:firstLine="0"/>
        <w:jc w:val="left"/>
        <w:rPr>
          <w:sz w:val="13"/>
        </w:rPr>
      </w:pPr>
      <w:r>
        <w:rPr>
          <w:position w:val="-6"/>
          <w:sz w:val="13"/>
        </w:rPr>
        <w:t>-0.1</w:t>
      </w:r>
      <w:r>
        <w:rPr>
          <w:spacing w:val="-18"/>
          <w:position w:val="-6"/>
          <w:sz w:val="13"/>
        </w:rPr>
        <w:t> </w:t>
      </w:r>
      <w:r>
        <w:rPr>
          <w:sz w:val="13"/>
        </w:rPr>
        <w:t>0.5</w:t>
        <w:tab/>
        <w:t>1.0</w:t>
        <w:tab/>
        <w:t>1.5</w:t>
        <w:tab/>
        <w:t>2.0</w:t>
      </w:r>
    </w:p>
    <w:p>
      <w:pPr>
        <w:spacing w:before="77"/>
        <w:ind w:left="602" w:right="0" w:firstLine="0"/>
        <w:jc w:val="left"/>
        <w:rPr>
          <w:sz w:val="13"/>
        </w:rPr>
      </w:pPr>
      <w:r>
        <w:rPr>
          <w:sz w:val="13"/>
        </w:rPr>
        <w:t>-0.2</w:t>
      </w:r>
    </w:p>
    <w:p>
      <w:pPr>
        <w:spacing w:before="80"/>
        <w:ind w:left="602" w:right="0" w:firstLine="0"/>
        <w:jc w:val="left"/>
        <w:rPr>
          <w:sz w:val="13"/>
        </w:rPr>
      </w:pPr>
      <w:r>
        <w:rPr>
          <w:sz w:val="13"/>
        </w:rPr>
        <w:t>-0.3</w:t>
      </w:r>
    </w:p>
    <w:p>
      <w:pPr>
        <w:spacing w:after="0"/>
        <w:jc w:val="left"/>
        <w:rPr>
          <w:sz w:val="13"/>
        </w:rPr>
        <w:sectPr>
          <w:type w:val="continuous"/>
          <w:pgSz w:w="12250" w:h="15850"/>
          <w:pgMar w:top="1500" w:bottom="280" w:left="1600" w:right="0"/>
          <w:cols w:num="2" w:equalWidth="0">
            <w:col w:w="823" w:space="3316"/>
            <w:col w:w="6511"/>
          </w:cols>
        </w:sectPr>
      </w:pPr>
    </w:p>
    <w:p>
      <w:pPr>
        <w:spacing w:before="82"/>
        <w:ind w:left="1373" w:right="-10" w:firstLine="0"/>
        <w:jc w:val="left"/>
        <w:rPr>
          <w:rFonts w:ascii="Constantia"/>
          <w:b/>
          <w:sz w:val="13"/>
        </w:rPr>
      </w:pPr>
      <w:r>
        <w:rPr>
          <w:rFonts w:ascii="Constantia"/>
          <w:b/>
          <w:w w:val="105"/>
          <w:sz w:val="13"/>
        </w:rPr>
        <w:t>Precios</w:t>
      </w:r>
      <w:r>
        <w:rPr>
          <w:rFonts w:ascii="Constantia"/>
          <w:b/>
          <w:spacing w:val="-19"/>
          <w:w w:val="105"/>
          <w:sz w:val="13"/>
        </w:rPr>
        <w:t> </w:t>
      </w:r>
      <w:r>
        <w:rPr>
          <w:rFonts w:ascii="Constantia"/>
          <w:b/>
          <w:w w:val="105"/>
          <w:sz w:val="13"/>
        </w:rPr>
        <w:t>del</w:t>
      </w:r>
      <w:r>
        <w:rPr>
          <w:rFonts w:ascii="Constantia"/>
          <w:b/>
          <w:spacing w:val="-22"/>
          <w:w w:val="105"/>
          <w:sz w:val="13"/>
        </w:rPr>
        <w:t> </w:t>
      </w:r>
      <w:r>
        <w:rPr>
          <w:rFonts w:ascii="Constantia"/>
          <w:b/>
          <w:w w:val="105"/>
          <w:sz w:val="13"/>
        </w:rPr>
        <w:t>gas</w:t>
      </w:r>
      <w:r>
        <w:rPr>
          <w:rFonts w:ascii="Constantia"/>
          <w:b/>
          <w:spacing w:val="-15"/>
          <w:w w:val="105"/>
          <w:sz w:val="13"/>
        </w:rPr>
        <w:t> </w:t>
      </w:r>
      <w:r>
        <w:rPr>
          <w:rFonts w:ascii="Constantia"/>
          <w:b/>
          <w:w w:val="105"/>
          <w:sz w:val="13"/>
        </w:rPr>
        <w:t>natural</w:t>
      </w:r>
    </w:p>
    <w:p>
      <w:pPr>
        <w:spacing w:line="138" w:lineRule="exact" w:before="0"/>
        <w:ind w:left="1373" w:right="0" w:firstLine="0"/>
        <w:jc w:val="left"/>
        <w:rPr>
          <w:rFonts w:ascii="Constantia"/>
          <w:b/>
          <w:sz w:val="13"/>
        </w:rPr>
      </w:pPr>
      <w:r>
        <w:rPr/>
        <w:br w:type="column"/>
      </w:r>
      <w:r>
        <w:rPr>
          <w:rFonts w:ascii="Constantia"/>
          <w:b/>
          <w:w w:val="90"/>
          <w:sz w:val="13"/>
        </w:rPr>
        <w:t>Precios del gas natural</w:t>
      </w:r>
    </w:p>
    <w:p>
      <w:pPr>
        <w:spacing w:after="0" w:line="138" w:lineRule="exact"/>
        <w:jc w:val="left"/>
        <w:rPr>
          <w:rFonts w:ascii="Constantia"/>
          <w:sz w:val="13"/>
        </w:rPr>
        <w:sectPr>
          <w:type w:val="continuous"/>
          <w:pgSz w:w="12250" w:h="15850"/>
          <w:pgMar w:top="1500" w:bottom="280" w:left="1600" w:right="0"/>
          <w:cols w:num="2" w:equalWidth="0">
            <w:col w:w="2790" w:space="1438"/>
            <w:col w:w="6422"/>
          </w:cols>
        </w:sectPr>
      </w:pPr>
    </w:p>
    <w:p>
      <w:pPr>
        <w:spacing w:before="52"/>
        <w:ind w:left="102" w:right="1103" w:firstLine="0"/>
        <w:jc w:val="left"/>
        <w:rPr>
          <w:sz w:val="20"/>
        </w:rPr>
      </w:pPr>
      <w:r>
        <w:rPr>
          <w:sz w:val="20"/>
        </w:rPr>
        <w:t>Fuente: Estimaciones propias con base en información del Banco Central de Bolivia (2012) y Yacimientos Petrolíferos Fiscales Bolivianos (2012).</w:t>
      </w:r>
    </w:p>
    <w:p>
      <w:pPr>
        <w:pStyle w:val="BodyText"/>
        <w:rPr>
          <w:sz w:val="20"/>
        </w:rPr>
      </w:pPr>
    </w:p>
    <w:p>
      <w:pPr>
        <w:pStyle w:val="BodyText"/>
        <w:rPr>
          <w:sz w:val="20"/>
        </w:rPr>
      </w:pPr>
    </w:p>
    <w:p>
      <w:pPr>
        <w:pStyle w:val="BodyText"/>
        <w:rPr>
          <w:sz w:val="16"/>
        </w:rPr>
      </w:pPr>
    </w:p>
    <w:p>
      <w:pPr>
        <w:pStyle w:val="BodyText"/>
        <w:spacing w:line="360" w:lineRule="auto"/>
        <w:ind w:left="102" w:right="1699" w:firstLine="707"/>
        <w:jc w:val="both"/>
      </w:pPr>
      <w:r>
        <w:rPr/>
        <w:t>En                   la                   </w:t>
      </w:r>
      <w:r>
        <w:rPr>
          <w:i/>
        </w:rPr>
        <w:t>figura                   2.23                    </w:t>
      </w:r>
      <w:r>
        <w:rPr/>
        <w:t>inciso                   </w:t>
      </w:r>
      <w:r>
        <w:rPr>
          <w:i/>
        </w:rPr>
        <w:t>a </w:t>
      </w:r>
      <w:r>
        <w:rPr/>
        <w:t>gas natural y el gasto de capital como una relación inversa. A manera de regla de dedo (</w:t>
      </w:r>
      <w:r>
        <w:rPr>
          <w:i/>
        </w:rPr>
        <w:t>rule </w:t>
      </w:r>
      <w:r>
        <w:rPr>
          <w:i/>
        </w:rPr>
        <w:t>of thumb</w:t>
      </w:r>
      <w:r>
        <w:rPr/>
        <w:t>) un cambio del 1% en los precios del gas natural se asoció de forma negativa y significativa con una disminución del 0.80% en el gasto de capital proporcional a los ingresos fiscales hidrocarburíferos (gasíferos). Para el gasto corriente en términos de ingresos fiscales no hidrocarburíferos persistió de forma positiva con una correlación positiva del</w:t>
      </w:r>
      <w:r>
        <w:rPr>
          <w:spacing w:val="58"/>
        </w:rPr>
        <w:t> </w:t>
      </w:r>
      <w:r>
        <w:rPr/>
        <w:t>0.33%.</w:t>
      </w:r>
    </w:p>
    <w:p>
      <w:pPr>
        <w:pStyle w:val="BodyText"/>
        <w:spacing w:line="360" w:lineRule="auto" w:before="4"/>
        <w:ind w:left="102" w:right="1698" w:firstLine="707"/>
        <w:jc w:val="both"/>
      </w:pPr>
      <w:r>
        <w:rPr/>
        <w:t>Por otra parte, en cuanto a la asignación de ingresos fiscales hidrocarburíferos al gasto de capital, en Bolivia, han existido dos regímenes marcados: 1] de  menor canalización hacia el gasto de capital (2006-2011) en torno al 40 y 60% de los ingresos fiscales hidrocarburíferos y 2] de mayor canalización para el período 2004-2005 (alrededor del  100%  de los ingresos del recurso natural) (</w:t>
      </w:r>
      <w:r>
        <w:rPr>
          <w:i/>
        </w:rPr>
        <w:t>cuadro 2.4</w:t>
      </w:r>
      <w:r>
        <w:rPr/>
        <w:t>)</w:t>
      </w:r>
    </w:p>
    <w:p>
      <w:pPr>
        <w:spacing w:after="0" w:line="360" w:lineRule="auto"/>
        <w:jc w:val="both"/>
        <w:sectPr>
          <w:type w:val="continuous"/>
          <w:pgSz w:w="12250" w:h="15850"/>
          <w:pgMar w:top="1500" w:bottom="280" w:left="1600" w:right="0"/>
        </w:sectPr>
      </w:pPr>
    </w:p>
    <w:p>
      <w:pPr>
        <w:pStyle w:val="BodyText"/>
        <w:spacing w:before="48"/>
        <w:ind w:left="4201" w:hanging="3956"/>
      </w:pPr>
      <w:bookmarkStart w:name="_bookmark65" w:id="96"/>
      <w:bookmarkEnd w:id="96"/>
      <w:r>
        <w:rPr/>
      </w:r>
      <w:r>
        <w:rPr/>
        <w:t>Cuadro 2. 4: Regímenes de asignación de ingresos fiscales hidrocarburíferos al gasto de capital</w:t>
      </w:r>
    </w:p>
    <w:p>
      <w:pPr>
        <w:spacing w:after="0"/>
        <w:sectPr>
          <w:pgSz w:w="12250" w:h="15850"/>
          <w:pgMar w:header="0" w:footer="1037" w:top="1360" w:bottom="1220" w:left="1600" w:right="1600"/>
        </w:sectPr>
      </w:pPr>
    </w:p>
    <w:p>
      <w:pPr>
        <w:tabs>
          <w:tab w:pos="2389" w:val="left" w:leader="none"/>
        </w:tabs>
        <w:spacing w:line="301" w:lineRule="exact" w:before="26"/>
        <w:ind w:left="1499" w:right="0" w:firstLine="0"/>
        <w:jc w:val="left"/>
        <w:rPr>
          <w:rFonts w:ascii="Constantia"/>
          <w:sz w:val="19"/>
        </w:rPr>
      </w:pPr>
      <w:r>
        <w:rPr>
          <w:rFonts w:ascii="Constantia"/>
          <w:w w:val="105"/>
          <w:position w:val="-11"/>
          <w:sz w:val="19"/>
        </w:rPr>
        <w:t>Rango</w:t>
        <w:tab/>
      </w:r>
      <w:r>
        <w:rPr>
          <w:rFonts w:ascii="Constantia"/>
          <w:sz w:val="19"/>
        </w:rPr>
        <w:t>Porcentaje</w:t>
      </w:r>
      <w:r>
        <w:rPr>
          <w:rFonts w:ascii="Constantia"/>
          <w:spacing w:val="18"/>
          <w:sz w:val="19"/>
        </w:rPr>
        <w:t> </w:t>
      </w:r>
      <w:r>
        <w:rPr>
          <w:rFonts w:ascii="Constantia"/>
          <w:sz w:val="19"/>
        </w:rPr>
        <w:t>de</w:t>
      </w:r>
    </w:p>
    <w:p>
      <w:pPr>
        <w:spacing w:line="181" w:lineRule="exact" w:before="0"/>
        <w:ind w:left="0" w:right="121" w:firstLine="0"/>
        <w:jc w:val="right"/>
        <w:rPr>
          <w:rFonts w:ascii="Constantia" w:hAnsi="Constantia"/>
          <w:sz w:val="19"/>
        </w:rPr>
      </w:pPr>
      <w:r>
        <w:rPr>
          <w:rFonts w:ascii="Constantia" w:hAnsi="Constantia"/>
          <w:sz w:val="19"/>
        </w:rPr>
        <w:t>asignación</w:t>
      </w:r>
    </w:p>
    <w:p>
      <w:pPr>
        <w:tabs>
          <w:tab w:pos="1331" w:val="left" w:leader="none"/>
          <w:tab w:pos="2917" w:val="left" w:leader="none"/>
        </w:tabs>
        <w:spacing w:line="301" w:lineRule="exact" w:before="25"/>
        <w:ind w:left="226" w:right="0" w:firstLine="0"/>
        <w:jc w:val="left"/>
        <w:rPr>
          <w:rFonts w:ascii="Constantia" w:hAnsi="Constantia"/>
          <w:sz w:val="19"/>
        </w:rPr>
      </w:pPr>
      <w:r>
        <w:rPr/>
        <w:br w:type="column"/>
      </w:r>
      <w:r>
        <w:rPr>
          <w:rFonts w:ascii="Constantia" w:hAnsi="Constantia"/>
          <w:w w:val="105"/>
          <w:sz w:val="19"/>
        </w:rPr>
        <w:t>Régimen</w:t>
        <w:tab/>
      </w:r>
      <w:r>
        <w:rPr>
          <w:rFonts w:ascii="Constantia" w:hAnsi="Constantia"/>
          <w:spacing w:val="-3"/>
          <w:w w:val="105"/>
          <w:sz w:val="19"/>
        </w:rPr>
        <w:t>Proporción</w:t>
        <w:tab/>
      </w:r>
      <w:r>
        <w:rPr>
          <w:rFonts w:ascii="Constantia" w:hAnsi="Constantia"/>
          <w:spacing w:val="-3"/>
          <w:w w:val="105"/>
          <w:position w:val="12"/>
          <w:sz w:val="19"/>
        </w:rPr>
        <w:t>Proporción</w:t>
      </w:r>
    </w:p>
    <w:p>
      <w:pPr>
        <w:spacing w:line="181" w:lineRule="exact" w:before="0"/>
        <w:ind w:left="2927" w:right="0" w:firstLine="0"/>
        <w:jc w:val="left"/>
        <w:rPr>
          <w:rFonts w:ascii="Constantia"/>
          <w:sz w:val="19"/>
        </w:rPr>
      </w:pPr>
      <w:r>
        <w:rPr>
          <w:rFonts w:ascii="Constantia"/>
          <w:w w:val="105"/>
          <w:sz w:val="19"/>
        </w:rPr>
        <w:t>acumulada</w:t>
      </w:r>
    </w:p>
    <w:p>
      <w:pPr>
        <w:spacing w:after="0" w:line="181" w:lineRule="exact"/>
        <w:jc w:val="left"/>
        <w:rPr>
          <w:rFonts w:ascii="Constantia"/>
          <w:sz w:val="19"/>
        </w:rPr>
        <w:sectPr>
          <w:type w:val="continuous"/>
          <w:pgSz w:w="12250" w:h="15850"/>
          <w:pgMar w:top="1500" w:bottom="280" w:left="1600" w:right="1600"/>
          <w:cols w:num="2" w:equalWidth="0">
            <w:col w:w="3536" w:space="40"/>
            <w:col w:w="5474"/>
          </w:cols>
        </w:sectPr>
      </w:pPr>
    </w:p>
    <w:p>
      <w:pPr>
        <w:pStyle w:val="BodyText"/>
        <w:spacing w:line="20" w:lineRule="exact"/>
        <w:ind w:left="1351"/>
        <w:rPr>
          <w:rFonts w:ascii="Constantia"/>
          <w:sz w:val="2"/>
        </w:rPr>
      </w:pPr>
      <w:r>
        <w:rPr>
          <w:rFonts w:ascii="Constantia"/>
          <w:sz w:val="2"/>
        </w:rPr>
        <w:pict>
          <v:group style="width:317.75pt;height:.550pt;mso-position-horizontal-relative:char;mso-position-vertical-relative:line" coordorigin="0,0" coordsize="6355,11">
            <v:line style="position:absolute" from="10,5" to="6345,5" stroked="true" strokeweight=".497025pt" strokecolor="#000000"/>
            <v:line style="position:absolute" from="5,5" to="6350,5" stroked="true" strokeweight=".497025pt" strokecolor="#000000"/>
          </v:group>
        </w:pict>
      </w:r>
      <w:r>
        <w:rPr>
          <w:rFonts w:ascii="Constantia"/>
          <w:sz w:val="2"/>
        </w:rPr>
      </w:r>
    </w:p>
    <w:tbl>
      <w:tblPr>
        <w:tblW w:w="0" w:type="auto"/>
        <w:jc w:val="left"/>
        <w:tblInd w:w="135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40"/>
        <w:gridCol w:w="2199"/>
        <w:gridCol w:w="1864"/>
        <w:gridCol w:w="1442"/>
      </w:tblGrid>
      <w:tr>
        <w:trPr>
          <w:trHeight w:val="269" w:hRule="exact"/>
        </w:trPr>
        <w:tc>
          <w:tcPr>
            <w:tcW w:w="6345" w:type="dxa"/>
            <w:gridSpan w:val="4"/>
          </w:tcPr>
          <w:p>
            <w:pPr>
              <w:pStyle w:val="TableParagraph"/>
              <w:tabs>
                <w:tab w:pos="1238" w:val="left" w:leader="none"/>
                <w:tab w:pos="2568" w:val="left" w:leader="none"/>
                <w:tab w:pos="4103" w:val="left" w:leader="none"/>
                <w:tab w:pos="5716" w:val="right" w:leader="none"/>
              </w:tabs>
              <w:spacing w:line="309" w:lineRule="exact"/>
              <w:ind w:left="378"/>
              <w:jc w:val="left"/>
              <w:rPr>
                <w:rFonts w:ascii="Constantia"/>
                <w:sz w:val="19"/>
              </w:rPr>
            </w:pPr>
            <w:r>
              <w:rPr>
                <w:rFonts w:ascii="Constantia"/>
                <w:w w:val="105"/>
                <w:sz w:val="19"/>
              </w:rPr>
              <w:t>1</w:t>
              <w:tab/>
              <w:t>40 y</w:t>
            </w:r>
            <w:r>
              <w:rPr>
                <w:rFonts w:ascii="Constantia"/>
                <w:spacing w:val="-10"/>
                <w:w w:val="105"/>
                <w:sz w:val="19"/>
              </w:rPr>
              <w:t> </w:t>
            </w:r>
            <w:r>
              <w:rPr>
                <w:rFonts w:ascii="Constantia"/>
                <w:w w:val="105"/>
                <w:sz w:val="19"/>
              </w:rPr>
              <w:t>&lt;</w:t>
            </w:r>
            <w:r>
              <w:rPr>
                <w:rFonts w:ascii="Constantia"/>
                <w:spacing w:val="-8"/>
                <w:w w:val="105"/>
                <w:sz w:val="19"/>
              </w:rPr>
              <w:t> </w:t>
            </w:r>
            <w:r>
              <w:rPr>
                <w:rFonts w:ascii="Constantia"/>
                <w:w w:val="105"/>
                <w:sz w:val="19"/>
              </w:rPr>
              <w:t>50</w:t>
              <w:tab/>
            </w:r>
            <w:r>
              <w:rPr>
                <w:rFonts w:ascii="Constantia"/>
                <w:w w:val="105"/>
                <w:position w:val="-11"/>
                <w:sz w:val="19"/>
              </w:rPr>
              <w:t>2006-2011</w:t>
              <w:tab/>
            </w:r>
            <w:r>
              <w:rPr>
                <w:rFonts w:ascii="Constantia"/>
                <w:spacing w:val="3"/>
                <w:w w:val="105"/>
                <w:sz w:val="19"/>
              </w:rPr>
              <w:t>36</w:t>
              <w:tab/>
              <w:t>36</w:t>
            </w:r>
          </w:p>
        </w:tc>
      </w:tr>
      <w:tr>
        <w:trPr>
          <w:trHeight w:val="220" w:hRule="exact"/>
        </w:trPr>
        <w:tc>
          <w:tcPr>
            <w:tcW w:w="840" w:type="dxa"/>
          </w:tcPr>
          <w:p>
            <w:pPr>
              <w:pStyle w:val="TableParagraph"/>
              <w:spacing w:line="193" w:lineRule="exact"/>
              <w:ind w:right="7"/>
              <w:rPr>
                <w:rFonts w:ascii="Constantia"/>
                <w:sz w:val="19"/>
              </w:rPr>
            </w:pPr>
            <w:r>
              <w:rPr>
                <w:rFonts w:ascii="Constantia"/>
                <w:w w:val="102"/>
                <w:sz w:val="19"/>
              </w:rPr>
              <w:t>2</w:t>
            </w:r>
          </w:p>
        </w:tc>
        <w:tc>
          <w:tcPr>
            <w:tcW w:w="2199" w:type="dxa"/>
          </w:tcPr>
          <w:p>
            <w:pPr>
              <w:pStyle w:val="TableParagraph"/>
              <w:spacing w:line="193" w:lineRule="exact"/>
              <w:ind w:left="364" w:right="1007"/>
              <w:rPr>
                <w:rFonts w:ascii="Constantia"/>
                <w:sz w:val="19"/>
              </w:rPr>
            </w:pPr>
            <w:r>
              <w:rPr>
                <w:rFonts w:ascii="Constantia"/>
                <w:w w:val="105"/>
                <w:sz w:val="19"/>
              </w:rPr>
              <w:t>50 y &lt; 60</w:t>
            </w:r>
          </w:p>
        </w:tc>
        <w:tc>
          <w:tcPr>
            <w:tcW w:w="1864" w:type="dxa"/>
          </w:tcPr>
          <w:p>
            <w:pPr>
              <w:pStyle w:val="TableParagraph"/>
              <w:spacing w:line="193" w:lineRule="exact"/>
              <w:ind w:right="615"/>
              <w:jc w:val="right"/>
              <w:rPr>
                <w:rFonts w:ascii="Constantia"/>
                <w:sz w:val="19"/>
              </w:rPr>
            </w:pPr>
            <w:r>
              <w:rPr>
                <w:rFonts w:ascii="Constantia"/>
                <w:sz w:val="19"/>
              </w:rPr>
              <w:t>25</w:t>
            </w:r>
          </w:p>
        </w:tc>
        <w:tc>
          <w:tcPr>
            <w:tcW w:w="1442" w:type="dxa"/>
          </w:tcPr>
          <w:p>
            <w:pPr>
              <w:pStyle w:val="TableParagraph"/>
              <w:spacing w:line="193" w:lineRule="exact"/>
              <w:ind w:right="656"/>
              <w:jc w:val="right"/>
              <w:rPr>
                <w:rFonts w:ascii="Constantia"/>
                <w:sz w:val="19"/>
              </w:rPr>
            </w:pPr>
            <w:r>
              <w:rPr>
                <w:rFonts w:ascii="Constantia"/>
                <w:sz w:val="19"/>
              </w:rPr>
              <w:t>61</w:t>
            </w:r>
          </w:p>
        </w:tc>
      </w:tr>
      <w:tr>
        <w:trPr>
          <w:trHeight w:val="250" w:hRule="exact"/>
        </w:trPr>
        <w:tc>
          <w:tcPr>
            <w:tcW w:w="840" w:type="dxa"/>
          </w:tcPr>
          <w:p>
            <w:pPr>
              <w:pStyle w:val="TableParagraph"/>
              <w:spacing w:line="223" w:lineRule="exact"/>
              <w:ind w:right="12"/>
              <w:rPr>
                <w:rFonts w:ascii="Constantia"/>
                <w:sz w:val="19"/>
              </w:rPr>
            </w:pPr>
            <w:r>
              <w:rPr>
                <w:rFonts w:ascii="Constantia"/>
                <w:w w:val="102"/>
                <w:sz w:val="19"/>
              </w:rPr>
              <w:t>3</w:t>
            </w:r>
          </w:p>
        </w:tc>
        <w:tc>
          <w:tcPr>
            <w:tcW w:w="2199" w:type="dxa"/>
          </w:tcPr>
          <w:p>
            <w:pPr>
              <w:pStyle w:val="TableParagraph"/>
              <w:spacing w:line="223" w:lineRule="exact"/>
              <w:ind w:left="364" w:right="1007"/>
              <w:rPr>
                <w:rFonts w:ascii="Constantia"/>
                <w:sz w:val="19"/>
              </w:rPr>
            </w:pPr>
            <w:r>
              <w:rPr>
                <w:rFonts w:ascii="Constantia"/>
                <w:w w:val="105"/>
                <w:sz w:val="19"/>
              </w:rPr>
              <w:t>60 y &lt; 70</w:t>
            </w:r>
          </w:p>
        </w:tc>
        <w:tc>
          <w:tcPr>
            <w:tcW w:w="1864" w:type="dxa"/>
          </w:tcPr>
          <w:p>
            <w:pPr>
              <w:pStyle w:val="TableParagraph"/>
              <w:spacing w:line="223" w:lineRule="exact"/>
              <w:ind w:right="651"/>
              <w:jc w:val="right"/>
              <w:rPr>
                <w:rFonts w:ascii="Constantia"/>
                <w:sz w:val="19"/>
              </w:rPr>
            </w:pPr>
            <w:r>
              <w:rPr>
                <w:rFonts w:ascii="Constantia"/>
                <w:w w:val="102"/>
                <w:sz w:val="19"/>
              </w:rPr>
              <w:t>8</w:t>
            </w:r>
          </w:p>
        </w:tc>
        <w:tc>
          <w:tcPr>
            <w:tcW w:w="1442" w:type="dxa"/>
          </w:tcPr>
          <w:p>
            <w:pPr>
              <w:pStyle w:val="TableParagraph"/>
              <w:spacing w:line="223" w:lineRule="exact"/>
              <w:ind w:right="631"/>
              <w:jc w:val="right"/>
              <w:rPr>
                <w:rFonts w:ascii="Constantia"/>
                <w:sz w:val="19"/>
              </w:rPr>
            </w:pPr>
            <w:r>
              <w:rPr>
                <w:rFonts w:ascii="Constantia"/>
                <w:sz w:val="19"/>
              </w:rPr>
              <w:t>69</w:t>
            </w:r>
          </w:p>
        </w:tc>
      </w:tr>
      <w:tr>
        <w:trPr>
          <w:trHeight w:val="250" w:hRule="exact"/>
        </w:trPr>
        <w:tc>
          <w:tcPr>
            <w:tcW w:w="840" w:type="dxa"/>
          </w:tcPr>
          <w:p>
            <w:pPr>
              <w:pStyle w:val="TableParagraph"/>
              <w:spacing w:line="223" w:lineRule="exact"/>
              <w:ind w:right="18"/>
              <w:rPr>
                <w:rFonts w:ascii="Constantia"/>
                <w:sz w:val="19"/>
              </w:rPr>
            </w:pPr>
            <w:r>
              <w:rPr>
                <w:rFonts w:ascii="Constantia"/>
                <w:w w:val="102"/>
                <w:sz w:val="19"/>
              </w:rPr>
              <w:t>4</w:t>
            </w:r>
          </w:p>
        </w:tc>
        <w:tc>
          <w:tcPr>
            <w:tcW w:w="2199" w:type="dxa"/>
          </w:tcPr>
          <w:p>
            <w:pPr>
              <w:pStyle w:val="TableParagraph"/>
              <w:spacing w:line="223" w:lineRule="exact"/>
              <w:ind w:left="364" w:right="1007"/>
              <w:rPr>
                <w:rFonts w:ascii="Constantia"/>
                <w:sz w:val="19"/>
              </w:rPr>
            </w:pPr>
            <w:r>
              <w:rPr>
                <w:rFonts w:ascii="Constantia"/>
                <w:w w:val="105"/>
                <w:sz w:val="19"/>
              </w:rPr>
              <w:t>70 y &lt; 80</w:t>
            </w:r>
          </w:p>
        </w:tc>
        <w:tc>
          <w:tcPr>
            <w:tcW w:w="1864" w:type="dxa"/>
          </w:tcPr>
          <w:p>
            <w:pPr>
              <w:pStyle w:val="TableParagraph"/>
              <w:spacing w:line="223" w:lineRule="exact"/>
              <w:ind w:right="651"/>
              <w:jc w:val="right"/>
              <w:rPr>
                <w:rFonts w:ascii="Constantia"/>
                <w:sz w:val="19"/>
              </w:rPr>
            </w:pPr>
            <w:r>
              <w:rPr>
                <w:rFonts w:ascii="Constantia"/>
                <w:w w:val="102"/>
                <w:sz w:val="19"/>
              </w:rPr>
              <w:t>8</w:t>
            </w:r>
          </w:p>
        </w:tc>
        <w:tc>
          <w:tcPr>
            <w:tcW w:w="1442" w:type="dxa"/>
          </w:tcPr>
          <w:p>
            <w:pPr>
              <w:pStyle w:val="TableParagraph"/>
              <w:spacing w:line="223" w:lineRule="exact"/>
              <w:ind w:right="632"/>
              <w:jc w:val="right"/>
              <w:rPr>
                <w:rFonts w:ascii="Constantia"/>
                <w:sz w:val="19"/>
              </w:rPr>
            </w:pPr>
            <w:r>
              <w:rPr>
                <w:rFonts w:ascii="Constantia"/>
                <w:sz w:val="19"/>
              </w:rPr>
              <w:t>78</w:t>
            </w:r>
          </w:p>
        </w:tc>
      </w:tr>
      <w:tr>
        <w:trPr>
          <w:trHeight w:val="220" w:hRule="exact"/>
        </w:trPr>
        <w:tc>
          <w:tcPr>
            <w:tcW w:w="840" w:type="dxa"/>
          </w:tcPr>
          <w:p>
            <w:pPr>
              <w:pStyle w:val="TableParagraph"/>
              <w:spacing w:line="223" w:lineRule="exact"/>
              <w:ind w:right="8"/>
              <w:rPr>
                <w:rFonts w:ascii="Constantia"/>
                <w:sz w:val="19"/>
              </w:rPr>
            </w:pPr>
            <w:r>
              <w:rPr>
                <w:rFonts w:ascii="Constantia"/>
                <w:w w:val="102"/>
                <w:sz w:val="19"/>
              </w:rPr>
              <w:t>5</w:t>
            </w:r>
          </w:p>
        </w:tc>
        <w:tc>
          <w:tcPr>
            <w:tcW w:w="2199" w:type="dxa"/>
          </w:tcPr>
          <w:p>
            <w:pPr>
              <w:pStyle w:val="TableParagraph"/>
              <w:spacing w:line="223" w:lineRule="exact"/>
              <w:ind w:left="364" w:right="1007"/>
              <w:rPr>
                <w:rFonts w:ascii="Constantia"/>
                <w:sz w:val="19"/>
              </w:rPr>
            </w:pPr>
            <w:r>
              <w:rPr>
                <w:rFonts w:ascii="Constantia"/>
                <w:w w:val="105"/>
                <w:sz w:val="19"/>
              </w:rPr>
              <w:t>80 y &lt; 90</w:t>
            </w:r>
          </w:p>
        </w:tc>
        <w:tc>
          <w:tcPr>
            <w:tcW w:w="1864" w:type="dxa"/>
          </w:tcPr>
          <w:p>
            <w:pPr>
              <w:pStyle w:val="TableParagraph"/>
              <w:spacing w:line="223" w:lineRule="exact"/>
              <w:ind w:right="651"/>
              <w:jc w:val="right"/>
              <w:rPr>
                <w:rFonts w:ascii="Constantia"/>
                <w:sz w:val="19"/>
              </w:rPr>
            </w:pPr>
            <w:r>
              <w:rPr>
                <w:rFonts w:ascii="Constantia"/>
                <w:w w:val="102"/>
                <w:sz w:val="19"/>
              </w:rPr>
              <w:t>0</w:t>
            </w:r>
          </w:p>
        </w:tc>
        <w:tc>
          <w:tcPr>
            <w:tcW w:w="1442" w:type="dxa"/>
          </w:tcPr>
          <w:p>
            <w:pPr>
              <w:pStyle w:val="TableParagraph"/>
              <w:spacing w:line="223" w:lineRule="exact"/>
              <w:ind w:right="632"/>
              <w:jc w:val="right"/>
              <w:rPr>
                <w:rFonts w:ascii="Constantia"/>
                <w:sz w:val="19"/>
              </w:rPr>
            </w:pPr>
            <w:r>
              <w:rPr>
                <w:rFonts w:ascii="Constantia"/>
                <w:sz w:val="19"/>
              </w:rPr>
              <w:t>78</w:t>
            </w:r>
          </w:p>
        </w:tc>
      </w:tr>
      <w:tr>
        <w:trPr>
          <w:trHeight w:val="339" w:hRule="exact"/>
        </w:trPr>
        <w:tc>
          <w:tcPr>
            <w:tcW w:w="6345" w:type="dxa"/>
            <w:gridSpan w:val="4"/>
          </w:tcPr>
          <w:p>
            <w:pPr>
              <w:pStyle w:val="TableParagraph"/>
              <w:tabs>
                <w:tab w:pos="1207" w:val="left" w:leader="none"/>
                <w:tab w:pos="2527" w:val="left" w:leader="none"/>
                <w:tab w:pos="4144" w:val="left" w:leader="none"/>
                <w:tab w:pos="5704" w:val="right" w:leader="none"/>
              </w:tabs>
              <w:spacing w:before="21"/>
              <w:ind w:left="358"/>
              <w:jc w:val="left"/>
              <w:rPr>
                <w:rFonts w:ascii="Constantia"/>
                <w:sz w:val="19"/>
              </w:rPr>
            </w:pPr>
            <w:r>
              <w:rPr>
                <w:rFonts w:ascii="Constantia"/>
                <w:w w:val="105"/>
                <w:sz w:val="19"/>
              </w:rPr>
              <w:t>6</w:t>
              <w:tab/>
            </w:r>
            <w:r>
              <w:rPr>
                <w:rFonts w:ascii="Constantia"/>
                <w:spacing w:val="-3"/>
                <w:w w:val="105"/>
                <w:sz w:val="19"/>
              </w:rPr>
              <w:t>90 </w:t>
            </w:r>
            <w:r>
              <w:rPr>
                <w:rFonts w:ascii="Constantia"/>
                <w:w w:val="105"/>
                <w:sz w:val="19"/>
              </w:rPr>
              <w:t>y</w:t>
            </w:r>
            <w:r>
              <w:rPr>
                <w:rFonts w:ascii="Constantia"/>
                <w:spacing w:val="-7"/>
                <w:w w:val="105"/>
                <w:sz w:val="19"/>
              </w:rPr>
              <w:t> </w:t>
            </w:r>
            <w:r>
              <w:rPr>
                <w:rFonts w:ascii="Constantia"/>
                <w:w w:val="105"/>
                <w:sz w:val="19"/>
              </w:rPr>
              <w:t>&lt;</w:t>
            </w:r>
            <w:r>
              <w:rPr>
                <w:rFonts w:ascii="Constantia"/>
                <w:spacing w:val="-8"/>
                <w:w w:val="105"/>
                <w:sz w:val="19"/>
              </w:rPr>
              <w:t> </w:t>
            </w:r>
            <w:r>
              <w:rPr>
                <w:rFonts w:ascii="Constantia"/>
                <w:w w:val="105"/>
                <w:sz w:val="19"/>
              </w:rPr>
              <w:t>100</w:t>
              <w:tab/>
            </w:r>
            <w:r>
              <w:rPr>
                <w:rFonts w:ascii="Constantia"/>
                <w:spacing w:val="-3"/>
                <w:w w:val="105"/>
                <w:position w:val="-11"/>
                <w:sz w:val="19"/>
              </w:rPr>
              <w:t>2004-2005</w:t>
              <w:tab/>
            </w:r>
            <w:r>
              <w:rPr>
                <w:rFonts w:ascii="Constantia"/>
                <w:w w:val="105"/>
                <w:sz w:val="19"/>
              </w:rPr>
              <w:t>6</w:t>
              <w:tab/>
            </w:r>
            <w:r>
              <w:rPr>
                <w:rFonts w:ascii="Constantia"/>
                <w:spacing w:val="-3"/>
                <w:w w:val="105"/>
                <w:sz w:val="19"/>
              </w:rPr>
              <w:t>83</w:t>
            </w:r>
          </w:p>
        </w:tc>
      </w:tr>
      <w:tr>
        <w:trPr>
          <w:trHeight w:val="167" w:hRule="exact"/>
        </w:trPr>
        <w:tc>
          <w:tcPr>
            <w:tcW w:w="840" w:type="dxa"/>
            <w:tcBorders>
              <w:bottom w:val="single" w:sz="4" w:space="0" w:color="000000"/>
            </w:tcBorders>
          </w:tcPr>
          <w:p>
            <w:pPr>
              <w:pStyle w:val="TableParagraph"/>
              <w:spacing w:line="163" w:lineRule="exact"/>
              <w:ind w:right="7"/>
              <w:rPr>
                <w:rFonts w:ascii="Constantia"/>
                <w:sz w:val="19"/>
              </w:rPr>
            </w:pPr>
            <w:r>
              <w:rPr>
                <w:rFonts w:ascii="Constantia"/>
                <w:w w:val="102"/>
                <w:sz w:val="19"/>
              </w:rPr>
              <w:t>7</w:t>
            </w:r>
          </w:p>
        </w:tc>
        <w:tc>
          <w:tcPr>
            <w:tcW w:w="2199" w:type="dxa"/>
            <w:tcBorders>
              <w:bottom w:val="single" w:sz="4" w:space="0" w:color="000000"/>
            </w:tcBorders>
          </w:tcPr>
          <w:p>
            <w:pPr>
              <w:pStyle w:val="TableParagraph"/>
              <w:spacing w:line="163" w:lineRule="exact"/>
              <w:ind w:left="364" w:right="966"/>
              <w:rPr>
                <w:rFonts w:ascii="Constantia"/>
                <w:sz w:val="19"/>
              </w:rPr>
            </w:pPr>
            <w:r>
              <w:rPr>
                <w:rFonts w:ascii="Constantia"/>
                <w:w w:val="105"/>
                <w:sz w:val="19"/>
              </w:rPr>
              <w:t>&gt; = 100</w:t>
            </w:r>
          </w:p>
        </w:tc>
        <w:tc>
          <w:tcPr>
            <w:tcW w:w="1864" w:type="dxa"/>
            <w:tcBorders>
              <w:bottom w:val="single" w:sz="4" w:space="0" w:color="000000"/>
            </w:tcBorders>
          </w:tcPr>
          <w:p>
            <w:pPr>
              <w:pStyle w:val="TableParagraph"/>
              <w:spacing w:line="163" w:lineRule="exact"/>
              <w:ind w:right="620"/>
              <w:jc w:val="right"/>
              <w:rPr>
                <w:rFonts w:ascii="Constantia"/>
                <w:sz w:val="19"/>
              </w:rPr>
            </w:pPr>
            <w:r>
              <w:rPr>
                <w:rFonts w:ascii="Constantia"/>
                <w:sz w:val="19"/>
              </w:rPr>
              <w:t>17</w:t>
            </w:r>
          </w:p>
        </w:tc>
        <w:tc>
          <w:tcPr>
            <w:tcW w:w="1442" w:type="dxa"/>
            <w:tcBorders>
              <w:bottom w:val="single" w:sz="4" w:space="0" w:color="000000"/>
            </w:tcBorders>
          </w:tcPr>
          <w:p>
            <w:pPr>
              <w:pStyle w:val="TableParagraph"/>
              <w:spacing w:line="163" w:lineRule="exact"/>
              <w:ind w:right="599"/>
              <w:jc w:val="right"/>
              <w:rPr>
                <w:rFonts w:ascii="Constantia"/>
                <w:sz w:val="19"/>
              </w:rPr>
            </w:pPr>
            <w:r>
              <w:rPr>
                <w:rFonts w:ascii="Constantia"/>
                <w:sz w:val="19"/>
              </w:rPr>
              <w:t>100</w:t>
            </w:r>
          </w:p>
        </w:tc>
      </w:tr>
      <w:tr>
        <w:trPr>
          <w:trHeight w:val="250" w:hRule="exact"/>
        </w:trPr>
        <w:tc>
          <w:tcPr>
            <w:tcW w:w="840" w:type="dxa"/>
            <w:tcBorders>
              <w:top w:val="single" w:sz="4" w:space="0" w:color="000000"/>
              <w:bottom w:val="single" w:sz="4" w:space="0" w:color="000000"/>
            </w:tcBorders>
          </w:tcPr>
          <w:p>
            <w:pPr/>
          </w:p>
        </w:tc>
        <w:tc>
          <w:tcPr>
            <w:tcW w:w="2199" w:type="dxa"/>
            <w:tcBorders>
              <w:top w:val="single" w:sz="4" w:space="0" w:color="000000"/>
              <w:bottom w:val="single" w:sz="4" w:space="0" w:color="000000"/>
            </w:tcBorders>
          </w:tcPr>
          <w:p>
            <w:pPr>
              <w:pStyle w:val="TableParagraph"/>
              <w:spacing w:before="8"/>
              <w:ind w:left="356" w:right="1007"/>
              <w:rPr>
                <w:rFonts w:ascii="Constantia"/>
                <w:sz w:val="19"/>
              </w:rPr>
            </w:pPr>
            <w:r>
              <w:rPr>
                <w:rFonts w:ascii="Constantia"/>
                <w:w w:val="105"/>
                <w:sz w:val="19"/>
              </w:rPr>
              <w:t>Total</w:t>
            </w:r>
          </w:p>
        </w:tc>
        <w:tc>
          <w:tcPr>
            <w:tcW w:w="1864" w:type="dxa"/>
            <w:tcBorders>
              <w:top w:val="single" w:sz="4" w:space="0" w:color="000000"/>
              <w:bottom w:val="single" w:sz="4" w:space="0" w:color="000000"/>
            </w:tcBorders>
          </w:tcPr>
          <w:p>
            <w:pPr>
              <w:pStyle w:val="TableParagraph"/>
              <w:spacing w:before="8"/>
              <w:ind w:right="569"/>
              <w:jc w:val="right"/>
              <w:rPr>
                <w:rFonts w:ascii="Constantia"/>
                <w:sz w:val="19"/>
              </w:rPr>
            </w:pPr>
            <w:r>
              <w:rPr>
                <w:rFonts w:ascii="Constantia"/>
                <w:sz w:val="19"/>
              </w:rPr>
              <w:t>100</w:t>
            </w:r>
          </w:p>
        </w:tc>
        <w:tc>
          <w:tcPr>
            <w:tcW w:w="1442" w:type="dxa"/>
            <w:tcBorders>
              <w:top w:val="single" w:sz="4" w:space="0" w:color="000000"/>
              <w:bottom w:val="single" w:sz="4" w:space="0" w:color="000000"/>
            </w:tcBorders>
          </w:tcPr>
          <w:p>
            <w:pPr>
              <w:pStyle w:val="TableParagraph"/>
              <w:spacing w:before="8"/>
              <w:ind w:right="599"/>
              <w:jc w:val="right"/>
              <w:rPr>
                <w:rFonts w:ascii="Constantia"/>
                <w:sz w:val="19"/>
              </w:rPr>
            </w:pPr>
            <w:r>
              <w:rPr>
                <w:rFonts w:ascii="Constantia"/>
                <w:sz w:val="19"/>
              </w:rPr>
              <w:t>100</w:t>
            </w:r>
          </w:p>
        </w:tc>
      </w:tr>
    </w:tbl>
    <w:p>
      <w:pPr>
        <w:spacing w:before="143"/>
        <w:ind w:left="278" w:right="280" w:firstLine="0"/>
        <w:jc w:val="center"/>
        <w:rPr>
          <w:sz w:val="20"/>
        </w:rPr>
      </w:pPr>
      <w:r>
        <w:rPr>
          <w:sz w:val="20"/>
        </w:rPr>
        <w:t>Fuente: Estimaciones propias con base en información del Banco Central de Bolivia (2012).</w:t>
      </w:r>
    </w:p>
    <w:p>
      <w:pPr>
        <w:pStyle w:val="BodyText"/>
        <w:rPr>
          <w:sz w:val="20"/>
        </w:rPr>
      </w:pPr>
    </w:p>
    <w:p>
      <w:pPr>
        <w:pStyle w:val="BodyText"/>
        <w:rPr>
          <w:sz w:val="26"/>
        </w:rPr>
      </w:pPr>
    </w:p>
    <w:p>
      <w:pPr>
        <w:pStyle w:val="BodyText"/>
        <w:spacing w:line="360" w:lineRule="auto"/>
        <w:ind w:left="102" w:right="99" w:firstLine="707"/>
        <w:jc w:val="both"/>
      </w:pPr>
      <w:r>
        <w:rPr/>
        <w:t>En cuanto a la asignación de ingresos fiscales no hidrocarburíferos (no gasíferos) canalizados al gasto corriente durante el período 2004-2006 se presentaron los menores niveles de gasto corriente relativos a los ingresos fiscales no hidrocarburíferos [menor al 100%]; en contraste, para el período 2007 – 2011 se observaron los mayores niveles de gasto corriente en términos de ingresos fiscales no hidrocarburíferos [proporción entre 110 a 130%],este mecanismo de asignación de ingresos fiscales al gasto público señala que los ingresos de hidrocarburos han financiado, en principal forma, el gasto</w:t>
      </w:r>
      <w:r>
        <w:rPr>
          <w:spacing w:val="-12"/>
        </w:rPr>
        <w:t> </w:t>
      </w:r>
      <w:r>
        <w:rPr/>
        <w:t>corriente.</w:t>
      </w:r>
    </w:p>
    <w:p>
      <w:pPr>
        <w:pStyle w:val="BodyText"/>
      </w:pPr>
    </w:p>
    <w:p>
      <w:pPr>
        <w:pStyle w:val="BodyText"/>
        <w:spacing w:line="360" w:lineRule="auto" w:before="143"/>
        <w:ind w:left="280" w:right="280"/>
        <w:jc w:val="center"/>
      </w:pPr>
      <w:bookmarkStart w:name="_bookmark66" w:id="97"/>
      <w:bookmarkEnd w:id="97"/>
      <w:r>
        <w:rPr/>
      </w:r>
      <w:r>
        <w:rPr/>
        <w:t>Cuadro 2. 5: Régimen de asignación de ingresos fiscales no hidrocarburíferos al gasto corriente</w:t>
      </w:r>
    </w:p>
    <w:p>
      <w:pPr>
        <w:spacing w:after="0" w:line="360" w:lineRule="auto"/>
        <w:jc w:val="center"/>
        <w:sectPr>
          <w:type w:val="continuous"/>
          <w:pgSz w:w="12250" w:h="15850"/>
          <w:pgMar w:top="1500" w:bottom="280" w:left="1600" w:right="1600"/>
        </w:sectPr>
      </w:pPr>
    </w:p>
    <w:p>
      <w:pPr>
        <w:tabs>
          <w:tab w:pos="2390" w:val="left" w:leader="none"/>
        </w:tabs>
        <w:spacing w:before="28"/>
        <w:ind w:left="1495" w:right="0" w:firstLine="0"/>
        <w:jc w:val="left"/>
        <w:rPr>
          <w:rFonts w:ascii="Constantia"/>
          <w:sz w:val="20"/>
        </w:rPr>
      </w:pPr>
      <w:r>
        <w:rPr/>
        <w:pict>
          <v:shape style="position:absolute;margin-left:147.800003pt;margin-top:16.563095pt;width:317.95pt;height:116.1pt;mso-position-horizontal-relative:page;mso-position-vertical-relative:paragraph;z-index:721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18"/>
                    <w:gridCol w:w="1471"/>
                    <w:gridCol w:w="1858"/>
                    <w:gridCol w:w="885"/>
                    <w:gridCol w:w="1327"/>
                  </w:tblGrid>
                  <w:tr>
                    <w:trPr>
                      <w:trHeight w:val="208" w:hRule="exact"/>
                    </w:trPr>
                    <w:tc>
                      <w:tcPr>
                        <w:tcW w:w="2288" w:type="dxa"/>
                        <w:gridSpan w:val="2"/>
                        <w:tcBorders>
                          <w:bottom w:val="single" w:sz="4" w:space="0" w:color="000000"/>
                        </w:tcBorders>
                      </w:tcPr>
                      <w:p>
                        <w:pPr>
                          <w:pStyle w:val="TableParagraph"/>
                          <w:spacing w:line="204" w:lineRule="exact"/>
                          <w:ind w:left="1164"/>
                          <w:jc w:val="left"/>
                          <w:rPr>
                            <w:rFonts w:ascii="Constantia" w:hAnsi="Constantia"/>
                            <w:sz w:val="20"/>
                          </w:rPr>
                        </w:pPr>
                        <w:r>
                          <w:rPr>
                            <w:rFonts w:ascii="Constantia" w:hAnsi="Constantia"/>
                            <w:sz w:val="20"/>
                          </w:rPr>
                          <w:t>asignación</w:t>
                        </w:r>
                      </w:p>
                    </w:tc>
                    <w:tc>
                      <w:tcPr>
                        <w:tcW w:w="4070" w:type="dxa"/>
                        <w:gridSpan w:val="3"/>
                        <w:tcBorders>
                          <w:bottom w:val="single" w:sz="4" w:space="0" w:color="000000"/>
                        </w:tcBorders>
                      </w:tcPr>
                      <w:p>
                        <w:pPr>
                          <w:pStyle w:val="TableParagraph"/>
                          <w:spacing w:line="204" w:lineRule="exact"/>
                          <w:ind w:right="126"/>
                          <w:jc w:val="right"/>
                          <w:rPr>
                            <w:rFonts w:ascii="Constantia"/>
                            <w:sz w:val="20"/>
                          </w:rPr>
                        </w:pPr>
                        <w:r>
                          <w:rPr>
                            <w:rFonts w:ascii="Constantia"/>
                            <w:w w:val="90"/>
                            <w:sz w:val="20"/>
                          </w:rPr>
                          <w:t>acumulada</w:t>
                        </w:r>
                      </w:p>
                    </w:tc>
                  </w:tr>
                  <w:tr>
                    <w:trPr>
                      <w:trHeight w:val="286" w:hRule="exact"/>
                    </w:trPr>
                    <w:tc>
                      <w:tcPr>
                        <w:tcW w:w="5031" w:type="dxa"/>
                        <w:gridSpan w:val="4"/>
                      </w:tcPr>
                      <w:p>
                        <w:pPr>
                          <w:pStyle w:val="TableParagraph"/>
                          <w:tabs>
                            <w:tab w:pos="1423" w:val="left" w:leader="none"/>
                            <w:tab w:pos="2766" w:val="left" w:leader="none"/>
                            <w:tab w:pos="4547" w:val="left" w:leader="none"/>
                          </w:tabs>
                          <w:spacing w:line="315" w:lineRule="exact" w:before="5"/>
                          <w:ind w:left="378"/>
                          <w:jc w:val="left"/>
                          <w:rPr>
                            <w:rFonts w:ascii="Constantia"/>
                            <w:sz w:val="20"/>
                          </w:rPr>
                        </w:pPr>
                        <w:r>
                          <w:rPr>
                            <w:rFonts w:ascii="Constantia"/>
                            <w:position w:val="13"/>
                            <w:sz w:val="20"/>
                          </w:rPr>
                          <w:t>1</w:t>
                          <w:tab/>
                          <w:t>&lt;</w:t>
                        </w:r>
                        <w:r>
                          <w:rPr>
                            <w:rFonts w:ascii="Constantia"/>
                            <w:spacing w:val="-10"/>
                            <w:position w:val="13"/>
                            <w:sz w:val="20"/>
                          </w:rPr>
                          <w:t> </w:t>
                        </w:r>
                        <w:r>
                          <w:rPr>
                            <w:rFonts w:ascii="Constantia"/>
                            <w:spacing w:val="-3"/>
                            <w:position w:val="13"/>
                            <w:sz w:val="20"/>
                          </w:rPr>
                          <w:t>90</w:t>
                          <w:tab/>
                        </w:r>
                        <w:r>
                          <w:rPr>
                            <w:rFonts w:ascii="Constantia"/>
                            <w:spacing w:val="-3"/>
                            <w:sz w:val="20"/>
                          </w:rPr>
                          <w:t>2004-2006</w:t>
                          <w:tab/>
                        </w:r>
                        <w:r>
                          <w:rPr>
                            <w:rFonts w:ascii="Constantia"/>
                            <w:position w:val="13"/>
                            <w:sz w:val="20"/>
                          </w:rPr>
                          <w:t>6</w:t>
                        </w:r>
                      </w:p>
                    </w:tc>
                    <w:tc>
                      <w:tcPr>
                        <w:tcW w:w="1327" w:type="dxa"/>
                      </w:tcPr>
                      <w:p>
                        <w:pPr>
                          <w:pStyle w:val="TableParagraph"/>
                          <w:spacing w:before="9"/>
                          <w:ind w:right="522"/>
                          <w:jc w:val="right"/>
                          <w:rPr>
                            <w:rFonts w:ascii="Constantia"/>
                            <w:sz w:val="20"/>
                          </w:rPr>
                        </w:pPr>
                        <w:r>
                          <w:rPr>
                            <w:rFonts w:ascii="Constantia"/>
                            <w:w w:val="94"/>
                            <w:sz w:val="20"/>
                          </w:rPr>
                          <w:t>6</w:t>
                        </w:r>
                      </w:p>
                    </w:tc>
                  </w:tr>
                  <w:tr>
                    <w:trPr>
                      <w:trHeight w:val="263" w:hRule="exact"/>
                    </w:trPr>
                    <w:tc>
                      <w:tcPr>
                        <w:tcW w:w="818" w:type="dxa"/>
                      </w:tcPr>
                      <w:p>
                        <w:pPr>
                          <w:pStyle w:val="TableParagraph"/>
                          <w:spacing w:line="235" w:lineRule="exact"/>
                          <w:ind w:right="7"/>
                          <w:rPr>
                            <w:rFonts w:ascii="Constantia"/>
                            <w:sz w:val="20"/>
                          </w:rPr>
                        </w:pPr>
                        <w:r>
                          <w:rPr>
                            <w:rFonts w:ascii="Constantia"/>
                            <w:w w:val="94"/>
                            <w:sz w:val="20"/>
                          </w:rPr>
                          <w:t>2</w:t>
                        </w:r>
                      </w:p>
                    </w:tc>
                    <w:tc>
                      <w:tcPr>
                        <w:tcW w:w="1471" w:type="dxa"/>
                      </w:tcPr>
                      <w:p>
                        <w:pPr>
                          <w:pStyle w:val="TableParagraph"/>
                          <w:spacing w:line="235" w:lineRule="exact"/>
                          <w:ind w:left="311" w:right="213"/>
                          <w:rPr>
                            <w:rFonts w:ascii="Constantia"/>
                            <w:sz w:val="20"/>
                          </w:rPr>
                        </w:pPr>
                        <w:r>
                          <w:rPr>
                            <w:rFonts w:ascii="Constantia"/>
                            <w:sz w:val="20"/>
                          </w:rPr>
                          <w:t>90 y &lt; 100</w:t>
                        </w:r>
                      </w:p>
                    </w:tc>
                    <w:tc>
                      <w:tcPr>
                        <w:tcW w:w="1858" w:type="dxa"/>
                      </w:tcPr>
                      <w:p>
                        <w:pPr/>
                      </w:p>
                    </w:tc>
                    <w:tc>
                      <w:tcPr>
                        <w:tcW w:w="885" w:type="dxa"/>
                      </w:tcPr>
                      <w:p>
                        <w:pPr>
                          <w:pStyle w:val="TableParagraph"/>
                          <w:spacing w:line="235" w:lineRule="exact"/>
                          <w:ind w:left="288" w:right="273"/>
                          <w:rPr>
                            <w:rFonts w:ascii="Constantia"/>
                            <w:sz w:val="20"/>
                          </w:rPr>
                        </w:pPr>
                        <w:r>
                          <w:rPr>
                            <w:rFonts w:ascii="Constantia"/>
                            <w:sz w:val="20"/>
                          </w:rPr>
                          <w:t>25</w:t>
                        </w:r>
                      </w:p>
                    </w:tc>
                    <w:tc>
                      <w:tcPr>
                        <w:tcW w:w="1327" w:type="dxa"/>
                      </w:tcPr>
                      <w:p>
                        <w:pPr>
                          <w:pStyle w:val="TableParagraph"/>
                          <w:spacing w:line="235" w:lineRule="exact"/>
                          <w:ind w:right="493"/>
                          <w:jc w:val="right"/>
                          <w:rPr>
                            <w:rFonts w:ascii="Constantia"/>
                            <w:sz w:val="20"/>
                          </w:rPr>
                        </w:pPr>
                        <w:r>
                          <w:rPr>
                            <w:rFonts w:ascii="Constantia"/>
                            <w:w w:val="95"/>
                            <w:sz w:val="20"/>
                          </w:rPr>
                          <w:t>31</w:t>
                        </w:r>
                      </w:p>
                    </w:tc>
                  </w:tr>
                  <w:tr>
                    <w:trPr>
                      <w:trHeight w:val="263" w:hRule="exact"/>
                    </w:trPr>
                    <w:tc>
                      <w:tcPr>
                        <w:tcW w:w="818" w:type="dxa"/>
                      </w:tcPr>
                      <w:p>
                        <w:pPr>
                          <w:pStyle w:val="TableParagraph"/>
                          <w:spacing w:line="235" w:lineRule="exact"/>
                          <w:ind w:right="12"/>
                          <w:rPr>
                            <w:rFonts w:ascii="Constantia"/>
                            <w:sz w:val="20"/>
                          </w:rPr>
                        </w:pPr>
                        <w:r>
                          <w:rPr>
                            <w:rFonts w:ascii="Constantia"/>
                            <w:w w:val="94"/>
                            <w:sz w:val="20"/>
                          </w:rPr>
                          <w:t>3</w:t>
                        </w:r>
                      </w:p>
                    </w:tc>
                    <w:tc>
                      <w:tcPr>
                        <w:tcW w:w="1471" w:type="dxa"/>
                      </w:tcPr>
                      <w:p>
                        <w:pPr>
                          <w:pStyle w:val="TableParagraph"/>
                          <w:spacing w:line="235" w:lineRule="exact"/>
                          <w:ind w:left="311" w:right="213"/>
                          <w:rPr>
                            <w:rFonts w:ascii="Constantia"/>
                            <w:sz w:val="20"/>
                          </w:rPr>
                        </w:pPr>
                        <w:r>
                          <w:rPr>
                            <w:rFonts w:ascii="Constantia"/>
                            <w:sz w:val="20"/>
                          </w:rPr>
                          <w:t>100 y &lt; 110</w:t>
                        </w:r>
                      </w:p>
                    </w:tc>
                    <w:tc>
                      <w:tcPr>
                        <w:tcW w:w="1858" w:type="dxa"/>
                      </w:tcPr>
                      <w:p>
                        <w:pPr/>
                      </w:p>
                    </w:tc>
                    <w:tc>
                      <w:tcPr>
                        <w:tcW w:w="885" w:type="dxa"/>
                      </w:tcPr>
                      <w:p>
                        <w:pPr>
                          <w:pStyle w:val="TableParagraph"/>
                          <w:spacing w:line="235" w:lineRule="exact"/>
                          <w:ind w:left="20"/>
                          <w:rPr>
                            <w:rFonts w:ascii="Constantia"/>
                            <w:sz w:val="20"/>
                          </w:rPr>
                        </w:pPr>
                        <w:r>
                          <w:rPr>
                            <w:rFonts w:ascii="Constantia"/>
                            <w:w w:val="94"/>
                            <w:sz w:val="20"/>
                          </w:rPr>
                          <w:t>6</w:t>
                        </w:r>
                      </w:p>
                    </w:tc>
                    <w:tc>
                      <w:tcPr>
                        <w:tcW w:w="1327" w:type="dxa"/>
                      </w:tcPr>
                      <w:p>
                        <w:pPr>
                          <w:pStyle w:val="TableParagraph"/>
                          <w:spacing w:line="235" w:lineRule="exact"/>
                          <w:ind w:right="469"/>
                          <w:jc w:val="right"/>
                          <w:rPr>
                            <w:rFonts w:ascii="Constantia"/>
                            <w:sz w:val="20"/>
                          </w:rPr>
                        </w:pPr>
                        <w:r>
                          <w:rPr>
                            <w:rFonts w:ascii="Constantia"/>
                            <w:w w:val="95"/>
                            <w:sz w:val="20"/>
                          </w:rPr>
                          <w:t>36</w:t>
                        </w:r>
                      </w:p>
                    </w:tc>
                  </w:tr>
                  <w:tr>
                    <w:trPr>
                      <w:trHeight w:val="263" w:hRule="exact"/>
                    </w:trPr>
                    <w:tc>
                      <w:tcPr>
                        <w:tcW w:w="818" w:type="dxa"/>
                      </w:tcPr>
                      <w:p>
                        <w:pPr>
                          <w:pStyle w:val="TableParagraph"/>
                          <w:spacing w:line="235" w:lineRule="exact"/>
                          <w:rPr>
                            <w:rFonts w:ascii="Constantia"/>
                            <w:sz w:val="20"/>
                          </w:rPr>
                        </w:pPr>
                        <w:r>
                          <w:rPr>
                            <w:rFonts w:ascii="Constantia"/>
                            <w:w w:val="94"/>
                            <w:sz w:val="20"/>
                          </w:rPr>
                          <w:t>4</w:t>
                        </w:r>
                      </w:p>
                    </w:tc>
                    <w:tc>
                      <w:tcPr>
                        <w:tcW w:w="1471" w:type="dxa"/>
                      </w:tcPr>
                      <w:p>
                        <w:pPr>
                          <w:pStyle w:val="TableParagraph"/>
                          <w:spacing w:line="235" w:lineRule="exact"/>
                          <w:ind w:left="311" w:right="223"/>
                          <w:rPr>
                            <w:rFonts w:ascii="Constantia"/>
                            <w:sz w:val="20"/>
                          </w:rPr>
                        </w:pPr>
                        <w:r>
                          <w:rPr>
                            <w:rFonts w:ascii="Constantia"/>
                            <w:sz w:val="20"/>
                          </w:rPr>
                          <w:t>110 y &lt; 120</w:t>
                        </w:r>
                      </w:p>
                    </w:tc>
                    <w:tc>
                      <w:tcPr>
                        <w:tcW w:w="1858" w:type="dxa"/>
                      </w:tcPr>
                      <w:p>
                        <w:pPr>
                          <w:pStyle w:val="TableParagraph"/>
                          <w:spacing w:line="235" w:lineRule="exact"/>
                          <w:ind w:left="227" w:right="283"/>
                          <w:rPr>
                            <w:rFonts w:ascii="Constantia"/>
                            <w:sz w:val="20"/>
                          </w:rPr>
                        </w:pPr>
                        <w:r>
                          <w:rPr>
                            <w:rFonts w:ascii="Constantia"/>
                            <w:w w:val="95"/>
                            <w:sz w:val="20"/>
                          </w:rPr>
                          <w:t>2007; 2011</w:t>
                        </w:r>
                      </w:p>
                    </w:tc>
                    <w:tc>
                      <w:tcPr>
                        <w:tcW w:w="885" w:type="dxa"/>
                      </w:tcPr>
                      <w:p>
                        <w:pPr>
                          <w:pStyle w:val="TableParagraph"/>
                          <w:spacing w:line="235" w:lineRule="exact"/>
                          <w:ind w:left="288" w:right="273"/>
                          <w:rPr>
                            <w:rFonts w:ascii="Constantia"/>
                            <w:sz w:val="20"/>
                          </w:rPr>
                        </w:pPr>
                        <w:r>
                          <w:rPr>
                            <w:rFonts w:ascii="Constantia"/>
                            <w:sz w:val="20"/>
                          </w:rPr>
                          <w:t>25</w:t>
                        </w:r>
                      </w:p>
                    </w:tc>
                    <w:tc>
                      <w:tcPr>
                        <w:tcW w:w="1327" w:type="dxa"/>
                      </w:tcPr>
                      <w:p>
                        <w:pPr>
                          <w:pStyle w:val="TableParagraph"/>
                          <w:spacing w:line="235" w:lineRule="exact"/>
                          <w:ind w:right="499"/>
                          <w:jc w:val="right"/>
                          <w:rPr>
                            <w:rFonts w:ascii="Constantia"/>
                            <w:sz w:val="20"/>
                          </w:rPr>
                        </w:pPr>
                        <w:r>
                          <w:rPr>
                            <w:rFonts w:ascii="Constantia"/>
                            <w:w w:val="90"/>
                            <w:sz w:val="20"/>
                          </w:rPr>
                          <w:t>61</w:t>
                        </w:r>
                      </w:p>
                    </w:tc>
                  </w:tr>
                  <w:tr>
                    <w:trPr>
                      <w:trHeight w:val="258" w:hRule="exact"/>
                    </w:trPr>
                    <w:tc>
                      <w:tcPr>
                        <w:tcW w:w="818" w:type="dxa"/>
                      </w:tcPr>
                      <w:p>
                        <w:pPr>
                          <w:pStyle w:val="TableParagraph"/>
                          <w:spacing w:line="235" w:lineRule="exact"/>
                          <w:ind w:right="8"/>
                          <w:rPr>
                            <w:rFonts w:ascii="Constantia"/>
                            <w:sz w:val="20"/>
                          </w:rPr>
                        </w:pPr>
                        <w:r>
                          <w:rPr>
                            <w:rFonts w:ascii="Constantia"/>
                            <w:w w:val="94"/>
                            <w:sz w:val="20"/>
                          </w:rPr>
                          <w:t>5</w:t>
                        </w:r>
                      </w:p>
                    </w:tc>
                    <w:tc>
                      <w:tcPr>
                        <w:tcW w:w="1471" w:type="dxa"/>
                      </w:tcPr>
                      <w:p>
                        <w:pPr>
                          <w:pStyle w:val="TableParagraph"/>
                          <w:spacing w:line="235" w:lineRule="exact"/>
                          <w:ind w:left="311" w:right="213"/>
                          <w:rPr>
                            <w:rFonts w:ascii="Constantia"/>
                            <w:sz w:val="20"/>
                          </w:rPr>
                        </w:pPr>
                        <w:r>
                          <w:rPr>
                            <w:rFonts w:ascii="Constantia"/>
                            <w:sz w:val="20"/>
                          </w:rPr>
                          <w:t>120 y &lt; 130</w:t>
                        </w:r>
                      </w:p>
                    </w:tc>
                    <w:tc>
                      <w:tcPr>
                        <w:tcW w:w="1858" w:type="dxa"/>
                      </w:tcPr>
                      <w:p>
                        <w:pPr/>
                      </w:p>
                    </w:tc>
                    <w:tc>
                      <w:tcPr>
                        <w:tcW w:w="885" w:type="dxa"/>
                      </w:tcPr>
                      <w:p>
                        <w:pPr>
                          <w:pStyle w:val="TableParagraph"/>
                          <w:spacing w:line="235" w:lineRule="exact"/>
                          <w:ind w:left="292" w:right="265"/>
                          <w:rPr>
                            <w:rFonts w:ascii="Constantia"/>
                            <w:sz w:val="20"/>
                          </w:rPr>
                        </w:pPr>
                        <w:r>
                          <w:rPr>
                            <w:rFonts w:ascii="Constantia"/>
                            <w:sz w:val="20"/>
                          </w:rPr>
                          <w:t>28</w:t>
                        </w:r>
                      </w:p>
                    </w:tc>
                    <w:tc>
                      <w:tcPr>
                        <w:tcW w:w="1327" w:type="dxa"/>
                      </w:tcPr>
                      <w:p>
                        <w:pPr>
                          <w:pStyle w:val="TableParagraph"/>
                          <w:spacing w:line="235" w:lineRule="exact"/>
                          <w:ind w:right="474"/>
                          <w:jc w:val="right"/>
                          <w:rPr>
                            <w:rFonts w:ascii="Constantia"/>
                            <w:sz w:val="20"/>
                          </w:rPr>
                        </w:pPr>
                        <w:r>
                          <w:rPr>
                            <w:rFonts w:ascii="Constantia"/>
                            <w:w w:val="90"/>
                            <w:sz w:val="20"/>
                          </w:rPr>
                          <w:t>89</w:t>
                        </w:r>
                      </w:p>
                    </w:tc>
                  </w:tr>
                  <w:tr>
                    <w:trPr>
                      <w:trHeight w:val="268" w:hRule="exact"/>
                    </w:trPr>
                    <w:tc>
                      <w:tcPr>
                        <w:tcW w:w="818" w:type="dxa"/>
                      </w:tcPr>
                      <w:p>
                        <w:pPr>
                          <w:pStyle w:val="TableParagraph"/>
                          <w:spacing w:line="240" w:lineRule="exact"/>
                          <w:ind w:left="1"/>
                          <w:rPr>
                            <w:rFonts w:ascii="Constantia"/>
                            <w:sz w:val="20"/>
                          </w:rPr>
                        </w:pPr>
                        <w:r>
                          <w:rPr>
                            <w:rFonts w:ascii="Constantia"/>
                            <w:w w:val="94"/>
                            <w:sz w:val="20"/>
                          </w:rPr>
                          <w:t>6</w:t>
                        </w:r>
                      </w:p>
                    </w:tc>
                    <w:tc>
                      <w:tcPr>
                        <w:tcW w:w="1471" w:type="dxa"/>
                      </w:tcPr>
                      <w:p>
                        <w:pPr>
                          <w:pStyle w:val="TableParagraph"/>
                          <w:spacing w:line="240" w:lineRule="exact"/>
                          <w:ind w:left="311" w:right="223"/>
                          <w:rPr>
                            <w:rFonts w:ascii="Constantia"/>
                            <w:sz w:val="20"/>
                          </w:rPr>
                        </w:pPr>
                        <w:r>
                          <w:rPr>
                            <w:rFonts w:ascii="Constantia"/>
                            <w:sz w:val="20"/>
                          </w:rPr>
                          <w:t>130 y &lt; 140</w:t>
                        </w:r>
                      </w:p>
                    </w:tc>
                    <w:tc>
                      <w:tcPr>
                        <w:tcW w:w="1858" w:type="dxa"/>
                      </w:tcPr>
                      <w:p>
                        <w:pPr>
                          <w:pStyle w:val="TableParagraph"/>
                          <w:spacing w:line="230" w:lineRule="exact"/>
                          <w:ind w:left="227" w:right="287"/>
                          <w:rPr>
                            <w:rFonts w:ascii="Constantia"/>
                            <w:sz w:val="20"/>
                          </w:rPr>
                        </w:pPr>
                        <w:r>
                          <w:rPr>
                            <w:rFonts w:ascii="Constantia"/>
                            <w:w w:val="95"/>
                            <w:sz w:val="20"/>
                          </w:rPr>
                          <w:t>2008-2010; 2003</w:t>
                        </w:r>
                      </w:p>
                    </w:tc>
                    <w:tc>
                      <w:tcPr>
                        <w:tcW w:w="885" w:type="dxa"/>
                      </w:tcPr>
                      <w:p>
                        <w:pPr>
                          <w:pStyle w:val="TableParagraph"/>
                          <w:spacing w:line="240" w:lineRule="exact"/>
                          <w:ind w:left="19"/>
                          <w:rPr>
                            <w:rFonts w:ascii="Constantia"/>
                            <w:sz w:val="20"/>
                          </w:rPr>
                        </w:pPr>
                        <w:r>
                          <w:rPr>
                            <w:rFonts w:ascii="Constantia"/>
                            <w:w w:val="94"/>
                            <w:sz w:val="20"/>
                          </w:rPr>
                          <w:t>8</w:t>
                        </w:r>
                      </w:p>
                    </w:tc>
                    <w:tc>
                      <w:tcPr>
                        <w:tcW w:w="1327" w:type="dxa"/>
                      </w:tcPr>
                      <w:p>
                        <w:pPr>
                          <w:pStyle w:val="TableParagraph"/>
                          <w:spacing w:line="240" w:lineRule="exact"/>
                          <w:ind w:right="477"/>
                          <w:jc w:val="right"/>
                          <w:rPr>
                            <w:rFonts w:ascii="Constantia"/>
                            <w:sz w:val="20"/>
                          </w:rPr>
                        </w:pPr>
                        <w:r>
                          <w:rPr>
                            <w:rFonts w:ascii="Constantia"/>
                            <w:w w:val="90"/>
                            <w:sz w:val="20"/>
                          </w:rPr>
                          <w:t>97</w:t>
                        </w:r>
                      </w:p>
                    </w:tc>
                  </w:tr>
                  <w:tr>
                    <w:trPr>
                      <w:trHeight w:val="239" w:hRule="exact"/>
                    </w:trPr>
                    <w:tc>
                      <w:tcPr>
                        <w:tcW w:w="818" w:type="dxa"/>
                        <w:tcBorders>
                          <w:bottom w:val="single" w:sz="4" w:space="0" w:color="000000"/>
                        </w:tcBorders>
                      </w:tcPr>
                      <w:p>
                        <w:pPr>
                          <w:pStyle w:val="TableParagraph"/>
                          <w:spacing w:line="235" w:lineRule="exact"/>
                          <w:ind w:right="7"/>
                          <w:rPr>
                            <w:rFonts w:ascii="Constantia"/>
                            <w:sz w:val="20"/>
                          </w:rPr>
                        </w:pPr>
                        <w:r>
                          <w:rPr>
                            <w:rFonts w:ascii="Constantia"/>
                            <w:w w:val="94"/>
                            <w:sz w:val="20"/>
                          </w:rPr>
                          <w:t>7</w:t>
                        </w:r>
                      </w:p>
                    </w:tc>
                    <w:tc>
                      <w:tcPr>
                        <w:tcW w:w="1471" w:type="dxa"/>
                        <w:tcBorders>
                          <w:bottom w:val="single" w:sz="4" w:space="0" w:color="000000"/>
                        </w:tcBorders>
                      </w:tcPr>
                      <w:p>
                        <w:pPr>
                          <w:pStyle w:val="TableParagraph"/>
                          <w:spacing w:line="235" w:lineRule="exact"/>
                          <w:ind w:left="311" w:right="173"/>
                          <w:rPr>
                            <w:rFonts w:ascii="Constantia"/>
                            <w:sz w:val="20"/>
                          </w:rPr>
                        </w:pPr>
                        <w:r>
                          <w:rPr>
                            <w:rFonts w:ascii="Constantia"/>
                            <w:sz w:val="20"/>
                          </w:rPr>
                          <w:t>&gt; = 140</w:t>
                        </w:r>
                      </w:p>
                    </w:tc>
                    <w:tc>
                      <w:tcPr>
                        <w:tcW w:w="1858" w:type="dxa"/>
                        <w:tcBorders>
                          <w:bottom w:val="single" w:sz="4" w:space="0" w:color="000000"/>
                        </w:tcBorders>
                      </w:tcPr>
                      <w:p>
                        <w:pPr/>
                      </w:p>
                    </w:tc>
                    <w:tc>
                      <w:tcPr>
                        <w:tcW w:w="885" w:type="dxa"/>
                        <w:tcBorders>
                          <w:bottom w:val="single" w:sz="4" w:space="0" w:color="000000"/>
                        </w:tcBorders>
                      </w:tcPr>
                      <w:p>
                        <w:pPr>
                          <w:pStyle w:val="TableParagraph"/>
                          <w:spacing w:line="235" w:lineRule="exact"/>
                          <w:ind w:left="24"/>
                          <w:rPr>
                            <w:rFonts w:ascii="Constantia"/>
                            <w:sz w:val="20"/>
                          </w:rPr>
                        </w:pPr>
                        <w:r>
                          <w:rPr>
                            <w:rFonts w:ascii="Constantia"/>
                            <w:w w:val="94"/>
                            <w:sz w:val="20"/>
                          </w:rPr>
                          <w:t>3</w:t>
                        </w:r>
                      </w:p>
                    </w:tc>
                    <w:tc>
                      <w:tcPr>
                        <w:tcW w:w="1327" w:type="dxa"/>
                        <w:tcBorders>
                          <w:bottom w:val="single" w:sz="4" w:space="0" w:color="000000"/>
                        </w:tcBorders>
                      </w:tcPr>
                      <w:p>
                        <w:pPr>
                          <w:pStyle w:val="TableParagraph"/>
                          <w:spacing w:line="235" w:lineRule="exact"/>
                          <w:ind w:right="443"/>
                          <w:jc w:val="right"/>
                          <w:rPr>
                            <w:rFonts w:ascii="Constantia"/>
                            <w:sz w:val="20"/>
                          </w:rPr>
                        </w:pPr>
                        <w:r>
                          <w:rPr>
                            <w:rFonts w:ascii="Constantia"/>
                            <w:w w:val="95"/>
                            <w:sz w:val="20"/>
                          </w:rPr>
                          <w:t>100</w:t>
                        </w:r>
                      </w:p>
                    </w:tc>
                  </w:tr>
                  <w:tr>
                    <w:trPr>
                      <w:trHeight w:val="263" w:hRule="exact"/>
                    </w:trPr>
                    <w:tc>
                      <w:tcPr>
                        <w:tcW w:w="818" w:type="dxa"/>
                        <w:tcBorders>
                          <w:top w:val="single" w:sz="4" w:space="0" w:color="000000"/>
                          <w:bottom w:val="single" w:sz="4" w:space="0" w:color="000000"/>
                        </w:tcBorders>
                      </w:tcPr>
                      <w:p>
                        <w:pPr/>
                      </w:p>
                    </w:tc>
                    <w:tc>
                      <w:tcPr>
                        <w:tcW w:w="1471" w:type="dxa"/>
                        <w:tcBorders>
                          <w:top w:val="single" w:sz="4" w:space="0" w:color="000000"/>
                          <w:bottom w:val="single" w:sz="4" w:space="0" w:color="000000"/>
                        </w:tcBorders>
                      </w:tcPr>
                      <w:p>
                        <w:pPr>
                          <w:pStyle w:val="TableParagraph"/>
                          <w:spacing w:before="9"/>
                          <w:ind w:left="311" w:right="220"/>
                          <w:rPr>
                            <w:rFonts w:ascii="Constantia"/>
                            <w:sz w:val="20"/>
                          </w:rPr>
                        </w:pPr>
                        <w:r>
                          <w:rPr>
                            <w:rFonts w:ascii="Constantia"/>
                            <w:sz w:val="20"/>
                          </w:rPr>
                          <w:t>Total</w:t>
                        </w:r>
                      </w:p>
                    </w:tc>
                    <w:tc>
                      <w:tcPr>
                        <w:tcW w:w="1858" w:type="dxa"/>
                        <w:tcBorders>
                          <w:top w:val="single" w:sz="4" w:space="0" w:color="000000"/>
                          <w:bottom w:val="single" w:sz="4" w:space="0" w:color="000000"/>
                        </w:tcBorders>
                      </w:tcPr>
                      <w:p>
                        <w:pPr/>
                      </w:p>
                    </w:tc>
                    <w:tc>
                      <w:tcPr>
                        <w:tcW w:w="885" w:type="dxa"/>
                        <w:tcBorders>
                          <w:top w:val="single" w:sz="4" w:space="0" w:color="000000"/>
                          <w:bottom w:val="single" w:sz="4" w:space="0" w:color="000000"/>
                        </w:tcBorders>
                      </w:tcPr>
                      <w:p>
                        <w:pPr>
                          <w:pStyle w:val="TableParagraph"/>
                          <w:spacing w:before="9"/>
                          <w:ind w:left="292" w:right="273"/>
                          <w:rPr>
                            <w:rFonts w:ascii="Constantia"/>
                            <w:sz w:val="20"/>
                          </w:rPr>
                        </w:pPr>
                        <w:r>
                          <w:rPr>
                            <w:rFonts w:ascii="Constantia"/>
                            <w:sz w:val="20"/>
                          </w:rPr>
                          <w:t>100</w:t>
                        </w:r>
                      </w:p>
                    </w:tc>
                    <w:tc>
                      <w:tcPr>
                        <w:tcW w:w="1327" w:type="dxa"/>
                        <w:tcBorders>
                          <w:top w:val="single" w:sz="4" w:space="0" w:color="000000"/>
                          <w:bottom w:val="single" w:sz="4" w:space="0" w:color="000000"/>
                        </w:tcBorders>
                      </w:tcPr>
                      <w:p>
                        <w:pPr>
                          <w:pStyle w:val="TableParagraph"/>
                          <w:spacing w:before="9"/>
                          <w:ind w:right="443"/>
                          <w:jc w:val="right"/>
                          <w:rPr>
                            <w:rFonts w:ascii="Constantia"/>
                            <w:sz w:val="20"/>
                          </w:rPr>
                        </w:pPr>
                        <w:r>
                          <w:rPr>
                            <w:rFonts w:ascii="Constantia"/>
                            <w:w w:val="95"/>
                            <w:sz w:val="20"/>
                          </w:rPr>
                          <w:t>100</w:t>
                        </w:r>
                      </w:p>
                    </w:tc>
                  </w:tr>
                </w:tbl>
                <w:p>
                  <w:pPr>
                    <w:pStyle w:val="BodyText"/>
                  </w:pPr>
                </w:p>
              </w:txbxContent>
            </v:textbox>
            <w10:wrap type="none"/>
          </v:shape>
        </w:pict>
      </w:r>
      <w:r>
        <w:rPr>
          <w:rFonts w:ascii="Constantia"/>
          <w:position w:val="-12"/>
          <w:sz w:val="20"/>
        </w:rPr>
        <w:t>Rango</w:t>
        <w:tab/>
      </w:r>
      <w:r>
        <w:rPr>
          <w:rFonts w:ascii="Constantia"/>
          <w:w w:val="95"/>
          <w:sz w:val="20"/>
        </w:rPr>
        <w:t>Porcentaje</w:t>
      </w:r>
      <w:r>
        <w:rPr>
          <w:rFonts w:ascii="Constantia"/>
          <w:spacing w:val="-14"/>
          <w:w w:val="95"/>
          <w:sz w:val="20"/>
        </w:rPr>
        <w:t> </w:t>
      </w:r>
      <w:r>
        <w:rPr>
          <w:rFonts w:ascii="Constantia"/>
          <w:w w:val="95"/>
          <w:sz w:val="20"/>
        </w:rPr>
        <w:t>de</w:t>
      </w:r>
    </w:p>
    <w:p>
      <w:pPr>
        <w:tabs>
          <w:tab w:pos="1830" w:val="left" w:leader="none"/>
          <w:tab w:pos="3134" w:val="left" w:leader="none"/>
        </w:tabs>
        <w:spacing w:before="24"/>
        <w:ind w:left="636" w:right="0" w:firstLine="0"/>
        <w:jc w:val="left"/>
        <w:rPr>
          <w:rFonts w:ascii="Constantia" w:hAnsi="Constantia"/>
          <w:sz w:val="20"/>
        </w:rPr>
      </w:pPr>
      <w:r>
        <w:rPr/>
        <w:br w:type="column"/>
      </w:r>
      <w:r>
        <w:rPr>
          <w:rFonts w:ascii="Constantia" w:hAnsi="Constantia"/>
          <w:sz w:val="20"/>
        </w:rPr>
        <w:t>Régimen</w:t>
        <w:tab/>
      </w:r>
      <w:r>
        <w:rPr>
          <w:rFonts w:ascii="Constantia" w:hAnsi="Constantia"/>
          <w:spacing w:val="-3"/>
          <w:sz w:val="20"/>
        </w:rPr>
        <w:t>Proporción</w:t>
        <w:tab/>
      </w:r>
      <w:r>
        <w:rPr>
          <w:rFonts w:ascii="Constantia" w:hAnsi="Constantia"/>
          <w:spacing w:val="-3"/>
          <w:position w:val="13"/>
          <w:sz w:val="20"/>
        </w:rPr>
        <w:t>Proporción</w:t>
      </w:r>
    </w:p>
    <w:p>
      <w:pPr>
        <w:spacing w:after="0"/>
        <w:jc w:val="left"/>
        <w:rPr>
          <w:rFonts w:ascii="Constantia" w:hAnsi="Constantia"/>
          <w:sz w:val="20"/>
        </w:rPr>
        <w:sectPr>
          <w:type w:val="continuous"/>
          <w:pgSz w:w="12250" w:h="15850"/>
          <w:pgMar w:top="1500" w:bottom="280" w:left="1600" w:right="1600"/>
          <w:cols w:num="2" w:equalWidth="0">
            <w:col w:w="3506" w:space="40"/>
            <w:col w:w="5504"/>
          </w:cols>
        </w:sect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spacing w:before="9"/>
        <w:rPr>
          <w:rFonts w:ascii="Constantia"/>
          <w:sz w:val="28"/>
        </w:rPr>
      </w:pPr>
    </w:p>
    <w:p>
      <w:pPr>
        <w:spacing w:before="74"/>
        <w:ind w:left="836" w:right="0" w:firstLine="0"/>
        <w:jc w:val="left"/>
        <w:rPr>
          <w:sz w:val="20"/>
        </w:rPr>
      </w:pPr>
      <w:r>
        <w:rPr>
          <w:sz w:val="20"/>
        </w:rPr>
        <w:t>Fuente: Estimaciones propias con base en información del Banco Central de Bolivia (2012).</w:t>
      </w:r>
    </w:p>
    <w:p>
      <w:pPr>
        <w:spacing w:after="0"/>
        <w:jc w:val="left"/>
        <w:rPr>
          <w:sz w:val="20"/>
        </w:rPr>
        <w:sectPr>
          <w:type w:val="continuous"/>
          <w:pgSz w:w="12250" w:h="15850"/>
          <w:pgMar w:top="1500" w:bottom="280" w:left="1600" w:right="1600"/>
        </w:sectPr>
      </w:pPr>
    </w:p>
    <w:p>
      <w:pPr>
        <w:pStyle w:val="BodyText"/>
        <w:spacing w:line="360" w:lineRule="auto" w:before="50"/>
        <w:ind w:left="102" w:right="115" w:firstLine="707"/>
        <w:jc w:val="both"/>
      </w:pPr>
      <w:r>
        <w:rPr/>
        <w:t>La ley de hidrocarburos de Bolivia (ley Nº 3058) señala la distribución de los impuestos directos de hidrocarburos (IDH) y de las regalías de producción hidrocarburífera en Bolivia. Asimismo, para este país los ingresos hidrocarburíferos (gas natural y petróleo) están compuestos por tres vertientes:</w:t>
      </w:r>
    </w:p>
    <w:p>
      <w:pPr>
        <w:pStyle w:val="BodyText"/>
        <w:spacing w:before="9"/>
      </w:pPr>
    </w:p>
    <w:p>
      <w:pPr>
        <w:spacing w:before="0"/>
        <w:ind w:left="102" w:right="0" w:firstLine="0"/>
        <w:jc w:val="left"/>
        <w:rPr>
          <w:rFonts w:ascii="Cambria Math"/>
          <w:sz w:val="22"/>
        </w:rPr>
      </w:pPr>
      <w:r>
        <w:rPr>
          <w:rFonts w:ascii="Cambria Math"/>
          <w:w w:val="217"/>
          <w:sz w:val="22"/>
        </w:rPr>
        <w:t>  </w:t>
      </w:r>
      <w:r>
        <w:rPr>
          <w:rFonts w:ascii="Cambria Math"/>
          <w:spacing w:val="-1"/>
          <w:w w:val="278"/>
          <w:sz w:val="22"/>
        </w:rPr>
        <w:t> </w:t>
      </w:r>
      <w:r>
        <w:rPr>
          <w:rFonts w:ascii="Cambria Math"/>
          <w:w w:val="221"/>
          <w:sz w:val="22"/>
        </w:rPr>
        <w:t> </w:t>
      </w:r>
      <w:r>
        <w:rPr>
          <w:rFonts w:ascii="Cambria Math"/>
          <w:spacing w:val="-2"/>
          <w:w w:val="221"/>
          <w:sz w:val="22"/>
        </w:rPr>
        <w:t> </w:t>
      </w:r>
      <w:r>
        <w:rPr>
          <w:rFonts w:ascii="Cambria Math"/>
          <w:w w:val="210"/>
          <w:sz w:val="22"/>
        </w:rPr>
        <w:t> </w:t>
      </w:r>
      <w:r>
        <w:rPr>
          <w:rFonts w:ascii="Cambria Math"/>
          <w:w w:val="226"/>
          <w:sz w:val="22"/>
        </w:rPr>
        <w:t>  </w:t>
      </w:r>
      <w:r>
        <w:rPr>
          <w:rFonts w:ascii="Cambria Math"/>
          <w:sz w:val="22"/>
        </w:rPr>
        <w:t>  </w:t>
      </w:r>
      <w:r>
        <w:rPr>
          <w:rFonts w:ascii="Cambria Math"/>
          <w:w w:val="250"/>
          <w:sz w:val="22"/>
        </w:rPr>
        <w:t> </w:t>
      </w:r>
      <w:r>
        <w:rPr>
          <w:rFonts w:ascii="Cambria Math"/>
          <w:w w:val="177"/>
          <w:sz w:val="22"/>
        </w:rPr>
        <w:t>  </w:t>
      </w:r>
      <w:r>
        <w:rPr>
          <w:rFonts w:ascii="Cambria Math"/>
          <w:spacing w:val="-1"/>
          <w:w w:val="209"/>
          <w:sz w:val="22"/>
        </w:rPr>
        <w:t> </w:t>
      </w:r>
      <w:r>
        <w:rPr>
          <w:rFonts w:ascii="Cambria Math"/>
          <w:w w:val="198"/>
          <w:sz w:val="22"/>
        </w:rPr>
        <w:t> </w:t>
      </w:r>
      <w:r>
        <w:rPr>
          <w:rFonts w:ascii="Cambria Math"/>
          <w:spacing w:val="-1"/>
          <w:w w:val="198"/>
          <w:sz w:val="22"/>
        </w:rPr>
        <w:t> </w:t>
      </w:r>
      <w:r>
        <w:rPr>
          <w:rFonts w:ascii="Cambria Math"/>
          <w:w w:val="226"/>
          <w:sz w:val="22"/>
        </w:rPr>
        <w:t> </w:t>
      </w:r>
      <w:r>
        <w:rPr>
          <w:rFonts w:ascii="Cambria Math"/>
          <w:w w:val="210"/>
          <w:sz w:val="22"/>
        </w:rPr>
        <w:t> </w:t>
      </w:r>
      <w:r>
        <w:rPr>
          <w:rFonts w:ascii="Cambria Math"/>
          <w:spacing w:val="1"/>
          <w:sz w:val="22"/>
        </w:rPr>
        <w:t> </w:t>
      </w:r>
      <w:r>
        <w:rPr>
          <w:rFonts w:ascii="Cambria Math"/>
          <w:spacing w:val="-1"/>
          <w:w w:val="245"/>
          <w:sz w:val="22"/>
        </w:rPr>
        <w:t> </w:t>
      </w:r>
      <w:r>
        <w:rPr>
          <w:rFonts w:ascii="Cambria Math"/>
          <w:w w:val="245"/>
          <w:sz w:val="22"/>
        </w:rPr>
        <w:t> </w:t>
      </w:r>
      <w:r>
        <w:rPr>
          <w:rFonts w:ascii="Cambria Math"/>
          <w:spacing w:val="5"/>
          <w:sz w:val="22"/>
        </w:rPr>
        <w:t> </w:t>
      </w:r>
      <w:r>
        <w:rPr>
          <w:rFonts w:ascii="Cambria Math"/>
          <w:w w:val="221"/>
          <w:sz w:val="22"/>
        </w:rPr>
        <w:t> </w:t>
      </w:r>
      <w:r>
        <w:rPr>
          <w:rFonts w:ascii="Cambria Math"/>
          <w:spacing w:val="1"/>
          <w:w w:val="221"/>
          <w:sz w:val="22"/>
        </w:rPr>
        <w:t> </w:t>
      </w:r>
      <w:r>
        <w:rPr>
          <w:rFonts w:ascii="Cambria Math"/>
          <w:spacing w:val="-1"/>
          <w:w w:val="209"/>
          <w:sz w:val="22"/>
        </w:rPr>
        <w:t> </w:t>
      </w:r>
      <w:r>
        <w:rPr>
          <w:rFonts w:ascii="Cambria Math"/>
          <w:w w:val="239"/>
          <w:sz w:val="22"/>
        </w:rPr>
        <w:t> </w:t>
      </w:r>
      <w:r>
        <w:rPr>
          <w:rFonts w:ascii="Cambria Math"/>
          <w:spacing w:val="-2"/>
          <w:w w:val="239"/>
          <w:sz w:val="22"/>
        </w:rPr>
        <w:t> </w:t>
      </w:r>
      <w:r>
        <w:rPr>
          <w:rFonts w:ascii="Cambria Math"/>
          <w:w w:val="210"/>
          <w:sz w:val="22"/>
        </w:rPr>
        <w:t> </w:t>
      </w:r>
      <w:r>
        <w:rPr>
          <w:rFonts w:ascii="Cambria Math"/>
          <w:w w:val="226"/>
          <w:sz w:val="22"/>
        </w:rPr>
        <w:t>  </w:t>
      </w:r>
      <w:r>
        <w:rPr>
          <w:rFonts w:ascii="Cambria Math"/>
          <w:spacing w:val="1"/>
          <w:sz w:val="22"/>
        </w:rPr>
        <w:t> </w:t>
      </w:r>
      <w:r>
        <w:rPr>
          <w:rFonts w:ascii="Cambria Math"/>
          <w:w w:val="231"/>
          <w:sz w:val="22"/>
        </w:rPr>
        <w:t>  </w:t>
      </w:r>
      <w:r>
        <w:rPr>
          <w:rFonts w:ascii="Cambria Math"/>
          <w:spacing w:val="-1"/>
          <w:w w:val="231"/>
          <w:sz w:val="22"/>
        </w:rPr>
        <w:t> </w:t>
      </w:r>
      <w:r>
        <w:rPr>
          <w:rFonts w:ascii="Cambria Math"/>
          <w:w w:val="239"/>
          <w:sz w:val="22"/>
        </w:rPr>
        <w:t>  </w:t>
      </w:r>
      <w:r>
        <w:rPr>
          <w:rFonts w:ascii="Cambria Math"/>
          <w:w w:val="198"/>
          <w:sz w:val="22"/>
        </w:rPr>
        <w:t> </w:t>
      </w:r>
      <w:r>
        <w:rPr>
          <w:rFonts w:ascii="Cambria Math"/>
          <w:spacing w:val="-1"/>
          <w:w w:val="198"/>
          <w:sz w:val="22"/>
        </w:rPr>
        <w:t> </w:t>
      </w:r>
      <w:r>
        <w:rPr>
          <w:rFonts w:ascii="Cambria Math"/>
          <w:spacing w:val="-2"/>
          <w:w w:val="226"/>
          <w:sz w:val="22"/>
        </w:rPr>
        <w:t> </w:t>
      </w:r>
      <w:r>
        <w:rPr>
          <w:rFonts w:ascii="Cambria Math"/>
          <w:w w:val="210"/>
          <w:sz w:val="22"/>
        </w:rPr>
        <w:t> </w:t>
      </w:r>
      <w:r>
        <w:rPr>
          <w:rFonts w:ascii="Cambria Math"/>
          <w:spacing w:val="15"/>
          <w:sz w:val="22"/>
        </w:rPr>
        <w:t> </w:t>
      </w:r>
      <w:r>
        <w:rPr>
          <w:rFonts w:ascii="Cambria Math"/>
          <w:w w:val="340"/>
          <w:sz w:val="22"/>
        </w:rPr>
        <w:t> </w:t>
      </w:r>
      <w:r>
        <w:rPr>
          <w:rFonts w:ascii="Cambria Math"/>
          <w:sz w:val="22"/>
        </w:rPr>
        <w:t>  </w:t>
      </w:r>
      <w:r>
        <w:rPr>
          <w:rFonts w:ascii="Cambria Math"/>
          <w:spacing w:val="11"/>
          <w:sz w:val="22"/>
        </w:rPr>
        <w:t> </w:t>
      </w:r>
      <w:r>
        <w:rPr>
          <w:rFonts w:ascii="Cambria Math"/>
          <w:w w:val="236"/>
          <w:sz w:val="22"/>
        </w:rPr>
        <w:t>  </w:t>
      </w:r>
      <w:r>
        <w:rPr>
          <w:rFonts w:ascii="Cambria Math"/>
          <w:w w:val="231"/>
          <w:sz w:val="22"/>
        </w:rPr>
        <w:t>   </w:t>
      </w:r>
      <w:r>
        <w:rPr>
          <w:rFonts w:ascii="Cambria Math"/>
          <w:spacing w:val="3"/>
          <w:sz w:val="22"/>
        </w:rPr>
        <w:t> </w:t>
      </w:r>
      <w:r>
        <w:rPr>
          <w:rFonts w:ascii="Cambria Math"/>
          <w:w w:val="226"/>
          <w:sz w:val="22"/>
        </w:rPr>
        <w:t> </w:t>
      </w:r>
      <w:r>
        <w:rPr>
          <w:rFonts w:ascii="Cambria Math"/>
          <w:w w:val="211"/>
          <w:sz w:val="22"/>
        </w:rPr>
        <w:t> </w:t>
      </w:r>
      <w:r>
        <w:rPr>
          <w:rFonts w:ascii="Cambria Math"/>
          <w:spacing w:val="-1"/>
          <w:w w:val="211"/>
          <w:sz w:val="22"/>
        </w:rPr>
        <w:t> </w:t>
      </w:r>
      <w:r>
        <w:rPr>
          <w:rFonts w:ascii="Cambria Math"/>
          <w:w w:val="226"/>
          <w:sz w:val="22"/>
        </w:rPr>
        <w:t> </w:t>
      </w:r>
      <w:r>
        <w:rPr>
          <w:rFonts w:ascii="Cambria Math"/>
          <w:w w:val="239"/>
          <w:sz w:val="22"/>
        </w:rPr>
        <w:t> </w:t>
      </w:r>
      <w:r>
        <w:rPr>
          <w:rFonts w:ascii="Cambria Math"/>
          <w:spacing w:val="-2"/>
          <w:w w:val="239"/>
          <w:sz w:val="22"/>
        </w:rPr>
        <w:t> </w:t>
      </w:r>
      <w:r>
        <w:rPr>
          <w:rFonts w:ascii="Cambria Math"/>
          <w:w w:val="253"/>
          <w:sz w:val="22"/>
        </w:rPr>
        <w:t> </w:t>
      </w:r>
      <w:r>
        <w:rPr>
          <w:rFonts w:ascii="Cambria Math"/>
          <w:spacing w:val="4"/>
          <w:sz w:val="22"/>
        </w:rPr>
        <w:t> </w:t>
      </w:r>
      <w:r>
        <w:rPr>
          <w:rFonts w:ascii="Cambria Math"/>
          <w:w w:val="255"/>
          <w:sz w:val="22"/>
        </w:rPr>
        <w:t> </w:t>
      </w:r>
      <w:r>
        <w:rPr>
          <w:rFonts w:ascii="Cambria Math"/>
          <w:spacing w:val="3"/>
          <w:sz w:val="22"/>
        </w:rPr>
        <w:t> </w:t>
      </w:r>
      <w:r>
        <w:rPr>
          <w:rFonts w:ascii="Cambria Math"/>
          <w:w w:val="274"/>
          <w:sz w:val="22"/>
        </w:rPr>
        <w:t>   </w:t>
      </w:r>
      <w:r>
        <w:rPr>
          <w:rFonts w:ascii="Cambria Math"/>
          <w:spacing w:val="-1"/>
          <w:w w:val="209"/>
          <w:sz w:val="22"/>
        </w:rPr>
        <w:t> </w:t>
      </w:r>
      <w:r>
        <w:rPr>
          <w:rFonts w:ascii="Cambria Math"/>
          <w:w w:val="259"/>
          <w:sz w:val="22"/>
        </w:rPr>
        <w:t> </w:t>
      </w:r>
      <w:r>
        <w:rPr>
          <w:rFonts w:ascii="Cambria Math"/>
          <w:spacing w:val="-2"/>
          <w:w w:val="259"/>
          <w:sz w:val="22"/>
        </w:rPr>
        <w:t> </w:t>
      </w:r>
      <w:r>
        <w:rPr>
          <w:rFonts w:ascii="Cambria Math"/>
          <w:w w:val="242"/>
          <w:sz w:val="22"/>
        </w:rPr>
        <w:t> </w:t>
      </w:r>
      <w:r>
        <w:rPr>
          <w:rFonts w:ascii="Cambria Math"/>
          <w:spacing w:val="2"/>
          <w:sz w:val="22"/>
        </w:rPr>
        <w:t> </w:t>
      </w:r>
      <w:r>
        <w:rPr>
          <w:rFonts w:ascii="Cambria Math"/>
          <w:w w:val="195"/>
          <w:sz w:val="22"/>
        </w:rPr>
        <w:t>  </w:t>
      </w:r>
      <w:r>
        <w:rPr>
          <w:rFonts w:ascii="Cambria Math"/>
          <w:spacing w:val="-1"/>
          <w:w w:val="195"/>
          <w:sz w:val="22"/>
        </w:rPr>
        <w:t> </w:t>
      </w:r>
      <w:r>
        <w:rPr>
          <w:rFonts w:ascii="Cambria Math"/>
          <w:w w:val="226"/>
          <w:sz w:val="22"/>
        </w:rPr>
        <w:t> </w:t>
      </w:r>
      <w:r>
        <w:rPr>
          <w:rFonts w:ascii="Cambria Math"/>
          <w:w w:val="239"/>
          <w:sz w:val="22"/>
        </w:rPr>
        <w:t> </w:t>
      </w:r>
      <w:r>
        <w:rPr>
          <w:rFonts w:ascii="Cambria Math"/>
          <w:spacing w:val="-2"/>
          <w:w w:val="239"/>
          <w:sz w:val="22"/>
        </w:rPr>
        <w:t> </w:t>
      </w:r>
      <w:r>
        <w:rPr>
          <w:rFonts w:ascii="Cambria Math"/>
          <w:w w:val="242"/>
          <w:sz w:val="22"/>
        </w:rPr>
        <w:t> </w:t>
      </w:r>
      <w:r>
        <w:rPr>
          <w:rFonts w:ascii="Cambria Math"/>
          <w:spacing w:val="4"/>
          <w:sz w:val="22"/>
        </w:rPr>
        <w:t> </w:t>
      </w:r>
      <w:r>
        <w:rPr>
          <w:rFonts w:ascii="Cambria Math"/>
          <w:w w:val="340"/>
          <w:sz w:val="22"/>
        </w:rPr>
        <w:t> </w:t>
      </w:r>
    </w:p>
    <w:p>
      <w:pPr>
        <w:spacing w:before="131"/>
        <w:ind w:left="102" w:right="0" w:firstLine="0"/>
        <w:jc w:val="left"/>
        <w:rPr>
          <w:rFonts w:ascii="Cambria Math"/>
          <w:sz w:val="22"/>
        </w:rPr>
      </w:pPr>
      <w:r>
        <w:rPr>
          <w:rFonts w:ascii="Cambria Math"/>
          <w:w w:val="260"/>
          <w:sz w:val="22"/>
        </w:rPr>
        <w:t>  </w:t>
      </w:r>
      <w:r>
        <w:rPr>
          <w:rFonts w:ascii="Cambria Math"/>
          <w:spacing w:val="-2"/>
          <w:w w:val="260"/>
          <w:sz w:val="22"/>
        </w:rPr>
        <w:t> </w:t>
      </w:r>
      <w:r>
        <w:rPr>
          <w:rFonts w:ascii="Cambria Math"/>
          <w:w w:val="243"/>
          <w:sz w:val="22"/>
        </w:rPr>
        <w:t> </w:t>
      </w:r>
      <w:r>
        <w:rPr>
          <w:rFonts w:ascii="Cambria Math"/>
          <w:spacing w:val="1"/>
          <w:w w:val="243"/>
          <w:sz w:val="22"/>
        </w:rPr>
        <w:t> </w:t>
      </w:r>
      <w:r>
        <w:rPr>
          <w:rFonts w:ascii="Cambria Math"/>
          <w:spacing w:val="-2"/>
          <w:w w:val="210"/>
          <w:sz w:val="22"/>
        </w:rPr>
        <w:t> </w:t>
      </w:r>
      <w:r>
        <w:rPr>
          <w:rFonts w:ascii="Cambria Math"/>
          <w:spacing w:val="-1"/>
          <w:w w:val="180"/>
          <w:sz w:val="22"/>
        </w:rPr>
        <w:t> </w:t>
      </w:r>
      <w:r>
        <w:rPr>
          <w:rFonts w:ascii="Cambria Math"/>
          <w:w w:val="226"/>
          <w:sz w:val="22"/>
        </w:rPr>
        <w:t>  </w:t>
      </w:r>
      <w:r>
        <w:rPr>
          <w:rFonts w:ascii="Cambria Math"/>
          <w:spacing w:val="3"/>
          <w:sz w:val="22"/>
        </w:rPr>
        <w:t> </w:t>
      </w:r>
      <w:r>
        <w:rPr>
          <w:rFonts w:ascii="Cambria Math"/>
          <w:spacing w:val="-1"/>
          <w:w w:val="264"/>
          <w:sz w:val="22"/>
        </w:rPr>
        <w:t> </w:t>
      </w:r>
      <w:r>
        <w:rPr>
          <w:rFonts w:ascii="Cambria Math"/>
          <w:w w:val="195"/>
          <w:sz w:val="22"/>
        </w:rPr>
        <w:t>   </w:t>
      </w:r>
      <w:r>
        <w:rPr>
          <w:rFonts w:ascii="Cambria Math"/>
          <w:spacing w:val="-1"/>
          <w:w w:val="209"/>
          <w:sz w:val="22"/>
        </w:rPr>
        <w:t> </w:t>
      </w:r>
      <w:r>
        <w:rPr>
          <w:rFonts w:ascii="Cambria Math"/>
          <w:spacing w:val="-1"/>
          <w:w w:val="180"/>
          <w:sz w:val="22"/>
        </w:rPr>
        <w:t> </w:t>
      </w:r>
      <w:r>
        <w:rPr>
          <w:rFonts w:ascii="Cambria Math"/>
          <w:w w:val="226"/>
          <w:sz w:val="22"/>
        </w:rPr>
        <w:t>  </w:t>
      </w:r>
      <w:r>
        <w:rPr>
          <w:rFonts w:ascii="Cambria Math"/>
          <w:spacing w:val="3"/>
          <w:sz w:val="22"/>
        </w:rPr>
        <w:t> </w:t>
      </w:r>
      <w:r>
        <w:rPr>
          <w:rFonts w:ascii="Cambria Math"/>
          <w:w w:val="253"/>
          <w:sz w:val="22"/>
        </w:rPr>
        <w:t> </w:t>
      </w:r>
      <w:r>
        <w:rPr>
          <w:rFonts w:ascii="Cambria Math"/>
          <w:spacing w:val="3"/>
          <w:sz w:val="22"/>
        </w:rPr>
        <w:t> </w:t>
      </w:r>
      <w:r>
        <w:rPr>
          <w:rFonts w:ascii="Cambria Math"/>
          <w:spacing w:val="-1"/>
          <w:w w:val="252"/>
          <w:sz w:val="22"/>
        </w:rPr>
        <w:t> </w:t>
      </w:r>
      <w:r>
        <w:rPr>
          <w:rFonts w:ascii="Cambria Math"/>
          <w:w w:val="204"/>
          <w:sz w:val="22"/>
        </w:rPr>
        <w:t> </w:t>
      </w:r>
      <w:r>
        <w:rPr>
          <w:rFonts w:ascii="Cambria Math"/>
          <w:spacing w:val="-2"/>
          <w:w w:val="204"/>
          <w:sz w:val="22"/>
        </w:rPr>
        <w:t> </w:t>
      </w:r>
      <w:r>
        <w:rPr>
          <w:rFonts w:ascii="Cambria Math"/>
          <w:w w:val="230"/>
          <w:sz w:val="22"/>
        </w:rPr>
        <w:t>   </w:t>
      </w:r>
      <w:r>
        <w:rPr>
          <w:rFonts w:ascii="Cambria Math"/>
          <w:spacing w:val="-1"/>
          <w:w w:val="230"/>
          <w:sz w:val="22"/>
        </w:rPr>
        <w:t> </w:t>
      </w:r>
      <w:r>
        <w:rPr>
          <w:rFonts w:ascii="Cambria Math"/>
          <w:w w:val="231"/>
          <w:sz w:val="22"/>
        </w:rPr>
        <w:t> </w:t>
      </w:r>
      <w:r>
        <w:rPr>
          <w:rFonts w:ascii="Cambria Math"/>
          <w:spacing w:val="1"/>
          <w:w w:val="231"/>
          <w:sz w:val="22"/>
        </w:rPr>
        <w:t> </w:t>
      </w:r>
      <w:r>
        <w:rPr>
          <w:rFonts w:ascii="Cambria Math"/>
          <w:spacing w:val="-2"/>
          <w:w w:val="261"/>
          <w:sz w:val="22"/>
        </w:rPr>
        <w:t> </w:t>
      </w:r>
      <w:r>
        <w:rPr>
          <w:rFonts w:ascii="Cambria Math"/>
          <w:w w:val="223"/>
          <w:sz w:val="22"/>
        </w:rPr>
        <w:t>   </w:t>
      </w:r>
      <w:r>
        <w:rPr>
          <w:rFonts w:ascii="Cambria Math"/>
          <w:spacing w:val="1"/>
          <w:sz w:val="22"/>
        </w:rPr>
        <w:t> </w:t>
      </w:r>
      <w:r>
        <w:rPr>
          <w:rFonts w:ascii="Cambria Math"/>
          <w:spacing w:val="-1"/>
          <w:w w:val="189"/>
          <w:position w:val="1"/>
          <w:sz w:val="22"/>
        </w:rPr>
        <w:t> </w:t>
      </w:r>
      <w:r>
        <w:rPr>
          <w:rFonts w:ascii="Cambria Math"/>
          <w:w w:val="244"/>
          <w:sz w:val="22"/>
        </w:rPr>
        <w:t>  </w:t>
      </w:r>
      <w:r>
        <w:rPr>
          <w:rFonts w:ascii="Cambria Math"/>
          <w:spacing w:val="5"/>
          <w:w w:val="331"/>
          <w:sz w:val="22"/>
        </w:rPr>
        <w:t> </w:t>
      </w:r>
      <w:r>
        <w:rPr>
          <w:rFonts w:ascii="Cambria Math"/>
          <w:w w:val="93"/>
          <w:sz w:val="22"/>
        </w:rPr>
        <w:t> </w:t>
      </w:r>
      <w:r>
        <w:rPr>
          <w:rFonts w:ascii="Cambria Math"/>
          <w:sz w:val="22"/>
        </w:rPr>
        <w:t> </w:t>
      </w:r>
      <w:r>
        <w:rPr>
          <w:rFonts w:ascii="Cambria Math"/>
          <w:spacing w:val="13"/>
          <w:sz w:val="22"/>
        </w:rPr>
        <w:t> </w:t>
      </w:r>
      <w:r>
        <w:rPr>
          <w:rFonts w:ascii="Cambria Math"/>
          <w:w w:val="303"/>
          <w:sz w:val="22"/>
        </w:rPr>
        <w:t>   </w:t>
      </w:r>
      <w:r>
        <w:rPr>
          <w:rFonts w:ascii="Cambria Math"/>
          <w:spacing w:val="-1"/>
          <w:sz w:val="22"/>
        </w:rPr>
        <w:t> </w:t>
      </w:r>
      <w:r>
        <w:rPr>
          <w:rFonts w:ascii="Cambria Math"/>
          <w:spacing w:val="-2"/>
          <w:w w:val="210"/>
          <w:sz w:val="22"/>
        </w:rPr>
        <w:t> </w:t>
      </w:r>
      <w:r>
        <w:rPr>
          <w:rFonts w:ascii="Cambria Math"/>
          <w:w w:val="244"/>
          <w:sz w:val="22"/>
        </w:rPr>
        <w:t> </w:t>
      </w:r>
      <w:r>
        <w:rPr>
          <w:rFonts w:ascii="Cambria Math"/>
          <w:spacing w:val="-2"/>
          <w:w w:val="244"/>
          <w:sz w:val="22"/>
        </w:rPr>
        <w:t> </w:t>
      </w:r>
      <w:r>
        <w:rPr>
          <w:rFonts w:ascii="Cambria Math"/>
          <w:w w:val="221"/>
          <w:sz w:val="22"/>
        </w:rPr>
        <w:t>  </w:t>
      </w:r>
      <w:r>
        <w:rPr>
          <w:rFonts w:ascii="Cambria Math"/>
          <w:sz w:val="22"/>
        </w:rPr>
        <w:t> </w:t>
      </w:r>
      <w:r>
        <w:rPr>
          <w:rFonts w:ascii="Cambria Math"/>
          <w:spacing w:val="3"/>
          <w:sz w:val="22"/>
        </w:rPr>
        <w:t> </w:t>
      </w:r>
      <w:r>
        <w:rPr>
          <w:rFonts w:ascii="Cambria Math"/>
          <w:spacing w:val="-1"/>
          <w:w w:val="254"/>
          <w:sz w:val="22"/>
        </w:rPr>
        <w:t> </w:t>
      </w:r>
      <w:r>
        <w:rPr>
          <w:rFonts w:ascii="Cambria Math"/>
          <w:w w:val="239"/>
          <w:sz w:val="22"/>
        </w:rPr>
        <w:t>    </w:t>
      </w:r>
      <w:r>
        <w:rPr>
          <w:rFonts w:ascii="Cambria Math"/>
          <w:spacing w:val="-1"/>
          <w:w w:val="239"/>
          <w:sz w:val="22"/>
        </w:rPr>
        <w:t> </w:t>
      </w:r>
      <w:r>
        <w:rPr>
          <w:rFonts w:ascii="Cambria Math"/>
          <w:spacing w:val="-1"/>
          <w:w w:val="209"/>
          <w:sz w:val="22"/>
        </w:rPr>
        <w:t> </w:t>
      </w:r>
      <w:r>
        <w:rPr>
          <w:rFonts w:ascii="Cambria Math"/>
          <w:spacing w:val="-1"/>
          <w:w w:val="144"/>
          <w:sz w:val="22"/>
        </w:rPr>
        <w:t> </w:t>
      </w:r>
      <w:r>
        <w:rPr>
          <w:rFonts w:ascii="Cambria Math"/>
          <w:w w:val="242"/>
          <w:sz w:val="22"/>
        </w:rPr>
        <w:t> </w:t>
      </w:r>
      <w:r>
        <w:rPr>
          <w:rFonts w:ascii="Cambria Math"/>
          <w:spacing w:val="2"/>
          <w:w w:val="261"/>
          <w:sz w:val="22"/>
        </w:rPr>
        <w:t> </w:t>
      </w:r>
      <w:r>
        <w:rPr>
          <w:rFonts w:ascii="Cambria Math"/>
          <w:w w:val="189"/>
          <w:position w:val="1"/>
          <w:sz w:val="22"/>
        </w:rPr>
        <w:t> </w:t>
      </w:r>
      <w:r>
        <w:rPr>
          <w:rFonts w:ascii="Cambria Math"/>
          <w:spacing w:val="-1"/>
          <w:position w:val="1"/>
          <w:sz w:val="22"/>
        </w:rPr>
        <w:t> </w:t>
      </w:r>
      <w:r>
        <w:rPr>
          <w:rFonts w:ascii="Cambria Math"/>
          <w:w w:val="340"/>
          <w:sz w:val="22"/>
        </w:rPr>
        <w:t> </w:t>
      </w:r>
    </w:p>
    <w:p>
      <w:pPr>
        <w:tabs>
          <w:tab w:pos="4429" w:val="left" w:leader="none"/>
        </w:tabs>
        <w:spacing w:before="123"/>
        <w:ind w:left="150" w:right="127" w:firstLine="0"/>
        <w:jc w:val="left"/>
        <w:rPr>
          <w:sz w:val="24"/>
        </w:rPr>
      </w:pPr>
      <w:r>
        <w:rPr>
          <w:rFonts w:ascii="Cambria Math"/>
          <w:w w:val="221"/>
          <w:sz w:val="22"/>
        </w:rPr>
        <w:t> </w:t>
      </w:r>
      <w:r>
        <w:rPr>
          <w:rFonts w:ascii="Cambria Math"/>
          <w:spacing w:val="1"/>
          <w:w w:val="221"/>
          <w:sz w:val="22"/>
        </w:rPr>
        <w:t> </w:t>
      </w:r>
      <w:r>
        <w:rPr>
          <w:rFonts w:ascii="Cambria Math"/>
          <w:spacing w:val="-1"/>
          <w:w w:val="278"/>
          <w:sz w:val="22"/>
        </w:rPr>
        <w:t> </w:t>
      </w:r>
      <w:r>
        <w:rPr>
          <w:rFonts w:ascii="Cambria Math"/>
          <w:w w:val="198"/>
          <w:sz w:val="22"/>
        </w:rPr>
        <w:t> </w:t>
      </w:r>
      <w:r>
        <w:rPr>
          <w:rFonts w:ascii="Cambria Math"/>
          <w:spacing w:val="-1"/>
          <w:w w:val="198"/>
          <w:sz w:val="22"/>
        </w:rPr>
        <w:t> </w:t>
      </w:r>
      <w:r>
        <w:rPr>
          <w:rFonts w:ascii="Cambria Math"/>
          <w:spacing w:val="1"/>
          <w:w w:val="126"/>
          <w:sz w:val="22"/>
        </w:rPr>
        <w:t> </w:t>
      </w:r>
      <w:r>
        <w:rPr>
          <w:rFonts w:ascii="Cambria Math"/>
          <w:spacing w:val="-1"/>
          <w:w w:val="232"/>
          <w:sz w:val="22"/>
        </w:rPr>
        <w:t> </w:t>
      </w:r>
      <w:r>
        <w:rPr>
          <w:rFonts w:ascii="Cambria Math"/>
          <w:w w:val="232"/>
          <w:sz w:val="22"/>
        </w:rPr>
        <w:t> </w:t>
      </w:r>
      <w:r>
        <w:rPr>
          <w:rFonts w:ascii="Cambria Math"/>
          <w:sz w:val="22"/>
        </w:rPr>
        <w:t> </w:t>
      </w:r>
      <w:r>
        <w:rPr>
          <w:rFonts w:ascii="Cambria Math"/>
          <w:spacing w:val="-1"/>
          <w:w w:val="189"/>
          <w:sz w:val="22"/>
        </w:rPr>
        <w:t> </w:t>
      </w:r>
      <w:r>
        <w:rPr>
          <w:rFonts w:ascii="Cambria Math"/>
          <w:w w:val="303"/>
          <w:sz w:val="22"/>
        </w:rPr>
        <w:t>   </w:t>
      </w:r>
      <w:r>
        <w:rPr>
          <w:rFonts w:ascii="Cambria Math"/>
          <w:spacing w:val="-1"/>
          <w:sz w:val="22"/>
        </w:rPr>
        <w:t> </w:t>
      </w:r>
      <w:r>
        <w:rPr>
          <w:rFonts w:ascii="Cambria Math"/>
          <w:w w:val="210"/>
          <w:sz w:val="22"/>
        </w:rPr>
        <w:t> </w:t>
      </w:r>
      <w:r>
        <w:rPr>
          <w:rFonts w:ascii="Cambria Math"/>
          <w:w w:val="244"/>
          <w:sz w:val="22"/>
        </w:rPr>
        <w:t> </w:t>
      </w:r>
      <w:r>
        <w:rPr>
          <w:rFonts w:ascii="Cambria Math"/>
          <w:spacing w:val="-2"/>
          <w:w w:val="244"/>
          <w:sz w:val="22"/>
        </w:rPr>
        <w:t> </w:t>
      </w:r>
      <w:r>
        <w:rPr>
          <w:rFonts w:ascii="Cambria Math"/>
          <w:w w:val="221"/>
          <w:sz w:val="22"/>
        </w:rPr>
        <w:t>  </w:t>
      </w:r>
      <w:r>
        <w:rPr>
          <w:rFonts w:ascii="Cambria Math"/>
          <w:sz w:val="22"/>
        </w:rPr>
        <w:t> </w:t>
      </w:r>
      <w:r>
        <w:rPr>
          <w:rFonts w:ascii="Cambria Math"/>
          <w:spacing w:val="3"/>
          <w:sz w:val="22"/>
        </w:rPr>
        <w:t> </w:t>
      </w:r>
      <w:r>
        <w:rPr>
          <w:rFonts w:ascii="Cambria Math"/>
          <w:spacing w:val="-1"/>
          <w:w w:val="254"/>
          <w:sz w:val="22"/>
        </w:rPr>
        <w:t> </w:t>
      </w:r>
      <w:r>
        <w:rPr>
          <w:rFonts w:ascii="Cambria Math"/>
          <w:w w:val="239"/>
          <w:sz w:val="22"/>
        </w:rPr>
        <w:t>    </w:t>
      </w:r>
      <w:r>
        <w:rPr>
          <w:rFonts w:ascii="Cambria Math"/>
          <w:spacing w:val="-1"/>
          <w:w w:val="239"/>
          <w:sz w:val="22"/>
        </w:rPr>
        <w:t> </w:t>
      </w:r>
      <w:r>
        <w:rPr>
          <w:rFonts w:ascii="Cambria Math"/>
          <w:spacing w:val="-1"/>
          <w:w w:val="209"/>
          <w:sz w:val="22"/>
        </w:rPr>
        <w:t> </w:t>
      </w:r>
      <w:r>
        <w:rPr>
          <w:rFonts w:ascii="Cambria Math"/>
          <w:w w:val="144"/>
          <w:sz w:val="22"/>
        </w:rPr>
        <w:t> </w:t>
      </w:r>
      <w:r>
        <w:rPr>
          <w:rFonts w:ascii="Cambria Math"/>
          <w:w w:val="242"/>
          <w:sz w:val="22"/>
        </w:rPr>
        <w:t> </w:t>
      </w:r>
      <w:r>
        <w:rPr>
          <w:rFonts w:ascii="Cambria Math"/>
          <w:w w:val="261"/>
          <w:sz w:val="22"/>
        </w:rPr>
        <w:t> </w:t>
      </w:r>
      <w:r>
        <w:rPr>
          <w:rFonts w:ascii="Cambria Math"/>
          <w:w w:val="189"/>
          <w:sz w:val="22"/>
        </w:rPr>
        <w:t> </w:t>
      </w:r>
      <w:r>
        <w:rPr>
          <w:rFonts w:ascii="Cambria Math"/>
          <w:sz w:val="22"/>
        </w:rPr>
        <w:tab/>
      </w:r>
      <w:r>
        <w:rPr>
          <w:sz w:val="24"/>
        </w:rPr>
        <w:t>(2.3)</w:t>
      </w:r>
    </w:p>
    <w:p>
      <w:pPr>
        <w:pStyle w:val="BodyText"/>
      </w:pPr>
    </w:p>
    <w:p>
      <w:pPr>
        <w:pStyle w:val="BodyText"/>
        <w:spacing w:line="360" w:lineRule="auto" w:before="140"/>
        <w:ind w:left="102" w:right="117" w:firstLine="707"/>
        <w:jc w:val="both"/>
      </w:pPr>
      <w:r>
        <w:rPr/>
        <w:t>La distribución de los ingresos fiscales del recurso natural se realiza sobre la base de los impuestos directos a los hidrocarburos (IDH) y las regalías, mismas que son asignadas  al tesoro general de la nación (TGN), gobiernos autónomos (prefecturas), municipalidades  y universidades. La base impositiva para el impuesto y la regalía se basa en la producción de hidrocarburos valorada a precios efectivos de comercialización (externa e</w:t>
      </w:r>
      <w:r>
        <w:rPr>
          <w:spacing w:val="-16"/>
        </w:rPr>
        <w:t> </w:t>
      </w:r>
      <w:r>
        <w:rPr/>
        <w:t>interna):</w:t>
      </w:r>
    </w:p>
    <w:p>
      <w:pPr>
        <w:pStyle w:val="BodyText"/>
      </w:pPr>
    </w:p>
    <w:p>
      <w:pPr>
        <w:pStyle w:val="BodyText"/>
        <w:spacing w:line="360" w:lineRule="auto" w:before="143"/>
        <w:ind w:left="3294" w:right="464" w:hanging="2840"/>
      </w:pPr>
      <w:bookmarkStart w:name="_bookmark67" w:id="98"/>
      <w:bookmarkEnd w:id="98"/>
      <w:r>
        <w:rPr/>
      </w:r>
      <w:r>
        <w:rPr/>
        <w:t>Cuadro 2. 6: Mecanismo de distribución de los ingresos hidrocarburíferos en Bolivia Expresado en porcentajes</w:t>
      </w:r>
    </w:p>
    <w:p>
      <w:pPr>
        <w:tabs>
          <w:tab w:pos="3237" w:val="left" w:leader="none"/>
          <w:tab w:pos="3847" w:val="left" w:leader="none"/>
          <w:tab w:pos="8424" w:val="left" w:leader="none"/>
        </w:tabs>
        <w:spacing w:line="307" w:lineRule="exact" w:before="27"/>
        <w:ind w:left="968" w:right="127" w:firstLine="0"/>
        <w:jc w:val="left"/>
        <w:rPr>
          <w:rFonts w:ascii="Constantia" w:hAnsi="Constantia"/>
          <w:b/>
          <w:sz w:val="20"/>
        </w:rPr>
      </w:pPr>
      <w:r>
        <w:rPr>
          <w:rFonts w:ascii="Constantia" w:hAnsi="Constantia"/>
          <w:w w:val="80"/>
          <w:sz w:val="20"/>
        </w:rPr>
        <w:t>Base</w:t>
      </w:r>
      <w:r>
        <w:rPr>
          <w:rFonts w:ascii="Constantia" w:hAnsi="Constantia"/>
          <w:spacing w:val="-18"/>
          <w:w w:val="80"/>
          <w:sz w:val="20"/>
        </w:rPr>
        <w:t> </w:t>
      </w:r>
      <w:r>
        <w:rPr>
          <w:rFonts w:ascii="Constantia" w:hAnsi="Constantia"/>
          <w:w w:val="80"/>
          <w:sz w:val="20"/>
        </w:rPr>
        <w:t>de</w:t>
      </w:r>
      <w:r>
        <w:rPr>
          <w:rFonts w:ascii="Constantia" w:hAnsi="Constantia"/>
          <w:spacing w:val="-18"/>
          <w:w w:val="80"/>
          <w:sz w:val="20"/>
        </w:rPr>
        <w:t> </w:t>
      </w:r>
      <w:r>
        <w:rPr>
          <w:rFonts w:ascii="Constantia" w:hAnsi="Constantia"/>
          <w:w w:val="80"/>
          <w:sz w:val="20"/>
        </w:rPr>
        <w:t>asignación:</w:t>
        <w:tab/>
      </w:r>
      <w:r>
        <w:rPr>
          <w:rFonts w:ascii="Constantia" w:hAnsi="Constantia"/>
          <w:w w:val="85"/>
          <w:sz w:val="20"/>
        </w:rPr>
        <w:t>TGN</w:t>
        <w:tab/>
      </w:r>
      <w:r>
        <w:rPr>
          <w:rFonts w:ascii="Constantia" w:hAnsi="Constantia"/>
          <w:spacing w:val="-3"/>
          <w:w w:val="80"/>
          <w:position w:val="13"/>
          <w:sz w:val="20"/>
        </w:rPr>
        <w:t>Gobiernos </w:t>
      </w:r>
      <w:r>
        <w:rPr>
          <w:rFonts w:ascii="Constantia" w:hAnsi="Constantia"/>
          <w:w w:val="80"/>
          <w:position w:val="13"/>
          <w:sz w:val="20"/>
        </w:rPr>
        <w:t>autónomos   </w:t>
      </w:r>
      <w:r>
        <w:rPr>
          <w:rFonts w:ascii="Constantia" w:hAnsi="Constantia"/>
          <w:w w:val="80"/>
          <w:sz w:val="20"/>
        </w:rPr>
        <w:t>Municipalidades </w:t>
      </w:r>
      <w:r>
        <w:rPr>
          <w:rFonts w:ascii="Constantia" w:hAnsi="Constantia"/>
          <w:spacing w:val="7"/>
          <w:w w:val="80"/>
          <w:sz w:val="20"/>
        </w:rPr>
        <w:t> </w:t>
      </w:r>
      <w:r>
        <w:rPr>
          <w:rFonts w:ascii="Constantia" w:hAnsi="Constantia"/>
          <w:w w:val="80"/>
          <w:sz w:val="20"/>
        </w:rPr>
        <w:t>Universidades</w:t>
      </w:r>
      <w:r>
        <w:rPr>
          <w:rFonts w:ascii="Constantia" w:hAnsi="Constantia"/>
          <w:spacing w:val="36"/>
          <w:w w:val="80"/>
          <w:sz w:val="20"/>
        </w:rPr>
        <w:t> </w:t>
      </w:r>
      <w:r>
        <w:rPr>
          <w:rFonts w:ascii="Constantia" w:hAnsi="Constantia"/>
          <w:w w:val="80"/>
          <w:sz w:val="20"/>
        </w:rPr>
        <w:t>Otros†</w:t>
        <w:tab/>
      </w:r>
      <w:r>
        <w:rPr>
          <w:rFonts w:ascii="Constantia" w:hAnsi="Constantia"/>
          <w:b/>
          <w:w w:val="85"/>
          <w:sz w:val="20"/>
        </w:rPr>
        <w:t>Total</w:t>
      </w:r>
    </w:p>
    <w:p>
      <w:pPr>
        <w:tabs>
          <w:tab w:pos="4136" w:val="left" w:leader="none"/>
          <w:tab w:pos="8956" w:val="left" w:leader="none"/>
        </w:tabs>
        <w:spacing w:line="205" w:lineRule="exact" w:before="0" w:after="36"/>
        <w:ind w:left="138" w:right="0" w:firstLine="0"/>
        <w:jc w:val="left"/>
        <w:rPr>
          <w:rFonts w:ascii="Constantia"/>
          <w:sz w:val="20"/>
        </w:rPr>
      </w:pPr>
      <w:r>
        <w:rPr>
          <w:rFonts w:ascii="Constantia"/>
          <w:w w:val="74"/>
          <w:sz w:val="20"/>
          <w:u w:val="thick"/>
        </w:rPr>
        <w:t> </w:t>
      </w:r>
      <w:r>
        <w:rPr>
          <w:rFonts w:ascii="Constantia"/>
          <w:sz w:val="20"/>
          <w:u w:val="thick"/>
        </w:rPr>
        <w:tab/>
      </w:r>
      <w:r>
        <w:rPr>
          <w:rFonts w:ascii="Constantia"/>
          <w:w w:val="85"/>
          <w:sz w:val="20"/>
          <w:u w:val="thick"/>
        </w:rPr>
        <w:t>(prefecturas)</w:t>
      </w:r>
      <w:r>
        <w:rPr>
          <w:rFonts w:ascii="Constantia"/>
          <w:sz w:val="20"/>
          <w:u w:val="thick"/>
        </w:rPr>
        <w:tab/>
      </w:r>
    </w:p>
    <w:tbl>
      <w:tblPr>
        <w:tblW w:w="0" w:type="auto"/>
        <w:jc w:val="left"/>
        <w:tblInd w:w="13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86"/>
        <w:gridCol w:w="852"/>
        <w:gridCol w:w="1315"/>
        <w:gridCol w:w="1287"/>
        <w:gridCol w:w="994"/>
        <w:gridCol w:w="728"/>
        <w:gridCol w:w="656"/>
      </w:tblGrid>
      <w:tr>
        <w:trPr>
          <w:trHeight w:val="267" w:hRule="exact"/>
        </w:trPr>
        <w:tc>
          <w:tcPr>
            <w:tcW w:w="2986" w:type="dxa"/>
          </w:tcPr>
          <w:p>
            <w:pPr>
              <w:pStyle w:val="TableParagraph"/>
              <w:spacing w:line="239" w:lineRule="exact"/>
              <w:ind w:left="23"/>
              <w:jc w:val="left"/>
              <w:rPr>
                <w:rFonts w:ascii="Constantia" w:hAnsi="Constantia"/>
                <w:sz w:val="20"/>
              </w:rPr>
            </w:pPr>
            <w:r>
              <w:rPr>
                <w:rFonts w:ascii="Constantia" w:hAnsi="Constantia"/>
                <w:w w:val="85"/>
                <w:sz w:val="20"/>
              </w:rPr>
              <w:t>Regalías</w:t>
            </w:r>
          </w:p>
        </w:tc>
        <w:tc>
          <w:tcPr>
            <w:tcW w:w="852" w:type="dxa"/>
          </w:tcPr>
          <w:p>
            <w:pPr>
              <w:pStyle w:val="TableParagraph"/>
              <w:spacing w:line="239" w:lineRule="exact"/>
              <w:ind w:left="190"/>
              <w:jc w:val="left"/>
              <w:rPr>
                <w:rFonts w:ascii="Constantia"/>
                <w:sz w:val="20"/>
              </w:rPr>
            </w:pPr>
            <w:r>
              <w:rPr>
                <w:rFonts w:ascii="Constantia"/>
                <w:w w:val="85"/>
                <w:sz w:val="20"/>
              </w:rPr>
              <w:t>6.0</w:t>
            </w:r>
          </w:p>
        </w:tc>
        <w:tc>
          <w:tcPr>
            <w:tcW w:w="1315" w:type="dxa"/>
          </w:tcPr>
          <w:p>
            <w:pPr>
              <w:pStyle w:val="TableParagraph"/>
              <w:spacing w:line="239" w:lineRule="exact"/>
              <w:ind w:left="464"/>
              <w:jc w:val="left"/>
              <w:rPr>
                <w:rFonts w:ascii="Constantia"/>
                <w:sz w:val="20"/>
              </w:rPr>
            </w:pPr>
            <w:r>
              <w:rPr>
                <w:rFonts w:ascii="Constantia"/>
                <w:w w:val="85"/>
                <w:sz w:val="20"/>
              </w:rPr>
              <w:t>12.0</w:t>
            </w:r>
          </w:p>
        </w:tc>
        <w:tc>
          <w:tcPr>
            <w:tcW w:w="1287" w:type="dxa"/>
          </w:tcPr>
          <w:p>
            <w:pPr>
              <w:pStyle w:val="TableParagraph"/>
              <w:spacing w:line="239" w:lineRule="exact"/>
              <w:ind w:right="489"/>
              <w:jc w:val="right"/>
              <w:rPr>
                <w:rFonts w:ascii="Constantia"/>
                <w:sz w:val="20"/>
              </w:rPr>
            </w:pPr>
            <w:r>
              <w:rPr>
                <w:rFonts w:ascii="Constantia"/>
                <w:w w:val="75"/>
                <w:sz w:val="20"/>
              </w:rPr>
              <w:t>0.0</w:t>
            </w:r>
          </w:p>
        </w:tc>
        <w:tc>
          <w:tcPr>
            <w:tcW w:w="994" w:type="dxa"/>
          </w:tcPr>
          <w:p>
            <w:pPr>
              <w:pStyle w:val="TableParagraph"/>
              <w:spacing w:line="239" w:lineRule="exact"/>
              <w:ind w:right="302"/>
              <w:jc w:val="right"/>
              <w:rPr>
                <w:rFonts w:ascii="Constantia"/>
                <w:sz w:val="20"/>
              </w:rPr>
            </w:pPr>
            <w:r>
              <w:rPr>
                <w:rFonts w:ascii="Constantia"/>
                <w:w w:val="75"/>
                <w:sz w:val="20"/>
              </w:rPr>
              <w:t>0.0</w:t>
            </w:r>
          </w:p>
        </w:tc>
        <w:tc>
          <w:tcPr>
            <w:tcW w:w="728" w:type="dxa"/>
          </w:tcPr>
          <w:p>
            <w:pPr>
              <w:pStyle w:val="TableParagraph"/>
              <w:spacing w:line="239" w:lineRule="exact"/>
              <w:ind w:left="269" w:right="191"/>
              <w:rPr>
                <w:rFonts w:ascii="Constantia"/>
                <w:sz w:val="20"/>
              </w:rPr>
            </w:pPr>
            <w:r>
              <w:rPr>
                <w:rFonts w:ascii="Constantia"/>
                <w:w w:val="85"/>
                <w:sz w:val="20"/>
              </w:rPr>
              <w:t>0.0</w:t>
            </w:r>
          </w:p>
        </w:tc>
        <w:tc>
          <w:tcPr>
            <w:tcW w:w="656" w:type="dxa"/>
          </w:tcPr>
          <w:p>
            <w:pPr>
              <w:pStyle w:val="TableParagraph"/>
              <w:spacing w:line="239" w:lineRule="exact"/>
              <w:ind w:left="241"/>
              <w:jc w:val="left"/>
              <w:rPr>
                <w:rFonts w:ascii="Constantia"/>
                <w:b/>
                <w:sz w:val="20"/>
              </w:rPr>
            </w:pPr>
            <w:r>
              <w:rPr>
                <w:rFonts w:ascii="Constantia"/>
                <w:b/>
                <w:w w:val="85"/>
                <w:sz w:val="20"/>
              </w:rPr>
              <w:t>18</w:t>
            </w:r>
          </w:p>
        </w:tc>
      </w:tr>
      <w:tr>
        <w:trPr>
          <w:trHeight w:val="252" w:hRule="exact"/>
        </w:trPr>
        <w:tc>
          <w:tcPr>
            <w:tcW w:w="2986" w:type="dxa"/>
            <w:tcBorders>
              <w:bottom w:val="double" w:sz="4" w:space="0" w:color="000000"/>
            </w:tcBorders>
          </w:tcPr>
          <w:p>
            <w:pPr>
              <w:pStyle w:val="TableParagraph"/>
              <w:spacing w:line="236" w:lineRule="exact"/>
              <w:ind w:left="23"/>
              <w:jc w:val="left"/>
              <w:rPr>
                <w:rFonts w:ascii="Constantia"/>
                <w:sz w:val="20"/>
              </w:rPr>
            </w:pPr>
            <w:r>
              <w:rPr>
                <w:rFonts w:ascii="Constantia"/>
                <w:w w:val="75"/>
                <w:sz w:val="20"/>
              </w:rPr>
              <w:t>Impuesto directo a los hidrocarburos (IDH)</w:t>
            </w:r>
          </w:p>
        </w:tc>
        <w:tc>
          <w:tcPr>
            <w:tcW w:w="852" w:type="dxa"/>
            <w:tcBorders>
              <w:bottom w:val="double" w:sz="4" w:space="0" w:color="000000"/>
            </w:tcBorders>
          </w:tcPr>
          <w:p>
            <w:pPr>
              <w:pStyle w:val="TableParagraph"/>
              <w:spacing w:line="236" w:lineRule="exact"/>
              <w:ind w:left="166"/>
              <w:jc w:val="left"/>
              <w:rPr>
                <w:rFonts w:ascii="Constantia"/>
                <w:sz w:val="20"/>
              </w:rPr>
            </w:pPr>
            <w:r>
              <w:rPr>
                <w:rFonts w:ascii="Constantia"/>
                <w:w w:val="85"/>
                <w:sz w:val="20"/>
              </w:rPr>
              <w:t>10.2</w:t>
            </w:r>
          </w:p>
        </w:tc>
        <w:tc>
          <w:tcPr>
            <w:tcW w:w="1315" w:type="dxa"/>
            <w:tcBorders>
              <w:bottom w:val="double" w:sz="4" w:space="0" w:color="000000"/>
            </w:tcBorders>
          </w:tcPr>
          <w:p>
            <w:pPr>
              <w:pStyle w:val="TableParagraph"/>
              <w:spacing w:line="236" w:lineRule="exact"/>
              <w:ind w:left="488"/>
              <w:jc w:val="left"/>
              <w:rPr>
                <w:rFonts w:ascii="Constantia"/>
                <w:sz w:val="20"/>
              </w:rPr>
            </w:pPr>
            <w:r>
              <w:rPr>
                <w:rFonts w:ascii="Constantia"/>
                <w:w w:val="85"/>
                <w:sz w:val="20"/>
              </w:rPr>
              <w:t>8.0</w:t>
            </w:r>
          </w:p>
        </w:tc>
        <w:tc>
          <w:tcPr>
            <w:tcW w:w="1287" w:type="dxa"/>
            <w:tcBorders>
              <w:bottom w:val="double" w:sz="4" w:space="0" w:color="000000"/>
            </w:tcBorders>
          </w:tcPr>
          <w:p>
            <w:pPr>
              <w:pStyle w:val="TableParagraph"/>
              <w:spacing w:line="236" w:lineRule="exact"/>
              <w:ind w:right="502"/>
              <w:jc w:val="right"/>
              <w:rPr>
                <w:rFonts w:ascii="Constantia"/>
                <w:sz w:val="20"/>
              </w:rPr>
            </w:pPr>
            <w:r>
              <w:rPr>
                <w:rFonts w:ascii="Constantia"/>
                <w:w w:val="75"/>
                <w:sz w:val="20"/>
              </w:rPr>
              <w:t>7.3</w:t>
            </w:r>
          </w:p>
        </w:tc>
        <w:tc>
          <w:tcPr>
            <w:tcW w:w="994" w:type="dxa"/>
            <w:tcBorders>
              <w:bottom w:val="double" w:sz="4" w:space="0" w:color="000000"/>
            </w:tcBorders>
          </w:tcPr>
          <w:p>
            <w:pPr>
              <w:pStyle w:val="TableParagraph"/>
              <w:spacing w:line="236" w:lineRule="exact"/>
              <w:ind w:right="318"/>
              <w:jc w:val="right"/>
              <w:rPr>
                <w:rFonts w:ascii="Constantia"/>
                <w:sz w:val="20"/>
              </w:rPr>
            </w:pPr>
            <w:r>
              <w:rPr>
                <w:rFonts w:ascii="Constantia"/>
                <w:w w:val="75"/>
                <w:sz w:val="20"/>
              </w:rPr>
              <w:t>1.8</w:t>
            </w:r>
          </w:p>
        </w:tc>
        <w:tc>
          <w:tcPr>
            <w:tcW w:w="728" w:type="dxa"/>
            <w:tcBorders>
              <w:bottom w:val="double" w:sz="4" w:space="0" w:color="000000"/>
            </w:tcBorders>
          </w:tcPr>
          <w:p>
            <w:pPr>
              <w:pStyle w:val="TableParagraph"/>
              <w:spacing w:line="236" w:lineRule="exact"/>
              <w:ind w:left="268" w:right="191"/>
              <w:rPr>
                <w:rFonts w:ascii="Constantia"/>
                <w:sz w:val="20"/>
              </w:rPr>
            </w:pPr>
            <w:r>
              <w:rPr>
                <w:rFonts w:ascii="Constantia"/>
                <w:w w:val="85"/>
                <w:sz w:val="20"/>
              </w:rPr>
              <w:t>4.8</w:t>
            </w:r>
          </w:p>
        </w:tc>
        <w:tc>
          <w:tcPr>
            <w:tcW w:w="656" w:type="dxa"/>
            <w:tcBorders>
              <w:bottom w:val="double" w:sz="4" w:space="0" w:color="000000"/>
            </w:tcBorders>
          </w:tcPr>
          <w:p>
            <w:pPr>
              <w:pStyle w:val="TableParagraph"/>
              <w:spacing w:line="236" w:lineRule="exact"/>
              <w:ind w:left="225"/>
              <w:jc w:val="left"/>
              <w:rPr>
                <w:rFonts w:ascii="Constantia"/>
                <w:b/>
                <w:sz w:val="20"/>
              </w:rPr>
            </w:pPr>
            <w:r>
              <w:rPr>
                <w:rFonts w:ascii="Constantia"/>
                <w:b/>
                <w:w w:val="85"/>
                <w:sz w:val="20"/>
              </w:rPr>
              <w:t>30</w:t>
            </w:r>
          </w:p>
        </w:tc>
      </w:tr>
      <w:tr>
        <w:trPr>
          <w:trHeight w:val="286" w:hRule="exact"/>
        </w:trPr>
        <w:tc>
          <w:tcPr>
            <w:tcW w:w="2986" w:type="dxa"/>
            <w:tcBorders>
              <w:top w:val="double" w:sz="4" w:space="0" w:color="000000"/>
              <w:bottom w:val="double" w:sz="4" w:space="0" w:color="000000"/>
            </w:tcBorders>
          </w:tcPr>
          <w:p>
            <w:pPr>
              <w:pStyle w:val="TableParagraph"/>
              <w:spacing w:before="10"/>
              <w:ind w:left="23"/>
              <w:jc w:val="left"/>
              <w:rPr>
                <w:rFonts w:ascii="Constantia" w:hAnsi="Constantia"/>
                <w:sz w:val="20"/>
              </w:rPr>
            </w:pPr>
            <w:r>
              <w:rPr>
                <w:rFonts w:ascii="Constantia" w:hAnsi="Constantia"/>
                <w:w w:val="75"/>
                <w:sz w:val="20"/>
              </w:rPr>
              <w:t>Ingreso por jurisdición</w:t>
            </w:r>
          </w:p>
        </w:tc>
        <w:tc>
          <w:tcPr>
            <w:tcW w:w="852" w:type="dxa"/>
            <w:tcBorders>
              <w:top w:val="double" w:sz="4" w:space="0" w:color="000000"/>
              <w:bottom w:val="double" w:sz="4" w:space="0" w:color="000000"/>
            </w:tcBorders>
          </w:tcPr>
          <w:p>
            <w:pPr>
              <w:pStyle w:val="TableParagraph"/>
              <w:spacing w:before="10"/>
              <w:ind w:left="166"/>
              <w:jc w:val="left"/>
              <w:rPr>
                <w:rFonts w:ascii="Constantia"/>
                <w:sz w:val="20"/>
              </w:rPr>
            </w:pPr>
            <w:r>
              <w:rPr>
                <w:rFonts w:ascii="Constantia"/>
                <w:w w:val="85"/>
                <w:sz w:val="20"/>
              </w:rPr>
              <w:t>16.2</w:t>
            </w:r>
          </w:p>
        </w:tc>
        <w:tc>
          <w:tcPr>
            <w:tcW w:w="1315" w:type="dxa"/>
            <w:tcBorders>
              <w:top w:val="double" w:sz="4" w:space="0" w:color="000000"/>
              <w:bottom w:val="double" w:sz="4" w:space="0" w:color="000000"/>
            </w:tcBorders>
          </w:tcPr>
          <w:p>
            <w:pPr>
              <w:pStyle w:val="TableParagraph"/>
              <w:spacing w:before="10"/>
              <w:ind w:left="449"/>
              <w:jc w:val="left"/>
              <w:rPr>
                <w:rFonts w:ascii="Constantia"/>
                <w:sz w:val="20"/>
              </w:rPr>
            </w:pPr>
            <w:r>
              <w:rPr>
                <w:rFonts w:ascii="Constantia"/>
                <w:w w:val="85"/>
                <w:sz w:val="20"/>
              </w:rPr>
              <w:t>20.0</w:t>
            </w:r>
          </w:p>
        </w:tc>
        <w:tc>
          <w:tcPr>
            <w:tcW w:w="1287" w:type="dxa"/>
            <w:tcBorders>
              <w:top w:val="double" w:sz="4" w:space="0" w:color="000000"/>
              <w:bottom w:val="double" w:sz="4" w:space="0" w:color="000000"/>
            </w:tcBorders>
          </w:tcPr>
          <w:p>
            <w:pPr>
              <w:pStyle w:val="TableParagraph"/>
              <w:spacing w:before="10"/>
              <w:ind w:right="502"/>
              <w:jc w:val="right"/>
              <w:rPr>
                <w:rFonts w:ascii="Constantia"/>
                <w:sz w:val="20"/>
              </w:rPr>
            </w:pPr>
            <w:r>
              <w:rPr>
                <w:rFonts w:ascii="Constantia"/>
                <w:w w:val="75"/>
                <w:sz w:val="20"/>
              </w:rPr>
              <w:t>7.3</w:t>
            </w:r>
          </w:p>
        </w:tc>
        <w:tc>
          <w:tcPr>
            <w:tcW w:w="994" w:type="dxa"/>
            <w:tcBorders>
              <w:top w:val="double" w:sz="4" w:space="0" w:color="000000"/>
              <w:bottom w:val="double" w:sz="4" w:space="0" w:color="000000"/>
            </w:tcBorders>
          </w:tcPr>
          <w:p>
            <w:pPr>
              <w:pStyle w:val="TableParagraph"/>
              <w:spacing w:before="10"/>
              <w:ind w:right="318"/>
              <w:jc w:val="right"/>
              <w:rPr>
                <w:rFonts w:ascii="Constantia"/>
                <w:sz w:val="20"/>
              </w:rPr>
            </w:pPr>
            <w:r>
              <w:rPr>
                <w:rFonts w:ascii="Constantia"/>
                <w:w w:val="75"/>
                <w:sz w:val="20"/>
              </w:rPr>
              <w:t>1.8</w:t>
            </w:r>
          </w:p>
        </w:tc>
        <w:tc>
          <w:tcPr>
            <w:tcW w:w="728" w:type="dxa"/>
            <w:tcBorders>
              <w:top w:val="double" w:sz="4" w:space="0" w:color="000000"/>
              <w:bottom w:val="double" w:sz="4" w:space="0" w:color="000000"/>
            </w:tcBorders>
          </w:tcPr>
          <w:p>
            <w:pPr>
              <w:pStyle w:val="TableParagraph"/>
              <w:spacing w:before="10"/>
              <w:ind w:left="268" w:right="191"/>
              <w:rPr>
                <w:rFonts w:ascii="Constantia"/>
                <w:sz w:val="20"/>
              </w:rPr>
            </w:pPr>
            <w:r>
              <w:rPr>
                <w:rFonts w:ascii="Constantia"/>
                <w:w w:val="85"/>
                <w:sz w:val="20"/>
              </w:rPr>
              <w:t>4.8</w:t>
            </w:r>
          </w:p>
        </w:tc>
        <w:tc>
          <w:tcPr>
            <w:tcW w:w="656" w:type="dxa"/>
            <w:tcBorders>
              <w:top w:val="double" w:sz="4" w:space="0" w:color="000000"/>
              <w:bottom w:val="double" w:sz="4" w:space="0" w:color="000000"/>
            </w:tcBorders>
          </w:tcPr>
          <w:p>
            <w:pPr>
              <w:pStyle w:val="TableParagraph"/>
              <w:spacing w:before="10"/>
              <w:ind w:left="225"/>
              <w:jc w:val="left"/>
              <w:rPr>
                <w:rFonts w:ascii="Constantia"/>
                <w:b/>
                <w:sz w:val="20"/>
              </w:rPr>
            </w:pPr>
            <w:r>
              <w:rPr>
                <w:rFonts w:ascii="Constantia"/>
                <w:b/>
                <w:w w:val="85"/>
                <w:sz w:val="20"/>
              </w:rPr>
              <w:t>50</w:t>
            </w:r>
          </w:p>
        </w:tc>
      </w:tr>
    </w:tbl>
    <w:p>
      <w:pPr>
        <w:spacing w:before="12"/>
        <w:ind w:left="162" w:right="0" w:firstLine="0"/>
        <w:jc w:val="both"/>
        <w:rPr>
          <w:rFonts w:ascii="Constantia" w:hAnsi="Constantia"/>
          <w:sz w:val="17"/>
        </w:rPr>
      </w:pPr>
      <w:r>
        <w:rPr>
          <w:rFonts w:ascii="Arial" w:hAnsi="Arial"/>
          <w:w w:val="75"/>
          <w:sz w:val="17"/>
        </w:rPr>
        <w:t>†</w:t>
      </w:r>
      <w:r>
        <w:rPr>
          <w:rFonts w:ascii="Constantia" w:hAnsi="Constantia"/>
          <w:w w:val="75"/>
          <w:sz w:val="17"/>
        </w:rPr>
        <w:t>Fuerzas armadas, polícia nacional, Fondo de Desarrollo Índigena, Fondo Interno de ayuda al desarrollo nacional.</w:t>
      </w:r>
    </w:p>
    <w:p>
      <w:pPr>
        <w:spacing w:before="160"/>
        <w:ind w:left="102" w:right="0" w:firstLine="0"/>
        <w:jc w:val="both"/>
        <w:rPr>
          <w:sz w:val="20"/>
        </w:rPr>
      </w:pPr>
      <w:r>
        <w:rPr>
          <w:sz w:val="20"/>
        </w:rPr>
        <w:t>Elaboración con base en la ley Nº 3058 de Bolivia y  Navajas, et al (2008).</w:t>
      </w:r>
    </w:p>
    <w:p>
      <w:pPr>
        <w:pStyle w:val="BodyText"/>
        <w:rPr>
          <w:sz w:val="20"/>
        </w:rPr>
      </w:pPr>
    </w:p>
    <w:p>
      <w:pPr>
        <w:pStyle w:val="BodyText"/>
        <w:spacing w:line="360" w:lineRule="auto" w:before="162"/>
        <w:ind w:left="102" w:right="117" w:firstLine="707"/>
        <w:jc w:val="both"/>
      </w:pPr>
      <w:r>
        <w:rPr/>
        <w:t>A pesar de que en Bolivia existen dos mecanismos para la distribución de ingresos a los distintos niveles de gobiernos y organismos públicos, no existe ninguna norma institucional que direccione la asignación de los ingresos hidrocarburíferos al gasto público,</w:t>
      </w:r>
    </w:p>
    <w:p>
      <w:pPr>
        <w:spacing w:line="360" w:lineRule="auto" w:before="6"/>
        <w:ind w:left="102" w:right="115" w:firstLine="0"/>
        <w:jc w:val="both"/>
        <w:rPr>
          <w:sz w:val="24"/>
        </w:rPr>
      </w:pPr>
      <w:r>
        <w:rPr>
          <w:w w:val="44"/>
          <w:sz w:val="24"/>
        </w:rPr>
        <w:t>―</w:t>
      </w:r>
      <w:r>
        <w:rPr>
          <w:i/>
          <w:sz w:val="24"/>
        </w:rPr>
        <w:t>depende de la </w:t>
      </w:r>
      <w:r>
        <w:rPr>
          <w:i/>
          <w:w w:val="99"/>
          <w:sz w:val="24"/>
        </w:rPr>
        <w:t>forma</w:t>
      </w:r>
      <w:r>
        <w:rPr>
          <w:i/>
          <w:sz w:val="24"/>
        </w:rPr>
        <w:t> en que </w:t>
      </w:r>
      <w:r>
        <w:rPr>
          <w:i/>
          <w:w w:val="99"/>
          <w:sz w:val="24"/>
        </w:rPr>
        <w:t>las</w:t>
      </w:r>
      <w:r>
        <w:rPr>
          <w:i/>
          <w:sz w:val="24"/>
        </w:rPr>
        <w:t> </w:t>
      </w:r>
      <w:r>
        <w:rPr>
          <w:i/>
          <w:w w:val="99"/>
          <w:sz w:val="24"/>
        </w:rPr>
        <w:t>jurisdi</w:t>
      </w:r>
      <w:r>
        <w:rPr>
          <w:i/>
          <w:sz w:val="24"/>
        </w:rPr>
        <w:t>cciones gastan o ahorran</w:t>
      </w:r>
      <w:r>
        <w:rPr>
          <w:w w:val="158"/>
          <w:sz w:val="24"/>
        </w:rPr>
        <w:t>‖</w:t>
      </w:r>
      <w:r>
        <w:rPr>
          <w:sz w:val="24"/>
        </w:rPr>
        <w:t> </w:t>
      </w:r>
      <w:r>
        <w:rPr>
          <w:w w:val="99"/>
          <w:sz w:val="24"/>
        </w:rPr>
        <w:t>(N</w:t>
      </w:r>
      <w:r>
        <w:rPr>
          <w:sz w:val="24"/>
        </w:rPr>
        <w:t>ava</w:t>
      </w:r>
      <w:r>
        <w:rPr>
          <w:w w:val="99"/>
          <w:sz w:val="24"/>
        </w:rPr>
        <w:t>jas,</w:t>
      </w:r>
      <w:r>
        <w:rPr>
          <w:sz w:val="24"/>
        </w:rPr>
        <w:t> et al., 2008). Se recapitula lo mencionado en parte introductoria de la tesis: ¿cuánto gastar?, ¿cuánto ahorrar?, ¿cuánto invertir?</w:t>
      </w:r>
    </w:p>
    <w:p>
      <w:pPr>
        <w:pStyle w:val="BodyText"/>
        <w:spacing w:line="360" w:lineRule="auto" w:before="4"/>
        <w:ind w:left="102" w:right="118" w:firstLine="707"/>
        <w:jc w:val="both"/>
      </w:pPr>
      <w:r>
        <w:rPr/>
        <w:t>De forma adicional, la composición de los ingresos del recurso natural se concentra exclusivamente   por venta del recurso natural en   mercados externos e interno (94%) y   lo</w:t>
      </w:r>
    </w:p>
    <w:p>
      <w:pPr>
        <w:spacing w:after="0" w:line="360" w:lineRule="auto"/>
        <w:jc w:val="both"/>
        <w:sectPr>
          <w:pgSz w:w="12250" w:h="15850"/>
          <w:pgMar w:header="0" w:footer="1037" w:top="1360" w:bottom="1220" w:left="1600" w:right="1580"/>
        </w:sectPr>
      </w:pPr>
    </w:p>
    <w:p>
      <w:pPr>
        <w:pStyle w:val="BodyText"/>
        <w:spacing w:before="50"/>
        <w:ind w:left="102"/>
      </w:pPr>
      <w:r>
        <w:rPr/>
        <w:t>marginalmente distribuido corresponde al 6% de los ingresos fiscales gasíferos     </w:t>
      </w:r>
      <w:r>
        <w:rPr>
          <w:spacing w:val="58"/>
        </w:rPr>
        <w:t> </w:t>
      </w:r>
      <w:r>
        <w:rPr/>
        <w:t>(regalías</w:t>
      </w:r>
    </w:p>
    <w:p>
      <w:pPr>
        <w:spacing w:before="137"/>
        <w:ind w:left="102" w:right="127" w:firstLine="0"/>
        <w:jc w:val="left"/>
        <w:rPr>
          <w:sz w:val="24"/>
        </w:rPr>
      </w:pPr>
      <w:r>
        <w:rPr>
          <w:sz w:val="24"/>
        </w:rPr>
        <w:t>+IDH, </w:t>
      </w:r>
      <w:r>
        <w:rPr>
          <w:i/>
          <w:sz w:val="24"/>
        </w:rPr>
        <w:t>véase figura 2.24</w:t>
      </w:r>
      <w:r>
        <w:rPr>
          <w:sz w:val="24"/>
        </w:rPr>
        <w:t>).</w:t>
      </w:r>
    </w:p>
    <w:p>
      <w:pPr>
        <w:pStyle w:val="BodyText"/>
        <w:spacing w:before="1"/>
        <w:rPr>
          <w:sz w:val="32"/>
        </w:rPr>
      </w:pPr>
    </w:p>
    <w:p>
      <w:pPr>
        <w:pStyle w:val="BodyText"/>
        <w:ind w:right="15"/>
        <w:jc w:val="center"/>
      </w:pPr>
      <w:bookmarkStart w:name="_bookmark68" w:id="99"/>
      <w:bookmarkEnd w:id="99"/>
      <w:r>
        <w:rPr/>
      </w:r>
      <w:r>
        <w:rPr/>
        <w:t>Figura 2. 24: Composición de  ingresos fiscales de hidrocarburos en Bolivia, 2003-2011</w:t>
      </w:r>
    </w:p>
    <w:p>
      <w:pPr>
        <w:pStyle w:val="BodyText"/>
        <w:spacing w:before="11"/>
        <w:rPr>
          <w:sz w:val="15"/>
        </w:rPr>
      </w:pPr>
    </w:p>
    <w:p>
      <w:pPr>
        <w:spacing w:after="0"/>
        <w:rPr>
          <w:sz w:val="15"/>
        </w:rPr>
        <w:sectPr>
          <w:pgSz w:w="12250" w:h="15850"/>
          <w:pgMar w:header="0" w:footer="1037" w:top="1360" w:bottom="1220" w:left="1600" w:right="1580"/>
        </w:sectPr>
      </w:pPr>
    </w:p>
    <w:p>
      <w:pPr>
        <w:spacing w:before="63"/>
        <w:ind w:left="0" w:right="0" w:firstLine="0"/>
        <w:jc w:val="right"/>
        <w:rPr>
          <w:rFonts w:ascii="Calibri"/>
          <w:sz w:val="18"/>
        </w:rPr>
      </w:pPr>
      <w:r>
        <w:rPr>
          <w:rFonts w:ascii="Calibri"/>
          <w:w w:val="75"/>
          <w:sz w:val="18"/>
        </w:rPr>
        <w:t>1.00</w:t>
      </w:r>
    </w:p>
    <w:p>
      <w:pPr>
        <w:spacing w:before="58"/>
        <w:ind w:left="0" w:right="0" w:firstLine="0"/>
        <w:jc w:val="right"/>
        <w:rPr>
          <w:rFonts w:ascii="Calibri"/>
          <w:sz w:val="18"/>
        </w:rPr>
      </w:pPr>
      <w:r>
        <w:rPr>
          <w:rFonts w:ascii="Calibri"/>
          <w:w w:val="75"/>
          <w:sz w:val="18"/>
        </w:rPr>
        <w:t>0.90</w:t>
      </w:r>
    </w:p>
    <w:p>
      <w:pPr>
        <w:spacing w:before="58"/>
        <w:ind w:left="0" w:right="0" w:firstLine="0"/>
        <w:jc w:val="right"/>
        <w:rPr>
          <w:rFonts w:ascii="Calibri"/>
          <w:sz w:val="18"/>
        </w:rPr>
      </w:pPr>
      <w:r>
        <w:rPr>
          <w:rFonts w:ascii="Calibri"/>
          <w:w w:val="75"/>
          <w:sz w:val="18"/>
        </w:rPr>
        <w:t>0.80</w:t>
      </w:r>
    </w:p>
    <w:p>
      <w:pPr>
        <w:spacing w:before="58"/>
        <w:ind w:left="0" w:right="0" w:firstLine="0"/>
        <w:jc w:val="right"/>
        <w:rPr>
          <w:rFonts w:ascii="Calibri"/>
          <w:sz w:val="18"/>
        </w:rPr>
      </w:pPr>
      <w:r>
        <w:rPr>
          <w:rFonts w:ascii="Calibri"/>
          <w:w w:val="75"/>
          <w:sz w:val="18"/>
        </w:rPr>
        <w:t>0.70</w:t>
      </w:r>
    </w:p>
    <w:p>
      <w:pPr>
        <w:spacing w:before="58"/>
        <w:ind w:left="0" w:right="0" w:firstLine="0"/>
        <w:jc w:val="right"/>
        <w:rPr>
          <w:rFonts w:ascii="Calibri"/>
          <w:sz w:val="18"/>
        </w:rPr>
      </w:pPr>
      <w:r>
        <w:rPr>
          <w:rFonts w:ascii="Calibri"/>
          <w:w w:val="75"/>
          <w:sz w:val="18"/>
        </w:rPr>
        <w:t>0.60</w:t>
      </w:r>
    </w:p>
    <w:p>
      <w:pPr>
        <w:spacing w:before="58"/>
        <w:ind w:left="0" w:right="0" w:firstLine="0"/>
        <w:jc w:val="right"/>
        <w:rPr>
          <w:rFonts w:ascii="Calibri"/>
          <w:sz w:val="18"/>
        </w:rPr>
      </w:pPr>
      <w:r>
        <w:rPr>
          <w:rFonts w:ascii="Calibri"/>
          <w:w w:val="75"/>
          <w:sz w:val="18"/>
        </w:rPr>
        <w:t>0.50</w:t>
      </w:r>
    </w:p>
    <w:p>
      <w:pPr>
        <w:spacing w:before="58"/>
        <w:ind w:left="0" w:right="0" w:firstLine="0"/>
        <w:jc w:val="right"/>
        <w:rPr>
          <w:rFonts w:ascii="Calibri"/>
          <w:sz w:val="18"/>
        </w:rPr>
      </w:pPr>
      <w:r>
        <w:rPr>
          <w:rFonts w:ascii="Calibri"/>
          <w:w w:val="75"/>
          <w:sz w:val="18"/>
        </w:rPr>
        <w:t>0.40</w:t>
      </w:r>
    </w:p>
    <w:p>
      <w:pPr>
        <w:spacing w:before="58"/>
        <w:ind w:left="0" w:right="0" w:firstLine="0"/>
        <w:jc w:val="right"/>
        <w:rPr>
          <w:rFonts w:ascii="Calibri"/>
          <w:sz w:val="18"/>
        </w:rPr>
      </w:pPr>
      <w:r>
        <w:rPr>
          <w:rFonts w:ascii="Calibri"/>
          <w:w w:val="75"/>
          <w:sz w:val="18"/>
        </w:rPr>
        <w:t>0.30</w:t>
      </w:r>
    </w:p>
    <w:p>
      <w:pPr>
        <w:spacing w:before="58"/>
        <w:ind w:left="0" w:right="0" w:firstLine="0"/>
        <w:jc w:val="right"/>
        <w:rPr>
          <w:rFonts w:ascii="Calibri"/>
          <w:sz w:val="18"/>
        </w:rPr>
      </w:pPr>
      <w:r>
        <w:rPr>
          <w:rFonts w:ascii="Calibri"/>
          <w:w w:val="75"/>
          <w:sz w:val="18"/>
        </w:rPr>
        <w:t>0.20</w:t>
      </w:r>
    </w:p>
    <w:p>
      <w:pPr>
        <w:spacing w:before="58"/>
        <w:ind w:left="0" w:right="0" w:firstLine="0"/>
        <w:jc w:val="right"/>
        <w:rPr>
          <w:rFonts w:ascii="Calibri"/>
          <w:sz w:val="18"/>
        </w:rPr>
      </w:pPr>
      <w:r>
        <w:rPr>
          <w:rFonts w:ascii="Calibri"/>
          <w:w w:val="75"/>
          <w:sz w:val="18"/>
        </w:rPr>
        <w:t>0.10</w:t>
      </w:r>
    </w:p>
    <w:p>
      <w:pPr>
        <w:spacing w:before="58"/>
        <w:ind w:left="0" w:right="60" w:firstLine="0"/>
        <w:jc w:val="right"/>
        <w:rPr>
          <w:rFonts w:ascii="Calibri"/>
          <w:sz w:val="18"/>
        </w:rPr>
      </w:pPr>
      <w:r>
        <w:rPr>
          <w:rFonts w:ascii="Calibri"/>
          <w:w w:val="77"/>
          <w:sz w:val="18"/>
        </w:rPr>
        <w:t>-</w:t>
      </w:r>
    </w:p>
    <w:p>
      <w:pPr>
        <w:pStyle w:val="BodyText"/>
        <w:spacing w:before="2" w:after="40"/>
        <w:rPr>
          <w:rFonts w:ascii="Calibri"/>
          <w:sz w:val="10"/>
        </w:rPr>
      </w:pPr>
      <w:r>
        <w:rPr/>
        <w:br w:type="column"/>
      </w:r>
      <w:r>
        <w:rPr>
          <w:rFonts w:ascii="Calibri"/>
          <w:sz w:val="10"/>
        </w:rPr>
      </w:r>
    </w:p>
    <w:p>
      <w:pPr>
        <w:pStyle w:val="BodyText"/>
        <w:ind w:left="86"/>
        <w:rPr>
          <w:rFonts w:ascii="Calibri"/>
          <w:sz w:val="20"/>
        </w:rPr>
      </w:pPr>
      <w:r>
        <w:rPr>
          <w:rFonts w:ascii="Calibri"/>
          <w:sz w:val="20"/>
        </w:rPr>
        <w:pict>
          <v:group style="width:225.8pt;height:142.3pt;mso-position-horizontal-relative:char;mso-position-vertical-relative:line" coordorigin="0,0" coordsize="4516,2846">
            <v:line style="position:absolute" from="50,2512" to="4509,2512" stroked="true" strokeweight=".684289pt" strokecolor="#858585"/>
            <v:line style="position:absolute" from="50,2224" to="4509,2224" stroked="true" strokeweight=".684289pt" strokecolor="#858585"/>
            <v:line style="position:absolute" from="50,1950" to="4509,1950" stroked="true" strokeweight=".684289pt" strokecolor="#858585"/>
            <v:line style="position:absolute" from="50,1677" to="4509,1677" stroked="true" strokeweight=".684289pt" strokecolor="#858585"/>
            <v:line style="position:absolute" from="50,1403" to="4509,1403" stroked="true" strokeweight=".684289pt" strokecolor="#858585"/>
            <v:shape style="position:absolute;left:195;top:1410;width:204;height:1369" type="#_x0000_t75" stroked="false">
              <v:imagedata r:id="rId152" o:title=""/>
            </v:shape>
            <v:line style="position:absolute" from="50,1116" to="4509,1116" stroked="true" strokeweight=".684289pt" strokecolor="#858585"/>
            <v:line style="position:absolute" from="50,842" to="4509,842" stroked="true" strokeweight=".684289pt" strokecolor="#858585"/>
            <v:shape style="position:absolute;left:700;top:808;width:193;height:1971" type="#_x0000_t75" stroked="false">
              <v:imagedata r:id="rId153" o:title=""/>
            </v:shape>
            <v:line style="position:absolute" from="50,568" to="4509,568" stroked="true" strokeweight=".684289pt" strokecolor="#858585"/>
            <v:line style="position:absolute" from="50,294" to="4509,294" stroked="true" strokeweight=".684289pt" strokecolor="#858585"/>
            <v:shape style="position:absolute;left:1194;top:315;width:193;height:2463" type="#_x0000_t75" stroked="false">
              <v:imagedata r:id="rId154" o:title=""/>
            </v:shape>
            <v:shape style="position:absolute;left:1688;top:739;width:193;height:2039" type="#_x0000_t75" stroked="false">
              <v:imagedata r:id="rId155" o:title=""/>
            </v:shape>
            <v:shape style="position:absolute;left:2183;top:1834;width:193;height:944" type="#_x0000_t75" stroked="false">
              <v:imagedata r:id="rId156" o:title=""/>
            </v:shape>
            <v:shape style="position:absolute;left:2677;top:2559;width:193;height:219" type="#_x0000_t75" stroked="false">
              <v:imagedata r:id="rId157" o:title=""/>
            </v:shape>
            <v:shape style="position:absolute;left:3171;top:2614;width:193;height:164" type="#_x0000_t75" stroked="false">
              <v:imagedata r:id="rId158" o:title=""/>
            </v:shape>
            <v:shape style="position:absolute;left:3665;top:2587;width:193;height:192" type="#_x0000_t75" stroked="false">
              <v:imagedata r:id="rId159" o:title=""/>
            </v:shape>
            <v:shape style="position:absolute;left:4159;top:2614;width:193;height:164" type="#_x0000_t75" stroked="false">
              <v:imagedata r:id="rId158" o:title=""/>
            </v:shape>
            <v:line style="position:absolute" from="50,7" to="4509,7" stroked="true" strokeweight=".684289pt" strokecolor="#858585"/>
            <v:shape style="position:absolute;left:195;top:14;width:204;height:1396" type="#_x0000_t75" stroked="false">
              <v:imagedata r:id="rId160" o:title=""/>
            </v:shape>
            <v:shape style="position:absolute;left:700;top:14;width:193;height:794" type="#_x0000_t75" stroked="false">
              <v:imagedata r:id="rId161" o:title=""/>
            </v:shape>
            <v:shape style="position:absolute;left:1194;top:14;width:193;height:301" type="#_x0000_t75" stroked="false">
              <v:imagedata r:id="rId162" o:title=""/>
            </v:shape>
            <v:shape style="position:absolute;left:1688;top:14;width:193;height:725" type="#_x0000_t75" stroked="false">
              <v:imagedata r:id="rId163" o:title=""/>
            </v:shape>
            <v:shape style="position:absolute;left:2183;top:14;width:193;height:1820" type="#_x0000_t75" stroked="false">
              <v:imagedata r:id="rId164" o:title=""/>
            </v:shape>
            <v:shape style="position:absolute;left:2677;top:14;width:193;height:2546" type="#_x0000_t75" stroked="false">
              <v:imagedata r:id="rId165" o:title=""/>
            </v:shape>
            <v:shape style="position:absolute;left:3171;top:14;width:193;height:2600" type="#_x0000_t75" stroked="false">
              <v:imagedata r:id="rId166" o:title=""/>
            </v:shape>
            <v:shape style="position:absolute;left:3665;top:14;width:193;height:2573" type="#_x0000_t75" stroked="false">
              <v:imagedata r:id="rId167" o:title=""/>
            </v:shape>
            <v:shape style="position:absolute;left:4159;top:14;width:193;height:2600" type="#_x0000_t75" stroked="false">
              <v:imagedata r:id="rId166" o:title=""/>
            </v:shape>
            <v:line style="position:absolute" from="50,2785" to="50,7" stroked="true" strokeweight=".537191pt" strokecolor="#858585"/>
            <v:line style="position:absolute" from="7,2785" to="50,2785" stroked="true" strokeweight=".684289pt" strokecolor="#858585"/>
            <v:line style="position:absolute" from="7,2512" to="50,2512" stroked="true" strokeweight=".684289pt" strokecolor="#858585"/>
            <v:line style="position:absolute" from="7,2224" to="50,2224" stroked="true" strokeweight=".684289pt" strokecolor="#858585"/>
            <v:line style="position:absolute" from="7,1950" to="50,1950" stroked="true" strokeweight=".684289pt" strokecolor="#858585"/>
            <v:line style="position:absolute" from="7,1677" to="50,1677" stroked="true" strokeweight=".684289pt" strokecolor="#858585"/>
            <v:line style="position:absolute" from="7,1403" to="50,1403" stroked="true" strokeweight=".684289pt" strokecolor="#858585"/>
            <v:line style="position:absolute" from="7,1116" to="50,1116" stroked="true" strokeweight=".684289pt" strokecolor="#858585"/>
            <v:line style="position:absolute" from="7,842" to="50,842" stroked="true" strokeweight=".684289pt" strokecolor="#858585"/>
            <v:line style="position:absolute" from="7,568" to="50,568" stroked="true" strokeweight=".684289pt" strokecolor="#858585"/>
            <v:line style="position:absolute" from="7,294" to="50,294" stroked="true" strokeweight=".684289pt" strokecolor="#858585"/>
            <v:line style="position:absolute" from="7,7" to="50,7" stroked="true" strokeweight=".684289pt" strokecolor="#858585"/>
            <v:line style="position:absolute" from="50,2785" to="4509,2785" stroked="true" strokeweight=".684289pt" strokecolor="#858585"/>
            <v:line style="position:absolute" from="50,2785" to="50,2840" stroked="true" strokeweight=".537191pt" strokecolor="#858585"/>
            <v:line style="position:absolute" from="544,2785" to="544,2840" stroked="true" strokeweight=".537191pt" strokecolor="#858585"/>
            <v:line style="position:absolute" from="1038,2785" to="1038,2840" stroked="true" strokeweight=".537191pt" strokecolor="#858585"/>
            <v:line style="position:absolute" from="1533,2785" to="1533,2840" stroked="true" strokeweight=".537191pt" strokecolor="#858585"/>
            <v:line style="position:absolute" from="2027,2785" to="2027,2840" stroked="true" strokeweight=".537191pt" strokecolor="#858585"/>
            <v:line style="position:absolute" from="2521,2785" to="2521,2840" stroked="true" strokeweight=".537191pt" strokecolor="#858585"/>
            <v:line style="position:absolute" from="3026,2785" to="3026,2840" stroked="true" strokeweight=".537191pt" strokecolor="#858585"/>
            <v:line style="position:absolute" from="3520,2785" to="3520,2840" stroked="true" strokeweight=".537191pt" strokecolor="#858585"/>
            <v:line style="position:absolute" from="4015,2785" to="4015,2840" stroked="true" strokeweight=".537191pt" strokecolor="#858585"/>
            <v:line style="position:absolute" from="4509,2785" to="4509,2840" stroked="true" strokeweight=".537191pt" strokecolor="#858585"/>
            <v:shape style="position:absolute;left:1142;top:61;width:322;height:220" type="#_x0000_t202" filled="false" stroked="false">
              <v:textbox inset="0,0,0,0">
                <w:txbxContent>
                  <w:p>
                    <w:pPr>
                      <w:spacing w:line="220" w:lineRule="exact" w:before="0"/>
                      <w:ind w:left="0" w:right="-6" w:firstLine="0"/>
                      <w:jc w:val="left"/>
                      <w:rPr>
                        <w:rFonts w:ascii="Cambria"/>
                        <w:sz w:val="22"/>
                      </w:rPr>
                    </w:pPr>
                    <w:r>
                      <w:rPr>
                        <w:rFonts w:ascii="Cambria"/>
                        <w:w w:val="75"/>
                        <w:sz w:val="22"/>
                      </w:rPr>
                      <w:t>0.11</w:t>
                    </w:r>
                  </w:p>
                </w:txbxContent>
              </v:textbox>
              <w10:wrap type="none"/>
            </v:shape>
            <v:shape style="position:absolute;left:2134;top:828;width:322;height:220" type="#_x0000_t202" filled="false" stroked="false">
              <v:textbox inset="0,0,0,0">
                <w:txbxContent>
                  <w:p>
                    <w:pPr>
                      <w:spacing w:line="220" w:lineRule="exact" w:before="0"/>
                      <w:ind w:left="0" w:right="-6" w:firstLine="0"/>
                      <w:jc w:val="left"/>
                      <w:rPr>
                        <w:rFonts w:ascii="Cambria"/>
                        <w:sz w:val="22"/>
                      </w:rPr>
                    </w:pPr>
                    <w:r>
                      <w:rPr>
                        <w:rFonts w:ascii="Cambria"/>
                        <w:w w:val="75"/>
                        <w:sz w:val="22"/>
                      </w:rPr>
                      <w:t>0.66</w:t>
                    </w:r>
                  </w:p>
                </w:txbxContent>
              </v:textbox>
              <w10:wrap type="none"/>
            </v:shape>
            <v:shape style="position:absolute;left:4118;top:1215;width:322;height:220" type="#_x0000_t202" filled="false" stroked="false">
              <v:textbox inset="0,0,0,0">
                <w:txbxContent>
                  <w:p>
                    <w:pPr>
                      <w:spacing w:line="219" w:lineRule="exact" w:before="0"/>
                      <w:ind w:left="0" w:right="-6" w:firstLine="0"/>
                      <w:jc w:val="left"/>
                      <w:rPr>
                        <w:rFonts w:ascii="Cambria"/>
                        <w:sz w:val="22"/>
                      </w:rPr>
                    </w:pPr>
                    <w:r>
                      <w:rPr>
                        <w:rFonts w:ascii="Cambria"/>
                        <w:w w:val="75"/>
                        <w:sz w:val="22"/>
                      </w:rPr>
                      <w:t>0.94</w:t>
                    </w:r>
                  </w:p>
                </w:txbxContent>
              </v:textbox>
              <w10:wrap type="none"/>
            </v:shape>
            <v:shape style="position:absolute;left:1142;top:1451;width:322;height:220" type="#_x0000_t202" filled="false" stroked="false">
              <v:textbox inset="0,0,0,0">
                <w:txbxContent>
                  <w:p>
                    <w:pPr>
                      <w:spacing w:line="220" w:lineRule="exact" w:before="0"/>
                      <w:ind w:left="0" w:right="-6" w:firstLine="0"/>
                      <w:jc w:val="left"/>
                      <w:rPr>
                        <w:rFonts w:ascii="Cambria"/>
                        <w:sz w:val="22"/>
                      </w:rPr>
                    </w:pPr>
                    <w:r>
                      <w:rPr>
                        <w:rFonts w:ascii="Cambria"/>
                        <w:w w:val="75"/>
                        <w:sz w:val="22"/>
                      </w:rPr>
                      <w:t>0.89</w:t>
                    </w:r>
                  </w:p>
                </w:txbxContent>
              </v:textbox>
              <w10:wrap type="none"/>
            </v:shape>
            <v:shape style="position:absolute;left:2134;top:2218;width:322;height:220" type="#_x0000_t202" filled="false" stroked="false">
              <v:textbox inset="0,0,0,0">
                <w:txbxContent>
                  <w:p>
                    <w:pPr>
                      <w:spacing w:line="220" w:lineRule="exact" w:before="0"/>
                      <w:ind w:left="0" w:right="-6" w:firstLine="0"/>
                      <w:jc w:val="left"/>
                      <w:rPr>
                        <w:rFonts w:ascii="Cambria"/>
                        <w:sz w:val="22"/>
                      </w:rPr>
                    </w:pPr>
                    <w:r>
                      <w:rPr>
                        <w:rFonts w:ascii="Cambria"/>
                        <w:w w:val="75"/>
                        <w:sz w:val="22"/>
                      </w:rPr>
                      <w:t>0.34</w:t>
                    </w:r>
                  </w:p>
                </w:txbxContent>
              </v:textbox>
              <w10:wrap type="none"/>
            </v:shape>
            <v:shape style="position:absolute;left:4118;top:2604;width:322;height:220" type="#_x0000_t202" filled="false" stroked="false">
              <v:textbox inset="0,0,0,0">
                <w:txbxContent>
                  <w:p>
                    <w:pPr>
                      <w:spacing w:line="220" w:lineRule="exact" w:before="0"/>
                      <w:ind w:left="0" w:right="-6" w:firstLine="0"/>
                      <w:jc w:val="left"/>
                      <w:rPr>
                        <w:rFonts w:ascii="Cambria"/>
                        <w:sz w:val="22"/>
                      </w:rPr>
                    </w:pPr>
                    <w:r>
                      <w:rPr>
                        <w:rFonts w:ascii="Cambria"/>
                        <w:w w:val="75"/>
                        <w:sz w:val="22"/>
                      </w:rPr>
                      <w:t>0.06</w:t>
                    </w:r>
                  </w:p>
                </w:txbxContent>
              </v:textbox>
              <w10:wrap type="none"/>
            </v:shape>
          </v:group>
        </w:pict>
      </w:r>
      <w:r>
        <w:rPr>
          <w:rFonts w:ascii="Calibri"/>
          <w:sz w:val="20"/>
        </w:rPr>
      </w:r>
    </w:p>
    <w:p>
      <w:pPr>
        <w:tabs>
          <w:tab w:pos="1984" w:val="left" w:leader="none"/>
          <w:tab w:pos="3968" w:val="left" w:leader="none"/>
        </w:tabs>
        <w:spacing w:before="44"/>
        <w:ind w:left="0" w:right="1961" w:firstLine="0"/>
        <w:jc w:val="center"/>
        <w:rPr>
          <w:rFonts w:ascii="Calibri"/>
          <w:sz w:val="18"/>
        </w:rPr>
      </w:pPr>
      <w:r>
        <w:rPr>
          <w:rFonts w:ascii="Calibri"/>
          <w:spacing w:val="3"/>
          <w:w w:val="90"/>
          <w:sz w:val="18"/>
        </w:rPr>
        <w:t>2003    2004  </w:t>
      </w:r>
      <w:r>
        <w:rPr>
          <w:rFonts w:ascii="Calibri"/>
          <w:spacing w:val="7"/>
          <w:w w:val="90"/>
          <w:sz w:val="18"/>
        </w:rPr>
        <w:t> </w:t>
      </w:r>
      <w:r>
        <w:rPr>
          <w:rFonts w:ascii="Calibri"/>
          <w:spacing w:val="3"/>
          <w:w w:val="90"/>
          <w:sz w:val="18"/>
        </w:rPr>
        <w:t>2005  </w:t>
      </w:r>
      <w:r>
        <w:rPr>
          <w:rFonts w:ascii="Calibri"/>
          <w:spacing w:val="30"/>
          <w:w w:val="90"/>
          <w:sz w:val="18"/>
        </w:rPr>
        <w:t> </w:t>
      </w:r>
      <w:r>
        <w:rPr>
          <w:rFonts w:ascii="Calibri"/>
          <w:spacing w:val="3"/>
          <w:w w:val="90"/>
          <w:sz w:val="18"/>
        </w:rPr>
        <w:t>2006</w:t>
        <w:tab/>
        <w:t>2007    2008  </w:t>
      </w:r>
      <w:r>
        <w:rPr>
          <w:rFonts w:ascii="Calibri"/>
          <w:spacing w:val="7"/>
          <w:w w:val="90"/>
          <w:sz w:val="18"/>
        </w:rPr>
        <w:t> </w:t>
      </w:r>
      <w:r>
        <w:rPr>
          <w:rFonts w:ascii="Calibri"/>
          <w:spacing w:val="3"/>
          <w:w w:val="90"/>
          <w:sz w:val="18"/>
        </w:rPr>
        <w:t>2009  </w:t>
      </w:r>
      <w:r>
        <w:rPr>
          <w:rFonts w:ascii="Calibri"/>
          <w:spacing w:val="30"/>
          <w:w w:val="90"/>
          <w:sz w:val="18"/>
        </w:rPr>
        <w:t> </w:t>
      </w:r>
      <w:r>
        <w:rPr>
          <w:rFonts w:ascii="Calibri"/>
          <w:spacing w:val="3"/>
          <w:w w:val="90"/>
          <w:sz w:val="18"/>
        </w:rPr>
        <w:t>2010</w:t>
        <w:tab/>
      </w:r>
      <w:r>
        <w:rPr>
          <w:rFonts w:ascii="Calibri"/>
          <w:spacing w:val="4"/>
          <w:w w:val="90"/>
          <w:sz w:val="18"/>
        </w:rPr>
        <w:t>2011</w:t>
      </w:r>
    </w:p>
    <w:p>
      <w:pPr>
        <w:pStyle w:val="Heading2"/>
        <w:tabs>
          <w:tab w:pos="1515" w:val="left" w:leader="none"/>
        </w:tabs>
        <w:spacing w:before="158"/>
        <w:ind w:right="2118"/>
        <w:jc w:val="center"/>
      </w:pPr>
      <w:r>
        <w:rPr/>
        <w:drawing>
          <wp:anchor distT="0" distB="0" distL="0" distR="0" allowOverlap="1" layoutInCell="1" locked="0" behindDoc="0" simplePos="0" relativeHeight="7408">
            <wp:simplePos x="0" y="0"/>
            <wp:positionH relativeFrom="page">
              <wp:posOffset>2494138</wp:posOffset>
            </wp:positionH>
            <wp:positionV relativeFrom="paragraph">
              <wp:posOffset>155518</wp:posOffset>
            </wp:positionV>
            <wp:extent cx="68223" cy="78213"/>
            <wp:effectExtent l="0" t="0" r="0" b="0"/>
            <wp:wrapNone/>
            <wp:docPr id="31" name="image152.png" descr=""/>
            <wp:cNvGraphicFramePr>
              <a:graphicFrameLocks noChangeAspect="1"/>
            </wp:cNvGraphicFramePr>
            <a:graphic>
              <a:graphicData uri="http://schemas.openxmlformats.org/drawingml/2006/picture">
                <pic:pic>
                  <pic:nvPicPr>
                    <pic:cNvPr id="32" name="image152.png"/>
                    <pic:cNvPicPr/>
                  </pic:nvPicPr>
                  <pic:blipFill>
                    <a:blip r:embed="rId168" cstate="print"/>
                    <a:stretch>
                      <a:fillRect/>
                    </a:stretch>
                  </pic:blipFill>
                  <pic:spPr>
                    <a:xfrm>
                      <a:off x="0" y="0"/>
                      <a:ext cx="68223" cy="78213"/>
                    </a:xfrm>
                    <a:prstGeom prst="rect">
                      <a:avLst/>
                    </a:prstGeom>
                  </pic:spPr>
                </pic:pic>
              </a:graphicData>
            </a:graphic>
          </wp:anchor>
        </w:drawing>
      </w:r>
      <w:r>
        <w:rPr/>
        <w:drawing>
          <wp:anchor distT="0" distB="0" distL="0" distR="0" allowOverlap="1" layoutInCell="1" locked="0" behindDoc="1" simplePos="0" relativeHeight="267870767">
            <wp:simplePos x="0" y="0"/>
            <wp:positionH relativeFrom="page">
              <wp:posOffset>3456087</wp:posOffset>
            </wp:positionH>
            <wp:positionV relativeFrom="paragraph">
              <wp:posOffset>155518</wp:posOffset>
            </wp:positionV>
            <wp:extent cx="68223" cy="78213"/>
            <wp:effectExtent l="0" t="0" r="0" b="0"/>
            <wp:wrapNone/>
            <wp:docPr id="33" name="image153.png" descr=""/>
            <wp:cNvGraphicFramePr>
              <a:graphicFrameLocks noChangeAspect="1"/>
            </wp:cNvGraphicFramePr>
            <a:graphic>
              <a:graphicData uri="http://schemas.openxmlformats.org/drawingml/2006/picture">
                <pic:pic>
                  <pic:nvPicPr>
                    <pic:cNvPr id="34" name="image153.png"/>
                    <pic:cNvPicPr/>
                  </pic:nvPicPr>
                  <pic:blipFill>
                    <a:blip r:embed="rId169" cstate="print"/>
                    <a:stretch>
                      <a:fillRect/>
                    </a:stretch>
                  </pic:blipFill>
                  <pic:spPr>
                    <a:xfrm>
                      <a:off x="0" y="0"/>
                      <a:ext cx="68223" cy="78213"/>
                    </a:xfrm>
                    <a:prstGeom prst="rect">
                      <a:avLst/>
                    </a:prstGeom>
                  </pic:spPr>
                </pic:pic>
              </a:graphicData>
            </a:graphic>
          </wp:anchor>
        </w:drawing>
      </w:r>
      <w:r>
        <w:rPr>
          <w:spacing w:val="-3"/>
          <w:w w:val="85"/>
        </w:rPr>
        <w:t>Regalías</w:t>
      </w:r>
      <w:r>
        <w:rPr>
          <w:spacing w:val="-32"/>
          <w:w w:val="85"/>
        </w:rPr>
        <w:t> </w:t>
      </w:r>
      <w:r>
        <w:rPr>
          <w:w w:val="85"/>
        </w:rPr>
        <w:t>+</w:t>
      </w:r>
      <w:r>
        <w:rPr>
          <w:spacing w:val="-28"/>
          <w:w w:val="85"/>
        </w:rPr>
        <w:t> </w:t>
      </w:r>
      <w:r>
        <w:rPr>
          <w:w w:val="85"/>
        </w:rPr>
        <w:t>IDH</w:t>
        <w:tab/>
      </w:r>
      <w:r>
        <w:rPr>
          <w:w w:val="80"/>
        </w:rPr>
        <w:t>Venta</w:t>
      </w:r>
      <w:r>
        <w:rPr>
          <w:spacing w:val="-32"/>
          <w:w w:val="80"/>
        </w:rPr>
        <w:t> </w:t>
      </w:r>
      <w:r>
        <w:rPr>
          <w:w w:val="80"/>
        </w:rPr>
        <w:t>externa</w:t>
      </w:r>
      <w:r>
        <w:rPr>
          <w:spacing w:val="-32"/>
          <w:w w:val="80"/>
        </w:rPr>
        <w:t> </w:t>
      </w:r>
      <w:r>
        <w:rPr>
          <w:w w:val="80"/>
        </w:rPr>
        <w:t>+</w:t>
      </w:r>
      <w:r>
        <w:rPr>
          <w:spacing w:val="-29"/>
          <w:w w:val="80"/>
        </w:rPr>
        <w:t> </w:t>
      </w:r>
      <w:r>
        <w:rPr>
          <w:w w:val="80"/>
        </w:rPr>
        <w:t>mercado</w:t>
      </w:r>
      <w:r>
        <w:rPr>
          <w:spacing w:val="-31"/>
          <w:w w:val="80"/>
        </w:rPr>
        <w:t> </w:t>
      </w:r>
      <w:r>
        <w:rPr>
          <w:w w:val="80"/>
        </w:rPr>
        <w:t>interno</w:t>
      </w:r>
    </w:p>
    <w:p>
      <w:pPr>
        <w:spacing w:after="0"/>
        <w:jc w:val="center"/>
        <w:sectPr>
          <w:type w:val="continuous"/>
          <w:pgSz w:w="12250" w:h="15850"/>
          <w:pgMar w:top="1500" w:bottom="280" w:left="1600" w:right="1580"/>
          <w:cols w:num="2" w:equalWidth="0">
            <w:col w:w="2318" w:space="40"/>
            <w:col w:w="6712"/>
          </w:cols>
        </w:sectPr>
      </w:pPr>
    </w:p>
    <w:p>
      <w:pPr>
        <w:pStyle w:val="BodyText"/>
        <w:rPr>
          <w:rFonts w:ascii="Cambria"/>
          <w:sz w:val="19"/>
        </w:rPr>
      </w:pPr>
    </w:p>
    <w:p>
      <w:pPr>
        <w:spacing w:before="74"/>
        <w:ind w:left="949" w:right="127" w:firstLine="0"/>
        <w:jc w:val="left"/>
        <w:rPr>
          <w:sz w:val="20"/>
        </w:rPr>
      </w:pPr>
      <w:r>
        <w:rPr>
          <w:sz w:val="20"/>
        </w:rPr>
        <w:t>Fuente: Elaboración propia con base en información del Banco Central de Bolivia (2012)</w:t>
      </w:r>
    </w:p>
    <w:p>
      <w:pPr>
        <w:pStyle w:val="BodyText"/>
        <w:rPr>
          <w:sz w:val="20"/>
        </w:rPr>
      </w:pPr>
    </w:p>
    <w:p>
      <w:pPr>
        <w:pStyle w:val="BodyText"/>
        <w:spacing w:before="3"/>
        <w:rPr>
          <w:sz w:val="26"/>
        </w:rPr>
      </w:pPr>
    </w:p>
    <w:p>
      <w:pPr>
        <w:pStyle w:val="BodyText"/>
        <w:spacing w:line="360" w:lineRule="auto"/>
        <w:ind w:left="102" w:right="119" w:firstLine="707"/>
        <w:jc w:val="both"/>
      </w:pPr>
      <w:r>
        <w:rPr/>
        <w:t>Previo a la nacionalización de los hidrocarburos en Bolivia (2006), la mayor proporción de los ingresos gasíferos provenían de las regalías y del impuesto directo al hidrocarburo (IDH). De forma posterior a la nacionalización, la mayor participación se originó por la venta directa del recurso natural, tomándose al Estado como productor del recurso natural.</w:t>
      </w:r>
    </w:p>
    <w:p>
      <w:pPr>
        <w:pStyle w:val="BodyText"/>
        <w:spacing w:line="360" w:lineRule="auto" w:before="4"/>
        <w:ind w:left="102" w:right="112" w:firstLine="707"/>
        <w:jc w:val="both"/>
      </w:pPr>
      <w:r>
        <w:rPr/>
        <w:t>En suma, para Bolivia cerca de la totalidad de sus ingresos del recurso natural no presentan un mecanismo formal para la distribución de ingresos hidrocarburíferos a gobiernos regionales e instituciones públicas, en especial, provenientes de la venta interna y externa de los hidrocarburos. De forma adicional, no existen reglas formales para la dirección del gasto corriente, gasto de capital y la generación de ahorro proveniente de dichos recursos.</w:t>
      </w:r>
    </w:p>
    <w:p>
      <w:pPr>
        <w:pStyle w:val="BodyText"/>
        <w:spacing w:before="9"/>
        <w:rPr>
          <w:sz w:val="21"/>
        </w:rPr>
      </w:pPr>
    </w:p>
    <w:p>
      <w:pPr>
        <w:pStyle w:val="Heading4"/>
        <w:numPr>
          <w:ilvl w:val="2"/>
          <w:numId w:val="10"/>
        </w:numPr>
        <w:tabs>
          <w:tab w:pos="963" w:val="left" w:leader="none"/>
          <w:tab w:pos="964" w:val="left" w:leader="none"/>
        </w:tabs>
        <w:spacing w:line="240" w:lineRule="auto" w:before="0" w:after="0"/>
        <w:ind w:left="963" w:right="0" w:hanging="720"/>
        <w:jc w:val="left"/>
      </w:pPr>
      <w:bookmarkStart w:name="_bookmark69" w:id="100"/>
      <w:bookmarkEnd w:id="100"/>
      <w:r>
        <w:rPr>
          <w:b w:val="0"/>
        </w:rPr>
      </w:r>
      <w:bookmarkStart w:name="_bookmark69" w:id="101"/>
      <w:bookmarkEnd w:id="101"/>
      <w:r>
        <w:rPr/>
        <w:t>Apl</w:t>
      </w:r>
      <w:r>
        <w:rPr/>
        <w:t>icación de la postura neoclásica en Bolivia: deterioro del</w:t>
      </w:r>
      <w:r>
        <w:rPr>
          <w:spacing w:val="-11"/>
        </w:rPr>
        <w:t> </w:t>
      </w:r>
      <w:r>
        <w:rPr/>
        <w:t>bienestar</w:t>
      </w:r>
    </w:p>
    <w:p>
      <w:pPr>
        <w:pStyle w:val="BodyText"/>
        <w:spacing w:before="4"/>
        <w:rPr>
          <w:b/>
          <w:sz w:val="32"/>
        </w:rPr>
      </w:pPr>
    </w:p>
    <w:p>
      <w:pPr>
        <w:pStyle w:val="BodyText"/>
        <w:spacing w:line="360" w:lineRule="auto"/>
        <w:ind w:left="102" w:right="118" w:firstLine="707"/>
        <w:jc w:val="both"/>
      </w:pPr>
      <w:r>
        <w:rPr/>
        <w:t>Tal como se mencionó en el capítulo teórico, la postura neoclásica de la economía con base en la teoría del ingreso permanente sostiene que los ingresos derivados de un recurso  natural  deben  administrarse  mediante  un  mecanismo  de  fondo  de   inversiones</w:t>
      </w:r>
    </w:p>
    <w:p>
      <w:pPr>
        <w:spacing w:after="0" w:line="360" w:lineRule="auto"/>
        <w:jc w:val="both"/>
        <w:sectPr>
          <w:type w:val="continuous"/>
          <w:pgSz w:w="12250" w:h="15850"/>
          <w:pgMar w:top="1500" w:bottom="280" w:left="1600" w:right="1580"/>
        </w:sectPr>
      </w:pPr>
    </w:p>
    <w:p>
      <w:pPr>
        <w:pStyle w:val="BodyText"/>
        <w:spacing w:line="360" w:lineRule="auto" w:before="50"/>
        <w:ind w:left="102" w:right="107"/>
      </w:pPr>
      <w:r>
        <w:rPr/>
        <w:t>financieras cuyo rendimiento determina el incremento sobre el gasto del gobierno e inversión pública.</w:t>
      </w:r>
    </w:p>
    <w:p>
      <w:pPr>
        <w:pStyle w:val="BodyText"/>
        <w:spacing w:line="360" w:lineRule="auto" w:before="6"/>
        <w:ind w:left="102" w:right="98" w:firstLine="707"/>
        <w:jc w:val="both"/>
      </w:pPr>
      <w:r>
        <w:rPr/>
        <w:t>De forma adicional, se mencionó que países en vías de desarrollo necesitan de inversión pública para fomentar el crecimiento. Por tanto, la postura Keynesiana a través de la teoría modificada del ingreso permanente sugiere que los ingresos fiscales del recurso natural deben canalizarse hacia la inversión pública.</w:t>
      </w:r>
    </w:p>
    <w:p>
      <w:pPr>
        <w:pStyle w:val="BodyText"/>
        <w:spacing w:line="360" w:lineRule="auto" w:before="6"/>
        <w:ind w:left="102" w:right="99" w:firstLine="707"/>
        <w:jc w:val="both"/>
      </w:pPr>
      <w:r>
        <w:rPr/>
        <w:t>Frente a lo anterior, se hace necesario mencionar que la inversión pública es un componente del gasto de capital (Sturm, 2001, p. 3):</w:t>
      </w:r>
    </w:p>
    <w:p>
      <w:pPr>
        <w:pStyle w:val="BodyText"/>
      </w:pPr>
    </w:p>
    <w:p>
      <w:pPr>
        <w:pStyle w:val="BodyText"/>
        <w:spacing w:before="147"/>
        <w:ind w:left="102"/>
        <w:rPr>
          <w:rFonts w:ascii="Cambria Math"/>
        </w:rPr>
      </w:pPr>
      <w:r>
        <w:rPr>
          <w:rFonts w:ascii="Cambria Math"/>
          <w:w w:val="232"/>
        </w:rPr>
        <w:t>   </w:t>
      </w:r>
      <w:r>
        <w:rPr>
          <w:rFonts w:ascii="Cambria Math"/>
          <w:spacing w:val="-1"/>
          <w:w w:val="232"/>
        </w:rPr>
        <w:t> </w:t>
      </w:r>
      <w:r>
        <w:rPr>
          <w:rFonts w:ascii="Cambria Math"/>
          <w:w w:val="242"/>
        </w:rPr>
        <w:t> </w:t>
      </w:r>
      <w:r>
        <w:rPr>
          <w:rFonts w:ascii="Cambria Math"/>
          <w:spacing w:val="6"/>
        </w:rPr>
        <w:t> </w:t>
      </w:r>
      <w:r>
        <w:rPr>
          <w:rFonts w:ascii="Cambria Math"/>
          <w:w w:val="244"/>
        </w:rPr>
        <w:t>  </w:t>
      </w:r>
      <w:r>
        <w:rPr>
          <w:rFonts w:ascii="Cambria Math"/>
          <w:spacing w:val="5"/>
        </w:rPr>
        <w:t> </w:t>
      </w:r>
      <w:r>
        <w:rPr>
          <w:rFonts w:ascii="Cambria Math"/>
          <w:w w:val="230"/>
        </w:rPr>
        <w:t>  </w:t>
      </w:r>
      <w:r>
        <w:rPr>
          <w:rFonts w:ascii="Cambria Math"/>
          <w:w w:val="198"/>
        </w:rPr>
        <w:t>  </w:t>
      </w:r>
      <w:r>
        <w:rPr>
          <w:rFonts w:ascii="Cambria Math"/>
          <w:spacing w:val="-2"/>
          <w:w w:val="179"/>
        </w:rPr>
        <w:t> </w:t>
      </w:r>
      <w:r>
        <w:rPr>
          <w:rFonts w:ascii="Cambria Math"/>
          <w:w w:val="252"/>
        </w:rPr>
        <w:t> </w:t>
      </w:r>
      <w:r>
        <w:rPr>
          <w:rFonts w:ascii="Cambria Math"/>
          <w:spacing w:val="1"/>
          <w:w w:val="143"/>
        </w:rPr>
        <w:t> </w:t>
      </w:r>
      <w:r>
        <w:rPr>
          <w:rFonts w:ascii="Cambria Math"/>
          <w:w w:val="200"/>
          <w:position w:val="-4"/>
          <w:sz w:val="17"/>
        </w:rPr>
        <w:t> </w:t>
      </w:r>
      <w:r>
        <w:rPr>
          <w:rFonts w:ascii="Cambria Math"/>
          <w:position w:val="-4"/>
          <w:sz w:val="17"/>
        </w:rPr>
        <w:t> </w:t>
      </w:r>
      <w:r>
        <w:rPr>
          <w:rFonts w:ascii="Cambria Math"/>
          <w:spacing w:val="3"/>
          <w:position w:val="-4"/>
          <w:sz w:val="17"/>
        </w:rPr>
        <w:t> </w:t>
      </w:r>
      <w:r>
        <w:rPr>
          <w:rFonts w:ascii="Cambria Math"/>
          <w:w w:val="339"/>
        </w:rPr>
        <w:t> </w:t>
      </w:r>
    </w:p>
    <w:p>
      <w:pPr>
        <w:pStyle w:val="BodyText"/>
        <w:spacing w:before="141"/>
        <w:ind w:left="154"/>
        <w:rPr>
          <w:rFonts w:ascii="Cambria Math"/>
        </w:rPr>
      </w:pPr>
      <w:r>
        <w:rPr>
          <w:rFonts w:ascii="Cambria Math"/>
          <w:spacing w:val="-1"/>
          <w:w w:val="287"/>
        </w:rPr>
        <w:t> </w:t>
      </w:r>
      <w:r>
        <w:rPr>
          <w:rFonts w:ascii="Cambria Math"/>
          <w:w w:val="194"/>
        </w:rPr>
        <w:t> </w:t>
      </w:r>
      <w:r>
        <w:rPr>
          <w:rFonts w:ascii="Cambria Math"/>
          <w:spacing w:val="5"/>
          <w:w w:val="194"/>
        </w:rPr>
        <w:t> </w:t>
      </w:r>
      <w:r>
        <w:rPr>
          <w:rFonts w:ascii="Cambria Math"/>
          <w:w w:val="93"/>
        </w:rPr>
        <w:t> </w:t>
      </w:r>
      <w:r>
        <w:rPr>
          <w:rFonts w:ascii="Cambria Math"/>
          <w:spacing w:val="-14"/>
        </w:rPr>
        <w:t> </w:t>
      </w:r>
      <w:r>
        <w:rPr>
          <w:rFonts w:ascii="Cambria Math"/>
          <w:w w:val="194"/>
        </w:rPr>
        <w:t>   </w:t>
      </w:r>
      <w:r>
        <w:rPr>
          <w:rFonts w:ascii="Cambria Math"/>
          <w:w w:val="225"/>
        </w:rPr>
        <w:t>  </w:t>
      </w:r>
      <w:r>
        <w:rPr>
          <w:rFonts w:ascii="Cambria Math"/>
          <w:spacing w:val="6"/>
        </w:rPr>
        <w:t> </w:t>
      </w:r>
      <w:r>
        <w:rPr>
          <w:rFonts w:ascii="Cambria Math"/>
          <w:w w:val="244"/>
        </w:rPr>
        <w:t>  </w:t>
      </w:r>
      <w:r>
        <w:rPr>
          <w:rFonts w:ascii="Cambria Math"/>
          <w:spacing w:val="3"/>
        </w:rPr>
        <w:t> </w:t>
      </w:r>
      <w:r>
        <w:rPr>
          <w:rFonts w:ascii="Cambria Math"/>
          <w:w w:val="230"/>
        </w:rPr>
        <w:t>  </w:t>
      </w:r>
      <w:r>
        <w:rPr>
          <w:rFonts w:ascii="Cambria Math"/>
          <w:w w:val="198"/>
        </w:rPr>
        <w:t>  </w:t>
      </w:r>
      <w:r>
        <w:rPr>
          <w:rFonts w:ascii="Cambria Math"/>
          <w:spacing w:val="-2"/>
          <w:w w:val="179"/>
        </w:rPr>
        <w:t> </w:t>
      </w:r>
      <w:r>
        <w:rPr>
          <w:rFonts w:ascii="Cambria Math"/>
          <w:w w:val="252"/>
        </w:rPr>
        <w:t> </w:t>
      </w:r>
      <w:r>
        <w:rPr>
          <w:rFonts w:ascii="Cambria Math"/>
          <w:spacing w:val="1"/>
          <w:w w:val="143"/>
        </w:rPr>
        <w:t> </w:t>
      </w:r>
      <w:r>
        <w:rPr>
          <w:rFonts w:ascii="Cambria Math"/>
          <w:w w:val="200"/>
          <w:position w:val="-4"/>
          <w:sz w:val="17"/>
        </w:rPr>
        <w:t> </w:t>
      </w:r>
      <w:r>
        <w:rPr>
          <w:rFonts w:ascii="Cambria Math"/>
          <w:position w:val="-4"/>
          <w:sz w:val="17"/>
        </w:rPr>
        <w:t> </w:t>
      </w:r>
      <w:r>
        <w:rPr>
          <w:rFonts w:ascii="Cambria Math"/>
          <w:spacing w:val="-9"/>
          <w:position w:val="-4"/>
          <w:sz w:val="17"/>
        </w:rPr>
        <w:t> </w:t>
      </w:r>
      <w:r>
        <w:rPr>
          <w:rFonts w:ascii="Cambria Math"/>
          <w:w w:val="339"/>
        </w:rPr>
        <w:t> </w:t>
      </w:r>
      <w:r>
        <w:rPr>
          <w:rFonts w:ascii="Cambria Math"/>
        </w:rPr>
        <w:t> </w:t>
      </w:r>
      <w:r>
        <w:rPr>
          <w:rFonts w:ascii="Cambria Math"/>
          <w:spacing w:val="1"/>
        </w:rPr>
        <w:t> </w:t>
      </w:r>
      <w:r>
        <w:rPr>
          <w:rFonts w:ascii="Cambria Math"/>
          <w:spacing w:val="-1"/>
          <w:w w:val="287"/>
        </w:rPr>
        <w:t> </w:t>
      </w:r>
      <w:r>
        <w:rPr>
          <w:rFonts w:ascii="Cambria Math"/>
          <w:w w:val="194"/>
        </w:rPr>
        <w:t> </w:t>
      </w:r>
      <w:r>
        <w:rPr>
          <w:rFonts w:ascii="Cambria Math"/>
          <w:spacing w:val="6"/>
          <w:w w:val="194"/>
        </w:rPr>
        <w:t> </w:t>
      </w:r>
      <w:r>
        <w:rPr>
          <w:rFonts w:ascii="Cambria Math"/>
          <w:w w:val="93"/>
        </w:rPr>
        <w:t> </w:t>
      </w:r>
      <w:r>
        <w:rPr>
          <w:rFonts w:ascii="Cambria Math"/>
          <w:spacing w:val="-14"/>
        </w:rPr>
        <w:t> </w:t>
      </w:r>
      <w:r>
        <w:rPr>
          <w:rFonts w:ascii="Cambria Math"/>
          <w:w w:val="194"/>
        </w:rPr>
        <w:t>   </w:t>
      </w:r>
      <w:r>
        <w:rPr>
          <w:rFonts w:ascii="Cambria Math"/>
          <w:w w:val="242"/>
        </w:rPr>
        <w:t> </w:t>
      </w:r>
      <w:r>
        <w:rPr>
          <w:rFonts w:ascii="Cambria Math"/>
          <w:spacing w:val="4"/>
        </w:rPr>
        <w:t> </w:t>
      </w:r>
      <w:r>
        <w:rPr>
          <w:rFonts w:ascii="Cambria Math"/>
          <w:w w:val="244"/>
        </w:rPr>
        <w:t>  </w:t>
      </w:r>
      <w:r>
        <w:rPr>
          <w:rFonts w:ascii="Cambria Math"/>
          <w:spacing w:val="5"/>
        </w:rPr>
        <w:t> </w:t>
      </w:r>
      <w:r>
        <w:rPr>
          <w:rFonts w:ascii="Cambria Math"/>
          <w:spacing w:val="-2"/>
          <w:w w:val="179"/>
        </w:rPr>
        <w:t> </w:t>
      </w:r>
      <w:r>
        <w:rPr>
          <w:rFonts w:ascii="Cambria Math"/>
          <w:w w:val="184"/>
        </w:rPr>
        <w:t> </w:t>
      </w:r>
      <w:r>
        <w:rPr>
          <w:rFonts w:ascii="Cambria Math"/>
          <w:spacing w:val="1"/>
          <w:w w:val="184"/>
        </w:rPr>
        <w:t> </w:t>
      </w:r>
      <w:r>
        <w:rPr>
          <w:rFonts w:ascii="Cambria Math"/>
          <w:w w:val="216"/>
        </w:rPr>
        <w:t>  </w:t>
      </w:r>
      <w:r>
        <w:rPr>
          <w:rFonts w:ascii="Cambria Math"/>
          <w:spacing w:val="1"/>
          <w:w w:val="252"/>
        </w:rPr>
        <w:t> </w:t>
      </w:r>
      <w:r>
        <w:rPr>
          <w:rFonts w:ascii="Cambria Math"/>
          <w:w w:val="200"/>
          <w:position w:val="-4"/>
          <w:sz w:val="17"/>
        </w:rPr>
        <w:t> </w:t>
      </w:r>
      <w:r>
        <w:rPr>
          <w:rFonts w:ascii="Cambria Math"/>
          <w:position w:val="-4"/>
          <w:sz w:val="17"/>
        </w:rPr>
        <w:t> </w:t>
      </w:r>
      <w:r>
        <w:rPr>
          <w:rFonts w:ascii="Cambria Math"/>
          <w:spacing w:val="-11"/>
          <w:position w:val="-4"/>
          <w:sz w:val="17"/>
        </w:rPr>
        <w:t> </w:t>
      </w:r>
      <w:r>
        <w:rPr>
          <w:rFonts w:ascii="Cambria Math"/>
          <w:w w:val="339"/>
        </w:rPr>
        <w:t> </w:t>
      </w:r>
      <w:r>
        <w:rPr>
          <w:rFonts w:ascii="Cambria Math"/>
        </w:rPr>
        <w:t> </w:t>
      </w:r>
      <w:r>
        <w:rPr>
          <w:rFonts w:ascii="Cambria Math"/>
          <w:spacing w:val="-1"/>
          <w:w w:val="287"/>
        </w:rPr>
        <w:t> </w:t>
      </w:r>
      <w:r>
        <w:rPr>
          <w:rFonts w:ascii="Cambria Math"/>
          <w:w w:val="194"/>
        </w:rPr>
        <w:t> </w:t>
      </w:r>
      <w:r>
        <w:rPr>
          <w:rFonts w:ascii="Cambria Math"/>
          <w:spacing w:val="-2"/>
          <w:w w:val="194"/>
        </w:rPr>
        <w:t> </w:t>
      </w:r>
      <w:r>
        <w:rPr>
          <w:rFonts w:ascii="Cambria Math"/>
          <w:w w:val="211"/>
        </w:rPr>
        <w:t>  </w:t>
      </w:r>
      <w:r>
        <w:rPr>
          <w:rFonts w:ascii="Cambria Math"/>
          <w:spacing w:val="-1"/>
          <w:w w:val="211"/>
        </w:rPr>
        <w:t> </w:t>
      </w:r>
      <w:r>
        <w:rPr>
          <w:rFonts w:ascii="Cambria Math"/>
          <w:w w:val="209"/>
        </w:rPr>
        <w:t> </w:t>
      </w:r>
      <w:r>
        <w:rPr>
          <w:rFonts w:ascii="Cambria Math"/>
          <w:spacing w:val="9"/>
        </w:rPr>
        <w:t> </w:t>
      </w:r>
      <w:r>
        <w:rPr>
          <w:rFonts w:ascii="Cambria Math"/>
          <w:w w:val="194"/>
        </w:rPr>
        <w:t>  </w:t>
      </w:r>
      <w:r>
        <w:rPr>
          <w:rFonts w:ascii="Cambria Math"/>
          <w:spacing w:val="-2"/>
          <w:w w:val="194"/>
        </w:rPr>
        <w:t> </w:t>
      </w:r>
      <w:r>
        <w:rPr>
          <w:rFonts w:ascii="Cambria Math"/>
          <w:w w:val="252"/>
        </w:rPr>
        <w:t> </w:t>
      </w:r>
      <w:r>
        <w:rPr>
          <w:rFonts w:ascii="Cambria Math"/>
          <w:spacing w:val="-1"/>
          <w:w w:val="260"/>
        </w:rPr>
        <w:t> </w:t>
      </w:r>
      <w:r>
        <w:rPr>
          <w:rFonts w:ascii="Cambria Math"/>
          <w:w w:val="202"/>
        </w:rPr>
        <w:t>   </w:t>
      </w:r>
      <w:r>
        <w:rPr>
          <w:rFonts w:ascii="Cambria Math"/>
          <w:spacing w:val="1"/>
          <w:w w:val="202"/>
        </w:rPr>
        <w:t> </w:t>
      </w:r>
      <w:r>
        <w:rPr>
          <w:rFonts w:ascii="Cambria Math"/>
          <w:w w:val="225"/>
        </w:rPr>
        <w:t> </w:t>
      </w:r>
      <w:r>
        <w:rPr>
          <w:rFonts w:ascii="Cambria Math"/>
          <w:spacing w:val="-5"/>
          <w:w w:val="209"/>
        </w:rPr>
        <w:t> </w:t>
      </w:r>
      <w:r>
        <w:rPr>
          <w:rFonts w:ascii="Cambria Math"/>
          <w:w w:val="200"/>
          <w:position w:val="-4"/>
          <w:sz w:val="17"/>
        </w:rPr>
        <w:t> </w:t>
      </w:r>
      <w:r>
        <w:rPr>
          <w:rFonts w:ascii="Cambria Math"/>
          <w:position w:val="-4"/>
          <w:sz w:val="17"/>
        </w:rPr>
        <w:t> </w:t>
      </w:r>
      <w:r>
        <w:rPr>
          <w:rFonts w:ascii="Cambria Math"/>
          <w:spacing w:val="-11"/>
          <w:position w:val="-4"/>
          <w:sz w:val="17"/>
        </w:rPr>
        <w:t> </w:t>
      </w:r>
      <w:r>
        <w:rPr>
          <w:rFonts w:ascii="Cambria Math"/>
          <w:w w:val="339"/>
        </w:rPr>
        <w:t> </w:t>
      </w:r>
    </w:p>
    <w:p>
      <w:pPr>
        <w:pStyle w:val="BodyText"/>
        <w:tabs>
          <w:tab w:pos="7446" w:val="left" w:leader="none"/>
        </w:tabs>
        <w:spacing w:before="140"/>
        <w:ind w:left="102"/>
      </w:pPr>
      <w:r>
        <w:rPr>
          <w:rFonts w:ascii="Cambria Math"/>
          <w:w w:val="216"/>
        </w:rPr>
        <w:t> </w:t>
      </w:r>
      <w:r>
        <w:rPr>
          <w:rFonts w:ascii="Cambria Math"/>
          <w:spacing w:val="-1"/>
          <w:w w:val="216"/>
        </w:rPr>
        <w:t> </w:t>
      </w:r>
      <w:r>
        <w:rPr>
          <w:rFonts w:ascii="Cambria Math"/>
          <w:spacing w:val="8"/>
          <w:w w:val="247"/>
        </w:rPr>
        <w:t> </w:t>
      </w:r>
      <w:r>
        <w:rPr>
          <w:rFonts w:ascii="Cambria Math"/>
          <w:w w:val="93"/>
        </w:rPr>
        <w:t> </w:t>
      </w:r>
      <w:r>
        <w:rPr>
          <w:rFonts w:ascii="Cambria Math"/>
          <w:spacing w:val="-14"/>
        </w:rPr>
        <w:t> </w:t>
      </w:r>
      <w:r>
        <w:rPr>
          <w:rFonts w:ascii="Cambria Math"/>
          <w:w w:val="281"/>
        </w:rPr>
        <w:t> </w:t>
      </w:r>
      <w:r>
        <w:rPr>
          <w:i/>
          <w:w w:val="200"/>
        </w:rPr>
        <w:t> </w:t>
      </w:r>
      <w:r>
        <w:rPr>
          <w:rFonts w:ascii="Cambria Math"/>
          <w:w w:val="194"/>
        </w:rPr>
        <w:t>  </w:t>
      </w:r>
      <w:r>
        <w:rPr>
          <w:rFonts w:ascii="Cambria Math"/>
          <w:w w:val="201"/>
        </w:rPr>
        <w:t>  </w:t>
      </w:r>
      <w:r>
        <w:rPr>
          <w:rFonts w:ascii="Cambria Math"/>
          <w:spacing w:val="1"/>
          <w:w w:val="201"/>
        </w:rPr>
        <w:t> </w:t>
      </w:r>
      <w:r>
        <w:rPr>
          <w:rFonts w:ascii="Cambria Math"/>
          <w:w w:val="200"/>
          <w:position w:val="-4"/>
          <w:sz w:val="17"/>
        </w:rPr>
        <w:t> </w:t>
      </w:r>
      <w:r>
        <w:rPr>
          <w:rFonts w:ascii="Cambria Math"/>
          <w:position w:val="-4"/>
          <w:sz w:val="17"/>
        </w:rPr>
        <w:t> </w:t>
      </w:r>
      <w:r>
        <w:rPr>
          <w:rFonts w:ascii="Cambria Math"/>
          <w:spacing w:val="-11"/>
          <w:position w:val="-4"/>
          <w:sz w:val="17"/>
        </w:rPr>
        <w:t> </w:t>
      </w:r>
      <w:r>
        <w:rPr>
          <w:rFonts w:ascii="Cambria Math"/>
          <w:w w:val="339"/>
        </w:rPr>
        <w:t> </w:t>
      </w:r>
      <w:r>
        <w:rPr>
          <w:rFonts w:ascii="Cambria Math"/>
        </w:rPr>
        <w:t>  </w:t>
      </w:r>
      <w:r>
        <w:rPr>
          <w:rFonts w:ascii="Cambria Math"/>
          <w:spacing w:val="-1"/>
          <w:w w:val="287"/>
        </w:rPr>
        <w:t> </w:t>
      </w:r>
      <w:r>
        <w:rPr>
          <w:rFonts w:ascii="Cambria Math"/>
          <w:w w:val="194"/>
        </w:rPr>
        <w:t> </w:t>
      </w:r>
      <w:r>
        <w:rPr>
          <w:rFonts w:ascii="Cambria Math"/>
          <w:spacing w:val="-2"/>
          <w:w w:val="194"/>
        </w:rPr>
        <w:t> </w:t>
      </w:r>
      <w:r>
        <w:rPr>
          <w:rFonts w:ascii="Cambria Math"/>
          <w:w w:val="211"/>
        </w:rPr>
        <w:t>  </w:t>
      </w:r>
      <w:r>
        <w:rPr>
          <w:rFonts w:ascii="Cambria Math"/>
          <w:spacing w:val="-1"/>
          <w:w w:val="211"/>
        </w:rPr>
        <w:t> </w:t>
      </w:r>
      <w:r>
        <w:rPr>
          <w:rFonts w:ascii="Cambria Math"/>
          <w:w w:val="209"/>
        </w:rPr>
        <w:t> </w:t>
      </w:r>
      <w:r>
        <w:rPr>
          <w:rFonts w:ascii="Cambria Math"/>
          <w:spacing w:val="7"/>
        </w:rPr>
        <w:t> </w:t>
      </w:r>
      <w:r>
        <w:rPr>
          <w:rFonts w:ascii="Cambria Math"/>
          <w:spacing w:val="-1"/>
          <w:w w:val="251"/>
        </w:rPr>
        <w:t> </w:t>
      </w:r>
      <w:r>
        <w:rPr>
          <w:rFonts w:ascii="Cambria Math"/>
          <w:w w:val="251"/>
        </w:rPr>
        <w:t> </w:t>
      </w:r>
      <w:r>
        <w:rPr>
          <w:rFonts w:ascii="Cambria Math"/>
          <w:spacing w:val="6"/>
        </w:rPr>
        <w:t> </w:t>
      </w:r>
      <w:r>
        <w:rPr>
          <w:rFonts w:ascii="Cambria Math"/>
          <w:w w:val="196"/>
        </w:rPr>
        <w:t>  </w:t>
      </w:r>
      <w:r>
        <w:rPr>
          <w:rFonts w:ascii="Cambria Math"/>
          <w:spacing w:val="-1"/>
          <w:w w:val="260"/>
        </w:rPr>
        <w:t> </w:t>
      </w:r>
      <w:r>
        <w:rPr>
          <w:rFonts w:ascii="Cambria Math"/>
          <w:w w:val="252"/>
        </w:rPr>
        <w:t> </w:t>
      </w:r>
      <w:r>
        <w:rPr>
          <w:rFonts w:ascii="Cambria Math"/>
          <w:spacing w:val="-1"/>
          <w:w w:val="260"/>
        </w:rPr>
        <w:t> </w:t>
      </w:r>
      <w:r>
        <w:rPr>
          <w:rFonts w:ascii="Cambria Math"/>
          <w:w w:val="192"/>
        </w:rPr>
        <w:t>  </w:t>
      </w:r>
      <w:r>
        <w:rPr>
          <w:rFonts w:ascii="Cambria Math"/>
          <w:spacing w:val="1"/>
          <w:w w:val="192"/>
        </w:rPr>
        <w:t> </w:t>
      </w:r>
      <w:r>
        <w:rPr>
          <w:rFonts w:ascii="Cambria Math"/>
          <w:w w:val="216"/>
        </w:rPr>
        <w:t> </w:t>
      </w:r>
      <w:r>
        <w:rPr>
          <w:rFonts w:ascii="Cambria Math"/>
          <w:w w:val="225"/>
        </w:rPr>
        <w:t>  </w:t>
      </w:r>
      <w:r>
        <w:rPr>
          <w:rFonts w:ascii="Cambria Math"/>
          <w:spacing w:val="4"/>
        </w:rPr>
        <w:t> </w:t>
      </w:r>
      <w:r>
        <w:rPr>
          <w:rFonts w:ascii="Cambria Math"/>
          <w:w w:val="200"/>
          <w:position w:val="-4"/>
          <w:sz w:val="17"/>
        </w:rPr>
        <w:t> </w:t>
      </w:r>
      <w:r>
        <w:rPr>
          <w:rFonts w:ascii="Cambria Math"/>
          <w:position w:val="-4"/>
          <w:sz w:val="17"/>
        </w:rPr>
        <w:tab/>
      </w:r>
      <w:r>
        <w:rPr/>
        <w:t>(2.4)</w:t>
      </w:r>
    </w:p>
    <w:p>
      <w:pPr>
        <w:pStyle w:val="BodyText"/>
        <w:rPr>
          <w:sz w:val="26"/>
        </w:rPr>
      </w:pPr>
    </w:p>
    <w:p>
      <w:pPr>
        <w:pStyle w:val="BodyText"/>
        <w:spacing w:before="4"/>
        <w:rPr>
          <w:sz w:val="22"/>
        </w:rPr>
      </w:pPr>
    </w:p>
    <w:p>
      <w:pPr>
        <w:pStyle w:val="BodyText"/>
        <w:spacing w:line="360" w:lineRule="auto" w:before="1"/>
        <w:ind w:left="102" w:right="102" w:firstLine="707"/>
        <w:jc w:val="both"/>
      </w:pPr>
      <w:r>
        <w:rPr/>
        <w:t>Para el caso de Bolivia, a partir del 2003, la brecha entre el gasto de capital y la inversión pública comenzó a incrementarse fundamentado por el incremento de activos de capital y amortización de deuda pública (</w:t>
      </w:r>
      <w:r>
        <w:rPr>
          <w:i/>
        </w:rPr>
        <w:t>figura 2.25</w:t>
      </w:r>
      <w:r>
        <w:rPr/>
        <w:t>):</w:t>
      </w:r>
    </w:p>
    <w:p>
      <w:pPr>
        <w:pStyle w:val="BodyText"/>
      </w:pPr>
    </w:p>
    <w:p>
      <w:pPr>
        <w:pStyle w:val="BodyText"/>
        <w:spacing w:line="360" w:lineRule="auto" w:before="143" w:after="8"/>
        <w:ind w:left="1594" w:right="1595"/>
        <w:jc w:val="center"/>
      </w:pPr>
      <w:bookmarkStart w:name="_bookmark70" w:id="102"/>
      <w:bookmarkEnd w:id="102"/>
      <w:r>
        <w:rPr/>
      </w:r>
      <w:r>
        <w:rPr/>
        <w:t>Figura 2. 25: Gasto de capital e Inversión pública en Bolivia, 2001 - 2011</w:t>
      </w:r>
    </w:p>
    <w:p>
      <w:pPr>
        <w:pStyle w:val="BodyText"/>
        <w:ind w:left="2361"/>
        <w:rPr>
          <w:sz w:val="20"/>
        </w:rPr>
      </w:pPr>
      <w:r>
        <w:rPr>
          <w:sz w:val="20"/>
        </w:rPr>
        <w:drawing>
          <wp:inline distT="0" distB="0" distL="0" distR="0">
            <wp:extent cx="2735273" cy="1769364"/>
            <wp:effectExtent l="0" t="0" r="0" b="0"/>
            <wp:docPr id="35" name="image154.jpeg" descr=""/>
            <wp:cNvGraphicFramePr>
              <a:graphicFrameLocks noChangeAspect="1"/>
            </wp:cNvGraphicFramePr>
            <a:graphic>
              <a:graphicData uri="http://schemas.openxmlformats.org/drawingml/2006/picture">
                <pic:pic>
                  <pic:nvPicPr>
                    <pic:cNvPr id="36" name="image154.jpeg"/>
                    <pic:cNvPicPr/>
                  </pic:nvPicPr>
                  <pic:blipFill>
                    <a:blip r:embed="rId170" cstate="print"/>
                    <a:stretch>
                      <a:fillRect/>
                    </a:stretch>
                  </pic:blipFill>
                  <pic:spPr>
                    <a:xfrm>
                      <a:off x="0" y="0"/>
                      <a:ext cx="2735273" cy="1769364"/>
                    </a:xfrm>
                    <a:prstGeom prst="rect">
                      <a:avLst/>
                    </a:prstGeom>
                  </pic:spPr>
                </pic:pic>
              </a:graphicData>
            </a:graphic>
          </wp:inline>
        </w:drawing>
      </w:r>
      <w:r>
        <w:rPr>
          <w:sz w:val="20"/>
        </w:rPr>
      </w:r>
    </w:p>
    <w:p>
      <w:pPr>
        <w:spacing w:before="18"/>
        <w:ind w:left="280" w:right="280" w:firstLine="0"/>
        <w:jc w:val="center"/>
        <w:rPr>
          <w:sz w:val="20"/>
        </w:rPr>
      </w:pPr>
      <w:r>
        <w:rPr>
          <w:sz w:val="20"/>
        </w:rPr>
        <w:t>Fuente: Elaboración propia con base en datos del INE (2013)</w:t>
      </w:r>
    </w:p>
    <w:p>
      <w:pPr>
        <w:pStyle w:val="BodyText"/>
        <w:rPr>
          <w:sz w:val="20"/>
        </w:rPr>
      </w:pPr>
    </w:p>
    <w:p>
      <w:pPr>
        <w:pStyle w:val="BodyText"/>
        <w:rPr>
          <w:sz w:val="20"/>
        </w:rPr>
      </w:pPr>
    </w:p>
    <w:p>
      <w:pPr>
        <w:pStyle w:val="BodyText"/>
        <w:rPr>
          <w:sz w:val="20"/>
        </w:rPr>
      </w:pPr>
    </w:p>
    <w:p>
      <w:pPr>
        <w:pStyle w:val="BodyText"/>
        <w:spacing w:line="360" w:lineRule="auto"/>
        <w:ind w:left="102" w:right="100" w:firstLine="707"/>
        <w:jc w:val="both"/>
      </w:pPr>
      <w:r>
        <w:rPr/>
        <w:t>Una vez que se ha identificado el componente de la inversión pública, se procede a plantear un escenario con datos reales para el 2003 – 2011, bajo el supuesto que los  ingresos del gas natural son ahorrados y constituidos, de forma total, en un fondo </w:t>
      </w:r>
      <w:r>
        <w:rPr>
          <w:spacing w:val="40"/>
        </w:rPr>
        <w:t> </w:t>
      </w:r>
      <w:r>
        <w:rPr/>
        <w:t>soberano</w:t>
      </w:r>
    </w:p>
    <w:p>
      <w:pPr>
        <w:spacing w:after="0" w:line="360" w:lineRule="auto"/>
        <w:jc w:val="both"/>
        <w:sectPr>
          <w:pgSz w:w="12250" w:h="15850"/>
          <w:pgMar w:header="0" w:footer="1037" w:top="1360" w:bottom="1220" w:left="1600" w:right="1600"/>
        </w:sectPr>
      </w:pPr>
    </w:p>
    <w:p>
      <w:pPr>
        <w:pStyle w:val="BodyText"/>
        <w:spacing w:line="360" w:lineRule="auto" w:before="55"/>
        <w:ind w:left="122" w:right="119"/>
        <w:jc w:val="both"/>
      </w:pPr>
      <w:r>
        <w:rPr/>
        <w:t>en el año 2003</w:t>
      </w:r>
      <w:r>
        <w:rPr>
          <w:position w:val="11"/>
          <w:sz w:val="16"/>
        </w:rPr>
        <w:t>53</w:t>
      </w:r>
      <w:r>
        <w:rPr/>
        <w:t>. Este ejercicio permite hacer una comparación entre la postura neoclásica  y el régimen actual de inversión pública realizado en</w:t>
      </w:r>
      <w:r>
        <w:rPr>
          <w:spacing w:val="-11"/>
        </w:rPr>
        <w:t> </w:t>
      </w:r>
      <w:r>
        <w:rPr/>
        <w:t>Bolivia.</w:t>
      </w:r>
    </w:p>
    <w:p>
      <w:pPr>
        <w:pStyle w:val="BodyText"/>
        <w:spacing w:line="282" w:lineRule="exact"/>
        <w:ind w:left="122" w:firstLine="707"/>
        <w:jc w:val="both"/>
      </w:pPr>
      <w:r>
        <w:rPr/>
        <w:t>Para ello, se consideró  una tasa de retorno PRIME (tasa de interés </w:t>
      </w:r>
      <w:r>
        <w:rPr>
          <w:spacing w:val="56"/>
        </w:rPr>
        <w:t> </w:t>
      </w:r>
      <w:r>
        <w:rPr/>
        <w:t>internacional)</w:t>
      </w:r>
      <w:r>
        <w:rPr>
          <w:position w:val="11"/>
          <w:sz w:val="16"/>
        </w:rPr>
        <w:t>54</w:t>
      </w:r>
      <w:r>
        <w:rPr/>
        <w:t>.</w:t>
      </w:r>
    </w:p>
    <w:p>
      <w:pPr>
        <w:pStyle w:val="BodyText"/>
        <w:spacing w:line="360" w:lineRule="auto" w:before="137"/>
        <w:ind w:left="122" w:right="120"/>
        <w:jc w:val="both"/>
      </w:pPr>
      <w:r>
        <w:rPr/>
        <w:t>Con lo cual, la rentabilidad del fondo soberano se destina al gasto de consumo del gobierno y a la inversión pública, cuyos elementos influyen directamente sobre el PIB. No se asumen efectos indirectos ni multiplicadores sobre el PIB,  solamente efectos contables:</w:t>
      </w:r>
    </w:p>
    <w:p>
      <w:pPr>
        <w:pStyle w:val="BodyText"/>
      </w:pPr>
    </w:p>
    <w:p>
      <w:pPr>
        <w:spacing w:before="145"/>
        <w:ind w:left="122" w:right="0" w:firstLine="0"/>
        <w:jc w:val="both"/>
        <w:rPr>
          <w:sz w:val="24"/>
        </w:rPr>
      </w:pPr>
      <w:r>
        <w:rPr>
          <w:rFonts w:ascii="Cambria Math"/>
          <w:w w:val="250"/>
          <w:sz w:val="24"/>
        </w:rPr>
        <w:t>   </w:t>
      </w:r>
      <w:r>
        <w:rPr>
          <w:rFonts w:ascii="Cambria Math"/>
          <w:sz w:val="24"/>
        </w:rPr>
        <w:t> </w:t>
      </w:r>
      <w:r>
        <w:rPr>
          <w:rFonts w:ascii="Cambria Math"/>
          <w:w w:val="216"/>
          <w:sz w:val="24"/>
        </w:rPr>
        <w:t> </w:t>
      </w:r>
      <w:r>
        <w:rPr>
          <w:rFonts w:ascii="Cambria Math"/>
          <w:w w:val="225"/>
          <w:sz w:val="24"/>
        </w:rPr>
        <w:t> </w:t>
      </w:r>
      <w:r>
        <w:rPr>
          <w:rFonts w:ascii="Cambria Math"/>
          <w:w w:val="252"/>
          <w:sz w:val="24"/>
        </w:rPr>
        <w:t> </w:t>
      </w:r>
      <w:r>
        <w:rPr>
          <w:rFonts w:ascii="Cambria Math"/>
          <w:w w:val="143"/>
          <w:sz w:val="24"/>
        </w:rPr>
        <w:t> </w:t>
      </w:r>
      <w:r>
        <w:rPr>
          <w:rFonts w:ascii="Cambria Math"/>
          <w:w w:val="200"/>
          <w:position w:val="-4"/>
          <w:sz w:val="17"/>
        </w:rPr>
        <w:t> </w:t>
      </w:r>
      <w:r>
        <w:rPr>
          <w:rFonts w:ascii="Cambria Math"/>
          <w:position w:val="-4"/>
          <w:sz w:val="17"/>
        </w:rPr>
        <w:t>  </w:t>
      </w:r>
      <w:r>
        <w:rPr>
          <w:rFonts w:ascii="Cambria Math"/>
          <w:w w:val="339"/>
          <w:sz w:val="24"/>
        </w:rPr>
        <w:t> </w:t>
      </w:r>
      <w:r>
        <w:rPr>
          <w:rFonts w:ascii="Cambria Math"/>
          <w:sz w:val="24"/>
        </w:rPr>
        <w:t>  </w:t>
      </w:r>
      <w:r>
        <w:rPr>
          <w:rFonts w:ascii="Cambria Math"/>
          <w:w w:val="257"/>
          <w:sz w:val="24"/>
        </w:rPr>
        <w:t>   </w:t>
      </w:r>
      <w:r>
        <w:rPr>
          <w:rFonts w:ascii="Cambria Math"/>
          <w:w w:val="209"/>
          <w:sz w:val="24"/>
        </w:rPr>
        <w:t> </w:t>
      </w:r>
      <w:r>
        <w:rPr>
          <w:rFonts w:ascii="Cambria Math"/>
          <w:w w:val="93"/>
          <w:sz w:val="24"/>
        </w:rPr>
        <w:t> </w:t>
      </w:r>
      <w:r>
        <w:rPr>
          <w:rFonts w:ascii="Cambria Math"/>
          <w:sz w:val="24"/>
        </w:rPr>
        <w:t> </w:t>
      </w:r>
      <w:r>
        <w:rPr>
          <w:rFonts w:ascii="Cambria Math"/>
          <w:w w:val="234"/>
          <w:sz w:val="24"/>
        </w:rPr>
        <w:t>  </w:t>
      </w:r>
      <w:r>
        <w:rPr>
          <w:rFonts w:ascii="Cambria Math"/>
          <w:w w:val="195"/>
          <w:sz w:val="24"/>
        </w:rPr>
        <w:t>  </w:t>
      </w:r>
      <w:r>
        <w:rPr>
          <w:rFonts w:ascii="Cambria Math"/>
          <w:w w:val="200"/>
          <w:position w:val="-4"/>
          <w:sz w:val="17"/>
        </w:rPr>
        <w:t> </w:t>
      </w:r>
      <w:r>
        <w:rPr>
          <w:rFonts w:ascii="Cambria Math"/>
          <w:position w:val="-4"/>
          <w:sz w:val="17"/>
        </w:rPr>
        <w:t>  </w:t>
      </w:r>
      <w:r>
        <w:rPr>
          <w:rFonts w:ascii="Cambria Math"/>
          <w:w w:val="339"/>
          <w:sz w:val="24"/>
        </w:rPr>
        <w:t> </w:t>
      </w:r>
      <w:r>
        <w:rPr>
          <w:rFonts w:ascii="Cambria Math"/>
          <w:sz w:val="24"/>
        </w:rPr>
        <w:t> </w:t>
      </w:r>
      <w:r>
        <w:rPr>
          <w:rFonts w:ascii="Cambria Math"/>
          <w:w w:val="278"/>
          <w:sz w:val="24"/>
        </w:rPr>
        <w:t>  </w:t>
      </w:r>
      <w:r>
        <w:rPr>
          <w:rFonts w:ascii="Cambria Math"/>
          <w:w w:val="243"/>
          <w:sz w:val="24"/>
        </w:rPr>
        <w:t>  </w:t>
      </w:r>
      <w:r>
        <w:rPr>
          <w:rFonts w:ascii="Cambria Math"/>
          <w:w w:val="200"/>
          <w:position w:val="-4"/>
          <w:sz w:val="17"/>
        </w:rPr>
        <w:t> </w:t>
      </w:r>
      <w:r>
        <w:rPr>
          <w:rFonts w:ascii="Cambria Math"/>
          <w:position w:val="-4"/>
          <w:sz w:val="17"/>
        </w:rPr>
        <w:t>  </w:t>
      </w:r>
      <w:r>
        <w:rPr>
          <w:rFonts w:ascii="Cambria Math"/>
          <w:w w:val="339"/>
          <w:sz w:val="24"/>
        </w:rPr>
        <w:t> </w:t>
      </w:r>
      <w:r>
        <w:rPr>
          <w:rFonts w:ascii="Cambria Math"/>
          <w:sz w:val="24"/>
        </w:rPr>
        <w:t> </w:t>
      </w:r>
      <w:r>
        <w:rPr>
          <w:rFonts w:ascii="Cambria Math"/>
          <w:w w:val="216"/>
          <w:sz w:val="24"/>
        </w:rPr>
        <w:t>  </w:t>
      </w:r>
      <w:r>
        <w:rPr>
          <w:rFonts w:ascii="Cambria Math"/>
          <w:w w:val="247"/>
          <w:sz w:val="24"/>
        </w:rPr>
        <w:t> </w:t>
      </w:r>
      <w:r>
        <w:rPr>
          <w:rFonts w:ascii="Cambria Math"/>
          <w:w w:val="93"/>
          <w:sz w:val="24"/>
        </w:rPr>
        <w:t> </w:t>
      </w:r>
      <w:r>
        <w:rPr>
          <w:rFonts w:ascii="Cambria Math"/>
          <w:sz w:val="24"/>
        </w:rPr>
        <w:t> </w:t>
      </w:r>
      <w:r>
        <w:rPr>
          <w:rFonts w:ascii="Cambria Math"/>
          <w:w w:val="248"/>
          <w:sz w:val="24"/>
        </w:rPr>
        <w:t>  </w:t>
      </w:r>
      <w:r>
        <w:rPr>
          <w:rFonts w:ascii="Cambria Math"/>
          <w:w w:val="232"/>
          <w:sz w:val="24"/>
        </w:rPr>
        <w:t>     </w:t>
      </w:r>
      <w:r>
        <w:rPr>
          <w:rFonts w:ascii="Cambria Math"/>
          <w:w w:val="200"/>
          <w:position w:val="-4"/>
          <w:sz w:val="17"/>
        </w:rPr>
        <w:t> </w:t>
      </w:r>
      <w:r>
        <w:rPr>
          <w:rFonts w:ascii="Cambria Math"/>
          <w:position w:val="-4"/>
          <w:sz w:val="17"/>
        </w:rPr>
        <w:t>  </w:t>
      </w:r>
      <w:r>
        <w:rPr>
          <w:rFonts w:ascii="Cambria Math"/>
          <w:w w:val="339"/>
          <w:sz w:val="24"/>
        </w:rPr>
        <w:t> </w:t>
      </w:r>
      <w:r>
        <w:rPr>
          <w:rFonts w:ascii="Cambria Math"/>
          <w:sz w:val="24"/>
        </w:rPr>
        <w:t> </w:t>
      </w:r>
      <w:r>
        <w:rPr>
          <w:rFonts w:ascii="Cambria Math"/>
          <w:w w:val="216"/>
          <w:sz w:val="24"/>
        </w:rPr>
        <w:t>  </w:t>
      </w:r>
      <w:r>
        <w:rPr>
          <w:rFonts w:ascii="Cambria Math"/>
          <w:w w:val="247"/>
          <w:sz w:val="24"/>
        </w:rPr>
        <w:t> </w:t>
      </w:r>
      <w:r>
        <w:rPr>
          <w:rFonts w:ascii="Cambria Math"/>
          <w:w w:val="93"/>
          <w:sz w:val="24"/>
        </w:rPr>
        <w:t> </w:t>
      </w:r>
      <w:r>
        <w:rPr>
          <w:rFonts w:ascii="Cambria Math"/>
          <w:sz w:val="24"/>
        </w:rPr>
        <w:t> </w:t>
      </w:r>
      <w:r>
        <w:rPr>
          <w:rFonts w:ascii="Cambria Math"/>
          <w:w w:val="281"/>
          <w:sz w:val="24"/>
        </w:rPr>
        <w:t> </w:t>
      </w:r>
      <w:r>
        <w:rPr>
          <w:i/>
          <w:w w:val="200"/>
          <w:sz w:val="24"/>
        </w:rPr>
        <w:t> </w:t>
      </w:r>
      <w:r>
        <w:rPr>
          <w:rFonts w:ascii="Cambria Math"/>
          <w:w w:val="194"/>
          <w:sz w:val="24"/>
        </w:rPr>
        <w:t>  </w:t>
      </w:r>
      <w:r>
        <w:rPr>
          <w:rFonts w:ascii="Cambria Math"/>
          <w:w w:val="93"/>
          <w:sz w:val="24"/>
        </w:rPr>
        <w:t> </w:t>
      </w:r>
      <w:r>
        <w:rPr>
          <w:rFonts w:ascii="Cambria Math"/>
          <w:w w:val="200"/>
          <w:position w:val="-4"/>
          <w:sz w:val="17"/>
        </w:rPr>
        <w:t> </w:t>
      </w:r>
      <w:r>
        <w:rPr>
          <w:rFonts w:ascii="Cambria Math"/>
          <w:w w:val="339"/>
          <w:sz w:val="24"/>
        </w:rPr>
        <w:t> </w:t>
      </w:r>
      <w:r>
        <w:rPr>
          <w:rFonts w:ascii="Cambria Math"/>
          <w:sz w:val="24"/>
        </w:rPr>
        <w:t>  </w:t>
      </w:r>
      <w:r>
        <w:rPr>
          <w:rFonts w:ascii="Cambria Math"/>
          <w:w w:val="283"/>
          <w:sz w:val="24"/>
        </w:rPr>
        <w:t> </w:t>
      </w:r>
      <w:r>
        <w:rPr>
          <w:rFonts w:ascii="Cambria Math"/>
          <w:w w:val="247"/>
          <w:sz w:val="24"/>
        </w:rPr>
        <w:t>  </w:t>
      </w:r>
      <w:r>
        <w:rPr>
          <w:rFonts w:ascii="Cambria Math"/>
          <w:w w:val="93"/>
          <w:sz w:val="24"/>
        </w:rPr>
        <w:t> </w:t>
      </w:r>
      <w:r>
        <w:rPr>
          <w:rFonts w:ascii="Cambria Math"/>
          <w:sz w:val="24"/>
        </w:rPr>
        <w:t> </w:t>
      </w:r>
      <w:r>
        <w:rPr>
          <w:rFonts w:ascii="Cambria Math"/>
          <w:w w:val="239"/>
          <w:sz w:val="24"/>
        </w:rPr>
        <w:t>     </w:t>
      </w:r>
      <w:r>
        <w:rPr>
          <w:rFonts w:ascii="Cambria Math"/>
          <w:sz w:val="24"/>
        </w:rPr>
        <w:t> </w:t>
      </w:r>
      <w:r>
        <w:rPr>
          <w:rFonts w:ascii="Cambria Math"/>
          <w:w w:val="200"/>
          <w:position w:val="-4"/>
          <w:sz w:val="17"/>
        </w:rPr>
        <w:t> </w:t>
      </w:r>
      <w:r>
        <w:rPr>
          <w:rFonts w:ascii="Cambria Math"/>
          <w:position w:val="-4"/>
          <w:sz w:val="17"/>
        </w:rPr>
        <w:t>    </w:t>
      </w:r>
      <w:r>
        <w:rPr>
          <w:sz w:val="24"/>
        </w:rPr>
        <w:t>(2.5)</w:t>
      </w:r>
    </w:p>
    <w:p>
      <w:pPr>
        <w:pStyle w:val="BodyText"/>
        <w:rPr>
          <w:sz w:val="26"/>
        </w:rPr>
      </w:pPr>
    </w:p>
    <w:p>
      <w:pPr>
        <w:pStyle w:val="BodyText"/>
        <w:spacing w:before="7"/>
        <w:rPr>
          <w:sz w:val="22"/>
        </w:rPr>
      </w:pPr>
    </w:p>
    <w:p>
      <w:pPr>
        <w:pStyle w:val="BodyText"/>
        <w:spacing w:line="360" w:lineRule="auto" w:before="1"/>
        <w:ind w:left="122" w:right="119" w:firstLine="707"/>
        <w:jc w:val="both"/>
      </w:pPr>
      <w:r>
        <w:rPr/>
        <w:t>El ahorro de los ingresos fiscales del gas natural afecta directamente al PIB real mediante  las  variaciones  del  consumo  del  gobierno                y  de  la  inversión  pública</w:t>
      </w:r>
    </w:p>
    <w:p>
      <w:pPr>
        <w:pStyle w:val="BodyText"/>
        <w:spacing w:before="13"/>
        <w:ind w:left="122"/>
        <w:jc w:val="both"/>
      </w:pPr>
      <w:r>
        <w:rPr>
          <w:rFonts w:ascii="Cambria Math"/>
          <w:w w:val="188"/>
        </w:rPr>
        <w:t> </w:t>
      </w:r>
      <w:r>
        <w:rPr>
          <w:rFonts w:ascii="Cambria Math"/>
          <w:w w:val="270"/>
        </w:rPr>
        <w:t> </w:t>
      </w:r>
      <w:r>
        <w:rPr>
          <w:rFonts w:ascii="Cambria Math"/>
          <w:w w:val="216"/>
        </w:rPr>
        <w:t>  </w:t>
      </w:r>
      <w:r>
        <w:rPr>
          <w:rFonts w:ascii="Cambria Math"/>
          <w:w w:val="247"/>
        </w:rPr>
        <w:t> </w:t>
      </w:r>
      <w:r>
        <w:rPr>
          <w:rFonts w:ascii="Cambria Math"/>
          <w:w w:val="93"/>
        </w:rPr>
        <w:t> </w:t>
      </w:r>
      <w:r>
        <w:rPr>
          <w:rFonts w:ascii="Cambria Math"/>
        </w:rPr>
        <w:t> </w:t>
      </w:r>
      <w:r>
        <w:rPr>
          <w:rFonts w:ascii="Cambria Math"/>
          <w:w w:val="281"/>
        </w:rPr>
        <w:t> </w:t>
      </w:r>
      <w:r>
        <w:rPr>
          <w:i/>
          <w:w w:val="200"/>
        </w:rPr>
        <w:t> </w:t>
      </w:r>
      <w:r>
        <w:rPr>
          <w:rFonts w:ascii="Cambria Math"/>
          <w:w w:val="194"/>
        </w:rPr>
        <w:t>  </w:t>
      </w:r>
      <w:r>
        <w:rPr>
          <w:rFonts w:ascii="Cambria Math"/>
          <w:w w:val="93"/>
        </w:rPr>
        <w:t> </w:t>
      </w:r>
      <w:r>
        <w:rPr>
          <w:rFonts w:ascii="Cambria Math"/>
          <w:w w:val="200"/>
          <w:position w:val="-4"/>
          <w:sz w:val="17"/>
        </w:rPr>
        <w:t> </w:t>
      </w:r>
      <w:r>
        <w:rPr>
          <w:rFonts w:ascii="Cambria Math"/>
          <w:position w:val="-4"/>
          <w:sz w:val="17"/>
        </w:rPr>
        <w:t> </w:t>
      </w:r>
      <w:r>
        <w:rPr>
          <w:rFonts w:ascii="Cambria Math"/>
          <w:w w:val="188"/>
        </w:rPr>
        <w:t> </w:t>
      </w:r>
      <w:r>
        <w:rPr/>
        <w:t>, cuyos elementos influyen directamente sobre el PIB real:</w:t>
      </w:r>
    </w:p>
    <w:p>
      <w:pPr>
        <w:pStyle w:val="BodyText"/>
        <w:rPr>
          <w:sz w:val="26"/>
        </w:rPr>
      </w:pPr>
    </w:p>
    <w:p>
      <w:pPr>
        <w:pStyle w:val="BodyText"/>
        <w:spacing w:before="7"/>
        <w:rPr>
          <w:sz w:val="22"/>
        </w:rPr>
      </w:pPr>
    </w:p>
    <w:p>
      <w:pPr>
        <w:pStyle w:val="BodyText"/>
        <w:tabs>
          <w:tab w:pos="2745" w:val="left" w:leader="none"/>
        </w:tabs>
        <w:ind w:right="1"/>
        <w:jc w:val="center"/>
      </w:pPr>
      <w:r>
        <w:rPr>
          <w:rFonts w:ascii="Cambria Math"/>
          <w:w w:val="270"/>
        </w:rPr>
        <w:t> </w:t>
      </w:r>
      <w:r>
        <w:rPr>
          <w:rFonts w:ascii="Cambria Math"/>
          <w:w w:val="250"/>
        </w:rPr>
        <w:t>   </w:t>
      </w:r>
      <w:r>
        <w:rPr>
          <w:rFonts w:ascii="Cambria Math"/>
          <w:spacing w:val="5"/>
        </w:rPr>
        <w:t> </w:t>
      </w:r>
      <w:r>
        <w:rPr>
          <w:rFonts w:ascii="Cambria Math"/>
          <w:w w:val="216"/>
        </w:rPr>
        <w:t> </w:t>
      </w:r>
      <w:r>
        <w:rPr>
          <w:rFonts w:ascii="Cambria Math"/>
          <w:w w:val="225"/>
        </w:rPr>
        <w:t> </w:t>
      </w:r>
      <w:r>
        <w:rPr>
          <w:rFonts w:ascii="Cambria Math"/>
          <w:w w:val="252"/>
        </w:rPr>
        <w:t> </w:t>
      </w:r>
      <w:r>
        <w:rPr>
          <w:rFonts w:ascii="Cambria Math"/>
          <w:spacing w:val="-1"/>
          <w:w w:val="143"/>
        </w:rPr>
        <w:t> </w:t>
      </w:r>
      <w:r>
        <w:rPr>
          <w:rFonts w:ascii="Cambria Math"/>
          <w:w w:val="200"/>
          <w:position w:val="-4"/>
          <w:sz w:val="17"/>
        </w:rPr>
        <w:t> </w:t>
      </w:r>
      <w:r>
        <w:rPr>
          <w:rFonts w:ascii="Cambria Math"/>
          <w:position w:val="-4"/>
          <w:sz w:val="17"/>
        </w:rPr>
        <w:t> </w:t>
      </w:r>
      <w:r>
        <w:rPr>
          <w:rFonts w:ascii="Cambria Math"/>
          <w:spacing w:val="3"/>
          <w:position w:val="-4"/>
          <w:sz w:val="17"/>
        </w:rPr>
        <w:t> </w:t>
      </w:r>
      <w:r>
        <w:rPr>
          <w:rFonts w:ascii="Cambria Math"/>
          <w:w w:val="339"/>
        </w:rPr>
        <w:t> </w:t>
      </w:r>
      <w:r>
        <w:rPr>
          <w:rFonts w:ascii="Cambria Math"/>
        </w:rPr>
        <w:t>  </w:t>
      </w:r>
      <w:r>
        <w:rPr>
          <w:rFonts w:ascii="Cambria Math"/>
          <w:spacing w:val="14"/>
        </w:rPr>
        <w:t> </w:t>
      </w:r>
      <w:r>
        <w:rPr>
          <w:rFonts w:ascii="Cambria Math"/>
          <w:w w:val="270"/>
        </w:rPr>
        <w:t> </w:t>
      </w:r>
      <w:r>
        <w:rPr>
          <w:rFonts w:ascii="Cambria Math"/>
          <w:w w:val="278"/>
        </w:rPr>
        <w:t>  </w:t>
      </w:r>
      <w:r>
        <w:rPr>
          <w:rFonts w:ascii="Cambria Math"/>
          <w:w w:val="243"/>
        </w:rPr>
        <w:t> </w:t>
      </w:r>
      <w:r>
        <w:rPr>
          <w:rFonts w:ascii="Cambria Math"/>
          <w:spacing w:val="-8"/>
          <w:w w:val="243"/>
        </w:rPr>
        <w:t> </w:t>
      </w:r>
      <w:r>
        <w:rPr>
          <w:rFonts w:ascii="Cambria Math"/>
          <w:w w:val="200"/>
          <w:position w:val="-4"/>
          <w:sz w:val="17"/>
        </w:rPr>
        <w:t> </w:t>
      </w:r>
      <w:r>
        <w:rPr>
          <w:rFonts w:ascii="Cambria Math"/>
          <w:position w:val="-4"/>
          <w:sz w:val="17"/>
        </w:rPr>
        <w:tab/>
      </w:r>
      <w:r>
        <w:rPr/>
        <w:t>(2.6)</w:t>
      </w:r>
    </w:p>
    <w:p>
      <w:pPr>
        <w:pStyle w:val="BodyText"/>
        <w:tabs>
          <w:tab w:pos="3070" w:val="left" w:leader="none"/>
        </w:tabs>
        <w:spacing w:before="146"/>
        <w:jc w:val="center"/>
      </w:pPr>
      <w:r>
        <w:rPr>
          <w:rFonts w:ascii="Cambria Math"/>
          <w:w w:val="270"/>
        </w:rPr>
        <w:t> </w:t>
      </w:r>
      <w:r>
        <w:rPr>
          <w:rFonts w:ascii="Cambria Math"/>
          <w:w w:val="250"/>
        </w:rPr>
        <w:t>   </w:t>
      </w:r>
      <w:r>
        <w:rPr>
          <w:rFonts w:ascii="Cambria Math"/>
          <w:spacing w:val="5"/>
        </w:rPr>
        <w:t> </w:t>
      </w:r>
      <w:r>
        <w:rPr>
          <w:rFonts w:ascii="Cambria Math"/>
          <w:w w:val="216"/>
        </w:rPr>
        <w:t> </w:t>
      </w:r>
      <w:r>
        <w:rPr>
          <w:rFonts w:ascii="Cambria Math"/>
          <w:w w:val="225"/>
        </w:rPr>
        <w:t> </w:t>
      </w:r>
      <w:r>
        <w:rPr>
          <w:rFonts w:ascii="Cambria Math"/>
          <w:w w:val="252"/>
        </w:rPr>
        <w:t> </w:t>
      </w:r>
      <w:r>
        <w:rPr>
          <w:rFonts w:ascii="Cambria Math"/>
          <w:spacing w:val="-1"/>
          <w:w w:val="143"/>
        </w:rPr>
        <w:t> </w:t>
      </w:r>
      <w:r>
        <w:rPr>
          <w:rFonts w:ascii="Cambria Math"/>
          <w:w w:val="200"/>
          <w:position w:val="-4"/>
          <w:sz w:val="17"/>
        </w:rPr>
        <w:t> </w:t>
      </w:r>
      <w:r>
        <w:rPr>
          <w:rFonts w:ascii="Cambria Math"/>
          <w:position w:val="-4"/>
          <w:sz w:val="17"/>
        </w:rPr>
        <w:t> </w:t>
      </w:r>
      <w:r>
        <w:rPr>
          <w:rFonts w:ascii="Cambria Math"/>
          <w:spacing w:val="3"/>
          <w:position w:val="-4"/>
          <w:sz w:val="17"/>
        </w:rPr>
        <w:t> </w:t>
      </w:r>
      <w:r>
        <w:rPr>
          <w:rFonts w:ascii="Cambria Math"/>
          <w:w w:val="339"/>
        </w:rPr>
        <w:t> </w:t>
      </w:r>
      <w:r>
        <w:rPr>
          <w:rFonts w:ascii="Cambria Math"/>
        </w:rPr>
        <w:t>  </w:t>
      </w:r>
      <w:r>
        <w:rPr>
          <w:rFonts w:ascii="Cambria Math"/>
          <w:spacing w:val="14"/>
        </w:rPr>
        <w:t> </w:t>
      </w:r>
      <w:r>
        <w:rPr>
          <w:rFonts w:ascii="Cambria Math"/>
          <w:w w:val="270"/>
        </w:rPr>
        <w:t> </w:t>
      </w:r>
      <w:r>
        <w:rPr>
          <w:rFonts w:ascii="Cambria Math"/>
          <w:w w:val="216"/>
        </w:rPr>
        <w:t> </w:t>
      </w:r>
      <w:r>
        <w:rPr>
          <w:rFonts w:ascii="Cambria Math"/>
          <w:spacing w:val="-1"/>
          <w:w w:val="216"/>
        </w:rPr>
        <w:t> </w:t>
      </w:r>
      <w:r>
        <w:rPr>
          <w:rFonts w:ascii="Cambria Math"/>
          <w:spacing w:val="6"/>
          <w:w w:val="247"/>
        </w:rPr>
        <w:t> </w:t>
      </w:r>
      <w:r>
        <w:rPr>
          <w:rFonts w:ascii="Cambria Math"/>
          <w:w w:val="93"/>
        </w:rPr>
        <w:t> </w:t>
      </w:r>
      <w:r>
        <w:rPr>
          <w:rFonts w:ascii="Cambria Math"/>
          <w:spacing w:val="-14"/>
        </w:rPr>
        <w:t> </w:t>
      </w:r>
      <w:r>
        <w:rPr>
          <w:rFonts w:ascii="Cambria Math"/>
          <w:w w:val="281"/>
        </w:rPr>
        <w:t> </w:t>
      </w:r>
      <w:r>
        <w:rPr>
          <w:i/>
          <w:w w:val="200"/>
        </w:rPr>
        <w:t> </w:t>
      </w:r>
      <w:r>
        <w:rPr>
          <w:rFonts w:ascii="Cambria Math"/>
          <w:w w:val="194"/>
        </w:rPr>
        <w:t> </w:t>
      </w:r>
      <w:r>
        <w:rPr>
          <w:rFonts w:ascii="Cambria Math"/>
          <w:spacing w:val="8"/>
          <w:w w:val="194"/>
        </w:rPr>
        <w:t> </w:t>
      </w:r>
      <w:r>
        <w:rPr>
          <w:rFonts w:ascii="Cambria Math"/>
          <w:spacing w:val="1"/>
          <w:w w:val="93"/>
        </w:rPr>
        <w:t> </w:t>
      </w:r>
      <w:r>
        <w:rPr>
          <w:rFonts w:ascii="Cambria Math"/>
          <w:w w:val="200"/>
          <w:position w:val="-4"/>
          <w:sz w:val="17"/>
        </w:rPr>
        <w:t> </w:t>
      </w:r>
      <w:r>
        <w:rPr>
          <w:rFonts w:ascii="Cambria Math"/>
          <w:position w:val="-4"/>
          <w:sz w:val="17"/>
        </w:rPr>
        <w:tab/>
      </w:r>
      <w:r>
        <w:rPr/>
        <w:t>(2.7)</w:t>
      </w:r>
    </w:p>
    <w:p>
      <w:pPr>
        <w:pStyle w:val="BodyText"/>
        <w:rPr>
          <w:sz w:val="26"/>
        </w:rPr>
      </w:pPr>
    </w:p>
    <w:p>
      <w:pPr>
        <w:pStyle w:val="BodyText"/>
        <w:spacing w:before="5"/>
        <w:rPr>
          <w:sz w:val="22"/>
        </w:rPr>
      </w:pPr>
    </w:p>
    <w:p>
      <w:pPr>
        <w:pStyle w:val="BodyText"/>
        <w:spacing w:line="360" w:lineRule="auto"/>
        <w:ind w:left="122" w:right="115" w:firstLine="120"/>
      </w:pPr>
      <w:r>
        <w:rPr/>
        <w:t>Otros efectos multiplicadores y dinámicos (no considerados) se pueden apreciar mediante el consumo privado y la inversión privada (modelo acelerador de inversiones):</w:t>
      </w:r>
    </w:p>
    <w:p>
      <w:pPr>
        <w:pStyle w:val="BodyText"/>
      </w:pPr>
    </w:p>
    <w:p>
      <w:pPr>
        <w:pStyle w:val="BodyText"/>
        <w:tabs>
          <w:tab w:pos="3694" w:val="left" w:leader="none"/>
        </w:tabs>
        <w:spacing w:before="145"/>
        <w:jc w:val="center"/>
      </w:pPr>
      <w:r>
        <w:rPr>
          <w:rFonts w:ascii="Cambria Math"/>
          <w:w w:val="257"/>
        </w:rPr>
        <w:t>  </w:t>
      </w:r>
      <w:r>
        <w:rPr>
          <w:rFonts w:ascii="Cambria Math"/>
          <w:spacing w:val="-1"/>
          <w:w w:val="257"/>
        </w:rPr>
        <w:t> </w:t>
      </w:r>
      <w:r>
        <w:rPr>
          <w:rFonts w:ascii="Cambria Math"/>
          <w:spacing w:val="7"/>
          <w:w w:val="209"/>
        </w:rPr>
        <w:t> </w:t>
      </w:r>
      <w:r>
        <w:rPr>
          <w:rFonts w:ascii="Cambria Math"/>
          <w:w w:val="93"/>
        </w:rPr>
        <w:t> </w:t>
      </w:r>
      <w:r>
        <w:rPr>
          <w:rFonts w:ascii="Cambria Math"/>
          <w:spacing w:val="-14"/>
        </w:rPr>
        <w:t> </w:t>
      </w:r>
      <w:r>
        <w:rPr>
          <w:rFonts w:ascii="Cambria Math"/>
          <w:w w:val="234"/>
        </w:rPr>
        <w:t> </w:t>
      </w:r>
      <w:r>
        <w:rPr>
          <w:rFonts w:ascii="Cambria Math"/>
          <w:spacing w:val="1"/>
          <w:w w:val="234"/>
        </w:rPr>
        <w:t> </w:t>
      </w:r>
      <w:r>
        <w:rPr>
          <w:rFonts w:ascii="Cambria Math"/>
          <w:w w:val="195"/>
        </w:rPr>
        <w:t> </w:t>
      </w:r>
      <w:r>
        <w:rPr>
          <w:rFonts w:ascii="Cambria Math"/>
          <w:spacing w:val="4"/>
          <w:w w:val="195"/>
        </w:rPr>
        <w:t> </w:t>
      </w:r>
      <w:r>
        <w:rPr>
          <w:rFonts w:ascii="Cambria Math"/>
          <w:spacing w:val="1"/>
          <w:w w:val="93"/>
        </w:rPr>
        <w:t> </w:t>
      </w:r>
      <w:r>
        <w:rPr>
          <w:rFonts w:ascii="Cambria Math"/>
          <w:w w:val="200"/>
          <w:position w:val="-4"/>
          <w:sz w:val="17"/>
        </w:rPr>
        <w:t> </w:t>
      </w:r>
      <w:r>
        <w:rPr>
          <w:rFonts w:ascii="Cambria Math"/>
          <w:spacing w:val="14"/>
          <w:position w:val="-4"/>
          <w:sz w:val="17"/>
        </w:rPr>
        <w:t> </w:t>
      </w:r>
      <w:r>
        <w:rPr>
          <w:rFonts w:ascii="Cambria Math"/>
          <w:w w:val="339"/>
        </w:rPr>
        <w:t> </w:t>
      </w:r>
      <w:r>
        <w:rPr>
          <w:rFonts w:ascii="Cambria Math"/>
        </w:rPr>
        <w:t>  </w:t>
      </w:r>
      <w:r>
        <w:rPr>
          <w:rFonts w:ascii="Cambria Math"/>
          <w:spacing w:val="14"/>
        </w:rPr>
        <w:t> </w:t>
      </w:r>
      <w:r>
        <w:rPr>
          <w:rFonts w:ascii="Cambria Math"/>
          <w:spacing w:val="7"/>
          <w:w w:val="249"/>
        </w:rPr>
        <w:t> </w:t>
      </w:r>
      <w:r>
        <w:rPr>
          <w:rFonts w:ascii="Cambria Math"/>
          <w:spacing w:val="1"/>
          <w:w w:val="188"/>
        </w:rPr>
        <w:t> </w:t>
      </w:r>
      <w:r>
        <w:rPr>
          <w:rFonts w:ascii="Cambria Math"/>
          <w:w w:val="250"/>
        </w:rPr>
        <w:t>   </w:t>
      </w:r>
      <w:r>
        <w:rPr>
          <w:rFonts w:ascii="Cambria Math"/>
          <w:spacing w:val="5"/>
        </w:rPr>
        <w:t> </w:t>
      </w:r>
      <w:r>
        <w:rPr>
          <w:rFonts w:ascii="Cambria Math"/>
          <w:w w:val="216"/>
        </w:rPr>
        <w:t> </w:t>
      </w:r>
      <w:r>
        <w:rPr>
          <w:rFonts w:ascii="Cambria Math"/>
          <w:w w:val="225"/>
        </w:rPr>
        <w:t> </w:t>
      </w:r>
      <w:r>
        <w:rPr>
          <w:rFonts w:ascii="Cambria Math"/>
          <w:w w:val="252"/>
        </w:rPr>
        <w:t> </w:t>
      </w:r>
      <w:r>
        <w:rPr>
          <w:rFonts w:ascii="Cambria Math"/>
          <w:spacing w:val="-1"/>
          <w:w w:val="143"/>
        </w:rPr>
        <w:t> </w:t>
      </w:r>
      <w:r>
        <w:rPr>
          <w:rFonts w:ascii="Cambria Math"/>
          <w:spacing w:val="1"/>
          <w:w w:val="200"/>
          <w:position w:val="-4"/>
          <w:sz w:val="17"/>
        </w:rPr>
        <w:t> </w:t>
      </w:r>
      <w:r>
        <w:rPr>
          <w:rFonts w:ascii="Cambria Math"/>
          <w:spacing w:val="1"/>
          <w:w w:val="331"/>
          <w:position w:val="-4"/>
          <w:sz w:val="17"/>
        </w:rPr>
        <w:t> </w:t>
      </w:r>
      <w:r>
        <w:rPr>
          <w:rFonts w:ascii="Cambria Math"/>
          <w:spacing w:val="9"/>
          <w:w w:val="263"/>
          <w:position w:val="-4"/>
          <w:sz w:val="17"/>
        </w:rPr>
        <w:t> </w:t>
      </w:r>
      <w:r>
        <w:rPr>
          <w:rFonts w:ascii="Cambria Math"/>
          <w:w w:val="188"/>
        </w:rPr>
        <w:t> </w:t>
      </w:r>
      <w:r>
        <w:rPr>
          <w:rFonts w:ascii="Cambria Math"/>
        </w:rPr>
        <w:tab/>
      </w:r>
      <w:r>
        <w:rPr/>
        <w:t>(2.8)</w:t>
      </w:r>
    </w:p>
    <w:p>
      <w:pPr>
        <w:pStyle w:val="BodyText"/>
        <w:tabs>
          <w:tab w:pos="3884" w:val="left" w:leader="none"/>
        </w:tabs>
        <w:spacing w:before="146"/>
        <w:jc w:val="center"/>
      </w:pPr>
      <w:r>
        <w:rPr>
          <w:rFonts w:ascii="Cambria Math"/>
          <w:w w:val="216"/>
        </w:rPr>
        <w:t> </w:t>
      </w:r>
      <w:r>
        <w:rPr>
          <w:rFonts w:ascii="Cambria Math"/>
          <w:spacing w:val="-1"/>
          <w:w w:val="216"/>
        </w:rPr>
        <w:t> </w:t>
      </w:r>
      <w:r>
        <w:rPr>
          <w:rFonts w:ascii="Cambria Math"/>
          <w:spacing w:val="9"/>
          <w:w w:val="247"/>
        </w:rPr>
        <w:t> </w:t>
      </w:r>
      <w:r>
        <w:rPr>
          <w:rFonts w:ascii="Cambria Math"/>
          <w:w w:val="93"/>
        </w:rPr>
        <w:t> </w:t>
      </w:r>
      <w:r>
        <w:rPr>
          <w:rFonts w:ascii="Cambria Math"/>
          <w:spacing w:val="-14"/>
        </w:rPr>
        <w:t> </w:t>
      </w:r>
      <w:r>
        <w:rPr>
          <w:rFonts w:ascii="Cambria Math"/>
          <w:w w:val="248"/>
        </w:rPr>
        <w:t>  </w:t>
      </w:r>
      <w:r>
        <w:rPr>
          <w:rFonts w:ascii="Cambria Math"/>
          <w:w w:val="232"/>
        </w:rPr>
        <w:t>    </w:t>
      </w:r>
      <w:r>
        <w:rPr>
          <w:rFonts w:ascii="Cambria Math"/>
          <w:spacing w:val="1"/>
          <w:w w:val="232"/>
        </w:rPr>
        <w:t> </w:t>
      </w:r>
      <w:r>
        <w:rPr>
          <w:rFonts w:ascii="Cambria Math"/>
          <w:w w:val="200"/>
          <w:position w:val="-4"/>
          <w:sz w:val="17"/>
        </w:rPr>
        <w:t> </w:t>
      </w:r>
      <w:r>
        <w:rPr>
          <w:rFonts w:ascii="Cambria Math"/>
          <w:position w:val="-4"/>
          <w:sz w:val="17"/>
        </w:rPr>
        <w:t> </w:t>
      </w:r>
      <w:r>
        <w:rPr>
          <w:rFonts w:ascii="Cambria Math"/>
          <w:spacing w:val="3"/>
          <w:position w:val="-4"/>
          <w:sz w:val="17"/>
        </w:rPr>
        <w:t> </w:t>
      </w:r>
      <w:r>
        <w:rPr>
          <w:rFonts w:ascii="Cambria Math"/>
          <w:w w:val="339"/>
        </w:rPr>
        <w:t> </w:t>
      </w:r>
      <w:r>
        <w:rPr>
          <w:rFonts w:ascii="Cambria Math"/>
        </w:rPr>
        <w:t>  </w:t>
      </w:r>
      <w:r>
        <w:rPr>
          <w:rFonts w:ascii="Cambria Math"/>
          <w:spacing w:val="12"/>
        </w:rPr>
        <w:t> </w:t>
      </w:r>
      <w:r>
        <w:rPr>
          <w:rFonts w:ascii="Cambria Math"/>
          <w:spacing w:val="7"/>
          <w:w w:val="249"/>
        </w:rPr>
        <w:t> </w:t>
      </w:r>
      <w:r>
        <w:rPr>
          <w:rFonts w:ascii="Cambria Math"/>
          <w:spacing w:val="1"/>
          <w:w w:val="188"/>
          <w:position w:val="1"/>
        </w:rPr>
        <w:t> </w:t>
      </w:r>
      <w:r>
        <w:rPr>
          <w:rFonts w:ascii="Cambria Math"/>
          <w:w w:val="270"/>
        </w:rPr>
        <w:t> </w:t>
      </w:r>
      <w:r>
        <w:rPr>
          <w:rFonts w:ascii="Cambria Math"/>
          <w:w w:val="250"/>
        </w:rPr>
        <w:t>   </w:t>
      </w:r>
      <w:r>
        <w:rPr>
          <w:rFonts w:ascii="Cambria Math"/>
          <w:spacing w:val="5"/>
        </w:rPr>
        <w:t> </w:t>
      </w:r>
      <w:r>
        <w:rPr>
          <w:rFonts w:ascii="Cambria Math"/>
          <w:w w:val="216"/>
        </w:rPr>
        <w:t> </w:t>
      </w:r>
      <w:r>
        <w:rPr>
          <w:rFonts w:ascii="Cambria Math"/>
          <w:w w:val="225"/>
        </w:rPr>
        <w:t> </w:t>
      </w:r>
      <w:r>
        <w:rPr>
          <w:rFonts w:ascii="Cambria Math"/>
          <w:spacing w:val="-2"/>
          <w:w w:val="252"/>
        </w:rPr>
        <w:t> </w:t>
      </w:r>
      <w:r>
        <w:rPr>
          <w:rFonts w:ascii="Cambria Math"/>
          <w:spacing w:val="1"/>
          <w:w w:val="143"/>
        </w:rPr>
        <w:t> </w:t>
      </w:r>
      <w:r>
        <w:rPr>
          <w:rFonts w:ascii="Cambria Math"/>
          <w:spacing w:val="1"/>
          <w:w w:val="200"/>
          <w:position w:val="-4"/>
          <w:sz w:val="17"/>
        </w:rPr>
        <w:t> </w:t>
      </w:r>
      <w:r>
        <w:rPr>
          <w:rFonts w:ascii="Cambria Math"/>
          <w:w w:val="331"/>
          <w:position w:val="-4"/>
          <w:sz w:val="17"/>
        </w:rPr>
        <w:t> </w:t>
      </w:r>
      <w:r>
        <w:rPr>
          <w:rFonts w:ascii="Cambria Math"/>
          <w:spacing w:val="9"/>
          <w:w w:val="263"/>
          <w:position w:val="-4"/>
          <w:sz w:val="17"/>
        </w:rPr>
        <w:t> </w:t>
      </w:r>
      <w:r>
        <w:rPr>
          <w:rFonts w:ascii="Cambria Math"/>
          <w:w w:val="188"/>
          <w:position w:val="1"/>
        </w:rPr>
        <w:t> </w:t>
      </w:r>
      <w:r>
        <w:rPr>
          <w:rFonts w:ascii="Cambria Math"/>
          <w:position w:val="1"/>
        </w:rPr>
        <w:tab/>
      </w:r>
      <w:r>
        <w:rPr/>
        <w:t>(2.9)</w:t>
      </w:r>
    </w:p>
    <w:p>
      <w:pPr>
        <w:pStyle w:val="BodyText"/>
        <w:rPr>
          <w:sz w:val="28"/>
        </w:rPr>
      </w:pPr>
    </w:p>
    <w:p>
      <w:pPr>
        <w:pStyle w:val="BodyText"/>
        <w:spacing w:line="360" w:lineRule="auto" w:before="235"/>
        <w:ind w:left="122" w:right="121" w:firstLine="707"/>
        <w:jc w:val="both"/>
      </w:pPr>
      <w:r>
        <w:rPr/>
        <w:t>En las ecuaciones 2.8 y 2.9, se señala una relación directa entre el consumo privado y el PIB real del período anterior. De la misma forma, a mayor variación del PIB real en relación con su período anterior existiría mayor inversión privada.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3"/>
        </w:rPr>
      </w:pPr>
      <w:r>
        <w:rPr/>
        <w:pict>
          <v:line style="position:absolute;mso-position-horizontal-relative:page;mso-position-vertical-relative:paragraph;z-index:7456;mso-wrap-distance-left:0;mso-wrap-distance-right:0" from="85.103996pt,9.764624pt" to="229.123996pt,9.764624pt" stroked="true" strokeweight=".60004pt" strokecolor="#000000">
            <w10:wrap type="topAndBottom"/>
          </v:line>
        </w:pict>
      </w:r>
    </w:p>
    <w:p>
      <w:pPr>
        <w:spacing w:before="50"/>
        <w:ind w:left="122" w:right="115" w:firstLine="0"/>
        <w:jc w:val="left"/>
        <w:rPr>
          <w:sz w:val="20"/>
        </w:rPr>
      </w:pPr>
      <w:r>
        <w:rPr>
          <w:position w:val="9"/>
          <w:sz w:val="13"/>
        </w:rPr>
        <w:t>53 </w:t>
      </w:r>
      <w:r>
        <w:rPr>
          <w:sz w:val="20"/>
        </w:rPr>
        <w:t>Se seleccionó este año debido que los ingresos fiscales del gas natural comenzaron a ejercer un rol relevante en la composición de los ingresos públicos totales (carga fiscal).</w:t>
      </w:r>
    </w:p>
    <w:p>
      <w:pPr>
        <w:pStyle w:val="BodyText"/>
        <w:spacing w:before="8"/>
        <w:rPr>
          <w:sz w:val="17"/>
        </w:rPr>
      </w:pPr>
    </w:p>
    <w:p>
      <w:pPr>
        <w:spacing w:before="0"/>
        <w:ind w:left="122" w:right="115" w:firstLine="0"/>
        <w:jc w:val="left"/>
        <w:rPr>
          <w:sz w:val="20"/>
        </w:rPr>
      </w:pPr>
      <w:r>
        <w:rPr>
          <w:position w:val="9"/>
          <w:sz w:val="13"/>
        </w:rPr>
        <w:t>54 </w:t>
      </w:r>
      <w:r>
        <w:rPr>
          <w:sz w:val="20"/>
        </w:rPr>
        <w:t>La tasa PRIME mostró un rendimiento promedio del 5.04% anual para el período 2003-2011 y fue mayor que otras tasas internacionales de referencia. (LIBOR, EURIBOR).</w:t>
      </w:r>
    </w:p>
    <w:p>
      <w:pPr>
        <w:spacing w:after="0"/>
        <w:jc w:val="left"/>
        <w:rPr>
          <w:sz w:val="20"/>
        </w:rPr>
        <w:sectPr>
          <w:pgSz w:w="12250" w:h="15850"/>
          <w:pgMar w:header="0" w:footer="1037" w:top="1320" w:bottom="1220" w:left="1580" w:right="1580"/>
        </w:sectPr>
      </w:pPr>
    </w:p>
    <w:p>
      <w:pPr>
        <w:pStyle w:val="BodyText"/>
        <w:spacing w:line="360" w:lineRule="auto" w:before="50"/>
        <w:ind w:left="102" w:right="100" w:firstLine="707"/>
        <w:jc w:val="both"/>
      </w:pPr>
      <w:r>
        <w:rPr/>
        <w:t>De forma inicial, se observa la participación del consumo del gobierno y la  inversión en Bolivia bajo el régimen actual en comparación con un régimen de ahorrar los ingresos del gas natural (postura</w:t>
      </w:r>
      <w:r>
        <w:rPr>
          <w:spacing w:val="-8"/>
        </w:rPr>
        <w:t> </w:t>
      </w:r>
      <w:r>
        <w:rPr/>
        <w:t>neoclásica):</w:t>
      </w:r>
    </w:p>
    <w:p>
      <w:pPr>
        <w:pStyle w:val="BodyText"/>
      </w:pPr>
    </w:p>
    <w:p>
      <w:pPr>
        <w:pStyle w:val="BodyText"/>
        <w:spacing w:line="360" w:lineRule="auto" w:before="143" w:after="12"/>
        <w:ind w:left="282" w:right="280"/>
        <w:jc w:val="center"/>
      </w:pPr>
      <w:bookmarkStart w:name="_bookmark71" w:id="103"/>
      <w:bookmarkEnd w:id="103"/>
      <w:r>
        <w:rPr/>
      </w:r>
      <w:r>
        <w:rPr/>
        <w:t>Figura 2. 26: Participación del consumo del gobierno y de la inversión pública en el PIB Período 2003 - 2011</w:t>
      </w:r>
    </w:p>
    <w:p>
      <w:pPr>
        <w:pStyle w:val="BodyText"/>
        <w:ind w:left="1685"/>
        <w:rPr>
          <w:sz w:val="20"/>
        </w:rPr>
      </w:pPr>
      <w:r>
        <w:rPr>
          <w:sz w:val="20"/>
        </w:rPr>
        <w:drawing>
          <wp:inline distT="0" distB="0" distL="0" distR="0">
            <wp:extent cx="3608184" cy="2010918"/>
            <wp:effectExtent l="0" t="0" r="0" b="0"/>
            <wp:docPr id="37" name="image155.jpeg" descr=""/>
            <wp:cNvGraphicFramePr>
              <a:graphicFrameLocks noChangeAspect="1"/>
            </wp:cNvGraphicFramePr>
            <a:graphic>
              <a:graphicData uri="http://schemas.openxmlformats.org/drawingml/2006/picture">
                <pic:pic>
                  <pic:nvPicPr>
                    <pic:cNvPr id="38" name="image155.jpeg"/>
                    <pic:cNvPicPr/>
                  </pic:nvPicPr>
                  <pic:blipFill>
                    <a:blip r:embed="rId171" cstate="print"/>
                    <a:stretch>
                      <a:fillRect/>
                    </a:stretch>
                  </pic:blipFill>
                  <pic:spPr>
                    <a:xfrm>
                      <a:off x="0" y="0"/>
                      <a:ext cx="3608184" cy="2010918"/>
                    </a:xfrm>
                    <a:prstGeom prst="rect">
                      <a:avLst/>
                    </a:prstGeom>
                  </pic:spPr>
                </pic:pic>
              </a:graphicData>
            </a:graphic>
          </wp:inline>
        </w:drawing>
      </w:r>
      <w:r>
        <w:rPr>
          <w:sz w:val="20"/>
        </w:rPr>
      </w:r>
    </w:p>
    <w:p>
      <w:pPr>
        <w:spacing w:before="5"/>
        <w:ind w:left="810" w:right="0" w:firstLine="0"/>
        <w:jc w:val="left"/>
        <w:rPr>
          <w:sz w:val="20"/>
        </w:rPr>
      </w:pPr>
      <w:r>
        <w:rPr>
          <w:sz w:val="20"/>
        </w:rPr>
        <w:t>Fuente: Elaboración propia con base en datos del INE (2013)</w:t>
      </w:r>
    </w:p>
    <w:p>
      <w:pPr>
        <w:pStyle w:val="BodyText"/>
        <w:rPr>
          <w:sz w:val="20"/>
        </w:rPr>
      </w:pPr>
    </w:p>
    <w:p>
      <w:pPr>
        <w:pStyle w:val="BodyText"/>
        <w:rPr>
          <w:sz w:val="16"/>
        </w:rPr>
      </w:pPr>
    </w:p>
    <w:p>
      <w:pPr>
        <w:pStyle w:val="BodyText"/>
        <w:ind w:left="810"/>
      </w:pPr>
      <w:r>
        <w:rPr/>
        <w:t>De acuerdo con los datos de la </w:t>
      </w:r>
      <w:r>
        <w:rPr>
          <w:i/>
        </w:rPr>
        <w:t>figura 2.26</w:t>
      </w:r>
      <w:r>
        <w:rPr/>
        <w:t>,      para </w:t>
      </w:r>
      <w:r>
        <w:rPr>
          <w:w w:val="177"/>
        </w:rPr>
        <w:t> </w:t>
      </w:r>
      <w:r>
        <w:rPr>
          <w:w w:val="111"/>
        </w:rPr>
        <w:t> </w:t>
      </w:r>
      <w:r>
        <w:rPr/>
        <w:t> </w:t>
      </w:r>
      <w:r>
        <w:rPr>
          <w:w w:val="155"/>
        </w:rPr>
        <w:t>  </w:t>
      </w:r>
      <w:r>
        <w:rPr>
          <w:w w:val="200"/>
        </w:rPr>
        <w:t> </w:t>
      </w:r>
      <w:r>
        <w:rPr>
          <w:w w:val="211"/>
        </w:rPr>
        <w:t>  </w:t>
      </w:r>
      <w:r>
        <w:rPr>
          <w:w w:val="177"/>
        </w:rPr>
        <w:t> </w:t>
      </w:r>
      <w:r>
        <w:rPr>
          <w:w w:val="200"/>
        </w:rPr>
        <w:t> </w:t>
      </w:r>
      <w:r>
        <w:rPr/>
        <w:t> </w:t>
      </w:r>
      <w:r>
        <w:rPr>
          <w:w w:val="177"/>
        </w:rPr>
        <w:t>  </w:t>
      </w:r>
      <w:r>
        <w:rPr>
          <w:w w:val="150"/>
        </w:rPr>
        <w:t>    </w:t>
      </w:r>
      <w:r>
        <w:rPr/>
        <w:t> </w:t>
      </w:r>
      <w:r>
        <w:rPr>
          <w:w w:val="188"/>
        </w:rPr>
        <w:t>  </w:t>
      </w:r>
      <w:r>
        <w:rPr/>
        <w:t> </w:t>
      </w:r>
      <w:r>
        <w:rPr>
          <w:w w:val="266"/>
        </w:rPr>
        <w:t> </w:t>
      </w:r>
      <w:r>
        <w:rPr>
          <w:w w:val="140"/>
        </w:rPr>
        <w:t>   </w:t>
      </w:r>
      <w:r>
        <w:rPr>
          <w:w w:val="147"/>
        </w:rPr>
        <w:t>    </w:t>
      </w:r>
      <w:r>
        <w:rPr/>
        <w:t> </w:t>
      </w:r>
      <w:r>
        <w:rPr>
          <w:w w:val="177"/>
        </w:rPr>
        <w:t> </w:t>
      </w:r>
      <w:r>
        <w:rPr>
          <w:w w:val="111"/>
        </w:rPr>
        <w:t> </w:t>
      </w:r>
    </w:p>
    <w:p>
      <w:pPr>
        <w:pStyle w:val="BodyText"/>
        <w:spacing w:before="139"/>
        <w:ind w:left="102"/>
      </w:pPr>
      <w:r>
        <w:rPr>
          <w:w w:val="160"/>
        </w:rPr>
        <w:t>     </w:t>
      </w:r>
      <w:r>
        <w:rPr/>
        <w:t> </w:t>
      </w:r>
      <w:r>
        <w:rPr>
          <w:w w:val="188"/>
        </w:rPr>
        <w:t>  </w:t>
      </w:r>
      <w:r>
        <w:rPr/>
        <w:t> </w:t>
      </w:r>
      <w:r>
        <w:rPr>
          <w:w w:val="177"/>
        </w:rPr>
        <w:t> </w:t>
      </w:r>
      <w:r>
        <w:rPr>
          <w:w w:val="213"/>
        </w:rPr>
        <w:t>     </w:t>
      </w:r>
      <w:r>
        <w:rPr>
          <w:w w:val="200"/>
        </w:rPr>
        <w:t> </w:t>
      </w:r>
      <w:r>
        <w:rPr/>
        <w:t> </w:t>
      </w:r>
      <w:r>
        <w:rPr>
          <w:w w:val="188"/>
        </w:rPr>
        <w:t>  </w:t>
      </w:r>
      <w:r>
        <w:rPr>
          <w:w w:val="111"/>
        </w:rPr>
        <w:t> </w:t>
      </w:r>
      <w:r>
        <w:rPr/>
        <w:t> </w:t>
      </w:r>
      <w:r>
        <w:rPr>
          <w:w w:val="200"/>
        </w:rPr>
        <w:t> </w:t>
      </w:r>
      <w:r>
        <w:rPr>
          <w:w w:val="164"/>
        </w:rPr>
        <w:t>     </w:t>
      </w:r>
      <w:r>
        <w:rPr>
          <w:w w:val="200"/>
        </w:rPr>
        <w:t>  </w:t>
      </w:r>
      <w:r>
        <w:rPr/>
        <w:t> </w:t>
      </w:r>
      <w:r>
        <w:rPr>
          <w:w w:val="177"/>
        </w:rPr>
        <w:t> </w:t>
      </w:r>
      <w:r>
        <w:rPr/>
        <w:t> </w:t>
      </w:r>
      <w:r>
        <w:rPr>
          <w:w w:val="164"/>
        </w:rPr>
        <w:t>     </w:t>
      </w:r>
      <w:r>
        <w:rPr>
          <w:w w:val="166"/>
        </w:rPr>
        <w:t>    </w:t>
      </w:r>
      <w:r>
        <w:rPr/>
        <w:t> </w:t>
      </w:r>
      <w:r>
        <w:rPr>
          <w:w w:val="164"/>
        </w:rPr>
        <w:t>     </w:t>
      </w:r>
      <w:r>
        <w:rPr>
          <w:w w:val="177"/>
        </w:rPr>
        <w:t>  </w:t>
      </w:r>
      <w:r>
        <w:rPr/>
        <w:t> </w:t>
      </w:r>
      <w:r>
        <w:rPr>
          <w:w w:val="155"/>
        </w:rPr>
        <w:t>      </w:t>
      </w:r>
      <w:r>
        <w:rPr/>
        <w:t> </w:t>
      </w:r>
      <w:r>
        <w:rPr>
          <w:w w:val="177"/>
        </w:rPr>
        <w:t> </w:t>
      </w:r>
      <w:r>
        <w:rPr>
          <w:w w:val="140"/>
        </w:rPr>
        <w:t>   </w:t>
      </w:r>
      <w:r>
        <w:rPr>
          <w:w w:val="188"/>
        </w:rPr>
        <w:t>  </w:t>
      </w:r>
      <w:r>
        <w:rPr>
          <w:w w:val="177"/>
        </w:rPr>
        <w:t>   </w:t>
      </w:r>
      <w:r>
        <w:rPr/>
        <w:t> </w:t>
      </w:r>
      <w:r>
        <w:rPr>
          <w:w w:val="188"/>
        </w:rPr>
        <w:t>  </w:t>
      </w:r>
      <w:r>
        <w:rPr>
          <w:w w:val="111"/>
        </w:rPr>
        <w:t> </w:t>
      </w:r>
      <w:r>
        <w:rPr/>
        <w:t> </w:t>
      </w:r>
      <w:r>
        <w:rPr>
          <w:w w:val="133"/>
        </w:rPr>
        <w:t> </w:t>
      </w:r>
      <w:r>
        <w:rPr>
          <w:w w:val="115"/>
        </w:rPr>
        <w:t>9%        I</w:t>
      </w:r>
      <w:r>
        <w:rPr>
          <w:w w:val="266"/>
        </w:rPr>
        <w:t> </w:t>
      </w:r>
      <w:r>
        <w:rPr/>
        <w:t> </w:t>
      </w:r>
      <w:r>
        <w:rPr>
          <w:w w:val="133"/>
        </w:rPr>
        <w:t> </w:t>
      </w:r>
      <w:r>
        <w:rPr>
          <w:w w:val="177"/>
        </w:rPr>
        <w:t>  </w:t>
      </w:r>
      <w:r>
        <w:rPr>
          <w:w w:val="105"/>
        </w:rPr>
        <w:t>  </w:t>
      </w:r>
    </w:p>
    <w:p>
      <w:pPr>
        <w:pStyle w:val="BodyText"/>
        <w:spacing w:before="137"/>
        <w:ind w:left="102"/>
      </w:pPr>
      <w:r>
        <w:rPr>
          <w:spacing w:val="-2"/>
          <w:w w:val="266"/>
        </w:rPr>
        <w:t> </w:t>
      </w:r>
      <w:r>
        <w:rPr>
          <w:spacing w:val="-1"/>
          <w:w w:val="177"/>
        </w:rPr>
        <w:t> </w:t>
      </w:r>
      <w:r>
        <w:rPr>
          <w:w w:val="155"/>
        </w:rPr>
        <w:t>  </w:t>
      </w:r>
      <w:r>
        <w:rPr/>
        <w:t>  </w:t>
      </w:r>
      <w:r>
        <w:rPr>
          <w:w w:val="200"/>
        </w:rPr>
        <w:t>  </w:t>
      </w:r>
      <w:r>
        <w:rPr/>
        <w:t> </w:t>
      </w:r>
      <w:r>
        <w:rPr>
          <w:spacing w:val="-1"/>
        </w:rPr>
        <w:t> </w:t>
      </w:r>
      <w:r>
        <w:rPr>
          <w:w w:val="155"/>
        </w:rPr>
        <w:t>  </w:t>
      </w:r>
      <w:r>
        <w:rPr>
          <w:spacing w:val="-3"/>
          <w:w w:val="200"/>
        </w:rPr>
        <w:t> </w:t>
      </w:r>
      <w:r>
        <w:rPr>
          <w:w w:val="211"/>
        </w:rPr>
        <w:t>  </w:t>
      </w:r>
      <w:r>
        <w:rPr>
          <w:spacing w:val="-1"/>
          <w:w w:val="177"/>
        </w:rPr>
        <w:t> </w:t>
      </w:r>
      <w:r>
        <w:rPr>
          <w:w w:val="200"/>
        </w:rPr>
        <w:t> </w:t>
      </w:r>
      <w:r>
        <w:rPr/>
        <w:t> </w:t>
      </w:r>
      <w:r>
        <w:rPr>
          <w:spacing w:val="-1"/>
        </w:rPr>
        <w:t> </w:t>
      </w:r>
      <w:r>
        <w:rPr>
          <w:spacing w:val="2"/>
          <w:w w:val="200"/>
        </w:rPr>
        <w:t> </w:t>
      </w:r>
      <w:r>
        <w:rPr>
          <w:w w:val="177"/>
        </w:rPr>
        <w:t> </w:t>
      </w:r>
      <w:r>
        <w:rPr/>
        <w:t> </w:t>
      </w:r>
      <w:r>
        <w:rPr>
          <w:spacing w:val="-2"/>
        </w:rPr>
        <w:t> </w:t>
      </w:r>
      <w:r>
        <w:rPr>
          <w:spacing w:val="-1"/>
          <w:w w:val="177"/>
        </w:rPr>
        <w:t> </w:t>
      </w:r>
      <w:r>
        <w:rPr>
          <w:spacing w:val="2"/>
          <w:w w:val="200"/>
        </w:rPr>
        <w:t> </w:t>
      </w:r>
      <w:r>
        <w:rPr>
          <w:w w:val="166"/>
        </w:rPr>
        <w:t> </w:t>
      </w:r>
      <w:r>
        <w:rPr>
          <w:spacing w:val="-1"/>
          <w:w w:val="166"/>
        </w:rPr>
        <w:t> </w:t>
      </w:r>
      <w:r>
        <w:rPr>
          <w:w w:val="155"/>
        </w:rPr>
        <w:t> </w:t>
      </w:r>
      <w:r>
        <w:rPr>
          <w:spacing w:val="-2"/>
          <w:w w:val="155"/>
        </w:rPr>
        <w:t> </w:t>
      </w:r>
      <w:r>
        <w:rPr>
          <w:w w:val="133"/>
        </w:rPr>
        <w:t> </w:t>
      </w:r>
      <w:r>
        <w:rPr/>
        <w:t> </w:t>
      </w:r>
      <w:r>
        <w:rPr>
          <w:spacing w:val="-1"/>
        </w:rPr>
        <w:t> </w:t>
      </w:r>
      <w:r>
        <w:rPr>
          <w:w w:val="155"/>
        </w:rPr>
        <w:t>   </w:t>
      </w:r>
      <w:r>
        <w:rPr/>
        <w:t>  </w:t>
      </w:r>
      <w:r>
        <w:rPr>
          <w:w w:val="155"/>
        </w:rPr>
        <w:t> </w:t>
      </w:r>
      <w:r>
        <w:rPr>
          <w:spacing w:val="2"/>
          <w:w w:val="155"/>
        </w:rPr>
        <w:t> </w:t>
      </w:r>
      <w:r>
        <w:rPr>
          <w:spacing w:val="-3"/>
          <w:w w:val="200"/>
        </w:rPr>
        <w:t> </w:t>
      </w:r>
      <w:r>
        <w:rPr>
          <w:w w:val="155"/>
        </w:rPr>
        <w:t> </w:t>
      </w:r>
      <w:r>
        <w:rPr>
          <w:spacing w:val="-2"/>
          <w:w w:val="155"/>
        </w:rPr>
        <w:t> </w:t>
      </w:r>
      <w:r>
        <w:rPr>
          <w:w w:val="170"/>
        </w:rPr>
        <w:t>   </w:t>
      </w:r>
      <w:r>
        <w:rPr/>
        <w:t>  </w:t>
      </w:r>
      <w:r>
        <w:rPr>
          <w:w w:val="144"/>
        </w:rPr>
        <w:t>   </w:t>
      </w:r>
      <w:r>
        <w:rPr>
          <w:spacing w:val="1"/>
          <w:w w:val="144"/>
        </w:rPr>
        <w:t> </w:t>
      </w:r>
      <w:r>
        <w:rPr>
          <w:spacing w:val="-1"/>
          <w:w w:val="177"/>
        </w:rPr>
        <w:t> </w:t>
      </w:r>
      <w:r>
        <w:rPr>
          <w:spacing w:val="2"/>
          <w:w w:val="111"/>
        </w:rPr>
        <w:t> </w:t>
      </w:r>
      <w:r>
        <w:rPr>
          <w:spacing w:val="-1"/>
          <w:w w:val="177"/>
        </w:rPr>
        <w:t> </w:t>
      </w:r>
      <w:r>
        <w:rPr>
          <w:w w:val="155"/>
        </w:rPr>
        <w:t> </w:t>
      </w:r>
      <w:r>
        <w:rPr/>
        <w:t>  </w:t>
      </w:r>
      <w:r>
        <w:rPr>
          <w:w w:val="188"/>
        </w:rPr>
        <w:t> </w:t>
      </w:r>
      <w:r>
        <w:rPr>
          <w:spacing w:val="-1"/>
          <w:w w:val="188"/>
        </w:rPr>
        <w:t> </w:t>
      </w:r>
      <w:r>
        <w:rPr>
          <w:w w:val="111"/>
        </w:rPr>
        <w:t> </w:t>
      </w:r>
      <w:r>
        <w:rPr/>
        <w:t>  </w:t>
      </w:r>
      <w:r>
        <w:rPr>
          <w:w w:val="188"/>
        </w:rPr>
        <w:t> </w:t>
      </w:r>
      <w:r>
        <w:rPr>
          <w:spacing w:val="-1"/>
          <w:w w:val="188"/>
        </w:rPr>
        <w:t> </w:t>
      </w:r>
      <w:r>
        <w:rPr>
          <w:w w:val="155"/>
        </w:rPr>
        <w:t> </w:t>
      </w:r>
      <w:r>
        <w:rPr/>
        <w:t>  </w:t>
      </w:r>
      <w:r>
        <w:rPr>
          <w:w w:val="188"/>
        </w:rPr>
        <w:t> </w:t>
      </w:r>
      <w:r>
        <w:rPr>
          <w:spacing w:val="-1"/>
          <w:w w:val="188"/>
        </w:rPr>
        <w:t> </w:t>
      </w:r>
      <w:r>
        <w:rPr>
          <w:w w:val="155"/>
        </w:rPr>
        <w:t>   </w:t>
      </w:r>
      <w:r>
        <w:rPr>
          <w:spacing w:val="-2"/>
          <w:w w:val="155"/>
        </w:rPr>
        <w:t> </w:t>
      </w:r>
      <w:r>
        <w:rPr>
          <w:w w:val="111"/>
        </w:rPr>
        <w:t> </w:t>
      </w:r>
      <w:r>
        <w:rPr/>
        <w:t> </w:t>
      </w:r>
      <w:r>
        <w:rPr>
          <w:w w:val="1"/>
        </w:rPr>
        <w:t> </w:t>
      </w:r>
      <w:r>
        <w:rPr/>
        <w:t>  </w:t>
      </w:r>
      <w:r>
        <w:rPr>
          <w:spacing w:val="1"/>
          <w:w w:val="177"/>
        </w:rPr>
        <w:t> </w:t>
      </w:r>
      <w:r>
        <w:rPr>
          <w:spacing w:val="-1"/>
          <w:w w:val="177"/>
        </w:rPr>
        <w:t> </w:t>
      </w:r>
      <w:r>
        <w:rPr>
          <w:w w:val="166"/>
        </w:rPr>
        <w:t> </w:t>
      </w:r>
      <w:r>
        <w:rPr>
          <w:spacing w:val="1"/>
          <w:w w:val="166"/>
        </w:rPr>
        <w:t> </w:t>
      </w:r>
      <w:r>
        <w:rPr>
          <w:w w:val="188"/>
        </w:rPr>
        <w:t>  </w:t>
      </w:r>
      <w:r>
        <w:rPr/>
        <w:t> </w:t>
      </w:r>
      <w:r>
        <w:rPr>
          <w:spacing w:val="-2"/>
        </w:rPr>
        <w:t> </w:t>
      </w:r>
      <w:r>
        <w:rPr>
          <w:w w:val="177"/>
        </w:rPr>
        <w:t> </w:t>
      </w:r>
      <w:r>
        <w:rPr/>
        <w:t> </w:t>
      </w:r>
      <w:r>
        <w:rPr>
          <w:spacing w:val="-2"/>
        </w:rPr>
        <w:t> </w:t>
      </w:r>
      <w:r>
        <w:rPr>
          <w:w w:val="144"/>
        </w:rPr>
        <w:t>  </w:t>
      </w:r>
      <w:r>
        <w:rPr/>
        <w:t> </w:t>
      </w:r>
      <w:r>
        <w:rPr>
          <w:spacing w:val="-1"/>
        </w:rPr>
        <w:t> </w:t>
      </w:r>
      <w:r>
        <w:rPr>
          <w:w w:val="166"/>
        </w:rPr>
        <w:t>    </w:t>
      </w:r>
      <w:r>
        <w:rPr>
          <w:w w:val="166"/>
        </w:rPr>
        <w:t> </w:t>
      </w:r>
      <w:r>
        <w:rPr>
          <w:spacing w:val="-1"/>
          <w:w w:val="166"/>
        </w:rPr>
        <w:t> </w:t>
      </w:r>
      <w:r>
        <w:rPr>
          <w:w w:val="177"/>
        </w:rPr>
        <w:t> </w:t>
      </w:r>
    </w:p>
    <w:p>
      <w:pPr>
        <w:pStyle w:val="BodyText"/>
        <w:spacing w:line="360" w:lineRule="auto" w:before="139"/>
        <w:ind w:left="102" w:right="191"/>
      </w:pPr>
      <w:r>
        <w:rPr>
          <w:w w:val="188"/>
        </w:rPr>
        <w:t>    </w:t>
      </w:r>
      <w:r>
        <w:rPr>
          <w:w w:val="146"/>
        </w:rPr>
        <w:t>     </w:t>
      </w:r>
      <w:r>
        <w:rPr>
          <w:w w:val="177"/>
        </w:rPr>
        <w:t> </w:t>
      </w:r>
      <w:r>
        <w:rPr/>
        <w:t> </w:t>
      </w:r>
      <w:r>
        <w:rPr>
          <w:w w:val="200"/>
        </w:rPr>
        <w:t> </w:t>
      </w:r>
      <w:r>
        <w:rPr>
          <w:w w:val="177"/>
        </w:rPr>
        <w:t> </w:t>
      </w:r>
      <w:r>
        <w:rPr/>
        <w:t> </w:t>
      </w:r>
      <w:r>
        <w:rPr>
          <w:w w:val="144"/>
        </w:rPr>
        <w:t>  </w:t>
      </w:r>
      <w:r>
        <w:rPr/>
        <w:t> </w:t>
      </w:r>
      <w:r>
        <w:rPr>
          <w:w w:val="177"/>
        </w:rPr>
        <w:t>  </w:t>
      </w:r>
      <w:r>
        <w:rPr>
          <w:w w:val="204"/>
        </w:rPr>
        <w:t>     </w:t>
      </w:r>
      <w:r>
        <w:rPr>
          <w:w w:val="177"/>
        </w:rPr>
        <w:t> </w:t>
      </w:r>
      <w:r>
        <w:rPr/>
        <w:t> </w:t>
      </w:r>
      <w:r>
        <w:rPr>
          <w:w w:val="50"/>
        </w:rPr>
        <w:t>  </w:t>
      </w:r>
      <w:r>
        <w:rPr/>
        <w:t> la participación del sector público en la economía se reduciría al 8% del PIB real (en promedio).</w:t>
      </w:r>
    </w:p>
    <w:p>
      <w:pPr>
        <w:pStyle w:val="BodyText"/>
        <w:spacing w:line="360" w:lineRule="auto" w:before="6"/>
        <w:ind w:left="102" w:right="99" w:firstLine="707"/>
        <w:jc w:val="both"/>
      </w:pPr>
      <w:r>
        <w:rPr/>
        <w:t>La reducción de la participación del gobierno conlleva a una contracción progresiva del consumo del gobierno y la inversión pública (</w:t>
      </w:r>
      <w:r>
        <w:rPr>
          <w:i/>
        </w:rPr>
        <w:t>figura 2.27</w:t>
      </w:r>
      <w:r>
        <w:rPr/>
        <w:t>). Así por ejemplo para el  2011, se requeriría el 70% de disminución en consumo gubernamental e inversión</w:t>
      </w:r>
      <w:r>
        <w:rPr>
          <w:spacing w:val="-11"/>
        </w:rPr>
        <w:t> </w:t>
      </w:r>
      <w:r>
        <w:rPr/>
        <w:t>pública.</w:t>
      </w:r>
    </w:p>
    <w:p>
      <w:pPr>
        <w:spacing w:after="0" w:line="360" w:lineRule="auto"/>
        <w:jc w:val="both"/>
        <w:sectPr>
          <w:pgSz w:w="12250" w:h="15850"/>
          <w:pgMar w:header="0" w:footer="1037" w:top="1360" w:bottom="1220" w:left="1600" w:right="1600"/>
        </w:sectPr>
      </w:pPr>
    </w:p>
    <w:p>
      <w:pPr>
        <w:pStyle w:val="BodyText"/>
        <w:spacing w:line="360" w:lineRule="auto" w:before="50" w:after="12"/>
        <w:ind w:left="291" w:right="312"/>
        <w:jc w:val="center"/>
      </w:pPr>
      <w:bookmarkStart w:name="_bookmark72" w:id="104"/>
      <w:bookmarkEnd w:id="104"/>
      <w:r>
        <w:rPr/>
      </w:r>
      <w:r>
        <w:rPr/>
        <w:t>Figura 2. 27: Porcentaje de contracción requerida del consumo del gobierno y de la inversión pública con los valores observados, 2003 - 2011</w:t>
      </w:r>
    </w:p>
    <w:p>
      <w:pPr>
        <w:pStyle w:val="BodyText"/>
        <w:ind w:left="2119"/>
        <w:rPr>
          <w:sz w:val="20"/>
        </w:rPr>
      </w:pPr>
      <w:r>
        <w:rPr>
          <w:sz w:val="20"/>
        </w:rPr>
        <w:drawing>
          <wp:inline distT="0" distB="0" distL="0" distR="0">
            <wp:extent cx="3054012" cy="1965388"/>
            <wp:effectExtent l="0" t="0" r="0" b="0"/>
            <wp:docPr id="39" name="image156.jpeg" descr=""/>
            <wp:cNvGraphicFramePr>
              <a:graphicFrameLocks noChangeAspect="1"/>
            </wp:cNvGraphicFramePr>
            <a:graphic>
              <a:graphicData uri="http://schemas.openxmlformats.org/drawingml/2006/picture">
                <pic:pic>
                  <pic:nvPicPr>
                    <pic:cNvPr id="40" name="image156.jpeg"/>
                    <pic:cNvPicPr/>
                  </pic:nvPicPr>
                  <pic:blipFill>
                    <a:blip r:embed="rId172" cstate="print"/>
                    <a:stretch>
                      <a:fillRect/>
                    </a:stretch>
                  </pic:blipFill>
                  <pic:spPr>
                    <a:xfrm>
                      <a:off x="0" y="0"/>
                      <a:ext cx="3054012" cy="1965388"/>
                    </a:xfrm>
                    <a:prstGeom prst="rect">
                      <a:avLst/>
                    </a:prstGeom>
                  </pic:spPr>
                </pic:pic>
              </a:graphicData>
            </a:graphic>
          </wp:inline>
        </w:drawing>
      </w:r>
      <w:r>
        <w:rPr>
          <w:sz w:val="20"/>
        </w:rPr>
      </w:r>
    </w:p>
    <w:p>
      <w:pPr>
        <w:spacing w:before="8"/>
        <w:ind w:left="810" w:right="127" w:firstLine="0"/>
        <w:jc w:val="left"/>
        <w:rPr>
          <w:sz w:val="20"/>
        </w:rPr>
      </w:pPr>
      <w:r>
        <w:rPr>
          <w:sz w:val="20"/>
        </w:rPr>
        <w:t>Fuente: Elaboración propia con base en datos del Banco Central de Bolivia (2012).</w:t>
      </w:r>
    </w:p>
    <w:p>
      <w:pPr>
        <w:pStyle w:val="BodyText"/>
        <w:rPr>
          <w:sz w:val="20"/>
        </w:rPr>
      </w:pPr>
    </w:p>
    <w:p>
      <w:pPr>
        <w:pStyle w:val="BodyText"/>
        <w:rPr>
          <w:sz w:val="20"/>
        </w:rPr>
      </w:pPr>
    </w:p>
    <w:p>
      <w:pPr>
        <w:pStyle w:val="BodyText"/>
        <w:rPr>
          <w:sz w:val="16"/>
        </w:rPr>
      </w:pPr>
    </w:p>
    <w:p>
      <w:pPr>
        <w:pStyle w:val="BodyText"/>
        <w:spacing w:line="360" w:lineRule="auto"/>
        <w:ind w:left="102" w:right="119" w:firstLine="707"/>
        <w:jc w:val="both"/>
      </w:pPr>
      <w:r>
        <w:rPr/>
        <w:t>Al considerar, que el consumo del gobierno y la inversión pública inciden directamente sobre la contabilidad nacional del PIB. Para el período 2003 – 2011, la contracción promedio del PIB sería del 11% bajo el escenario de ahorrar totalmente los ingresos fiscales del gas natural y suavizar el gasto público a la rentabilidad del fondo petrolero (</w:t>
      </w:r>
      <w:r>
        <w:rPr>
          <w:i/>
        </w:rPr>
        <w:t>véase figura 2.28</w:t>
      </w:r>
      <w:r>
        <w:rPr/>
        <w:t>).</w:t>
      </w:r>
    </w:p>
    <w:p>
      <w:pPr>
        <w:pStyle w:val="BodyText"/>
        <w:spacing w:line="360" w:lineRule="auto" w:before="4"/>
        <w:ind w:left="102" w:right="116" w:firstLine="707"/>
        <w:jc w:val="both"/>
      </w:pPr>
      <w:r>
        <w:rPr/>
        <w:t>Dado que el PIB es un indicador de bienestar, la contracción del PIB es una justificación para no ahorrar la totalidad de los ingresos fiscales del gas natural y en contraposición destinarlos a la inversión pública y al gasto público, acorde con la postura Keynesiana.</w:t>
      </w:r>
    </w:p>
    <w:p>
      <w:pPr>
        <w:pStyle w:val="BodyText"/>
        <w:spacing w:line="410" w:lineRule="atLeast" w:before="146"/>
        <w:ind w:left="688" w:right="708"/>
        <w:jc w:val="center"/>
      </w:pPr>
      <w:bookmarkStart w:name="_bookmark73" w:id="105"/>
      <w:bookmarkEnd w:id="105"/>
      <w:r>
        <w:rPr/>
      </w:r>
      <w:r>
        <w:rPr/>
        <w:t>Figura 2. 28: Contracción del PIB real bajo el régimen del ingreso permanente (En porcentaje, 2003- 2011)</w:t>
      </w:r>
    </w:p>
    <w:p>
      <w:pPr>
        <w:spacing w:after="0" w:line="410" w:lineRule="atLeast"/>
        <w:jc w:val="center"/>
        <w:sectPr>
          <w:pgSz w:w="12250" w:h="15850"/>
          <w:pgMar w:header="0" w:footer="1037" w:top="1360" w:bottom="1220" w:left="1600" w:right="1580"/>
        </w:sectPr>
      </w:pPr>
    </w:p>
    <w:p>
      <w:pPr>
        <w:spacing w:before="77"/>
        <w:ind w:left="0" w:right="0" w:firstLine="0"/>
        <w:jc w:val="right"/>
        <w:rPr>
          <w:rFonts w:ascii="Calibri"/>
          <w:sz w:val="12"/>
        </w:rPr>
      </w:pPr>
      <w:r>
        <w:rPr>
          <w:rFonts w:ascii="Calibri"/>
          <w:w w:val="105"/>
          <w:sz w:val="12"/>
        </w:rPr>
        <w:t>0.00</w:t>
      </w:r>
    </w:p>
    <w:p>
      <w:pPr>
        <w:spacing w:before="37"/>
        <w:ind w:left="0" w:right="0" w:firstLine="0"/>
        <w:jc w:val="right"/>
        <w:rPr>
          <w:rFonts w:ascii="Calibri"/>
          <w:sz w:val="12"/>
        </w:rPr>
      </w:pPr>
      <w:r>
        <w:rPr>
          <w:rFonts w:ascii="Calibri"/>
          <w:w w:val="105"/>
          <w:sz w:val="12"/>
        </w:rPr>
        <w:t>-0.02</w:t>
      </w:r>
    </w:p>
    <w:p>
      <w:pPr>
        <w:spacing w:before="37"/>
        <w:ind w:left="0" w:right="0" w:firstLine="0"/>
        <w:jc w:val="right"/>
        <w:rPr>
          <w:rFonts w:ascii="Calibri"/>
          <w:sz w:val="12"/>
        </w:rPr>
      </w:pPr>
      <w:r>
        <w:rPr>
          <w:rFonts w:ascii="Calibri"/>
          <w:w w:val="105"/>
          <w:sz w:val="12"/>
        </w:rPr>
        <w:t>-0.04</w:t>
      </w:r>
    </w:p>
    <w:p>
      <w:pPr>
        <w:spacing w:before="37"/>
        <w:ind w:left="0" w:right="1" w:firstLine="0"/>
        <w:jc w:val="right"/>
        <w:rPr>
          <w:rFonts w:ascii="Calibri"/>
          <w:sz w:val="12"/>
        </w:rPr>
      </w:pPr>
      <w:r>
        <w:rPr>
          <w:rFonts w:ascii="Calibri"/>
          <w:w w:val="105"/>
          <w:sz w:val="12"/>
        </w:rPr>
        <w:t>-0.06</w:t>
      </w:r>
    </w:p>
    <w:p>
      <w:pPr>
        <w:spacing w:before="37"/>
        <w:ind w:left="0" w:right="1" w:firstLine="0"/>
        <w:jc w:val="right"/>
        <w:rPr>
          <w:rFonts w:ascii="Calibri"/>
          <w:sz w:val="12"/>
        </w:rPr>
      </w:pPr>
      <w:r>
        <w:rPr>
          <w:rFonts w:ascii="Calibri"/>
          <w:w w:val="105"/>
          <w:sz w:val="12"/>
        </w:rPr>
        <w:t>-0.08</w:t>
      </w:r>
    </w:p>
    <w:p>
      <w:pPr>
        <w:spacing w:before="37"/>
        <w:ind w:left="0" w:right="1" w:firstLine="0"/>
        <w:jc w:val="right"/>
        <w:rPr>
          <w:rFonts w:ascii="Calibri"/>
          <w:sz w:val="12"/>
        </w:rPr>
      </w:pPr>
      <w:r>
        <w:rPr>
          <w:rFonts w:ascii="Calibri"/>
          <w:w w:val="105"/>
          <w:sz w:val="12"/>
        </w:rPr>
        <w:t>-0.10</w:t>
      </w:r>
    </w:p>
    <w:p>
      <w:pPr>
        <w:spacing w:before="37"/>
        <w:ind w:left="0" w:right="0" w:firstLine="0"/>
        <w:jc w:val="right"/>
        <w:rPr>
          <w:rFonts w:ascii="Calibri"/>
          <w:sz w:val="12"/>
        </w:rPr>
      </w:pPr>
      <w:r>
        <w:rPr>
          <w:rFonts w:ascii="Calibri"/>
          <w:w w:val="105"/>
          <w:sz w:val="12"/>
        </w:rPr>
        <w:t>-0.12</w:t>
      </w:r>
    </w:p>
    <w:p>
      <w:pPr>
        <w:spacing w:before="37"/>
        <w:ind w:left="0" w:right="1" w:firstLine="0"/>
        <w:jc w:val="right"/>
        <w:rPr>
          <w:rFonts w:ascii="Calibri"/>
          <w:sz w:val="12"/>
        </w:rPr>
      </w:pPr>
      <w:r>
        <w:rPr>
          <w:rFonts w:ascii="Calibri"/>
          <w:w w:val="105"/>
          <w:sz w:val="12"/>
        </w:rPr>
        <w:t>-0.14</w:t>
      </w:r>
    </w:p>
    <w:p>
      <w:pPr>
        <w:spacing w:before="37"/>
        <w:ind w:left="0" w:right="1" w:firstLine="0"/>
        <w:jc w:val="right"/>
        <w:rPr>
          <w:rFonts w:ascii="Calibri"/>
          <w:sz w:val="12"/>
        </w:rPr>
      </w:pPr>
      <w:r>
        <w:rPr>
          <w:rFonts w:ascii="Calibri"/>
          <w:w w:val="105"/>
          <w:sz w:val="12"/>
        </w:rPr>
        <w:t>-0.16</w:t>
      </w:r>
    </w:p>
    <w:p>
      <w:pPr>
        <w:spacing w:before="37"/>
        <w:ind w:left="0" w:right="1" w:firstLine="0"/>
        <w:jc w:val="right"/>
        <w:rPr>
          <w:rFonts w:ascii="Calibri"/>
          <w:sz w:val="12"/>
        </w:rPr>
      </w:pPr>
      <w:r>
        <w:rPr>
          <w:rFonts w:ascii="Calibri"/>
          <w:w w:val="105"/>
          <w:sz w:val="12"/>
        </w:rPr>
        <w:t>-0.18</w:t>
      </w:r>
    </w:p>
    <w:p>
      <w:pPr>
        <w:spacing w:before="37"/>
        <w:ind w:left="0" w:right="0" w:firstLine="0"/>
        <w:jc w:val="right"/>
        <w:rPr>
          <w:rFonts w:ascii="Calibri"/>
          <w:sz w:val="12"/>
        </w:rPr>
      </w:pPr>
      <w:r>
        <w:rPr>
          <w:rFonts w:ascii="Calibri"/>
          <w:w w:val="105"/>
          <w:sz w:val="12"/>
        </w:rPr>
        <w:t>-0.20</w:t>
      </w:r>
    </w:p>
    <w:p>
      <w:pPr>
        <w:pStyle w:val="BodyText"/>
        <w:spacing w:before="6" w:after="40"/>
        <w:rPr>
          <w:rFonts w:ascii="Calibri"/>
          <w:sz w:val="8"/>
        </w:rPr>
      </w:pPr>
      <w:r>
        <w:rPr/>
        <w:br w:type="column"/>
      </w:r>
      <w:r>
        <w:rPr>
          <w:rFonts w:ascii="Calibri"/>
          <w:sz w:val="8"/>
        </w:rPr>
      </w:r>
    </w:p>
    <w:p>
      <w:pPr>
        <w:pStyle w:val="BodyText"/>
        <w:ind w:left="44"/>
        <w:rPr>
          <w:rFonts w:ascii="Calibri"/>
          <w:sz w:val="20"/>
        </w:rPr>
      </w:pPr>
      <w:r>
        <w:rPr>
          <w:rFonts w:ascii="Calibri"/>
          <w:sz w:val="20"/>
        </w:rPr>
        <w:pict>
          <v:group style="width:207.55pt;height:92.5pt;mso-position-horizontal-relative:char;mso-position-vertical-relative:line" coordorigin="0,0" coordsize="4151,1850">
            <v:line style="position:absolute" from="44,1844" to="4146,1844" stroked="true" strokeweight=".459826pt" strokecolor="#858585">
              <v:stroke dashstyle="dash"/>
            </v:line>
            <v:line style="position:absolute" from="39,1656" to="4141,1656" stroked="true" strokeweight=".459826pt" strokecolor="#858585">
              <v:stroke dashstyle="dash"/>
            </v:line>
            <v:line style="position:absolute" from="39,1472" to="4141,1472" stroked="true" strokeweight=".459826pt" strokecolor="#858585">
              <v:stroke dashstyle="dash"/>
            </v:line>
            <v:line style="position:absolute" from="39,1288" to="4141,1288" stroked="true" strokeweight=".459826pt" strokecolor="#858585">
              <v:stroke dashstyle="dash"/>
            </v:line>
            <v:line style="position:absolute" from="39,1104" to="4141,1104" stroked="true" strokeweight=".459826pt" strokecolor="#858585">
              <v:stroke dashstyle="dash"/>
            </v:line>
            <v:line style="position:absolute" from="39,929" to="4141,929" stroked="true" strokeweight=".459826pt" strokecolor="#858585">
              <v:stroke dashstyle="dash"/>
            </v:line>
            <v:line style="position:absolute" from="39,745" to="4141,745" stroked="true" strokeweight=".459826pt" strokecolor="#858585">
              <v:stroke dashstyle="dash"/>
            </v:line>
            <v:line style="position:absolute" from="39,561" to="4141,561" stroked="true" strokeweight=".459826pt" strokecolor="#858585">
              <v:stroke dashstyle="dash"/>
            </v:line>
            <v:line style="position:absolute" from="39,378" to="4141,378" stroked="true" strokeweight=".459826pt" strokecolor="#858585">
              <v:stroke dashstyle="dash"/>
            </v:line>
            <v:line style="position:absolute" from="39,194" to="4141,194" stroked="true" strokeweight=".459826pt" strokecolor="#858585">
              <v:stroke dashstyle="dash"/>
            </v:line>
            <v:shape style="position:absolute;left:183;top:10;width:173;height:579" type="#_x0000_t75" stroked="false">
              <v:imagedata r:id="rId173" o:title=""/>
            </v:shape>
            <v:shape style="position:absolute;left:636;top:10;width:183;height:405" type="#_x0000_t75" stroked="false">
              <v:imagedata r:id="rId174" o:title=""/>
            </v:shape>
            <v:shape style="position:absolute;left:1088;top:10;width:183;height:561" type="#_x0000_t75" stroked="false">
              <v:imagedata r:id="rId175" o:title=""/>
            </v:shape>
            <v:shape style="position:absolute;left:1550;top:10;width:173;height:1104" type="#_x0000_t75" stroked="false">
              <v:imagedata r:id="rId176" o:title=""/>
            </v:shape>
            <v:shape style="position:absolute;left:2003;top:10;width:183;height:1260" type="#_x0000_t75" stroked="false">
              <v:imagedata r:id="rId177" o:title=""/>
            </v:shape>
            <v:shape style="position:absolute;left:2456;top:10;width:183;height:1637" type="#_x0000_t75" stroked="false">
              <v:imagedata r:id="rId178" o:title=""/>
            </v:shape>
            <v:shape style="position:absolute;left:2918;top:10;width:173;height:1343" type="#_x0000_t75" stroked="false">
              <v:imagedata r:id="rId179" o:title=""/>
            </v:shape>
            <v:shape style="position:absolute;left:3370;top:10;width:183;height:1278" type="#_x0000_t75" stroked="false">
              <v:imagedata r:id="rId180" o:title=""/>
            </v:shape>
            <v:shape style="position:absolute;left:3823;top:10;width:183;height:1242" type="#_x0000_t75" stroked="false">
              <v:imagedata r:id="rId181" o:title=""/>
            </v:shape>
            <v:line style="position:absolute" from="44,1844" to="44,5" stroked="true" strokeweight=".481463pt" strokecolor="#858585"/>
            <v:line style="position:absolute" from="5,1844" to="44,1844" stroked="true" strokeweight=".459826pt" strokecolor="#858585"/>
            <v:line style="position:absolute" from="5,1660" to="44,1660" stroked="true" strokeweight=".459826pt" strokecolor="#858585"/>
            <v:line style="position:absolute" from="5,1476" to="44,1476" stroked="true" strokeweight=".459826pt" strokecolor="#858585"/>
            <v:line style="position:absolute" from="5,1293" to="44,1293" stroked="true" strokeweight=".459826pt" strokecolor="#858585"/>
            <v:line style="position:absolute" from="5,1109" to="44,1109" stroked="true" strokeweight=".459826pt" strokecolor="#858585"/>
            <v:line style="position:absolute" from="5,925" to="44,925" stroked="true" strokeweight=".459826pt" strokecolor="#858585"/>
            <v:line style="position:absolute" from="5,741" to="44,741" stroked="true" strokeweight=".459826pt" strokecolor="#858585"/>
            <v:line style="position:absolute" from="5,557" to="44,557" stroked="true" strokeweight=".459826pt" strokecolor="#858585"/>
            <v:line style="position:absolute" from="5,373" to="44,373" stroked="true" strokeweight=".459826pt" strokecolor="#858585"/>
            <v:line style="position:absolute" from="5,189" to="44,189" stroked="true" strokeweight=".459826pt" strokecolor="#858585"/>
            <v:line style="position:absolute" from="5,5" to="44,5" stroked="true" strokeweight=".459826pt" strokecolor="#858585"/>
            <v:line style="position:absolute" from="44,5" to="4146,5" stroked="true" strokeweight=".459826pt" strokecolor="#858585"/>
            <v:line style="position:absolute" from="44,5" to="44,60" stroked="true" strokeweight=".481463pt" strokecolor="#858585"/>
            <v:line style="position:absolute" from="496,5" to="496,60" stroked="true" strokeweight=".481463pt" strokecolor="#858585"/>
            <v:line style="position:absolute" from="958,5" to="958,60" stroked="true" strokeweight=".481463pt" strokecolor="#858585"/>
            <v:line style="position:absolute" from="1411,5" to="1411,60" stroked="true" strokeweight=".481463pt" strokecolor="#858585"/>
            <v:line style="position:absolute" from="1864,5" to="1864,60" stroked="true" strokeweight=".481463pt" strokecolor="#858585"/>
            <v:line style="position:absolute" from="2326,5" to="2326,60" stroked="true" strokeweight=".481463pt" strokecolor="#858585"/>
            <v:line style="position:absolute" from="2778,5" to="2778,60" stroked="true" strokeweight=".481463pt" strokecolor="#858585"/>
            <v:line style="position:absolute" from="3231,5" to="3231,60" stroked="true" strokeweight=".481463pt" strokecolor="#858585"/>
            <v:line style="position:absolute" from="3693,5" to="3693,60" stroked="true" strokeweight=".481463pt" strokecolor="#858585"/>
            <v:line style="position:absolute" from="4146,5" to="4146,60" stroked="true" strokeweight=".481463pt" strokecolor="#858585"/>
            <v:shape style="position:absolute;left:0;top:0;width:4151;height:1849" type="#_x0000_t202" filled="false" stroked="false">
              <v:textbox inset="0,0,0,0">
                <w:txbxContent>
                  <w:p>
                    <w:pPr>
                      <w:spacing w:before="108"/>
                      <w:ind w:left="110" w:right="0" w:firstLine="0"/>
                      <w:jc w:val="left"/>
                      <w:rPr>
                        <w:rFonts w:ascii="Calibri"/>
                        <w:sz w:val="14"/>
                      </w:rPr>
                    </w:pPr>
                    <w:r>
                      <w:rPr>
                        <w:rFonts w:ascii="Calibri"/>
                        <w:w w:val="110"/>
                        <w:sz w:val="14"/>
                      </w:rPr>
                      <w:t>2003    2004    2005    2006    2007    2008    2009    2010  2011</w:t>
                    </w:r>
                  </w:p>
                </w:txbxContent>
              </v:textbox>
              <w10:wrap type="none"/>
            </v:shape>
          </v:group>
        </w:pict>
      </w:r>
      <w:r>
        <w:rPr>
          <w:rFonts w:ascii="Calibri"/>
          <w:sz w:val="20"/>
        </w:rPr>
      </w:r>
    </w:p>
    <w:p>
      <w:pPr>
        <w:spacing w:line="244" w:lineRule="auto" w:before="131"/>
        <w:ind w:left="496" w:right="2840" w:firstLine="0"/>
        <w:jc w:val="left"/>
        <w:rPr>
          <w:rFonts w:ascii="Cambria" w:hAnsi="Cambria"/>
          <w:sz w:val="17"/>
        </w:rPr>
      </w:pPr>
      <w:r>
        <w:rPr/>
        <w:drawing>
          <wp:anchor distT="0" distB="0" distL="0" distR="0" allowOverlap="1" layoutInCell="1" locked="0" behindDoc="0" simplePos="0" relativeHeight="7528">
            <wp:simplePos x="0" y="0"/>
            <wp:positionH relativeFrom="page">
              <wp:posOffset>2862359</wp:posOffset>
            </wp:positionH>
            <wp:positionV relativeFrom="paragraph">
              <wp:posOffset>116841</wp:posOffset>
            </wp:positionV>
            <wp:extent cx="61145" cy="58397"/>
            <wp:effectExtent l="0" t="0" r="0" b="0"/>
            <wp:wrapNone/>
            <wp:docPr id="41" name="image166.png" descr=""/>
            <wp:cNvGraphicFramePr>
              <a:graphicFrameLocks noChangeAspect="1"/>
            </wp:cNvGraphicFramePr>
            <a:graphic>
              <a:graphicData uri="http://schemas.openxmlformats.org/drawingml/2006/picture">
                <pic:pic>
                  <pic:nvPicPr>
                    <pic:cNvPr id="42" name="image166.png"/>
                    <pic:cNvPicPr/>
                  </pic:nvPicPr>
                  <pic:blipFill>
                    <a:blip r:embed="rId182" cstate="print"/>
                    <a:stretch>
                      <a:fillRect/>
                    </a:stretch>
                  </pic:blipFill>
                  <pic:spPr>
                    <a:xfrm>
                      <a:off x="0" y="0"/>
                      <a:ext cx="61145" cy="58397"/>
                    </a:xfrm>
                    <a:prstGeom prst="rect">
                      <a:avLst/>
                    </a:prstGeom>
                  </pic:spPr>
                </pic:pic>
              </a:graphicData>
            </a:graphic>
          </wp:anchor>
        </w:drawing>
      </w:r>
      <w:r>
        <w:rPr>
          <w:rFonts w:ascii="Cambria" w:hAnsi="Cambria"/>
          <w:w w:val="110"/>
          <w:sz w:val="17"/>
        </w:rPr>
        <w:t>%</w:t>
      </w:r>
      <w:r>
        <w:rPr>
          <w:rFonts w:ascii="Cambria" w:hAnsi="Cambria"/>
          <w:spacing w:val="-23"/>
          <w:w w:val="110"/>
          <w:sz w:val="17"/>
        </w:rPr>
        <w:t> </w:t>
      </w:r>
      <w:r>
        <w:rPr>
          <w:rFonts w:ascii="Cambria" w:hAnsi="Cambria"/>
          <w:w w:val="110"/>
          <w:sz w:val="17"/>
        </w:rPr>
        <w:t>de</w:t>
      </w:r>
      <w:r>
        <w:rPr>
          <w:rFonts w:ascii="Cambria" w:hAnsi="Cambria"/>
          <w:spacing w:val="-25"/>
          <w:w w:val="110"/>
          <w:sz w:val="17"/>
        </w:rPr>
        <w:t> </w:t>
      </w:r>
      <w:r>
        <w:rPr>
          <w:rFonts w:ascii="Cambria" w:hAnsi="Cambria"/>
          <w:w w:val="110"/>
          <w:sz w:val="17"/>
        </w:rPr>
        <w:t>contracción</w:t>
      </w:r>
      <w:r>
        <w:rPr>
          <w:rFonts w:ascii="Cambria" w:hAnsi="Cambria"/>
          <w:spacing w:val="-14"/>
          <w:w w:val="110"/>
          <w:sz w:val="17"/>
        </w:rPr>
        <w:t> </w:t>
      </w:r>
      <w:r>
        <w:rPr>
          <w:rFonts w:ascii="Cambria" w:hAnsi="Cambria"/>
          <w:w w:val="110"/>
          <w:sz w:val="17"/>
        </w:rPr>
        <w:t>del</w:t>
      </w:r>
      <w:r>
        <w:rPr>
          <w:rFonts w:ascii="Cambria" w:hAnsi="Cambria"/>
          <w:spacing w:val="-24"/>
          <w:w w:val="110"/>
          <w:sz w:val="17"/>
        </w:rPr>
        <w:t> </w:t>
      </w:r>
      <w:r>
        <w:rPr>
          <w:rFonts w:ascii="Cambria" w:hAnsi="Cambria"/>
          <w:w w:val="110"/>
          <w:sz w:val="17"/>
        </w:rPr>
        <w:t>PIB</w:t>
      </w:r>
      <w:r>
        <w:rPr>
          <w:rFonts w:ascii="Cambria" w:hAnsi="Cambria"/>
          <w:spacing w:val="-14"/>
          <w:w w:val="110"/>
          <w:sz w:val="17"/>
        </w:rPr>
        <w:t> </w:t>
      </w:r>
      <w:r>
        <w:rPr>
          <w:rFonts w:ascii="Cambria" w:hAnsi="Cambria"/>
          <w:w w:val="110"/>
          <w:sz w:val="17"/>
        </w:rPr>
        <w:t>real</w:t>
      </w:r>
      <w:r>
        <w:rPr>
          <w:rFonts w:ascii="Cambria" w:hAnsi="Cambria"/>
          <w:spacing w:val="-24"/>
          <w:w w:val="110"/>
          <w:sz w:val="17"/>
        </w:rPr>
        <w:t> </w:t>
      </w:r>
      <w:r>
        <w:rPr>
          <w:rFonts w:ascii="Cambria" w:hAnsi="Cambria"/>
          <w:w w:val="110"/>
          <w:sz w:val="17"/>
        </w:rPr>
        <w:t>con</w:t>
      </w:r>
      <w:r>
        <w:rPr>
          <w:rFonts w:ascii="Cambria" w:hAnsi="Cambria"/>
          <w:spacing w:val="-14"/>
          <w:w w:val="110"/>
          <w:sz w:val="17"/>
        </w:rPr>
        <w:t> </w:t>
      </w:r>
      <w:r>
        <w:rPr>
          <w:rFonts w:ascii="Cambria" w:hAnsi="Cambria"/>
          <w:w w:val="110"/>
          <w:sz w:val="17"/>
        </w:rPr>
        <w:t>valores observados</w:t>
      </w:r>
    </w:p>
    <w:p>
      <w:pPr>
        <w:spacing w:after="0" w:line="244" w:lineRule="auto"/>
        <w:jc w:val="left"/>
        <w:rPr>
          <w:rFonts w:ascii="Cambria" w:hAnsi="Cambria"/>
          <w:sz w:val="17"/>
        </w:rPr>
        <w:sectPr>
          <w:type w:val="continuous"/>
          <w:pgSz w:w="12250" w:h="15850"/>
          <w:pgMar w:top="1500" w:bottom="280" w:left="1600" w:right="1580"/>
          <w:cols w:num="2" w:equalWidth="0">
            <w:col w:w="2515" w:space="40"/>
            <w:col w:w="6515"/>
          </w:cols>
        </w:sectPr>
      </w:pPr>
    </w:p>
    <w:p>
      <w:pPr>
        <w:spacing w:before="102"/>
        <w:ind w:left="810" w:right="127" w:firstLine="0"/>
        <w:jc w:val="left"/>
        <w:rPr>
          <w:sz w:val="20"/>
        </w:rPr>
      </w:pPr>
      <w:r>
        <w:rPr>
          <w:sz w:val="20"/>
        </w:rPr>
        <w:t>Fuente: Elaboración propia con base en datos del Banco Central de Bolivia (2012).</w:t>
      </w:r>
    </w:p>
    <w:p>
      <w:pPr>
        <w:spacing w:after="0"/>
        <w:jc w:val="left"/>
        <w:rPr>
          <w:sz w:val="20"/>
        </w:rPr>
        <w:sectPr>
          <w:type w:val="continuous"/>
          <w:pgSz w:w="12250" w:h="15850"/>
          <w:pgMar w:top="1500" w:bottom="280" w:left="1600" w:right="1580"/>
        </w:sectPr>
      </w:pPr>
    </w:p>
    <w:p>
      <w:pPr>
        <w:pStyle w:val="BodyText"/>
        <w:spacing w:line="360" w:lineRule="auto" w:before="50"/>
        <w:ind w:left="102" w:right="117" w:firstLine="707"/>
        <w:jc w:val="both"/>
      </w:pPr>
      <w:r>
        <w:rPr/>
        <w:t>Sin embargo, se presenta una mejora en la sostenibilidad fiscal al ahorrar los ingresos fiscales del gas natural: 1] el déficit en el balance primario no petrolero se reduce al 2% del PIB, que corresponde a la rentabilidad obtenida por el fondo petrolero (</w:t>
      </w:r>
      <w:r>
        <w:rPr>
          <w:i/>
        </w:rPr>
        <w:t>figura </w:t>
      </w:r>
      <w:r>
        <w:rPr>
          <w:i/>
        </w:rPr>
        <w:t>2.27)</w:t>
      </w:r>
      <w:r>
        <w:rPr/>
        <w:t>; 2] la deuda pública se reduce en 30%, en promedio, al comparar con los valores observados  (</w:t>
      </w:r>
      <w:r>
        <w:rPr>
          <w:i/>
        </w:rPr>
        <w:t>véase figura 2.30, panel</w:t>
      </w:r>
      <w:r>
        <w:rPr>
          <w:i/>
          <w:spacing w:val="-6"/>
        </w:rPr>
        <w:t> </w:t>
      </w:r>
      <w:r>
        <w:rPr>
          <w:i/>
        </w:rPr>
        <w:t>b</w:t>
      </w:r>
      <w:r>
        <w:rPr/>
        <w:t>).</w:t>
      </w:r>
    </w:p>
    <w:p>
      <w:pPr>
        <w:pStyle w:val="BodyText"/>
      </w:pPr>
    </w:p>
    <w:p>
      <w:pPr>
        <w:pStyle w:val="BodyText"/>
        <w:spacing w:line="360" w:lineRule="auto" w:before="143" w:after="12"/>
        <w:ind w:right="17"/>
        <w:jc w:val="center"/>
      </w:pPr>
      <w:bookmarkStart w:name="_bookmark74" w:id="106"/>
      <w:bookmarkEnd w:id="106"/>
      <w:r>
        <w:rPr/>
      </w:r>
      <w:r>
        <w:rPr/>
        <w:t>Figura 2. 29: Impacto sobre el balance primario no petrolero (</w:t>
      </w:r>
      <w:r>
        <w:rPr>
          <w:i/>
        </w:rPr>
        <w:t>bpnp</w:t>
      </w:r>
      <w:r>
        <w:rPr/>
        <w:t>) al ahorrar los ingresos fiscales del gas natural, 2003 - 2011</w:t>
      </w:r>
    </w:p>
    <w:p>
      <w:pPr>
        <w:pStyle w:val="BodyText"/>
        <w:ind w:left="2526"/>
        <w:rPr>
          <w:sz w:val="20"/>
        </w:rPr>
      </w:pPr>
      <w:r>
        <w:rPr>
          <w:sz w:val="20"/>
        </w:rPr>
        <w:drawing>
          <wp:inline distT="0" distB="0" distL="0" distR="0">
            <wp:extent cx="2497286" cy="1603533"/>
            <wp:effectExtent l="0" t="0" r="0" b="0"/>
            <wp:docPr id="43" name="image167.jpeg" descr=""/>
            <wp:cNvGraphicFramePr>
              <a:graphicFrameLocks noChangeAspect="1"/>
            </wp:cNvGraphicFramePr>
            <a:graphic>
              <a:graphicData uri="http://schemas.openxmlformats.org/drawingml/2006/picture">
                <pic:pic>
                  <pic:nvPicPr>
                    <pic:cNvPr id="44" name="image167.jpeg"/>
                    <pic:cNvPicPr/>
                  </pic:nvPicPr>
                  <pic:blipFill>
                    <a:blip r:embed="rId183" cstate="print"/>
                    <a:stretch>
                      <a:fillRect/>
                    </a:stretch>
                  </pic:blipFill>
                  <pic:spPr>
                    <a:xfrm>
                      <a:off x="0" y="0"/>
                      <a:ext cx="2497286" cy="1603533"/>
                    </a:xfrm>
                    <a:prstGeom prst="rect">
                      <a:avLst/>
                    </a:prstGeom>
                  </pic:spPr>
                </pic:pic>
              </a:graphicData>
            </a:graphic>
          </wp:inline>
        </w:drawing>
      </w:r>
      <w:r>
        <w:rPr>
          <w:sz w:val="20"/>
        </w:rPr>
      </w:r>
    </w:p>
    <w:p>
      <w:pPr>
        <w:spacing w:before="48"/>
        <w:ind w:left="0" w:right="16" w:firstLine="0"/>
        <w:jc w:val="center"/>
        <w:rPr>
          <w:sz w:val="20"/>
        </w:rPr>
      </w:pPr>
      <w:r>
        <w:rPr>
          <w:sz w:val="20"/>
        </w:rPr>
        <w:t>Fuente: Elaboración propia con base en datos del Banco Central de Bolivia (2012).</w:t>
      </w:r>
    </w:p>
    <w:p>
      <w:pPr>
        <w:pStyle w:val="BodyText"/>
        <w:rPr>
          <w:sz w:val="20"/>
        </w:rPr>
      </w:pPr>
    </w:p>
    <w:p>
      <w:pPr>
        <w:pStyle w:val="BodyText"/>
        <w:rPr>
          <w:sz w:val="16"/>
        </w:rPr>
      </w:pPr>
    </w:p>
    <w:p>
      <w:pPr>
        <w:pStyle w:val="BodyText"/>
        <w:spacing w:line="360" w:lineRule="auto"/>
        <w:ind w:right="20"/>
        <w:jc w:val="center"/>
      </w:pPr>
      <w:bookmarkStart w:name="_bookmark75" w:id="107"/>
      <w:bookmarkEnd w:id="107"/>
      <w:r>
        <w:rPr/>
      </w:r>
      <w:r>
        <w:rPr/>
        <w:t>Figura 2. 30: Impacto sobre la deuda pública (</w:t>
      </w:r>
      <w:r>
        <w:rPr>
          <w:i/>
        </w:rPr>
        <w:t>dp</w:t>
      </w:r>
      <w:r>
        <w:rPr/>
        <w:t>) al ahorrar los ingresos fiscales del gas natural, 2003- 2011</w:t>
      </w:r>
    </w:p>
    <w:p>
      <w:pPr>
        <w:pStyle w:val="ListParagraph"/>
        <w:numPr>
          <w:ilvl w:val="3"/>
          <w:numId w:val="10"/>
        </w:numPr>
        <w:tabs>
          <w:tab w:pos="2102" w:val="left" w:leader="none"/>
          <w:tab w:pos="4832" w:val="left" w:leader="none"/>
        </w:tabs>
        <w:spacing w:line="240" w:lineRule="auto" w:before="1" w:after="8"/>
        <w:ind w:left="2101" w:right="0" w:hanging="259"/>
        <w:jc w:val="left"/>
        <w:rPr>
          <w:sz w:val="24"/>
        </w:rPr>
      </w:pPr>
      <w:r>
        <w:rPr>
          <w:sz w:val="24"/>
        </w:rPr>
        <w:t>Deuda</w:t>
      </w:r>
      <w:r>
        <w:rPr>
          <w:spacing w:val="-3"/>
          <w:sz w:val="24"/>
        </w:rPr>
        <w:t> </w:t>
      </w:r>
      <w:r>
        <w:rPr>
          <w:sz w:val="24"/>
        </w:rPr>
        <w:t>pública/PIB</w:t>
        <w:tab/>
      </w:r>
      <w:r>
        <w:rPr>
          <w:i/>
          <w:sz w:val="24"/>
        </w:rPr>
        <w:t>b</w:t>
      </w:r>
      <w:r>
        <w:rPr>
          <w:sz w:val="24"/>
        </w:rPr>
        <w:t>) Disminución porcentual de la</w:t>
      </w:r>
      <w:r>
        <w:rPr>
          <w:spacing w:val="-4"/>
          <w:sz w:val="24"/>
        </w:rPr>
        <w:t> </w:t>
      </w:r>
      <w:r>
        <w:rPr>
          <w:sz w:val="24"/>
        </w:rPr>
        <w:t>deuda</w:t>
      </w:r>
    </w:p>
    <w:p>
      <w:pPr>
        <w:pStyle w:val="BodyText"/>
        <w:ind w:left="811"/>
        <w:rPr>
          <w:sz w:val="20"/>
        </w:rPr>
      </w:pPr>
      <w:r>
        <w:rPr>
          <w:sz w:val="20"/>
        </w:rPr>
        <w:pict>
          <v:group style="width:372.45pt;height:127.65pt;mso-position-horizontal-relative:char;mso-position-vertical-relative:line" coordorigin="0,0" coordsize="7449,2553">
            <v:shape style="position:absolute;left:0;top:2;width:3705;height:2551" type="#_x0000_t75" stroked="false">
              <v:imagedata r:id="rId184" o:title=""/>
            </v:shape>
            <v:shape style="position:absolute;left:3750;top:0;width:3699;height:2553" type="#_x0000_t75" stroked="false">
              <v:imagedata r:id="rId185" o:title=""/>
            </v:shape>
          </v:group>
        </w:pict>
      </w:r>
      <w:r>
        <w:rPr>
          <w:sz w:val="20"/>
        </w:rPr>
      </w:r>
    </w:p>
    <w:p>
      <w:pPr>
        <w:spacing w:before="0"/>
        <w:ind w:left="1518" w:right="127" w:firstLine="0"/>
        <w:jc w:val="left"/>
        <w:rPr>
          <w:sz w:val="20"/>
        </w:rPr>
      </w:pPr>
      <w:r>
        <w:rPr>
          <w:sz w:val="20"/>
        </w:rPr>
        <w:t>Fuente: Elaboración propia</w:t>
      </w:r>
    </w:p>
    <w:p>
      <w:pPr>
        <w:pStyle w:val="BodyText"/>
        <w:rPr>
          <w:sz w:val="20"/>
        </w:rPr>
      </w:pPr>
    </w:p>
    <w:p>
      <w:pPr>
        <w:pStyle w:val="BodyText"/>
        <w:spacing w:before="1"/>
        <w:rPr>
          <w:sz w:val="28"/>
        </w:rPr>
      </w:pPr>
    </w:p>
    <w:p>
      <w:pPr>
        <w:pStyle w:val="BodyText"/>
        <w:spacing w:line="360" w:lineRule="auto"/>
        <w:ind w:left="102" w:right="121" w:firstLine="707"/>
        <w:jc w:val="both"/>
      </w:pPr>
      <w:r>
        <w:rPr/>
        <w:t>De forma final, la generación de ahorro gasífero en un fondo de inversiones se constituye en reservas monetarias en torno al PIB (</w:t>
      </w:r>
      <w:r>
        <w:rPr>
          <w:i/>
        </w:rPr>
        <w:t>figura 2.31</w:t>
      </w:r>
      <w:r>
        <w:rPr/>
        <w:t>):</w:t>
      </w:r>
    </w:p>
    <w:p>
      <w:pPr>
        <w:spacing w:after="0" w:line="360" w:lineRule="auto"/>
        <w:jc w:val="both"/>
        <w:sectPr>
          <w:pgSz w:w="12250" w:h="15850"/>
          <w:pgMar w:header="0" w:footer="1037" w:top="1360" w:bottom="1220" w:left="1600" w:right="1580"/>
        </w:sectPr>
      </w:pPr>
    </w:p>
    <w:p>
      <w:pPr>
        <w:pStyle w:val="BodyText"/>
        <w:spacing w:line="360" w:lineRule="auto" w:before="50"/>
        <w:ind w:left="2725" w:right="1528" w:hanging="956"/>
      </w:pPr>
      <w:bookmarkStart w:name="_bookmark76" w:id="108"/>
      <w:bookmarkEnd w:id="108"/>
      <w:r>
        <w:rPr/>
      </w:r>
      <w:r>
        <w:rPr/>
        <w:t>Figura 2. 31: Constitución del Fondo de ahorro petrolero (En porcentaje del PIB, 2003 – 2011)</w:t>
      </w:r>
    </w:p>
    <w:p>
      <w:pPr>
        <w:spacing w:before="63"/>
        <w:ind w:left="2253" w:right="127" w:firstLine="0"/>
        <w:jc w:val="left"/>
        <w:rPr>
          <w:rFonts w:ascii="Calibri"/>
          <w:sz w:val="12"/>
        </w:rPr>
      </w:pPr>
      <w:r>
        <w:rPr/>
        <w:pict>
          <v:group style="position:absolute;margin-left:208.190353pt;margin-top:6.470302pt;width:210.05pt;height:100.6pt;mso-position-horizontal-relative:page;mso-position-vertical-relative:paragraph;z-index:7576" coordorigin="4164,129" coordsize="4201,2012">
            <v:line style="position:absolute" from="4208,1775" to="8360,1775" stroked="true" strokeweight=".475427pt" strokecolor="#858585">
              <v:stroke dashstyle="dash"/>
            </v:line>
            <v:shape style="position:absolute;left:4805;top:1846;width:187;height:257" type="#_x0000_t75" stroked="false">
              <v:imagedata r:id="rId186" o:title=""/>
            </v:shape>
            <v:shape style="position:absolute;left:5268;top:1694;width:187;height:409" type="#_x0000_t75" stroked="false">
              <v:imagedata r:id="rId187" o:title=""/>
            </v:shape>
            <v:line style="position:absolute" from="4213,1447" to="8355,1447" stroked="true" strokeweight=".475427pt" strokecolor="#858585">
              <v:stroke dashstyle="dash"/>
            </v:line>
            <v:shape style="position:absolute;left:5732;top:1418;width:187;height:685" type="#_x0000_t75" stroked="false">
              <v:imagedata r:id="rId188" o:title=""/>
            </v:shape>
            <v:line style="position:absolute" from="4213,1114" to="8355,1114" stroked="true" strokeweight=".475427pt" strokecolor="#858585">
              <v:stroke dashstyle="dash"/>
            </v:line>
            <v:shape style="position:absolute;left:6195;top:1123;width:177;height:979" type="#_x0000_t75" stroked="false">
              <v:imagedata r:id="rId189" o:title=""/>
            </v:shape>
            <v:line style="position:absolute" from="4213,790" to="8355,790" stroked="true" strokeweight=".475427pt" strokecolor="#858585">
              <v:stroke dashstyle="dash"/>
            </v:line>
            <v:shape style="position:absolute;left:6649;top:810;width:187;height:1293" type="#_x0000_t75" stroked="false">
              <v:imagedata r:id="rId190" o:title=""/>
            </v:shape>
            <v:line style="position:absolute" from="4213,467" to="8355,467" stroked="true" strokeweight=".475427pt" strokecolor="#858585">
              <v:stroke dashstyle="dash"/>
            </v:line>
            <v:shape style="position:absolute;left:7112;top:448;width:187;height:1654" type="#_x0000_t75" stroked="false">
              <v:imagedata r:id="rId191" o:title=""/>
            </v:shape>
            <v:shape style="position:absolute;left:7576;top:258;width:187;height:1845" type="#_x0000_t75" stroked="false">
              <v:imagedata r:id="rId192" o:title=""/>
            </v:shape>
            <v:shape style="position:absolute;left:8039;top:220;width:177;height:1883" type="#_x0000_t75" stroked="false">
              <v:imagedata r:id="rId193" o:title=""/>
            </v:shape>
            <v:line style="position:absolute" from="4213,134" to="8355,134" stroked="true" strokeweight=".475427pt" strokecolor="#858585">
              <v:stroke dashstyle="dash"/>
            </v:line>
            <v:shape style="position:absolute;left:623;top:9445;width:60;height:3090" coordorigin="623,9445" coordsize="60,3090" path="m4208,2098l4208,139m4169,2098l4208,2098m4169,1775l4208,1775m4169,1442l4208,1442m4169,1119l4208,1119m4169,795l4208,795m4169,463l4208,463m4169,139l4208,139e" filled="false" stroked="true" strokeweight=".484224pt" strokecolor="#858585">
              <v:path arrowok="t"/>
            </v:shape>
            <v:shape style="position:absolute;left:4351;top:1941;width:177;height:162" type="#_x0000_t75" stroked="false">
              <v:imagedata r:id="rId194" o:title=""/>
            </v:shape>
            <v:shape style="position:absolute;left:683;top:12535;width:6316;height:60" coordorigin="683,12535" coordsize="6316,60" path="m4208,2098l8360,2098m4208,2098l4208,2136m4672,2098l4672,2136m5135,2098l5135,2136m5589,2098l5589,2136m6052,2098l6052,2136m6516,2098l6516,2136m6979,2098l6979,2136m7433,2098l7433,2136m7896,2098l7896,2136m8360,2098l8360,2136e" filled="false" stroked="true" strokeweight=".484224pt" strokecolor="#858585">
              <v:path arrowok="t"/>
            </v:shape>
            <w10:wrap type="none"/>
          </v:group>
        </w:pict>
      </w:r>
      <w:r>
        <w:rPr>
          <w:rFonts w:ascii="Calibri"/>
          <w:w w:val="105"/>
          <w:sz w:val="12"/>
        </w:rPr>
        <w:t>1.20</w:t>
      </w:r>
    </w:p>
    <w:p>
      <w:pPr>
        <w:pStyle w:val="BodyText"/>
        <w:spacing w:before="4"/>
        <w:rPr>
          <w:rFonts w:ascii="Calibri"/>
          <w:sz w:val="8"/>
        </w:rPr>
      </w:pPr>
    </w:p>
    <w:p>
      <w:pPr>
        <w:spacing w:before="80"/>
        <w:ind w:left="2253" w:right="127" w:firstLine="0"/>
        <w:jc w:val="left"/>
        <w:rPr>
          <w:rFonts w:ascii="Calibri"/>
          <w:sz w:val="12"/>
        </w:rPr>
      </w:pPr>
      <w:r>
        <w:rPr>
          <w:rFonts w:ascii="Calibri"/>
          <w:w w:val="105"/>
          <w:sz w:val="12"/>
        </w:rPr>
        <w:t>1.00</w:t>
      </w:r>
    </w:p>
    <w:p>
      <w:pPr>
        <w:pStyle w:val="BodyText"/>
        <w:spacing w:before="4"/>
        <w:rPr>
          <w:rFonts w:ascii="Calibri"/>
          <w:sz w:val="8"/>
        </w:rPr>
      </w:pPr>
    </w:p>
    <w:p>
      <w:pPr>
        <w:spacing w:before="79"/>
        <w:ind w:left="2253" w:right="127" w:firstLine="0"/>
        <w:jc w:val="left"/>
        <w:rPr>
          <w:rFonts w:ascii="Calibri"/>
          <w:sz w:val="12"/>
        </w:rPr>
      </w:pPr>
      <w:r>
        <w:rPr>
          <w:rFonts w:ascii="Calibri"/>
          <w:w w:val="105"/>
          <w:sz w:val="12"/>
        </w:rPr>
        <w:t>0.80</w:t>
      </w:r>
    </w:p>
    <w:p>
      <w:pPr>
        <w:pStyle w:val="BodyText"/>
        <w:spacing w:before="5"/>
        <w:rPr>
          <w:rFonts w:ascii="Calibri"/>
          <w:sz w:val="8"/>
        </w:rPr>
      </w:pPr>
    </w:p>
    <w:p>
      <w:pPr>
        <w:spacing w:before="79"/>
        <w:ind w:left="2253" w:right="127" w:firstLine="0"/>
        <w:jc w:val="left"/>
        <w:rPr>
          <w:rFonts w:ascii="Calibri"/>
          <w:sz w:val="12"/>
        </w:rPr>
      </w:pPr>
      <w:r>
        <w:rPr>
          <w:rFonts w:ascii="Calibri"/>
          <w:w w:val="105"/>
          <w:sz w:val="12"/>
        </w:rPr>
        <w:t>0.60</w:t>
      </w:r>
    </w:p>
    <w:p>
      <w:pPr>
        <w:pStyle w:val="BodyText"/>
        <w:spacing w:before="5"/>
        <w:rPr>
          <w:rFonts w:ascii="Calibri"/>
          <w:sz w:val="8"/>
        </w:rPr>
      </w:pPr>
    </w:p>
    <w:p>
      <w:pPr>
        <w:spacing w:before="79"/>
        <w:ind w:left="2253" w:right="127" w:firstLine="0"/>
        <w:jc w:val="left"/>
        <w:rPr>
          <w:rFonts w:ascii="Calibri"/>
          <w:sz w:val="12"/>
        </w:rPr>
      </w:pPr>
      <w:r>
        <w:rPr>
          <w:rFonts w:ascii="Calibri"/>
          <w:w w:val="105"/>
          <w:sz w:val="12"/>
        </w:rPr>
        <w:t>0.40</w:t>
      </w:r>
    </w:p>
    <w:p>
      <w:pPr>
        <w:pStyle w:val="BodyText"/>
        <w:spacing w:before="5"/>
        <w:rPr>
          <w:rFonts w:ascii="Calibri"/>
          <w:sz w:val="8"/>
        </w:rPr>
      </w:pPr>
    </w:p>
    <w:p>
      <w:pPr>
        <w:spacing w:before="79"/>
        <w:ind w:left="2253" w:right="127" w:firstLine="0"/>
        <w:jc w:val="left"/>
        <w:rPr>
          <w:rFonts w:ascii="Calibri"/>
          <w:sz w:val="12"/>
        </w:rPr>
      </w:pPr>
      <w:r>
        <w:rPr>
          <w:rFonts w:ascii="Calibri"/>
          <w:w w:val="105"/>
          <w:sz w:val="12"/>
        </w:rPr>
        <w:t>0.20</w:t>
      </w:r>
    </w:p>
    <w:p>
      <w:pPr>
        <w:pStyle w:val="BodyText"/>
        <w:spacing w:before="4"/>
        <w:rPr>
          <w:rFonts w:ascii="Calibri"/>
          <w:sz w:val="8"/>
        </w:rPr>
      </w:pPr>
    </w:p>
    <w:p>
      <w:pPr>
        <w:spacing w:before="79"/>
        <w:ind w:left="2253" w:right="127" w:firstLine="0"/>
        <w:jc w:val="left"/>
        <w:rPr>
          <w:rFonts w:ascii="Calibri"/>
          <w:sz w:val="12"/>
        </w:rPr>
      </w:pPr>
      <w:r>
        <w:rPr>
          <w:rFonts w:ascii="Calibri"/>
          <w:w w:val="105"/>
          <w:sz w:val="12"/>
        </w:rPr>
        <w:t>0.00</w:t>
      </w:r>
    </w:p>
    <w:p>
      <w:pPr>
        <w:tabs>
          <w:tab w:pos="4547" w:val="left" w:leader="none"/>
        </w:tabs>
        <w:spacing w:before="19"/>
        <w:ind w:left="2699" w:right="127" w:firstLine="0"/>
        <w:jc w:val="left"/>
        <w:rPr>
          <w:rFonts w:ascii="Calibri"/>
          <w:sz w:val="12"/>
        </w:rPr>
      </w:pPr>
      <w:r>
        <w:rPr>
          <w:rFonts w:ascii="Calibri"/>
          <w:spacing w:val="3"/>
          <w:w w:val="105"/>
          <w:sz w:val="12"/>
        </w:rPr>
        <w:t>2003      </w:t>
      </w:r>
      <w:r>
        <w:rPr>
          <w:rFonts w:ascii="Calibri"/>
          <w:spacing w:val="2"/>
          <w:w w:val="105"/>
          <w:sz w:val="12"/>
        </w:rPr>
        <w:t>2004     </w:t>
      </w:r>
      <w:r>
        <w:rPr>
          <w:rFonts w:ascii="Calibri"/>
          <w:spacing w:val="4"/>
          <w:w w:val="105"/>
          <w:sz w:val="12"/>
        </w:rPr>
        <w:t> </w:t>
      </w:r>
      <w:r>
        <w:rPr>
          <w:rFonts w:ascii="Calibri"/>
          <w:spacing w:val="3"/>
          <w:w w:val="105"/>
          <w:sz w:val="12"/>
        </w:rPr>
        <w:t>2005     </w:t>
      </w:r>
      <w:r>
        <w:rPr>
          <w:rFonts w:ascii="Calibri"/>
          <w:spacing w:val="8"/>
          <w:w w:val="105"/>
          <w:sz w:val="12"/>
        </w:rPr>
        <w:t> </w:t>
      </w:r>
      <w:r>
        <w:rPr>
          <w:rFonts w:ascii="Calibri"/>
          <w:spacing w:val="3"/>
          <w:w w:val="105"/>
          <w:sz w:val="12"/>
        </w:rPr>
        <w:t>2006</w:t>
        <w:tab/>
      </w:r>
      <w:r>
        <w:rPr>
          <w:rFonts w:ascii="Calibri"/>
          <w:spacing w:val="2"/>
          <w:w w:val="105"/>
          <w:sz w:val="12"/>
        </w:rPr>
        <w:t>2007      2008      2009      2010      </w:t>
      </w:r>
      <w:r>
        <w:rPr>
          <w:rFonts w:ascii="Calibri"/>
          <w:spacing w:val="10"/>
          <w:w w:val="105"/>
          <w:sz w:val="12"/>
        </w:rPr>
        <w:t> </w:t>
      </w:r>
      <w:r>
        <w:rPr>
          <w:rFonts w:ascii="Calibri"/>
          <w:spacing w:val="4"/>
          <w:w w:val="105"/>
          <w:sz w:val="12"/>
        </w:rPr>
        <w:t>2011</w:t>
      </w:r>
    </w:p>
    <w:p>
      <w:pPr>
        <w:pStyle w:val="BodyText"/>
        <w:spacing w:before="4"/>
        <w:rPr>
          <w:rFonts w:ascii="Calibri"/>
          <w:sz w:val="11"/>
        </w:rPr>
      </w:pPr>
    </w:p>
    <w:p>
      <w:pPr>
        <w:spacing w:before="0"/>
        <w:ind w:left="239" w:right="22" w:firstLine="0"/>
        <w:jc w:val="center"/>
        <w:rPr>
          <w:rFonts w:ascii="Cambria"/>
          <w:sz w:val="15"/>
        </w:rPr>
      </w:pPr>
      <w:r>
        <w:rPr/>
        <w:drawing>
          <wp:anchor distT="0" distB="0" distL="0" distR="0" allowOverlap="1" layoutInCell="1" locked="0" behindDoc="0" simplePos="0" relativeHeight="7600">
            <wp:simplePos x="0" y="0"/>
            <wp:positionH relativeFrom="page">
              <wp:posOffset>3420470</wp:posOffset>
            </wp:positionH>
            <wp:positionV relativeFrom="paragraph">
              <wp:posOffset>31527</wp:posOffset>
            </wp:positionV>
            <wp:extent cx="50090" cy="48303"/>
            <wp:effectExtent l="0" t="0" r="0" b="0"/>
            <wp:wrapNone/>
            <wp:docPr id="45" name="image179.png" descr=""/>
            <wp:cNvGraphicFramePr>
              <a:graphicFrameLocks noChangeAspect="1"/>
            </wp:cNvGraphicFramePr>
            <a:graphic>
              <a:graphicData uri="http://schemas.openxmlformats.org/drawingml/2006/picture">
                <pic:pic>
                  <pic:nvPicPr>
                    <pic:cNvPr id="46" name="image179.png"/>
                    <pic:cNvPicPr/>
                  </pic:nvPicPr>
                  <pic:blipFill>
                    <a:blip r:embed="rId195" cstate="print"/>
                    <a:stretch>
                      <a:fillRect/>
                    </a:stretch>
                  </pic:blipFill>
                  <pic:spPr>
                    <a:xfrm>
                      <a:off x="0" y="0"/>
                      <a:ext cx="50090" cy="48303"/>
                    </a:xfrm>
                    <a:prstGeom prst="rect">
                      <a:avLst/>
                    </a:prstGeom>
                  </pic:spPr>
                </pic:pic>
              </a:graphicData>
            </a:graphic>
          </wp:anchor>
        </w:drawing>
      </w:r>
      <w:r>
        <w:rPr>
          <w:rFonts w:ascii="Cambria"/>
          <w:w w:val="105"/>
          <w:sz w:val="15"/>
        </w:rPr>
        <w:t>Fondo petrolero/ PIB</w:t>
      </w:r>
    </w:p>
    <w:p>
      <w:pPr>
        <w:spacing w:before="116"/>
        <w:ind w:left="2226" w:right="127" w:firstLine="0"/>
        <w:jc w:val="left"/>
        <w:rPr>
          <w:sz w:val="20"/>
        </w:rPr>
      </w:pPr>
      <w:r>
        <w:rPr>
          <w:sz w:val="20"/>
        </w:rPr>
        <w:t>Fuente: Elaboración propia</w:t>
      </w:r>
    </w:p>
    <w:p>
      <w:pPr>
        <w:pStyle w:val="BodyText"/>
        <w:rPr>
          <w:sz w:val="20"/>
        </w:rPr>
      </w:pPr>
    </w:p>
    <w:p>
      <w:pPr>
        <w:pStyle w:val="BodyText"/>
        <w:rPr>
          <w:sz w:val="16"/>
        </w:rPr>
      </w:pPr>
    </w:p>
    <w:p>
      <w:pPr>
        <w:pStyle w:val="BodyText"/>
        <w:spacing w:line="360" w:lineRule="auto"/>
        <w:ind w:left="102" w:right="118" w:firstLine="707"/>
        <w:jc w:val="both"/>
      </w:pPr>
      <w:r>
        <w:rPr/>
        <w:t>Al aplicar la teoría del ingreso permanente (postura neoclásica) en Bolivia, se observaron cuatro aspectos favorables: i) reducción de la participación del gobierno en la economía; ii) disminución del déficit primario no petrolero como elemento de  sostenibilidad fiscal; iii) disminución de la deuda pública, iv) constitución de reservas monetarias derivadas del recurso natural equivalentes al 100% del PIB en un plazo de siete años.</w:t>
      </w:r>
    </w:p>
    <w:p>
      <w:pPr>
        <w:pStyle w:val="BodyText"/>
        <w:spacing w:line="360" w:lineRule="auto" w:before="6"/>
        <w:ind w:left="102" w:right="116" w:firstLine="707"/>
        <w:jc w:val="both"/>
      </w:pPr>
      <w:r>
        <w:rPr/>
        <w:t>No obstante lo anterior, la gran debilidad de la postura neoclásica fue la continua contracción del PIB en comparación con los valores observados de Bolivia para el período 2003- 2011, lo cual imposibilita la aplicabilidad de este enfoque dado que el crecimiento  del producto del país es un criterio relevante en la teoría económica del bienestar social, referente al crecimiento de la riqueza de la sociedad, la ocupación y la cantidad de bienes para el consumo de la comunidad (Koutsoyanis, 2002, p.</w:t>
      </w:r>
      <w:r>
        <w:rPr>
          <w:spacing w:val="-9"/>
        </w:rPr>
        <w:t> </w:t>
      </w:r>
      <w:r>
        <w:rPr/>
        <w:t>536).</w:t>
      </w:r>
    </w:p>
    <w:p>
      <w:pPr>
        <w:pStyle w:val="BodyText"/>
        <w:spacing w:line="360" w:lineRule="auto" w:before="6"/>
        <w:ind w:left="102" w:right="118" w:firstLine="707"/>
        <w:jc w:val="both"/>
      </w:pPr>
      <w:r>
        <w:rPr/>
        <w:t>En contraposición con la postura neoclásica, la canalización en mayor medida, de los ingresos fiscales del recurso natural hacia la inversión pública, conlleva a mayor crecimiento del producto y por ende a mayor bienestar</w:t>
      </w:r>
      <w:r>
        <w:rPr>
          <w:spacing w:val="-14"/>
        </w:rPr>
        <w:t> </w:t>
      </w:r>
      <w:r>
        <w:rPr/>
        <w:t>social.</w:t>
      </w:r>
    </w:p>
    <w:p>
      <w:pPr>
        <w:pStyle w:val="BodyText"/>
        <w:spacing w:line="360" w:lineRule="auto" w:before="4"/>
        <w:ind w:left="102" w:right="120" w:firstLine="707"/>
        <w:jc w:val="both"/>
      </w:pPr>
      <w:r>
        <w:rPr/>
        <w:t>La justificación Keynesiana se basa en el rol del gasto e inversión pública para estimular la demanda agregada y favorecer al crecimiento económico en vez de contraer el producto (aplicación neoclásica para Bolivia). De igual forma, mediante la postura Keynesiana se pueden observar otros multiplicadores positivos sobre el consumo agregado y la inversión privada (modelo acelerador de inversiones) como efectos</w:t>
      </w:r>
      <w:r>
        <w:rPr>
          <w:spacing w:val="-17"/>
        </w:rPr>
        <w:t> </w:t>
      </w:r>
      <w:r>
        <w:rPr/>
        <w:t>indirectos.</w:t>
      </w:r>
    </w:p>
    <w:p>
      <w:pPr>
        <w:spacing w:after="0" w:line="360" w:lineRule="auto"/>
        <w:jc w:val="both"/>
        <w:sectPr>
          <w:pgSz w:w="12250" w:h="15850"/>
          <w:pgMar w:header="0" w:footer="1037" w:top="1360" w:bottom="1220" w:left="1600" w:right="1580"/>
        </w:sectPr>
      </w:pPr>
    </w:p>
    <w:p>
      <w:pPr>
        <w:pStyle w:val="BodyText"/>
        <w:spacing w:line="360" w:lineRule="auto" w:before="50"/>
        <w:ind w:left="102" w:right="119" w:firstLine="707"/>
        <w:jc w:val="both"/>
      </w:pPr>
      <w:r>
        <w:rPr/>
        <w:t>Pese a lo anterior, se presentan ciertas limitaciones para la aplicación de la postura Keynesiana: i) mayor participación del gobierno en la economía; ii) reducción del superávit fiscal; iii) orientación procíclica de la política fiscal; iv) menores reservas monetarias para hacer frente a choques económicos. De este punto surge un nuevo ámbito en la búsqueda  de la</w:t>
      </w:r>
      <w:r>
        <w:rPr>
          <w:spacing w:val="7"/>
        </w:rPr>
        <w:t> </w:t>
      </w:r>
      <w:r>
        <w:rPr/>
        <w:t>int</w:t>
      </w:r>
      <w:r>
        <w:rPr>
          <w:spacing w:val="-1"/>
          <w:w w:val="177"/>
        </w:rPr>
        <w:t> </w:t>
      </w:r>
      <w:r>
        <w:rPr>
          <w:w w:val="155"/>
        </w:rPr>
        <w:t>  </w:t>
      </w:r>
      <w:r>
        <w:rPr>
          <w:spacing w:val="-2"/>
          <w:w w:val="155"/>
        </w:rPr>
        <w:t> </w:t>
      </w:r>
      <w:r>
        <w:rPr>
          <w:spacing w:val="-1"/>
          <w:w w:val="177"/>
        </w:rPr>
        <w:t>  </w:t>
      </w:r>
      <w:r>
        <w:rPr>
          <w:w w:val="170"/>
        </w:rPr>
        <w:t>   </w:t>
      </w:r>
      <w:r>
        <w:rPr>
          <w:spacing w:val="5"/>
        </w:rPr>
        <w:t> </w:t>
      </w:r>
      <w:r>
        <w:rPr>
          <w:w w:val="188"/>
        </w:rPr>
        <w:t>  </w:t>
      </w:r>
      <w:r>
        <w:rPr>
          <w:spacing w:val="3"/>
        </w:rPr>
        <w:t> </w:t>
      </w:r>
      <w:r>
        <w:rPr>
          <w:spacing w:val="-1"/>
          <w:w w:val="177"/>
        </w:rPr>
        <w:t> </w:t>
      </w:r>
      <w:r>
        <w:rPr>
          <w:w w:val="255"/>
        </w:rPr>
        <w:t> </w:t>
      </w:r>
      <w:r>
        <w:rPr>
          <w:spacing w:val="2"/>
          <w:w w:val="255"/>
        </w:rPr>
        <w:t> </w:t>
      </w:r>
      <w:r>
        <w:rPr>
          <w:spacing w:val="-1"/>
          <w:w w:val="177"/>
        </w:rPr>
        <w:t> </w:t>
      </w:r>
      <w:r>
        <w:rPr>
          <w:w w:val="155"/>
        </w:rPr>
        <w:t> </w:t>
      </w:r>
      <w:r>
        <w:rPr>
          <w:spacing w:val="4"/>
        </w:rPr>
        <w:t> </w:t>
      </w:r>
      <w:r>
        <w:rPr>
          <w:w w:val="155"/>
        </w:rPr>
        <w:t>   </w:t>
      </w:r>
      <w:r>
        <w:rPr>
          <w:spacing w:val="-2"/>
          <w:w w:val="155"/>
        </w:rPr>
        <w:t> </w:t>
      </w:r>
      <w:r>
        <w:rPr>
          <w:w w:val="148"/>
        </w:rPr>
        <w:t>   </w:t>
      </w:r>
      <w:r>
        <w:rPr>
          <w:spacing w:val="4"/>
        </w:rPr>
        <w:t> </w:t>
      </w:r>
      <w:r>
        <w:rPr>
          <w:w w:val="192"/>
        </w:rPr>
        <w:t>   </w:t>
      </w:r>
      <w:r>
        <w:rPr>
          <w:spacing w:val="3"/>
        </w:rPr>
        <w:t> </w:t>
      </w:r>
      <w:r>
        <w:rPr>
          <w:w w:val="188"/>
        </w:rPr>
        <w:t> </w:t>
      </w:r>
      <w:r>
        <w:rPr>
          <w:spacing w:val="-1"/>
          <w:w w:val="188"/>
        </w:rPr>
        <w:t> </w:t>
      </w:r>
      <w:r>
        <w:rPr>
          <w:w w:val="174"/>
        </w:rPr>
        <w:t>      </w:t>
      </w:r>
      <w:r>
        <w:rPr>
          <w:spacing w:val="4"/>
        </w:rPr>
        <w:t> </w:t>
      </w:r>
      <w:r>
        <w:rPr>
          <w:spacing w:val="1"/>
          <w:w w:val="177"/>
        </w:rPr>
        <w:t> </w:t>
      </w:r>
      <w:r>
        <w:rPr>
          <w:w w:val="155"/>
        </w:rPr>
        <w:t>  </w:t>
      </w:r>
      <w:r>
        <w:rPr>
          <w:spacing w:val="-2"/>
          <w:w w:val="155"/>
        </w:rPr>
        <w:t> </w:t>
      </w:r>
      <w:r>
        <w:rPr>
          <w:w w:val="188"/>
        </w:rPr>
        <w:t> </w:t>
      </w:r>
      <w:r>
        <w:rPr>
          <w:spacing w:val="1"/>
          <w:w w:val="188"/>
        </w:rPr>
        <w:t> </w:t>
      </w:r>
      <w:r>
        <w:rPr>
          <w:spacing w:val="-1"/>
          <w:w w:val="177"/>
        </w:rPr>
        <w:t> </w:t>
      </w:r>
      <w:r>
        <w:rPr>
          <w:w w:val="133"/>
        </w:rPr>
        <w:t> </w:t>
      </w:r>
      <w:r>
        <w:rPr/>
        <w:t> </w:t>
      </w:r>
      <w:r>
        <w:rPr>
          <w:spacing w:val="8"/>
        </w:rPr>
        <w:t> </w:t>
      </w:r>
      <w:r>
        <w:rPr>
          <w:w w:val="200"/>
        </w:rPr>
        <w:t>  </w:t>
      </w:r>
      <w:r>
        <w:rPr>
          <w:spacing w:val="4"/>
        </w:rPr>
        <w:t> </w:t>
      </w:r>
      <w:r>
        <w:rPr>
          <w:spacing w:val="-1"/>
          <w:w w:val="177"/>
        </w:rPr>
        <w:t> </w:t>
      </w:r>
      <w:r>
        <w:rPr>
          <w:w w:val="155"/>
        </w:rPr>
        <w:t>    </w:t>
      </w:r>
      <w:r>
        <w:rPr>
          <w:w w:val="151"/>
        </w:rPr>
        <w:t>     </w:t>
      </w:r>
      <w:r>
        <w:rPr>
          <w:spacing w:val="4"/>
        </w:rPr>
        <w:t> </w:t>
      </w:r>
      <w:r>
        <w:rPr>
          <w:spacing w:val="-1"/>
          <w:w w:val="177"/>
        </w:rPr>
        <w:t> </w:t>
      </w:r>
      <w:r>
        <w:rPr>
          <w:w w:val="155"/>
        </w:rPr>
        <w:t> </w:t>
      </w:r>
      <w:r>
        <w:rPr>
          <w:spacing w:val="-2"/>
          <w:w w:val="155"/>
        </w:rPr>
        <w:t> </w:t>
      </w:r>
      <w:r>
        <w:rPr>
          <w:w w:val="155"/>
        </w:rPr>
        <w:t>  </w:t>
      </w:r>
      <w:r>
        <w:rPr>
          <w:spacing w:val="2"/>
        </w:rPr>
        <w:t> </w:t>
      </w:r>
      <w:r>
        <w:rPr>
          <w:spacing w:val="-1"/>
          <w:w w:val="177"/>
        </w:rPr>
        <w:t> </w:t>
      </w:r>
      <w:r>
        <w:rPr>
          <w:w w:val="155"/>
        </w:rPr>
        <w:t>  </w:t>
      </w:r>
      <w:r>
        <w:rPr>
          <w:spacing w:val="-2"/>
          <w:w w:val="155"/>
        </w:rPr>
        <w:t> </w:t>
      </w:r>
      <w:r>
        <w:rPr>
          <w:spacing w:val="2"/>
          <w:w w:val="200"/>
        </w:rPr>
        <w:t> </w:t>
      </w:r>
      <w:r>
        <w:rPr>
          <w:spacing w:val="-1"/>
          <w:w w:val="177"/>
        </w:rPr>
        <w:t>  </w:t>
      </w:r>
      <w:r>
        <w:rPr>
          <w:w w:val="170"/>
        </w:rPr>
        <w:t>   </w:t>
      </w:r>
      <w:r>
        <w:rPr>
          <w:spacing w:val="5"/>
        </w:rPr>
        <w:t> </w:t>
      </w:r>
      <w:r>
        <w:rPr>
          <w:w w:val="188"/>
        </w:rPr>
        <w:t>  </w:t>
      </w:r>
    </w:p>
    <w:p>
      <w:pPr>
        <w:pStyle w:val="BodyText"/>
        <w:spacing w:line="360" w:lineRule="auto" w:before="4"/>
        <w:ind w:left="102" w:right="127"/>
      </w:pPr>
      <w:r>
        <w:rPr>
          <w:w w:val="170"/>
        </w:rPr>
        <w:t>  </w:t>
      </w:r>
      <w:r>
        <w:rPr>
          <w:spacing w:val="-2"/>
          <w:w w:val="170"/>
        </w:rPr>
        <w:t> </w:t>
      </w:r>
      <w:r>
        <w:rPr>
          <w:w w:val="155"/>
        </w:rPr>
        <w:t> </w:t>
      </w:r>
      <w:r>
        <w:rPr>
          <w:spacing w:val="-2"/>
          <w:w w:val="155"/>
        </w:rPr>
        <w:t> </w:t>
      </w:r>
      <w:r>
        <w:rPr>
          <w:w w:val="170"/>
        </w:rPr>
        <w:t>   </w:t>
      </w:r>
      <w:r>
        <w:rPr/>
        <w:t> </w:t>
      </w:r>
      <w:r>
        <w:rPr>
          <w:spacing w:val="24"/>
        </w:rPr>
        <w:t> </w:t>
      </w:r>
      <w:r>
        <w:rPr>
          <w:w w:val="144"/>
        </w:rPr>
        <w:t>   </w:t>
      </w:r>
      <w:r>
        <w:rPr>
          <w:spacing w:val="-1"/>
          <w:w w:val="144"/>
        </w:rPr>
        <w:t> </w:t>
      </w:r>
      <w:r>
        <w:rPr>
          <w:spacing w:val="-1"/>
          <w:w w:val="177"/>
        </w:rPr>
        <w:t> </w:t>
      </w:r>
      <w:r>
        <w:rPr>
          <w:w w:val="148"/>
        </w:rPr>
        <w:t>   </w:t>
      </w:r>
      <w:r>
        <w:rPr/>
        <w:t> </w:t>
      </w:r>
      <w:r>
        <w:rPr>
          <w:spacing w:val="21"/>
        </w:rPr>
        <w:t> </w:t>
      </w:r>
      <w:r>
        <w:rPr>
          <w:w w:val="188"/>
        </w:rPr>
        <w:t> </w:t>
      </w:r>
      <w:r>
        <w:rPr>
          <w:spacing w:val="-1"/>
          <w:w w:val="188"/>
        </w:rPr>
        <w:t> </w:t>
      </w:r>
      <w:r>
        <w:rPr>
          <w:w w:val="111"/>
        </w:rPr>
        <w:t> </w:t>
      </w:r>
      <w:r>
        <w:rPr/>
        <w:t> </w:t>
      </w:r>
      <w:r>
        <w:rPr>
          <w:spacing w:val="21"/>
        </w:rPr>
        <w:t> </w:t>
      </w:r>
      <w:r>
        <w:rPr>
          <w:spacing w:val="1"/>
          <w:w w:val="133"/>
        </w:rPr>
        <w:t> </w:t>
      </w:r>
      <w:r>
        <w:rPr>
          <w:spacing w:val="1"/>
          <w:w w:val="177"/>
        </w:rPr>
        <w:t> </w:t>
      </w:r>
      <w:r>
        <w:rPr>
          <w:spacing w:val="-1"/>
          <w:w w:val="177"/>
        </w:rPr>
        <w:t> </w:t>
      </w:r>
      <w:r>
        <w:rPr>
          <w:w w:val="166"/>
        </w:rPr>
        <w:t> </w:t>
      </w:r>
      <w:r>
        <w:rPr>
          <w:spacing w:val="-1"/>
          <w:w w:val="166"/>
        </w:rPr>
        <w:t> </w:t>
      </w:r>
      <w:r>
        <w:rPr>
          <w:w w:val="177"/>
        </w:rPr>
        <w:t>  </w:t>
      </w:r>
      <w:r>
        <w:rPr/>
        <w:t> </w:t>
      </w:r>
      <w:r>
        <w:rPr>
          <w:spacing w:val="21"/>
        </w:rPr>
        <w:t> </w:t>
      </w:r>
      <w:r>
        <w:rPr>
          <w:w w:val="188"/>
        </w:rPr>
        <w:t> </w:t>
      </w:r>
      <w:r>
        <w:rPr>
          <w:spacing w:val="-1"/>
          <w:w w:val="188"/>
        </w:rPr>
        <w:t> </w:t>
      </w:r>
      <w:r>
        <w:rPr>
          <w:w w:val="155"/>
        </w:rPr>
        <w:t>   </w:t>
      </w:r>
      <w:r>
        <w:rPr>
          <w:spacing w:val="-2"/>
          <w:w w:val="155"/>
        </w:rPr>
        <w:t> </w:t>
      </w:r>
      <w:r>
        <w:rPr>
          <w:w w:val="111"/>
        </w:rPr>
        <w:t> </w:t>
      </w:r>
      <w:r>
        <w:rPr/>
        <w:t> </w:t>
      </w:r>
      <w:r>
        <w:rPr>
          <w:w w:val="1"/>
        </w:rPr>
        <w:t> </w:t>
      </w:r>
      <w:r>
        <w:rPr/>
        <w:t> </w:t>
      </w:r>
      <w:r>
        <w:rPr>
          <w:spacing w:val="21"/>
        </w:rPr>
        <w:t> </w:t>
      </w:r>
      <w:r>
        <w:rPr>
          <w:spacing w:val="-1"/>
          <w:w w:val="177"/>
        </w:rPr>
        <w:t> </w:t>
      </w:r>
      <w:r>
        <w:rPr>
          <w:w w:val="111"/>
        </w:rPr>
        <w:t> </w:t>
      </w:r>
      <w:r>
        <w:rPr/>
        <w:t> </w:t>
      </w:r>
      <w:r>
        <w:rPr>
          <w:spacing w:val="24"/>
        </w:rPr>
        <w:t> </w:t>
      </w:r>
      <w:r>
        <w:rPr>
          <w:spacing w:val="-3"/>
          <w:w w:val="200"/>
        </w:rPr>
        <w:t> </w:t>
      </w:r>
      <w:r>
        <w:rPr>
          <w:spacing w:val="-1"/>
          <w:w w:val="177"/>
        </w:rPr>
        <w:t> </w:t>
      </w:r>
      <w:r>
        <w:rPr>
          <w:w w:val="155"/>
        </w:rPr>
        <w:t>   </w:t>
      </w:r>
      <w:r>
        <w:rPr/>
        <w:t> </w:t>
      </w:r>
      <w:r>
        <w:rPr>
          <w:spacing w:val="24"/>
        </w:rPr>
        <w:t> </w:t>
      </w:r>
      <w:r>
        <w:rPr>
          <w:w w:val="177"/>
        </w:rPr>
        <w:t> </w:t>
      </w:r>
      <w:r>
        <w:rPr/>
        <w:t> </w:t>
      </w:r>
      <w:r>
        <w:rPr>
          <w:spacing w:val="20"/>
        </w:rPr>
        <w:t> </w:t>
      </w:r>
      <w:r>
        <w:rPr>
          <w:w w:val="164"/>
        </w:rPr>
        <w:t>    </w:t>
      </w:r>
      <w:r>
        <w:rPr>
          <w:spacing w:val="-2"/>
          <w:w w:val="164"/>
        </w:rPr>
        <w:t> </w:t>
      </w:r>
      <w:r>
        <w:rPr>
          <w:w w:val="166"/>
        </w:rPr>
        <w:t>    </w:t>
      </w:r>
      <w:r>
        <w:rPr/>
        <w:t> </w:t>
      </w:r>
      <w:r>
        <w:rPr>
          <w:spacing w:val="22"/>
        </w:rPr>
        <w:t> </w:t>
      </w:r>
      <w:r>
        <w:rPr>
          <w:w w:val="164"/>
        </w:rPr>
        <w:t>     </w:t>
      </w:r>
      <w:r>
        <w:rPr>
          <w:spacing w:val="-1"/>
          <w:w w:val="177"/>
        </w:rPr>
        <w:t> </w:t>
      </w:r>
      <w:r>
        <w:rPr>
          <w:w w:val="177"/>
        </w:rPr>
        <w:t> </w:t>
      </w:r>
      <w:r>
        <w:rPr>
          <w:spacing w:val="-1"/>
        </w:rPr>
        <w:t> </w:t>
      </w:r>
      <w:r>
        <w:rPr>
          <w:w w:val="1"/>
        </w:rPr>
        <w:t> </w:t>
      </w:r>
      <w:r>
        <w:rPr/>
        <w:t> </w:t>
      </w:r>
      <w:r>
        <w:rPr>
          <w:spacing w:val="21"/>
        </w:rPr>
        <w:t> </w:t>
      </w:r>
      <w:r>
        <w:rPr>
          <w:spacing w:val="1"/>
          <w:w w:val="177"/>
        </w:rPr>
        <w:t> </w:t>
      </w:r>
      <w:r>
        <w:rPr>
          <w:w w:val="200"/>
        </w:rPr>
        <w:t>  </w:t>
      </w:r>
      <w:r>
        <w:rPr/>
        <w:t> </w:t>
      </w:r>
      <w:r>
        <w:rPr>
          <w:spacing w:val="21"/>
        </w:rPr>
        <w:t> </w:t>
      </w:r>
      <w:r>
        <w:rPr>
          <w:w w:val="162"/>
        </w:rPr>
        <w:t>         </w:t>
      </w:r>
      <w:r>
        <w:rPr/>
        <w:t> </w:t>
      </w:r>
      <w:r>
        <w:rPr>
          <w:spacing w:val="21"/>
        </w:rPr>
        <w:t> </w:t>
      </w:r>
      <w:r>
        <w:rPr>
          <w:w w:val="188"/>
        </w:rPr>
        <w:t>  </w:t>
      </w:r>
      <w:r>
        <w:rPr>
          <w:w w:val="99"/>
        </w:rPr>
        <w:t>sost</w:t>
      </w:r>
      <w:r>
        <w:rPr>
          <w:spacing w:val="-1"/>
        </w:rPr>
        <w:t>e</w:t>
      </w:r>
      <w:r>
        <w:rPr/>
        <w:t>nibilid</w:t>
      </w:r>
      <w:r>
        <w:rPr>
          <w:spacing w:val="-1"/>
        </w:rPr>
        <w:t>a</w:t>
      </w:r>
      <w:r>
        <w:rPr/>
        <w:t>d </w:t>
      </w:r>
      <w:r>
        <w:rPr>
          <w:w w:val="99"/>
        </w:rPr>
        <w:t>fis</w:t>
      </w:r>
      <w:r>
        <w:rPr>
          <w:spacing w:val="-1"/>
          <w:w w:val="99"/>
        </w:rPr>
        <w:t>c</w:t>
      </w:r>
      <w:r>
        <w:rPr>
          <w:spacing w:val="-1"/>
        </w:rPr>
        <w:t>a</w:t>
      </w:r>
      <w:r>
        <w:rPr/>
        <w:t>l</w:t>
      </w:r>
      <w:r>
        <w:rPr>
          <w:spacing w:val="2"/>
        </w:rPr>
        <w:t> </w:t>
      </w:r>
      <w:r>
        <w:rPr/>
        <w:t>y</w:t>
      </w:r>
      <w:r>
        <w:rPr>
          <w:spacing w:val="-3"/>
        </w:rPr>
        <w:t> </w:t>
      </w:r>
      <w:r>
        <w:rPr>
          <w:spacing w:val="-1"/>
        </w:rPr>
        <w:t>c</w:t>
      </w:r>
      <w:r>
        <w:rPr/>
        <w:t>re</w:t>
      </w:r>
      <w:r>
        <w:rPr>
          <w:spacing w:val="-1"/>
        </w:rPr>
        <w:t>c</w:t>
      </w:r>
      <w:r>
        <w:rPr/>
        <w:t>imiento</w:t>
      </w:r>
      <w:r>
        <w:rPr>
          <w:spacing w:val="-1"/>
        </w:rPr>
        <w:t> ec</w:t>
      </w:r>
      <w:r>
        <w:rPr/>
        <w:t>onómi</w:t>
      </w:r>
      <w:r>
        <w:rPr>
          <w:spacing w:val="-1"/>
        </w:rPr>
        <w:t>c</w:t>
      </w:r>
      <w:r>
        <w:rPr/>
        <w:t>o me</w:t>
      </w:r>
      <w:r>
        <w:rPr>
          <w:spacing w:val="2"/>
        </w:rPr>
        <w:t>t</w:t>
      </w:r>
      <w:r>
        <w:rPr>
          <w:spacing w:val="-1"/>
        </w:rPr>
        <w:t>a</w:t>
      </w:r>
      <w:r>
        <w:rPr/>
        <w:t>.</w:t>
      </w:r>
    </w:p>
    <w:p>
      <w:pPr>
        <w:pStyle w:val="BodyText"/>
        <w:spacing w:before="1"/>
        <w:rPr>
          <w:sz w:val="32"/>
        </w:rPr>
      </w:pPr>
    </w:p>
    <w:p>
      <w:pPr>
        <w:pStyle w:val="Heading4"/>
        <w:ind w:left="102" w:right="127" w:firstLine="0"/>
      </w:pPr>
      <w:bookmarkStart w:name="_bookmark77" w:id="109"/>
      <w:bookmarkEnd w:id="109"/>
      <w:r>
        <w:rPr>
          <w:b w:val="0"/>
        </w:rPr>
      </w:r>
      <w:r>
        <w:rPr/>
        <w:t>Síntesis</w:t>
      </w:r>
    </w:p>
    <w:p>
      <w:pPr>
        <w:pStyle w:val="BodyText"/>
        <w:spacing w:before="3"/>
        <w:rPr>
          <w:b/>
          <w:sz w:val="27"/>
        </w:rPr>
      </w:pPr>
    </w:p>
    <w:p>
      <w:pPr>
        <w:pStyle w:val="BodyText"/>
        <w:spacing w:line="360" w:lineRule="auto" w:before="1"/>
        <w:ind w:left="102" w:right="114" w:firstLine="707"/>
        <w:jc w:val="both"/>
      </w:pPr>
      <w:r>
        <w:rPr/>
        <w:t>El mercado internacional del gas natural se caracteriza por estar regionalizado. Los precios más altos del gas natural se encuentran en Asia por estar indexados al precio del petróleo. Estados Unidos presenta los precios más bajos por tener una estructura de  mercado de tipo competitiva, en la cual el mercado financiero funge (alternativamente) como mecanismo fijador de precios. Europa se encuentra con precios intermedios entre los precios del gas natural de Asia y EEUU, cuyo mercado se caracteriza por una alta dependencia en el abastecimiento de importación (proveniente de</w:t>
      </w:r>
      <w:r>
        <w:rPr>
          <w:spacing w:val="-11"/>
        </w:rPr>
        <w:t> </w:t>
      </w:r>
      <w:r>
        <w:rPr/>
        <w:t>Rusia).</w:t>
      </w:r>
    </w:p>
    <w:p>
      <w:pPr>
        <w:pStyle w:val="BodyText"/>
        <w:spacing w:line="360" w:lineRule="auto" w:before="4"/>
        <w:ind w:left="102" w:right="115" w:firstLine="767"/>
        <w:jc w:val="both"/>
      </w:pPr>
      <w:r>
        <w:rPr/>
        <w:t>En las próximas dos décadas (hasta el 2035) se espera un crecimiento sostenido en el consumo, la producción, las reservas y los precios del gas natural a nivel mundial. Sin embargo, el futuro es un tanto incierto en términos de producción y reservas de gas para Europa, no obstante, se han propuesto otras alternativas de abastecimiento para esta región.</w:t>
      </w:r>
    </w:p>
    <w:p>
      <w:pPr>
        <w:pStyle w:val="BodyText"/>
        <w:spacing w:line="360" w:lineRule="auto" w:before="4"/>
        <w:ind w:left="102" w:right="117" w:firstLine="707"/>
        <w:jc w:val="both"/>
      </w:pPr>
      <w:r>
        <w:rPr/>
        <w:t>En términos de riesgos para los países importadores de gas natural, se ha planteado el peligro en la formación de un posible cartel de países productores de gas natural. Para países exportadores de gas natural, se han determinado riesgos relacionados con la  aparición de un nuevo sustituto que genere un menor precio para los consumidores o menor emisión de dióxido de</w:t>
      </w:r>
      <w:r>
        <w:rPr>
          <w:spacing w:val="-5"/>
        </w:rPr>
        <w:t> </w:t>
      </w:r>
      <w:r>
        <w:rPr/>
        <w:t>carbono.</w:t>
      </w:r>
    </w:p>
    <w:p>
      <w:pPr>
        <w:pStyle w:val="BodyText"/>
        <w:spacing w:line="360" w:lineRule="auto" w:before="4"/>
        <w:ind w:left="102" w:right="119" w:firstLine="707"/>
        <w:jc w:val="both"/>
      </w:pPr>
      <w:r>
        <w:rPr/>
        <w:t>En la revisión de la literatura relacionada existe un debate entre la influencia y divergencia de los precios del petróleo sobre los precios del gas natural. Las relaciones de las variables sugieren que la influencia del precio del petróleo es positiva y significativa sobre los precios del gas natural, pero únicamente en el largo plazo, existiendo un desacoplamiento entre ambos precios en el corto plazo (divergencia). Mediante otros mecanismos  alternativos  de  explicación:  la  demanda  internacional   (por  el  lado      del</w:t>
      </w:r>
    </w:p>
    <w:p>
      <w:pPr>
        <w:spacing w:after="0" w:line="360" w:lineRule="auto"/>
        <w:jc w:val="both"/>
        <w:sectPr>
          <w:pgSz w:w="12250" w:h="15850"/>
          <w:pgMar w:header="0" w:footer="1037" w:top="1360" w:bottom="1220" w:left="1600" w:right="1580"/>
        </w:sectPr>
      </w:pPr>
    </w:p>
    <w:p>
      <w:pPr>
        <w:pStyle w:val="BodyText"/>
        <w:spacing w:line="360" w:lineRule="auto" w:before="50"/>
        <w:ind w:left="102" w:right="120"/>
        <w:jc w:val="both"/>
      </w:pPr>
      <w:r>
        <w:rPr/>
        <w:t>crecimiento del PIB real), la tasa de interés internacional y el precio de las materias primas se relacionan positivamente con los precios del gas natural. Paralelamente, el valor del  dólar se relaciona de forma negativa con el precio del gas</w:t>
      </w:r>
      <w:r>
        <w:rPr>
          <w:spacing w:val="-13"/>
        </w:rPr>
        <w:t> </w:t>
      </w:r>
      <w:r>
        <w:rPr/>
        <w:t>natural.</w:t>
      </w:r>
    </w:p>
    <w:p>
      <w:pPr>
        <w:pStyle w:val="BodyText"/>
        <w:spacing w:line="360" w:lineRule="auto" w:before="4"/>
        <w:ind w:left="102" w:right="116" w:firstLine="707"/>
        <w:jc w:val="both"/>
      </w:pPr>
      <w:r>
        <w:rPr/>
        <w:t>Al final, se llegó a la inferencia que un efecto positivo del precio del petróleo, no implicaría necesariamente un incremento en el precio del gas natural bajo el contexto de deterioro en el entorno externo.</w:t>
      </w:r>
    </w:p>
    <w:p>
      <w:pPr>
        <w:pStyle w:val="BodyText"/>
        <w:spacing w:line="360" w:lineRule="auto" w:before="6"/>
        <w:ind w:left="102" w:right="121" w:firstLine="707"/>
        <w:jc w:val="both"/>
      </w:pPr>
      <w:r>
        <w:rPr/>
        <w:t>En el contexto de la economía boliviana, los precios del gas natural están directamente influenciados por el precio del petróleo (mediante formulas de fijación de precios). Por otra parte, el marco normativo de Bolivia ha sido un referente de cambios en la industria del gas boliviano, en particular atención a la participación del Estado en sus fases de exploración, producción y</w:t>
      </w:r>
      <w:r>
        <w:rPr>
          <w:spacing w:val="-7"/>
        </w:rPr>
        <w:t> </w:t>
      </w:r>
      <w:r>
        <w:rPr/>
        <w:t>comercialización.</w:t>
      </w:r>
    </w:p>
    <w:p>
      <w:pPr>
        <w:pStyle w:val="BodyText"/>
        <w:spacing w:line="360" w:lineRule="auto" w:before="4"/>
        <w:ind w:left="102" w:right="116" w:firstLine="707"/>
        <w:jc w:val="both"/>
      </w:pPr>
      <w:r>
        <w:rPr/>
        <w:t>La principal relevancia del gas natural (en la economía de Bolivia) radica en su alta participación en los ingresos fiscales, el cuál será abordado como posible determinante de  la posición fiscal para este país. Adicionalmente, se consideran riesgos concernientes al rumbo de los precios externos del recurso natural, así como la aparición de sustitutos perfectos que puedan afectar las decisiones del consumo</w:t>
      </w:r>
      <w:r>
        <w:rPr>
          <w:spacing w:val="-6"/>
        </w:rPr>
        <w:t> </w:t>
      </w:r>
      <w:r>
        <w:rPr/>
        <w:t>externo.</w:t>
      </w:r>
    </w:p>
    <w:p>
      <w:pPr>
        <w:pStyle w:val="BodyText"/>
        <w:spacing w:line="360" w:lineRule="auto" w:before="6"/>
        <w:ind w:left="102" w:right="115" w:firstLine="707"/>
        <w:jc w:val="both"/>
      </w:pPr>
      <w:r>
        <w:rPr/>
        <w:t>Al analizar la relación entre los precios de exportación del gas natural y el gasto público, se evidenció que la forma de operacionalizar las variables cambia las relaciones: 1) la relación es positiva en niveles: mayores precios externos se relacionan con mayores niveles de gasto público (de capital y gasto corriente de forma respectiva); 2) cuando se mide el gasto público en términos relativos a los ingresos fiscales (con y sin recurso natural), el gasto de capital se asoció de forma inversa con los precios de exportación.</w:t>
      </w:r>
    </w:p>
    <w:p>
      <w:pPr>
        <w:pStyle w:val="BodyText"/>
        <w:spacing w:line="360" w:lineRule="auto" w:before="6"/>
        <w:ind w:left="102" w:right="121" w:firstLine="707"/>
        <w:jc w:val="both"/>
      </w:pPr>
      <w:r>
        <w:rPr/>
        <w:t>Para el período 2003-2011, las tendencias en la política fiscal de Bolivia señalaron que los ingresos fiscales hidrocarburíferos se canalizaron en menor proporción hacia el gasto de capital (relación inversa) y el gasto corriente creció en mayor proporción que los ingresos fiscales no hidrocarburíferos (relación positiva), lo cual señala que los ingresos del gas natural financiaron el gasto corriente.</w:t>
      </w:r>
    </w:p>
    <w:p>
      <w:pPr>
        <w:pStyle w:val="BodyText"/>
        <w:spacing w:line="360" w:lineRule="auto" w:before="6"/>
        <w:ind w:left="102" w:right="121" w:firstLine="707"/>
        <w:jc w:val="both"/>
      </w:pPr>
      <w:r>
        <w:rPr/>
        <w:t>El régimen actual de asignación y distribución de ingresos hidrocarburíferos se basa en las regalías a la producción y el impuesto directo a los hidrocarburos que representan menos</w:t>
      </w:r>
      <w:r>
        <w:rPr>
          <w:spacing w:val="51"/>
        </w:rPr>
        <w:t> </w:t>
      </w:r>
      <w:r>
        <w:rPr/>
        <w:t>del</w:t>
      </w:r>
      <w:r>
        <w:rPr>
          <w:spacing w:val="52"/>
        </w:rPr>
        <w:t> </w:t>
      </w:r>
      <w:r>
        <w:rPr/>
        <w:t>5%</w:t>
      </w:r>
      <w:r>
        <w:rPr>
          <w:spacing w:val="50"/>
        </w:rPr>
        <w:t> </w:t>
      </w:r>
      <w:r>
        <w:rPr/>
        <w:t>del</w:t>
      </w:r>
      <w:r>
        <w:rPr>
          <w:spacing w:val="54"/>
        </w:rPr>
        <w:t> </w:t>
      </w:r>
      <w:r>
        <w:rPr/>
        <w:t>total</w:t>
      </w:r>
      <w:r>
        <w:rPr>
          <w:spacing w:val="52"/>
        </w:rPr>
        <w:t> </w:t>
      </w:r>
      <w:r>
        <w:rPr/>
        <w:t>de</w:t>
      </w:r>
      <w:r>
        <w:rPr>
          <w:spacing w:val="50"/>
        </w:rPr>
        <w:t> </w:t>
      </w:r>
      <w:r>
        <w:rPr/>
        <w:t>ingresos</w:t>
      </w:r>
      <w:r>
        <w:rPr>
          <w:spacing w:val="52"/>
        </w:rPr>
        <w:t> </w:t>
      </w:r>
      <w:r>
        <w:rPr/>
        <w:t>de</w:t>
      </w:r>
      <w:r>
        <w:rPr>
          <w:spacing w:val="50"/>
        </w:rPr>
        <w:t> </w:t>
      </w:r>
      <w:r>
        <w:rPr/>
        <w:t>recursos</w:t>
      </w:r>
      <w:r>
        <w:rPr>
          <w:spacing w:val="51"/>
        </w:rPr>
        <w:t> </w:t>
      </w:r>
      <w:r>
        <w:rPr/>
        <w:t>naturales</w:t>
      </w:r>
      <w:r>
        <w:rPr>
          <w:spacing w:val="53"/>
        </w:rPr>
        <w:t> </w:t>
      </w:r>
      <w:r>
        <w:rPr/>
        <w:t>en</w:t>
      </w:r>
      <w:r>
        <w:rPr>
          <w:spacing w:val="53"/>
        </w:rPr>
        <w:t> </w:t>
      </w:r>
      <w:r>
        <w:rPr/>
        <w:t>Bolivia</w:t>
      </w:r>
      <w:r>
        <w:rPr>
          <w:spacing w:val="53"/>
        </w:rPr>
        <w:t> </w:t>
      </w:r>
      <w:r>
        <w:rPr/>
        <w:t>(al</w:t>
      </w:r>
      <w:r>
        <w:rPr>
          <w:spacing w:val="52"/>
        </w:rPr>
        <w:t> </w:t>
      </w:r>
      <w:r>
        <w:rPr/>
        <w:t>2011),</w:t>
      </w:r>
      <w:r>
        <w:rPr>
          <w:spacing w:val="53"/>
        </w:rPr>
        <w:t> </w:t>
      </w:r>
      <w:r>
        <w:rPr/>
        <w:t>cuyos</w:t>
      </w:r>
    </w:p>
    <w:p>
      <w:pPr>
        <w:spacing w:after="0" w:line="360" w:lineRule="auto"/>
        <w:jc w:val="both"/>
        <w:sectPr>
          <w:pgSz w:w="12250" w:h="15850"/>
          <w:pgMar w:header="0" w:footer="1037" w:top="1360" w:bottom="1220" w:left="1600" w:right="1580"/>
        </w:sectPr>
      </w:pPr>
    </w:p>
    <w:p>
      <w:pPr>
        <w:pStyle w:val="BodyText"/>
        <w:spacing w:line="360" w:lineRule="auto" w:before="50"/>
        <w:ind w:left="102" w:right="127"/>
      </w:pPr>
      <w:r>
        <w:rPr/>
        <w:t>ingresos son distribuidos a gobiernos regionales y otros organismos públicos; sin embargo, no existe ninguna regulación sobre el gasto y la generación de ahorro público.</w:t>
      </w:r>
    </w:p>
    <w:p>
      <w:pPr>
        <w:pStyle w:val="BodyText"/>
        <w:spacing w:line="360" w:lineRule="auto" w:before="6"/>
        <w:ind w:left="102" w:right="120" w:firstLine="707"/>
        <w:jc w:val="both"/>
      </w:pPr>
      <w:r>
        <w:rPr/>
        <w:t>Una justificación para la asignación de ingresos fiscales del gas natural consiste en canalizarlos hacia la inversión pública con base en la perspectiva Keynesiana. Lo anterior conlleva a mayor crecimiento del PIB como indicador de bienestar social.</w:t>
      </w:r>
    </w:p>
    <w:p>
      <w:pPr>
        <w:pStyle w:val="BodyText"/>
        <w:spacing w:line="360" w:lineRule="auto" w:before="4"/>
        <w:ind w:left="102" w:right="115" w:firstLine="767"/>
        <w:jc w:val="both"/>
      </w:pPr>
      <w:r>
        <w:rPr/>
        <w:t>De forma contraria, cuando los ingresos fiscales del gas natural son ahorrados y depositados en un fondo financiero (mediante un ejercicio de simulación), se afecta de forma negativa al consumo del gobierno y a la inversión pública, lo cual refleja una contracción continua del PIB en relación con sus valores observados durante el período 2003 – 2011, por tanto se disminuye el bienestar social.</w:t>
      </w:r>
    </w:p>
    <w:p>
      <w:pPr>
        <w:pStyle w:val="BodyText"/>
        <w:spacing w:line="360" w:lineRule="auto" w:before="6"/>
        <w:ind w:left="102" w:right="119" w:firstLine="707"/>
        <w:jc w:val="both"/>
      </w:pPr>
      <w:r>
        <w:rPr/>
        <w:t>Para finalizar, los argumentos considerados en este capítulo sirvieron para pronosticar los precios y la producción del gas natural, los cuales servirán como elementos de evaluación para la asignación de ingresos fiscales al gasto público y la trayectoria de la posición fiscal en el corto y mediano plazo.</w:t>
      </w:r>
    </w:p>
    <w:p>
      <w:pPr>
        <w:spacing w:after="0" w:line="360" w:lineRule="auto"/>
        <w:jc w:val="both"/>
        <w:sectPr>
          <w:pgSz w:w="12250" w:h="15850"/>
          <w:pgMar w:header="0" w:footer="1037" w:top="1360" w:bottom="1220" w:left="1600" w:right="1580"/>
        </w:sectPr>
      </w:pPr>
    </w:p>
    <w:p>
      <w:pPr>
        <w:spacing w:before="54"/>
        <w:ind w:left="102" w:right="127" w:firstLine="0"/>
        <w:jc w:val="left"/>
        <w:rPr>
          <w:b/>
          <w:sz w:val="22"/>
        </w:rPr>
      </w:pPr>
      <w:bookmarkStart w:name="_bookmark78" w:id="110"/>
      <w:bookmarkEnd w:id="110"/>
      <w:r>
        <w:rPr/>
      </w:r>
      <w:r>
        <w:rPr>
          <w:b/>
          <w:sz w:val="28"/>
        </w:rPr>
        <w:t>C</w:t>
      </w:r>
      <w:r>
        <w:rPr>
          <w:b/>
          <w:sz w:val="22"/>
        </w:rPr>
        <w:t>APÍTULO </w:t>
      </w:r>
      <w:r>
        <w:rPr>
          <w:b/>
          <w:sz w:val="28"/>
        </w:rPr>
        <w:t>III: F</w:t>
      </w:r>
      <w:r>
        <w:rPr>
          <w:b/>
          <w:sz w:val="22"/>
        </w:rPr>
        <w:t>ACTORES ASOCIADOS A LA POSICIÓN FISCAL</w:t>
      </w:r>
    </w:p>
    <w:p>
      <w:pPr>
        <w:pStyle w:val="BodyText"/>
        <w:rPr>
          <w:b/>
          <w:sz w:val="28"/>
        </w:rPr>
      </w:pPr>
    </w:p>
    <w:p>
      <w:pPr>
        <w:pStyle w:val="BodyText"/>
        <w:spacing w:before="3"/>
        <w:rPr>
          <w:b/>
          <w:sz w:val="25"/>
        </w:rPr>
      </w:pPr>
    </w:p>
    <w:p>
      <w:pPr>
        <w:pStyle w:val="BodyText"/>
        <w:spacing w:line="360" w:lineRule="auto"/>
        <w:ind w:left="102" w:right="120" w:firstLine="707"/>
        <w:jc w:val="both"/>
      </w:pPr>
      <w:r>
        <w:rPr/>
        <w:t>Estudios previos han considerado la eficiencia gubernamental al relacionar el gasto público con ciertos indicadores socioeconómicos (Guedes de Oliveira, 2008; Haunner &amp; Kyobe, 2008). Los gobiernos son eficientes cuando la direccionalidad del gasto público se asocia con mayor bienestar para la sociedad (educación, salud, empleo, entre otros  factores).</w:t>
      </w:r>
    </w:p>
    <w:p>
      <w:pPr>
        <w:pStyle w:val="BodyText"/>
        <w:spacing w:line="360" w:lineRule="auto" w:before="4"/>
        <w:ind w:left="102" w:right="115" w:firstLine="767"/>
        <w:jc w:val="both"/>
      </w:pPr>
      <w:r>
        <w:rPr/>
        <w:t>Otras investigaciones han evaluado el rol fiscal al considerar el impacto de la inversión pública y la calidad institucional gubernamental sobre la inversión privada y el balance primario no petrolero respectivamente (Dhumale, 2000; Ossowski, et al., 2008). Una política fiscal es eficiente cuando la inversión pública logra un impacto positivo y significativo sobre la inversión privada.</w:t>
      </w:r>
    </w:p>
    <w:p>
      <w:pPr>
        <w:pStyle w:val="BodyText"/>
        <w:spacing w:line="360" w:lineRule="auto" w:before="6"/>
        <w:ind w:left="102" w:right="117" w:firstLine="707"/>
        <w:jc w:val="both"/>
      </w:pPr>
      <w:r>
        <w:rPr/>
        <w:t>En esa sección, a diferencia de las investigaciones previas, se considera la eficiencia del rol fiscal a partir de los cambios institucionales formales e informales y sus implicaciones sobre la posición fiscal–balance fiscal (con y sin gas natural) y la deuda pública– aspectos que no han sido abordados anteriormente. En este capítulo, se presentan los factores asociados a la posición fiscal. Los factores asociados pueden ser de dos tipos: cambios institucionales formales e informales. El primero se aplica a la nacionalización de los  hidrocarburos  en  Bolivia.  Como  cambios informales  se ofrece la  asignación  de  los</w:t>
      </w:r>
    </w:p>
    <w:p>
      <w:pPr>
        <w:pStyle w:val="BodyText"/>
        <w:spacing w:line="360" w:lineRule="auto" w:before="4"/>
        <w:ind w:left="102" w:right="127"/>
      </w:pPr>
      <w:r>
        <w:rPr>
          <w:w w:val="170"/>
        </w:rPr>
        <w:t>   </w:t>
      </w:r>
      <w:r>
        <w:rPr>
          <w:w w:val="155"/>
        </w:rPr>
        <w:t>  </w:t>
      </w:r>
      <w:r>
        <w:rPr>
          <w:w w:val="170"/>
        </w:rPr>
        <w:t>   </w:t>
      </w:r>
      <w:r>
        <w:rPr/>
        <w:t> </w:t>
      </w:r>
      <w:r>
        <w:rPr>
          <w:w w:val="144"/>
        </w:rPr>
        <w:t>    </w:t>
      </w:r>
      <w:r>
        <w:rPr>
          <w:w w:val="177"/>
        </w:rPr>
        <w:t> </w:t>
      </w:r>
      <w:r>
        <w:rPr>
          <w:w w:val="111"/>
        </w:rPr>
        <w:t> </w:t>
      </w:r>
      <w:r>
        <w:rPr>
          <w:w w:val="177"/>
        </w:rPr>
        <w:t> </w:t>
      </w:r>
      <w:r>
        <w:rPr>
          <w:w w:val="155"/>
        </w:rPr>
        <w:t> </w:t>
      </w:r>
      <w:r>
        <w:rPr/>
        <w:t> </w:t>
      </w:r>
      <w:r>
        <w:rPr>
          <w:w w:val="1"/>
        </w:rPr>
        <w:t> </w:t>
      </w:r>
      <w:r>
        <w:rPr/>
        <w:t>  </w:t>
      </w:r>
      <w:r>
        <w:rPr>
          <w:w w:val="177"/>
        </w:rPr>
        <w:t> </w:t>
      </w:r>
      <w:r>
        <w:rPr>
          <w:w w:val="200"/>
        </w:rPr>
        <w:t>  </w:t>
      </w:r>
      <w:r>
        <w:rPr/>
        <w:t> </w:t>
      </w:r>
      <w:r>
        <w:rPr>
          <w:w w:val="200"/>
        </w:rPr>
        <w:t> </w:t>
      </w:r>
      <w:r>
        <w:rPr/>
        <w:t> </w:t>
      </w:r>
      <w:r>
        <w:rPr>
          <w:w w:val="155"/>
        </w:rPr>
        <w:t>   </w:t>
      </w:r>
      <w:r>
        <w:rPr/>
        <w:t> </w:t>
      </w:r>
      <w:r>
        <w:rPr>
          <w:w w:val="200"/>
        </w:rPr>
        <w:t> </w:t>
      </w:r>
      <w:r>
        <w:rPr>
          <w:w w:val="177"/>
        </w:rPr>
        <w:t> </w:t>
      </w:r>
      <w:r>
        <w:rPr>
          <w:w w:val="155"/>
        </w:rPr>
        <w:t> </w:t>
      </w:r>
      <w:r>
        <w:rPr/>
        <w:t> </w:t>
      </w:r>
      <w:r>
        <w:rPr>
          <w:w w:val="188"/>
        </w:rPr>
        <w:t>  </w:t>
      </w:r>
      <w:r>
        <w:rPr>
          <w:w w:val="155"/>
        </w:rPr>
        <w:t>    </w:t>
      </w:r>
      <w:r>
        <w:rPr>
          <w:w w:val="111"/>
        </w:rPr>
        <w:t> </w:t>
      </w:r>
      <w:r>
        <w:rPr/>
        <w:t> </w:t>
      </w:r>
      <w:r>
        <w:rPr>
          <w:w w:val="1"/>
        </w:rPr>
        <w:t> </w:t>
      </w:r>
      <w:r>
        <w:rPr/>
        <w:t> </w:t>
      </w:r>
      <w:r>
        <w:rPr>
          <w:w w:val="177"/>
        </w:rPr>
        <w:t> </w:t>
      </w:r>
      <w:r>
        <w:rPr>
          <w:w w:val="111"/>
        </w:rPr>
        <w:t> </w:t>
      </w:r>
      <w:r>
        <w:rPr/>
        <w:t> </w:t>
      </w:r>
      <w:r>
        <w:rPr>
          <w:w w:val="200"/>
        </w:rPr>
        <w:t> </w:t>
      </w:r>
      <w:r>
        <w:rPr>
          <w:w w:val="177"/>
        </w:rPr>
        <w:t> </w:t>
      </w:r>
      <w:r>
        <w:rPr>
          <w:w w:val="155"/>
        </w:rPr>
        <w:t>   </w:t>
      </w:r>
      <w:r>
        <w:rPr/>
        <w:t> </w:t>
      </w:r>
      <w:r>
        <w:rPr>
          <w:w w:val="164"/>
        </w:rPr>
        <w:t>     </w:t>
      </w:r>
      <w:r>
        <w:rPr>
          <w:w w:val="177"/>
        </w:rPr>
        <w:t> </w:t>
      </w:r>
      <w:r>
        <w:rPr>
          <w:w w:val="200"/>
        </w:rPr>
        <w:t> </w:t>
      </w:r>
      <w:r>
        <w:rPr/>
        <w:t> que no se encuentra direccionada bajo una regla fiscal formalmente definida.</w:t>
      </w:r>
    </w:p>
    <w:p>
      <w:pPr>
        <w:pStyle w:val="BodyText"/>
        <w:spacing w:line="360" w:lineRule="auto" w:before="4"/>
        <w:ind w:left="102" w:right="126" w:firstLine="707"/>
        <w:jc w:val="both"/>
      </w:pPr>
      <w:r>
        <w:rPr/>
        <w:t>La concepción de una posición fiscal sostenible, para países ricos en algún recurso natural, se relaciona con una deuda pública estable y con un balance primario no petrolero que no sufra un deterioro progresivo  (Wijnbergen &amp; Budina, 2011).</w:t>
      </w:r>
    </w:p>
    <w:p>
      <w:pPr>
        <w:pStyle w:val="BodyText"/>
        <w:spacing w:line="360" w:lineRule="auto" w:before="6"/>
        <w:ind w:left="102" w:right="114" w:firstLine="707"/>
        <w:jc w:val="both"/>
      </w:pPr>
      <w:r>
        <w:rPr/>
        <w:t>La literatura relacionada con el rol institucional sostiene que los gobiernos deben guardar cierta prudencia para manejar la política fiscal en tiempos de recesión, por lo que  su papel contracíclico es el rol fiscal para tiempos de desaceleración económica (Gurvich,  et al.,</w:t>
      </w:r>
      <w:r>
        <w:rPr>
          <w:spacing w:val="-3"/>
        </w:rPr>
        <w:t> </w:t>
      </w:r>
      <w:r>
        <w:rPr/>
        <w:t>2009).</w:t>
      </w:r>
    </w:p>
    <w:p>
      <w:pPr>
        <w:pStyle w:val="BodyText"/>
        <w:spacing w:line="360" w:lineRule="auto" w:before="6"/>
        <w:ind w:left="102" w:right="119" w:firstLine="707"/>
        <w:jc w:val="both"/>
      </w:pPr>
      <w:r>
        <w:rPr/>
        <w:t>La generación de ahorro petrolero durante épocas de auge es una buena estrategia para contrarrestar los choques de precios en períodos de crisis  (Medas &amp; Zakharova,   2009) </w:t>
      </w:r>
      <w:r>
        <w:rPr>
          <w:spacing w:val="16"/>
        </w:rPr>
        <w:t> </w:t>
      </w:r>
      <w:r>
        <w:rPr>
          <w:w w:val="244"/>
        </w:rPr>
        <w:t>  </w:t>
      </w:r>
      <w:r>
        <w:rPr>
          <w:spacing w:val="16"/>
        </w:rPr>
        <w:t> </w:t>
      </w:r>
      <w:r>
        <w:rPr>
          <w:w w:val="166"/>
        </w:rPr>
        <w:t>    </w:t>
      </w:r>
      <w:r>
        <w:rPr>
          <w:spacing w:val="-1"/>
          <w:w w:val="177"/>
        </w:rPr>
        <w:t> </w:t>
      </w:r>
      <w:r>
        <w:rPr>
          <w:w w:val="147"/>
        </w:rPr>
        <w:t>    </w:t>
      </w:r>
      <w:r>
        <w:rPr>
          <w:spacing w:val="16"/>
        </w:rPr>
        <w:t> </w:t>
      </w:r>
      <w:r>
        <w:rPr>
          <w:spacing w:val="-1"/>
          <w:w w:val="177"/>
        </w:rPr>
        <w:t>  </w:t>
      </w:r>
      <w:r>
        <w:rPr>
          <w:w w:val="200"/>
        </w:rPr>
        <w:t> </w:t>
      </w:r>
      <w:r>
        <w:rPr>
          <w:spacing w:val="2"/>
          <w:w w:val="200"/>
        </w:rPr>
        <w:t> </w:t>
      </w:r>
      <w:r>
        <w:rPr>
          <w:w w:val="207"/>
        </w:rPr>
        <w:t>   </w:t>
      </w:r>
      <w:r>
        <w:rPr>
          <w:spacing w:val="-1"/>
          <w:w w:val="177"/>
        </w:rPr>
        <w:t> </w:t>
      </w:r>
      <w:r>
        <w:rPr>
          <w:w w:val="155"/>
        </w:rPr>
        <w:t> </w:t>
      </w:r>
      <w:r>
        <w:rPr>
          <w:spacing w:val="16"/>
        </w:rPr>
        <w:t> </w:t>
      </w:r>
      <w:r>
        <w:rPr>
          <w:spacing w:val="-1"/>
          <w:w w:val="177"/>
        </w:rPr>
        <w:t> </w:t>
      </w:r>
      <w:r>
        <w:rPr>
          <w:w w:val="200"/>
        </w:rPr>
        <w:t> </w:t>
      </w:r>
      <w:r>
        <w:rPr>
          <w:spacing w:val="16"/>
        </w:rPr>
        <w:t> </w:t>
      </w:r>
      <w:r>
        <w:rPr>
          <w:w w:val="188"/>
        </w:rPr>
        <w:t> </w:t>
      </w:r>
      <w:r>
        <w:rPr>
          <w:spacing w:val="-1"/>
          <w:w w:val="188"/>
        </w:rPr>
        <w:t> </w:t>
      </w:r>
      <w:r>
        <w:rPr>
          <w:w w:val="166"/>
        </w:rPr>
        <w:t> </w:t>
      </w:r>
      <w:r>
        <w:rPr>
          <w:spacing w:val="-1"/>
          <w:w w:val="166"/>
        </w:rPr>
        <w:t> </w:t>
      </w:r>
      <w:r>
        <w:rPr>
          <w:w w:val="133"/>
        </w:rPr>
        <w:t> </w:t>
      </w:r>
      <w:r>
        <w:rPr>
          <w:spacing w:val="-2"/>
          <w:w w:val="133"/>
        </w:rPr>
        <w:t> </w:t>
      </w:r>
      <w:r>
        <w:rPr>
          <w:w w:val="140"/>
        </w:rPr>
        <w:t>   </w:t>
      </w:r>
      <w:r>
        <w:rPr>
          <w:w w:val="200"/>
        </w:rPr>
        <w:t> </w:t>
      </w:r>
      <w:r>
        <w:rPr/>
        <w:t> </w:t>
      </w:r>
      <w:r>
        <w:rPr>
          <w:w w:val="1"/>
        </w:rPr>
        <w:t> </w:t>
      </w:r>
      <w:r>
        <w:rPr>
          <w:spacing w:val="16"/>
        </w:rPr>
        <w:t> </w:t>
      </w:r>
      <w:r>
        <w:rPr>
          <w:w w:val="177"/>
        </w:rPr>
        <w:t> </w:t>
      </w:r>
      <w:r>
        <w:rPr>
          <w:spacing w:val="15"/>
        </w:rPr>
        <w:t> </w:t>
      </w:r>
      <w:r>
        <w:rPr>
          <w:w w:val="155"/>
        </w:rPr>
        <w:t> </w:t>
      </w:r>
      <w:r>
        <w:rPr>
          <w:spacing w:val="2"/>
          <w:w w:val="155"/>
        </w:rPr>
        <w:t> </w:t>
      </w:r>
      <w:r>
        <w:rPr>
          <w:w w:val="155"/>
        </w:rPr>
        <w:t> </w:t>
      </w:r>
      <w:r>
        <w:rPr>
          <w:spacing w:val="-2"/>
          <w:w w:val="155"/>
        </w:rPr>
        <w:t> </w:t>
      </w:r>
      <w:r>
        <w:rPr>
          <w:w w:val="155"/>
        </w:rPr>
        <w:t> </w:t>
      </w:r>
      <w:r>
        <w:rPr>
          <w:spacing w:val="-2"/>
          <w:w w:val="155"/>
        </w:rPr>
        <w:t> </w:t>
      </w:r>
      <w:r>
        <w:rPr>
          <w:spacing w:val="2"/>
          <w:w w:val="200"/>
        </w:rPr>
        <w:t> </w:t>
      </w:r>
      <w:r>
        <w:rPr>
          <w:spacing w:val="-1"/>
          <w:w w:val="177"/>
        </w:rPr>
        <w:t> </w:t>
      </w:r>
      <w:r>
        <w:rPr>
          <w:w w:val="144"/>
        </w:rPr>
        <w:t>  </w:t>
      </w:r>
      <w:r>
        <w:rPr>
          <w:spacing w:val="16"/>
        </w:rPr>
        <w:t> </w:t>
      </w:r>
      <w:r>
        <w:rPr>
          <w:w w:val="188"/>
        </w:rPr>
        <w:t>  </w:t>
      </w:r>
      <w:r>
        <w:rPr>
          <w:spacing w:val="15"/>
        </w:rPr>
        <w:t> </w:t>
      </w:r>
      <w:r>
        <w:rPr>
          <w:w w:val="148"/>
        </w:rPr>
        <w:t>   </w:t>
      </w:r>
      <w:r>
        <w:rPr>
          <w:spacing w:val="16"/>
        </w:rPr>
        <w:t> </w:t>
      </w:r>
      <w:r>
        <w:rPr>
          <w:spacing w:val="-1"/>
          <w:w w:val="177"/>
        </w:rPr>
        <w:t> </w:t>
      </w:r>
      <w:r>
        <w:rPr>
          <w:spacing w:val="2"/>
          <w:w w:val="200"/>
        </w:rPr>
        <w:t> </w:t>
      </w:r>
      <w:r>
        <w:rPr>
          <w:spacing w:val="-1"/>
          <w:w w:val="177"/>
        </w:rPr>
        <w:t> </w:t>
      </w:r>
      <w:r>
        <w:rPr>
          <w:w w:val="188"/>
        </w:rPr>
        <w:t> </w:t>
      </w:r>
      <w:r>
        <w:rPr>
          <w:spacing w:val="1"/>
          <w:w w:val="188"/>
        </w:rPr>
        <w:t> </w:t>
      </w:r>
      <w:r>
        <w:rPr>
          <w:spacing w:val="-1"/>
          <w:w w:val="177"/>
        </w:rPr>
        <w:t> </w:t>
      </w:r>
      <w:r>
        <w:rPr>
          <w:w w:val="188"/>
        </w:rPr>
        <w:t> </w:t>
      </w:r>
      <w:r>
        <w:rPr>
          <w:spacing w:val="1"/>
          <w:w w:val="188"/>
        </w:rPr>
        <w:t> </w:t>
      </w:r>
      <w:r>
        <w:rPr>
          <w:w w:val="155"/>
        </w:rPr>
        <w:t> </w:t>
      </w:r>
      <w:r>
        <w:rPr/>
        <w:t> </w:t>
      </w:r>
      <w:r>
        <w:rPr>
          <w:w w:val="1"/>
        </w:rPr>
        <w:t> </w:t>
      </w:r>
      <w:r>
        <w:rPr/>
        <w:t>  </w:t>
      </w:r>
      <w:r>
        <w:rPr>
          <w:spacing w:val="-27"/>
        </w:rPr>
        <w:t> </w:t>
      </w:r>
      <w:r>
        <w:rPr>
          <w:w w:val="188"/>
        </w:rPr>
        <w:t> </w:t>
      </w:r>
      <w:r>
        <w:rPr>
          <w:spacing w:val="-1"/>
          <w:w w:val="188"/>
        </w:rPr>
        <w:t> </w:t>
      </w:r>
      <w:r>
        <w:rPr>
          <w:w w:val="200"/>
        </w:rPr>
        <w:t> </w:t>
      </w:r>
      <w:r>
        <w:rPr>
          <w:spacing w:val="16"/>
        </w:rPr>
        <w:t> </w:t>
      </w:r>
      <w:r>
        <w:rPr>
          <w:w w:val="166"/>
        </w:rPr>
        <w:t>      </w:t>
      </w:r>
      <w:r>
        <w:rPr>
          <w:spacing w:val="16"/>
        </w:rPr>
        <w:t> </w:t>
      </w:r>
      <w:r>
        <w:rPr>
          <w:w w:val="144"/>
        </w:rPr>
        <w:t>  </w:t>
      </w:r>
    </w:p>
    <w:p>
      <w:pPr>
        <w:spacing w:after="0" w:line="360" w:lineRule="auto"/>
        <w:jc w:val="both"/>
        <w:sectPr>
          <w:pgSz w:w="12250" w:h="15850"/>
          <w:pgMar w:header="0" w:footer="1037" w:top="1360" w:bottom="1220" w:left="1600" w:right="1580"/>
        </w:sectPr>
      </w:pPr>
    </w:p>
    <w:p>
      <w:pPr>
        <w:pStyle w:val="BodyText"/>
        <w:spacing w:line="360" w:lineRule="auto" w:before="50"/>
        <w:ind w:left="102" w:right="117"/>
        <w:jc w:val="both"/>
      </w:pPr>
      <w:r>
        <w:rPr/>
        <w:t>dificultad para el establecimiento de fondos soberanos (Ossowski, et al., 2008). Por otra parte, la orientación de una deuda pública contracíclica a la actividad económica ayuda a estabilizar la economía y suavizar el ciclo económico (Kapopoulos &amp; Lazaretou, 2011).</w:t>
      </w:r>
    </w:p>
    <w:p>
      <w:pPr>
        <w:pStyle w:val="BodyText"/>
        <w:spacing w:line="360" w:lineRule="auto" w:before="4"/>
        <w:ind w:left="102" w:right="119" w:firstLine="707"/>
        <w:jc w:val="both"/>
      </w:pPr>
      <w:r>
        <w:rPr/>
        <w:t>En tiempos de auge de precios, los gobiernos tienden a incrementar sus gastos públicos y se presenta una menor transparencia de sus instituciones en relación con el manejo de los recursos fiscales (Devarajan, et al., 2010). En consecuencia, costos de transacción elevados emergen de la mala asignación de los recursos públicos (Dhumale, 2000).</w:t>
      </w:r>
    </w:p>
    <w:p>
      <w:pPr>
        <w:pStyle w:val="BodyText"/>
        <w:spacing w:line="360" w:lineRule="auto" w:before="7"/>
        <w:ind w:left="102" w:right="116" w:firstLine="707"/>
        <w:jc w:val="both"/>
      </w:pPr>
      <w:r>
        <w:rPr/>
        <w:t>Bajo el contexto de dependencia de ingresos fiscales petroleros (gas natural), el propósito de este capítulo es dar respuesta a tres objetivos particulares de la tesis: 1] explicar las implicaciones de los cambios institucionales sobre la posición fiscal de una economía dependiente de un recurso natural; 2] evaluar la eficiencia del rol fiscal; </w:t>
      </w:r>
      <w:r>
        <w:rPr>
          <w:spacing w:val="-3"/>
        </w:rPr>
        <w:t>3] </w:t>
      </w:r>
      <w:r>
        <w:rPr/>
        <w:t>obtener la estimación del balance fiscal global cíclicamente</w:t>
      </w:r>
      <w:r>
        <w:rPr>
          <w:spacing w:val="-14"/>
        </w:rPr>
        <w:t> </w:t>
      </w:r>
      <w:r>
        <w:rPr/>
        <w:t>ajustado.</w:t>
      </w:r>
    </w:p>
    <w:p>
      <w:pPr>
        <w:pStyle w:val="BodyText"/>
        <w:spacing w:line="360" w:lineRule="auto" w:before="4"/>
        <w:ind w:left="102" w:right="119" w:firstLine="707"/>
        <w:jc w:val="both"/>
      </w:pPr>
      <w:r>
        <w:rPr/>
        <w:t>En esta sección se evalúan los movimientos cíclicos de la posición  fiscal  de Bolivia, se estudian las fluctuaciones cíclicas de los precios de exportación del gas natural con la posición fiscal, así como la manera en que son asignados los ingresos fiscales gasíferos y no gasíferos al gasto público. Con el fin de explicar los cambios institucionales se aborda la teoría institucional y para definir la eficiencia del rol fiscal se utiliza la perspectiva del nuevo institucionalismo</w:t>
      </w:r>
      <w:r>
        <w:rPr>
          <w:spacing w:val="-8"/>
        </w:rPr>
        <w:t> </w:t>
      </w:r>
      <w:r>
        <w:rPr/>
        <w:t>económico.</w:t>
      </w:r>
    </w:p>
    <w:p>
      <w:pPr>
        <w:pStyle w:val="BodyText"/>
        <w:spacing w:line="360" w:lineRule="auto" w:before="4"/>
        <w:ind w:left="102" w:right="122" w:firstLine="767"/>
        <w:jc w:val="both"/>
      </w:pPr>
      <w:r>
        <w:rPr/>
        <w:t>En la parte metodológica, se considera el enfoque del balance cíclicamente  ajustado, la misma que permite explicar la transición de los cambios cíclicos sobre el balance fiscal global durante el período 2003 –</w:t>
      </w:r>
      <w:r>
        <w:rPr>
          <w:spacing w:val="-8"/>
        </w:rPr>
        <w:t> </w:t>
      </w:r>
      <w:r>
        <w:rPr/>
        <w:t>2011.</w:t>
      </w:r>
    </w:p>
    <w:p>
      <w:pPr>
        <w:pStyle w:val="BodyText"/>
        <w:spacing w:line="360" w:lineRule="auto" w:before="6"/>
        <w:ind w:left="102" w:right="115" w:firstLine="707"/>
        <w:jc w:val="both"/>
      </w:pPr>
      <w:r>
        <w:rPr/>
        <w:t>Adicionalmente, la estimación del balance global cíclicamente ajustado (BGCA) es utilizado para la simulación de reglas fiscales con determinaciones en la deuda pública de corto y mediano plazo (capítulo IV).</w:t>
      </w:r>
    </w:p>
    <w:p>
      <w:pPr>
        <w:pStyle w:val="BodyText"/>
        <w:spacing w:line="360" w:lineRule="auto" w:before="6"/>
        <w:ind w:left="102" w:right="116" w:firstLine="707"/>
        <w:jc w:val="both"/>
      </w:pPr>
      <w:r>
        <w:rPr/>
        <w:t>El capítulo está organizado en tres apartados: el primero incluye el pasado reciente de la posición fiscal; el segundo aborda los datos y los aspectos metodológicos con base en la utilización de filtros para series económicas y el balance cíclicamente ajustado; en el tercer apartado se muestran los hallazgos y la discusión. Al final del documento se emiten las principales conclusiones.</w:t>
      </w:r>
    </w:p>
    <w:p>
      <w:pPr>
        <w:spacing w:after="0" w:line="360" w:lineRule="auto"/>
        <w:jc w:val="both"/>
        <w:sectPr>
          <w:pgSz w:w="12250" w:h="15850"/>
          <w:pgMar w:header="0" w:footer="1037" w:top="1360" w:bottom="1220" w:left="1600" w:right="1580"/>
        </w:sectPr>
      </w:pPr>
    </w:p>
    <w:p>
      <w:pPr>
        <w:pStyle w:val="Heading4"/>
        <w:numPr>
          <w:ilvl w:val="1"/>
          <w:numId w:val="13"/>
        </w:numPr>
        <w:tabs>
          <w:tab w:pos="677" w:val="left" w:leader="none"/>
          <w:tab w:pos="678" w:val="left" w:leader="none"/>
        </w:tabs>
        <w:spacing w:line="240" w:lineRule="auto" w:before="53" w:after="0"/>
        <w:ind w:left="678" w:right="0" w:hanging="576"/>
        <w:jc w:val="left"/>
      </w:pPr>
      <w:bookmarkStart w:name="_bookmark79" w:id="111"/>
      <w:bookmarkEnd w:id="111"/>
      <w:r>
        <w:rPr>
          <w:b w:val="0"/>
        </w:rPr>
      </w:r>
      <w:bookmarkStart w:name="_bookmark79" w:id="112"/>
      <w:bookmarkEnd w:id="112"/>
      <w:r>
        <w:rPr/>
        <w:t>El</w:t>
      </w:r>
      <w:r>
        <w:rPr/>
        <w:t> pasado reciente de la posición fiscal en</w:t>
      </w:r>
      <w:r>
        <w:rPr>
          <w:spacing w:val="-13"/>
        </w:rPr>
        <w:t> </w:t>
      </w:r>
      <w:r>
        <w:rPr/>
        <w:t>Bolivia</w:t>
      </w:r>
    </w:p>
    <w:p>
      <w:pPr>
        <w:pStyle w:val="BodyText"/>
        <w:rPr>
          <w:b/>
          <w:sz w:val="29"/>
        </w:rPr>
      </w:pPr>
    </w:p>
    <w:p>
      <w:pPr>
        <w:pStyle w:val="BodyText"/>
        <w:spacing w:line="360" w:lineRule="auto"/>
        <w:ind w:left="102" w:right="121" w:firstLine="707"/>
        <w:jc w:val="both"/>
      </w:pPr>
      <w:r>
        <w:rPr/>
        <w:t>Un aproximación preliminar sobre la eficiencia del rol fiscal consiste en comprender el comportamiento del pasado reciente de la posición fiscal en Bolivia. A continuación se presenta la operacionalización respectiva.</w:t>
      </w:r>
    </w:p>
    <w:p>
      <w:pPr>
        <w:pStyle w:val="BodyText"/>
        <w:spacing w:line="367" w:lineRule="auto" w:before="6"/>
        <w:ind w:left="102" w:right="112" w:firstLine="707"/>
        <w:jc w:val="both"/>
      </w:pPr>
      <w:r>
        <w:rPr/>
        <w:t>El balance fiscal global        se define como la diferencia entre los ingresos         y los gastos públicos totales       </w:t>
      </w:r>
      <w:r>
        <w:rPr>
          <w:spacing w:val="6"/>
        </w:rPr>
        <w:t> </w:t>
      </w:r>
      <w:r>
        <w:rPr/>
        <w:t>:</w:t>
      </w:r>
    </w:p>
    <w:p>
      <w:pPr>
        <w:pStyle w:val="BodyText"/>
        <w:spacing w:before="5"/>
        <w:rPr>
          <w:sz w:val="36"/>
        </w:rPr>
      </w:pPr>
    </w:p>
    <w:p>
      <w:pPr>
        <w:spacing w:before="0"/>
        <w:ind w:left="0" w:right="19" w:firstLine="0"/>
        <w:jc w:val="center"/>
        <w:rPr>
          <w:sz w:val="24"/>
        </w:rPr>
      </w:pPr>
      <w:r>
        <w:rPr>
          <w:rFonts w:ascii="Cambria Math"/>
          <w:w w:val="291"/>
          <w:sz w:val="24"/>
        </w:rPr>
        <w:t>  </w:t>
      </w:r>
      <w:r>
        <w:rPr>
          <w:rFonts w:ascii="Cambria Math"/>
          <w:w w:val="200"/>
          <w:position w:val="-4"/>
          <w:sz w:val="17"/>
        </w:rPr>
        <w:t> </w:t>
      </w:r>
      <w:r>
        <w:rPr>
          <w:rFonts w:ascii="Cambria Math"/>
          <w:position w:val="-4"/>
          <w:sz w:val="17"/>
        </w:rPr>
        <w:t>  </w:t>
      </w:r>
      <w:r>
        <w:rPr>
          <w:rFonts w:ascii="Cambria Math"/>
          <w:w w:val="339"/>
          <w:sz w:val="24"/>
        </w:rPr>
        <w:t> </w:t>
      </w:r>
      <w:r>
        <w:rPr>
          <w:rFonts w:ascii="Cambria Math"/>
          <w:sz w:val="24"/>
        </w:rPr>
        <w:t> </w:t>
      </w:r>
      <w:r>
        <w:rPr>
          <w:rFonts w:ascii="Cambria Math"/>
          <w:w w:val="172"/>
          <w:sz w:val="24"/>
        </w:rPr>
        <w:t> </w:t>
      </w:r>
      <w:r>
        <w:rPr>
          <w:rFonts w:ascii="Cambria Math"/>
          <w:w w:val="200"/>
          <w:position w:val="-4"/>
          <w:sz w:val="17"/>
        </w:rPr>
        <w:t> </w:t>
      </w:r>
      <w:r>
        <w:rPr>
          <w:rFonts w:ascii="Cambria Math"/>
          <w:position w:val="-4"/>
          <w:sz w:val="17"/>
        </w:rPr>
        <w:t>  </w:t>
      </w:r>
      <w:r>
        <w:rPr>
          <w:rFonts w:ascii="Cambria Math"/>
          <w:w w:val="339"/>
          <w:sz w:val="24"/>
        </w:rPr>
        <w:t> </w:t>
      </w:r>
      <w:r>
        <w:rPr>
          <w:rFonts w:ascii="Cambria Math"/>
          <w:sz w:val="24"/>
        </w:rPr>
        <w:t> </w:t>
      </w:r>
      <w:r>
        <w:rPr>
          <w:rFonts w:ascii="Cambria Math"/>
          <w:w w:val="286"/>
          <w:sz w:val="24"/>
        </w:rPr>
        <w:t> </w:t>
      </w:r>
      <w:r>
        <w:rPr>
          <w:rFonts w:ascii="Cambria Math"/>
          <w:w w:val="200"/>
          <w:position w:val="-4"/>
          <w:sz w:val="17"/>
        </w:rPr>
        <w:t> </w:t>
      </w:r>
      <w:r>
        <w:rPr>
          <w:rFonts w:ascii="Cambria Math"/>
          <w:position w:val="-4"/>
          <w:sz w:val="17"/>
        </w:rPr>
        <w:t>     </w:t>
      </w:r>
      <w:r>
        <w:rPr>
          <w:sz w:val="24"/>
        </w:rPr>
        <w:t>(3.1)</w:t>
      </w:r>
    </w:p>
    <w:p>
      <w:pPr>
        <w:pStyle w:val="BodyText"/>
        <w:rPr>
          <w:sz w:val="26"/>
        </w:rPr>
      </w:pPr>
    </w:p>
    <w:p>
      <w:pPr>
        <w:pStyle w:val="BodyText"/>
        <w:spacing w:before="9"/>
        <w:rPr>
          <w:sz w:val="22"/>
        </w:rPr>
      </w:pPr>
    </w:p>
    <w:p>
      <w:pPr>
        <w:pStyle w:val="BodyText"/>
        <w:spacing w:line="367" w:lineRule="auto"/>
        <w:ind w:left="102" w:right="117" w:firstLine="707"/>
        <w:jc w:val="both"/>
      </w:pPr>
      <w:r>
        <w:rPr/>
        <w:t>De la ecuación (3.1) se puede obtener el balance primario omitiendo el costo financiero del servicio de la deuda pública                </w:t>
      </w:r>
      <w:r>
        <w:rPr>
          <w:spacing w:val="59"/>
        </w:rPr>
        <w:t> </w:t>
      </w:r>
      <w:r>
        <w:rPr/>
        <w:t>:</w:t>
      </w:r>
    </w:p>
    <w:p>
      <w:pPr>
        <w:pStyle w:val="BodyText"/>
        <w:spacing w:before="1"/>
        <w:rPr>
          <w:sz w:val="39"/>
        </w:rPr>
      </w:pPr>
    </w:p>
    <w:p>
      <w:pPr>
        <w:pStyle w:val="BodyText"/>
        <w:spacing w:before="1"/>
        <w:ind w:right="18"/>
        <w:jc w:val="center"/>
      </w:pPr>
      <w:r>
        <w:rPr>
          <w:rFonts w:ascii="Cambria Math" w:hAnsi="Cambria Math"/>
          <w:w w:val="297"/>
        </w:rPr>
        <w:t> </w:t>
      </w:r>
      <w:r>
        <w:rPr>
          <w:rFonts w:ascii="Cambria Math" w:hAnsi="Cambria Math"/>
          <w:w w:val="281"/>
        </w:rPr>
        <w:t> </w:t>
      </w:r>
      <w:r>
        <w:rPr>
          <w:rFonts w:ascii="Cambria Math" w:hAnsi="Cambria Math"/>
          <w:w w:val="200"/>
          <w:position w:val="-4"/>
          <w:sz w:val="17"/>
        </w:rPr>
        <w:t> </w:t>
      </w:r>
      <w:r>
        <w:rPr>
          <w:rFonts w:ascii="Cambria Math" w:hAnsi="Cambria Math"/>
          <w:position w:val="-4"/>
          <w:sz w:val="17"/>
        </w:rPr>
        <w:t>  </w:t>
      </w:r>
      <w:r>
        <w:rPr>
          <w:rFonts w:ascii="Cambria Math" w:hAnsi="Cambria Math"/>
          <w:w w:val="339"/>
        </w:rPr>
        <w:t> </w:t>
      </w:r>
      <w:r>
        <w:rPr>
          <w:rFonts w:ascii="Cambria Math" w:hAnsi="Cambria Math"/>
        </w:rPr>
        <w:t> </w:t>
      </w:r>
      <w:r>
        <w:rPr>
          <w:rFonts w:ascii="Cambria Math" w:hAnsi="Cambria Math"/>
          <w:w w:val="172"/>
        </w:rPr>
        <w:t> </w:t>
      </w:r>
      <w:r>
        <w:rPr>
          <w:rFonts w:ascii="Cambria Math" w:hAnsi="Cambria Math"/>
          <w:w w:val="200"/>
          <w:position w:val="-4"/>
          <w:sz w:val="17"/>
        </w:rPr>
        <w:t> </w:t>
      </w:r>
      <w:r>
        <w:rPr>
          <w:rFonts w:ascii="Cambria Math" w:hAnsi="Cambria Math"/>
          <w:position w:val="-4"/>
          <w:sz w:val="17"/>
        </w:rPr>
        <w:t>  </w:t>
      </w:r>
      <w:r>
        <w:rPr>
          <w:rFonts w:ascii="Cambria Math" w:hAnsi="Cambria Math"/>
        </w:rPr>
        <w:t>–                                  </w:t>
      </w:r>
      <w:r>
        <w:rPr/>
        <w:t>(3.2)</w:t>
      </w:r>
    </w:p>
    <w:p>
      <w:pPr>
        <w:pStyle w:val="BodyText"/>
        <w:rPr>
          <w:sz w:val="28"/>
        </w:rPr>
      </w:pPr>
    </w:p>
    <w:p>
      <w:pPr>
        <w:pStyle w:val="BodyText"/>
        <w:spacing w:line="362" w:lineRule="auto" w:before="233"/>
        <w:ind w:left="102" w:right="121" w:firstLine="707"/>
        <w:jc w:val="both"/>
      </w:pPr>
      <w:r>
        <w:rPr/>
        <w:t>Para países ricos en algún recurso natural, la literatura recomienda evaluar la trayectoria del balance primario no petrolero  , es decir,  sin contemplar   el costo   financiero de la deuda pública (Daude, et al., 2010; Ossowski, et al., 2008; Villafuerte, et al., 2011) y excluyéndose el ingreso petrolero (Villafuerte &amp; López, 2010)</w:t>
      </w:r>
      <w:r>
        <w:rPr>
          <w:spacing w:val="-11"/>
        </w:rPr>
        <w:t> </w:t>
      </w:r>
      <w:r>
        <w:rPr/>
        <w:t>:</w:t>
      </w:r>
    </w:p>
    <w:p>
      <w:pPr>
        <w:pStyle w:val="BodyText"/>
      </w:pPr>
    </w:p>
    <w:p>
      <w:pPr>
        <w:pStyle w:val="BodyText"/>
        <w:spacing w:before="175"/>
        <w:ind w:right="17"/>
        <w:jc w:val="center"/>
      </w:pPr>
      <w:r>
        <w:rPr>
          <w:rFonts w:ascii="Cambria Math" w:hAnsi="Cambria Math"/>
          <w:w w:val="297"/>
        </w:rPr>
        <w:t> </w:t>
      </w:r>
      <w:r>
        <w:rPr>
          <w:rFonts w:ascii="Cambria Math" w:hAnsi="Cambria Math"/>
          <w:w w:val="306"/>
        </w:rPr>
        <w:t>  </w:t>
      </w:r>
      <w:r>
        <w:rPr>
          <w:rFonts w:ascii="Cambria Math" w:hAnsi="Cambria Math"/>
          <w:w w:val="281"/>
        </w:rPr>
        <w:t> </w:t>
      </w:r>
      <w:r>
        <w:rPr>
          <w:rFonts w:ascii="Cambria Math" w:hAnsi="Cambria Math"/>
          <w:w w:val="200"/>
          <w:position w:val="-4"/>
          <w:sz w:val="17"/>
        </w:rPr>
        <w:t> </w:t>
      </w:r>
      <w:r>
        <w:rPr>
          <w:rFonts w:ascii="Cambria Math" w:hAnsi="Cambria Math"/>
          <w:position w:val="-4"/>
          <w:sz w:val="17"/>
        </w:rPr>
        <w:t>  </w:t>
      </w:r>
      <w:r>
        <w:rPr>
          <w:rFonts w:ascii="Cambria Math" w:hAnsi="Cambria Math"/>
          <w:w w:val="339"/>
        </w:rPr>
        <w:t> </w:t>
      </w:r>
      <w:r>
        <w:rPr>
          <w:rFonts w:ascii="Cambria Math" w:hAnsi="Cambria Math"/>
        </w:rPr>
        <w:t> </w:t>
      </w:r>
      <w:r>
        <w:rPr>
          <w:rFonts w:ascii="Cambria Math" w:hAnsi="Cambria Math"/>
          <w:w w:val="172"/>
        </w:rPr>
        <w:t> </w:t>
      </w:r>
      <w:r>
        <w:rPr>
          <w:rFonts w:ascii="Cambria Math" w:hAnsi="Cambria Math"/>
          <w:w w:val="200"/>
          <w:position w:val="-4"/>
          <w:sz w:val="17"/>
        </w:rPr>
        <w:t> </w:t>
      </w:r>
      <w:r>
        <w:rPr>
          <w:rFonts w:ascii="Cambria Math" w:hAnsi="Cambria Math"/>
          <w:position w:val="-4"/>
          <w:sz w:val="17"/>
        </w:rPr>
        <w:t>  </w:t>
      </w:r>
      <w:r>
        <w:rPr>
          <w:rFonts w:ascii="Cambria Math" w:hAnsi="Cambria Math"/>
          <w:w w:val="339"/>
        </w:rPr>
        <w:t> </w:t>
      </w:r>
      <w:r>
        <w:rPr>
          <w:rFonts w:ascii="Cambria Math" w:hAnsi="Cambria Math"/>
        </w:rPr>
        <w:t> </w:t>
      </w:r>
      <w:r>
        <w:rPr>
          <w:rFonts w:ascii="Cambria Math" w:hAnsi="Cambria Math"/>
          <w:w w:val="172"/>
        </w:rPr>
        <w:t> </w:t>
      </w:r>
      <w:r>
        <w:rPr>
          <w:rFonts w:ascii="Cambria Math" w:hAnsi="Cambria Math"/>
          <w:w w:val="281"/>
        </w:rPr>
        <w:t> </w:t>
      </w:r>
      <w:r>
        <w:rPr>
          <w:rFonts w:ascii="Cambria Math" w:hAnsi="Cambria Math"/>
          <w:w w:val="200"/>
          <w:position w:val="-4"/>
          <w:sz w:val="17"/>
        </w:rPr>
        <w:t> </w:t>
      </w:r>
      <w:r>
        <w:rPr>
          <w:rFonts w:ascii="Cambria Math" w:hAnsi="Cambria Math"/>
          <w:position w:val="-4"/>
          <w:sz w:val="17"/>
        </w:rPr>
        <w:t>  </w:t>
      </w:r>
      <w:r>
        <w:rPr>
          <w:rFonts w:ascii="Cambria Math" w:hAnsi="Cambria Math"/>
        </w:rPr>
        <w:t>–                                  </w:t>
      </w:r>
      <w:r>
        <w:rPr/>
        <w:t>(3.3)</w:t>
      </w:r>
    </w:p>
    <w:p>
      <w:pPr>
        <w:pStyle w:val="BodyText"/>
        <w:spacing w:before="142"/>
        <w:ind w:left="810" w:right="127"/>
      </w:pPr>
      <w:r>
        <w:rPr/>
        <w:t>La ecuación  (3.3) puede ser expresada en términos del PIB       :</w:t>
      </w:r>
    </w:p>
    <w:p>
      <w:pPr>
        <w:pStyle w:val="BodyText"/>
        <w:rPr>
          <w:sz w:val="20"/>
        </w:rPr>
      </w:pPr>
    </w:p>
    <w:p>
      <w:pPr>
        <w:pStyle w:val="BodyText"/>
        <w:rPr>
          <w:sz w:val="20"/>
        </w:rPr>
      </w:pPr>
    </w:p>
    <w:p>
      <w:pPr>
        <w:pStyle w:val="BodyText"/>
        <w:rPr>
          <w:sz w:val="20"/>
        </w:rPr>
      </w:pPr>
    </w:p>
    <w:p>
      <w:pPr>
        <w:pStyle w:val="BodyText"/>
        <w:spacing w:before="3"/>
        <w:rPr>
          <w:sz w:val="13"/>
        </w:rPr>
      </w:pPr>
      <w:r>
        <w:rPr/>
        <w:pict>
          <v:line style="position:absolute;mso-position-horizontal-relative:page;mso-position-vertical-relative:paragraph;z-index:7624;mso-wrap-distance-left:0;mso-wrap-distance-right:0" from="213.649994pt,10.037240pt" to="248.329994pt,10.037240pt" stroked="true" strokeweight=".83997pt" strokecolor="#000000">
            <w10:wrap type="topAndBottom"/>
          </v:line>
        </w:pict>
      </w:r>
      <w:r>
        <w:rPr/>
        <w:pict>
          <v:line style="position:absolute;mso-position-horizontal-relative:page;mso-position-vertical-relative:paragraph;z-index:7648;mso-wrap-distance-left:0;mso-wrap-distance-right:0" from="266.570007pt,10.037240pt" to="304.370007pt,10.037240pt" stroked="true" strokeweight=".83997pt" strokecolor="#000000">
            <w10:wrap type="topAndBottom"/>
          </v:line>
        </w:pict>
      </w:r>
      <w:r>
        <w:rPr/>
        <w:pict>
          <v:line style="position:absolute;mso-position-horizontal-relative:page;mso-position-vertical-relative:paragraph;z-index:7672;mso-wrap-distance-left:0;mso-wrap-distance-right:0" from="318.649994pt,10.037240pt" to="398.713994pt,10.037240pt" stroked="true" strokeweight=".83997pt" strokecolor="#000000">
            <w10:wrap type="topAndBottom"/>
          </v:line>
        </w:pict>
      </w:r>
    </w:p>
    <w:p>
      <w:pPr>
        <w:pStyle w:val="BodyText"/>
        <w:rPr>
          <w:sz w:val="20"/>
        </w:rPr>
      </w:pPr>
    </w:p>
    <w:p>
      <w:pPr>
        <w:pStyle w:val="BodyText"/>
        <w:rPr>
          <w:sz w:val="20"/>
        </w:rPr>
      </w:pPr>
    </w:p>
    <w:p>
      <w:pPr>
        <w:pStyle w:val="BodyText"/>
        <w:spacing w:before="11"/>
        <w:rPr>
          <w:sz w:val="22"/>
        </w:rPr>
      </w:pPr>
    </w:p>
    <w:p>
      <w:pPr>
        <w:pStyle w:val="BodyText"/>
        <w:spacing w:line="360" w:lineRule="auto" w:before="69"/>
        <w:ind w:left="102" w:right="127" w:firstLine="707"/>
      </w:pPr>
      <w:r>
        <w:rPr/>
        <w:t>En la </w:t>
      </w:r>
      <w:r>
        <w:rPr>
          <w:i/>
        </w:rPr>
        <w:t>figura 3.1</w:t>
      </w:r>
      <w:r>
        <w:rPr/>
        <w:t>, se presenta la posición fiscal de Bolivia mediante: a) la trayectoria del balance primario (BP), el balance primario no gasífero para el caso de Bolivia  (BPNG) </w:t>
      </w:r>
      <w:r>
        <w:rPr>
          <w:w w:val="1"/>
        </w:rPr>
        <w:t> </w:t>
      </w:r>
    </w:p>
    <w:p>
      <w:pPr>
        <w:pStyle w:val="BodyText"/>
        <w:tabs>
          <w:tab w:pos="1526" w:val="left" w:leader="none"/>
          <w:tab w:pos="5639" w:val="left" w:leader="none"/>
        </w:tabs>
        <w:spacing w:line="360" w:lineRule="auto" w:before="6"/>
        <w:ind w:left="102" w:right="120"/>
      </w:pPr>
      <w:r>
        <w:rPr>
          <w:spacing w:val="-1"/>
          <w:w w:val="177"/>
        </w:rPr>
        <w:t> </w:t>
      </w:r>
      <w:r>
        <w:rPr>
          <w:w w:val="200"/>
        </w:rPr>
        <w:t> </w:t>
      </w:r>
      <w:r>
        <w:rPr/>
        <w:t> </w:t>
      </w:r>
      <w:r>
        <w:rPr>
          <w:spacing w:val="-18"/>
        </w:rPr>
        <w:t> </w:t>
      </w:r>
      <w:r>
        <w:rPr>
          <w:w w:val="164"/>
        </w:rPr>
        <w:t>     </w:t>
      </w:r>
      <w:r>
        <w:rPr/>
        <w:t> </w:t>
      </w:r>
      <w:r>
        <w:rPr>
          <w:spacing w:val="-19"/>
        </w:rPr>
        <w:t> </w:t>
      </w:r>
      <w:r>
        <w:rPr>
          <w:spacing w:val="2"/>
          <w:w w:val="200"/>
        </w:rPr>
        <w:t> </w:t>
      </w:r>
      <w:r>
        <w:rPr>
          <w:spacing w:val="-1"/>
          <w:w w:val="177"/>
        </w:rPr>
        <w:t> </w:t>
      </w:r>
      <w:r>
        <w:rPr>
          <w:w w:val="111"/>
        </w:rPr>
        <w:t> </w:t>
      </w:r>
      <w:r>
        <w:rPr/>
        <w:tab/>
      </w:r>
      <w:r>
        <w:rPr>
          <w:spacing w:val="2"/>
          <w:w w:val="200"/>
        </w:rPr>
        <w:t> </w:t>
      </w:r>
      <w:r>
        <w:rPr>
          <w:spacing w:val="-1"/>
          <w:w w:val="177"/>
        </w:rPr>
        <w:t> </w:t>
      </w:r>
      <w:r>
        <w:rPr>
          <w:w w:val="166"/>
        </w:rPr>
        <w:t>    </w:t>
      </w:r>
      <w:r>
        <w:rPr>
          <w:w w:val="177"/>
        </w:rPr>
        <w:t> </w:t>
      </w:r>
      <w:r>
        <w:rPr/>
        <w:t> </w:t>
      </w:r>
      <w:r>
        <w:rPr>
          <w:spacing w:val="-18"/>
        </w:rPr>
        <w:t> </w:t>
      </w:r>
      <w:r>
        <w:rPr>
          <w:spacing w:val="2"/>
          <w:w w:val="200"/>
        </w:rPr>
        <w:t> </w:t>
      </w:r>
      <w:r>
        <w:rPr>
          <w:w w:val="173"/>
        </w:rPr>
        <w:t>    </w:t>
      </w:r>
      <w:r>
        <w:rPr>
          <w:spacing w:val="-2"/>
          <w:w w:val="173"/>
        </w:rPr>
        <w:t> </w:t>
      </w:r>
      <w:r>
        <w:rPr>
          <w:w w:val="155"/>
        </w:rPr>
        <w:t>  </w:t>
      </w:r>
      <w:r>
        <w:rPr/>
        <w:t> </w:t>
      </w:r>
      <w:r>
        <w:rPr>
          <w:spacing w:val="-17"/>
        </w:rPr>
        <w:t> </w:t>
      </w:r>
      <w:r>
        <w:rPr>
          <w:w w:val="200"/>
        </w:rPr>
        <w:t>  </w:t>
      </w:r>
      <w:r>
        <w:rPr/>
        <w:t> </w:t>
      </w:r>
      <w:r>
        <w:rPr>
          <w:spacing w:val="-18"/>
        </w:rPr>
        <w:t> </w:t>
      </w:r>
      <w:r>
        <w:rPr>
          <w:w w:val="188"/>
        </w:rPr>
        <w:t> </w:t>
      </w:r>
      <w:r>
        <w:rPr>
          <w:spacing w:val="-1"/>
          <w:w w:val="188"/>
        </w:rPr>
        <w:t> </w:t>
      </w:r>
      <w:r>
        <w:rPr>
          <w:w w:val="138"/>
        </w:rPr>
        <w:t>   </w:t>
      </w:r>
      <w:r>
        <w:rPr>
          <w:spacing w:val="2"/>
          <w:w w:val="138"/>
        </w:rPr>
        <w:t> </w:t>
      </w:r>
      <w:r>
        <w:rPr>
          <w:spacing w:val="-1"/>
          <w:w w:val="177"/>
        </w:rPr>
        <w:t> </w:t>
      </w:r>
      <w:r>
        <w:rPr>
          <w:w w:val="166"/>
        </w:rPr>
        <w:t>  </w:t>
      </w:r>
      <w:r>
        <w:rPr/>
        <w:t> </w:t>
      </w:r>
      <w:r>
        <w:rPr>
          <w:spacing w:val="-16"/>
        </w:rPr>
        <w:t> </w:t>
      </w:r>
      <w:r>
        <w:rPr>
          <w:w w:val="207"/>
        </w:rPr>
        <w:t>   </w:t>
      </w:r>
      <w:r>
        <w:rPr>
          <w:w w:val="214"/>
        </w:rPr>
        <w:t>   </w:t>
      </w:r>
      <w:r>
        <w:rPr/>
        <w:t> </w:t>
      </w:r>
      <w:r>
        <w:rPr>
          <w:w w:val="1"/>
        </w:rPr>
        <w:t> </w:t>
      </w:r>
      <w:r>
        <w:rPr/>
        <w:tab/>
        <w:t>y b) la deuda pública   </w:t>
      </w:r>
      <w:r>
        <w:rPr>
          <w:spacing w:val="32"/>
        </w:rPr>
        <w:t> </w:t>
      </w:r>
      <w:r>
        <w:rPr/>
        <w:t>del</w:t>
      </w:r>
      <w:r>
        <w:rPr>
          <w:spacing w:val="43"/>
        </w:rPr>
        <w:t> </w:t>
      </w:r>
      <w:r>
        <w:rPr/>
        <w:t>Sector Público no financiero, cada una expresada en términos del</w:t>
      </w:r>
      <w:r>
        <w:rPr>
          <w:spacing w:val="-11"/>
        </w:rPr>
        <w:t> </w:t>
      </w:r>
      <w:r>
        <w:rPr/>
        <w:t>PIB.</w:t>
      </w:r>
    </w:p>
    <w:p>
      <w:pPr>
        <w:spacing w:after="0" w:line="360" w:lineRule="auto"/>
        <w:sectPr>
          <w:pgSz w:w="12250" w:h="15850"/>
          <w:pgMar w:header="0" w:footer="1037" w:top="1360" w:bottom="1220" w:left="1600" w:right="1580"/>
        </w:sectPr>
      </w:pPr>
    </w:p>
    <w:p>
      <w:pPr>
        <w:pStyle w:val="BodyText"/>
        <w:spacing w:before="48"/>
        <w:ind w:left="318" w:right="127"/>
      </w:pPr>
      <w:bookmarkStart w:name="_bookmark80" w:id="113"/>
      <w:bookmarkEnd w:id="113"/>
      <w:r>
        <w:rPr/>
      </w:r>
      <w:r>
        <w:rPr/>
        <w:t>Figura 3. 1: Posición fiscal después de la nacionalización del gas boliviano, 2006- 2011</w:t>
      </w:r>
    </w:p>
    <w:p>
      <w:pPr>
        <w:spacing w:after="0"/>
        <w:sectPr>
          <w:pgSz w:w="12250" w:h="15850"/>
          <w:pgMar w:header="0" w:footer="1037" w:top="1360" w:bottom="1220" w:left="1600" w:right="1580"/>
        </w:sect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spacing w:before="3"/>
        <w:rPr>
          <w:sz w:val="20"/>
        </w:rPr>
      </w:pPr>
    </w:p>
    <w:p>
      <w:pPr>
        <w:spacing w:before="0"/>
        <w:ind w:left="436" w:right="-2" w:firstLine="0"/>
        <w:jc w:val="left"/>
        <w:rPr>
          <w:rFonts w:ascii="Constantia"/>
          <w:sz w:val="14"/>
        </w:rPr>
      </w:pPr>
      <w:r>
        <w:rPr>
          <w:rFonts w:ascii="Constantia"/>
          <w:w w:val="95"/>
          <w:sz w:val="14"/>
        </w:rPr>
        <w:t>13.0%</w:t>
      </w:r>
    </w:p>
    <w:p>
      <w:pPr>
        <w:spacing w:before="64"/>
        <w:ind w:left="460" w:right="-10" w:firstLine="0"/>
        <w:jc w:val="left"/>
        <w:rPr>
          <w:rFonts w:ascii="Constantia"/>
          <w:sz w:val="14"/>
        </w:rPr>
      </w:pPr>
      <w:r>
        <w:rPr>
          <w:rFonts w:ascii="Constantia"/>
          <w:sz w:val="14"/>
        </w:rPr>
        <w:t>8.0%</w:t>
      </w:r>
    </w:p>
    <w:p>
      <w:pPr>
        <w:spacing w:before="64"/>
        <w:ind w:left="466" w:right="0" w:firstLine="0"/>
        <w:jc w:val="center"/>
        <w:rPr>
          <w:rFonts w:ascii="Constantia"/>
          <w:sz w:val="14"/>
        </w:rPr>
      </w:pPr>
      <w:r>
        <w:rPr>
          <w:rFonts w:ascii="Constantia"/>
          <w:sz w:val="14"/>
        </w:rPr>
        <w:t>3.0%</w:t>
      </w:r>
    </w:p>
    <w:p>
      <w:pPr>
        <w:spacing w:before="64"/>
        <w:ind w:left="421" w:right="-14" w:firstLine="0"/>
        <w:jc w:val="left"/>
        <w:rPr>
          <w:rFonts w:ascii="Constantia"/>
          <w:sz w:val="14"/>
        </w:rPr>
      </w:pPr>
      <w:r>
        <w:rPr>
          <w:rFonts w:ascii="Constantia"/>
          <w:sz w:val="14"/>
        </w:rPr>
        <w:t>-2.0%</w:t>
      </w:r>
    </w:p>
    <w:p>
      <w:pPr>
        <w:spacing w:before="64"/>
        <w:ind w:left="421" w:right="-14" w:firstLine="0"/>
        <w:jc w:val="left"/>
        <w:rPr>
          <w:rFonts w:ascii="Constantia"/>
          <w:sz w:val="14"/>
        </w:rPr>
      </w:pPr>
      <w:r>
        <w:rPr>
          <w:rFonts w:ascii="Constantia"/>
          <w:sz w:val="14"/>
        </w:rPr>
        <w:t>-7.0%</w:t>
      </w:r>
    </w:p>
    <w:p>
      <w:pPr>
        <w:spacing w:before="64"/>
        <w:ind w:left="368" w:right="0" w:firstLine="0"/>
        <w:jc w:val="center"/>
        <w:rPr>
          <w:rFonts w:ascii="Constantia"/>
          <w:sz w:val="14"/>
        </w:rPr>
      </w:pPr>
      <w:r>
        <w:rPr>
          <w:rFonts w:ascii="Constantia"/>
          <w:sz w:val="14"/>
        </w:rPr>
        <w:t>-12.0%</w:t>
      </w:r>
    </w:p>
    <w:p>
      <w:pPr>
        <w:spacing w:line="254" w:lineRule="exact" w:before="105"/>
        <w:ind w:left="375" w:right="554" w:hanging="235"/>
        <w:jc w:val="left"/>
        <w:rPr>
          <w:rFonts w:ascii="Constantia" w:hAnsi="Constantia"/>
          <w:b/>
          <w:sz w:val="21"/>
        </w:rPr>
      </w:pPr>
      <w:r>
        <w:rPr/>
        <w:br w:type="column"/>
      </w:r>
      <w:r>
        <w:rPr>
          <w:rFonts w:ascii="Constantia" w:hAnsi="Constantia"/>
          <w:b/>
          <w:sz w:val="21"/>
        </w:rPr>
        <w:t>Balance primario Vs. Balance primario no gasífero (a)</w:t>
      </w:r>
    </w:p>
    <w:p>
      <w:pPr>
        <w:spacing w:before="4"/>
        <w:ind w:left="471" w:right="961" w:firstLine="0"/>
        <w:jc w:val="center"/>
        <w:rPr>
          <w:rFonts w:ascii="Constantia" w:hAnsi="Constantia"/>
          <w:b/>
          <w:sz w:val="21"/>
        </w:rPr>
      </w:pPr>
      <w:r>
        <w:rPr/>
        <w:pict>
          <v:group style="position:absolute;margin-left:122.444038pt;margin-top:12.139286pt;width:173.7pt;height:95.85pt;mso-position-horizontal-relative:page;mso-position-vertical-relative:paragraph;z-index:-564424" coordorigin="2449,243" coordsize="3474,1917">
            <v:shape style="position:absolute;left:998;top:9725;width:5986;height:2970" coordorigin="998,9725" coordsize="5986,2970" path="m2497,2155l2497,422m2453,2155l2497,2155m2453,1919l2497,1919m2453,1691l2497,1691m2453,1455l2497,1455m2453,1219l2497,1219m2453,982l2497,982m2453,755l2497,755m2453,519l2497,519m2497,1122l5918,1122m2497,1122l2497,1166m2879,1122l2879,1166m3252,1122l3252,1166m3634,1122l3634,1166m4016,1122l4016,1166m4398,1122l4398,1166m4780,1122l4780,1166m5162,1122l5162,1166m5544,1122l5544,1166m5918,1122l5918,1166e" filled="false" stroked="true" strokeweight=".435813pt" strokecolor="#858585">
              <v:path arrowok="t"/>
            </v:shape>
            <v:shape style="position:absolute;left:2673;top:830;width:3083;height:552" type="#_x0000_t75" stroked="false">
              <v:imagedata r:id="rId196" o:title=""/>
            </v:shape>
            <v:shape style="position:absolute;left:2688;top:1498;width:3048;height:598" coordorigin="2688,1498" coordsize="3048,598" path="m2688,1779l2726,1751,2764,1720,2802,1688,2840,1656,2878,1625,2954,1567,3031,1524,3111,1501,3153,1498,3196,1500,3238,1506,3280,1515,3323,1526,3365,1537,3407,1547,3450,1555,3492,1561,3534,1565,3577,1570,3619,1575,3704,1589,3788,1613,3869,1650,3945,1702,4021,1763,4059,1795,4097,1825,4173,1881,4254,1925,4339,1961,4423,1990,4508,2015,4593,2036,4640,2048,4735,2072,4831,2091,4926,2095,4973,2091,5050,2066,5126,2025,5202,1979,5240,1957,5316,1922,5397,1908,5439,1908,5481,1911,5524,1917,5566,1925,5608,1934,5651,1943,5693,1951,5735,1957e" filled="false" stroked="true" strokeweight="1.312142pt" strokecolor="#000000">
              <v:path arrowok="t"/>
              <v:stroke dashstyle="longDash"/>
            </v:shape>
            <v:shape style="position:absolute;left:2674;top:914;width:3010;height:310" type="#_x0000_t75" stroked="false">
              <v:imagedata r:id="rId197" o:title=""/>
            </v:shape>
            <v:line style="position:absolute" from="2683,1599" to="5731,2046" stroked="true" strokeweight=".87487pt" strokecolor="#000000">
              <v:stroke dashstyle="longDash"/>
            </v:line>
            <v:line style="position:absolute" from="3803,252" to="3812,2151" stroked="true" strokeweight=".868242pt" strokecolor="#ff0000">
              <v:stroke dashstyle="longDash"/>
            </v:line>
            <w10:wrap type="none"/>
          </v:group>
        </w:pict>
      </w:r>
      <w:r>
        <w:rPr>
          <w:rFonts w:ascii="Constantia" w:hAnsi="Constantia"/>
          <w:b/>
          <w:sz w:val="21"/>
        </w:rPr>
        <w:t>(en términos del PIB)</w:t>
      </w:r>
    </w:p>
    <w:p>
      <w:pPr>
        <w:pStyle w:val="BodyText"/>
        <w:rPr>
          <w:rFonts w:ascii="Constantia"/>
          <w:b/>
          <w:sz w:val="20"/>
        </w:rPr>
      </w:pPr>
    </w:p>
    <w:p>
      <w:pPr>
        <w:pStyle w:val="BodyText"/>
        <w:spacing w:before="7"/>
        <w:rPr>
          <w:rFonts w:ascii="Constantia"/>
          <w:b/>
          <w:sz w:val="22"/>
        </w:rPr>
      </w:pPr>
    </w:p>
    <w:p>
      <w:pPr>
        <w:spacing w:before="0"/>
        <w:ind w:left="471" w:right="757" w:firstLine="0"/>
        <w:jc w:val="center"/>
        <w:rPr>
          <w:rFonts w:ascii="Calibri"/>
          <w:sz w:val="11"/>
        </w:rPr>
      </w:pPr>
      <w:r>
        <w:rPr>
          <w:rFonts w:ascii="Calibri"/>
          <w:w w:val="105"/>
          <w:sz w:val="11"/>
        </w:rPr>
        <w:t>6.13%</w:t>
      </w:r>
    </w:p>
    <w:p>
      <w:pPr>
        <w:tabs>
          <w:tab w:pos="2660" w:val="left" w:leader="none"/>
          <w:tab w:pos="3319" w:val="left" w:leader="none"/>
        </w:tabs>
        <w:spacing w:before="13"/>
        <w:ind w:left="1897" w:right="0" w:firstLine="0"/>
        <w:jc w:val="left"/>
        <w:rPr>
          <w:rFonts w:ascii="Calibri"/>
          <w:sz w:val="11"/>
        </w:rPr>
      </w:pPr>
      <w:r>
        <w:rPr>
          <w:rFonts w:ascii="Calibri"/>
          <w:w w:val="105"/>
          <w:position w:val="6"/>
          <w:sz w:val="11"/>
        </w:rPr>
        <w:t>2.90%</w:t>
        <w:tab/>
      </w:r>
      <w:r>
        <w:rPr>
          <w:rFonts w:ascii="Calibri"/>
          <w:w w:val="105"/>
          <w:sz w:val="11"/>
        </w:rPr>
        <w:t>1.71%</w:t>
        <w:tab/>
      </w:r>
      <w:r>
        <w:rPr>
          <w:rFonts w:ascii="Calibri"/>
          <w:w w:val="105"/>
          <w:position w:val="1"/>
          <w:sz w:val="11"/>
        </w:rPr>
        <w:t>2.00%</w:t>
      </w:r>
    </w:p>
    <w:p>
      <w:pPr>
        <w:spacing w:before="95"/>
        <w:ind w:left="111" w:right="0" w:firstLine="0"/>
        <w:jc w:val="left"/>
        <w:rPr>
          <w:rFonts w:ascii="Constantia"/>
          <w:sz w:val="14"/>
        </w:rPr>
      </w:pPr>
      <w:r>
        <w:rPr>
          <w:rFonts w:ascii="Constantia"/>
          <w:sz w:val="14"/>
        </w:rPr>
        <w:t>2,003 2,004  2,005 2,006  2,007 2,008 2,009  2,010   2,011</w:t>
      </w:r>
    </w:p>
    <w:p>
      <w:pPr>
        <w:spacing w:before="81"/>
        <w:ind w:left="1134" w:right="0" w:firstLine="0"/>
        <w:jc w:val="left"/>
        <w:rPr>
          <w:sz w:val="16"/>
        </w:rPr>
      </w:pPr>
      <w:r>
        <w:rPr>
          <w:rFonts w:ascii="Calibri" w:hAnsi="Calibri"/>
          <w:w w:val="102"/>
          <w:position w:val="1"/>
          <w:sz w:val="11"/>
        </w:rPr>
        <w:t>-</w:t>
      </w:r>
      <w:r>
        <w:rPr>
          <w:rFonts w:ascii="Calibri" w:hAnsi="Calibri"/>
          <w:spacing w:val="3"/>
          <w:w w:val="102"/>
          <w:position w:val="1"/>
          <w:sz w:val="11"/>
        </w:rPr>
        <w:t>9</w:t>
      </w:r>
      <w:r>
        <w:rPr>
          <w:rFonts w:ascii="Calibri" w:hAnsi="Calibri"/>
          <w:spacing w:val="-3"/>
          <w:w w:val="102"/>
          <w:position w:val="1"/>
          <w:sz w:val="11"/>
        </w:rPr>
        <w:t>.</w:t>
      </w:r>
      <w:r>
        <w:rPr>
          <w:rFonts w:ascii="Calibri" w:hAnsi="Calibri"/>
          <w:spacing w:val="3"/>
          <w:w w:val="102"/>
          <w:position w:val="1"/>
          <w:sz w:val="11"/>
        </w:rPr>
        <w:t>22</w:t>
      </w:r>
      <w:r>
        <w:rPr>
          <w:rFonts w:ascii="Calibri" w:hAnsi="Calibri"/>
          <w:spacing w:val="-34"/>
          <w:w w:val="102"/>
          <w:position w:val="1"/>
          <w:sz w:val="11"/>
        </w:rPr>
        <w:t>%</w:t>
      </w:r>
      <w:r>
        <w:rPr>
          <w:color w:val="FF0000"/>
          <w:spacing w:val="2"/>
          <w:w w:val="103"/>
          <w:sz w:val="16"/>
        </w:rPr>
        <w:t>P</w:t>
      </w:r>
      <w:r>
        <w:rPr>
          <w:rFonts w:ascii="Calibri" w:hAnsi="Calibri"/>
          <w:spacing w:val="-34"/>
          <w:w w:val="102"/>
          <w:position w:val="-5"/>
          <w:sz w:val="11"/>
        </w:rPr>
        <w:t>-</w:t>
      </w:r>
      <w:r>
        <w:rPr>
          <w:color w:val="FF0000"/>
          <w:spacing w:val="-41"/>
          <w:w w:val="103"/>
          <w:sz w:val="16"/>
        </w:rPr>
        <w:t>e</w:t>
      </w:r>
      <w:r>
        <w:rPr>
          <w:rFonts w:ascii="Calibri" w:hAnsi="Calibri"/>
          <w:spacing w:val="-22"/>
          <w:w w:val="102"/>
          <w:position w:val="-5"/>
          <w:sz w:val="11"/>
        </w:rPr>
        <w:t>1</w:t>
      </w:r>
      <w:r>
        <w:rPr>
          <w:color w:val="FF0000"/>
          <w:spacing w:val="-31"/>
          <w:w w:val="103"/>
          <w:sz w:val="16"/>
        </w:rPr>
        <w:t>r</w:t>
      </w:r>
      <w:r>
        <w:rPr>
          <w:rFonts w:ascii="Calibri" w:hAnsi="Calibri"/>
          <w:spacing w:val="-21"/>
          <w:w w:val="102"/>
          <w:position w:val="-5"/>
          <w:sz w:val="11"/>
        </w:rPr>
        <w:t>0</w:t>
      </w:r>
      <w:r>
        <w:rPr>
          <w:color w:val="FF0000"/>
          <w:spacing w:val="-22"/>
          <w:w w:val="103"/>
          <w:sz w:val="16"/>
        </w:rPr>
        <w:t>í</w:t>
      </w:r>
      <w:r>
        <w:rPr>
          <w:rFonts w:ascii="Calibri" w:hAnsi="Calibri"/>
          <w:spacing w:val="-9"/>
          <w:w w:val="102"/>
          <w:position w:val="-5"/>
          <w:sz w:val="11"/>
        </w:rPr>
        <w:t>.</w:t>
      </w:r>
      <w:r>
        <w:rPr>
          <w:color w:val="FF0000"/>
          <w:spacing w:val="-77"/>
          <w:w w:val="103"/>
          <w:sz w:val="16"/>
        </w:rPr>
        <w:t>o</w:t>
      </w:r>
      <w:r>
        <w:rPr>
          <w:rFonts w:ascii="Calibri" w:hAnsi="Calibri"/>
          <w:spacing w:val="3"/>
          <w:w w:val="102"/>
          <w:position w:val="-5"/>
          <w:sz w:val="11"/>
        </w:rPr>
        <w:t>8</w:t>
      </w:r>
      <w:r>
        <w:rPr>
          <w:rFonts w:ascii="Calibri" w:hAnsi="Calibri"/>
          <w:spacing w:val="-38"/>
          <w:w w:val="102"/>
          <w:position w:val="-5"/>
          <w:sz w:val="11"/>
        </w:rPr>
        <w:t>1</w:t>
      </w:r>
      <w:r>
        <w:rPr>
          <w:color w:val="FF0000"/>
          <w:spacing w:val="-42"/>
          <w:w w:val="103"/>
          <w:sz w:val="16"/>
        </w:rPr>
        <w:t>d</w:t>
      </w:r>
      <w:r>
        <w:rPr>
          <w:rFonts w:ascii="Calibri" w:hAnsi="Calibri"/>
          <w:spacing w:val="-35"/>
          <w:w w:val="102"/>
          <w:position w:val="-5"/>
          <w:sz w:val="11"/>
        </w:rPr>
        <w:t>%</w:t>
      </w:r>
      <w:r>
        <w:rPr>
          <w:color w:val="FF0000"/>
          <w:w w:val="103"/>
          <w:sz w:val="16"/>
        </w:rPr>
        <w:t>o</w:t>
      </w:r>
      <w:r>
        <w:rPr>
          <w:color w:val="FF0000"/>
          <w:spacing w:val="-10"/>
          <w:sz w:val="16"/>
        </w:rPr>
        <w:t> </w:t>
      </w:r>
      <w:r>
        <w:rPr>
          <w:color w:val="FF0000"/>
          <w:spacing w:val="12"/>
          <w:w w:val="103"/>
          <w:sz w:val="16"/>
        </w:rPr>
        <w:t>p</w:t>
      </w:r>
      <w:r>
        <w:rPr>
          <w:color w:val="FF0000"/>
          <w:spacing w:val="-5"/>
          <w:w w:val="103"/>
          <w:sz w:val="16"/>
        </w:rPr>
        <w:t>o</w:t>
      </w:r>
      <w:r>
        <w:rPr>
          <w:color w:val="FF0000"/>
          <w:spacing w:val="5"/>
          <w:w w:val="103"/>
          <w:sz w:val="16"/>
        </w:rPr>
        <w:t>s</w:t>
      </w:r>
      <w:r>
        <w:rPr>
          <w:color w:val="FF0000"/>
          <w:spacing w:val="-3"/>
          <w:w w:val="103"/>
          <w:sz w:val="16"/>
        </w:rPr>
        <w:t>t</w:t>
      </w:r>
      <w:r>
        <w:rPr>
          <w:color w:val="FF0000"/>
          <w:spacing w:val="-4"/>
          <w:w w:val="103"/>
          <w:sz w:val="16"/>
        </w:rPr>
        <w:t>-</w:t>
      </w:r>
      <w:r>
        <w:rPr>
          <w:color w:val="FF0000"/>
          <w:spacing w:val="-5"/>
          <w:w w:val="103"/>
          <w:sz w:val="16"/>
        </w:rPr>
        <w:t>n</w:t>
      </w:r>
      <w:r>
        <w:rPr>
          <w:color w:val="FF0000"/>
          <w:spacing w:val="4"/>
          <w:w w:val="103"/>
          <w:sz w:val="16"/>
        </w:rPr>
        <w:t>a</w:t>
      </w:r>
      <w:r>
        <w:rPr>
          <w:color w:val="FF0000"/>
          <w:spacing w:val="-4"/>
          <w:w w:val="103"/>
          <w:sz w:val="16"/>
        </w:rPr>
        <w:t>c</w:t>
      </w:r>
      <w:r>
        <w:rPr>
          <w:color w:val="FF0000"/>
          <w:spacing w:val="-3"/>
          <w:w w:val="103"/>
          <w:sz w:val="16"/>
        </w:rPr>
        <w:t>i</w:t>
      </w:r>
      <w:r>
        <w:rPr>
          <w:color w:val="FF0000"/>
          <w:spacing w:val="-5"/>
          <w:w w:val="103"/>
          <w:sz w:val="16"/>
        </w:rPr>
        <w:t>o</w:t>
      </w:r>
      <w:r>
        <w:rPr>
          <w:color w:val="FF0000"/>
          <w:spacing w:val="4"/>
          <w:w w:val="103"/>
          <w:sz w:val="16"/>
        </w:rPr>
        <w:t>n</w:t>
      </w:r>
      <w:r>
        <w:rPr>
          <w:color w:val="FF0000"/>
          <w:spacing w:val="-4"/>
          <w:w w:val="103"/>
          <w:sz w:val="16"/>
        </w:rPr>
        <w:t>a</w:t>
      </w:r>
      <w:r>
        <w:rPr>
          <w:color w:val="FF0000"/>
          <w:spacing w:val="-3"/>
          <w:w w:val="103"/>
          <w:sz w:val="16"/>
        </w:rPr>
        <w:t>li</w:t>
      </w:r>
      <w:r>
        <w:rPr>
          <w:color w:val="FF0000"/>
          <w:spacing w:val="-4"/>
          <w:w w:val="103"/>
          <w:sz w:val="16"/>
        </w:rPr>
        <w:t>z</w:t>
      </w:r>
      <w:r>
        <w:rPr>
          <w:color w:val="FF0000"/>
          <w:spacing w:val="4"/>
          <w:w w:val="103"/>
          <w:sz w:val="16"/>
        </w:rPr>
        <w:t>a</w:t>
      </w:r>
      <w:r>
        <w:rPr>
          <w:color w:val="FF0000"/>
          <w:spacing w:val="-4"/>
          <w:w w:val="103"/>
          <w:sz w:val="16"/>
        </w:rPr>
        <w:t>c</w:t>
      </w:r>
      <w:r>
        <w:rPr>
          <w:color w:val="FF0000"/>
          <w:spacing w:val="-3"/>
          <w:w w:val="103"/>
          <w:sz w:val="16"/>
        </w:rPr>
        <w:t>i</w:t>
      </w:r>
      <w:r>
        <w:rPr>
          <w:color w:val="FF0000"/>
          <w:spacing w:val="4"/>
          <w:w w:val="103"/>
          <w:sz w:val="16"/>
        </w:rPr>
        <w:t>ó</w:t>
      </w:r>
      <w:r>
        <w:rPr>
          <w:color w:val="FF0000"/>
          <w:w w:val="103"/>
          <w:sz w:val="16"/>
        </w:rPr>
        <w:t>n</w:t>
      </w:r>
    </w:p>
    <w:p>
      <w:pPr>
        <w:spacing w:before="14"/>
        <w:ind w:left="374" w:right="554" w:firstLine="0"/>
        <w:jc w:val="left"/>
        <w:rPr>
          <w:rFonts w:ascii="Calibri"/>
          <w:sz w:val="11"/>
        </w:rPr>
      </w:pPr>
      <w:r>
        <w:rPr>
          <w:rFonts w:ascii="Calibri"/>
          <w:w w:val="105"/>
          <w:sz w:val="11"/>
        </w:rPr>
        <w:t>-13.95%</w:t>
      </w:r>
    </w:p>
    <w:p>
      <w:pPr>
        <w:spacing w:before="120"/>
        <w:ind w:left="373" w:right="0" w:firstLine="0"/>
        <w:jc w:val="left"/>
        <w:rPr>
          <w:rFonts w:ascii="Constantia" w:hAnsi="Constantia"/>
          <w:b/>
          <w:sz w:val="20"/>
        </w:rPr>
      </w:pPr>
      <w:r>
        <w:rPr/>
        <w:br w:type="column"/>
      </w:r>
      <w:r>
        <w:rPr>
          <w:rFonts w:ascii="Constantia" w:hAnsi="Constantia"/>
          <w:b/>
          <w:w w:val="90"/>
          <w:sz w:val="20"/>
        </w:rPr>
        <w:t>Deuda Pública/ PIB (b)</w:t>
      </w:r>
    </w:p>
    <w:p>
      <w:pPr>
        <w:spacing w:after="0"/>
        <w:jc w:val="left"/>
        <w:rPr>
          <w:rFonts w:ascii="Constantia" w:hAnsi="Constantia"/>
          <w:sz w:val="20"/>
        </w:rPr>
        <w:sectPr>
          <w:type w:val="continuous"/>
          <w:pgSz w:w="12250" w:h="15850"/>
          <w:pgMar w:top="1500" w:bottom="280" w:left="1600" w:right="1580"/>
          <w:cols w:num="3" w:equalWidth="0">
            <w:col w:w="772" w:space="40"/>
            <w:col w:w="3609" w:space="1052"/>
            <w:col w:w="3597"/>
          </w:cols>
        </w:sectPr>
      </w:pPr>
    </w:p>
    <w:p>
      <w:pPr>
        <w:spacing w:line="147" w:lineRule="exact" w:before="0"/>
        <w:ind w:left="374" w:right="-11" w:firstLine="0"/>
        <w:jc w:val="left"/>
        <w:rPr>
          <w:rFonts w:ascii="Constantia"/>
          <w:sz w:val="14"/>
        </w:rPr>
      </w:pPr>
      <w:r>
        <w:rPr>
          <w:rFonts w:ascii="Constantia"/>
          <w:sz w:val="14"/>
        </w:rPr>
        <w:t>-17.0%</w:t>
      </w:r>
    </w:p>
    <w:p>
      <w:pPr>
        <w:spacing w:before="64"/>
        <w:ind w:left="352" w:right="-14" w:firstLine="0"/>
        <w:jc w:val="left"/>
        <w:rPr>
          <w:rFonts w:ascii="Constantia"/>
          <w:sz w:val="14"/>
        </w:rPr>
      </w:pPr>
      <w:r>
        <w:rPr>
          <w:rFonts w:ascii="Constantia"/>
          <w:sz w:val="14"/>
        </w:rPr>
        <w:t>-22.0%</w:t>
      </w:r>
    </w:p>
    <w:p>
      <w:pPr>
        <w:spacing w:line="123" w:lineRule="exact" w:before="0"/>
        <w:ind w:left="352" w:right="-15" w:firstLine="0"/>
        <w:jc w:val="left"/>
        <w:rPr>
          <w:rFonts w:ascii="Calibri"/>
          <w:sz w:val="11"/>
        </w:rPr>
      </w:pPr>
      <w:r>
        <w:rPr/>
        <w:br w:type="column"/>
      </w:r>
      <w:r>
        <w:rPr>
          <w:rFonts w:ascii="Calibri"/>
          <w:w w:val="105"/>
          <w:sz w:val="11"/>
        </w:rPr>
        <w:t>-16.57%</w:t>
      </w:r>
    </w:p>
    <w:p>
      <w:pPr>
        <w:pStyle w:val="BodyText"/>
        <w:spacing w:before="3"/>
        <w:rPr>
          <w:rFonts w:ascii="Calibri"/>
          <w:sz w:val="14"/>
        </w:rPr>
      </w:pPr>
      <w:r>
        <w:rPr/>
        <w:br w:type="column"/>
      </w:r>
      <w:r>
        <w:rPr>
          <w:rFonts w:ascii="Calibri"/>
          <w:sz w:val="14"/>
        </w:rPr>
      </w:r>
    </w:p>
    <w:p>
      <w:pPr>
        <w:spacing w:before="0"/>
        <w:ind w:left="337" w:right="-17" w:firstLine="0"/>
        <w:jc w:val="left"/>
        <w:rPr>
          <w:rFonts w:ascii="Calibri"/>
          <w:sz w:val="11"/>
        </w:rPr>
      </w:pPr>
      <w:r>
        <w:rPr>
          <w:rFonts w:ascii="Calibri"/>
          <w:w w:val="105"/>
          <w:sz w:val="11"/>
        </w:rPr>
        <w:t>-20.52%</w:t>
      </w:r>
    </w:p>
    <w:p>
      <w:pPr>
        <w:spacing w:before="42"/>
        <w:ind w:left="140" w:right="0" w:firstLine="0"/>
        <w:jc w:val="left"/>
        <w:rPr>
          <w:rFonts w:ascii="Calibri"/>
          <w:sz w:val="11"/>
        </w:rPr>
      </w:pPr>
      <w:r>
        <w:rPr/>
        <w:br w:type="column"/>
      </w:r>
      <w:r>
        <w:rPr>
          <w:rFonts w:ascii="Calibri"/>
          <w:w w:val="105"/>
          <w:sz w:val="11"/>
        </w:rPr>
        <w:t>-17.70%</w:t>
      </w:r>
    </w:p>
    <w:p>
      <w:pPr>
        <w:spacing w:after="0"/>
        <w:jc w:val="left"/>
        <w:rPr>
          <w:rFonts w:ascii="Calibri"/>
          <w:sz w:val="11"/>
        </w:rPr>
        <w:sectPr>
          <w:type w:val="continuous"/>
          <w:pgSz w:w="12250" w:h="15850"/>
          <w:pgMar w:top="1500" w:bottom="280" w:left="1600" w:right="1580"/>
          <w:cols w:num="4" w:equalWidth="0">
            <w:col w:w="771" w:space="1588"/>
            <w:col w:w="739" w:space="40"/>
            <w:col w:w="722" w:space="40"/>
            <w:col w:w="5170"/>
          </w:cols>
        </w:sectPr>
      </w:pPr>
    </w:p>
    <w:p>
      <w:pPr>
        <w:spacing w:before="99"/>
        <w:ind w:left="1349" w:right="-20" w:firstLine="0"/>
        <w:jc w:val="left"/>
        <w:rPr>
          <w:rFonts w:ascii="Constantia"/>
          <w:sz w:val="16"/>
        </w:rPr>
      </w:pPr>
      <w:r>
        <w:rPr/>
        <w:drawing>
          <wp:anchor distT="0" distB="0" distL="0" distR="0" allowOverlap="1" layoutInCell="1" locked="0" behindDoc="0" simplePos="0" relativeHeight="7720">
            <wp:simplePos x="0" y="0"/>
            <wp:positionH relativeFrom="page">
              <wp:posOffset>1659878</wp:posOffset>
            </wp:positionH>
            <wp:positionV relativeFrom="paragraph">
              <wp:posOffset>115708</wp:posOffset>
            </wp:positionV>
            <wp:extent cx="203986" cy="16668"/>
            <wp:effectExtent l="0" t="0" r="0" b="0"/>
            <wp:wrapNone/>
            <wp:docPr id="47" name="image182.png" descr=""/>
            <wp:cNvGraphicFramePr>
              <a:graphicFrameLocks noChangeAspect="1"/>
            </wp:cNvGraphicFramePr>
            <a:graphic>
              <a:graphicData uri="http://schemas.openxmlformats.org/drawingml/2006/picture">
                <pic:pic>
                  <pic:nvPicPr>
                    <pic:cNvPr id="48" name="image182.png"/>
                    <pic:cNvPicPr/>
                  </pic:nvPicPr>
                  <pic:blipFill>
                    <a:blip r:embed="rId198" cstate="print"/>
                    <a:stretch>
                      <a:fillRect/>
                    </a:stretch>
                  </pic:blipFill>
                  <pic:spPr>
                    <a:xfrm>
                      <a:off x="0" y="0"/>
                      <a:ext cx="203986" cy="16668"/>
                    </a:xfrm>
                    <a:prstGeom prst="rect">
                      <a:avLst/>
                    </a:prstGeom>
                  </pic:spPr>
                </pic:pic>
              </a:graphicData>
            </a:graphic>
          </wp:anchor>
        </w:drawing>
      </w:r>
      <w:r>
        <w:rPr/>
        <w:pict>
          <v:group style="position:absolute;margin-left:338.814148pt;margin-top:-116.861618pt;width:173.65pt;height:112.95pt;mso-position-horizontal-relative:page;mso-position-vertical-relative:paragraph;z-index:7816" coordorigin="6776,-2337" coordsize="3473,2259">
            <v:shape style="position:absolute;left:6917;top:-2290;width:3332;height:1793" type="#_x0000_t75" stroked="false">
              <v:imagedata r:id="rId199" o:title=""/>
            </v:shape>
            <v:shape style="position:absolute;left:1403;top:7381;width:1093;height:2101" coordorigin="1403,7381" coordsize="1093,2101" path="m7293,-891l7235,-891m7268,-1193l7218,-1193m7251,-1505l7210,-1505m7235,-1817l7194,-1817m7218,-2139l7177,-2139m7293,-891l7293,-843m7531,-862l7531,-813m7778,-823l7778,-774e" filled="false" stroked="true" strokeweight=".450261pt" strokecolor="#858585">
              <v:path arrowok="t"/>
            </v:shape>
            <v:shape style="position:absolute;left:7189;top:-788;width:999;height:499" type="#_x0000_t75" stroked="false">
              <v:imagedata r:id="rId200" o:title=""/>
            </v:shape>
            <v:shape style="position:absolute;left:3451;top:9541;width:2706;height:435" coordorigin="3451,9541" coordsize="2706,435" path="m8304,-735l8304,-687m8583,-696l8583,-648m8862,-657l8862,-609m9158,-609l9158,-560m9462,-560l9462,-511m9791,-511l9791,-453e" filled="false" stroked="true" strokeweight=".450261pt" strokecolor="#858585">
              <v:path arrowok="t"/>
            </v:shape>
            <v:shape style="position:absolute;left:8223;top:-562;width:519;height:358" type="#_x0000_t75" stroked="false">
              <v:imagedata r:id="rId201" o:title=""/>
            </v:shape>
            <v:shape style="position:absolute;left:8787;top:-454;width:253;height:295" type="#_x0000_t75" stroked="false">
              <v:imagedata r:id="rId202" o:title=""/>
            </v:shape>
            <v:shape style="position:absolute;left:9111;top:-408;width:221;height:269" type="#_x0000_t75" stroked="false">
              <v:imagedata r:id="rId203" o:title=""/>
            </v:shape>
            <v:shape style="position:absolute;left:9445;top:-367;width:213;height:249" type="#_x0000_t75" stroked="false">
              <v:imagedata r:id="rId204" o:title=""/>
            </v:shape>
            <v:line style="position:absolute" from="8212,-2329" to="8245,-87" stroked="true" strokeweight=".824716pt" strokecolor="#ff0000">
              <v:stroke dashstyle="longDash"/>
            </v:line>
            <v:shape style="position:absolute;left:6776;top:-2219;width:368;height:1444" type="#_x0000_t202" filled="false" stroked="false">
              <v:textbox inset="0,0,0,0">
                <w:txbxContent>
                  <w:p>
                    <w:pPr>
                      <w:spacing w:line="188" w:lineRule="exact" w:before="0"/>
                      <w:ind w:left="0" w:right="-2" w:firstLine="0"/>
                      <w:jc w:val="left"/>
                      <w:rPr>
                        <w:rFonts w:ascii="Constantia"/>
                        <w:b/>
                        <w:sz w:val="18"/>
                      </w:rPr>
                    </w:pPr>
                    <w:r>
                      <w:rPr>
                        <w:rFonts w:ascii="Constantia"/>
                        <w:b/>
                        <w:w w:val="95"/>
                        <w:sz w:val="18"/>
                      </w:rPr>
                      <w:t>80%</w:t>
                    </w:r>
                  </w:p>
                  <w:p>
                    <w:pPr>
                      <w:spacing w:before="106"/>
                      <w:ind w:left="0" w:right="31" w:firstLine="0"/>
                      <w:jc w:val="center"/>
                      <w:rPr>
                        <w:rFonts w:ascii="Constantia"/>
                        <w:b/>
                        <w:sz w:val="18"/>
                      </w:rPr>
                    </w:pPr>
                    <w:r>
                      <w:rPr>
                        <w:rFonts w:ascii="Constantia"/>
                        <w:b/>
                        <w:w w:val="90"/>
                        <w:sz w:val="18"/>
                      </w:rPr>
                      <w:t>60%</w:t>
                    </w:r>
                  </w:p>
                  <w:p>
                    <w:pPr>
                      <w:spacing w:before="98"/>
                      <w:ind w:left="2" w:right="0" w:firstLine="0"/>
                      <w:jc w:val="center"/>
                      <w:rPr>
                        <w:rFonts w:ascii="Constantia"/>
                        <w:b/>
                        <w:sz w:val="18"/>
                      </w:rPr>
                    </w:pPr>
                    <w:r>
                      <w:rPr>
                        <w:rFonts w:ascii="Constantia"/>
                        <w:b/>
                        <w:w w:val="90"/>
                        <w:sz w:val="18"/>
                      </w:rPr>
                      <w:t>40%</w:t>
                    </w:r>
                  </w:p>
                  <w:p>
                    <w:pPr>
                      <w:spacing w:before="91"/>
                      <w:ind w:left="61" w:right="-2" w:firstLine="0"/>
                      <w:jc w:val="left"/>
                      <w:rPr>
                        <w:rFonts w:ascii="Constantia"/>
                        <w:b/>
                        <w:sz w:val="18"/>
                      </w:rPr>
                    </w:pPr>
                    <w:r>
                      <w:rPr>
                        <w:rFonts w:ascii="Constantia"/>
                        <w:b/>
                        <w:w w:val="85"/>
                        <w:sz w:val="18"/>
                      </w:rPr>
                      <w:t>20%</w:t>
                    </w:r>
                  </w:p>
                  <w:p>
                    <w:pPr>
                      <w:spacing w:line="218" w:lineRule="exact" w:before="83"/>
                      <w:ind w:left="147" w:right="0" w:firstLine="0"/>
                      <w:jc w:val="center"/>
                      <w:rPr>
                        <w:rFonts w:ascii="Constantia"/>
                        <w:b/>
                        <w:sz w:val="18"/>
                      </w:rPr>
                    </w:pPr>
                    <w:r>
                      <w:rPr>
                        <w:rFonts w:ascii="Constantia"/>
                        <w:b/>
                        <w:w w:val="85"/>
                        <w:sz w:val="18"/>
                      </w:rPr>
                      <w:t>0%</w:t>
                    </w:r>
                  </w:p>
                </w:txbxContent>
              </v:textbox>
              <w10:wrap type="none"/>
            </v:shape>
            <v:shape style="position:absolute;left:8375;top:-1625;width:1824;height:186" type="#_x0000_t202" filled="false" stroked="false">
              <v:textbox inset="0,0,0,0">
                <w:txbxContent>
                  <w:p>
                    <w:pPr>
                      <w:spacing w:line="186" w:lineRule="exact" w:before="0"/>
                      <w:ind w:left="0" w:right="0" w:firstLine="0"/>
                      <w:jc w:val="left"/>
                      <w:rPr>
                        <w:sz w:val="18"/>
                      </w:rPr>
                    </w:pPr>
                    <w:r>
                      <w:rPr>
                        <w:color w:val="FF0000"/>
                        <w:w w:val="85"/>
                        <w:sz w:val="18"/>
                      </w:rPr>
                      <w:t>Período post-nacionalización</w:t>
                    </w:r>
                  </w:p>
                </w:txbxContent>
              </v:textbox>
              <w10:wrap type="none"/>
            </v:shape>
            <w10:wrap type="none"/>
          </v:group>
        </w:pict>
      </w:r>
      <w:r>
        <w:rPr>
          <w:rFonts w:ascii="Constantia"/>
          <w:sz w:val="16"/>
        </w:rPr>
        <w:t>BP/PIB real</w:t>
      </w:r>
    </w:p>
    <w:p>
      <w:pPr>
        <w:tabs>
          <w:tab w:pos="503" w:val="left" w:leader="none"/>
        </w:tabs>
        <w:spacing w:before="99"/>
        <w:ind w:left="170" w:right="0" w:firstLine="0"/>
        <w:jc w:val="left"/>
        <w:rPr>
          <w:rFonts w:ascii="Constantia"/>
          <w:sz w:val="16"/>
        </w:rPr>
      </w:pPr>
      <w:r>
        <w:rPr/>
        <w:br w:type="column"/>
      </w:r>
      <w:r>
        <w:rPr>
          <w:rFonts w:ascii="Constantia"/>
          <w:w w:val="103"/>
          <w:sz w:val="16"/>
        </w:rPr>
        <w:t> </w:t>
      </w:r>
      <w:r>
        <w:rPr>
          <w:rFonts w:ascii="Constantia"/>
          <w:sz w:val="16"/>
        </w:rPr>
        <w:tab/>
      </w:r>
      <w:r>
        <w:rPr>
          <w:rFonts w:ascii="Constantia"/>
          <w:w w:val="105"/>
          <w:sz w:val="16"/>
        </w:rPr>
        <w:t>BPNG/</w:t>
      </w:r>
      <w:r>
        <w:rPr>
          <w:rFonts w:ascii="Constantia"/>
          <w:spacing w:val="-29"/>
          <w:w w:val="105"/>
          <w:sz w:val="16"/>
        </w:rPr>
        <w:t> </w:t>
      </w:r>
      <w:r>
        <w:rPr>
          <w:rFonts w:ascii="Constantia"/>
          <w:w w:val="105"/>
          <w:sz w:val="16"/>
        </w:rPr>
        <w:t>PIB</w:t>
      </w:r>
      <w:r>
        <w:rPr>
          <w:rFonts w:ascii="Constantia"/>
          <w:spacing w:val="-24"/>
          <w:w w:val="105"/>
          <w:sz w:val="16"/>
        </w:rPr>
        <w:t> </w:t>
      </w:r>
      <w:r>
        <w:rPr>
          <w:rFonts w:ascii="Constantia"/>
          <w:w w:val="105"/>
          <w:sz w:val="16"/>
        </w:rPr>
        <w:t>real</w:t>
      </w:r>
    </w:p>
    <w:p>
      <w:pPr>
        <w:pStyle w:val="BodyText"/>
        <w:spacing w:before="8"/>
        <w:rPr>
          <w:rFonts w:ascii="Constantia"/>
          <w:sz w:val="11"/>
        </w:rPr>
      </w:pPr>
      <w:r>
        <w:rPr/>
        <w:br w:type="column"/>
      </w:r>
      <w:r>
        <w:rPr>
          <w:rFonts w:ascii="Constantia"/>
          <w:sz w:val="11"/>
        </w:rPr>
      </w:r>
    </w:p>
    <w:p>
      <w:pPr>
        <w:spacing w:before="0"/>
        <w:ind w:left="1349" w:right="0" w:firstLine="0"/>
        <w:jc w:val="left"/>
        <w:rPr>
          <w:rFonts w:ascii="Constantia" w:hAnsi="Constantia"/>
          <w:sz w:val="12"/>
        </w:rPr>
      </w:pPr>
      <w:r>
        <w:rPr/>
        <w:pict>
          <v:group style="position:absolute;margin-left:389.985748pt;margin-top:1.668492pt;width:3.3pt;height:3.9pt;mso-position-horizontal-relative:page;mso-position-vertical-relative:paragraph;z-index:7840" coordorigin="7800,33" coordsize="66,78">
            <v:shape style="position:absolute;left:7804;top:38;width:58;height:68" type="#_x0000_t75" stroked="false">
              <v:imagedata r:id="rId205" o:title=""/>
            </v:shape>
            <v:shape style="position:absolute;left:7800;top:33;width:66;height:78" type="#_x0000_t75" stroked="false">
              <v:imagedata r:id="rId206" o:title=""/>
            </v:shape>
            <w10:wrap type="none"/>
          </v:group>
        </w:pict>
      </w:r>
      <w:r>
        <w:rPr>
          <w:rFonts w:ascii="Constantia" w:hAnsi="Constantia"/>
          <w:w w:val="90"/>
          <w:sz w:val="12"/>
        </w:rPr>
        <w:t>Deuda Pública/ PIB real</w:t>
      </w:r>
    </w:p>
    <w:p>
      <w:pPr>
        <w:spacing w:after="0"/>
        <w:jc w:val="left"/>
        <w:rPr>
          <w:rFonts w:ascii="Constantia" w:hAnsi="Constantia"/>
          <w:sz w:val="12"/>
        </w:rPr>
        <w:sectPr>
          <w:type w:val="continuous"/>
          <w:pgSz w:w="12250" w:h="15850"/>
          <w:pgMar w:top="1500" w:bottom="280" w:left="1600" w:right="1580"/>
          <w:cols w:num="3" w:equalWidth="0">
            <w:col w:w="2145" w:space="40"/>
            <w:col w:w="1577" w:space="1179"/>
            <w:col w:w="4129"/>
          </w:cols>
        </w:sectPr>
      </w:pPr>
    </w:p>
    <w:p>
      <w:pPr>
        <w:spacing w:before="109"/>
        <w:ind w:left="810" w:right="127" w:firstLine="0"/>
        <w:jc w:val="left"/>
        <w:rPr>
          <w:sz w:val="20"/>
        </w:rPr>
      </w:pPr>
      <w:r>
        <w:rPr/>
        <w:pict>
          <v:line style="position:absolute;mso-position-horizontal-relative:page;mso-position-vertical-relative:paragraph;z-index:-564376" from="197.774841pt,-4.969456pt" to="212.534952pt,-4.969456pt" stroked="true" strokeweight="1.312518pt" strokecolor="#000000">
            <v:stroke dashstyle="longDash"/>
            <w10:wrap type="none"/>
          </v:line>
        </w:pict>
      </w:r>
      <w:r>
        <w:rPr>
          <w:sz w:val="20"/>
        </w:rPr>
        <w:t>Fuente: Estimaciones propias con base en información del Banco Central de Bolivia (2012).</w:t>
      </w:r>
    </w:p>
    <w:p>
      <w:pPr>
        <w:pStyle w:val="BodyText"/>
        <w:rPr>
          <w:sz w:val="20"/>
        </w:rPr>
      </w:pPr>
    </w:p>
    <w:p>
      <w:pPr>
        <w:pStyle w:val="BodyText"/>
        <w:rPr>
          <w:sz w:val="26"/>
        </w:rPr>
      </w:pPr>
    </w:p>
    <w:p>
      <w:pPr>
        <w:pStyle w:val="BodyText"/>
        <w:spacing w:line="360" w:lineRule="auto"/>
        <w:ind w:left="102" w:right="118" w:firstLine="707"/>
        <w:jc w:val="both"/>
      </w:pPr>
      <w:r>
        <w:rPr/>
        <w:t>De acuerdo con la </w:t>
      </w:r>
      <w:r>
        <w:rPr>
          <w:i/>
        </w:rPr>
        <w:t>figura 3.1</w:t>
      </w:r>
      <w:r>
        <w:rPr/>
        <w:t>, el balance primario fiscal evidenció una mejoría para el período post-nacionalización; sin embargo, el balance primario no gasífero sufrió un deterioro progresivo, lo cual implica que los ingresos del gas natural financiaron a los  gastos fiscales (a). La deuda pública mostró una reducción substantiva</w:t>
      </w:r>
      <w:r>
        <w:rPr>
          <w:spacing w:val="-13"/>
        </w:rPr>
        <w:t> </w:t>
      </w:r>
      <w:r>
        <w:rPr/>
        <w:t>(b).</w:t>
      </w:r>
    </w:p>
    <w:p>
      <w:pPr>
        <w:pStyle w:val="BodyText"/>
        <w:spacing w:line="360" w:lineRule="auto" w:before="4"/>
        <w:ind w:left="102" w:right="119" w:firstLine="707"/>
        <w:jc w:val="both"/>
      </w:pPr>
      <w:r>
        <w:rPr/>
        <w:t>El comportamiento en la posición fiscal se puede relacionar con el ahorro y el uso  de los ingresos fiscales del gas natural con relación al PIB Real. De forma complementaria, el cociente de sostenibilidad fiscal compara el balance primario no gasífero de un año base con los años posteriores con el propósito de reflejar una mejora o deterioro del</w:t>
      </w:r>
      <w:r>
        <w:rPr>
          <w:spacing w:val="-6"/>
        </w:rPr>
        <w:t> </w:t>
      </w:r>
      <w:r>
        <w:rPr/>
        <w:t>mismo.</w:t>
      </w:r>
    </w:p>
    <w:p>
      <w:pPr>
        <w:pStyle w:val="BodyText"/>
        <w:spacing w:line="362" w:lineRule="auto" w:before="4"/>
        <w:ind w:left="102" w:right="121" w:firstLine="707"/>
        <w:jc w:val="both"/>
      </w:pPr>
      <w:r>
        <w:rPr/>
        <w:t>La suma del ahorro y el uso de los ingresos fiscales del gas natural es igual a la variación de los ingresos fiscales provenientes del gas natural          </w:t>
      </w:r>
      <w:r>
        <w:rPr>
          <w:spacing w:val="54"/>
        </w:rPr>
        <w:t> </w:t>
      </w:r>
      <w:r>
        <w:rPr/>
        <w:t>.</w:t>
      </w:r>
    </w:p>
    <w:p>
      <w:pPr>
        <w:pStyle w:val="BodyText"/>
        <w:spacing w:line="364" w:lineRule="auto" w:before="8"/>
        <w:ind w:left="102" w:right="115" w:firstLine="707"/>
        <w:jc w:val="both"/>
      </w:pPr>
      <w:r>
        <w:rPr/>
        <w:t>El ahorro de los ingresos del  gas natural  es igual al cambio del balance  global         (    . El uso del ingreso gasífero es igual a la variación del gasto público    menos la variación de los ingresos fiscales no gasíferos               .</w:t>
      </w:r>
      <w:r>
        <w:rPr>
          <w:spacing w:val="-10"/>
        </w:rPr>
        <w:t> </w:t>
      </w:r>
      <w:r>
        <w:rPr/>
        <w:t>Entonces:</w:t>
      </w:r>
    </w:p>
    <w:p>
      <w:pPr>
        <w:pStyle w:val="BodyText"/>
        <w:spacing w:before="7"/>
        <w:rPr>
          <w:sz w:val="36"/>
        </w:rPr>
      </w:pPr>
    </w:p>
    <w:p>
      <w:pPr>
        <w:spacing w:before="0"/>
        <w:ind w:left="0" w:right="16" w:firstLine="0"/>
        <w:jc w:val="center"/>
        <w:rPr>
          <w:sz w:val="24"/>
        </w:rPr>
      </w:pPr>
      <w:r>
        <w:rPr>
          <w:rFonts w:ascii="Cambria Math"/>
          <w:w w:val="270"/>
          <w:sz w:val="24"/>
        </w:rPr>
        <w:t> </w:t>
      </w:r>
      <w:r>
        <w:rPr>
          <w:rFonts w:ascii="Cambria Math"/>
          <w:w w:val="229"/>
          <w:sz w:val="24"/>
        </w:rPr>
        <w:t>  </w:t>
      </w:r>
      <w:r>
        <w:rPr>
          <w:rFonts w:ascii="Cambria Math"/>
          <w:w w:val="200"/>
          <w:position w:val="-4"/>
          <w:sz w:val="17"/>
        </w:rPr>
        <w:t> </w:t>
      </w:r>
      <w:r>
        <w:rPr>
          <w:rFonts w:ascii="Cambria Math"/>
          <w:position w:val="-4"/>
          <w:sz w:val="17"/>
        </w:rPr>
        <w:t>  </w:t>
      </w:r>
      <w:r>
        <w:rPr>
          <w:rFonts w:ascii="Cambria Math"/>
          <w:w w:val="339"/>
          <w:sz w:val="24"/>
        </w:rPr>
        <w:t> </w:t>
      </w:r>
      <w:r>
        <w:rPr>
          <w:rFonts w:ascii="Cambria Math"/>
          <w:sz w:val="24"/>
        </w:rPr>
        <w:t> </w:t>
      </w:r>
      <w:r>
        <w:rPr>
          <w:rFonts w:ascii="Cambria Math"/>
          <w:w w:val="270"/>
          <w:sz w:val="24"/>
        </w:rPr>
        <w:t> </w:t>
      </w:r>
      <w:r>
        <w:rPr>
          <w:rFonts w:ascii="Cambria Math"/>
          <w:w w:val="291"/>
          <w:sz w:val="24"/>
        </w:rPr>
        <w:t>  </w:t>
      </w:r>
      <w:r>
        <w:rPr>
          <w:rFonts w:ascii="Cambria Math"/>
          <w:w w:val="200"/>
          <w:position w:val="-4"/>
          <w:sz w:val="17"/>
        </w:rPr>
        <w:t> </w:t>
      </w:r>
      <w:r>
        <w:rPr>
          <w:rFonts w:ascii="Cambria Math"/>
          <w:position w:val="-4"/>
          <w:sz w:val="17"/>
        </w:rPr>
        <w:t>  </w:t>
      </w:r>
      <w:r>
        <w:rPr>
          <w:rFonts w:ascii="Cambria Math"/>
          <w:w w:val="339"/>
          <w:sz w:val="24"/>
        </w:rPr>
        <w:t> </w:t>
      </w:r>
      <w:r>
        <w:rPr>
          <w:rFonts w:ascii="Cambria Math"/>
          <w:sz w:val="24"/>
        </w:rPr>
        <w:t> </w:t>
      </w:r>
      <w:r>
        <w:rPr>
          <w:rFonts w:ascii="Cambria Math"/>
          <w:w w:val="188"/>
          <w:sz w:val="24"/>
        </w:rPr>
        <w:t> </w:t>
      </w:r>
      <w:r>
        <w:rPr>
          <w:rFonts w:ascii="Cambria Math"/>
          <w:w w:val="270"/>
          <w:sz w:val="24"/>
        </w:rPr>
        <w:t> </w:t>
      </w:r>
      <w:r>
        <w:rPr>
          <w:rFonts w:ascii="Cambria Math"/>
          <w:w w:val="286"/>
          <w:sz w:val="24"/>
        </w:rPr>
        <w:t> </w:t>
      </w:r>
      <w:r>
        <w:rPr>
          <w:rFonts w:ascii="Cambria Math"/>
          <w:w w:val="200"/>
          <w:position w:val="-4"/>
          <w:sz w:val="17"/>
        </w:rPr>
        <w:t> </w:t>
      </w:r>
      <w:r>
        <w:rPr>
          <w:rFonts w:ascii="Cambria Math"/>
          <w:position w:val="-4"/>
          <w:sz w:val="17"/>
        </w:rPr>
        <w:t>  </w:t>
      </w:r>
      <w:r>
        <w:rPr>
          <w:rFonts w:ascii="Cambria Math"/>
          <w:w w:val="339"/>
          <w:sz w:val="24"/>
        </w:rPr>
        <w:t> </w:t>
      </w:r>
      <w:r>
        <w:rPr>
          <w:rFonts w:ascii="Cambria Math"/>
          <w:sz w:val="24"/>
        </w:rPr>
        <w:t>  </w:t>
      </w:r>
      <w:r>
        <w:rPr>
          <w:rFonts w:ascii="Cambria Math"/>
          <w:w w:val="270"/>
          <w:sz w:val="24"/>
        </w:rPr>
        <w:t> </w:t>
      </w:r>
      <w:r>
        <w:rPr>
          <w:rFonts w:ascii="Cambria Math"/>
          <w:w w:val="263"/>
          <w:sz w:val="24"/>
        </w:rPr>
        <w:t>   </w:t>
      </w:r>
      <w:r>
        <w:rPr>
          <w:rFonts w:ascii="Cambria Math"/>
          <w:w w:val="200"/>
          <w:position w:val="-4"/>
          <w:sz w:val="17"/>
        </w:rPr>
        <w:t> </w:t>
      </w:r>
      <w:r>
        <w:rPr>
          <w:rFonts w:ascii="Cambria Math"/>
          <w:w w:val="188"/>
          <w:sz w:val="24"/>
        </w:rPr>
        <w:t> </w:t>
      </w:r>
      <w:r>
        <w:rPr>
          <w:rFonts w:ascii="Cambria Math"/>
          <w:sz w:val="24"/>
        </w:rPr>
        <w:t>   </w:t>
      </w:r>
      <w:r>
        <w:rPr>
          <w:sz w:val="24"/>
        </w:rPr>
        <w:t>(3.4)</w:t>
      </w:r>
    </w:p>
    <w:p>
      <w:pPr>
        <w:spacing w:after="0"/>
        <w:jc w:val="center"/>
        <w:rPr>
          <w:sz w:val="24"/>
        </w:rPr>
        <w:sectPr>
          <w:type w:val="continuous"/>
          <w:pgSz w:w="12250" w:h="15850"/>
          <w:pgMar w:top="1500" w:bottom="280" w:left="1600" w:right="1580"/>
        </w:sectPr>
      </w:pPr>
    </w:p>
    <w:p>
      <w:pPr>
        <w:pStyle w:val="BodyText"/>
        <w:spacing w:before="48"/>
        <w:ind w:left="675" w:right="127"/>
      </w:pPr>
      <w:bookmarkStart w:name="_bookmark81" w:id="114"/>
      <w:bookmarkEnd w:id="114"/>
      <w:r>
        <w:rPr/>
      </w:r>
      <w:r>
        <w:rPr/>
        <w:t>Figura 3. 2: Ahorro y  uso del ingreso gasífero, cociente de sostenibilidad fiscal.</w:t>
      </w:r>
    </w:p>
    <w:p>
      <w:pPr>
        <w:tabs>
          <w:tab w:pos="5201" w:val="left" w:leader="none"/>
          <w:tab w:pos="6083" w:val="left" w:leader="none"/>
        </w:tabs>
        <w:spacing w:before="7"/>
        <w:ind w:left="1827" w:right="804" w:hanging="689"/>
        <w:jc w:val="left"/>
        <w:rPr>
          <w:rFonts w:ascii="Constantia" w:hAnsi="Constantia"/>
          <w:b/>
          <w:sz w:val="18"/>
        </w:rPr>
      </w:pPr>
      <w:r>
        <w:rPr>
          <w:rFonts w:ascii="Constantia" w:hAnsi="Constantia"/>
          <w:b/>
          <w:sz w:val="18"/>
        </w:rPr>
        <w:t>Ahorro y uso del ingreso</w:t>
      </w:r>
      <w:r>
        <w:rPr>
          <w:rFonts w:ascii="Constantia" w:hAnsi="Constantia"/>
          <w:b/>
          <w:spacing w:val="-8"/>
          <w:sz w:val="18"/>
        </w:rPr>
        <w:t> </w:t>
      </w:r>
      <w:r>
        <w:rPr>
          <w:rFonts w:ascii="Constantia" w:hAnsi="Constantia"/>
          <w:b/>
          <w:sz w:val="18"/>
        </w:rPr>
        <w:t>gasífero</w:t>
      </w:r>
      <w:r>
        <w:rPr>
          <w:rFonts w:ascii="Constantia" w:hAnsi="Constantia"/>
          <w:b/>
          <w:spacing w:val="-2"/>
          <w:sz w:val="18"/>
        </w:rPr>
        <w:t> </w:t>
      </w:r>
      <w:r>
        <w:rPr>
          <w:rFonts w:ascii="Constantia" w:hAnsi="Constantia"/>
          <w:b/>
          <w:sz w:val="18"/>
        </w:rPr>
        <w:t>(c)</w:t>
        <w:tab/>
        <w:t>Cociente de sostenibilidad</w:t>
      </w:r>
      <w:r>
        <w:rPr>
          <w:rFonts w:ascii="Constantia" w:hAnsi="Constantia"/>
          <w:b/>
          <w:spacing w:val="-6"/>
          <w:sz w:val="18"/>
        </w:rPr>
        <w:t> </w:t>
      </w:r>
      <w:r>
        <w:rPr>
          <w:rFonts w:ascii="Constantia" w:hAnsi="Constantia"/>
          <w:b/>
          <w:sz w:val="18"/>
        </w:rPr>
        <w:t>fiscal</w:t>
      </w:r>
      <w:r>
        <w:rPr>
          <w:rFonts w:ascii="Constantia" w:hAnsi="Constantia"/>
          <w:b/>
          <w:spacing w:val="-3"/>
          <w:sz w:val="18"/>
        </w:rPr>
        <w:t> </w:t>
      </w:r>
      <w:r>
        <w:rPr>
          <w:rFonts w:ascii="Constantia" w:hAnsi="Constantia"/>
          <w:b/>
          <w:sz w:val="18"/>
        </w:rPr>
        <w:t>(d) (En % del</w:t>
      </w:r>
      <w:r>
        <w:rPr>
          <w:rFonts w:ascii="Constantia" w:hAnsi="Constantia"/>
          <w:b/>
          <w:spacing w:val="-5"/>
          <w:sz w:val="18"/>
        </w:rPr>
        <w:t> </w:t>
      </w:r>
      <w:r>
        <w:rPr>
          <w:rFonts w:ascii="Constantia" w:hAnsi="Constantia"/>
          <w:b/>
          <w:sz w:val="18"/>
        </w:rPr>
        <w:t>PIB</w:t>
      </w:r>
      <w:r>
        <w:rPr>
          <w:rFonts w:ascii="Constantia" w:hAnsi="Constantia"/>
          <w:b/>
          <w:spacing w:val="-1"/>
          <w:sz w:val="18"/>
        </w:rPr>
        <w:t> </w:t>
      </w:r>
      <w:r>
        <w:rPr>
          <w:rFonts w:ascii="Constantia" w:hAnsi="Constantia"/>
          <w:b/>
          <w:sz w:val="18"/>
        </w:rPr>
        <w:t>real)</w:t>
        <w:tab/>
        <w:tab/>
        <w:t>(Año base =</w:t>
      </w:r>
      <w:r>
        <w:rPr>
          <w:rFonts w:ascii="Constantia" w:hAnsi="Constantia"/>
          <w:b/>
          <w:spacing w:val="-6"/>
          <w:sz w:val="18"/>
        </w:rPr>
        <w:t> </w:t>
      </w:r>
      <w:r>
        <w:rPr>
          <w:rFonts w:ascii="Constantia" w:hAnsi="Constantia"/>
          <w:b/>
          <w:sz w:val="18"/>
        </w:rPr>
        <w:t>2000)</w:t>
      </w:r>
    </w:p>
    <w:p>
      <w:pPr>
        <w:spacing w:line="238" w:lineRule="exact" w:before="92"/>
        <w:ind w:left="724" w:right="22" w:firstLine="0"/>
        <w:jc w:val="center"/>
        <w:rPr>
          <w:rFonts w:ascii="Constantia"/>
          <w:sz w:val="21"/>
        </w:rPr>
      </w:pPr>
      <w:r>
        <w:rPr/>
        <w:pict>
          <v:group style="position:absolute;margin-left:99.985359pt;margin-top:10.456491pt;width:196.9pt;height:116.85pt;mso-position-horizontal-relative:page;mso-position-vertical-relative:paragraph;z-index:8344" coordorigin="2000,209" coordsize="3938,2337">
            <v:shape style="position:absolute;left:878;top:9893;width:7186;height:3075" coordorigin="878,9893" coordsize="7186,3075" path="m2403,2442l2403,373m2366,2442l2403,2442m2366,2149l2403,2149m2366,1846l2403,1846m2366,1554l2403,1554m2366,1261l2403,1261m2366,969l2403,969m2366,666l2403,666m2366,373l2403,373m2403,1402l5887,1402m2403,1402l2403,1463m2792,1402l2792,1463m3175,1402l3175,1463m3564,1402l3564,1463m3954,1402l3954,1463m4336,1402l4336,1463m4726,1402l4726,1463m5108,1402l5108,1463m5498,1402l5498,1463m5887,1402l5887,1463e" filled="false" stroked="true" strokeweight=".436054pt" strokecolor="#858585">
              <v:path arrowok="t"/>
            </v:shape>
            <v:shape style="position:absolute;left:2594;top:413;width:3095;height:1452" coordorigin="2594,413" coordsize="3095,1452" path="m2594,1267l2629,1249,2664,1231,2699,1212,2735,1193,2770,1175,2840,1138,2910,1104,2981,1072,3051,1049,3121,1034,3157,1028,3192,1020,3262,1000,3332,964,3388,918,3429,860,3469,785,3510,701,3530,657,3551,615,3592,535,3632,470,3693,416,3714,413,3734,421,3781,481,3808,548,3834,634,3861,737,3888,851,3901,912,3914,974,3928,1037,3941,1101,3954,1165,3968,1229,3981,1292,3995,1353,4008,1413,4035,1526,4061,1626,4088,1710,4115,1773,4159,1824,4176,1826,4194,1818,4247,1751,4282,1678,4317,1590,4352,1496,4370,1449,4405,1359,4440,1282,4475,1223,4528,1188,4548,1195,4610,1269,4650,1352,4691,1451,4732,1557,4752,1609,4793,1707,4833,1789,4874,1845,4915,1865,4935,1860,4996,1793,5037,1716,5078,1623,5119,1521,5139,1470,5180,1372,5220,1286,5261,1222,5329,1180,5357,1182,5412,1210,5468,1262,5523,1328,5578,1401,5606,1437,5633,1470,5661,1501,5689,1528e" filled="false" stroked="true" strokeweight="1.439558pt" strokecolor="#000000">
              <v:path arrowok="t"/>
              <v:stroke dashstyle="longDash"/>
            </v:shape>
            <v:shape style="position:absolute;left:2594;top:633;width:3095;height:1607" coordorigin="2594,633" coordsize="3095,1607" path="m2594,1388l2631,1477,2668,1577,2704,1685,2741,1794,2760,1849,2797,1953,2833,2048,2870,2129,2907,2191,2962,2238,2981,2239,2998,2232,3048,2165,3082,2089,3115,1994,3149,1887,3183,1772,3199,1714,3216,1656,3250,1544,3283,1441,3317,1353,3351,1286,3393,1237,3445,1216,3471,1218,3497,1226,3522,1239,3548,1254,3574,1271,3600,1288,3625,1303,3651,1315,3677,1323,3703,1324,3729,1318,3777,1279,3823,1213,3868,1125,3914,1024,3936,971,3959,919,4005,819,4050,733,4096,669,4167,633,4193,640,4244,680,4296,743,4348,821,4373,862,4399,903,4451,978,4502,1037,4560,1073,4625,1080,4657,1077,4689,1070,4721,1064,4754,1058,4818,1060,4883,1092,4934,1150,4973,1222,5012,1315,5050,1421,5089,1534,5108,1591,5147,1701,5186,1801,5224,1883,5263,1942,5323,1971,5345,1963,5409,1898,5452,1827,5495,1740,5538,1644,5560,1594,5581,1545,5603,1496,5624,1449,5646,1404,5667,1362,5689,1324e" filled="false" stroked="true" strokeweight="1.426481pt" strokecolor="#bd4a47">
              <v:path arrowok="t"/>
            </v:shape>
            <v:line style="position:absolute" from="3722,2538" to="3708,217" stroked="true" strokeweight=".735094pt" strokecolor="#ff0000">
              <v:stroke dashstyle="longDash"/>
            </v:line>
            <v:shape style="position:absolute;left:2000;top:297;width:299;height:2236" type="#_x0000_t202" filled="false" stroked="false">
              <v:textbox inset="0,0,0,0">
                <w:txbxContent>
                  <w:p>
                    <w:pPr>
                      <w:spacing w:line="165" w:lineRule="exact" w:before="0"/>
                      <w:ind w:left="43" w:right="-16" w:firstLine="0"/>
                      <w:jc w:val="left"/>
                      <w:rPr>
                        <w:rFonts w:ascii="Constantia"/>
                        <w:sz w:val="16"/>
                      </w:rPr>
                    </w:pPr>
                    <w:r>
                      <w:rPr>
                        <w:rFonts w:ascii="Constantia"/>
                        <w:w w:val="75"/>
                        <w:sz w:val="16"/>
                      </w:rPr>
                      <w:t>7.0%</w:t>
                    </w:r>
                  </w:p>
                  <w:p>
                    <w:pPr>
                      <w:spacing w:before="101"/>
                      <w:ind w:left="43" w:right="-15" w:firstLine="0"/>
                      <w:jc w:val="left"/>
                      <w:rPr>
                        <w:rFonts w:ascii="Constantia"/>
                        <w:sz w:val="16"/>
                      </w:rPr>
                    </w:pPr>
                    <w:r>
                      <w:rPr>
                        <w:rFonts w:ascii="Constantia"/>
                        <w:w w:val="75"/>
                        <w:sz w:val="16"/>
                      </w:rPr>
                      <w:t>5.0%</w:t>
                    </w:r>
                  </w:p>
                  <w:p>
                    <w:pPr>
                      <w:spacing w:before="101"/>
                      <w:ind w:left="52" w:right="-6" w:firstLine="0"/>
                      <w:jc w:val="left"/>
                      <w:rPr>
                        <w:rFonts w:ascii="Constantia"/>
                        <w:sz w:val="16"/>
                      </w:rPr>
                    </w:pPr>
                    <w:r>
                      <w:rPr>
                        <w:rFonts w:ascii="Constantia"/>
                        <w:w w:val="70"/>
                        <w:sz w:val="16"/>
                      </w:rPr>
                      <w:t>3.0%</w:t>
                    </w:r>
                  </w:p>
                  <w:p>
                    <w:pPr>
                      <w:spacing w:before="100"/>
                      <w:ind w:left="68" w:right="-5" w:firstLine="0"/>
                      <w:jc w:val="left"/>
                      <w:rPr>
                        <w:rFonts w:ascii="Constantia"/>
                        <w:sz w:val="16"/>
                      </w:rPr>
                    </w:pPr>
                    <w:r>
                      <w:rPr>
                        <w:rFonts w:ascii="Constantia"/>
                        <w:w w:val="70"/>
                        <w:sz w:val="16"/>
                      </w:rPr>
                      <w:t>1.0%</w:t>
                    </w:r>
                  </w:p>
                  <w:p>
                    <w:pPr>
                      <w:spacing w:before="101"/>
                      <w:ind w:left="24" w:right="-2" w:firstLine="0"/>
                      <w:jc w:val="left"/>
                      <w:rPr>
                        <w:rFonts w:ascii="Constantia"/>
                        <w:sz w:val="16"/>
                      </w:rPr>
                    </w:pPr>
                    <w:r>
                      <w:rPr>
                        <w:rFonts w:ascii="Constantia"/>
                        <w:w w:val="70"/>
                        <w:sz w:val="16"/>
                      </w:rPr>
                      <w:t>-1.0%</w:t>
                    </w:r>
                  </w:p>
                  <w:p>
                    <w:pPr>
                      <w:spacing w:before="101"/>
                      <w:ind w:left="9" w:right="-3" w:firstLine="0"/>
                      <w:jc w:val="left"/>
                      <w:rPr>
                        <w:rFonts w:ascii="Constantia"/>
                        <w:sz w:val="16"/>
                      </w:rPr>
                    </w:pPr>
                    <w:r>
                      <w:rPr>
                        <w:rFonts w:ascii="Constantia"/>
                        <w:w w:val="70"/>
                        <w:sz w:val="16"/>
                      </w:rPr>
                      <w:t>-3.0%</w:t>
                    </w:r>
                  </w:p>
                  <w:p>
                    <w:pPr>
                      <w:spacing w:before="101"/>
                      <w:ind w:left="0" w:right="-16" w:firstLine="0"/>
                      <w:jc w:val="left"/>
                      <w:rPr>
                        <w:rFonts w:ascii="Constantia"/>
                        <w:sz w:val="16"/>
                      </w:rPr>
                    </w:pPr>
                    <w:r>
                      <w:rPr>
                        <w:rFonts w:ascii="Constantia"/>
                        <w:w w:val="75"/>
                        <w:sz w:val="16"/>
                      </w:rPr>
                      <w:t>-5.0%</w:t>
                    </w:r>
                  </w:p>
                  <w:p>
                    <w:pPr>
                      <w:spacing w:line="193" w:lineRule="exact" w:before="100"/>
                      <w:ind w:left="0" w:right="-16" w:firstLine="0"/>
                      <w:jc w:val="left"/>
                      <w:rPr>
                        <w:rFonts w:ascii="Constantia"/>
                        <w:sz w:val="16"/>
                      </w:rPr>
                    </w:pPr>
                    <w:r>
                      <w:rPr>
                        <w:rFonts w:ascii="Constantia"/>
                        <w:w w:val="75"/>
                        <w:sz w:val="16"/>
                      </w:rPr>
                      <w:t>-7.0%</w:t>
                    </w:r>
                  </w:p>
                </w:txbxContent>
              </v:textbox>
              <w10:wrap type="none"/>
            </v:shape>
            <v:shape style="position:absolute;left:3501;top:273;width:204;height:132" type="#_x0000_t202" filled="false" stroked="false">
              <v:textbox inset="0,0,0,0">
                <w:txbxContent>
                  <w:p>
                    <w:pPr>
                      <w:spacing w:line="132" w:lineRule="exact" w:before="0"/>
                      <w:ind w:left="0" w:right="-13" w:firstLine="0"/>
                      <w:jc w:val="left"/>
                      <w:rPr>
                        <w:rFonts w:ascii="Constantia"/>
                        <w:sz w:val="13"/>
                      </w:rPr>
                    </w:pPr>
                    <w:r>
                      <w:rPr>
                        <w:rFonts w:ascii="Constantia"/>
                        <w:w w:val="70"/>
                        <w:sz w:val="13"/>
                      </w:rPr>
                      <w:t>6.6%</w:t>
                    </w:r>
                  </w:p>
                </w:txbxContent>
              </v:textbox>
              <w10:wrap type="none"/>
            </v:shape>
            <v:shape style="position:absolute;left:4020;top:435;width:224;height:153" type="#_x0000_t202" filled="false" stroked="false">
              <v:textbox inset="0,0,0,0">
                <w:txbxContent>
                  <w:p>
                    <w:pPr>
                      <w:spacing w:line="152" w:lineRule="exact" w:before="0"/>
                      <w:ind w:left="0" w:right="-7" w:firstLine="0"/>
                      <w:jc w:val="left"/>
                      <w:rPr>
                        <w:rFonts w:ascii="Constantia"/>
                        <w:sz w:val="15"/>
                      </w:rPr>
                    </w:pPr>
                    <w:r>
                      <w:rPr>
                        <w:rFonts w:ascii="Constantia"/>
                        <w:w w:val="70"/>
                        <w:sz w:val="15"/>
                      </w:rPr>
                      <w:t>5.3%</w:t>
                    </w:r>
                  </w:p>
                </w:txbxContent>
              </v:textbox>
              <w10:wrap type="none"/>
            </v:shape>
            <v:shape style="position:absolute;left:4812;top:877;width:216;height:152" type="#_x0000_t202" filled="false" stroked="false">
              <v:textbox inset="0,0,0,0">
                <w:txbxContent>
                  <w:p>
                    <w:pPr>
                      <w:spacing w:line="152" w:lineRule="exact" w:before="0"/>
                      <w:ind w:left="0" w:right="-8" w:firstLine="0"/>
                      <w:jc w:val="left"/>
                      <w:rPr>
                        <w:rFonts w:ascii="Constantia"/>
                        <w:sz w:val="15"/>
                      </w:rPr>
                    </w:pPr>
                    <w:r>
                      <w:rPr>
                        <w:rFonts w:ascii="Constantia"/>
                        <w:w w:val="70"/>
                        <w:sz w:val="15"/>
                      </w:rPr>
                      <w:t>1.9%</w:t>
                    </w:r>
                  </w:p>
                </w:txbxContent>
              </v:textbox>
              <w10:wrap type="none"/>
            </v:shape>
            <v:shape style="position:absolute;left:3234;top:1067;width:217;height:153" type="#_x0000_t202" filled="false" stroked="false">
              <v:textbox inset="0,0,0,0">
                <w:txbxContent>
                  <w:p>
                    <w:pPr>
                      <w:spacing w:line="152" w:lineRule="exact" w:before="0"/>
                      <w:ind w:left="0" w:right="-6" w:firstLine="0"/>
                      <w:jc w:val="left"/>
                      <w:rPr>
                        <w:rFonts w:ascii="Constantia"/>
                        <w:sz w:val="15"/>
                      </w:rPr>
                    </w:pPr>
                    <w:r>
                      <w:rPr>
                        <w:rFonts w:ascii="Constantia"/>
                        <w:w w:val="70"/>
                        <w:sz w:val="15"/>
                      </w:rPr>
                      <w:t>1.0%</w:t>
                    </w:r>
                  </w:p>
                </w:txbxContent>
              </v:textbox>
              <w10:wrap type="none"/>
            </v:shape>
            <v:shape style="position:absolute;left:4319;top:1076;width:175;height:132" type="#_x0000_t202" filled="false" stroked="false">
              <v:textbox inset="0,0,0,0">
                <w:txbxContent>
                  <w:p>
                    <w:pPr>
                      <w:spacing w:line="132" w:lineRule="exact" w:before="0"/>
                      <w:ind w:left="0" w:right="-19" w:firstLine="0"/>
                      <w:jc w:val="left"/>
                      <w:rPr>
                        <w:rFonts w:ascii="Constantia"/>
                        <w:sz w:val="13"/>
                      </w:rPr>
                    </w:pPr>
                    <w:r>
                      <w:rPr>
                        <w:rFonts w:ascii="Constantia"/>
                        <w:spacing w:val="-2"/>
                        <w:w w:val="75"/>
                        <w:sz w:val="13"/>
                      </w:rPr>
                      <w:t>1.5%</w:t>
                    </w:r>
                  </w:p>
                </w:txbxContent>
              </v:textbox>
              <w10:wrap type="none"/>
            </v:shape>
            <v:shape style="position:absolute;left:5218;top:1024;width:176;height:132" type="#_x0000_t202" filled="false" stroked="false">
              <v:textbox inset="0,0,0,0">
                <w:txbxContent>
                  <w:p>
                    <w:pPr>
                      <w:spacing w:line="132" w:lineRule="exact" w:before="0"/>
                      <w:ind w:left="0" w:right="-18" w:firstLine="0"/>
                      <w:jc w:val="left"/>
                      <w:rPr>
                        <w:rFonts w:ascii="Constantia"/>
                        <w:sz w:val="13"/>
                      </w:rPr>
                    </w:pPr>
                    <w:r>
                      <w:rPr>
                        <w:rFonts w:ascii="Constantia"/>
                        <w:spacing w:val="-2"/>
                        <w:w w:val="75"/>
                        <w:sz w:val="13"/>
                      </w:rPr>
                      <w:t>1.5%</w:t>
                    </w:r>
                  </w:p>
                </w:txbxContent>
              </v:textbox>
              <w10:wrap type="none"/>
            </v:shape>
            <v:shape style="position:absolute;left:5579;top:1079;width:239;height:152" type="#_x0000_t202" filled="false" stroked="false">
              <v:textbox inset="0,0,0,0">
                <w:txbxContent>
                  <w:p>
                    <w:pPr>
                      <w:spacing w:line="152" w:lineRule="exact" w:before="0"/>
                      <w:ind w:left="0" w:right="-8" w:firstLine="0"/>
                      <w:jc w:val="left"/>
                      <w:rPr>
                        <w:rFonts w:ascii="Constantia"/>
                        <w:sz w:val="15"/>
                      </w:rPr>
                    </w:pPr>
                    <w:r>
                      <w:rPr>
                        <w:rFonts w:ascii="Constantia"/>
                        <w:w w:val="70"/>
                        <w:sz w:val="15"/>
                      </w:rPr>
                      <w:t>0.6%</w:t>
                    </w:r>
                  </w:p>
                </w:txbxContent>
              </v:textbox>
              <w10:wrap type="none"/>
            </v:shape>
            <v:shape style="position:absolute;left:2478;top:1394;width:245;height:313" type="#_x0000_t202" filled="false" stroked="false">
              <v:textbox inset="0,0,0,0">
                <w:txbxContent>
                  <w:p>
                    <w:pPr>
                      <w:spacing w:line="127" w:lineRule="exact" w:before="0"/>
                      <w:ind w:left="23" w:right="-18" w:firstLine="0"/>
                      <w:jc w:val="left"/>
                      <w:rPr>
                        <w:rFonts w:ascii="Constantia"/>
                        <w:sz w:val="13"/>
                      </w:rPr>
                    </w:pPr>
                    <w:r>
                      <w:rPr>
                        <w:rFonts w:ascii="Constantia"/>
                        <w:w w:val="80"/>
                        <w:sz w:val="13"/>
                      </w:rPr>
                      <w:t>1.0%</w:t>
                    </w:r>
                  </w:p>
                  <w:p>
                    <w:pPr>
                      <w:spacing w:line="186" w:lineRule="exact" w:before="0"/>
                      <w:ind w:left="0" w:right="-18" w:firstLine="0"/>
                      <w:jc w:val="left"/>
                      <w:rPr>
                        <w:rFonts w:ascii="Constantia"/>
                        <w:sz w:val="16"/>
                      </w:rPr>
                    </w:pPr>
                    <w:r>
                      <w:rPr>
                        <w:rFonts w:ascii="Constantia"/>
                        <w:w w:val="75"/>
                        <w:sz w:val="16"/>
                      </w:rPr>
                      <w:t>2003</w:t>
                    </w:r>
                  </w:p>
                </w:txbxContent>
              </v:textbox>
              <w10:wrap type="none"/>
            </v:shape>
            <v:shape style="position:absolute;left:2859;top:1545;width:254;height:162" type="#_x0000_t202" filled="false" stroked="false">
              <v:textbox inset="0,0,0,0">
                <w:txbxContent>
                  <w:p>
                    <w:pPr>
                      <w:spacing w:line="162" w:lineRule="exact" w:before="0"/>
                      <w:ind w:left="0" w:right="-18" w:firstLine="0"/>
                      <w:jc w:val="left"/>
                      <w:rPr>
                        <w:rFonts w:ascii="Constantia"/>
                        <w:sz w:val="16"/>
                      </w:rPr>
                    </w:pPr>
                    <w:r>
                      <w:rPr>
                        <w:rFonts w:ascii="Constantia"/>
                        <w:w w:val="75"/>
                        <w:sz w:val="16"/>
                      </w:rPr>
                      <w:t>2004</w:t>
                    </w:r>
                  </w:p>
                </w:txbxContent>
              </v:textbox>
              <w10:wrap type="none"/>
            </v:shape>
            <v:shape style="position:absolute;left:3246;top:1545;width:247;height:162" type="#_x0000_t202" filled="false" stroked="false">
              <v:textbox inset="0,0,0,0">
                <w:txbxContent>
                  <w:p>
                    <w:pPr>
                      <w:spacing w:line="162" w:lineRule="exact" w:before="0"/>
                      <w:ind w:left="0" w:right="-18" w:firstLine="0"/>
                      <w:jc w:val="left"/>
                      <w:rPr>
                        <w:rFonts w:ascii="Constantia"/>
                        <w:sz w:val="16"/>
                      </w:rPr>
                    </w:pPr>
                    <w:r>
                      <w:rPr>
                        <w:rFonts w:ascii="Constantia"/>
                        <w:w w:val="75"/>
                        <w:sz w:val="16"/>
                      </w:rPr>
                      <w:t>2005</w:t>
                    </w:r>
                  </w:p>
                </w:txbxContent>
              </v:textbox>
              <w10:wrap type="none"/>
            </v:shape>
            <v:shape style="position:absolute;left:3634;top:1545;width:255;height:162" type="#_x0000_t202" filled="false" stroked="false">
              <v:textbox inset="0,0,0,0">
                <w:txbxContent>
                  <w:p>
                    <w:pPr>
                      <w:spacing w:line="162" w:lineRule="exact" w:before="0"/>
                      <w:ind w:left="0" w:right="-18" w:firstLine="0"/>
                      <w:jc w:val="left"/>
                      <w:rPr>
                        <w:rFonts w:ascii="Constantia"/>
                        <w:sz w:val="16"/>
                      </w:rPr>
                    </w:pPr>
                    <w:r>
                      <w:rPr>
                        <w:rFonts w:ascii="Constantia"/>
                        <w:w w:val="75"/>
                        <w:sz w:val="16"/>
                      </w:rPr>
                      <w:t>2006</w:t>
                    </w:r>
                  </w:p>
                </w:txbxContent>
              </v:textbox>
              <w10:wrap type="none"/>
            </v:shape>
            <v:shape style="position:absolute;left:4021;top:1545;width:1031;height:162" type="#_x0000_t202" filled="false" stroked="false">
              <v:textbox inset="0,0,0,0">
                <w:txbxContent>
                  <w:p>
                    <w:pPr>
                      <w:spacing w:line="162" w:lineRule="exact" w:before="0"/>
                      <w:ind w:left="0" w:right="0" w:firstLine="0"/>
                      <w:jc w:val="left"/>
                      <w:rPr>
                        <w:rFonts w:ascii="Constantia"/>
                        <w:sz w:val="16"/>
                      </w:rPr>
                    </w:pPr>
                    <w:r>
                      <w:rPr>
                        <w:rFonts w:ascii="Constantia"/>
                        <w:w w:val="85"/>
                        <w:sz w:val="16"/>
                      </w:rPr>
                      <w:t>2007  2008  2009</w:t>
                    </w:r>
                  </w:p>
                </w:txbxContent>
              </v:textbox>
              <w10:wrap type="none"/>
            </v:shape>
            <v:shape style="position:absolute;left:5198;top:1545;width:226;height:162" type="#_x0000_t202" filled="false" stroked="false">
              <v:textbox inset="0,0,0,0">
                <w:txbxContent>
                  <w:p>
                    <w:pPr>
                      <w:spacing w:line="162" w:lineRule="exact" w:before="0"/>
                      <w:ind w:left="0" w:right="-19" w:firstLine="0"/>
                      <w:jc w:val="left"/>
                      <w:rPr>
                        <w:rFonts w:ascii="Constantia"/>
                        <w:sz w:val="16"/>
                      </w:rPr>
                    </w:pPr>
                    <w:r>
                      <w:rPr>
                        <w:rFonts w:ascii="Constantia"/>
                        <w:w w:val="75"/>
                        <w:sz w:val="16"/>
                      </w:rPr>
                      <w:t>2010</w:t>
                    </w:r>
                  </w:p>
                </w:txbxContent>
              </v:textbox>
              <w10:wrap type="none"/>
            </v:shape>
            <v:shape style="position:absolute;left:5600;top:1443;width:337;height:264" type="#_x0000_t202" filled="false" stroked="false">
              <v:textbox inset="0,0,0,0">
                <w:txbxContent>
                  <w:p>
                    <w:pPr>
                      <w:spacing w:line="102" w:lineRule="exact" w:before="0"/>
                      <w:ind w:left="96" w:right="-19" w:firstLine="0"/>
                      <w:jc w:val="left"/>
                      <w:rPr>
                        <w:rFonts w:ascii="Constantia"/>
                        <w:sz w:val="13"/>
                      </w:rPr>
                    </w:pPr>
                    <w:r>
                      <w:rPr>
                        <w:rFonts w:ascii="Constantia"/>
                        <w:spacing w:val="-1"/>
                        <w:w w:val="75"/>
                        <w:sz w:val="13"/>
                      </w:rPr>
                      <w:t>-0.8%</w:t>
                    </w:r>
                  </w:p>
                  <w:p>
                    <w:pPr>
                      <w:spacing w:line="161" w:lineRule="exact" w:before="0"/>
                      <w:ind w:left="0" w:right="-19" w:firstLine="0"/>
                      <w:jc w:val="left"/>
                      <w:rPr>
                        <w:rFonts w:ascii="Constantia"/>
                        <w:sz w:val="16"/>
                      </w:rPr>
                    </w:pPr>
                    <w:r>
                      <w:rPr>
                        <w:rFonts w:ascii="Constantia"/>
                        <w:w w:val="85"/>
                        <w:sz w:val="16"/>
                      </w:rPr>
                      <w:t>2011</w:t>
                    </w:r>
                  </w:p>
                </w:txbxContent>
              </v:textbox>
              <w10:wrap type="none"/>
            </v:shape>
            <v:shape style="position:absolute;left:3989;top:1867;width:226;height:132" type="#_x0000_t202" filled="false" stroked="false">
              <v:textbox inset="0,0,0,0">
                <w:txbxContent>
                  <w:p>
                    <w:pPr>
                      <w:spacing w:line="132" w:lineRule="exact" w:before="0"/>
                      <w:ind w:left="0" w:right="-19" w:firstLine="0"/>
                      <w:jc w:val="left"/>
                      <w:rPr>
                        <w:rFonts w:ascii="Constantia"/>
                        <w:sz w:val="13"/>
                      </w:rPr>
                    </w:pPr>
                    <w:r>
                      <w:rPr>
                        <w:rFonts w:ascii="Constantia"/>
                        <w:spacing w:val="-2"/>
                        <w:w w:val="75"/>
                        <w:sz w:val="13"/>
                      </w:rPr>
                      <w:t>-2.7%</w:t>
                    </w:r>
                  </w:p>
                </w:txbxContent>
              </v:textbox>
              <w10:wrap type="none"/>
            </v:shape>
            <v:shape style="position:absolute;left:4738;top:1895;width:212;height:132" type="#_x0000_t202" filled="false" stroked="false">
              <v:textbox inset="0,0,0,0">
                <w:txbxContent>
                  <w:p>
                    <w:pPr>
                      <w:spacing w:line="132" w:lineRule="exact" w:before="0"/>
                      <w:ind w:left="0" w:right="-19" w:firstLine="0"/>
                      <w:jc w:val="left"/>
                      <w:rPr>
                        <w:rFonts w:ascii="Constantia"/>
                        <w:sz w:val="13"/>
                      </w:rPr>
                    </w:pPr>
                    <w:r>
                      <w:rPr>
                        <w:rFonts w:ascii="Constantia"/>
                        <w:spacing w:val="-1"/>
                        <w:w w:val="75"/>
                        <w:sz w:val="13"/>
                      </w:rPr>
                      <w:t>-3.1%</w:t>
                    </w:r>
                  </w:p>
                </w:txbxContent>
              </v:textbox>
              <w10:wrap type="none"/>
            </v:shape>
            <v:shape style="position:absolute;left:5179;top:2020;width:268;height:153" type="#_x0000_t202" filled="false" stroked="false">
              <v:textbox inset="0,0,0,0">
                <w:txbxContent>
                  <w:p>
                    <w:pPr>
                      <w:spacing w:line="152" w:lineRule="exact" w:before="0"/>
                      <w:ind w:left="0" w:right="-8" w:firstLine="0"/>
                      <w:jc w:val="left"/>
                      <w:rPr>
                        <w:rFonts w:ascii="Constantia"/>
                        <w:sz w:val="15"/>
                      </w:rPr>
                    </w:pPr>
                    <w:r>
                      <w:rPr>
                        <w:rFonts w:ascii="Constantia"/>
                        <w:w w:val="70"/>
                        <w:sz w:val="15"/>
                      </w:rPr>
                      <w:t>-3.8%</w:t>
                    </w:r>
                  </w:p>
                </w:txbxContent>
              </v:textbox>
              <w10:wrap type="none"/>
            </v:shape>
            <v:shape style="position:absolute;left:2821;top:2292;width:260;height:153" type="#_x0000_t202" filled="false" stroked="false">
              <v:textbox inset="0,0,0,0">
                <w:txbxContent>
                  <w:p>
                    <w:pPr>
                      <w:spacing w:line="152" w:lineRule="exact" w:before="0"/>
                      <w:ind w:left="0" w:right="-12" w:firstLine="0"/>
                      <w:jc w:val="left"/>
                      <w:rPr>
                        <w:rFonts w:ascii="Constantia"/>
                        <w:sz w:val="15"/>
                      </w:rPr>
                    </w:pPr>
                    <w:r>
                      <w:rPr>
                        <w:rFonts w:ascii="Constantia"/>
                        <w:w w:val="70"/>
                        <w:sz w:val="15"/>
                      </w:rPr>
                      <w:t>-5.7%</w:t>
                    </w:r>
                  </w:p>
                </w:txbxContent>
              </v:textbox>
              <w10:wrap type="none"/>
            </v:shape>
            <v:shape style="position:absolute;left:3924;top:2209;width:1347;height:162" type="#_x0000_t202" filled="false" stroked="false">
              <v:textbox inset="0,0,0,0">
                <w:txbxContent>
                  <w:p>
                    <w:pPr>
                      <w:spacing w:line="162" w:lineRule="exact" w:before="0"/>
                      <w:ind w:left="0" w:right="-3" w:firstLine="0"/>
                      <w:jc w:val="left"/>
                      <w:rPr>
                        <w:sz w:val="16"/>
                      </w:rPr>
                    </w:pPr>
                    <w:r>
                      <w:rPr>
                        <w:color w:val="FF0000"/>
                        <w:spacing w:val="-1"/>
                        <w:w w:val="70"/>
                        <w:sz w:val="16"/>
                      </w:rPr>
                      <w:t>Período   post-nacionalización</w:t>
                    </w:r>
                  </w:p>
                </w:txbxContent>
              </v:textbox>
              <w10:wrap type="none"/>
            </v:shape>
            <w10:wrap type="none"/>
          </v:group>
        </w:pict>
      </w:r>
      <w:r>
        <w:rPr/>
        <w:pict>
          <v:group style="position:absolute;margin-left:332.12326pt;margin-top:7.875893pt;width:171.8pt;height:116.4pt;mso-position-horizontal-relative:page;mso-position-vertical-relative:paragraph;z-index:8536" coordorigin="6642,158" coordsize="3436,2328">
            <v:shape style="position:absolute;left:578;top:10583;width:5446;height:2596" coordorigin="578,10583" coordsize="5446,2596" path="m6706,2415l6706,229m6649,2415l6706,2415m6649,2194l6706,2194m6649,1985l6706,1985m6649,1764l6706,1764m6649,1543l6706,1543m6649,1322l6706,1322m6649,1114l6706,1114m6649,892l6706,892m6649,671l6706,671m6649,450l6706,450m6649,229l6706,229m6706,2415l10071,2415m6706,2415l6706,2480m7035,2415l7035,2480m7375,2415l7375,2480m7714,2415l7714,2480m8044,2415l8044,2480m8384,2415l8384,2480m8723,2415l8723,2480m9053,2415l9053,2480m9392,2415l9392,2480m9732,2415l9732,2480m10071,2415l10071,2480e" filled="false" stroked="true" strokeweight=".560934pt" strokecolor="#858585">
              <v:path arrowok="t"/>
            </v:shape>
            <v:shape style="position:absolute;left:8349;top:1275;width:85;height:117" type="#_x0000_t75" stroked="false">
              <v:imagedata r:id="rId207" o:title=""/>
            </v:shape>
            <v:shape style="position:absolute;left:8349;top:1275;width:85;height:118" coordorigin="8349,1275" coordsize="85,118" path="m8434,1334l8431,1357,8422,1375,8408,1388,8392,1392,8375,1388,8362,1375,8352,1357,8349,1334,8352,1311,8362,1292,8375,1280,8392,1275,8408,1280,8422,1292,8431,1311,8434,1334xe" filled="false" stroked="true" strokeweight=".533585pt" strokecolor="#bd4a47">
              <v:path arrowok="t"/>
            </v:shape>
            <v:shape style="position:absolute;left:8343;top:1300;width:88;height:121" type="#_x0000_t75" stroked="false">
              <v:imagedata r:id="rId208" o:title=""/>
            </v:shape>
            <v:shape style="position:absolute;left:8343;top:1300;width:88;height:122" coordorigin="8343,1300" coordsize="88,122" path="m8431,1361l8427,1385,8418,1404,8404,1417,8387,1422,8370,1417,8356,1404,8346,1385,8343,1361,8346,1337,8356,1318,8370,1305,8387,1300,8404,1305,8418,1318,8427,1337,8431,1361xe" filled="false" stroked="true" strokeweight=".533585pt" strokecolor="#bd4a47">
              <v:path arrowok="t"/>
            </v:shape>
            <v:shape style="position:absolute;left:8343;top:2055;width:88;height:121" type="#_x0000_t75" stroked="false">
              <v:imagedata r:id="rId208" o:title=""/>
            </v:shape>
            <v:shape style="position:absolute;left:8343;top:2055;width:88;height:122" coordorigin="8343,2055" coordsize="88,122" path="m8431,2115l8427,2139,8418,2158,8404,2171,8387,2176,8370,2171,8356,2158,8346,2139,8343,2115,8346,2092,8356,2073,8370,2060,8387,2055,8404,2060,8418,2073,8427,2092,8431,2115xe" filled="false" stroked="true" strokeweight=".533585pt" strokecolor="#bd4a47">
              <v:path arrowok="t"/>
            </v:shape>
            <v:shape style="position:absolute;left:8343;top:650;width:88;height:121" type="#_x0000_t75" stroked="false">
              <v:imagedata r:id="rId209" o:title=""/>
            </v:shape>
            <v:shape style="position:absolute;left:8343;top:650;width:88;height:122" coordorigin="8343,650" coordsize="88,122" path="m8431,710l8427,734,8418,753,8404,766,8387,771,8370,766,8356,753,8346,734,8343,710,8346,687,8356,667,8370,654,8387,650,8404,654,8418,667,8427,687,8431,710xe" filled="false" stroked="true" strokeweight=".533585pt" strokecolor="#bd4a47">
              <v:path arrowok="t"/>
            </v:shape>
            <v:shape style="position:absolute;left:8343;top:884;width:88;height:121" type="#_x0000_t75" stroked="false">
              <v:imagedata r:id="rId209" o:title=""/>
            </v:shape>
            <v:shape style="position:absolute;left:8343;top:884;width:88;height:122" coordorigin="8343,884" coordsize="88,122" path="m8431,945l8427,968,8418,987,8404,1000,8387,1005,8370,1000,8356,987,8346,968,8343,945,8346,921,8356,902,8370,889,8387,884,8404,889,8418,902,8427,921,8431,945xe" filled="false" stroked="true" strokeweight=".533585pt" strokecolor="#bd4a47">
              <v:path arrowok="t"/>
            </v:shape>
            <v:shape style="position:absolute;left:6701;top:261;width:3321;height:2157" type="#_x0000_t75" stroked="false">
              <v:imagedata r:id="rId210" o:title=""/>
            </v:shape>
            <v:shape style="position:absolute;left:7136;top:1432;width:110;height:469" coordorigin="7136,1432" coordsize="110,469" path="m7191,1484l7182,1506,7182,1901,7200,1901,7200,1506,7191,1484xm7191,1432l7136,1562,7138,1570,7147,1577,7153,1575,7182,1506,7182,1458,7202,1458,7191,1432xm7202,1458l7200,1458,7200,1506,7230,1575,7235,1577,7244,1570,7246,1562,7202,1458xm7200,1458l7182,1458,7182,1506,7191,1484,7183,1465,7200,1465,7200,1458xm7200,1465l7199,1465,7191,1484,7200,1506,7200,1465xm7199,1465l7183,1465,7191,1484,7199,1465xe" filled="true" fillcolor="#ff0000" stroked="false">
              <v:path arrowok="t"/>
              <v:fill type="solid"/>
            </v:shape>
            <v:shape style="position:absolute;left:9672;top:1315;width:110;height:338" type="#_x0000_t75" stroked="false">
              <v:imagedata r:id="rId211" o:title=""/>
            </v:shape>
            <v:shape style="position:absolute;left:7898;top:158;width:264;height:950" type="#_x0000_t75" stroked="false">
              <v:imagedata r:id="rId212" o:title=""/>
            </v:shape>
            <v:shape style="position:absolute;left:6828;top:283;width:1055;height:1074" type="#_x0000_t202" filled="false" stroked="false">
              <v:textbox inset="0,0,0,0">
                <w:txbxContent>
                  <w:p>
                    <w:pPr>
                      <w:spacing w:line="173" w:lineRule="exact" w:before="0"/>
                      <w:ind w:left="0" w:right="0" w:firstLine="0"/>
                      <w:jc w:val="center"/>
                      <w:rPr>
                        <w:rFonts w:ascii="Constantia"/>
                        <w:sz w:val="17"/>
                      </w:rPr>
                    </w:pPr>
                    <w:r>
                      <w:rPr>
                        <w:rFonts w:ascii="Constantia"/>
                        <w:color w:val="1811BA"/>
                        <w:w w:val="80"/>
                        <w:sz w:val="17"/>
                      </w:rPr>
                      <w:t>Post-</w:t>
                    </w:r>
                  </w:p>
                  <w:p>
                    <w:pPr>
                      <w:spacing w:before="1"/>
                      <w:ind w:left="0" w:right="0" w:firstLine="0"/>
                      <w:jc w:val="center"/>
                      <w:rPr>
                        <w:rFonts w:ascii="Constantia" w:hAnsi="Constantia"/>
                        <w:sz w:val="17"/>
                      </w:rPr>
                    </w:pPr>
                    <w:r>
                      <w:rPr>
                        <w:rFonts w:ascii="Constantia" w:hAnsi="Constantia"/>
                        <w:color w:val="1811BA"/>
                        <w:w w:val="70"/>
                        <w:sz w:val="17"/>
                      </w:rPr>
                      <w:t>Nacionalización del </w:t>
                    </w:r>
                    <w:r>
                      <w:rPr>
                        <w:rFonts w:ascii="Constantia" w:hAnsi="Constantia"/>
                        <w:color w:val="1811BA"/>
                        <w:w w:val="80"/>
                        <w:sz w:val="17"/>
                      </w:rPr>
                      <w:t>gas</w:t>
                    </w:r>
                  </w:p>
                  <w:p>
                    <w:pPr>
                      <w:spacing w:line="240" w:lineRule="auto" w:before="0"/>
                      <w:rPr>
                        <w:sz w:val="20"/>
                      </w:rPr>
                    </w:pPr>
                  </w:p>
                  <w:p>
                    <w:pPr>
                      <w:spacing w:line="252" w:lineRule="exact" w:before="0"/>
                      <w:ind w:left="52" w:right="0" w:firstLine="0"/>
                      <w:jc w:val="left"/>
                      <w:rPr>
                        <w:rFonts w:ascii="Constantia"/>
                        <w:sz w:val="21"/>
                      </w:rPr>
                    </w:pPr>
                    <w:r>
                      <w:rPr>
                        <w:rFonts w:ascii="Constantia"/>
                        <w:color w:val="FF0000"/>
                        <w:w w:val="80"/>
                        <w:sz w:val="21"/>
                      </w:rPr>
                      <w:t>Deterioro</w:t>
                    </w:r>
                  </w:p>
                </w:txbxContent>
              </v:textbox>
              <w10:wrap type="none"/>
            </v:shape>
            <v:shape style="position:absolute;left:7953;top:1239;width:397;height:249" type="#_x0000_t202" filled="false" stroked="false">
              <v:textbox inset="0,0,0,0">
                <w:txbxContent>
                  <w:p>
                    <w:pPr>
                      <w:spacing w:line="248" w:lineRule="exact" w:before="0"/>
                      <w:ind w:left="0" w:right="-11" w:firstLine="0"/>
                      <w:jc w:val="left"/>
                      <w:rPr>
                        <w:rFonts w:ascii="Constantia"/>
                        <w:b/>
                        <w:sz w:val="25"/>
                      </w:rPr>
                    </w:pPr>
                    <w:r>
                      <w:rPr>
                        <w:rFonts w:ascii="Constantia"/>
                        <w:b/>
                        <w:color w:val="30859C"/>
                        <w:w w:val="70"/>
                        <w:sz w:val="25"/>
                      </w:rPr>
                      <w:t>2000</w:t>
                    </w:r>
                  </w:p>
                </w:txbxContent>
              </v:textbox>
              <w10:wrap type="none"/>
            </v:shape>
            <v:shape style="position:absolute;left:8404;top:410;width:913;height:1183" type="#_x0000_t202" filled="false" stroked="false">
              <v:textbox inset="0,0,0,0">
                <w:txbxContent>
                  <w:p>
                    <w:pPr>
                      <w:spacing w:line="253" w:lineRule="exact" w:before="0"/>
                      <w:ind w:left="0" w:right="-4" w:firstLine="0"/>
                      <w:jc w:val="left"/>
                      <w:rPr>
                        <w:rFonts w:ascii="Constantia"/>
                        <w:b/>
                        <w:sz w:val="25"/>
                      </w:rPr>
                    </w:pPr>
                    <w:r>
                      <w:rPr>
                        <w:rFonts w:ascii="Constantia"/>
                        <w:b/>
                        <w:color w:val="7E7E7E"/>
                        <w:w w:val="75"/>
                        <w:sz w:val="25"/>
                      </w:rPr>
                      <w:t>2007</w:t>
                    </w:r>
                    <w:r>
                      <w:rPr>
                        <w:rFonts w:ascii="Constantia"/>
                        <w:b/>
                        <w:color w:val="7E7E7E"/>
                        <w:spacing w:val="-35"/>
                        <w:w w:val="75"/>
                        <w:sz w:val="25"/>
                      </w:rPr>
                      <w:t> </w:t>
                    </w:r>
                    <w:r>
                      <w:rPr>
                        <w:rFonts w:ascii="Constantia"/>
                        <w:b/>
                        <w:color w:val="7E7E7E"/>
                        <w:w w:val="75"/>
                        <w:sz w:val="25"/>
                      </w:rPr>
                      <w:t>-</w:t>
                    </w:r>
                    <w:r>
                      <w:rPr>
                        <w:rFonts w:ascii="Constantia"/>
                        <w:b/>
                        <w:color w:val="7E7E7E"/>
                        <w:spacing w:val="-29"/>
                        <w:w w:val="75"/>
                        <w:sz w:val="25"/>
                      </w:rPr>
                      <w:t> </w:t>
                    </w:r>
                    <w:r>
                      <w:rPr>
                        <w:rFonts w:ascii="Constantia"/>
                        <w:b/>
                        <w:color w:val="7E7E7E"/>
                        <w:w w:val="75"/>
                        <w:sz w:val="25"/>
                      </w:rPr>
                      <w:t>2009</w:t>
                    </w:r>
                  </w:p>
                  <w:p>
                    <w:pPr>
                      <w:spacing w:before="172"/>
                      <w:ind w:left="12" w:right="-4" w:firstLine="0"/>
                      <w:jc w:val="left"/>
                      <w:rPr>
                        <w:rFonts w:ascii="Constantia"/>
                        <w:b/>
                        <w:sz w:val="25"/>
                      </w:rPr>
                    </w:pPr>
                    <w:r>
                      <w:rPr>
                        <w:rFonts w:ascii="Constantia"/>
                        <w:b/>
                        <w:color w:val="7E7E7E"/>
                        <w:w w:val="75"/>
                        <w:sz w:val="25"/>
                      </w:rPr>
                      <w:t>2010 - 2011</w:t>
                    </w:r>
                  </w:p>
                  <w:p>
                    <w:pPr>
                      <w:spacing w:line="300" w:lineRule="exact" w:before="152"/>
                      <w:ind w:left="46" w:right="-15" w:firstLine="0"/>
                      <w:jc w:val="left"/>
                      <w:rPr>
                        <w:rFonts w:ascii="Constantia"/>
                        <w:b/>
                        <w:sz w:val="25"/>
                      </w:rPr>
                    </w:pPr>
                    <w:r>
                      <w:rPr>
                        <w:rFonts w:ascii="Constantia"/>
                        <w:b/>
                        <w:color w:val="974707"/>
                        <w:w w:val="75"/>
                        <w:sz w:val="25"/>
                      </w:rPr>
                      <w:t>2001</w:t>
                    </w:r>
                    <w:r>
                      <w:rPr>
                        <w:rFonts w:ascii="Constantia"/>
                        <w:b/>
                        <w:color w:val="974707"/>
                        <w:spacing w:val="-34"/>
                        <w:w w:val="75"/>
                        <w:sz w:val="25"/>
                      </w:rPr>
                      <w:t> </w:t>
                    </w:r>
                    <w:r>
                      <w:rPr>
                        <w:rFonts w:ascii="Constantia"/>
                        <w:b/>
                        <w:color w:val="974707"/>
                        <w:w w:val="75"/>
                        <w:sz w:val="25"/>
                      </w:rPr>
                      <w:t>-</w:t>
                    </w:r>
                    <w:r>
                      <w:rPr>
                        <w:rFonts w:ascii="Constantia"/>
                        <w:b/>
                        <w:color w:val="974707"/>
                        <w:spacing w:val="-29"/>
                        <w:w w:val="75"/>
                        <w:sz w:val="25"/>
                      </w:rPr>
                      <w:t> </w:t>
                    </w:r>
                    <w:r>
                      <w:rPr>
                        <w:rFonts w:ascii="Constantia"/>
                        <w:b/>
                        <w:color w:val="974707"/>
                        <w:w w:val="75"/>
                        <w:sz w:val="25"/>
                      </w:rPr>
                      <w:t>2003</w:t>
                    </w:r>
                  </w:p>
                </w:txbxContent>
              </v:textbox>
              <w10:wrap type="none"/>
            </v:shape>
            <v:shape style="position:absolute;left:9505;top:1675;width:470;height:210" type="#_x0000_t202" filled="false" stroked="false">
              <v:textbox inset="0,0,0,0">
                <w:txbxContent>
                  <w:p>
                    <w:pPr>
                      <w:spacing w:line="209" w:lineRule="exact" w:before="0"/>
                      <w:ind w:left="0" w:right="0" w:firstLine="0"/>
                      <w:jc w:val="left"/>
                      <w:rPr>
                        <w:rFonts w:ascii="Constantia"/>
                        <w:sz w:val="21"/>
                      </w:rPr>
                    </w:pPr>
                    <w:r>
                      <w:rPr>
                        <w:rFonts w:ascii="Constantia"/>
                        <w:color w:val="FF0000"/>
                        <w:w w:val="70"/>
                        <w:sz w:val="21"/>
                      </w:rPr>
                      <w:t>Mejora</w:t>
                    </w:r>
                  </w:p>
                </w:txbxContent>
              </v:textbox>
              <w10:wrap type="none"/>
            </v:shape>
            <v:shape style="position:absolute;left:8526;top:2120;width:912;height:249" type="#_x0000_t202" filled="false" stroked="false">
              <v:textbox inset="0,0,0,0">
                <w:txbxContent>
                  <w:p>
                    <w:pPr>
                      <w:spacing w:line="248" w:lineRule="exact" w:before="0"/>
                      <w:ind w:left="0" w:right="-14" w:firstLine="0"/>
                      <w:jc w:val="left"/>
                      <w:rPr>
                        <w:rFonts w:ascii="Constantia"/>
                        <w:b/>
                        <w:sz w:val="25"/>
                      </w:rPr>
                    </w:pPr>
                    <w:r>
                      <w:rPr>
                        <w:rFonts w:ascii="Constantia"/>
                        <w:b/>
                        <w:color w:val="974707"/>
                        <w:w w:val="75"/>
                        <w:sz w:val="25"/>
                      </w:rPr>
                      <w:t>2004</w:t>
                    </w:r>
                    <w:r>
                      <w:rPr>
                        <w:rFonts w:ascii="Constantia"/>
                        <w:b/>
                        <w:color w:val="974707"/>
                        <w:spacing w:val="-35"/>
                        <w:w w:val="75"/>
                        <w:sz w:val="25"/>
                      </w:rPr>
                      <w:t> </w:t>
                    </w:r>
                    <w:r>
                      <w:rPr>
                        <w:rFonts w:ascii="Constantia"/>
                        <w:b/>
                        <w:color w:val="974707"/>
                        <w:w w:val="75"/>
                        <w:sz w:val="25"/>
                      </w:rPr>
                      <w:t>-</w:t>
                    </w:r>
                    <w:r>
                      <w:rPr>
                        <w:rFonts w:ascii="Constantia"/>
                        <w:b/>
                        <w:color w:val="974707"/>
                        <w:spacing w:val="-30"/>
                        <w:w w:val="75"/>
                        <w:sz w:val="25"/>
                      </w:rPr>
                      <w:t> </w:t>
                    </w:r>
                    <w:r>
                      <w:rPr>
                        <w:rFonts w:ascii="Constantia"/>
                        <w:b/>
                        <w:color w:val="974707"/>
                        <w:w w:val="75"/>
                        <w:sz w:val="25"/>
                      </w:rPr>
                      <w:t>2006</w:t>
                    </w:r>
                  </w:p>
                </w:txbxContent>
              </v:textbox>
              <w10:wrap type="none"/>
            </v:shape>
            <w10:wrap type="none"/>
          </v:group>
        </w:pict>
      </w:r>
      <w:r>
        <w:rPr>
          <w:rFonts w:ascii="Constantia"/>
          <w:w w:val="80"/>
          <w:sz w:val="21"/>
        </w:rPr>
        <w:t>1.5</w:t>
      </w:r>
    </w:p>
    <w:p>
      <w:pPr>
        <w:spacing w:line="219" w:lineRule="exact" w:before="0"/>
        <w:ind w:left="688" w:right="4" w:firstLine="0"/>
        <w:jc w:val="center"/>
        <w:rPr>
          <w:rFonts w:ascii="Constantia"/>
          <w:sz w:val="21"/>
        </w:rPr>
      </w:pPr>
      <w:r>
        <w:rPr>
          <w:rFonts w:ascii="Constantia"/>
          <w:w w:val="80"/>
          <w:sz w:val="21"/>
        </w:rPr>
        <w:t>1.4</w:t>
      </w:r>
    </w:p>
    <w:p>
      <w:pPr>
        <w:spacing w:line="219" w:lineRule="exact" w:before="0"/>
        <w:ind w:left="724" w:right="22" w:firstLine="0"/>
        <w:jc w:val="center"/>
        <w:rPr>
          <w:rFonts w:ascii="Constantia"/>
          <w:sz w:val="21"/>
        </w:rPr>
      </w:pPr>
      <w:r>
        <w:rPr>
          <w:rFonts w:ascii="Constantia"/>
          <w:w w:val="80"/>
          <w:sz w:val="21"/>
        </w:rPr>
        <w:t>1.3</w:t>
      </w:r>
    </w:p>
    <w:p>
      <w:pPr>
        <w:spacing w:line="219" w:lineRule="exact" w:before="0"/>
        <w:ind w:left="725" w:right="22" w:firstLine="0"/>
        <w:jc w:val="center"/>
        <w:rPr>
          <w:rFonts w:ascii="Constantia"/>
          <w:sz w:val="21"/>
        </w:rPr>
      </w:pPr>
      <w:r>
        <w:rPr>
          <w:rFonts w:ascii="Constantia"/>
          <w:w w:val="80"/>
          <w:sz w:val="21"/>
        </w:rPr>
        <w:t>1.2</w:t>
      </w:r>
    </w:p>
    <w:p>
      <w:pPr>
        <w:spacing w:line="219" w:lineRule="exact" w:before="0"/>
        <w:ind w:left="743" w:right="22" w:firstLine="0"/>
        <w:jc w:val="center"/>
        <w:rPr>
          <w:rFonts w:ascii="Constantia"/>
          <w:sz w:val="21"/>
        </w:rPr>
      </w:pPr>
      <w:r>
        <w:rPr>
          <w:rFonts w:ascii="Constantia"/>
          <w:w w:val="80"/>
          <w:sz w:val="21"/>
        </w:rPr>
        <w:t>1.1</w:t>
      </w:r>
    </w:p>
    <w:p>
      <w:pPr>
        <w:spacing w:line="219" w:lineRule="exact" w:before="0"/>
        <w:ind w:left="688" w:right="4" w:firstLine="0"/>
        <w:jc w:val="center"/>
        <w:rPr>
          <w:rFonts w:ascii="Constantia"/>
          <w:sz w:val="21"/>
        </w:rPr>
      </w:pPr>
      <w:r>
        <w:rPr>
          <w:rFonts w:ascii="Constantia"/>
          <w:w w:val="80"/>
          <w:sz w:val="21"/>
        </w:rPr>
        <w:t>1.0</w:t>
      </w:r>
    </w:p>
    <w:p>
      <w:pPr>
        <w:spacing w:line="219" w:lineRule="exact" w:before="0"/>
        <w:ind w:left="671" w:right="22" w:firstLine="0"/>
        <w:jc w:val="center"/>
        <w:rPr>
          <w:rFonts w:ascii="Constantia"/>
          <w:sz w:val="21"/>
        </w:rPr>
      </w:pPr>
      <w:r>
        <w:rPr>
          <w:rFonts w:ascii="Constantia"/>
          <w:w w:val="80"/>
          <w:sz w:val="21"/>
        </w:rPr>
        <w:t>0.9</w:t>
      </w:r>
    </w:p>
    <w:p>
      <w:pPr>
        <w:spacing w:line="219" w:lineRule="exact" w:before="0"/>
        <w:ind w:left="671" w:right="22" w:firstLine="0"/>
        <w:jc w:val="center"/>
        <w:rPr>
          <w:rFonts w:ascii="Constantia"/>
          <w:sz w:val="21"/>
        </w:rPr>
      </w:pPr>
      <w:r>
        <w:rPr>
          <w:rFonts w:ascii="Constantia"/>
          <w:w w:val="80"/>
          <w:sz w:val="21"/>
        </w:rPr>
        <w:t>0.8</w:t>
      </w:r>
    </w:p>
    <w:p>
      <w:pPr>
        <w:spacing w:line="219" w:lineRule="exact" w:before="0"/>
        <w:ind w:left="688" w:right="19" w:firstLine="0"/>
        <w:jc w:val="center"/>
        <w:rPr>
          <w:rFonts w:ascii="Constantia"/>
          <w:sz w:val="21"/>
        </w:rPr>
      </w:pPr>
      <w:r>
        <w:rPr>
          <w:rFonts w:ascii="Constantia"/>
          <w:w w:val="80"/>
          <w:sz w:val="21"/>
        </w:rPr>
        <w:t>0.7</w:t>
      </w:r>
    </w:p>
    <w:p>
      <w:pPr>
        <w:spacing w:line="219" w:lineRule="exact" w:before="0"/>
        <w:ind w:left="671" w:right="22" w:firstLine="0"/>
        <w:jc w:val="center"/>
        <w:rPr>
          <w:rFonts w:ascii="Constantia"/>
          <w:sz w:val="21"/>
        </w:rPr>
      </w:pPr>
      <w:r>
        <w:rPr>
          <w:rFonts w:ascii="Constantia"/>
          <w:w w:val="80"/>
          <w:sz w:val="21"/>
        </w:rPr>
        <w:t>0.6</w:t>
      </w:r>
    </w:p>
    <w:p>
      <w:pPr>
        <w:spacing w:line="238" w:lineRule="exact" w:before="0"/>
        <w:ind w:left="688" w:right="20" w:firstLine="0"/>
        <w:jc w:val="center"/>
        <w:rPr>
          <w:rFonts w:ascii="Constantia"/>
          <w:sz w:val="21"/>
        </w:rPr>
      </w:pPr>
      <w:r>
        <w:rPr>
          <w:rFonts w:ascii="Constantia"/>
          <w:w w:val="80"/>
          <w:sz w:val="21"/>
        </w:rPr>
        <w:t>0.5</w:t>
      </w:r>
    </w:p>
    <w:p>
      <w:pPr>
        <w:spacing w:after="0" w:line="238" w:lineRule="exact"/>
        <w:jc w:val="center"/>
        <w:rPr>
          <w:rFonts w:ascii="Constantia"/>
          <w:sz w:val="21"/>
        </w:rPr>
        <w:sectPr>
          <w:pgSz w:w="12250" w:h="15850"/>
          <w:pgMar w:header="0" w:footer="1037" w:top="1360" w:bottom="1220" w:left="1600" w:right="1580"/>
        </w:sectPr>
      </w:pPr>
    </w:p>
    <w:p>
      <w:pPr>
        <w:pStyle w:val="BodyText"/>
        <w:spacing w:before="3"/>
        <w:rPr>
          <w:rFonts w:ascii="Constantia"/>
          <w:sz w:val="9"/>
        </w:rPr>
      </w:pPr>
    </w:p>
    <w:p>
      <w:pPr>
        <w:tabs>
          <w:tab w:pos="993" w:val="left" w:leader="none"/>
          <w:tab w:pos="2738" w:val="left" w:leader="none"/>
        </w:tabs>
        <w:spacing w:before="0"/>
        <w:ind w:left="714" w:right="0" w:firstLine="0"/>
        <w:jc w:val="left"/>
        <w:rPr>
          <w:rFonts w:ascii="Constantia" w:hAnsi="Constantia"/>
          <w:sz w:val="13"/>
        </w:rPr>
      </w:pPr>
      <w:r>
        <w:rPr/>
        <w:pict>
          <v:line style="position:absolute;mso-position-horizontal-relative:page;mso-position-vertical-relative:paragraph;z-index:-563752" from="115.728394pt,3.464324pt" to="128.224807pt,3.464324pt" stroked="true" strokeweight="1.513699pt" strokecolor="#000000">
            <v:stroke dashstyle="longDash"/>
            <w10:wrap type="none"/>
          </v:line>
        </w:pict>
      </w:r>
      <w:r>
        <w:rPr/>
        <w:pict>
          <v:line style="position:absolute;mso-position-horizontal-relative:page;mso-position-vertical-relative:paragraph;z-index:-563728" from="202.838196pt,3.464324pt" to="215.33461pt,3.464324pt" stroked="true" strokeweight="1.513699pt" strokecolor="#bd4a47">
            <w10:wrap type="none"/>
          </v:line>
        </w:pict>
      </w:r>
      <w:r>
        <w:rPr>
          <w:rFonts w:ascii="Constantia" w:hAnsi="Constantia"/>
          <w:w w:val="73"/>
          <w:sz w:val="13"/>
        </w:rPr>
        <w:t> </w:t>
      </w:r>
      <w:r>
        <w:rPr>
          <w:rFonts w:ascii="Constantia" w:hAnsi="Constantia"/>
          <w:sz w:val="13"/>
        </w:rPr>
        <w:tab/>
      </w:r>
      <w:r>
        <w:rPr>
          <w:rFonts w:ascii="Constantia" w:hAnsi="Constantia"/>
          <w:w w:val="80"/>
          <w:sz w:val="13"/>
        </w:rPr>
        <w:t>Ahorro</w:t>
      </w:r>
      <w:r>
        <w:rPr>
          <w:rFonts w:ascii="Constantia" w:hAnsi="Constantia"/>
          <w:spacing w:val="-17"/>
          <w:w w:val="80"/>
          <w:sz w:val="13"/>
        </w:rPr>
        <w:t> </w:t>
      </w:r>
      <w:r>
        <w:rPr>
          <w:rFonts w:ascii="Constantia" w:hAnsi="Constantia"/>
          <w:w w:val="80"/>
          <w:sz w:val="13"/>
        </w:rPr>
        <w:t>Ing.</w:t>
      </w:r>
      <w:r>
        <w:rPr>
          <w:rFonts w:ascii="Constantia" w:hAnsi="Constantia"/>
          <w:spacing w:val="-15"/>
          <w:w w:val="80"/>
          <w:sz w:val="13"/>
        </w:rPr>
        <w:t> </w:t>
      </w:r>
      <w:r>
        <w:rPr>
          <w:rFonts w:ascii="Constantia" w:hAnsi="Constantia"/>
          <w:w w:val="80"/>
          <w:sz w:val="13"/>
        </w:rPr>
        <w:t>Fisc.</w:t>
      </w:r>
      <w:r>
        <w:rPr>
          <w:rFonts w:ascii="Constantia" w:hAnsi="Constantia"/>
          <w:spacing w:val="-15"/>
          <w:w w:val="80"/>
          <w:sz w:val="13"/>
        </w:rPr>
        <w:t> </w:t>
      </w:r>
      <w:r>
        <w:rPr>
          <w:rFonts w:ascii="Constantia" w:hAnsi="Constantia"/>
          <w:w w:val="80"/>
          <w:sz w:val="13"/>
        </w:rPr>
        <w:t>Gasífero/</w:t>
      </w:r>
      <w:r>
        <w:rPr>
          <w:rFonts w:ascii="Constantia" w:hAnsi="Constantia"/>
          <w:spacing w:val="-12"/>
          <w:w w:val="80"/>
          <w:sz w:val="13"/>
        </w:rPr>
        <w:t> </w:t>
      </w:r>
      <w:r>
        <w:rPr>
          <w:rFonts w:ascii="Constantia" w:hAnsi="Constantia"/>
          <w:w w:val="80"/>
          <w:sz w:val="13"/>
        </w:rPr>
        <w:t>PIB</w:t>
        <w:tab/>
      </w:r>
      <w:r>
        <w:rPr>
          <w:rFonts w:ascii="Constantia" w:hAnsi="Constantia"/>
          <w:w w:val="75"/>
          <w:sz w:val="13"/>
        </w:rPr>
        <w:t>Uso de Ingr. Fisc. Gasífero/</w:t>
      </w:r>
      <w:r>
        <w:rPr>
          <w:rFonts w:ascii="Constantia" w:hAnsi="Constantia"/>
          <w:spacing w:val="-14"/>
          <w:w w:val="75"/>
          <w:sz w:val="13"/>
        </w:rPr>
        <w:t> </w:t>
      </w:r>
      <w:r>
        <w:rPr>
          <w:rFonts w:ascii="Constantia" w:hAnsi="Constantia"/>
          <w:w w:val="75"/>
          <w:sz w:val="13"/>
        </w:rPr>
        <w:t>PIB</w:t>
      </w:r>
    </w:p>
    <w:p>
      <w:pPr>
        <w:spacing w:before="15"/>
        <w:ind w:left="714" w:right="0" w:firstLine="0"/>
        <w:jc w:val="left"/>
        <w:rPr>
          <w:rFonts w:ascii="Constantia"/>
          <w:sz w:val="21"/>
        </w:rPr>
      </w:pPr>
      <w:r>
        <w:rPr/>
        <w:br w:type="column"/>
      </w:r>
      <w:r>
        <w:rPr>
          <w:rFonts w:ascii="Constantia"/>
          <w:w w:val="80"/>
          <w:sz w:val="21"/>
        </w:rPr>
        <w:t>0.5   0.6   0.7   0.8   0.9   1.0    1.1    1.2    1.3    1.4  1.5</w:t>
      </w:r>
    </w:p>
    <w:p>
      <w:pPr>
        <w:spacing w:after="0"/>
        <w:jc w:val="left"/>
        <w:rPr>
          <w:rFonts w:ascii="Constantia"/>
          <w:sz w:val="21"/>
        </w:rPr>
        <w:sectPr>
          <w:type w:val="continuous"/>
          <w:pgSz w:w="12250" w:h="15850"/>
          <w:pgMar w:top="1500" w:bottom="280" w:left="1600" w:right="1580"/>
          <w:cols w:num="2" w:equalWidth="0">
            <w:col w:w="4052" w:space="237"/>
            <w:col w:w="4781"/>
          </w:cols>
        </w:sectPr>
      </w:pPr>
    </w:p>
    <w:p>
      <w:pPr>
        <w:pStyle w:val="BodyText"/>
        <w:spacing w:before="1"/>
        <w:rPr>
          <w:rFonts w:ascii="Constantia"/>
          <w:sz w:val="15"/>
        </w:rPr>
      </w:pPr>
    </w:p>
    <w:p>
      <w:pPr>
        <w:spacing w:before="74"/>
        <w:ind w:left="836" w:right="127" w:firstLine="0"/>
        <w:jc w:val="left"/>
        <w:rPr>
          <w:sz w:val="20"/>
        </w:rPr>
      </w:pPr>
      <w:r>
        <w:rPr>
          <w:sz w:val="20"/>
        </w:rPr>
        <w:t>Fuente: Estimaciones propias con base en información del Banco Central de Bolivia (2012).</w:t>
      </w:r>
    </w:p>
    <w:p>
      <w:pPr>
        <w:pStyle w:val="BodyText"/>
        <w:rPr>
          <w:sz w:val="20"/>
        </w:rPr>
      </w:pPr>
    </w:p>
    <w:p>
      <w:pPr>
        <w:pStyle w:val="BodyText"/>
        <w:spacing w:before="2"/>
        <w:rPr>
          <w:sz w:val="26"/>
        </w:rPr>
      </w:pPr>
    </w:p>
    <w:p>
      <w:pPr>
        <w:pStyle w:val="BodyText"/>
        <w:spacing w:line="360" w:lineRule="auto" w:before="1"/>
        <w:ind w:left="102" w:right="120" w:firstLine="707"/>
        <w:jc w:val="both"/>
      </w:pPr>
      <w:r>
        <w:rPr/>
        <w:t>Los resultados de la </w:t>
      </w:r>
      <w:r>
        <w:rPr>
          <w:i/>
        </w:rPr>
        <w:t>figura 3.2</w:t>
      </w:r>
      <w:r>
        <w:rPr/>
        <w:t>, sugieren que después de la nacionalización de los hidrocarburos se destinó mayor uso de recursos monetarios provenientes del gas natural y, en consecuencia, menor ahorro. Lo anterior significó un deterioro del cociente de sostenibilidad fiscal, al comparar el balance primario no gasífero (promedio por período) en comparación con el BPNG del año 2000.</w:t>
      </w:r>
    </w:p>
    <w:p>
      <w:pPr>
        <w:pStyle w:val="BodyText"/>
        <w:spacing w:line="360" w:lineRule="auto" w:before="4"/>
        <w:ind w:left="102" w:right="116" w:firstLine="707"/>
        <w:jc w:val="both"/>
      </w:pPr>
      <w:r>
        <w:rPr/>
        <w:t>Un manejo prudencial (adecuado) de los ingresos fiscales del gas natural hubiera evidenciado un no deterioro del balance primario no gasífero, mayor ahorro de ingresos provenientes del gas natural para políticas antichoques y un cociente de sostenibilidad fiscal que no refleje un deterioro.</w:t>
      </w:r>
    </w:p>
    <w:p>
      <w:pPr>
        <w:pStyle w:val="BodyText"/>
        <w:spacing w:before="7"/>
        <w:rPr>
          <w:sz w:val="21"/>
        </w:rPr>
      </w:pPr>
    </w:p>
    <w:p>
      <w:pPr>
        <w:pStyle w:val="Heading4"/>
        <w:numPr>
          <w:ilvl w:val="1"/>
          <w:numId w:val="13"/>
        </w:numPr>
        <w:tabs>
          <w:tab w:pos="677" w:val="left" w:leader="none"/>
          <w:tab w:pos="678" w:val="left" w:leader="none"/>
        </w:tabs>
        <w:spacing w:line="240" w:lineRule="auto" w:before="0" w:after="0"/>
        <w:ind w:left="678" w:right="0" w:hanging="576"/>
        <w:jc w:val="left"/>
      </w:pPr>
      <w:bookmarkStart w:name="_bookmark82" w:id="115"/>
      <w:bookmarkEnd w:id="115"/>
      <w:r>
        <w:rPr>
          <w:b w:val="0"/>
        </w:rPr>
      </w:r>
      <w:bookmarkStart w:name="_bookmark82" w:id="116"/>
      <w:bookmarkEnd w:id="116"/>
      <w:r>
        <w:rPr/>
        <w:t>Da</w:t>
      </w:r>
      <w:r>
        <w:rPr/>
        <w:t>tos y</w:t>
      </w:r>
      <w:r>
        <w:rPr>
          <w:spacing w:val="-3"/>
        </w:rPr>
        <w:t> </w:t>
      </w:r>
      <w:r>
        <w:rPr/>
        <w:t>Metodología</w:t>
      </w:r>
    </w:p>
    <w:p>
      <w:pPr>
        <w:pStyle w:val="BodyText"/>
        <w:spacing w:before="4"/>
        <w:rPr>
          <w:b/>
          <w:sz w:val="32"/>
        </w:rPr>
      </w:pPr>
    </w:p>
    <w:p>
      <w:pPr>
        <w:pStyle w:val="BodyText"/>
        <w:spacing w:line="360" w:lineRule="auto"/>
        <w:ind w:left="102" w:right="119" w:firstLine="707"/>
        <w:jc w:val="both"/>
      </w:pPr>
      <w:r>
        <w:rPr/>
        <w:t>Después de señalar el pasado reciente de la posición fiscal de Bolivia, se describen los factores asociados a su comportamiento, así como la evaluación de la posición fiscal sostenible. En tal sentido, se describe el análisis de los datos que permite alcanzar los objetivos del capítulo.</w:t>
      </w:r>
    </w:p>
    <w:p>
      <w:pPr>
        <w:spacing w:after="0" w:line="360" w:lineRule="auto"/>
        <w:jc w:val="both"/>
        <w:sectPr>
          <w:type w:val="continuous"/>
          <w:pgSz w:w="12250" w:h="15850"/>
          <w:pgMar w:top="1500" w:bottom="280" w:left="1600" w:right="1580"/>
        </w:sectPr>
      </w:pPr>
    </w:p>
    <w:p>
      <w:pPr>
        <w:pStyle w:val="Heading4"/>
        <w:numPr>
          <w:ilvl w:val="2"/>
          <w:numId w:val="13"/>
        </w:numPr>
        <w:tabs>
          <w:tab w:pos="1525" w:val="left" w:leader="none"/>
          <w:tab w:pos="1526" w:val="left" w:leader="none"/>
        </w:tabs>
        <w:spacing w:line="240" w:lineRule="auto" w:before="55" w:after="0"/>
        <w:ind w:left="1526" w:right="0" w:hanging="720"/>
        <w:jc w:val="left"/>
      </w:pPr>
      <w:bookmarkStart w:name="_bookmark83" w:id="117"/>
      <w:bookmarkEnd w:id="117"/>
      <w:r>
        <w:rPr>
          <w:b w:val="0"/>
        </w:rPr>
      </w:r>
      <w:bookmarkStart w:name="_bookmark83" w:id="118"/>
      <w:bookmarkEnd w:id="118"/>
      <w:r>
        <w:rPr/>
        <w:t>Da</w:t>
      </w:r>
      <w:r>
        <w:rPr/>
        <w:t>tos</w:t>
      </w:r>
      <w:r>
        <w:rPr>
          <w:spacing w:val="-6"/>
        </w:rPr>
        <w:t> </w:t>
      </w:r>
      <w:r>
        <w:rPr/>
        <w:t>empleados</w:t>
      </w:r>
    </w:p>
    <w:p>
      <w:pPr>
        <w:pStyle w:val="BodyText"/>
        <w:rPr>
          <w:b/>
        </w:rPr>
      </w:pPr>
    </w:p>
    <w:p>
      <w:pPr>
        <w:pStyle w:val="BodyText"/>
        <w:spacing w:before="2"/>
        <w:rPr>
          <w:b/>
          <w:sz w:val="29"/>
        </w:rPr>
      </w:pPr>
    </w:p>
    <w:p>
      <w:pPr>
        <w:pStyle w:val="BodyText"/>
        <w:spacing w:line="345" w:lineRule="auto"/>
        <w:ind w:left="122" w:right="117" w:firstLine="707"/>
        <w:jc w:val="both"/>
      </w:pPr>
      <w:r>
        <w:rPr/>
        <w:t>La información tiene frecuencia trimestral abarca el período 2003 (T1) al 2011 (T2) para el análisis de fluctuaciones y correlaciones</w:t>
      </w:r>
      <w:r>
        <w:rPr>
          <w:position w:val="11"/>
          <w:sz w:val="16"/>
        </w:rPr>
        <w:t>55 </w:t>
      </w:r>
      <w:r>
        <w:rPr/>
        <w:t>y al último trimestre de 2011 para la estimación del balance fiscal cíclicamente ajustado para Bolivia.</w:t>
      </w:r>
    </w:p>
    <w:p>
      <w:pPr>
        <w:pStyle w:val="BodyText"/>
        <w:spacing w:line="360" w:lineRule="auto" w:before="22"/>
        <w:ind w:left="122" w:right="117" w:firstLine="707"/>
        <w:jc w:val="both"/>
      </w:pPr>
      <w:r>
        <w:rPr/>
        <w:t>Las variables de interés principal son: (i) el precio del gas natural que representa un promedio ponderado de exportación del energético señalado; (ii) la asignación de los ingresos fiscales del gas natural que es una razón simple del gasto de capital en términos de ingresos fiscales del gas natural e hidrocarburos, como una medida de la inversión pública financiada con recursos monetarios del gas natural; (iii) la asignación de los ingresos fiscales no gasíferos que es una razón del gasto corriente en términos de ingresos no gasíferos – se excluyen los intereses                           ; (iv) el balance primario (con y sin  gas natural) expresados en términos del PIB real; (v) la desagregación del gasto público primario (consumo del gobierno, gasto de capital, gasto corriente y transferencias) en escala logarítmica; (vi) la deuda pública. Adicionalmente, se incluyen otras variables: el componente cíclico de la actividad económica (PIB real) y la producción del gas natural. El </w:t>
      </w:r>
      <w:r>
        <w:rPr>
          <w:i/>
        </w:rPr>
        <w:t>cuadro 3.1 </w:t>
      </w:r>
      <w:r>
        <w:rPr/>
        <w:t>ofrece una descripción de las series</w:t>
      </w:r>
      <w:r>
        <w:rPr>
          <w:spacing w:val="-10"/>
        </w:rPr>
        <w:t> </w:t>
      </w:r>
      <w:r>
        <w:rPr/>
        <w:t>utilizadas.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0"/>
        </w:rPr>
      </w:pPr>
      <w:r>
        <w:rPr/>
        <w:pict>
          <v:line style="position:absolute;mso-position-horizontal-relative:page;mso-position-vertical-relative:paragraph;z-index:8560;mso-wrap-distance-left:0;mso-wrap-distance-right:0" from="85.103996pt,13.867219pt" to="229.123996pt,13.867219pt" stroked="true" strokeweight=".60004pt" strokecolor="#000000">
            <w10:wrap type="topAndBottom"/>
          </v:line>
        </w:pict>
      </w:r>
    </w:p>
    <w:p>
      <w:pPr>
        <w:spacing w:before="50"/>
        <w:ind w:left="122" w:right="115" w:firstLine="0"/>
        <w:jc w:val="left"/>
        <w:rPr>
          <w:sz w:val="20"/>
        </w:rPr>
      </w:pPr>
      <w:r>
        <w:rPr>
          <w:position w:val="9"/>
          <w:sz w:val="13"/>
        </w:rPr>
        <w:t>55 </w:t>
      </w:r>
      <w:r>
        <w:rPr>
          <w:sz w:val="20"/>
        </w:rPr>
        <w:t>Se emplea este período para evitar el problema del punto final para el filtro de Hodrick y Prescott. En efecto se utilizaron series desde el 2000 hasta el 2012 para obtener los componentes cíclicos.</w:t>
      </w:r>
    </w:p>
    <w:p>
      <w:pPr>
        <w:spacing w:after="0"/>
        <w:jc w:val="left"/>
        <w:rPr>
          <w:sz w:val="20"/>
        </w:rPr>
        <w:sectPr>
          <w:pgSz w:w="12250" w:h="15850"/>
          <w:pgMar w:header="0" w:footer="1037" w:top="1360" w:bottom="1220" w:left="1580" w:right="1580"/>
        </w:sectPr>
      </w:pPr>
    </w:p>
    <w:p>
      <w:pPr>
        <w:pStyle w:val="BodyText"/>
        <w:spacing w:before="10"/>
        <w:rPr>
          <w:sz w:val="21"/>
        </w:rPr>
      </w:pPr>
    </w:p>
    <w:p>
      <w:pPr>
        <w:pStyle w:val="BodyText"/>
        <w:spacing w:before="69" w:after="8"/>
        <w:ind w:left="972" w:right="127"/>
      </w:pPr>
      <w:bookmarkStart w:name="_bookmark84" w:id="119"/>
      <w:bookmarkEnd w:id="119"/>
      <w:r>
        <w:rPr/>
      </w:r>
      <w:r>
        <w:rPr/>
        <w:t>Cuadro 3. 1: Descripción de variables y fuentes de información utilizadas</w:t>
      </w: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26"/>
        <w:gridCol w:w="3711"/>
        <w:gridCol w:w="2391"/>
      </w:tblGrid>
      <w:tr>
        <w:trPr>
          <w:trHeight w:val="303" w:hRule="exact"/>
        </w:trPr>
        <w:tc>
          <w:tcPr>
            <w:tcW w:w="2726" w:type="dxa"/>
            <w:tcBorders>
              <w:bottom w:val="double" w:sz="4" w:space="0" w:color="000000"/>
            </w:tcBorders>
            <w:shd w:val="clear" w:color="auto" w:fill="DBEDF3"/>
          </w:tcPr>
          <w:p>
            <w:pPr>
              <w:pStyle w:val="TableParagraph"/>
              <w:spacing w:before="22"/>
              <w:ind w:left="356"/>
              <w:jc w:val="left"/>
              <w:rPr>
                <w:b/>
                <w:sz w:val="22"/>
              </w:rPr>
            </w:pPr>
            <w:r>
              <w:rPr>
                <w:b/>
                <w:w w:val="105"/>
                <w:sz w:val="22"/>
              </w:rPr>
              <w:t>Variable/ Constructo</w:t>
            </w:r>
          </w:p>
        </w:tc>
        <w:tc>
          <w:tcPr>
            <w:tcW w:w="3711" w:type="dxa"/>
            <w:tcBorders>
              <w:bottom w:val="double" w:sz="4" w:space="0" w:color="000000"/>
            </w:tcBorders>
            <w:shd w:val="clear" w:color="auto" w:fill="DBEDF3"/>
          </w:tcPr>
          <w:p>
            <w:pPr>
              <w:pStyle w:val="TableParagraph"/>
              <w:spacing w:before="22"/>
              <w:ind w:left="1248" w:right="1243"/>
              <w:rPr>
                <w:b/>
                <w:sz w:val="22"/>
              </w:rPr>
            </w:pPr>
            <w:r>
              <w:rPr>
                <w:b/>
                <w:w w:val="105"/>
                <w:sz w:val="22"/>
              </w:rPr>
              <w:t>Descripción</w:t>
            </w:r>
          </w:p>
        </w:tc>
        <w:tc>
          <w:tcPr>
            <w:tcW w:w="2391" w:type="dxa"/>
            <w:tcBorders>
              <w:bottom w:val="double" w:sz="4" w:space="0" w:color="000000"/>
            </w:tcBorders>
            <w:shd w:val="clear" w:color="auto" w:fill="DBEDF3"/>
          </w:tcPr>
          <w:p>
            <w:pPr>
              <w:pStyle w:val="TableParagraph"/>
              <w:spacing w:before="22"/>
              <w:ind w:left="34" w:right="32"/>
              <w:rPr>
                <w:b/>
                <w:sz w:val="22"/>
              </w:rPr>
            </w:pPr>
            <w:r>
              <w:rPr>
                <w:b/>
                <w:w w:val="105"/>
                <w:sz w:val="22"/>
              </w:rPr>
              <w:t>Fuente</w:t>
            </w:r>
          </w:p>
        </w:tc>
      </w:tr>
      <w:tr>
        <w:trPr>
          <w:trHeight w:val="682" w:hRule="exact"/>
        </w:trPr>
        <w:tc>
          <w:tcPr>
            <w:tcW w:w="2726" w:type="dxa"/>
            <w:tcBorders>
              <w:top w:val="double" w:sz="4" w:space="0" w:color="000000"/>
            </w:tcBorders>
          </w:tcPr>
          <w:p>
            <w:pPr>
              <w:pStyle w:val="TableParagraph"/>
              <w:jc w:val="left"/>
              <w:rPr>
                <w:sz w:val="20"/>
              </w:rPr>
            </w:pPr>
          </w:p>
          <w:p>
            <w:pPr>
              <w:pStyle w:val="TableParagraph"/>
              <w:ind w:left="21"/>
              <w:jc w:val="left"/>
              <w:rPr>
                <w:sz w:val="17"/>
              </w:rPr>
            </w:pPr>
            <w:r>
              <w:rPr>
                <w:sz w:val="17"/>
              </w:rPr>
              <w:t>Precio del gas natural</w:t>
            </w:r>
          </w:p>
        </w:tc>
        <w:tc>
          <w:tcPr>
            <w:tcW w:w="3711" w:type="dxa"/>
            <w:tcBorders>
              <w:top w:val="double" w:sz="4" w:space="0" w:color="000000"/>
            </w:tcBorders>
          </w:tcPr>
          <w:p>
            <w:pPr>
              <w:pStyle w:val="TableParagraph"/>
              <w:spacing w:line="278" w:lineRule="auto" w:before="112"/>
              <w:ind w:left="21" w:right="499"/>
              <w:jc w:val="left"/>
              <w:rPr>
                <w:sz w:val="17"/>
              </w:rPr>
            </w:pPr>
            <w:r>
              <w:rPr>
                <w:spacing w:val="-5"/>
                <w:sz w:val="17"/>
              </w:rPr>
              <w:t>Es </w:t>
            </w:r>
            <w:r>
              <w:rPr>
                <w:sz w:val="17"/>
              </w:rPr>
              <w:t>el </w:t>
            </w:r>
            <w:r>
              <w:rPr>
                <w:spacing w:val="-8"/>
                <w:sz w:val="17"/>
              </w:rPr>
              <w:t>logaritmo </w:t>
            </w:r>
            <w:r>
              <w:rPr>
                <w:sz w:val="17"/>
              </w:rPr>
              <w:t>de </w:t>
            </w:r>
            <w:r>
              <w:rPr>
                <w:spacing w:val="-6"/>
                <w:sz w:val="17"/>
              </w:rPr>
              <w:t>los </w:t>
            </w:r>
            <w:r>
              <w:rPr>
                <w:spacing w:val="-4"/>
                <w:sz w:val="17"/>
              </w:rPr>
              <w:t>precios </w:t>
            </w:r>
            <w:r>
              <w:rPr>
                <w:sz w:val="17"/>
              </w:rPr>
              <w:t>ponderados de </w:t>
            </w:r>
            <w:r>
              <w:rPr>
                <w:spacing w:val="-4"/>
                <w:sz w:val="17"/>
              </w:rPr>
              <w:t>exportación </w:t>
            </w:r>
            <w:r>
              <w:rPr>
                <w:sz w:val="17"/>
              </w:rPr>
              <w:t>del </w:t>
            </w:r>
            <w:r>
              <w:rPr>
                <w:spacing w:val="-5"/>
                <w:sz w:val="17"/>
              </w:rPr>
              <w:t>gas natural  </w:t>
            </w:r>
            <w:r>
              <w:rPr>
                <w:sz w:val="17"/>
              </w:rPr>
              <w:t>al </w:t>
            </w:r>
            <w:r>
              <w:rPr>
                <w:spacing w:val="-6"/>
                <w:sz w:val="17"/>
              </w:rPr>
              <w:t>Brasil </w:t>
            </w:r>
            <w:r>
              <w:rPr>
                <w:sz w:val="17"/>
              </w:rPr>
              <w:t>y </w:t>
            </w:r>
            <w:r>
              <w:rPr>
                <w:spacing w:val="-7"/>
                <w:sz w:val="17"/>
              </w:rPr>
              <w:t>Argentina.</w:t>
            </w:r>
          </w:p>
        </w:tc>
        <w:tc>
          <w:tcPr>
            <w:tcW w:w="2391" w:type="dxa"/>
            <w:tcBorders>
              <w:top w:val="double" w:sz="4" w:space="0" w:color="000000"/>
            </w:tcBorders>
          </w:tcPr>
          <w:p>
            <w:pPr>
              <w:pStyle w:val="TableParagraph"/>
              <w:spacing w:line="278" w:lineRule="auto" w:before="112"/>
              <w:ind w:left="346" w:hanging="239"/>
              <w:jc w:val="left"/>
              <w:rPr>
                <w:sz w:val="17"/>
              </w:rPr>
            </w:pPr>
            <w:r>
              <w:rPr>
                <w:spacing w:val="-7"/>
                <w:sz w:val="17"/>
              </w:rPr>
              <w:t>Yacímientos </w:t>
            </w:r>
            <w:r>
              <w:rPr>
                <w:spacing w:val="-6"/>
                <w:sz w:val="17"/>
              </w:rPr>
              <w:t>Petrolíferos </w:t>
            </w:r>
            <w:r>
              <w:rPr>
                <w:spacing w:val="-5"/>
                <w:sz w:val="17"/>
              </w:rPr>
              <w:t>Fiscales </w:t>
            </w:r>
            <w:r>
              <w:rPr>
                <w:spacing w:val="-8"/>
                <w:sz w:val="17"/>
              </w:rPr>
              <w:t>Bolivianos  </w:t>
            </w:r>
            <w:r>
              <w:rPr>
                <w:spacing w:val="-3"/>
                <w:sz w:val="17"/>
              </w:rPr>
              <w:t>(YPFB,</w:t>
            </w:r>
            <w:r>
              <w:rPr>
                <w:sz w:val="17"/>
              </w:rPr>
              <w:t> 2012)</w:t>
            </w:r>
          </w:p>
        </w:tc>
      </w:tr>
      <w:tr>
        <w:trPr>
          <w:trHeight w:val="909" w:hRule="exact"/>
        </w:trPr>
        <w:tc>
          <w:tcPr>
            <w:tcW w:w="2726" w:type="dxa"/>
          </w:tcPr>
          <w:p>
            <w:pPr>
              <w:pStyle w:val="TableParagraph"/>
              <w:jc w:val="left"/>
              <w:rPr>
                <w:sz w:val="21"/>
              </w:rPr>
            </w:pPr>
          </w:p>
          <w:p>
            <w:pPr>
              <w:pStyle w:val="TableParagraph"/>
              <w:spacing w:line="278" w:lineRule="auto"/>
              <w:ind w:left="21"/>
              <w:jc w:val="left"/>
              <w:rPr>
                <w:sz w:val="17"/>
              </w:rPr>
            </w:pPr>
            <w:r>
              <w:rPr>
                <w:spacing w:val="-7"/>
                <w:sz w:val="17"/>
              </w:rPr>
              <w:t>Asignación </w:t>
            </w:r>
            <w:r>
              <w:rPr>
                <w:sz w:val="17"/>
              </w:rPr>
              <w:t>de </w:t>
            </w:r>
            <w:r>
              <w:rPr>
                <w:spacing w:val="-6"/>
                <w:sz w:val="17"/>
              </w:rPr>
              <w:t>los ingresos gasíferos (ingresos </w:t>
            </w:r>
            <w:r>
              <w:rPr>
                <w:spacing w:val="-7"/>
                <w:sz w:val="17"/>
              </w:rPr>
              <w:t>fiscales </w:t>
            </w:r>
            <w:r>
              <w:rPr>
                <w:sz w:val="17"/>
              </w:rPr>
              <w:t>del </w:t>
            </w:r>
            <w:r>
              <w:rPr>
                <w:spacing w:val="-5"/>
                <w:sz w:val="17"/>
              </w:rPr>
              <w:t>gas  </w:t>
            </w:r>
            <w:r>
              <w:rPr>
                <w:spacing w:val="-7"/>
                <w:sz w:val="17"/>
              </w:rPr>
              <w:t>natural)</w:t>
            </w:r>
          </w:p>
        </w:tc>
        <w:tc>
          <w:tcPr>
            <w:tcW w:w="3711" w:type="dxa"/>
          </w:tcPr>
          <w:p>
            <w:pPr>
              <w:pStyle w:val="TableParagraph"/>
              <w:spacing w:line="278" w:lineRule="auto" w:before="14"/>
              <w:ind w:left="21" w:right="104"/>
              <w:jc w:val="left"/>
              <w:rPr>
                <w:sz w:val="17"/>
              </w:rPr>
            </w:pPr>
            <w:r>
              <w:rPr>
                <w:spacing w:val="-5"/>
                <w:sz w:val="17"/>
              </w:rPr>
              <w:t>Es </w:t>
            </w:r>
            <w:r>
              <w:rPr>
                <w:sz w:val="17"/>
              </w:rPr>
              <w:t>el </w:t>
            </w:r>
            <w:r>
              <w:rPr>
                <w:spacing w:val="-8"/>
                <w:sz w:val="17"/>
              </w:rPr>
              <w:t>logaritmo </w:t>
            </w:r>
            <w:r>
              <w:rPr>
                <w:spacing w:val="-5"/>
                <w:sz w:val="17"/>
              </w:rPr>
              <w:t>natural </w:t>
            </w:r>
            <w:r>
              <w:rPr>
                <w:sz w:val="17"/>
              </w:rPr>
              <w:t>de </w:t>
            </w:r>
            <w:r>
              <w:rPr>
                <w:spacing w:val="-8"/>
                <w:sz w:val="17"/>
              </w:rPr>
              <w:t>la </w:t>
            </w:r>
            <w:r>
              <w:rPr>
                <w:spacing w:val="-5"/>
                <w:sz w:val="17"/>
              </w:rPr>
              <w:t>razón: </w:t>
            </w:r>
            <w:r>
              <w:rPr>
                <w:spacing w:val="-4"/>
                <w:sz w:val="17"/>
              </w:rPr>
              <w:t>Gasto </w:t>
            </w:r>
            <w:r>
              <w:rPr>
                <w:sz w:val="17"/>
              </w:rPr>
              <w:t>de </w:t>
            </w:r>
            <w:r>
              <w:rPr>
                <w:spacing w:val="-5"/>
                <w:sz w:val="17"/>
              </w:rPr>
              <w:t>Capital/ Ingresos </w:t>
            </w:r>
            <w:r>
              <w:rPr>
                <w:spacing w:val="-7"/>
                <w:sz w:val="17"/>
              </w:rPr>
              <w:t>fiscales </w:t>
            </w:r>
            <w:r>
              <w:rPr>
                <w:sz w:val="17"/>
              </w:rPr>
              <w:t>del </w:t>
            </w:r>
            <w:r>
              <w:rPr>
                <w:spacing w:val="-5"/>
                <w:sz w:val="17"/>
              </w:rPr>
              <w:t>gas </w:t>
            </w:r>
            <w:r>
              <w:rPr>
                <w:spacing w:val="-7"/>
                <w:sz w:val="17"/>
              </w:rPr>
              <w:t>natural. </w:t>
            </w:r>
            <w:r>
              <w:rPr>
                <w:spacing w:val="-6"/>
                <w:sz w:val="17"/>
              </w:rPr>
              <w:t>Tanto </w:t>
            </w:r>
            <w:r>
              <w:rPr>
                <w:sz w:val="17"/>
              </w:rPr>
              <w:t>el </w:t>
            </w:r>
            <w:r>
              <w:rPr>
                <w:spacing w:val="-6"/>
                <w:sz w:val="17"/>
              </w:rPr>
              <w:t>númerador </w:t>
            </w:r>
            <w:r>
              <w:rPr>
                <w:spacing w:val="-5"/>
                <w:sz w:val="17"/>
              </w:rPr>
              <w:t>como </w:t>
            </w:r>
            <w:r>
              <w:rPr>
                <w:sz w:val="17"/>
              </w:rPr>
              <w:t>el </w:t>
            </w:r>
            <w:r>
              <w:rPr>
                <w:spacing w:val="-6"/>
                <w:sz w:val="17"/>
              </w:rPr>
              <w:t>denominador </w:t>
            </w:r>
            <w:r>
              <w:rPr>
                <w:spacing w:val="-3"/>
                <w:sz w:val="17"/>
              </w:rPr>
              <w:t>están </w:t>
            </w:r>
            <w:r>
              <w:rPr>
                <w:spacing w:val="-4"/>
                <w:sz w:val="17"/>
              </w:rPr>
              <w:t>deflactados </w:t>
            </w:r>
            <w:r>
              <w:rPr>
                <w:sz w:val="17"/>
              </w:rPr>
              <w:t>por el IPC </w:t>
            </w:r>
            <w:r>
              <w:rPr>
                <w:spacing w:val="-6"/>
                <w:sz w:val="17"/>
              </w:rPr>
              <w:t>(Año </w:t>
            </w:r>
            <w:r>
              <w:rPr>
                <w:sz w:val="17"/>
              </w:rPr>
              <w:t>base = 2007).</w:t>
            </w:r>
          </w:p>
        </w:tc>
        <w:tc>
          <w:tcPr>
            <w:tcW w:w="2391" w:type="dxa"/>
          </w:tcPr>
          <w:p>
            <w:pPr>
              <w:pStyle w:val="TableParagraph"/>
              <w:jc w:val="left"/>
              <w:rPr>
                <w:sz w:val="16"/>
              </w:rPr>
            </w:pPr>
          </w:p>
          <w:p>
            <w:pPr>
              <w:pStyle w:val="TableParagraph"/>
              <w:spacing w:before="4"/>
              <w:jc w:val="left"/>
              <w:rPr>
                <w:sz w:val="14"/>
              </w:rPr>
            </w:pPr>
          </w:p>
          <w:p>
            <w:pPr>
              <w:pStyle w:val="TableParagraph"/>
              <w:ind w:left="34" w:right="43"/>
              <w:rPr>
                <w:sz w:val="17"/>
              </w:rPr>
            </w:pPr>
            <w:r>
              <w:rPr>
                <w:sz w:val="17"/>
              </w:rPr>
              <w:t>Banco Central de Bolivia  (2012)</w:t>
            </w:r>
          </w:p>
        </w:tc>
      </w:tr>
      <w:tr>
        <w:trPr>
          <w:trHeight w:val="1179" w:hRule="exact"/>
        </w:trPr>
        <w:tc>
          <w:tcPr>
            <w:tcW w:w="2726" w:type="dxa"/>
          </w:tcPr>
          <w:p>
            <w:pPr>
              <w:pStyle w:val="TableParagraph"/>
              <w:jc w:val="left"/>
              <w:rPr>
                <w:sz w:val="16"/>
              </w:rPr>
            </w:pPr>
          </w:p>
          <w:p>
            <w:pPr>
              <w:pStyle w:val="TableParagraph"/>
              <w:jc w:val="left"/>
              <w:rPr>
                <w:sz w:val="16"/>
              </w:rPr>
            </w:pPr>
          </w:p>
          <w:p>
            <w:pPr>
              <w:pStyle w:val="TableParagraph"/>
              <w:spacing w:before="122"/>
              <w:ind w:left="21"/>
              <w:jc w:val="left"/>
              <w:rPr>
                <w:sz w:val="17"/>
              </w:rPr>
            </w:pPr>
            <w:r>
              <w:rPr>
                <w:spacing w:val="-7"/>
                <w:sz w:val="17"/>
              </w:rPr>
              <w:t>Asignación </w:t>
            </w:r>
            <w:r>
              <w:rPr>
                <w:sz w:val="17"/>
              </w:rPr>
              <w:t>de </w:t>
            </w:r>
            <w:r>
              <w:rPr>
                <w:spacing w:val="-6"/>
                <w:sz w:val="17"/>
              </w:rPr>
              <w:t>los ingresos no  gasíferos</w:t>
            </w:r>
          </w:p>
        </w:tc>
        <w:tc>
          <w:tcPr>
            <w:tcW w:w="3711" w:type="dxa"/>
          </w:tcPr>
          <w:p>
            <w:pPr>
              <w:pStyle w:val="TableParagraph"/>
              <w:spacing w:before="6"/>
              <w:jc w:val="left"/>
              <w:rPr>
                <w:sz w:val="12"/>
              </w:rPr>
            </w:pPr>
          </w:p>
          <w:p>
            <w:pPr>
              <w:pStyle w:val="TableParagraph"/>
              <w:spacing w:line="278" w:lineRule="auto"/>
              <w:ind w:left="21" w:right="104"/>
              <w:jc w:val="left"/>
              <w:rPr>
                <w:sz w:val="17"/>
              </w:rPr>
            </w:pPr>
            <w:r>
              <w:rPr>
                <w:spacing w:val="-5"/>
                <w:sz w:val="17"/>
              </w:rPr>
              <w:t>Es </w:t>
            </w:r>
            <w:r>
              <w:rPr>
                <w:sz w:val="17"/>
              </w:rPr>
              <w:t>el </w:t>
            </w:r>
            <w:r>
              <w:rPr>
                <w:spacing w:val="-8"/>
                <w:sz w:val="17"/>
              </w:rPr>
              <w:t>logaritmo </w:t>
            </w:r>
            <w:r>
              <w:rPr>
                <w:sz w:val="17"/>
              </w:rPr>
              <w:t>de </w:t>
            </w:r>
            <w:r>
              <w:rPr>
                <w:spacing w:val="-8"/>
                <w:sz w:val="17"/>
              </w:rPr>
              <w:t>la </w:t>
            </w:r>
            <w:r>
              <w:rPr>
                <w:spacing w:val="-5"/>
                <w:sz w:val="17"/>
              </w:rPr>
              <w:t>razón: </w:t>
            </w:r>
            <w:r>
              <w:rPr>
                <w:spacing w:val="-4"/>
                <w:sz w:val="17"/>
              </w:rPr>
              <w:t>Gasto </w:t>
            </w:r>
            <w:r>
              <w:rPr>
                <w:spacing w:val="-5"/>
                <w:sz w:val="17"/>
              </w:rPr>
              <w:t>Corriente/ Ingresos </w:t>
            </w:r>
            <w:r>
              <w:rPr>
                <w:spacing w:val="-7"/>
                <w:sz w:val="17"/>
              </w:rPr>
              <w:t>fiscales </w:t>
            </w:r>
            <w:r>
              <w:rPr>
                <w:spacing w:val="-6"/>
                <w:sz w:val="17"/>
              </w:rPr>
              <w:t>no gasíferos. Tanto </w:t>
            </w:r>
            <w:r>
              <w:rPr>
                <w:sz w:val="17"/>
              </w:rPr>
              <w:t>el </w:t>
            </w:r>
            <w:r>
              <w:rPr>
                <w:spacing w:val="-6"/>
                <w:sz w:val="17"/>
              </w:rPr>
              <w:t>numerador </w:t>
            </w:r>
            <w:r>
              <w:rPr>
                <w:spacing w:val="-5"/>
                <w:sz w:val="17"/>
              </w:rPr>
              <w:t>como </w:t>
            </w:r>
            <w:r>
              <w:rPr>
                <w:sz w:val="17"/>
              </w:rPr>
              <w:t>el </w:t>
            </w:r>
            <w:r>
              <w:rPr>
                <w:spacing w:val="-7"/>
                <w:sz w:val="17"/>
              </w:rPr>
              <w:t>denominar </w:t>
            </w:r>
            <w:r>
              <w:rPr>
                <w:spacing w:val="-3"/>
                <w:sz w:val="17"/>
              </w:rPr>
              <w:t>están expresados </w:t>
            </w:r>
            <w:r>
              <w:rPr>
                <w:sz w:val="17"/>
              </w:rPr>
              <w:t>en </w:t>
            </w:r>
            <w:r>
              <w:rPr>
                <w:spacing w:val="-7"/>
                <w:sz w:val="17"/>
              </w:rPr>
              <w:t>términos </w:t>
            </w:r>
            <w:r>
              <w:rPr>
                <w:spacing w:val="-5"/>
                <w:sz w:val="17"/>
              </w:rPr>
              <w:t>reales. </w:t>
            </w:r>
            <w:r>
              <w:rPr>
                <w:sz w:val="17"/>
              </w:rPr>
              <w:t>Se </w:t>
            </w:r>
            <w:r>
              <w:rPr>
                <w:spacing w:val="-6"/>
                <w:sz w:val="17"/>
              </w:rPr>
              <w:t>excluyeron los </w:t>
            </w:r>
            <w:r>
              <w:rPr>
                <w:spacing w:val="-5"/>
                <w:sz w:val="17"/>
              </w:rPr>
              <w:t>intereses </w:t>
            </w:r>
            <w:r>
              <w:rPr>
                <w:sz w:val="17"/>
              </w:rPr>
              <w:t>de </w:t>
            </w:r>
            <w:r>
              <w:rPr>
                <w:spacing w:val="-8"/>
                <w:sz w:val="17"/>
              </w:rPr>
              <w:t>la </w:t>
            </w:r>
            <w:r>
              <w:rPr>
                <w:spacing w:val="-3"/>
                <w:sz w:val="17"/>
              </w:rPr>
              <w:t>deuda  </w:t>
            </w:r>
            <w:r>
              <w:rPr>
                <w:spacing w:val="-6"/>
                <w:sz w:val="17"/>
              </w:rPr>
              <w:t>pública.</w:t>
            </w:r>
          </w:p>
        </w:tc>
        <w:tc>
          <w:tcPr>
            <w:tcW w:w="2391" w:type="dxa"/>
          </w:tcPr>
          <w:p>
            <w:pPr>
              <w:pStyle w:val="TableParagraph"/>
              <w:jc w:val="left"/>
              <w:rPr>
                <w:sz w:val="16"/>
              </w:rPr>
            </w:pPr>
          </w:p>
          <w:p>
            <w:pPr>
              <w:pStyle w:val="TableParagraph"/>
              <w:jc w:val="left"/>
              <w:rPr>
                <w:sz w:val="16"/>
              </w:rPr>
            </w:pPr>
          </w:p>
          <w:p>
            <w:pPr>
              <w:pStyle w:val="TableParagraph"/>
              <w:spacing w:before="122"/>
              <w:ind w:left="34" w:right="43"/>
              <w:rPr>
                <w:sz w:val="17"/>
              </w:rPr>
            </w:pPr>
            <w:r>
              <w:rPr>
                <w:sz w:val="17"/>
              </w:rPr>
              <w:t>Banco Central de Bolivia  (2012)</w:t>
            </w:r>
          </w:p>
        </w:tc>
      </w:tr>
      <w:tr>
        <w:trPr>
          <w:trHeight w:val="1612" w:hRule="exact"/>
        </w:trPr>
        <w:tc>
          <w:tcPr>
            <w:tcW w:w="2726" w:type="dxa"/>
          </w:tcPr>
          <w:p>
            <w:pPr>
              <w:pStyle w:val="TableParagraph"/>
              <w:jc w:val="left"/>
              <w:rPr>
                <w:sz w:val="16"/>
              </w:rPr>
            </w:pPr>
          </w:p>
          <w:p>
            <w:pPr>
              <w:pStyle w:val="TableParagraph"/>
              <w:jc w:val="left"/>
              <w:rPr>
                <w:sz w:val="16"/>
              </w:rPr>
            </w:pPr>
          </w:p>
          <w:p>
            <w:pPr>
              <w:pStyle w:val="TableParagraph"/>
              <w:jc w:val="left"/>
              <w:rPr>
                <w:sz w:val="16"/>
              </w:rPr>
            </w:pPr>
          </w:p>
          <w:p>
            <w:pPr>
              <w:pStyle w:val="TableParagraph"/>
              <w:spacing w:before="5"/>
              <w:jc w:val="left"/>
              <w:rPr>
                <w:sz w:val="13"/>
              </w:rPr>
            </w:pPr>
          </w:p>
          <w:p>
            <w:pPr>
              <w:pStyle w:val="TableParagraph"/>
              <w:ind w:left="21"/>
              <w:jc w:val="left"/>
              <w:rPr>
                <w:sz w:val="17"/>
              </w:rPr>
            </w:pPr>
            <w:r>
              <w:rPr>
                <w:sz w:val="17"/>
              </w:rPr>
              <w:t>Balance  primario  no gasífero</w:t>
            </w:r>
          </w:p>
        </w:tc>
        <w:tc>
          <w:tcPr>
            <w:tcW w:w="3711" w:type="dxa"/>
          </w:tcPr>
          <w:p>
            <w:pPr>
              <w:pStyle w:val="TableParagraph"/>
              <w:spacing w:before="10"/>
              <w:jc w:val="left"/>
              <w:rPr>
                <w:sz w:val="21"/>
              </w:rPr>
            </w:pPr>
          </w:p>
          <w:p>
            <w:pPr>
              <w:pStyle w:val="TableParagraph"/>
              <w:spacing w:line="278" w:lineRule="auto" w:before="1"/>
              <w:ind w:left="21" w:right="104"/>
              <w:jc w:val="left"/>
              <w:rPr>
                <w:sz w:val="17"/>
              </w:rPr>
            </w:pPr>
            <w:r>
              <w:rPr>
                <w:sz w:val="17"/>
              </w:rPr>
              <w:t>Se </w:t>
            </w:r>
            <w:r>
              <w:rPr>
                <w:spacing w:val="-7"/>
                <w:sz w:val="17"/>
              </w:rPr>
              <w:t>excluyen </w:t>
            </w:r>
            <w:r>
              <w:rPr>
                <w:spacing w:val="-6"/>
                <w:sz w:val="17"/>
              </w:rPr>
              <w:t>los ingresos </w:t>
            </w:r>
            <w:r>
              <w:rPr>
                <w:sz w:val="17"/>
              </w:rPr>
              <w:t>del </w:t>
            </w:r>
            <w:r>
              <w:rPr>
                <w:spacing w:val="-5"/>
                <w:sz w:val="17"/>
              </w:rPr>
              <w:t>gas natural </w:t>
            </w:r>
            <w:r>
              <w:rPr>
                <w:spacing w:val="-6"/>
                <w:sz w:val="17"/>
              </w:rPr>
              <w:t>(venta </w:t>
            </w:r>
            <w:r>
              <w:rPr>
                <w:sz w:val="17"/>
              </w:rPr>
              <w:t>de </w:t>
            </w:r>
            <w:r>
              <w:rPr>
                <w:spacing w:val="-5"/>
                <w:sz w:val="17"/>
              </w:rPr>
              <w:t>gas </w:t>
            </w:r>
            <w:r>
              <w:rPr>
                <w:sz w:val="17"/>
              </w:rPr>
              <w:t>e </w:t>
            </w:r>
            <w:r>
              <w:rPr>
                <w:spacing w:val="-7"/>
                <w:sz w:val="17"/>
              </w:rPr>
              <w:t>impuesto </w:t>
            </w:r>
            <w:r>
              <w:rPr>
                <w:sz w:val="17"/>
              </w:rPr>
              <w:t>por </w:t>
            </w:r>
            <w:r>
              <w:rPr>
                <w:spacing w:val="-7"/>
                <w:sz w:val="17"/>
              </w:rPr>
              <w:t>regalías) </w:t>
            </w:r>
            <w:r>
              <w:rPr>
                <w:sz w:val="17"/>
              </w:rPr>
              <w:t>del </w:t>
            </w:r>
            <w:r>
              <w:rPr>
                <w:spacing w:val="-5"/>
                <w:sz w:val="17"/>
              </w:rPr>
              <w:t>balance </w:t>
            </w:r>
            <w:r>
              <w:rPr>
                <w:spacing w:val="-7"/>
                <w:sz w:val="17"/>
              </w:rPr>
              <w:t>fiscal </w:t>
            </w:r>
            <w:r>
              <w:rPr>
                <w:sz w:val="17"/>
              </w:rPr>
              <w:t>y se </w:t>
            </w:r>
            <w:r>
              <w:rPr>
                <w:spacing w:val="-7"/>
                <w:sz w:val="17"/>
              </w:rPr>
              <w:t>suman </w:t>
            </w:r>
            <w:r>
              <w:rPr>
                <w:spacing w:val="-6"/>
                <w:sz w:val="17"/>
              </w:rPr>
              <w:t>los </w:t>
            </w:r>
            <w:r>
              <w:rPr>
                <w:spacing w:val="-4"/>
                <w:sz w:val="17"/>
              </w:rPr>
              <w:t>gastos </w:t>
            </w:r>
            <w:r>
              <w:rPr>
                <w:spacing w:val="-8"/>
                <w:sz w:val="17"/>
              </w:rPr>
              <w:t>financieros </w:t>
            </w:r>
            <w:r>
              <w:rPr>
                <w:sz w:val="17"/>
              </w:rPr>
              <w:t>de </w:t>
            </w:r>
            <w:r>
              <w:rPr>
                <w:spacing w:val="-8"/>
                <w:sz w:val="17"/>
              </w:rPr>
              <w:t>la </w:t>
            </w:r>
            <w:r>
              <w:rPr>
                <w:spacing w:val="-3"/>
                <w:sz w:val="17"/>
              </w:rPr>
              <w:t>deuda </w:t>
            </w:r>
            <w:r>
              <w:rPr>
                <w:spacing w:val="-6"/>
                <w:sz w:val="17"/>
              </w:rPr>
              <w:t>pública, </w:t>
            </w:r>
            <w:r>
              <w:rPr>
                <w:spacing w:val="-3"/>
                <w:sz w:val="17"/>
              </w:rPr>
              <w:t>expresados </w:t>
            </w:r>
            <w:r>
              <w:rPr>
                <w:sz w:val="17"/>
              </w:rPr>
              <w:t>en </w:t>
            </w:r>
            <w:r>
              <w:rPr>
                <w:spacing w:val="-7"/>
                <w:sz w:val="17"/>
              </w:rPr>
              <w:t>términos </w:t>
            </w:r>
            <w:r>
              <w:rPr>
                <w:sz w:val="17"/>
              </w:rPr>
              <w:t>del PIB </w:t>
            </w:r>
            <w:r>
              <w:rPr>
                <w:spacing w:val="-5"/>
                <w:sz w:val="17"/>
              </w:rPr>
              <w:t>real. </w:t>
            </w:r>
            <w:r>
              <w:rPr>
                <w:sz w:val="17"/>
              </w:rPr>
              <w:t>Todos </w:t>
            </w:r>
            <w:r>
              <w:rPr>
                <w:spacing w:val="-6"/>
                <w:sz w:val="17"/>
              </w:rPr>
              <w:t>los </w:t>
            </w:r>
            <w:r>
              <w:rPr>
                <w:spacing w:val="-5"/>
                <w:sz w:val="17"/>
              </w:rPr>
              <w:t>componentes </w:t>
            </w:r>
            <w:r>
              <w:rPr>
                <w:spacing w:val="-3"/>
                <w:sz w:val="17"/>
              </w:rPr>
              <w:t>están expresados </w:t>
            </w:r>
            <w:r>
              <w:rPr>
                <w:sz w:val="17"/>
              </w:rPr>
              <w:t>en </w:t>
            </w:r>
            <w:r>
              <w:rPr>
                <w:spacing w:val="-7"/>
                <w:sz w:val="17"/>
              </w:rPr>
              <w:t>términos  </w:t>
            </w:r>
            <w:r>
              <w:rPr>
                <w:spacing w:val="-5"/>
                <w:sz w:val="17"/>
              </w:rPr>
              <w:t>reales.</w:t>
            </w:r>
          </w:p>
        </w:tc>
        <w:tc>
          <w:tcPr>
            <w:tcW w:w="2391" w:type="dxa"/>
          </w:tcPr>
          <w:p>
            <w:pPr>
              <w:pStyle w:val="TableParagraph"/>
              <w:jc w:val="left"/>
              <w:rPr>
                <w:sz w:val="16"/>
              </w:rPr>
            </w:pPr>
          </w:p>
          <w:p>
            <w:pPr>
              <w:pStyle w:val="TableParagraph"/>
              <w:jc w:val="left"/>
              <w:rPr>
                <w:sz w:val="16"/>
              </w:rPr>
            </w:pPr>
          </w:p>
          <w:p>
            <w:pPr>
              <w:pStyle w:val="TableParagraph"/>
              <w:jc w:val="left"/>
              <w:rPr>
                <w:sz w:val="16"/>
              </w:rPr>
            </w:pPr>
          </w:p>
          <w:p>
            <w:pPr>
              <w:pStyle w:val="TableParagraph"/>
              <w:spacing w:before="5"/>
              <w:jc w:val="left"/>
              <w:rPr>
                <w:sz w:val="13"/>
              </w:rPr>
            </w:pPr>
          </w:p>
          <w:p>
            <w:pPr>
              <w:pStyle w:val="TableParagraph"/>
              <w:ind w:left="34" w:right="43"/>
              <w:rPr>
                <w:sz w:val="17"/>
              </w:rPr>
            </w:pPr>
            <w:r>
              <w:rPr>
                <w:sz w:val="17"/>
              </w:rPr>
              <w:t>Banco Central de Bolivia  (2012)</w:t>
            </w:r>
          </w:p>
        </w:tc>
      </w:tr>
      <w:tr>
        <w:trPr>
          <w:trHeight w:val="1157" w:hRule="exact"/>
        </w:trPr>
        <w:tc>
          <w:tcPr>
            <w:tcW w:w="2726" w:type="dxa"/>
          </w:tcPr>
          <w:p>
            <w:pPr>
              <w:pStyle w:val="TableParagraph"/>
              <w:jc w:val="left"/>
              <w:rPr>
                <w:sz w:val="16"/>
              </w:rPr>
            </w:pPr>
          </w:p>
          <w:p>
            <w:pPr>
              <w:pStyle w:val="TableParagraph"/>
              <w:jc w:val="left"/>
              <w:rPr>
                <w:sz w:val="16"/>
              </w:rPr>
            </w:pPr>
          </w:p>
          <w:p>
            <w:pPr>
              <w:pStyle w:val="TableParagraph"/>
              <w:spacing w:before="111"/>
              <w:ind w:left="21"/>
              <w:jc w:val="left"/>
              <w:rPr>
                <w:sz w:val="17"/>
              </w:rPr>
            </w:pPr>
            <w:r>
              <w:rPr>
                <w:sz w:val="17"/>
              </w:rPr>
              <w:t>Balance  primario  fiscal (total)</w:t>
            </w:r>
          </w:p>
        </w:tc>
        <w:tc>
          <w:tcPr>
            <w:tcW w:w="3711" w:type="dxa"/>
          </w:tcPr>
          <w:p>
            <w:pPr>
              <w:pStyle w:val="TableParagraph"/>
              <w:spacing w:before="10"/>
              <w:jc w:val="left"/>
              <w:rPr>
                <w:sz w:val="21"/>
              </w:rPr>
            </w:pPr>
          </w:p>
          <w:p>
            <w:pPr>
              <w:pStyle w:val="TableParagraph"/>
              <w:spacing w:line="278" w:lineRule="auto"/>
              <w:ind w:left="21" w:right="263"/>
              <w:jc w:val="both"/>
              <w:rPr>
                <w:sz w:val="17"/>
              </w:rPr>
            </w:pPr>
            <w:r>
              <w:rPr>
                <w:sz w:val="17"/>
              </w:rPr>
              <w:t>Se </w:t>
            </w:r>
            <w:r>
              <w:rPr>
                <w:spacing w:val="-8"/>
                <w:sz w:val="17"/>
              </w:rPr>
              <w:t>suma </w:t>
            </w:r>
            <w:r>
              <w:rPr>
                <w:sz w:val="17"/>
              </w:rPr>
              <w:t>al </w:t>
            </w:r>
            <w:r>
              <w:rPr>
                <w:spacing w:val="-5"/>
                <w:sz w:val="17"/>
              </w:rPr>
              <w:t>balance </w:t>
            </w:r>
            <w:r>
              <w:rPr>
                <w:spacing w:val="-7"/>
                <w:sz w:val="17"/>
              </w:rPr>
              <w:t>fiscal </w:t>
            </w:r>
            <w:r>
              <w:rPr>
                <w:spacing w:val="-6"/>
                <w:sz w:val="17"/>
              </w:rPr>
              <w:t>los </w:t>
            </w:r>
            <w:r>
              <w:rPr>
                <w:spacing w:val="-4"/>
                <w:sz w:val="17"/>
              </w:rPr>
              <w:t>gastos </w:t>
            </w:r>
            <w:r>
              <w:rPr>
                <w:spacing w:val="-8"/>
                <w:sz w:val="17"/>
              </w:rPr>
              <w:t>financieros </w:t>
            </w:r>
            <w:r>
              <w:rPr>
                <w:sz w:val="17"/>
              </w:rPr>
              <w:t>de </w:t>
            </w:r>
            <w:r>
              <w:rPr>
                <w:spacing w:val="-8"/>
                <w:sz w:val="17"/>
              </w:rPr>
              <w:t>la </w:t>
            </w:r>
            <w:r>
              <w:rPr>
                <w:spacing w:val="-3"/>
                <w:sz w:val="17"/>
              </w:rPr>
              <w:t>deuda </w:t>
            </w:r>
            <w:r>
              <w:rPr>
                <w:spacing w:val="-7"/>
                <w:sz w:val="17"/>
              </w:rPr>
              <w:t>pública </w:t>
            </w:r>
            <w:r>
              <w:rPr>
                <w:sz w:val="17"/>
              </w:rPr>
              <w:t>y </w:t>
            </w:r>
            <w:r>
              <w:rPr>
                <w:spacing w:val="-3"/>
                <w:sz w:val="17"/>
              </w:rPr>
              <w:t>está expresado </w:t>
            </w:r>
            <w:r>
              <w:rPr>
                <w:sz w:val="17"/>
              </w:rPr>
              <w:t>en </w:t>
            </w:r>
            <w:r>
              <w:rPr>
                <w:spacing w:val="-7"/>
                <w:sz w:val="17"/>
              </w:rPr>
              <w:t>términos </w:t>
            </w:r>
            <w:r>
              <w:rPr>
                <w:sz w:val="17"/>
              </w:rPr>
              <w:t>del PIB </w:t>
            </w:r>
            <w:r>
              <w:rPr>
                <w:spacing w:val="-5"/>
                <w:sz w:val="17"/>
              </w:rPr>
              <w:t>real. </w:t>
            </w:r>
            <w:r>
              <w:rPr>
                <w:sz w:val="17"/>
              </w:rPr>
              <w:t>Cada </w:t>
            </w:r>
            <w:r>
              <w:rPr>
                <w:spacing w:val="-7"/>
                <w:sz w:val="17"/>
              </w:rPr>
              <w:t>elemento </w:t>
            </w:r>
            <w:r>
              <w:rPr>
                <w:sz w:val="17"/>
              </w:rPr>
              <w:t>se </w:t>
            </w:r>
            <w:r>
              <w:rPr>
                <w:spacing w:val="-5"/>
                <w:sz w:val="17"/>
              </w:rPr>
              <w:t>considera </w:t>
            </w:r>
            <w:r>
              <w:rPr>
                <w:sz w:val="17"/>
              </w:rPr>
              <w:t>en </w:t>
            </w:r>
            <w:r>
              <w:rPr>
                <w:spacing w:val="-7"/>
                <w:sz w:val="17"/>
              </w:rPr>
              <w:t>términos   </w:t>
            </w:r>
            <w:r>
              <w:rPr>
                <w:spacing w:val="-5"/>
                <w:sz w:val="17"/>
              </w:rPr>
              <w:t>reales.</w:t>
            </w:r>
          </w:p>
        </w:tc>
        <w:tc>
          <w:tcPr>
            <w:tcW w:w="2391" w:type="dxa"/>
          </w:tcPr>
          <w:p>
            <w:pPr>
              <w:pStyle w:val="TableParagraph"/>
              <w:jc w:val="left"/>
              <w:rPr>
                <w:sz w:val="16"/>
              </w:rPr>
            </w:pPr>
          </w:p>
          <w:p>
            <w:pPr>
              <w:pStyle w:val="TableParagraph"/>
              <w:jc w:val="left"/>
              <w:rPr>
                <w:sz w:val="16"/>
              </w:rPr>
            </w:pPr>
          </w:p>
          <w:p>
            <w:pPr>
              <w:pStyle w:val="TableParagraph"/>
              <w:spacing w:before="111"/>
              <w:ind w:left="34" w:right="43"/>
              <w:rPr>
                <w:sz w:val="17"/>
              </w:rPr>
            </w:pPr>
            <w:r>
              <w:rPr>
                <w:sz w:val="17"/>
              </w:rPr>
              <w:t>Banco Central de Bolivia  (2012)</w:t>
            </w:r>
          </w:p>
        </w:tc>
      </w:tr>
      <w:tr>
        <w:trPr>
          <w:trHeight w:val="1157" w:hRule="exact"/>
        </w:trPr>
        <w:tc>
          <w:tcPr>
            <w:tcW w:w="2726" w:type="dxa"/>
          </w:tcPr>
          <w:p>
            <w:pPr>
              <w:pStyle w:val="TableParagraph"/>
              <w:jc w:val="left"/>
              <w:rPr>
                <w:sz w:val="16"/>
              </w:rPr>
            </w:pPr>
          </w:p>
          <w:p>
            <w:pPr>
              <w:pStyle w:val="TableParagraph"/>
              <w:jc w:val="left"/>
              <w:rPr>
                <w:sz w:val="16"/>
              </w:rPr>
            </w:pPr>
          </w:p>
          <w:p>
            <w:pPr>
              <w:pStyle w:val="TableParagraph"/>
              <w:spacing w:before="111"/>
              <w:ind w:left="21"/>
              <w:jc w:val="left"/>
              <w:rPr>
                <w:sz w:val="17"/>
              </w:rPr>
            </w:pPr>
            <w:r>
              <w:rPr>
                <w:sz w:val="17"/>
              </w:rPr>
              <w:t>Balance  fiscal global</w:t>
            </w:r>
          </w:p>
        </w:tc>
        <w:tc>
          <w:tcPr>
            <w:tcW w:w="3711" w:type="dxa"/>
          </w:tcPr>
          <w:p>
            <w:pPr>
              <w:pStyle w:val="TableParagraph"/>
              <w:spacing w:before="10"/>
              <w:jc w:val="left"/>
              <w:rPr>
                <w:sz w:val="21"/>
              </w:rPr>
            </w:pPr>
          </w:p>
          <w:p>
            <w:pPr>
              <w:pStyle w:val="TableParagraph"/>
              <w:spacing w:line="278" w:lineRule="auto" w:before="1"/>
              <w:ind w:left="21" w:right="104"/>
              <w:jc w:val="left"/>
              <w:rPr>
                <w:sz w:val="17"/>
              </w:rPr>
            </w:pPr>
            <w:r>
              <w:rPr>
                <w:spacing w:val="-5"/>
                <w:sz w:val="17"/>
              </w:rPr>
              <w:t>Es </w:t>
            </w:r>
            <w:r>
              <w:rPr>
                <w:sz w:val="17"/>
              </w:rPr>
              <w:t>el </w:t>
            </w:r>
            <w:r>
              <w:rPr>
                <w:spacing w:val="-5"/>
                <w:sz w:val="17"/>
              </w:rPr>
              <w:t>resultado </w:t>
            </w:r>
            <w:r>
              <w:rPr>
                <w:spacing w:val="-7"/>
                <w:sz w:val="17"/>
              </w:rPr>
              <w:t>fiscal </w:t>
            </w:r>
            <w:r>
              <w:rPr>
                <w:spacing w:val="-3"/>
                <w:sz w:val="17"/>
              </w:rPr>
              <w:t>total </w:t>
            </w:r>
            <w:r>
              <w:rPr>
                <w:sz w:val="17"/>
              </w:rPr>
              <w:t>del SPNP, </w:t>
            </w:r>
            <w:r>
              <w:rPr>
                <w:spacing w:val="-3"/>
                <w:sz w:val="17"/>
              </w:rPr>
              <w:t>expresado </w:t>
            </w:r>
            <w:r>
              <w:rPr>
                <w:sz w:val="17"/>
              </w:rPr>
              <w:t>en </w:t>
            </w:r>
            <w:r>
              <w:rPr>
                <w:spacing w:val="-7"/>
                <w:sz w:val="17"/>
              </w:rPr>
              <w:t>términos </w:t>
            </w:r>
            <w:r>
              <w:rPr>
                <w:sz w:val="17"/>
              </w:rPr>
              <w:t>del PIB </w:t>
            </w:r>
            <w:r>
              <w:rPr>
                <w:spacing w:val="-5"/>
                <w:sz w:val="17"/>
              </w:rPr>
              <w:t>real. </w:t>
            </w:r>
            <w:r>
              <w:rPr>
                <w:sz w:val="17"/>
              </w:rPr>
              <w:t>Cada </w:t>
            </w:r>
            <w:r>
              <w:rPr>
                <w:spacing w:val="-7"/>
                <w:sz w:val="17"/>
              </w:rPr>
              <w:t>elemento </w:t>
            </w:r>
            <w:r>
              <w:rPr>
                <w:sz w:val="17"/>
              </w:rPr>
              <w:t>se </w:t>
            </w:r>
            <w:r>
              <w:rPr>
                <w:spacing w:val="-5"/>
                <w:sz w:val="17"/>
              </w:rPr>
              <w:t>considera </w:t>
            </w:r>
            <w:r>
              <w:rPr>
                <w:sz w:val="17"/>
              </w:rPr>
              <w:t>en </w:t>
            </w:r>
            <w:r>
              <w:rPr>
                <w:spacing w:val="-7"/>
                <w:sz w:val="17"/>
              </w:rPr>
              <w:t>términos </w:t>
            </w:r>
            <w:r>
              <w:rPr>
                <w:spacing w:val="-5"/>
                <w:sz w:val="17"/>
              </w:rPr>
              <w:t>reales.</w:t>
            </w:r>
          </w:p>
        </w:tc>
        <w:tc>
          <w:tcPr>
            <w:tcW w:w="2391" w:type="dxa"/>
          </w:tcPr>
          <w:p>
            <w:pPr>
              <w:pStyle w:val="TableParagraph"/>
              <w:jc w:val="left"/>
              <w:rPr>
                <w:sz w:val="16"/>
              </w:rPr>
            </w:pPr>
          </w:p>
          <w:p>
            <w:pPr>
              <w:pStyle w:val="TableParagraph"/>
              <w:jc w:val="left"/>
              <w:rPr>
                <w:sz w:val="16"/>
              </w:rPr>
            </w:pPr>
          </w:p>
          <w:p>
            <w:pPr>
              <w:pStyle w:val="TableParagraph"/>
              <w:spacing w:before="111"/>
              <w:ind w:left="34" w:right="43"/>
              <w:rPr>
                <w:sz w:val="17"/>
              </w:rPr>
            </w:pPr>
            <w:r>
              <w:rPr>
                <w:sz w:val="17"/>
              </w:rPr>
              <w:t>Banco Central de Bolivia  (2012)</w:t>
            </w:r>
          </w:p>
        </w:tc>
      </w:tr>
      <w:tr>
        <w:trPr>
          <w:trHeight w:val="1406" w:hRule="exact"/>
        </w:trPr>
        <w:tc>
          <w:tcPr>
            <w:tcW w:w="2726" w:type="dxa"/>
          </w:tcPr>
          <w:p>
            <w:pPr>
              <w:pStyle w:val="TableParagraph"/>
              <w:jc w:val="left"/>
              <w:rPr>
                <w:sz w:val="16"/>
              </w:rPr>
            </w:pPr>
          </w:p>
          <w:p>
            <w:pPr>
              <w:pStyle w:val="TableParagraph"/>
              <w:jc w:val="left"/>
              <w:rPr>
                <w:sz w:val="16"/>
              </w:rPr>
            </w:pPr>
          </w:p>
          <w:p>
            <w:pPr>
              <w:pStyle w:val="TableParagraph"/>
              <w:jc w:val="left"/>
              <w:rPr>
                <w:sz w:val="20"/>
              </w:rPr>
            </w:pPr>
          </w:p>
          <w:p>
            <w:pPr>
              <w:pStyle w:val="TableParagraph"/>
              <w:ind w:left="21"/>
              <w:jc w:val="left"/>
              <w:rPr>
                <w:sz w:val="17"/>
              </w:rPr>
            </w:pPr>
            <w:r>
              <w:rPr>
                <w:sz w:val="17"/>
              </w:rPr>
              <w:t>Deuda pública</w:t>
            </w:r>
          </w:p>
        </w:tc>
        <w:tc>
          <w:tcPr>
            <w:tcW w:w="3711" w:type="dxa"/>
          </w:tcPr>
          <w:p>
            <w:pPr>
              <w:pStyle w:val="TableParagraph"/>
              <w:spacing w:before="6"/>
              <w:jc w:val="left"/>
              <w:rPr>
                <w:sz w:val="12"/>
              </w:rPr>
            </w:pPr>
          </w:p>
          <w:p>
            <w:pPr>
              <w:pStyle w:val="TableParagraph"/>
              <w:spacing w:line="278" w:lineRule="auto"/>
              <w:ind w:left="21" w:right="64"/>
              <w:jc w:val="both"/>
              <w:rPr>
                <w:sz w:val="17"/>
              </w:rPr>
            </w:pPr>
            <w:r>
              <w:rPr>
                <w:spacing w:val="-5"/>
                <w:sz w:val="17"/>
              </w:rPr>
              <w:t>Es </w:t>
            </w:r>
            <w:r>
              <w:rPr>
                <w:sz w:val="17"/>
              </w:rPr>
              <w:t>el </w:t>
            </w:r>
            <w:r>
              <w:rPr>
                <w:spacing w:val="-8"/>
                <w:sz w:val="17"/>
              </w:rPr>
              <w:t>logaritmo </w:t>
            </w:r>
            <w:r>
              <w:rPr>
                <w:sz w:val="17"/>
              </w:rPr>
              <w:t>de </w:t>
            </w:r>
            <w:r>
              <w:rPr>
                <w:spacing w:val="-8"/>
                <w:sz w:val="17"/>
              </w:rPr>
              <w:t>la </w:t>
            </w:r>
            <w:r>
              <w:rPr>
                <w:spacing w:val="-3"/>
                <w:sz w:val="17"/>
              </w:rPr>
              <w:t>deuda </w:t>
            </w:r>
            <w:r>
              <w:rPr>
                <w:spacing w:val="-7"/>
                <w:sz w:val="17"/>
              </w:rPr>
              <w:t>interna </w:t>
            </w:r>
            <w:r>
              <w:rPr>
                <w:sz w:val="17"/>
              </w:rPr>
              <w:t>y </w:t>
            </w:r>
            <w:r>
              <w:rPr>
                <w:spacing w:val="-5"/>
                <w:sz w:val="17"/>
              </w:rPr>
              <w:t>externa </w:t>
            </w:r>
            <w:r>
              <w:rPr>
                <w:sz w:val="17"/>
              </w:rPr>
              <w:t>del sector </w:t>
            </w:r>
            <w:r>
              <w:rPr>
                <w:spacing w:val="-7"/>
                <w:sz w:val="17"/>
              </w:rPr>
              <w:t>público </w:t>
            </w:r>
            <w:r>
              <w:rPr>
                <w:spacing w:val="-6"/>
                <w:sz w:val="17"/>
              </w:rPr>
              <w:t>no </w:t>
            </w:r>
            <w:r>
              <w:rPr>
                <w:spacing w:val="-8"/>
                <w:sz w:val="17"/>
              </w:rPr>
              <w:t>financiero </w:t>
            </w:r>
            <w:r>
              <w:rPr>
                <w:sz w:val="17"/>
              </w:rPr>
              <w:t>en </w:t>
            </w:r>
            <w:r>
              <w:rPr>
                <w:spacing w:val="-7"/>
                <w:sz w:val="17"/>
              </w:rPr>
              <w:t>términos </w:t>
            </w:r>
            <w:r>
              <w:rPr>
                <w:sz w:val="17"/>
              </w:rPr>
              <w:t>del PIB </w:t>
            </w:r>
            <w:r>
              <w:rPr>
                <w:spacing w:val="-3"/>
                <w:sz w:val="17"/>
              </w:rPr>
              <w:t>(se </w:t>
            </w:r>
            <w:r>
              <w:rPr>
                <w:spacing w:val="-8"/>
                <w:sz w:val="17"/>
              </w:rPr>
              <w:t>excluye </w:t>
            </w:r>
            <w:r>
              <w:rPr>
                <w:sz w:val="17"/>
              </w:rPr>
              <w:t>el </w:t>
            </w:r>
            <w:r>
              <w:rPr>
                <w:spacing w:val="-3"/>
                <w:sz w:val="17"/>
              </w:rPr>
              <w:t>banco </w:t>
            </w:r>
            <w:r>
              <w:rPr>
                <w:spacing w:val="-4"/>
                <w:sz w:val="17"/>
              </w:rPr>
              <w:t>central </w:t>
            </w:r>
            <w:r>
              <w:rPr>
                <w:sz w:val="17"/>
              </w:rPr>
              <w:t>y se </w:t>
            </w:r>
            <w:r>
              <w:rPr>
                <w:spacing w:val="-5"/>
                <w:sz w:val="17"/>
              </w:rPr>
              <w:t>incorpora </w:t>
            </w:r>
            <w:r>
              <w:rPr>
                <w:spacing w:val="-8"/>
                <w:sz w:val="17"/>
              </w:rPr>
              <w:t>la </w:t>
            </w:r>
            <w:r>
              <w:rPr>
                <w:spacing w:val="-3"/>
                <w:sz w:val="17"/>
              </w:rPr>
              <w:t>deuda </w:t>
            </w:r>
            <w:r>
              <w:rPr>
                <w:sz w:val="17"/>
              </w:rPr>
              <w:t>con el </w:t>
            </w:r>
            <w:r>
              <w:rPr>
                <w:spacing w:val="-7"/>
                <w:sz w:val="17"/>
              </w:rPr>
              <w:t>sistema </w:t>
            </w:r>
            <w:r>
              <w:rPr>
                <w:sz w:val="17"/>
              </w:rPr>
              <w:t>de </w:t>
            </w:r>
            <w:r>
              <w:rPr>
                <w:spacing w:val="-5"/>
                <w:sz w:val="17"/>
              </w:rPr>
              <w:t>pensiones).   La </w:t>
            </w:r>
            <w:r>
              <w:rPr>
                <w:spacing w:val="-4"/>
                <w:sz w:val="17"/>
              </w:rPr>
              <w:t>Deuda </w:t>
            </w:r>
            <w:r>
              <w:rPr>
                <w:spacing w:val="-7"/>
                <w:sz w:val="17"/>
              </w:rPr>
              <w:t>pública </w:t>
            </w:r>
            <w:r>
              <w:rPr>
                <w:spacing w:val="28"/>
                <w:sz w:val="17"/>
              </w:rPr>
              <w:t> </w:t>
            </w:r>
            <w:r>
              <w:rPr>
                <w:spacing w:val="-3"/>
                <w:sz w:val="17"/>
              </w:rPr>
              <w:t>está </w:t>
            </w:r>
            <w:r>
              <w:rPr>
                <w:spacing w:val="-6"/>
                <w:sz w:val="17"/>
              </w:rPr>
              <w:t>desestacionalizada </w:t>
            </w:r>
            <w:r>
              <w:rPr>
                <w:sz w:val="17"/>
              </w:rPr>
              <w:t>y  </w:t>
            </w:r>
            <w:r>
              <w:rPr>
                <w:spacing w:val="-3"/>
                <w:sz w:val="17"/>
              </w:rPr>
              <w:t>expresada </w:t>
            </w:r>
            <w:r>
              <w:rPr>
                <w:sz w:val="17"/>
              </w:rPr>
              <w:t>en </w:t>
            </w:r>
            <w:r>
              <w:rPr>
                <w:spacing w:val="-7"/>
                <w:sz w:val="17"/>
              </w:rPr>
              <w:t>términos </w:t>
            </w:r>
            <w:r>
              <w:rPr>
                <w:sz w:val="17"/>
              </w:rPr>
              <w:t>del PIB</w:t>
            </w:r>
            <w:r>
              <w:rPr>
                <w:spacing w:val="2"/>
                <w:sz w:val="17"/>
              </w:rPr>
              <w:t> </w:t>
            </w:r>
            <w:r>
              <w:rPr>
                <w:spacing w:val="-5"/>
                <w:sz w:val="17"/>
              </w:rPr>
              <w:t>real.</w:t>
            </w:r>
          </w:p>
        </w:tc>
        <w:tc>
          <w:tcPr>
            <w:tcW w:w="2391" w:type="dxa"/>
          </w:tcPr>
          <w:p>
            <w:pPr>
              <w:pStyle w:val="TableParagraph"/>
              <w:jc w:val="left"/>
              <w:rPr>
                <w:sz w:val="16"/>
              </w:rPr>
            </w:pPr>
          </w:p>
          <w:p>
            <w:pPr>
              <w:pStyle w:val="TableParagraph"/>
              <w:jc w:val="left"/>
              <w:rPr>
                <w:sz w:val="16"/>
              </w:rPr>
            </w:pPr>
          </w:p>
          <w:p>
            <w:pPr>
              <w:pStyle w:val="TableParagraph"/>
              <w:jc w:val="left"/>
              <w:rPr>
                <w:sz w:val="20"/>
              </w:rPr>
            </w:pPr>
          </w:p>
          <w:p>
            <w:pPr>
              <w:pStyle w:val="TableParagraph"/>
              <w:ind w:left="34" w:right="43"/>
              <w:rPr>
                <w:sz w:val="17"/>
              </w:rPr>
            </w:pPr>
            <w:r>
              <w:rPr>
                <w:sz w:val="17"/>
              </w:rPr>
              <w:t>Banco Central de Bolivia  (2012)</w:t>
            </w:r>
          </w:p>
        </w:tc>
      </w:tr>
      <w:tr>
        <w:trPr>
          <w:trHeight w:val="2099" w:hRule="exact"/>
        </w:trPr>
        <w:tc>
          <w:tcPr>
            <w:tcW w:w="2726" w:type="dxa"/>
          </w:tcPr>
          <w:p>
            <w:pPr>
              <w:pStyle w:val="TableParagraph"/>
              <w:jc w:val="left"/>
              <w:rPr>
                <w:sz w:val="16"/>
              </w:rPr>
            </w:pPr>
          </w:p>
          <w:p>
            <w:pPr>
              <w:pStyle w:val="TableParagraph"/>
              <w:jc w:val="left"/>
              <w:rPr>
                <w:sz w:val="16"/>
              </w:rPr>
            </w:pPr>
          </w:p>
          <w:p>
            <w:pPr>
              <w:pStyle w:val="TableParagraph"/>
              <w:jc w:val="left"/>
              <w:rPr>
                <w:sz w:val="16"/>
              </w:rPr>
            </w:pPr>
          </w:p>
          <w:p>
            <w:pPr>
              <w:pStyle w:val="TableParagraph"/>
              <w:jc w:val="left"/>
              <w:rPr>
                <w:sz w:val="16"/>
              </w:rPr>
            </w:pPr>
          </w:p>
          <w:p>
            <w:pPr>
              <w:pStyle w:val="TableParagraph"/>
              <w:spacing w:before="1"/>
              <w:jc w:val="left"/>
              <w:rPr>
                <w:sz w:val="18"/>
              </w:rPr>
            </w:pPr>
          </w:p>
          <w:p>
            <w:pPr>
              <w:pStyle w:val="TableParagraph"/>
              <w:ind w:left="21"/>
              <w:jc w:val="left"/>
              <w:rPr>
                <w:sz w:val="17"/>
              </w:rPr>
            </w:pPr>
            <w:r>
              <w:rPr>
                <w:sz w:val="17"/>
              </w:rPr>
              <w:t>Brecha  del producto</w:t>
            </w:r>
          </w:p>
        </w:tc>
        <w:tc>
          <w:tcPr>
            <w:tcW w:w="3711" w:type="dxa"/>
          </w:tcPr>
          <w:p>
            <w:pPr>
              <w:pStyle w:val="TableParagraph"/>
              <w:spacing w:before="10"/>
              <w:jc w:val="left"/>
              <w:rPr>
                <w:sz w:val="22"/>
              </w:rPr>
            </w:pPr>
          </w:p>
          <w:p>
            <w:pPr>
              <w:pStyle w:val="TableParagraph"/>
              <w:spacing w:line="278" w:lineRule="auto"/>
              <w:ind w:left="21" w:right="43"/>
              <w:jc w:val="left"/>
              <w:rPr>
                <w:sz w:val="17"/>
              </w:rPr>
            </w:pPr>
            <w:r>
              <w:rPr>
                <w:spacing w:val="-5"/>
                <w:sz w:val="17"/>
              </w:rPr>
              <w:t>Es </w:t>
            </w:r>
            <w:r>
              <w:rPr>
                <w:spacing w:val="-8"/>
                <w:sz w:val="17"/>
              </w:rPr>
              <w:t>la </w:t>
            </w:r>
            <w:r>
              <w:rPr>
                <w:spacing w:val="-7"/>
                <w:sz w:val="17"/>
              </w:rPr>
              <w:t>diferencia </w:t>
            </w:r>
            <w:r>
              <w:rPr>
                <w:spacing w:val="-5"/>
                <w:sz w:val="17"/>
              </w:rPr>
              <w:t>entre </w:t>
            </w:r>
            <w:r>
              <w:rPr>
                <w:sz w:val="17"/>
              </w:rPr>
              <w:t>el PIB </w:t>
            </w:r>
            <w:r>
              <w:rPr>
                <w:spacing w:val="-3"/>
                <w:sz w:val="17"/>
              </w:rPr>
              <w:t>observado </w:t>
            </w:r>
            <w:r>
              <w:rPr>
                <w:sz w:val="17"/>
              </w:rPr>
              <w:t>y el PIB </w:t>
            </w:r>
            <w:r>
              <w:rPr>
                <w:spacing w:val="-5"/>
                <w:sz w:val="17"/>
              </w:rPr>
              <w:t>potencial </w:t>
            </w:r>
            <w:r>
              <w:rPr>
                <w:spacing w:val="-8"/>
                <w:sz w:val="17"/>
              </w:rPr>
              <w:t>dividido </w:t>
            </w:r>
            <w:r>
              <w:rPr>
                <w:sz w:val="17"/>
              </w:rPr>
              <w:t>por el PIB </w:t>
            </w:r>
            <w:r>
              <w:rPr>
                <w:spacing w:val="-5"/>
                <w:sz w:val="17"/>
              </w:rPr>
              <w:t>potencial </w:t>
            </w:r>
            <w:r>
              <w:rPr>
                <w:sz w:val="17"/>
              </w:rPr>
              <w:t>- </w:t>
            </w:r>
            <w:r>
              <w:rPr>
                <w:spacing w:val="-3"/>
                <w:sz w:val="17"/>
              </w:rPr>
              <w:t>después </w:t>
            </w:r>
            <w:r>
              <w:rPr>
                <w:sz w:val="17"/>
              </w:rPr>
              <w:t>de </w:t>
            </w:r>
            <w:r>
              <w:rPr>
                <w:spacing w:val="-4"/>
                <w:sz w:val="17"/>
              </w:rPr>
              <w:t>ajustarse </w:t>
            </w:r>
            <w:r>
              <w:rPr>
                <w:spacing w:val="-7"/>
                <w:sz w:val="17"/>
              </w:rPr>
              <w:t>estacionalmente </w:t>
            </w:r>
            <w:r>
              <w:rPr>
                <w:spacing w:val="-8"/>
                <w:sz w:val="17"/>
              </w:rPr>
              <w:t>la </w:t>
            </w:r>
            <w:r>
              <w:rPr>
                <w:spacing w:val="-5"/>
                <w:sz w:val="17"/>
              </w:rPr>
              <w:t>serie </w:t>
            </w:r>
            <w:r>
              <w:rPr>
                <w:spacing w:val="3"/>
                <w:sz w:val="17"/>
              </w:rPr>
              <w:t>-. </w:t>
            </w:r>
            <w:r>
              <w:rPr>
                <w:sz w:val="17"/>
              </w:rPr>
              <w:t>Se </w:t>
            </w:r>
            <w:r>
              <w:rPr>
                <w:spacing w:val="-6"/>
                <w:sz w:val="17"/>
              </w:rPr>
              <w:t>empleó </w:t>
            </w:r>
            <w:r>
              <w:rPr>
                <w:spacing w:val="-4"/>
                <w:sz w:val="17"/>
              </w:rPr>
              <w:t>HP </w:t>
            </w:r>
            <w:r>
              <w:rPr>
                <w:sz w:val="17"/>
              </w:rPr>
              <w:t>para </w:t>
            </w:r>
            <w:r>
              <w:rPr>
                <w:spacing w:val="-3"/>
                <w:sz w:val="17"/>
              </w:rPr>
              <w:t>obtener </w:t>
            </w:r>
            <w:r>
              <w:rPr>
                <w:sz w:val="17"/>
              </w:rPr>
              <w:t>el PIB </w:t>
            </w:r>
            <w:r>
              <w:rPr>
                <w:spacing w:val="-5"/>
                <w:sz w:val="17"/>
              </w:rPr>
              <w:t>potencial </w:t>
            </w:r>
            <w:r>
              <w:rPr>
                <w:sz w:val="17"/>
              </w:rPr>
              <w:t>con base a </w:t>
            </w:r>
            <w:r>
              <w:rPr>
                <w:spacing w:val="-8"/>
                <w:sz w:val="17"/>
              </w:rPr>
              <w:t>la </w:t>
            </w:r>
            <w:r>
              <w:rPr>
                <w:spacing w:val="-5"/>
                <w:sz w:val="17"/>
              </w:rPr>
              <w:t>descomposición </w:t>
            </w:r>
            <w:r>
              <w:rPr>
                <w:sz w:val="17"/>
              </w:rPr>
              <w:t>del </w:t>
            </w:r>
            <w:r>
              <w:rPr>
                <w:spacing w:val="-4"/>
                <w:sz w:val="17"/>
              </w:rPr>
              <w:t>período </w:t>
            </w:r>
            <w:r>
              <w:rPr>
                <w:sz w:val="17"/>
              </w:rPr>
              <w:t>1990(T1) - 2012(T4). </w:t>
            </w:r>
            <w:r>
              <w:rPr>
                <w:spacing w:val="-5"/>
                <w:sz w:val="17"/>
              </w:rPr>
              <w:t>En </w:t>
            </w:r>
            <w:r>
              <w:rPr>
                <w:spacing w:val="-8"/>
                <w:sz w:val="17"/>
              </w:rPr>
              <w:t>la </w:t>
            </w:r>
            <w:r>
              <w:rPr>
                <w:spacing w:val="-5"/>
                <w:sz w:val="17"/>
              </w:rPr>
              <w:t>correlación </w:t>
            </w:r>
            <w:r>
              <w:rPr>
                <w:sz w:val="17"/>
              </w:rPr>
              <w:t>de </w:t>
            </w:r>
            <w:r>
              <w:rPr>
                <w:spacing w:val="-5"/>
                <w:sz w:val="17"/>
              </w:rPr>
              <w:t>componentes </w:t>
            </w:r>
            <w:r>
              <w:rPr>
                <w:spacing w:val="-7"/>
                <w:sz w:val="17"/>
              </w:rPr>
              <w:t>cíclicos </w:t>
            </w:r>
            <w:r>
              <w:rPr>
                <w:sz w:val="17"/>
              </w:rPr>
              <w:t>se </w:t>
            </w:r>
            <w:r>
              <w:rPr>
                <w:spacing w:val="-5"/>
                <w:sz w:val="17"/>
              </w:rPr>
              <w:t>consideró </w:t>
            </w:r>
            <w:r>
              <w:rPr>
                <w:sz w:val="17"/>
              </w:rPr>
              <w:t>el </w:t>
            </w:r>
            <w:r>
              <w:rPr>
                <w:spacing w:val="-4"/>
                <w:sz w:val="17"/>
              </w:rPr>
              <w:t>período  </w:t>
            </w:r>
            <w:r>
              <w:rPr>
                <w:sz w:val="17"/>
              </w:rPr>
              <w:t>2003(T1)</w:t>
            </w:r>
          </w:p>
          <w:p>
            <w:pPr>
              <w:pStyle w:val="TableParagraph"/>
              <w:spacing w:before="1"/>
              <w:ind w:left="21" w:right="499"/>
              <w:jc w:val="left"/>
              <w:rPr>
                <w:sz w:val="17"/>
              </w:rPr>
            </w:pPr>
            <w:r>
              <w:rPr>
                <w:sz w:val="17"/>
              </w:rPr>
              <w:t>- 2011(T2).</w:t>
            </w:r>
          </w:p>
        </w:tc>
        <w:tc>
          <w:tcPr>
            <w:tcW w:w="2391" w:type="dxa"/>
          </w:tcPr>
          <w:p>
            <w:pPr>
              <w:pStyle w:val="TableParagraph"/>
              <w:jc w:val="left"/>
              <w:rPr>
                <w:sz w:val="16"/>
              </w:rPr>
            </w:pPr>
          </w:p>
          <w:p>
            <w:pPr>
              <w:pStyle w:val="TableParagraph"/>
              <w:jc w:val="left"/>
              <w:rPr>
                <w:sz w:val="16"/>
              </w:rPr>
            </w:pPr>
          </w:p>
          <w:p>
            <w:pPr>
              <w:pStyle w:val="TableParagraph"/>
              <w:jc w:val="left"/>
              <w:rPr>
                <w:sz w:val="16"/>
              </w:rPr>
            </w:pPr>
          </w:p>
          <w:p>
            <w:pPr>
              <w:pStyle w:val="TableParagraph"/>
              <w:jc w:val="left"/>
              <w:rPr>
                <w:sz w:val="16"/>
              </w:rPr>
            </w:pPr>
          </w:p>
          <w:p>
            <w:pPr>
              <w:pStyle w:val="TableParagraph"/>
              <w:spacing w:line="278" w:lineRule="auto" w:before="100"/>
              <w:ind w:left="962" w:hanging="855"/>
              <w:jc w:val="left"/>
              <w:rPr>
                <w:sz w:val="17"/>
              </w:rPr>
            </w:pPr>
            <w:r>
              <w:rPr>
                <w:spacing w:val="-7"/>
                <w:sz w:val="17"/>
              </w:rPr>
              <w:t>Instituto </w:t>
            </w:r>
            <w:r>
              <w:rPr>
                <w:spacing w:val="-4"/>
                <w:sz w:val="17"/>
              </w:rPr>
              <w:t>Nacional </w:t>
            </w:r>
            <w:r>
              <w:rPr>
                <w:sz w:val="17"/>
              </w:rPr>
              <w:t>de </w:t>
            </w:r>
            <w:r>
              <w:rPr>
                <w:spacing w:val="-6"/>
                <w:sz w:val="17"/>
              </w:rPr>
              <w:t>Estadísticas </w:t>
            </w:r>
            <w:r>
              <w:rPr>
                <w:sz w:val="17"/>
              </w:rPr>
              <w:t>(2013)</w:t>
            </w:r>
          </w:p>
        </w:tc>
      </w:tr>
    </w:tbl>
    <w:p>
      <w:pPr>
        <w:spacing w:after="0" w:line="278" w:lineRule="auto"/>
        <w:jc w:val="left"/>
        <w:rPr>
          <w:sz w:val="17"/>
        </w:rPr>
        <w:sectPr>
          <w:pgSz w:w="12250" w:h="15850"/>
          <w:pgMar w:header="0" w:footer="1037" w:top="1500" w:bottom="1220" w:left="1620" w:right="1560"/>
        </w:sectPr>
      </w:pPr>
    </w:p>
    <w:p>
      <w:pPr>
        <w:pStyle w:val="Heading4"/>
        <w:numPr>
          <w:ilvl w:val="2"/>
          <w:numId w:val="13"/>
        </w:numPr>
        <w:tabs>
          <w:tab w:pos="1505" w:val="left" w:leader="none"/>
          <w:tab w:pos="1506" w:val="left" w:leader="none"/>
        </w:tabs>
        <w:spacing w:line="240" w:lineRule="auto" w:before="55" w:after="0"/>
        <w:ind w:left="1506" w:right="0" w:hanging="720"/>
        <w:jc w:val="left"/>
      </w:pPr>
      <w:bookmarkStart w:name="_bookmark85" w:id="120"/>
      <w:bookmarkEnd w:id="120"/>
      <w:r>
        <w:rPr>
          <w:b w:val="0"/>
        </w:rPr>
      </w:r>
      <w:bookmarkStart w:name="_bookmark85" w:id="121"/>
      <w:bookmarkEnd w:id="121"/>
      <w:r>
        <w:rPr/>
        <w:t>M</w:t>
      </w:r>
      <w:r>
        <w:rPr/>
        <w:t>etodología</w:t>
      </w:r>
    </w:p>
    <w:p>
      <w:pPr>
        <w:pStyle w:val="BodyText"/>
        <w:rPr>
          <w:b/>
        </w:rPr>
      </w:pPr>
    </w:p>
    <w:p>
      <w:pPr>
        <w:pStyle w:val="ListParagraph"/>
        <w:numPr>
          <w:ilvl w:val="3"/>
          <w:numId w:val="13"/>
        </w:numPr>
        <w:tabs>
          <w:tab w:pos="1314" w:val="left" w:leader="none"/>
        </w:tabs>
        <w:spacing w:line="240" w:lineRule="auto" w:before="0" w:after="0"/>
        <w:ind w:left="1314" w:right="0" w:hanging="360"/>
        <w:jc w:val="left"/>
        <w:rPr>
          <w:i/>
          <w:sz w:val="24"/>
        </w:rPr>
      </w:pPr>
      <w:r>
        <w:rPr>
          <w:i/>
          <w:sz w:val="24"/>
        </w:rPr>
        <w:t>Filtros para series</w:t>
      </w:r>
      <w:r>
        <w:rPr>
          <w:i/>
          <w:spacing w:val="-4"/>
          <w:sz w:val="24"/>
        </w:rPr>
        <w:t> </w:t>
      </w:r>
      <w:r>
        <w:rPr>
          <w:i/>
          <w:sz w:val="24"/>
        </w:rPr>
        <w:t>económicas</w:t>
      </w:r>
    </w:p>
    <w:p>
      <w:pPr>
        <w:pStyle w:val="BodyText"/>
        <w:spacing w:before="8"/>
        <w:rPr>
          <w:i/>
          <w:sz w:val="32"/>
        </w:rPr>
      </w:pPr>
    </w:p>
    <w:p>
      <w:pPr>
        <w:pStyle w:val="BodyText"/>
        <w:spacing w:line="360" w:lineRule="auto" w:before="1"/>
        <w:ind w:left="102" w:right="99" w:firstLine="707"/>
        <w:jc w:val="both"/>
      </w:pPr>
      <w:r>
        <w:rPr/>
        <w:t>Una aproximación preliminar para evaluar la orientación cíclica de la política fiscal de Bolivia consistió en emplear dos filtros estadísticos para obtener los componentes cíclicos de las series: Hodrick &amp; Prescott (1997) [HP] y Christiano &amp; Fitzgerald (2003) [CF]. El propósito es apreciar la consistencia de los resultados en componentes estacionarios (Kydland &amp; Prescott, 1990). El </w:t>
      </w:r>
      <w:r>
        <w:rPr>
          <w:i/>
        </w:rPr>
        <w:t>anexo 3.1 </w:t>
      </w:r>
      <w:r>
        <w:rPr/>
        <w:t>describe las específicaciones metodológicas de cada técnica</w:t>
      </w:r>
      <w:r>
        <w:rPr>
          <w:spacing w:val="-7"/>
        </w:rPr>
        <w:t> </w:t>
      </w:r>
      <w:r>
        <w:rPr/>
        <w:t>considerada.</w:t>
      </w:r>
    </w:p>
    <w:p>
      <w:pPr>
        <w:pStyle w:val="BodyText"/>
        <w:spacing w:line="360" w:lineRule="auto" w:before="4"/>
        <w:ind w:left="102" w:right="100" w:firstLine="707"/>
        <w:jc w:val="both"/>
      </w:pPr>
      <w:r>
        <w:rPr/>
        <w:t>El primer paso fue deflactar las series y aplicar el logaritmo natural para las series consideradas (excepto el balance primario). Se destacionalizaron las series mediante la diferenciación de media móvil y se aplicaron los filtros a cada variable de interés. Finalmente  se correlacionaron las series.</w:t>
      </w:r>
    </w:p>
    <w:p>
      <w:pPr>
        <w:pStyle w:val="BodyText"/>
        <w:spacing w:line="360" w:lineRule="auto" w:before="4"/>
        <w:ind w:left="102" w:right="103" w:firstLine="707"/>
        <w:jc w:val="both"/>
      </w:pPr>
      <w:r>
        <w:rPr/>
        <w:t>Se consideraron los siguientes criterios para evaluar la orientación de la política fiscal con base en  las correlaciones de los componentes cíclicos de las variables:</w:t>
      </w:r>
    </w:p>
    <w:p>
      <w:pPr>
        <w:pStyle w:val="BodyText"/>
        <w:spacing w:before="2"/>
        <w:ind w:left="1282"/>
      </w:pPr>
      <w:bookmarkStart w:name="_bookmark86" w:id="122"/>
      <w:bookmarkEnd w:id="122"/>
      <w:r>
        <w:rPr/>
      </w:r>
      <w:r>
        <w:rPr/>
        <w:t>Cuadro 3. 2: Orientación de la poltíca fiscal mediante correlaciones</w:t>
      </w:r>
    </w:p>
    <w:p>
      <w:pPr>
        <w:spacing w:after="0"/>
        <w:sectPr>
          <w:pgSz w:w="12250" w:h="15850"/>
          <w:pgMar w:header="0" w:footer="1037" w:top="1360" w:bottom="1220" w:left="1600" w:right="1600"/>
        </w:sectPr>
      </w:pPr>
    </w:p>
    <w:p>
      <w:pPr>
        <w:spacing w:before="38"/>
        <w:ind w:left="0" w:right="0" w:firstLine="0"/>
        <w:jc w:val="right"/>
        <w:rPr>
          <w:rFonts w:ascii="Constantia"/>
          <w:sz w:val="23"/>
        </w:rPr>
      </w:pPr>
      <w:r>
        <w:rPr>
          <w:rFonts w:ascii="Constantia"/>
          <w:sz w:val="23"/>
        </w:rPr>
        <w:t>Signo de</w:t>
      </w:r>
    </w:p>
    <w:p>
      <w:pPr>
        <w:spacing w:before="38"/>
        <w:ind w:left="845" w:right="-9" w:firstLine="0"/>
        <w:jc w:val="left"/>
        <w:rPr>
          <w:rFonts w:ascii="Constantia"/>
          <w:sz w:val="23"/>
        </w:rPr>
      </w:pPr>
      <w:r>
        <w:rPr/>
        <w:br w:type="column"/>
      </w:r>
      <w:r>
        <w:rPr>
          <w:rFonts w:ascii="Constantia"/>
          <w:sz w:val="23"/>
        </w:rPr>
        <w:t>Grado de</w:t>
      </w:r>
    </w:p>
    <w:p>
      <w:pPr>
        <w:spacing w:before="38"/>
        <w:ind w:left="573" w:right="0" w:firstLine="0"/>
        <w:jc w:val="left"/>
        <w:rPr>
          <w:rFonts w:ascii="Constantia" w:hAnsi="Constantia"/>
          <w:sz w:val="23"/>
        </w:rPr>
      </w:pPr>
      <w:r>
        <w:rPr/>
        <w:br w:type="column"/>
      </w:r>
      <w:r>
        <w:rPr>
          <w:rFonts w:ascii="Constantia" w:hAnsi="Constantia"/>
          <w:sz w:val="23"/>
        </w:rPr>
        <w:t>Orientación</w:t>
      </w:r>
    </w:p>
    <w:p>
      <w:pPr>
        <w:spacing w:after="0"/>
        <w:jc w:val="left"/>
        <w:rPr>
          <w:rFonts w:ascii="Constantia" w:hAnsi="Constantia"/>
          <w:sz w:val="23"/>
        </w:rPr>
        <w:sectPr>
          <w:type w:val="continuous"/>
          <w:pgSz w:w="12250" w:h="15850"/>
          <w:pgMar w:top="1500" w:bottom="280" w:left="1600" w:right="1600"/>
          <w:cols w:num="3" w:equalWidth="0">
            <w:col w:w="3620" w:space="40"/>
            <w:col w:w="1769" w:space="40"/>
            <w:col w:w="3581"/>
          </w:cols>
        </w:sectPr>
      </w:pPr>
    </w:p>
    <w:p>
      <w:pPr>
        <w:tabs>
          <w:tab w:pos="4332" w:val="left" w:leader="none"/>
          <w:tab w:pos="6386" w:val="left" w:leader="none"/>
          <w:tab w:pos="7395" w:val="left" w:leader="none"/>
        </w:tabs>
        <w:spacing w:before="32"/>
        <w:ind w:left="2352" w:right="0" w:firstLine="0"/>
        <w:jc w:val="left"/>
        <w:rPr>
          <w:rFonts w:ascii="Constantia" w:hAnsi="Constantia"/>
          <w:sz w:val="23"/>
        </w:rPr>
      </w:pPr>
      <w:r>
        <w:rPr>
          <w:rFonts w:ascii="Constantia" w:hAnsi="Constantia"/>
          <w:spacing w:val="2"/>
          <w:w w:val="101"/>
          <w:sz w:val="23"/>
          <w:u w:val="thick"/>
        </w:rPr>
        <w:t> </w:t>
      </w:r>
      <w:r>
        <w:rPr>
          <w:rFonts w:ascii="Constantia" w:hAnsi="Constantia"/>
          <w:spacing w:val="-3"/>
          <w:sz w:val="23"/>
          <w:u w:val="thick"/>
        </w:rPr>
        <w:t>correlación</w:t>
      </w:r>
      <w:r>
        <w:rPr>
          <w:rFonts w:ascii="Constantia" w:hAnsi="Constantia"/>
          <w:spacing w:val="13"/>
          <w:sz w:val="23"/>
          <w:u w:val="thick"/>
        </w:rPr>
        <w:t> </w:t>
      </w:r>
      <w:r>
        <w:rPr>
          <w:rFonts w:ascii="Constantia" w:hAnsi="Constantia"/>
          <w:sz w:val="23"/>
          <w:u w:val="thick"/>
        </w:rPr>
        <w:t>|p</w:t>
      </w:r>
      <w:r>
        <w:rPr>
          <w:rFonts w:ascii="Constantia" w:hAnsi="Constantia"/>
          <w:sz w:val="15"/>
          <w:u w:val="thick"/>
        </w:rPr>
        <w:t>t</w:t>
      </w:r>
      <w:r>
        <w:rPr>
          <w:rFonts w:ascii="Constantia" w:hAnsi="Constantia"/>
          <w:sz w:val="23"/>
          <w:u w:val="thick"/>
        </w:rPr>
        <w:t>|</w:t>
        <w:tab/>
        <w:t>significancia</w:t>
        <w:tab/>
        <w:t>fiscal</w:t>
        <w:tab/>
      </w:r>
    </w:p>
    <w:p>
      <w:pPr>
        <w:tabs>
          <w:tab w:pos="4873" w:val="left" w:leader="none"/>
          <w:tab w:pos="5943" w:val="left" w:leader="none"/>
        </w:tabs>
        <w:spacing w:before="43"/>
        <w:ind w:left="3127" w:right="0" w:firstLine="0"/>
        <w:jc w:val="left"/>
        <w:rPr>
          <w:rFonts w:ascii="Constantia" w:hAnsi="Constantia"/>
          <w:sz w:val="23"/>
        </w:rPr>
      </w:pPr>
      <w:r>
        <w:rPr>
          <w:rFonts w:ascii="Constantia" w:hAnsi="Constantia"/>
          <w:sz w:val="23"/>
        </w:rPr>
        <w:t>+</w:t>
        <w:tab/>
        <w:t>S.</w:t>
        <w:tab/>
        <w:t>Procíclica</w:t>
      </w:r>
    </w:p>
    <w:p>
      <w:pPr>
        <w:tabs>
          <w:tab w:pos="4873" w:val="left" w:leader="none"/>
          <w:tab w:pos="5943" w:val="left" w:leader="none"/>
        </w:tabs>
        <w:spacing w:before="44"/>
        <w:ind w:left="3139" w:right="0" w:firstLine="0"/>
        <w:jc w:val="left"/>
        <w:rPr>
          <w:rFonts w:ascii="Constantia" w:hAnsi="Constantia"/>
          <w:sz w:val="23"/>
        </w:rPr>
      </w:pPr>
      <w:r>
        <w:rPr>
          <w:rFonts w:ascii="Constantia" w:hAnsi="Constantia"/>
          <w:sz w:val="23"/>
        </w:rPr>
        <w:t>-</w:t>
        <w:tab/>
        <w:t>S.</w:t>
        <w:tab/>
        <w:t>Contracíclica</w:t>
      </w:r>
    </w:p>
    <w:p>
      <w:pPr>
        <w:tabs>
          <w:tab w:pos="4750" w:val="left" w:leader="none"/>
          <w:tab w:pos="5943" w:val="left" w:leader="none"/>
        </w:tabs>
        <w:spacing w:before="32"/>
        <w:ind w:left="3028" w:right="0" w:firstLine="0"/>
        <w:jc w:val="left"/>
        <w:rPr>
          <w:rFonts w:ascii="Constantia"/>
          <w:sz w:val="23"/>
        </w:rPr>
      </w:pPr>
      <w:r>
        <w:rPr>
          <w:rFonts w:ascii="Constantia"/>
          <w:sz w:val="23"/>
        </w:rPr>
        <w:t>+/-</w:t>
        <w:tab/>
        <w:t>N.S.</w:t>
        <w:tab/>
        <w:t>Neutral</w:t>
      </w:r>
    </w:p>
    <w:p>
      <w:pPr>
        <w:tabs>
          <w:tab w:pos="4123" w:val="left" w:leader="none"/>
        </w:tabs>
        <w:spacing w:before="31"/>
        <w:ind w:left="2573" w:right="0" w:firstLine="0"/>
        <w:jc w:val="left"/>
        <w:rPr>
          <w:rFonts w:ascii="Constantia"/>
          <w:sz w:val="23"/>
        </w:rPr>
      </w:pPr>
      <w:r>
        <w:rPr>
          <w:rFonts w:ascii="Constantia"/>
          <w:sz w:val="23"/>
        </w:rPr>
        <w:t>+/-</w:t>
      </w:r>
      <w:r>
        <w:rPr>
          <w:rFonts w:ascii="Constantia"/>
          <w:spacing w:val="8"/>
          <w:sz w:val="23"/>
        </w:rPr>
        <w:t> </w:t>
      </w:r>
      <w:r>
        <w:rPr>
          <w:rFonts w:ascii="Constantia"/>
          <w:sz w:val="23"/>
        </w:rPr>
        <w:t>(HP/CF)</w:t>
        <w:tab/>
        <w:t>S./ N.S. (HP/CF)  </w:t>
      </w:r>
      <w:r>
        <w:rPr>
          <w:rFonts w:ascii="Constantia"/>
          <w:spacing w:val="13"/>
          <w:sz w:val="23"/>
        </w:rPr>
        <w:t> </w:t>
      </w:r>
      <w:r>
        <w:rPr>
          <w:rFonts w:ascii="Constantia"/>
          <w:sz w:val="23"/>
        </w:rPr>
        <w:t>Ambigua</w:t>
      </w:r>
    </w:p>
    <w:p>
      <w:pPr>
        <w:pStyle w:val="BodyText"/>
        <w:spacing w:line="38" w:lineRule="exact"/>
        <w:ind w:left="2345"/>
        <w:rPr>
          <w:rFonts w:ascii="Constantia"/>
          <w:sz w:val="3"/>
        </w:rPr>
      </w:pPr>
      <w:r>
        <w:rPr>
          <w:rFonts w:ascii="Constantia"/>
          <w:position w:val="0"/>
          <w:sz w:val="3"/>
        </w:rPr>
        <w:pict>
          <v:group style="width:252.85pt;height:1.95pt;mso-position-horizontal-relative:char;mso-position-vertical-relative:line" coordorigin="0,0" coordsize="5057,39">
            <v:line style="position:absolute" from="13,6" to="5044,6" stroked="true" strokeweight=".62183pt" strokecolor="#000000"/>
            <v:line style="position:absolute" from="6,6" to="5050,6" stroked="true" strokeweight=".62183pt" strokecolor="#000000"/>
            <v:line style="position:absolute" from="13,31" to="5044,31" stroked="true" strokeweight=".62183pt" strokecolor="#000000"/>
            <v:line style="position:absolute" from="6,32" to="5050,32" stroked="true" strokeweight=".642558pt" strokecolor="#000000"/>
          </v:group>
        </w:pict>
      </w:r>
      <w:r>
        <w:rPr>
          <w:rFonts w:ascii="Constantia"/>
          <w:position w:val="0"/>
          <w:sz w:val="3"/>
        </w:rPr>
      </w:r>
    </w:p>
    <w:p>
      <w:pPr>
        <w:spacing w:line="261" w:lineRule="auto" w:before="0"/>
        <w:ind w:left="2376" w:right="1800" w:firstLine="0"/>
        <w:jc w:val="left"/>
        <w:rPr>
          <w:rFonts w:ascii="Constantia"/>
          <w:sz w:val="16"/>
        </w:rPr>
      </w:pPr>
      <w:r>
        <w:rPr>
          <w:rFonts w:ascii="Constantia"/>
          <w:sz w:val="16"/>
        </w:rPr>
        <w:t>S = Significativo; N.S. = No significativo; HP= Hodrick y Prescott; CF = Cristiano y Fitzgerald.</w:t>
      </w:r>
    </w:p>
    <w:p>
      <w:pPr>
        <w:pStyle w:val="BodyText"/>
        <w:spacing w:before="2"/>
        <w:rPr>
          <w:rFonts w:ascii="Constantia"/>
          <w:sz w:val="10"/>
        </w:rPr>
      </w:pPr>
    </w:p>
    <w:p>
      <w:pPr>
        <w:spacing w:before="73"/>
        <w:ind w:left="2226" w:right="0" w:firstLine="0"/>
        <w:jc w:val="left"/>
        <w:rPr>
          <w:sz w:val="20"/>
        </w:rPr>
      </w:pPr>
      <w:r>
        <w:rPr>
          <w:sz w:val="20"/>
        </w:rPr>
        <w:t>Fuente: Elaboración propia con base en revisión bibliográfica</w:t>
      </w:r>
    </w:p>
    <w:p>
      <w:pPr>
        <w:pStyle w:val="BodyText"/>
        <w:rPr>
          <w:sz w:val="20"/>
        </w:rPr>
      </w:pPr>
    </w:p>
    <w:p>
      <w:pPr>
        <w:pStyle w:val="BodyText"/>
        <w:spacing w:line="360" w:lineRule="auto"/>
        <w:ind w:left="102" w:right="99" w:firstLine="707"/>
        <w:jc w:val="both"/>
      </w:pPr>
      <w:r>
        <w:rPr/>
        <w:t>El grado de orientación puede ser considerado de tres formas: débil, moderado o fuerte cuando |p</w:t>
      </w:r>
      <w:r>
        <w:rPr>
          <w:sz w:val="16"/>
        </w:rPr>
        <w:t>t</w:t>
      </w:r>
      <w:r>
        <w:rPr/>
        <w:t>| &lt;    4    4 ≤  </w:t>
      </w:r>
      <w:r>
        <w:rPr>
          <w:spacing w:val="-3"/>
        </w:rPr>
        <w:t>|  </w:t>
      </w:r>
      <w:r>
        <w:rPr>
          <w:sz w:val="16"/>
        </w:rPr>
        <w:t>t</w:t>
      </w:r>
      <w:r>
        <w:rPr/>
        <w:t>| ≤    </w:t>
      </w:r>
      <w:r>
        <w:rPr>
          <w:w w:val="110"/>
        </w:rPr>
        <w:t>6     </w:t>
      </w:r>
      <w:r>
        <w:rPr>
          <w:spacing w:val="-3"/>
        </w:rPr>
        <w:t>|  </w:t>
      </w:r>
      <w:r>
        <w:rPr>
          <w:sz w:val="16"/>
        </w:rPr>
        <w:t>t</w:t>
      </w:r>
      <w:r>
        <w:rPr/>
        <w:t>| &gt; 0.6,  respectivamente  (Mejía, et al., 2006,   p.</w:t>
      </w:r>
      <w:r>
        <w:rPr>
          <w:spacing w:val="-1"/>
        </w:rPr>
        <w:t> </w:t>
      </w:r>
      <w:r>
        <w:rPr/>
        <w:t>28).</w:t>
      </w:r>
    </w:p>
    <w:p>
      <w:pPr>
        <w:pStyle w:val="BodyText"/>
        <w:spacing w:line="360" w:lineRule="auto" w:before="6"/>
        <w:ind w:left="102" w:right="100" w:firstLine="707"/>
        <w:jc w:val="both"/>
      </w:pPr>
      <w:r>
        <w:rPr/>
        <w:t>Los resultados encontrados por las correlaciones de fluctuaciones cíclicas no implican causalidad. Específicaciones que evaluén causa-efecto se centran en mejores herramientas de análisis.</w:t>
      </w:r>
    </w:p>
    <w:p>
      <w:pPr>
        <w:spacing w:after="0" w:line="360" w:lineRule="auto"/>
        <w:jc w:val="both"/>
        <w:sectPr>
          <w:type w:val="continuous"/>
          <w:pgSz w:w="12250" w:h="15850"/>
          <w:pgMar w:top="1500" w:bottom="280" w:left="1600" w:right="1600"/>
        </w:sectPr>
      </w:pPr>
    </w:p>
    <w:p>
      <w:pPr>
        <w:pStyle w:val="ListParagraph"/>
        <w:numPr>
          <w:ilvl w:val="3"/>
          <w:numId w:val="13"/>
        </w:numPr>
        <w:tabs>
          <w:tab w:pos="1314" w:val="left" w:leader="none"/>
        </w:tabs>
        <w:spacing w:line="240" w:lineRule="auto" w:before="50" w:after="0"/>
        <w:ind w:left="1314" w:right="0" w:hanging="360"/>
        <w:jc w:val="left"/>
        <w:rPr>
          <w:i/>
          <w:sz w:val="24"/>
        </w:rPr>
      </w:pPr>
      <w:r>
        <w:rPr>
          <w:i/>
          <w:sz w:val="24"/>
        </w:rPr>
        <w:t>Balance fiscal cíclicamente ajustado</w:t>
      </w:r>
      <w:r>
        <w:rPr>
          <w:i/>
          <w:spacing w:val="-8"/>
          <w:sz w:val="24"/>
        </w:rPr>
        <w:t> </w:t>
      </w:r>
      <w:r>
        <w:rPr>
          <w:i/>
          <w:sz w:val="24"/>
        </w:rPr>
        <w:t>(BCA)</w:t>
      </w:r>
    </w:p>
    <w:p>
      <w:pPr>
        <w:pStyle w:val="BodyText"/>
        <w:rPr>
          <w:i/>
        </w:rPr>
      </w:pPr>
    </w:p>
    <w:p>
      <w:pPr>
        <w:pStyle w:val="BodyText"/>
        <w:spacing w:before="10"/>
        <w:rPr>
          <w:i/>
          <w:sz w:val="20"/>
        </w:rPr>
      </w:pPr>
    </w:p>
    <w:p>
      <w:pPr>
        <w:pStyle w:val="BodyText"/>
        <w:spacing w:line="360" w:lineRule="auto"/>
        <w:ind w:left="102" w:right="119" w:firstLine="707"/>
        <w:jc w:val="both"/>
      </w:pPr>
      <w:r>
        <w:rPr/>
        <w:t>El balance fiscal cíclicamente ajustado es una metodología alternativa para evaluar la orientación de la política fiscal. El objetivo se centra en estimar los efectos de  precios  del recurso natural y la actividad económica, mediante el cálculo de elasticidades sobre los ingresos y gastos fiscales que sean pertinentes, para comparar los cambios en el balance primario no gasífero ajustado y los cambios en la brecha del</w:t>
      </w:r>
      <w:r>
        <w:rPr>
          <w:spacing w:val="-14"/>
        </w:rPr>
        <w:t> </w:t>
      </w:r>
      <w:r>
        <w:rPr/>
        <w:t>producto.</w:t>
      </w:r>
    </w:p>
    <w:p>
      <w:pPr>
        <w:pStyle w:val="BodyText"/>
        <w:spacing w:line="360" w:lineRule="auto" w:before="6"/>
        <w:ind w:left="102" w:right="119" w:firstLine="707"/>
        <w:jc w:val="both"/>
      </w:pPr>
      <w:r>
        <w:rPr/>
        <w:t>La definición básica – de la presente metodología - considera al balance fiscal  global como una integración de dos componentes: el balance estructural y el balance cíclicamente ajustado (Lozano &amp; Toro,</w:t>
      </w:r>
      <w:r>
        <w:rPr>
          <w:spacing w:val="-6"/>
        </w:rPr>
        <w:t> </w:t>
      </w:r>
      <w:r>
        <w:rPr/>
        <w:t>2007):</w:t>
      </w:r>
    </w:p>
    <w:p>
      <w:pPr>
        <w:pStyle w:val="BodyText"/>
      </w:pPr>
    </w:p>
    <w:p>
      <w:pPr>
        <w:spacing w:before="186"/>
        <w:ind w:left="2985" w:right="127" w:firstLine="0"/>
        <w:jc w:val="left"/>
        <w:rPr>
          <w:sz w:val="24"/>
        </w:rPr>
      </w:pPr>
      <w:r>
        <w:rPr>
          <w:rFonts w:ascii="Cambria Math"/>
          <w:w w:val="292"/>
          <w:position w:val="6"/>
          <w:sz w:val="28"/>
        </w:rPr>
        <w:t>  </w:t>
      </w:r>
      <w:r>
        <w:rPr>
          <w:rFonts w:ascii="Cambria Math"/>
          <w:w w:val="199"/>
          <w:sz w:val="20"/>
        </w:rPr>
        <w:t> </w:t>
      </w:r>
      <w:r>
        <w:rPr>
          <w:rFonts w:ascii="Cambria Math"/>
          <w:sz w:val="20"/>
        </w:rPr>
        <w:t>  </w:t>
      </w:r>
      <w:r>
        <w:rPr>
          <w:rFonts w:ascii="Cambria Math"/>
          <w:w w:val="340"/>
          <w:position w:val="6"/>
          <w:sz w:val="28"/>
        </w:rPr>
        <w:t> </w:t>
      </w:r>
      <w:r>
        <w:rPr>
          <w:rFonts w:ascii="Cambria Math"/>
          <w:position w:val="6"/>
          <w:sz w:val="28"/>
        </w:rPr>
        <w:t>  </w:t>
      </w:r>
      <w:r>
        <w:rPr>
          <w:rFonts w:ascii="Cambria Math"/>
          <w:w w:val="292"/>
          <w:position w:val="6"/>
          <w:sz w:val="28"/>
        </w:rPr>
        <w:t>  </w:t>
      </w:r>
      <w:r>
        <w:rPr>
          <w:rFonts w:ascii="Cambria Math"/>
          <w:w w:val="228"/>
          <w:sz w:val="20"/>
        </w:rPr>
        <w:t> </w:t>
      </w:r>
      <w:r>
        <w:rPr>
          <w:i/>
          <w:w w:val="110"/>
          <w:sz w:val="20"/>
        </w:rPr>
        <w:t> </w:t>
      </w:r>
      <w:r>
        <w:rPr>
          <w:rFonts w:ascii="Cambria Math"/>
          <w:w w:val="182"/>
          <w:sz w:val="20"/>
        </w:rPr>
        <w:t>   </w:t>
      </w:r>
      <w:r>
        <w:rPr>
          <w:rFonts w:ascii="Cambria Math"/>
          <w:w w:val="247"/>
          <w:sz w:val="20"/>
        </w:rPr>
        <w:t>  </w:t>
      </w:r>
      <w:r>
        <w:rPr>
          <w:rFonts w:ascii="Cambria Math"/>
          <w:w w:val="215"/>
          <w:position w:val="-3"/>
          <w:sz w:val="16"/>
        </w:rPr>
        <w:t> </w:t>
      </w:r>
      <w:r>
        <w:rPr>
          <w:rFonts w:ascii="Cambria Math"/>
          <w:position w:val="-3"/>
          <w:sz w:val="16"/>
        </w:rPr>
        <w:t>  </w:t>
      </w:r>
      <w:r>
        <w:rPr>
          <w:rFonts w:ascii="Cambria Math"/>
          <w:w w:val="340"/>
          <w:position w:val="6"/>
          <w:sz w:val="28"/>
        </w:rPr>
        <w:t> </w:t>
      </w:r>
      <w:r>
        <w:rPr>
          <w:rFonts w:ascii="Cambria Math"/>
          <w:position w:val="6"/>
          <w:sz w:val="28"/>
        </w:rPr>
        <w:t> </w:t>
      </w:r>
      <w:r>
        <w:rPr>
          <w:rFonts w:ascii="Cambria Math"/>
          <w:w w:val="292"/>
          <w:position w:val="6"/>
          <w:sz w:val="28"/>
        </w:rPr>
        <w:t>  </w:t>
      </w:r>
      <w:r>
        <w:rPr>
          <w:rFonts w:ascii="Cambria Math"/>
          <w:w w:val="221"/>
          <w:sz w:val="20"/>
        </w:rPr>
        <w:t>   </w:t>
      </w:r>
      <w:r>
        <w:rPr>
          <w:rFonts w:ascii="Cambria Math"/>
          <w:w w:val="253"/>
          <w:sz w:val="20"/>
        </w:rPr>
        <w:t>   </w:t>
      </w:r>
      <w:r>
        <w:rPr>
          <w:rFonts w:ascii="Cambria Math"/>
          <w:w w:val="199"/>
          <w:sz w:val="20"/>
        </w:rPr>
        <w:t> </w:t>
      </w:r>
      <w:r>
        <w:rPr>
          <w:rFonts w:ascii="Cambria Math"/>
          <w:w w:val="271"/>
          <w:sz w:val="20"/>
        </w:rPr>
        <w:t>   </w:t>
      </w:r>
      <w:r>
        <w:rPr>
          <w:rFonts w:ascii="Cambria Math"/>
          <w:w w:val="159"/>
          <w:sz w:val="20"/>
        </w:rPr>
        <w:t> </w:t>
      </w:r>
      <w:r>
        <w:rPr>
          <w:rFonts w:ascii="Cambria Math"/>
          <w:w w:val="215"/>
          <w:position w:val="-3"/>
          <w:sz w:val="16"/>
        </w:rPr>
        <w:t> </w:t>
      </w:r>
      <w:r>
        <w:rPr>
          <w:rFonts w:ascii="Cambria Math"/>
          <w:position w:val="-3"/>
          <w:sz w:val="16"/>
        </w:rPr>
        <w:t>      </w:t>
      </w:r>
      <w:r>
        <w:rPr>
          <w:position w:val="6"/>
          <w:sz w:val="24"/>
        </w:rPr>
        <w:t>(3.5)</w:t>
      </w:r>
    </w:p>
    <w:p>
      <w:pPr>
        <w:pStyle w:val="BodyText"/>
        <w:spacing w:before="311"/>
        <w:ind w:left="810" w:right="127"/>
      </w:pPr>
      <w:r>
        <w:rPr/>
        <w:t>Luego:</w:t>
      </w:r>
    </w:p>
    <w:p>
      <w:pPr>
        <w:pStyle w:val="BodyText"/>
        <w:spacing w:before="10"/>
        <w:rPr>
          <w:sz w:val="31"/>
        </w:rPr>
      </w:pPr>
    </w:p>
    <w:p>
      <w:pPr>
        <w:spacing w:before="0"/>
        <w:ind w:left="3016" w:right="127" w:firstLine="0"/>
        <w:jc w:val="left"/>
        <w:rPr>
          <w:sz w:val="24"/>
        </w:rPr>
      </w:pPr>
      <w:r>
        <w:rPr>
          <w:rFonts w:ascii="Cambria Math"/>
          <w:w w:val="292"/>
          <w:position w:val="6"/>
          <w:sz w:val="28"/>
        </w:rPr>
        <w:t>  </w:t>
      </w:r>
      <w:r>
        <w:rPr>
          <w:rFonts w:ascii="Cambria Math"/>
          <w:w w:val="228"/>
          <w:sz w:val="20"/>
        </w:rPr>
        <w:t> </w:t>
      </w:r>
      <w:r>
        <w:rPr>
          <w:i/>
          <w:w w:val="110"/>
          <w:sz w:val="20"/>
        </w:rPr>
        <w:t> </w:t>
      </w:r>
      <w:r>
        <w:rPr>
          <w:rFonts w:ascii="Cambria Math"/>
          <w:w w:val="182"/>
          <w:sz w:val="20"/>
        </w:rPr>
        <w:t>   </w:t>
      </w:r>
      <w:r>
        <w:rPr>
          <w:rFonts w:ascii="Cambria Math"/>
          <w:w w:val="247"/>
          <w:sz w:val="20"/>
        </w:rPr>
        <w:t>  </w:t>
      </w:r>
      <w:r>
        <w:rPr>
          <w:rFonts w:ascii="Cambria Math"/>
          <w:w w:val="215"/>
          <w:position w:val="-3"/>
          <w:sz w:val="16"/>
        </w:rPr>
        <w:t> </w:t>
      </w:r>
      <w:r>
        <w:rPr>
          <w:rFonts w:ascii="Cambria Math"/>
          <w:position w:val="-3"/>
          <w:sz w:val="16"/>
        </w:rPr>
        <w:t>   </w:t>
      </w:r>
      <w:r>
        <w:rPr>
          <w:rFonts w:ascii="Cambria Math"/>
          <w:w w:val="340"/>
          <w:position w:val="6"/>
          <w:sz w:val="28"/>
        </w:rPr>
        <w:t> </w:t>
      </w:r>
      <w:r>
        <w:rPr>
          <w:rFonts w:ascii="Cambria Math"/>
          <w:position w:val="6"/>
          <w:sz w:val="28"/>
        </w:rPr>
        <w:t>  </w:t>
      </w:r>
      <w:r>
        <w:rPr>
          <w:rFonts w:ascii="Cambria Math"/>
          <w:w w:val="292"/>
          <w:position w:val="6"/>
          <w:sz w:val="28"/>
        </w:rPr>
        <w:t>  </w:t>
      </w:r>
      <w:r>
        <w:rPr>
          <w:rFonts w:ascii="Cambria Math"/>
          <w:w w:val="199"/>
          <w:sz w:val="20"/>
        </w:rPr>
        <w:t> </w:t>
      </w:r>
      <w:r>
        <w:rPr>
          <w:rFonts w:ascii="Cambria Math"/>
          <w:sz w:val="20"/>
        </w:rPr>
        <w:t>  </w:t>
      </w:r>
      <w:r>
        <w:rPr>
          <w:rFonts w:ascii="Cambria Math"/>
          <w:w w:val="340"/>
          <w:position w:val="6"/>
          <w:sz w:val="28"/>
        </w:rPr>
        <w:t> </w:t>
      </w:r>
      <w:r>
        <w:rPr>
          <w:rFonts w:ascii="Cambria Math"/>
          <w:position w:val="6"/>
          <w:sz w:val="28"/>
        </w:rPr>
        <w:t> </w:t>
      </w:r>
      <w:r>
        <w:rPr>
          <w:rFonts w:ascii="Cambria Math"/>
          <w:w w:val="292"/>
          <w:position w:val="6"/>
          <w:sz w:val="28"/>
        </w:rPr>
        <w:t>  </w:t>
      </w:r>
      <w:r>
        <w:rPr>
          <w:rFonts w:ascii="Cambria Math"/>
          <w:w w:val="221"/>
          <w:sz w:val="20"/>
        </w:rPr>
        <w:t>   </w:t>
      </w:r>
      <w:r>
        <w:rPr>
          <w:rFonts w:ascii="Cambria Math"/>
          <w:w w:val="253"/>
          <w:sz w:val="20"/>
        </w:rPr>
        <w:t>   </w:t>
      </w:r>
      <w:r>
        <w:rPr>
          <w:rFonts w:ascii="Cambria Math"/>
          <w:w w:val="199"/>
          <w:sz w:val="20"/>
        </w:rPr>
        <w:t> </w:t>
      </w:r>
      <w:r>
        <w:rPr>
          <w:rFonts w:ascii="Cambria Math"/>
          <w:w w:val="271"/>
          <w:sz w:val="20"/>
        </w:rPr>
        <w:t>   </w:t>
      </w:r>
      <w:r>
        <w:rPr>
          <w:rFonts w:ascii="Cambria Math"/>
          <w:w w:val="159"/>
          <w:sz w:val="20"/>
        </w:rPr>
        <w:t> </w:t>
      </w:r>
      <w:r>
        <w:rPr>
          <w:rFonts w:ascii="Cambria Math"/>
          <w:w w:val="215"/>
          <w:position w:val="-3"/>
          <w:sz w:val="16"/>
        </w:rPr>
        <w:t> </w:t>
      </w:r>
      <w:r>
        <w:rPr>
          <w:rFonts w:ascii="Cambria Math"/>
          <w:position w:val="-3"/>
          <w:sz w:val="16"/>
        </w:rPr>
        <w:t>    </w:t>
      </w:r>
      <w:r>
        <w:rPr>
          <w:position w:val="6"/>
          <w:sz w:val="24"/>
        </w:rPr>
        <w:t>(3.6)</w:t>
      </w:r>
    </w:p>
    <w:p>
      <w:pPr>
        <w:pStyle w:val="BodyText"/>
        <w:spacing w:before="3"/>
        <w:rPr>
          <w:sz w:val="51"/>
        </w:rPr>
      </w:pPr>
    </w:p>
    <w:p>
      <w:pPr>
        <w:spacing w:before="0"/>
        <w:ind w:left="810" w:right="127" w:firstLine="0"/>
        <w:jc w:val="left"/>
        <w:rPr>
          <w:i/>
          <w:sz w:val="24"/>
        </w:rPr>
      </w:pPr>
      <w:r>
        <w:rPr>
          <w:i/>
          <w:sz w:val="24"/>
        </w:rPr>
        <w:t>Ingresos fiscales del gas natural cíclicamente ajustados</w:t>
      </w:r>
    </w:p>
    <w:p>
      <w:pPr>
        <w:pStyle w:val="BodyText"/>
        <w:rPr>
          <w:i/>
        </w:rPr>
      </w:pPr>
    </w:p>
    <w:p>
      <w:pPr>
        <w:pStyle w:val="BodyText"/>
        <w:spacing w:line="405" w:lineRule="auto" w:before="139"/>
        <w:ind w:left="102" w:right="116" w:firstLine="707"/>
        <w:jc w:val="both"/>
      </w:pPr>
      <w:r>
        <w:rPr/>
        <w:pict>
          <v:shape style="position:absolute;margin-left:172.220001pt;margin-top:36.240578pt;width:4.4pt;height:10pt;mso-position-horizontal-relative:page;mso-position-vertical-relative:paragraph;z-index:-563464" type="#_x0000_t202" filled="false" stroked="false">
            <v:textbox inset="0,0,0,0">
              <w:txbxContent>
                <w:p>
                  <w:pPr>
                    <w:spacing w:line="199" w:lineRule="exact" w:before="0"/>
                    <w:ind w:left="0" w:right="0" w:firstLine="0"/>
                    <w:jc w:val="left"/>
                    <w:rPr>
                      <w:rFonts w:ascii="Cambria Math"/>
                      <w:sz w:val="20"/>
                    </w:rPr>
                  </w:pPr>
                  <w:r>
                    <w:rPr>
                      <w:rFonts w:ascii="Cambria Math"/>
                      <w:w w:val="199"/>
                      <w:sz w:val="20"/>
                    </w:rPr>
                    <w:t> </w:t>
                  </w:r>
                </w:p>
              </w:txbxContent>
            </v:textbox>
            <w10:wrap type="none"/>
          </v:shape>
        </w:pict>
      </w:r>
      <w:r>
        <w:rPr/>
        <w:pict>
          <v:shape style="position:absolute;margin-left:344.809998pt;margin-top:60.840576pt;width:4.4pt;height:10pt;mso-position-horizontal-relative:page;mso-position-vertical-relative:paragraph;z-index:-563440" type="#_x0000_t202" filled="false" stroked="false">
            <v:textbox inset="0,0,0,0">
              <w:txbxContent>
                <w:p>
                  <w:pPr>
                    <w:spacing w:line="199" w:lineRule="exact" w:before="0"/>
                    <w:ind w:left="0" w:right="0" w:firstLine="0"/>
                    <w:jc w:val="left"/>
                    <w:rPr>
                      <w:rFonts w:ascii="Cambria Math"/>
                      <w:sz w:val="20"/>
                    </w:rPr>
                  </w:pPr>
                  <w:r>
                    <w:rPr>
                      <w:rFonts w:ascii="Cambria Math"/>
                      <w:w w:val="199"/>
                      <w:sz w:val="20"/>
                    </w:rPr>
                    <w:t> </w:t>
                  </w:r>
                </w:p>
              </w:txbxContent>
            </v:textbox>
            <w10:wrap type="none"/>
          </v:shape>
        </w:pict>
      </w:r>
      <w:r>
        <w:rPr/>
        <w:t>Los ingresos fiscales gasíferos (gas natural) se descomponen en dos partes: ingresos domésticos  , que incluye el mercado interno  y los impuestos recaudados por la   producción de gas y petróleo; la venta externa que se vincula a los mercados de  exportación:</w:t>
      </w:r>
    </w:p>
    <w:p>
      <w:pPr>
        <w:spacing w:after="0" w:line="405" w:lineRule="auto"/>
        <w:jc w:val="both"/>
        <w:sectPr>
          <w:pgSz w:w="12250" w:h="15850"/>
          <w:pgMar w:header="0" w:footer="1037" w:top="1360" w:bottom="1220" w:left="1600" w:right="1580"/>
        </w:sectPr>
      </w:pPr>
    </w:p>
    <w:p>
      <w:pPr>
        <w:pStyle w:val="Heading1"/>
        <w:spacing w:line="320" w:lineRule="exact" w:before="125"/>
        <w:jc w:val="right"/>
      </w:pPr>
      <w:r>
        <w:rPr/>
        <w:pict>
          <v:line style="position:absolute;mso-position-horizontal-relative:page;mso-position-vertical-relative:paragraph;z-index:-563512" from="335.690002pt,15.47273pt" to="355.274002pt,15.47273pt" stroked="true" strokeweight=".96002pt" strokecolor="#000000">
            <w10:wrap type="none"/>
          </v:line>
        </w:pict>
      </w:r>
      <w:r>
        <w:rPr>
          <w:w w:val="120"/>
        </w:rPr>
        <w:t>(     )</w:t>
      </w:r>
    </w:p>
    <w:p>
      <w:pPr>
        <w:spacing w:line="179" w:lineRule="exact" w:before="0"/>
        <w:ind w:left="0" w:right="143" w:firstLine="0"/>
        <w:jc w:val="right"/>
        <w:rPr>
          <w:rFonts w:ascii="Cambria Math"/>
          <w:sz w:val="16"/>
        </w:rPr>
      </w:pPr>
      <w:r>
        <w:rPr>
          <w:rFonts w:ascii="Cambria Math"/>
          <w:spacing w:val="-34"/>
          <w:w w:val="282"/>
          <w:position w:val="6"/>
          <w:sz w:val="20"/>
        </w:rPr>
        <w:t> </w:t>
      </w:r>
      <w:r>
        <w:rPr>
          <w:rFonts w:ascii="Cambria Math"/>
          <w:w w:val="215"/>
          <w:sz w:val="16"/>
        </w:rPr>
        <w:t> </w:t>
      </w:r>
      <w:r>
        <w:rPr>
          <w:rFonts w:ascii="Cambria Math"/>
          <w:w w:val="340"/>
          <w:sz w:val="16"/>
        </w:rPr>
        <w:t> </w:t>
      </w:r>
      <w:r>
        <w:rPr>
          <w:rFonts w:ascii="Cambria Math"/>
          <w:w w:val="271"/>
          <w:sz w:val="16"/>
        </w:rPr>
        <w:t> </w:t>
      </w:r>
    </w:p>
    <w:p>
      <w:pPr>
        <w:pStyle w:val="BodyText"/>
        <w:spacing w:before="165"/>
        <w:ind w:left="336"/>
      </w:pPr>
      <w:r>
        <w:rPr/>
        <w:br w:type="column"/>
      </w:r>
      <w:r>
        <w:rPr/>
        <w:t>(3.7)</w:t>
      </w:r>
    </w:p>
    <w:p>
      <w:pPr>
        <w:spacing w:after="0"/>
        <w:sectPr>
          <w:type w:val="continuous"/>
          <w:pgSz w:w="12250" w:h="15850"/>
          <w:pgMar w:top="1500" w:bottom="280" w:left="1600" w:right="1580"/>
          <w:cols w:num="2" w:equalWidth="0">
            <w:col w:w="5643" w:space="40"/>
            <w:col w:w="3387"/>
          </w:cols>
        </w:sectPr>
      </w:pPr>
    </w:p>
    <w:p>
      <w:pPr>
        <w:pStyle w:val="BodyText"/>
        <w:spacing w:before="6"/>
        <w:rPr>
          <w:sz w:val="9"/>
        </w:rPr>
      </w:pPr>
    </w:p>
    <w:p>
      <w:pPr>
        <w:tabs>
          <w:tab w:pos="6042" w:val="left" w:leader="none"/>
        </w:tabs>
        <w:spacing w:line="244" w:lineRule="exact" w:before="61"/>
        <w:ind w:left="4917" w:right="127" w:firstLine="0"/>
        <w:jc w:val="left"/>
        <w:rPr>
          <w:sz w:val="24"/>
        </w:rPr>
      </w:pPr>
      <w:r>
        <w:rPr/>
        <w:pict>
          <v:line style="position:absolute;mso-position-horizontal-relative:page;mso-position-vertical-relative:paragraph;z-index:-563488" from="332.690002pt,12.272749pt" to="352.994002pt,12.272749pt" stroked="true" strokeweight=".95996pt" strokecolor="#000000">
            <w10:wrap type="none"/>
          </v:line>
        </w:pict>
      </w:r>
      <w:r>
        <w:rPr>
          <w:rFonts w:ascii="Cambria Math"/>
          <w:w w:val="110"/>
          <w:sz w:val="28"/>
        </w:rPr>
        <w:t>(     </w:t>
      </w:r>
      <w:r>
        <w:rPr>
          <w:rFonts w:ascii="Cambria Math"/>
          <w:spacing w:val="13"/>
          <w:w w:val="110"/>
          <w:sz w:val="28"/>
        </w:rPr>
        <w:t> </w:t>
      </w:r>
      <w:r>
        <w:rPr>
          <w:rFonts w:ascii="Cambria Math"/>
          <w:w w:val="110"/>
          <w:sz w:val="28"/>
        </w:rPr>
        <w:t>)</w:t>
        <w:tab/>
      </w:r>
      <w:r>
        <w:rPr>
          <w:w w:val="110"/>
          <w:sz w:val="24"/>
        </w:rPr>
        <w:t>(3.8)</w:t>
      </w:r>
    </w:p>
    <w:p>
      <w:pPr>
        <w:spacing w:line="169" w:lineRule="exact" w:before="67"/>
        <w:ind w:left="1446" w:right="0" w:firstLine="0"/>
        <w:jc w:val="center"/>
        <w:rPr>
          <w:rFonts w:ascii="Cambria Math"/>
          <w:sz w:val="16"/>
        </w:rPr>
      </w:pPr>
      <w:r>
        <w:rPr>
          <w:rFonts w:ascii="Cambria Math"/>
          <w:spacing w:val="-21"/>
          <w:w w:val="292"/>
          <w:position w:val="6"/>
          <w:sz w:val="20"/>
        </w:rPr>
        <w:t> </w:t>
      </w:r>
      <w:r>
        <w:rPr>
          <w:rFonts w:ascii="Cambria Math"/>
          <w:w w:val="215"/>
          <w:sz w:val="16"/>
        </w:rPr>
        <w:t> </w:t>
      </w:r>
      <w:r>
        <w:rPr>
          <w:rFonts w:ascii="Cambria Math"/>
          <w:w w:val="340"/>
          <w:sz w:val="16"/>
        </w:rPr>
        <w:t> </w:t>
      </w:r>
      <w:r>
        <w:rPr>
          <w:rFonts w:ascii="Cambria Math"/>
          <w:w w:val="271"/>
          <w:sz w:val="16"/>
        </w:rPr>
        <w:t> </w:t>
      </w:r>
    </w:p>
    <w:p>
      <w:pPr>
        <w:pStyle w:val="BodyText"/>
        <w:spacing w:line="258" w:lineRule="exact"/>
        <w:ind w:left="810" w:right="127"/>
      </w:pPr>
      <w:r>
        <w:rPr/>
        <w:t>Donde    es la elasticidad de los ingresos domésticos del gas natural con relación   al</w:t>
      </w:r>
    </w:p>
    <w:p>
      <w:pPr>
        <w:spacing w:after="0" w:line="258" w:lineRule="exact"/>
        <w:sectPr>
          <w:type w:val="continuous"/>
          <w:pgSz w:w="12250" w:h="15850"/>
          <w:pgMar w:top="1500" w:bottom="280" w:left="1600" w:right="1580"/>
        </w:sectPr>
      </w:pPr>
    </w:p>
    <w:p>
      <w:pPr>
        <w:tabs>
          <w:tab w:pos="1198" w:val="left" w:leader="none"/>
        </w:tabs>
        <w:spacing w:before="197"/>
        <w:ind w:left="102" w:right="0" w:firstLine="0"/>
        <w:jc w:val="left"/>
        <w:rPr>
          <w:rFonts w:ascii="Cambria Math"/>
          <w:sz w:val="20"/>
        </w:rPr>
      </w:pPr>
      <w:r>
        <w:rPr>
          <w:sz w:val="24"/>
        </w:rPr>
        <w:t>PIB</w:t>
      </w:r>
      <w:r>
        <w:rPr>
          <w:spacing w:val="26"/>
          <w:sz w:val="24"/>
        </w:rPr>
        <w:t> </w:t>
      </w:r>
      <w:r>
        <w:rPr>
          <w:sz w:val="24"/>
        </w:rPr>
        <w:t>real;</w:t>
        <w:tab/>
      </w:r>
      <w:r>
        <w:rPr>
          <w:rFonts w:ascii="Cambria Math"/>
          <w:spacing w:val="-45"/>
          <w:w w:val="274"/>
          <w:sz w:val="28"/>
        </w:rPr>
        <w:t> </w:t>
      </w:r>
      <w:r>
        <w:rPr>
          <w:rFonts w:ascii="Cambria Math"/>
          <w:spacing w:val="3"/>
          <w:w w:val="199"/>
          <w:position w:val="-5"/>
          <w:sz w:val="20"/>
        </w:rPr>
        <w:t> </w:t>
      </w:r>
      <w:r>
        <w:rPr>
          <w:rFonts w:ascii="Cambria Math"/>
          <w:spacing w:val="-1"/>
          <w:w w:val="329"/>
          <w:position w:val="-5"/>
          <w:sz w:val="20"/>
        </w:rPr>
        <w:t> </w:t>
      </w:r>
      <w:r>
        <w:rPr>
          <w:rFonts w:ascii="Cambria Math"/>
          <w:spacing w:val="11"/>
          <w:w w:val="261"/>
          <w:position w:val="-5"/>
          <w:sz w:val="20"/>
        </w:rPr>
        <w:t> </w:t>
      </w:r>
      <w:r>
        <w:rPr>
          <w:rFonts w:ascii="Cambria Math"/>
          <w:spacing w:val="1"/>
          <w:w w:val="223"/>
          <w:sz w:val="28"/>
        </w:rPr>
        <w:t> </w:t>
      </w:r>
      <w:r>
        <w:rPr>
          <w:rFonts w:ascii="Cambria Math"/>
          <w:spacing w:val="-45"/>
          <w:w w:val="274"/>
          <w:sz w:val="28"/>
        </w:rPr>
        <w:t> </w:t>
      </w:r>
      <w:r>
        <w:rPr>
          <w:rFonts w:ascii="Cambria Math"/>
          <w:spacing w:val="3"/>
          <w:w w:val="199"/>
          <w:position w:val="-5"/>
          <w:sz w:val="20"/>
        </w:rPr>
        <w:t> </w:t>
      </w:r>
      <w:r>
        <w:rPr>
          <w:rFonts w:ascii="Cambria Math"/>
          <w:spacing w:val="-1"/>
          <w:w w:val="329"/>
          <w:position w:val="-5"/>
          <w:sz w:val="20"/>
        </w:rPr>
        <w:t> </w:t>
      </w:r>
      <w:r>
        <w:rPr>
          <w:rFonts w:ascii="Cambria Math"/>
          <w:w w:val="261"/>
          <w:position w:val="-5"/>
          <w:sz w:val="20"/>
        </w:rPr>
        <w:t> </w:t>
      </w:r>
    </w:p>
    <w:p>
      <w:pPr>
        <w:pStyle w:val="BodyText"/>
        <w:spacing w:before="197"/>
        <w:ind w:left="102"/>
      </w:pPr>
      <w:r>
        <w:rPr/>
        <w:br w:type="column"/>
      </w:r>
      <w:r>
        <w:rPr/>
        <w:t>es la razón del producto potencial en términos de la producción</w:t>
      </w:r>
    </w:p>
    <w:p>
      <w:pPr>
        <w:spacing w:after="0"/>
        <w:sectPr>
          <w:type w:val="continuous"/>
          <w:pgSz w:w="12250" w:h="15850"/>
          <w:pgMar w:top="1500" w:bottom="280" w:left="1600" w:right="1580"/>
          <w:cols w:num="2" w:equalWidth="0">
            <w:col w:w="2301" w:space="128"/>
            <w:col w:w="6641"/>
          </w:cols>
        </w:sectPr>
      </w:pPr>
    </w:p>
    <w:p>
      <w:pPr>
        <w:pStyle w:val="BodyText"/>
        <w:spacing w:before="1"/>
        <w:rPr>
          <w:sz w:val="9"/>
        </w:rPr>
      </w:pPr>
    </w:p>
    <w:p>
      <w:pPr>
        <w:pStyle w:val="BodyText"/>
        <w:spacing w:line="420" w:lineRule="auto" w:before="70"/>
        <w:ind w:left="102" w:right="118"/>
        <w:jc w:val="both"/>
      </w:pPr>
      <w:r>
        <w:rPr/>
        <w:pict>
          <v:shape style="position:absolute;margin-left:475.51001pt;margin-top:24.870586pt;width:6.45pt;height:10pt;mso-position-horizontal-relative:page;mso-position-vertical-relative:paragraph;z-index:-563416" type="#_x0000_t202" filled="false" stroked="false">
            <v:textbox inset="0,0,0,0">
              <w:txbxContent>
                <w:p>
                  <w:pPr>
                    <w:spacing w:line="199" w:lineRule="exact" w:before="0"/>
                    <w:ind w:left="0" w:right="0" w:firstLine="0"/>
                    <w:jc w:val="left"/>
                    <w:rPr>
                      <w:rFonts w:ascii="Cambria Math"/>
                      <w:sz w:val="20"/>
                    </w:rPr>
                  </w:pPr>
                  <w:r>
                    <w:rPr>
                      <w:rFonts w:ascii="Cambria Math"/>
                      <w:w w:val="292"/>
                      <w:sz w:val="20"/>
                    </w:rPr>
                    <w:t> </w:t>
                  </w:r>
                </w:p>
              </w:txbxContent>
            </v:textbox>
            <w10:wrap type="none"/>
          </v:shape>
        </w:pict>
      </w:r>
      <w:r>
        <w:rPr/>
        <w:pict>
          <v:shape style="position:absolute;margin-left:157.100006pt;margin-top:49.466587pt;width:6.25pt;height:10pt;mso-position-horizontal-relative:page;mso-position-vertical-relative:paragraph;z-index:-563392" type="#_x0000_t202" filled="false" stroked="false">
            <v:textbox inset="0,0,0,0">
              <w:txbxContent>
                <w:p>
                  <w:pPr>
                    <w:spacing w:line="199" w:lineRule="exact" w:before="0"/>
                    <w:ind w:left="0" w:right="0" w:firstLine="0"/>
                    <w:jc w:val="left"/>
                    <w:rPr>
                      <w:rFonts w:ascii="Cambria Math"/>
                      <w:sz w:val="20"/>
                    </w:rPr>
                  </w:pPr>
                  <w:r>
                    <w:rPr>
                      <w:rFonts w:ascii="Cambria Math"/>
                      <w:w w:val="282"/>
                      <w:sz w:val="20"/>
                    </w:rPr>
                    <w:t> </w:t>
                  </w:r>
                </w:p>
              </w:txbxContent>
            </v:textbox>
            <w10:wrap type="none"/>
          </v:shape>
        </w:pict>
      </w:r>
      <w:r>
        <w:rPr/>
        <w:t>observada;  es la sensibilidad de los ingresos petroleros externos (con relación a los   precios del gas natural; se  consideró  los  precios  relativos  de  equilibrio  y  los  observados            </w:t>
      </w:r>
      <w:r>
        <w:rPr>
          <w:spacing w:val="17"/>
        </w:rPr>
        <w:t> </w:t>
      </w:r>
      <w:r>
        <w:rPr/>
        <w:t>.</w:t>
      </w:r>
    </w:p>
    <w:p>
      <w:pPr>
        <w:spacing w:after="0" w:line="420" w:lineRule="auto"/>
        <w:jc w:val="both"/>
        <w:sectPr>
          <w:type w:val="continuous"/>
          <w:pgSz w:w="12250" w:h="15850"/>
          <w:pgMar w:top="1500" w:bottom="280" w:left="1600" w:right="1580"/>
        </w:sectPr>
      </w:pPr>
    </w:p>
    <w:p>
      <w:pPr>
        <w:pStyle w:val="BodyText"/>
        <w:spacing w:before="50"/>
        <w:ind w:left="830"/>
      </w:pPr>
      <w:r>
        <w:rPr/>
        <w:t>Mediante  3.7  y  3.8  se  obtuvieron  los  ingresos  fiscales  gasíferos   </w:t>
      </w:r>
      <w:r>
        <w:rPr>
          <w:spacing w:val="58"/>
        </w:rPr>
        <w:t> </w:t>
      </w:r>
      <w:r>
        <w:rPr/>
        <w:t>cíclicamente</w:t>
      </w:r>
    </w:p>
    <w:p>
      <w:pPr>
        <w:pStyle w:val="BodyText"/>
        <w:spacing w:before="185"/>
        <w:ind w:left="122" w:right="115"/>
      </w:pPr>
      <w:r>
        <w:rPr/>
        <w:pict>
          <v:shape style="position:absolute;margin-left:221.089996pt;margin-top:15.380559pt;width:4.4pt;height:10pt;mso-position-horizontal-relative:page;mso-position-vertical-relative:paragraph;z-index:-563320" type="#_x0000_t202" filled="false" stroked="false">
            <v:textbox inset="0,0,0,0">
              <w:txbxContent>
                <w:p>
                  <w:pPr>
                    <w:spacing w:line="199" w:lineRule="exact" w:before="0"/>
                    <w:ind w:left="0" w:right="0" w:firstLine="0"/>
                    <w:jc w:val="left"/>
                    <w:rPr>
                      <w:rFonts w:ascii="Cambria Math"/>
                      <w:sz w:val="20"/>
                    </w:rPr>
                  </w:pPr>
                  <w:r>
                    <w:rPr>
                      <w:rFonts w:ascii="Cambria Math"/>
                      <w:w w:val="199"/>
                      <w:sz w:val="20"/>
                    </w:rPr>
                    <w:t> </w:t>
                  </w:r>
                </w:p>
              </w:txbxContent>
            </v:textbox>
            <w10:wrap type="none"/>
          </v:shape>
        </w:pict>
      </w:r>
      <w:r>
        <w:rPr/>
        <w:pict>
          <v:shape style="position:absolute;margin-left:321.649994pt;margin-top:15.380559pt;width:4.4pt;height:10pt;mso-position-horizontal-relative:page;mso-position-vertical-relative:paragraph;z-index:-563296" type="#_x0000_t202" filled="false" stroked="false">
            <v:textbox inset="0,0,0,0">
              <w:txbxContent>
                <w:p>
                  <w:pPr>
                    <w:spacing w:line="199" w:lineRule="exact" w:before="0"/>
                    <w:ind w:left="0" w:right="0" w:firstLine="0"/>
                    <w:jc w:val="left"/>
                    <w:rPr>
                      <w:rFonts w:ascii="Cambria Math"/>
                      <w:sz w:val="20"/>
                    </w:rPr>
                  </w:pPr>
                  <w:r>
                    <w:rPr>
                      <w:rFonts w:ascii="Cambria Math"/>
                      <w:w w:val="199"/>
                      <w:sz w:val="20"/>
                    </w:rPr>
                    <w:t> </w:t>
                  </w:r>
                </w:p>
              </w:txbxContent>
            </v:textbox>
            <w10:wrap type="none"/>
          </v:shape>
        </w:pict>
      </w:r>
      <w:r>
        <w:rPr/>
        <w:t>ajustados: domésticos                 y externos                .</w:t>
      </w:r>
    </w:p>
    <w:p>
      <w:pPr>
        <w:pStyle w:val="BodyText"/>
        <w:rPr>
          <w:sz w:val="20"/>
        </w:rPr>
      </w:pPr>
    </w:p>
    <w:p>
      <w:pPr>
        <w:pStyle w:val="BodyText"/>
        <w:spacing w:before="5"/>
      </w:pPr>
    </w:p>
    <w:p>
      <w:pPr>
        <w:spacing w:before="70"/>
        <w:ind w:left="830" w:right="115" w:firstLine="0"/>
        <w:jc w:val="left"/>
        <w:rPr>
          <w:i/>
          <w:sz w:val="24"/>
        </w:rPr>
      </w:pPr>
      <w:r>
        <w:rPr>
          <w:i/>
          <w:sz w:val="24"/>
        </w:rPr>
        <w:t>Ingresos  tributarios cíclicamente ajustados</w:t>
      </w:r>
    </w:p>
    <w:p>
      <w:pPr>
        <w:pStyle w:val="BodyText"/>
        <w:spacing w:before="2"/>
        <w:rPr>
          <w:i/>
        </w:rPr>
      </w:pPr>
    </w:p>
    <w:p>
      <w:pPr>
        <w:pStyle w:val="BodyText"/>
        <w:spacing w:line="328" w:lineRule="auto"/>
        <w:ind w:left="122" w:right="115" w:firstLine="707"/>
        <w:rPr>
          <w:sz w:val="16"/>
        </w:rPr>
      </w:pPr>
      <w:r>
        <w:rPr/>
        <w:t>Los ingresos tributarios no petroleros ajustados por el ciclo económico se descomponen en dos partes: renta interna  y renta aduanera.</w:t>
      </w:r>
      <w:r>
        <w:rPr>
          <w:position w:val="11"/>
          <w:sz w:val="16"/>
        </w:rPr>
        <w:t>56</w:t>
      </w:r>
    </w:p>
    <w:p>
      <w:pPr>
        <w:pStyle w:val="BodyText"/>
        <w:rPr>
          <w:sz w:val="20"/>
        </w:rPr>
      </w:pPr>
    </w:p>
    <w:p>
      <w:pPr>
        <w:spacing w:after="0"/>
        <w:rPr>
          <w:sz w:val="20"/>
        </w:rPr>
        <w:sectPr>
          <w:pgSz w:w="12250" w:h="15850"/>
          <w:pgMar w:header="0" w:footer="1037" w:top="1360" w:bottom="1220" w:left="1580" w:right="1580"/>
        </w:sectPr>
      </w:pPr>
    </w:p>
    <w:p>
      <w:pPr>
        <w:spacing w:before="247"/>
        <w:ind w:left="0" w:right="0" w:firstLine="0"/>
        <w:jc w:val="right"/>
        <w:rPr>
          <w:rFonts w:ascii="Cambria Math"/>
          <w:sz w:val="28"/>
        </w:rPr>
      </w:pPr>
      <w:r>
        <w:rPr/>
        <w:pict>
          <v:line style="position:absolute;mso-position-horizontal-relative:page;mso-position-vertical-relative:paragraph;z-index:-563344" from="310.730011pt,21.332745pt" to="323.690011pt,21.332745pt" stroked="true" strokeweight=".95999pt" strokecolor="#000000">
            <w10:wrap type="none"/>
          </v:line>
        </w:pict>
      </w:r>
      <w:r>
        <w:rPr>
          <w:rFonts w:ascii="Cambria Math"/>
          <w:w w:val="255"/>
          <w:sz w:val="20"/>
        </w:rPr>
        <w:t>  </w:t>
      </w:r>
      <w:r>
        <w:rPr>
          <w:rFonts w:ascii="Cambria Math"/>
          <w:sz w:val="20"/>
        </w:rPr>
        <w:t>  </w:t>
      </w:r>
      <w:r>
        <w:rPr>
          <w:rFonts w:ascii="Cambria Math"/>
          <w:w w:val="340"/>
          <w:position w:val="-10"/>
          <w:sz w:val="28"/>
        </w:rPr>
        <w:t> </w:t>
      </w:r>
      <w:r>
        <w:rPr>
          <w:rFonts w:ascii="Cambria Math"/>
          <w:position w:val="-10"/>
          <w:sz w:val="28"/>
        </w:rPr>
        <w:t> </w:t>
      </w:r>
      <w:r>
        <w:rPr>
          <w:rFonts w:ascii="Cambria Math"/>
          <w:w w:val="270"/>
          <w:position w:val="-10"/>
          <w:sz w:val="28"/>
        </w:rPr>
        <w:t> </w:t>
      </w:r>
      <w:r>
        <w:rPr>
          <w:rFonts w:ascii="Cambria Math"/>
          <w:w w:val="282"/>
          <w:sz w:val="20"/>
        </w:rPr>
        <w:t> </w:t>
      </w:r>
      <w:r>
        <w:rPr>
          <w:rFonts w:ascii="Cambria Math"/>
          <w:sz w:val="20"/>
        </w:rPr>
        <w:t> </w:t>
      </w:r>
      <w:r>
        <w:rPr>
          <w:rFonts w:ascii="Cambria Math"/>
          <w:w w:val="120"/>
          <w:position w:val="-11"/>
          <w:sz w:val="28"/>
        </w:rPr>
        <w:t>(   )</w:t>
      </w:r>
    </w:p>
    <w:p>
      <w:pPr>
        <w:pStyle w:val="BodyText"/>
        <w:rPr>
          <w:rFonts w:ascii="Cambria Math"/>
        </w:rPr>
      </w:pPr>
      <w:r>
        <w:rPr/>
        <w:br w:type="column"/>
      </w:r>
      <w:r>
        <w:rPr>
          <w:rFonts w:ascii="Cambria Math"/>
        </w:rPr>
      </w:r>
    </w:p>
    <w:p>
      <w:pPr>
        <w:pStyle w:val="BodyText"/>
        <w:ind w:left="919"/>
      </w:pPr>
      <w:r>
        <w:rPr/>
        <w:t>(3.9)</w:t>
      </w:r>
    </w:p>
    <w:p>
      <w:pPr>
        <w:spacing w:after="0"/>
        <w:sectPr>
          <w:type w:val="continuous"/>
          <w:pgSz w:w="12250" w:h="15850"/>
          <w:pgMar w:top="1500" w:bottom="280" w:left="1580" w:right="1580"/>
          <w:cols w:num="2" w:equalWidth="0">
            <w:col w:w="5032" w:space="40"/>
            <w:col w:w="4018"/>
          </w:cols>
        </w:sectPr>
      </w:pPr>
    </w:p>
    <w:p>
      <w:pPr>
        <w:pStyle w:val="BodyText"/>
        <w:spacing w:before="124"/>
        <w:ind w:left="830" w:right="115"/>
      </w:pPr>
      <w:r>
        <w:rPr/>
        <w:t>Donde:</w:t>
      </w:r>
    </w:p>
    <w:p>
      <w:pPr>
        <w:pStyle w:val="BodyText"/>
        <w:spacing w:before="2"/>
        <w:rPr>
          <w:sz w:val="19"/>
        </w:rPr>
      </w:pPr>
    </w:p>
    <w:p>
      <w:pPr>
        <w:tabs>
          <w:tab w:pos="5966" w:val="left" w:leader="none"/>
        </w:tabs>
        <w:spacing w:before="101"/>
        <w:ind w:left="3245" w:right="115" w:firstLine="0"/>
        <w:jc w:val="left"/>
        <w:rPr>
          <w:sz w:val="24"/>
        </w:rPr>
      </w:pPr>
      <w:r>
        <w:rPr>
          <w:rFonts w:ascii="Cambria Math"/>
          <w:spacing w:val="-1"/>
          <w:w w:val="238"/>
          <w:position w:val="6"/>
          <w:sz w:val="28"/>
        </w:rPr>
        <w:t> </w:t>
      </w:r>
      <w:r>
        <w:rPr>
          <w:rFonts w:ascii="Cambria Math"/>
          <w:spacing w:val="1"/>
          <w:w w:val="178"/>
          <w:sz w:val="20"/>
        </w:rPr>
        <w:t> </w:t>
      </w:r>
      <w:r>
        <w:rPr>
          <w:rFonts w:ascii="Cambria Math"/>
          <w:spacing w:val="6"/>
          <w:w w:val="178"/>
          <w:sz w:val="20"/>
        </w:rPr>
        <w:t> </w:t>
      </w:r>
      <w:r>
        <w:rPr>
          <w:rFonts w:ascii="Cambria Math"/>
          <w:spacing w:val="-1"/>
          <w:w w:val="92"/>
          <w:sz w:val="20"/>
        </w:rPr>
        <w:t> </w:t>
      </w:r>
      <w:r>
        <w:rPr>
          <w:rFonts w:ascii="Cambria Math"/>
          <w:w w:val="286"/>
          <w:sz w:val="20"/>
        </w:rPr>
        <w:t> </w:t>
      </w:r>
      <w:r>
        <w:rPr>
          <w:rFonts w:ascii="Cambria Math"/>
          <w:sz w:val="20"/>
        </w:rPr>
        <w:t> </w:t>
      </w:r>
      <w:r>
        <w:rPr>
          <w:rFonts w:ascii="Cambria Math"/>
          <w:spacing w:val="6"/>
          <w:sz w:val="20"/>
        </w:rPr>
        <w:t> </w:t>
      </w:r>
      <w:r>
        <w:rPr>
          <w:rFonts w:ascii="Cambria Math"/>
          <w:w w:val="340"/>
          <w:position w:val="6"/>
          <w:sz w:val="28"/>
        </w:rPr>
        <w:t> </w:t>
      </w:r>
      <w:r>
        <w:rPr>
          <w:rFonts w:ascii="Cambria Math"/>
          <w:position w:val="6"/>
          <w:sz w:val="28"/>
        </w:rPr>
        <w:t> </w:t>
      </w:r>
      <w:r>
        <w:rPr>
          <w:rFonts w:ascii="Cambria Math"/>
          <w:spacing w:val="14"/>
          <w:position w:val="6"/>
          <w:sz w:val="28"/>
        </w:rPr>
        <w:t> </w:t>
      </w:r>
      <w:r>
        <w:rPr>
          <w:rFonts w:ascii="Cambria Math"/>
          <w:spacing w:val="-6"/>
          <w:w w:val="207"/>
          <w:position w:val="6"/>
          <w:sz w:val="28"/>
        </w:rPr>
        <w:t> </w:t>
      </w:r>
      <w:r>
        <w:rPr>
          <w:rFonts w:ascii="Cambria Math"/>
          <w:spacing w:val="1"/>
          <w:w w:val="178"/>
          <w:sz w:val="20"/>
        </w:rPr>
        <w:t> </w:t>
      </w:r>
      <w:r>
        <w:rPr>
          <w:rFonts w:ascii="Cambria Math"/>
          <w:spacing w:val="6"/>
          <w:w w:val="178"/>
          <w:sz w:val="20"/>
        </w:rPr>
        <w:t> </w:t>
      </w:r>
      <w:r>
        <w:rPr>
          <w:rFonts w:ascii="Cambria Math"/>
          <w:spacing w:val="-1"/>
          <w:w w:val="92"/>
          <w:sz w:val="20"/>
        </w:rPr>
        <w:t> </w:t>
      </w:r>
      <w:r>
        <w:rPr>
          <w:rFonts w:ascii="Cambria Math"/>
          <w:spacing w:val="1"/>
          <w:w w:val="199"/>
          <w:sz w:val="20"/>
        </w:rPr>
        <w:t> </w:t>
      </w:r>
      <w:r>
        <w:rPr>
          <w:rFonts w:ascii="Cambria Math"/>
          <w:w w:val="270"/>
          <w:sz w:val="20"/>
        </w:rPr>
        <w:t> </w:t>
      </w:r>
      <w:r>
        <w:rPr>
          <w:rFonts w:ascii="Cambria Math"/>
          <w:w w:val="158"/>
          <w:sz w:val="20"/>
        </w:rPr>
        <w:t> </w:t>
      </w:r>
      <w:r>
        <w:rPr>
          <w:rFonts w:ascii="Cambria Math"/>
          <w:sz w:val="20"/>
        </w:rPr>
        <w:t>  </w:t>
      </w:r>
      <w:r>
        <w:rPr>
          <w:rFonts w:ascii="Cambria Math"/>
          <w:spacing w:val="-8"/>
          <w:sz w:val="20"/>
        </w:rPr>
        <w:t> </w:t>
      </w:r>
      <w:r>
        <w:rPr>
          <w:rFonts w:ascii="Cambria Math"/>
          <w:w w:val="219"/>
          <w:position w:val="6"/>
          <w:sz w:val="28"/>
        </w:rPr>
        <w:t> </w:t>
      </w:r>
      <w:r>
        <w:rPr>
          <w:rFonts w:ascii="Cambria Math"/>
          <w:position w:val="6"/>
          <w:sz w:val="28"/>
        </w:rPr>
        <w:t>  </w:t>
      </w:r>
      <w:r>
        <w:rPr>
          <w:rFonts w:ascii="Cambria Math"/>
          <w:spacing w:val="-6"/>
          <w:w w:val="207"/>
          <w:position w:val="6"/>
          <w:sz w:val="28"/>
        </w:rPr>
        <w:t> </w:t>
      </w:r>
      <w:r>
        <w:rPr>
          <w:rFonts w:ascii="Cambria Math"/>
          <w:spacing w:val="1"/>
          <w:w w:val="199"/>
          <w:sz w:val="20"/>
        </w:rPr>
        <w:t> </w:t>
      </w:r>
      <w:r>
        <w:rPr>
          <w:rFonts w:ascii="Cambria Math"/>
          <w:w w:val="270"/>
          <w:sz w:val="20"/>
        </w:rPr>
        <w:t> </w:t>
      </w:r>
      <w:r>
        <w:rPr>
          <w:rFonts w:ascii="Cambria Math"/>
          <w:spacing w:val="7"/>
          <w:w w:val="158"/>
          <w:sz w:val="20"/>
        </w:rPr>
        <w:t> </w:t>
      </w:r>
      <w:r>
        <w:rPr>
          <w:rFonts w:ascii="Cambria Math"/>
          <w:spacing w:val="-1"/>
          <w:w w:val="92"/>
          <w:sz w:val="20"/>
        </w:rPr>
        <w:t> </w:t>
      </w:r>
      <w:r>
        <w:rPr>
          <w:rFonts w:ascii="Cambria Math"/>
          <w:w w:val="286"/>
          <w:sz w:val="20"/>
        </w:rPr>
        <w:t> </w:t>
      </w:r>
      <w:r>
        <w:rPr>
          <w:rFonts w:ascii="Cambria Math"/>
          <w:sz w:val="20"/>
        </w:rPr>
        <w:tab/>
      </w:r>
      <w:r>
        <w:rPr>
          <w:position w:val="6"/>
          <w:sz w:val="24"/>
        </w:rPr>
        <w:t>(3.10)</w:t>
      </w:r>
    </w:p>
    <w:p>
      <w:pPr>
        <w:pStyle w:val="BodyText"/>
        <w:spacing w:before="9"/>
        <w:rPr>
          <w:sz w:val="26"/>
        </w:rPr>
      </w:pPr>
    </w:p>
    <w:p>
      <w:pPr>
        <w:pStyle w:val="BodyText"/>
        <w:spacing w:line="360" w:lineRule="auto"/>
        <w:ind w:left="122" w:right="115" w:firstLine="707"/>
      </w:pPr>
      <w:r>
        <w:rPr/>
        <w:t>La elasticidad de cada ingreso tributario es el producto de dos elasticidades: i) en relación con la base total de cada tipo de ingreso y ii) con relación al producto.</w:t>
      </w:r>
    </w:p>
    <w:p>
      <w:pPr>
        <w:pStyle w:val="BodyText"/>
        <w:spacing w:before="1"/>
      </w:pPr>
    </w:p>
    <w:p>
      <w:pPr>
        <w:spacing w:before="0"/>
        <w:ind w:left="830" w:right="115" w:firstLine="0"/>
        <w:jc w:val="left"/>
        <w:rPr>
          <w:i/>
          <w:sz w:val="24"/>
        </w:rPr>
      </w:pPr>
      <w:r>
        <w:rPr>
          <w:i/>
          <w:sz w:val="24"/>
        </w:rPr>
        <w:t>Gastos estructurales</w:t>
      </w:r>
    </w:p>
    <w:p>
      <w:pPr>
        <w:pStyle w:val="BodyText"/>
        <w:spacing w:before="2"/>
        <w:rPr>
          <w:i/>
        </w:rPr>
      </w:pPr>
    </w:p>
    <w:p>
      <w:pPr>
        <w:pStyle w:val="BodyText"/>
        <w:spacing w:line="360" w:lineRule="auto" w:before="1"/>
        <w:ind w:left="122" w:right="115" w:firstLine="707"/>
      </w:pPr>
      <w:r>
        <w:rPr/>
        <w:t>Para el caso de Bolivia se asume que los gastos fiscales son estructurales, dada la ausencia de transferencias o bonos de desempleo durante épocas de recesión.</w:t>
      </w:r>
    </w:p>
    <w:p>
      <w:pPr>
        <w:pStyle w:val="BodyText"/>
        <w:spacing w:before="3"/>
      </w:pPr>
    </w:p>
    <w:p>
      <w:pPr>
        <w:pStyle w:val="BodyText"/>
        <w:spacing w:line="360" w:lineRule="auto" w:before="1"/>
        <w:ind w:left="122" w:right="115" w:firstLine="707"/>
      </w:pPr>
      <w:r>
        <w:rPr/>
        <w:t>Se descompone el balance primario (gasífero y no gasífero) por sus componentes cíclico y estructural:</w:t>
      </w:r>
    </w:p>
    <w:p>
      <w:pPr>
        <w:pStyle w:val="BodyText"/>
        <w:spacing w:before="1"/>
        <w:rPr>
          <w:sz w:val="28"/>
        </w:rPr>
      </w:pPr>
    </w:p>
    <w:p>
      <w:pPr>
        <w:tabs>
          <w:tab w:pos="7200" w:val="left" w:leader="none"/>
        </w:tabs>
        <w:spacing w:before="0"/>
        <w:ind w:left="2741" w:right="115" w:firstLine="0"/>
        <w:jc w:val="left"/>
        <w:rPr>
          <w:sz w:val="24"/>
        </w:rPr>
      </w:pPr>
      <w:r>
        <w:rPr>
          <w:rFonts w:ascii="Cambria Math"/>
          <w:w w:val="298"/>
          <w:position w:val="6"/>
          <w:sz w:val="28"/>
        </w:rPr>
        <w:t> </w:t>
      </w:r>
      <w:r>
        <w:rPr>
          <w:rFonts w:ascii="Cambria Math"/>
          <w:spacing w:val="-31"/>
          <w:w w:val="282"/>
          <w:position w:val="6"/>
          <w:sz w:val="28"/>
        </w:rPr>
        <w:t> </w:t>
      </w:r>
      <w:r>
        <w:rPr>
          <w:rFonts w:ascii="Cambria Math"/>
          <w:w w:val="199"/>
          <w:sz w:val="20"/>
        </w:rPr>
        <w:t> </w:t>
      </w:r>
      <w:r>
        <w:rPr>
          <w:rFonts w:ascii="Cambria Math"/>
          <w:sz w:val="20"/>
        </w:rPr>
        <w:t> </w:t>
      </w:r>
      <w:r>
        <w:rPr>
          <w:rFonts w:ascii="Cambria Math"/>
          <w:spacing w:val="6"/>
          <w:sz w:val="20"/>
        </w:rPr>
        <w:t> </w:t>
      </w:r>
      <w:r>
        <w:rPr>
          <w:rFonts w:ascii="Cambria Math"/>
          <w:w w:val="340"/>
          <w:position w:val="6"/>
          <w:sz w:val="28"/>
        </w:rPr>
        <w:t> </w:t>
      </w:r>
      <w:r>
        <w:rPr>
          <w:rFonts w:ascii="Cambria Math"/>
          <w:position w:val="6"/>
          <w:sz w:val="28"/>
        </w:rPr>
        <w:t> </w:t>
      </w:r>
      <w:r>
        <w:rPr>
          <w:rFonts w:ascii="Cambria Math"/>
          <w:spacing w:val="14"/>
          <w:position w:val="6"/>
          <w:sz w:val="28"/>
        </w:rPr>
        <w:t> </w:t>
      </w:r>
      <w:r>
        <w:rPr>
          <w:rFonts w:ascii="Cambria Math"/>
          <w:w w:val="298"/>
          <w:position w:val="6"/>
          <w:sz w:val="28"/>
        </w:rPr>
        <w:t> </w:t>
      </w:r>
      <w:r>
        <w:rPr>
          <w:rFonts w:ascii="Cambria Math"/>
          <w:spacing w:val="-31"/>
          <w:w w:val="282"/>
          <w:position w:val="6"/>
          <w:sz w:val="28"/>
        </w:rPr>
        <w:t> </w:t>
      </w:r>
      <w:r>
        <w:rPr>
          <w:rFonts w:ascii="Cambria Math"/>
          <w:w w:val="228"/>
          <w:sz w:val="20"/>
        </w:rPr>
        <w:t> </w:t>
      </w:r>
      <w:r>
        <w:rPr>
          <w:i/>
          <w:spacing w:val="-1"/>
          <w:w w:val="110"/>
          <w:sz w:val="20"/>
        </w:rPr>
        <w:t> </w:t>
      </w:r>
      <w:r>
        <w:rPr>
          <w:rFonts w:ascii="Cambria Math"/>
          <w:w w:val="182"/>
          <w:sz w:val="20"/>
        </w:rPr>
        <w:t>  </w:t>
      </w:r>
      <w:r>
        <w:rPr>
          <w:rFonts w:ascii="Cambria Math"/>
          <w:spacing w:val="-1"/>
          <w:w w:val="182"/>
          <w:sz w:val="20"/>
        </w:rPr>
        <w:t> </w:t>
      </w:r>
      <w:r>
        <w:rPr>
          <w:rFonts w:ascii="Cambria Math"/>
          <w:w w:val="247"/>
          <w:sz w:val="20"/>
        </w:rPr>
        <w:t> </w:t>
      </w:r>
      <w:r>
        <w:rPr>
          <w:rFonts w:ascii="Cambria Math"/>
          <w:spacing w:val="-5"/>
          <w:w w:val="247"/>
          <w:sz w:val="20"/>
        </w:rPr>
        <w:t> </w:t>
      </w:r>
      <w:r>
        <w:rPr>
          <w:rFonts w:ascii="Cambria Math"/>
          <w:w w:val="215"/>
          <w:position w:val="-3"/>
          <w:sz w:val="16"/>
        </w:rPr>
        <w:t> </w:t>
      </w:r>
      <w:r>
        <w:rPr>
          <w:rFonts w:ascii="Cambria Math"/>
          <w:position w:val="-3"/>
          <w:sz w:val="16"/>
        </w:rPr>
        <w:t> </w:t>
      </w:r>
      <w:r>
        <w:rPr>
          <w:rFonts w:ascii="Cambria Math"/>
          <w:spacing w:val="11"/>
          <w:position w:val="-3"/>
          <w:sz w:val="16"/>
        </w:rPr>
        <w:t> </w:t>
      </w:r>
      <w:r>
        <w:rPr>
          <w:rFonts w:ascii="Cambria Math"/>
          <w:w w:val="340"/>
          <w:position w:val="6"/>
          <w:sz w:val="28"/>
        </w:rPr>
        <w:t> </w:t>
      </w:r>
      <w:r>
        <w:rPr>
          <w:rFonts w:ascii="Cambria Math"/>
          <w:spacing w:val="-1"/>
          <w:position w:val="6"/>
          <w:sz w:val="28"/>
        </w:rPr>
        <w:t> </w:t>
      </w:r>
      <w:r>
        <w:rPr>
          <w:rFonts w:ascii="Cambria Math"/>
          <w:w w:val="298"/>
          <w:position w:val="6"/>
          <w:sz w:val="28"/>
        </w:rPr>
        <w:t> </w:t>
      </w:r>
      <w:r>
        <w:rPr>
          <w:rFonts w:ascii="Cambria Math"/>
          <w:spacing w:val="-31"/>
          <w:w w:val="282"/>
          <w:position w:val="6"/>
          <w:sz w:val="28"/>
        </w:rPr>
        <w:t> </w:t>
      </w:r>
      <w:r>
        <w:rPr>
          <w:rFonts w:ascii="Cambria Math"/>
          <w:w w:val="221"/>
          <w:sz w:val="20"/>
        </w:rPr>
        <w:t>   </w:t>
      </w:r>
      <w:r>
        <w:rPr>
          <w:rFonts w:ascii="Cambria Math"/>
          <w:w w:val="253"/>
          <w:sz w:val="20"/>
        </w:rPr>
        <w:t>   </w:t>
      </w:r>
      <w:r>
        <w:rPr>
          <w:rFonts w:ascii="Cambria Math"/>
          <w:spacing w:val="1"/>
          <w:w w:val="199"/>
          <w:sz w:val="20"/>
        </w:rPr>
        <w:t> </w:t>
      </w:r>
      <w:r>
        <w:rPr>
          <w:rFonts w:ascii="Cambria Math"/>
          <w:w w:val="271"/>
          <w:sz w:val="20"/>
        </w:rPr>
        <w:t>   </w:t>
      </w:r>
      <w:r>
        <w:rPr>
          <w:rFonts w:ascii="Cambria Math"/>
          <w:w w:val="159"/>
          <w:sz w:val="20"/>
        </w:rPr>
        <w:t> </w:t>
      </w:r>
      <w:r>
        <w:rPr>
          <w:rFonts w:ascii="Cambria Math"/>
          <w:w w:val="215"/>
          <w:position w:val="-3"/>
          <w:sz w:val="16"/>
        </w:rPr>
        <w:t> </w:t>
      </w:r>
      <w:r>
        <w:rPr>
          <w:rFonts w:ascii="Cambria Math"/>
          <w:position w:val="-3"/>
          <w:sz w:val="16"/>
        </w:rPr>
        <w:tab/>
      </w:r>
      <w:r>
        <w:rPr>
          <w:position w:val="6"/>
          <w:sz w:val="24"/>
        </w:rPr>
        <w:t>(3.11)</w:t>
      </w:r>
    </w:p>
    <w:p>
      <w:pPr>
        <w:pStyle w:val="BodyText"/>
        <w:spacing w:before="2"/>
        <w:rPr>
          <w:sz w:val="46"/>
        </w:rPr>
      </w:pPr>
    </w:p>
    <w:p>
      <w:pPr>
        <w:spacing w:before="1"/>
        <w:ind w:left="2757" w:right="0" w:firstLine="0"/>
        <w:jc w:val="left"/>
        <w:rPr>
          <w:rFonts w:ascii="Cambria Math"/>
          <w:sz w:val="16"/>
        </w:rPr>
      </w:pPr>
      <w:r>
        <w:rPr>
          <w:rFonts w:ascii="Cambria Math"/>
          <w:w w:val="290"/>
          <w:position w:val="6"/>
          <w:sz w:val="28"/>
        </w:rPr>
        <w:t> </w:t>
      </w:r>
      <w:r>
        <w:rPr>
          <w:rFonts w:ascii="Cambria Math"/>
          <w:spacing w:val="1"/>
          <w:w w:val="290"/>
          <w:position w:val="6"/>
          <w:sz w:val="28"/>
        </w:rPr>
        <w:t> </w:t>
      </w:r>
      <w:r>
        <w:rPr>
          <w:rFonts w:ascii="Cambria Math"/>
          <w:w w:val="333"/>
          <w:position w:val="6"/>
          <w:sz w:val="28"/>
        </w:rPr>
        <w:t> </w:t>
      </w:r>
      <w:r>
        <w:rPr>
          <w:rFonts w:ascii="Cambria Math"/>
          <w:spacing w:val="-9"/>
          <w:w w:val="286"/>
          <w:position w:val="6"/>
          <w:sz w:val="28"/>
        </w:rPr>
        <w:t> </w:t>
      </w:r>
      <w:r>
        <w:rPr>
          <w:rFonts w:ascii="Cambria Math"/>
          <w:w w:val="199"/>
          <w:sz w:val="20"/>
        </w:rPr>
        <w:t> </w:t>
      </w:r>
      <w:r>
        <w:rPr>
          <w:rFonts w:ascii="Cambria Math"/>
          <w:sz w:val="20"/>
        </w:rPr>
        <w:t> </w:t>
      </w:r>
      <w:r>
        <w:rPr>
          <w:rFonts w:ascii="Cambria Math"/>
          <w:spacing w:val="4"/>
          <w:sz w:val="20"/>
        </w:rPr>
        <w:t> </w:t>
      </w:r>
      <w:r>
        <w:rPr>
          <w:rFonts w:ascii="Cambria Math"/>
          <w:w w:val="340"/>
          <w:position w:val="6"/>
          <w:sz w:val="28"/>
        </w:rPr>
        <w:t> </w:t>
      </w:r>
      <w:r>
        <w:rPr>
          <w:rFonts w:ascii="Cambria Math"/>
          <w:position w:val="6"/>
          <w:sz w:val="28"/>
        </w:rPr>
        <w:t> </w:t>
      </w:r>
      <w:r>
        <w:rPr>
          <w:rFonts w:ascii="Cambria Math"/>
          <w:spacing w:val="14"/>
          <w:position w:val="6"/>
          <w:sz w:val="28"/>
        </w:rPr>
        <w:t> </w:t>
      </w:r>
      <w:r>
        <w:rPr>
          <w:rFonts w:ascii="Cambria Math"/>
          <w:w w:val="290"/>
          <w:position w:val="6"/>
          <w:sz w:val="28"/>
        </w:rPr>
        <w:t> </w:t>
      </w:r>
      <w:r>
        <w:rPr>
          <w:rFonts w:ascii="Cambria Math"/>
          <w:spacing w:val="1"/>
          <w:w w:val="290"/>
          <w:position w:val="6"/>
          <w:sz w:val="28"/>
        </w:rPr>
        <w:t> </w:t>
      </w:r>
      <w:r>
        <w:rPr>
          <w:rFonts w:ascii="Cambria Math"/>
          <w:spacing w:val="-2"/>
          <w:w w:val="333"/>
          <w:position w:val="6"/>
          <w:sz w:val="28"/>
        </w:rPr>
        <w:t> </w:t>
      </w:r>
      <w:r>
        <w:rPr>
          <w:rFonts w:ascii="Cambria Math"/>
          <w:spacing w:val="-7"/>
          <w:w w:val="286"/>
          <w:position w:val="6"/>
          <w:sz w:val="28"/>
        </w:rPr>
        <w:t> </w:t>
      </w:r>
      <w:r>
        <w:rPr>
          <w:rFonts w:ascii="Cambria Math"/>
          <w:w w:val="228"/>
          <w:sz w:val="20"/>
        </w:rPr>
        <w:t> </w:t>
      </w:r>
      <w:r>
        <w:rPr>
          <w:i/>
          <w:spacing w:val="-1"/>
          <w:w w:val="110"/>
          <w:sz w:val="20"/>
        </w:rPr>
        <w:t> </w:t>
      </w:r>
      <w:r>
        <w:rPr>
          <w:rFonts w:ascii="Cambria Math"/>
          <w:w w:val="182"/>
          <w:sz w:val="20"/>
        </w:rPr>
        <w:t>  </w:t>
      </w:r>
      <w:r>
        <w:rPr>
          <w:rFonts w:ascii="Cambria Math"/>
          <w:spacing w:val="-1"/>
          <w:w w:val="182"/>
          <w:sz w:val="20"/>
        </w:rPr>
        <w:t> </w:t>
      </w:r>
      <w:r>
        <w:rPr>
          <w:rFonts w:ascii="Cambria Math"/>
          <w:w w:val="247"/>
          <w:sz w:val="20"/>
        </w:rPr>
        <w:t> </w:t>
      </w:r>
      <w:r>
        <w:rPr>
          <w:rFonts w:ascii="Cambria Math"/>
          <w:spacing w:val="-4"/>
          <w:w w:val="247"/>
          <w:sz w:val="20"/>
        </w:rPr>
        <w:t> </w:t>
      </w:r>
      <w:r>
        <w:rPr>
          <w:rFonts w:ascii="Cambria Math"/>
          <w:w w:val="215"/>
          <w:position w:val="-3"/>
          <w:sz w:val="16"/>
        </w:rPr>
        <w:t> </w:t>
      </w:r>
      <w:r>
        <w:rPr>
          <w:rFonts w:ascii="Cambria Math"/>
          <w:position w:val="-3"/>
          <w:sz w:val="16"/>
        </w:rPr>
        <w:t> </w:t>
      </w:r>
      <w:r>
        <w:rPr>
          <w:rFonts w:ascii="Cambria Math"/>
          <w:spacing w:val="9"/>
          <w:position w:val="-3"/>
          <w:sz w:val="16"/>
        </w:rPr>
        <w:t> </w:t>
      </w:r>
      <w:r>
        <w:rPr>
          <w:rFonts w:ascii="Cambria Math"/>
          <w:w w:val="340"/>
          <w:position w:val="6"/>
          <w:sz w:val="28"/>
        </w:rPr>
        <w:t> </w:t>
      </w:r>
      <w:r>
        <w:rPr>
          <w:rFonts w:ascii="Cambria Math"/>
          <w:spacing w:val="-1"/>
          <w:position w:val="6"/>
          <w:sz w:val="28"/>
        </w:rPr>
        <w:t> </w:t>
      </w:r>
      <w:r>
        <w:rPr>
          <w:rFonts w:ascii="Cambria Math"/>
          <w:w w:val="290"/>
          <w:position w:val="6"/>
          <w:sz w:val="28"/>
        </w:rPr>
        <w:t> </w:t>
      </w:r>
      <w:r>
        <w:rPr>
          <w:rFonts w:ascii="Cambria Math"/>
          <w:spacing w:val="1"/>
          <w:w w:val="290"/>
          <w:position w:val="6"/>
          <w:sz w:val="28"/>
        </w:rPr>
        <w:t> </w:t>
      </w:r>
      <w:r>
        <w:rPr>
          <w:rFonts w:ascii="Cambria Math"/>
          <w:spacing w:val="-2"/>
          <w:w w:val="333"/>
          <w:position w:val="6"/>
          <w:sz w:val="28"/>
        </w:rPr>
        <w:t> </w:t>
      </w:r>
      <w:r>
        <w:rPr>
          <w:rFonts w:ascii="Cambria Math"/>
          <w:spacing w:val="-9"/>
          <w:w w:val="286"/>
          <w:position w:val="6"/>
          <w:sz w:val="28"/>
        </w:rPr>
        <w:t> </w:t>
      </w:r>
      <w:r>
        <w:rPr>
          <w:rFonts w:ascii="Cambria Math"/>
          <w:w w:val="221"/>
          <w:sz w:val="20"/>
        </w:rPr>
        <w:t>   </w:t>
      </w:r>
      <w:r>
        <w:rPr>
          <w:rFonts w:ascii="Cambria Math"/>
          <w:w w:val="253"/>
          <w:sz w:val="20"/>
        </w:rPr>
        <w:t>   </w:t>
      </w:r>
      <w:r>
        <w:rPr>
          <w:rFonts w:ascii="Cambria Math"/>
          <w:spacing w:val="1"/>
          <w:w w:val="199"/>
          <w:sz w:val="20"/>
        </w:rPr>
        <w:t> </w:t>
      </w:r>
      <w:r>
        <w:rPr>
          <w:rFonts w:ascii="Cambria Math"/>
          <w:w w:val="271"/>
          <w:sz w:val="20"/>
        </w:rPr>
        <w:t>   </w:t>
      </w:r>
      <w:r>
        <w:rPr>
          <w:rFonts w:ascii="Cambria Math"/>
          <w:w w:val="159"/>
          <w:sz w:val="20"/>
        </w:rPr>
        <w:t> </w:t>
      </w:r>
      <w:r>
        <w:rPr>
          <w:rFonts w:ascii="Cambria Math"/>
          <w:w w:val="215"/>
          <w:position w:val="-3"/>
          <w:sz w:val="16"/>
        </w:rPr>
        <w:t> </w:t>
      </w:r>
    </w:p>
    <w:p>
      <w:pPr>
        <w:pStyle w:val="BodyText"/>
        <w:spacing w:before="2"/>
        <w:rPr>
          <w:rFonts w:ascii="Cambria Math"/>
          <w:sz w:val="14"/>
        </w:rPr>
      </w:pPr>
    </w:p>
    <w:p>
      <w:pPr>
        <w:spacing w:after="0"/>
        <w:rPr>
          <w:rFonts w:ascii="Cambria Math"/>
          <w:sz w:val="14"/>
        </w:rPr>
        <w:sectPr>
          <w:type w:val="continuous"/>
          <w:pgSz w:w="12250" w:h="15850"/>
          <w:pgMar w:top="1500" w:bottom="280" w:left="1580" w:right="1580"/>
        </w:sectPr>
      </w:pPr>
    </w:p>
    <w:p>
      <w:pPr>
        <w:pStyle w:val="BodyText"/>
        <w:spacing w:before="69"/>
        <w:jc w:val="right"/>
      </w:pPr>
      <w:r>
        <w:rPr/>
        <w:t>Luego:</w:t>
      </w:r>
    </w:p>
    <w:p>
      <w:pPr>
        <w:pStyle w:val="BodyText"/>
        <w:rPr>
          <w:sz w:val="34"/>
        </w:rPr>
      </w:pPr>
      <w:r>
        <w:rPr/>
        <w:br w:type="column"/>
      </w:r>
      <w:r>
        <w:rPr>
          <w:sz w:val="34"/>
        </w:rPr>
      </w:r>
    </w:p>
    <w:p>
      <w:pPr>
        <w:tabs>
          <w:tab w:pos="4953" w:val="left" w:leader="none"/>
        </w:tabs>
        <w:spacing w:before="0"/>
        <w:ind w:left="434" w:right="0" w:firstLine="0"/>
        <w:jc w:val="left"/>
        <w:rPr>
          <w:sz w:val="24"/>
        </w:rPr>
      </w:pPr>
      <w:r>
        <w:rPr>
          <w:rFonts w:ascii="Cambria Math"/>
          <w:w w:val="298"/>
          <w:position w:val="6"/>
          <w:sz w:val="28"/>
        </w:rPr>
        <w:t> </w:t>
      </w:r>
      <w:r>
        <w:rPr>
          <w:rFonts w:ascii="Cambria Math"/>
          <w:spacing w:val="-31"/>
          <w:w w:val="282"/>
          <w:position w:val="6"/>
          <w:sz w:val="28"/>
        </w:rPr>
        <w:t> </w:t>
      </w:r>
      <w:r>
        <w:rPr>
          <w:rFonts w:ascii="Cambria Math"/>
          <w:w w:val="228"/>
          <w:sz w:val="20"/>
        </w:rPr>
        <w:t> </w:t>
      </w:r>
      <w:r>
        <w:rPr>
          <w:i/>
          <w:spacing w:val="-1"/>
          <w:w w:val="110"/>
          <w:sz w:val="20"/>
        </w:rPr>
        <w:t> </w:t>
      </w:r>
      <w:r>
        <w:rPr>
          <w:rFonts w:ascii="Cambria Math"/>
          <w:w w:val="182"/>
          <w:sz w:val="20"/>
        </w:rPr>
        <w:t>  </w:t>
      </w:r>
      <w:r>
        <w:rPr>
          <w:rFonts w:ascii="Cambria Math"/>
          <w:spacing w:val="-1"/>
          <w:w w:val="182"/>
          <w:sz w:val="20"/>
        </w:rPr>
        <w:t> </w:t>
      </w:r>
      <w:r>
        <w:rPr>
          <w:rFonts w:ascii="Cambria Math"/>
          <w:w w:val="247"/>
          <w:sz w:val="20"/>
        </w:rPr>
        <w:t> </w:t>
      </w:r>
      <w:r>
        <w:rPr>
          <w:rFonts w:ascii="Cambria Math"/>
          <w:spacing w:val="-5"/>
          <w:w w:val="247"/>
          <w:sz w:val="20"/>
        </w:rPr>
        <w:t> </w:t>
      </w:r>
      <w:r>
        <w:rPr>
          <w:rFonts w:ascii="Cambria Math"/>
          <w:w w:val="215"/>
          <w:position w:val="-3"/>
          <w:sz w:val="16"/>
        </w:rPr>
        <w:t> </w:t>
      </w:r>
      <w:r>
        <w:rPr>
          <w:rFonts w:ascii="Cambria Math"/>
          <w:position w:val="-3"/>
          <w:sz w:val="16"/>
        </w:rPr>
        <w:t>  </w:t>
      </w:r>
      <w:r>
        <w:rPr>
          <w:rFonts w:ascii="Cambria Math"/>
          <w:spacing w:val="-9"/>
          <w:position w:val="-3"/>
          <w:sz w:val="16"/>
        </w:rPr>
        <w:t> </w:t>
      </w:r>
      <w:r>
        <w:rPr>
          <w:rFonts w:ascii="Cambria Math"/>
          <w:w w:val="340"/>
          <w:position w:val="6"/>
          <w:sz w:val="28"/>
        </w:rPr>
        <w:t> </w:t>
      </w:r>
      <w:r>
        <w:rPr>
          <w:rFonts w:ascii="Cambria Math"/>
          <w:position w:val="6"/>
          <w:sz w:val="28"/>
        </w:rPr>
        <w:t> </w:t>
      </w:r>
      <w:r>
        <w:rPr>
          <w:rFonts w:ascii="Cambria Math"/>
          <w:spacing w:val="14"/>
          <w:position w:val="6"/>
          <w:sz w:val="28"/>
        </w:rPr>
        <w:t> </w:t>
      </w:r>
      <w:r>
        <w:rPr>
          <w:rFonts w:ascii="Cambria Math"/>
          <w:w w:val="298"/>
          <w:position w:val="6"/>
          <w:sz w:val="28"/>
        </w:rPr>
        <w:t> </w:t>
      </w:r>
      <w:r>
        <w:rPr>
          <w:rFonts w:ascii="Cambria Math"/>
          <w:spacing w:val="-31"/>
          <w:w w:val="282"/>
          <w:position w:val="6"/>
          <w:sz w:val="28"/>
        </w:rPr>
        <w:t> </w:t>
      </w:r>
      <w:r>
        <w:rPr>
          <w:rFonts w:ascii="Cambria Math"/>
          <w:w w:val="199"/>
          <w:sz w:val="20"/>
        </w:rPr>
        <w:t> </w:t>
      </w:r>
      <w:r>
        <w:rPr>
          <w:rFonts w:ascii="Cambria Math"/>
          <w:sz w:val="20"/>
        </w:rPr>
        <w:t> </w:t>
      </w:r>
      <w:r>
        <w:rPr>
          <w:rFonts w:ascii="Cambria Math"/>
          <w:spacing w:val="-8"/>
          <w:sz w:val="20"/>
        </w:rPr>
        <w:t> </w:t>
      </w:r>
      <w:r>
        <w:rPr>
          <w:rFonts w:ascii="Cambria Math"/>
          <w:w w:val="340"/>
          <w:position w:val="6"/>
          <w:sz w:val="28"/>
        </w:rPr>
        <w:t> </w:t>
      </w:r>
      <w:r>
        <w:rPr>
          <w:rFonts w:ascii="Cambria Math"/>
          <w:spacing w:val="-1"/>
          <w:position w:val="6"/>
          <w:sz w:val="28"/>
        </w:rPr>
        <w:t> </w:t>
      </w:r>
      <w:r>
        <w:rPr>
          <w:rFonts w:ascii="Cambria Math"/>
          <w:w w:val="298"/>
          <w:position w:val="6"/>
          <w:sz w:val="28"/>
        </w:rPr>
        <w:t> </w:t>
      </w:r>
      <w:r>
        <w:rPr>
          <w:rFonts w:ascii="Cambria Math"/>
          <w:spacing w:val="-31"/>
          <w:w w:val="282"/>
          <w:position w:val="6"/>
          <w:sz w:val="28"/>
        </w:rPr>
        <w:t> </w:t>
      </w:r>
      <w:r>
        <w:rPr>
          <w:rFonts w:ascii="Cambria Math"/>
          <w:w w:val="221"/>
          <w:sz w:val="20"/>
        </w:rPr>
        <w:t>   </w:t>
      </w:r>
      <w:r>
        <w:rPr>
          <w:rFonts w:ascii="Cambria Math"/>
          <w:w w:val="253"/>
          <w:sz w:val="20"/>
        </w:rPr>
        <w:t>   </w:t>
      </w:r>
      <w:r>
        <w:rPr>
          <w:rFonts w:ascii="Cambria Math"/>
          <w:spacing w:val="1"/>
          <w:w w:val="199"/>
          <w:sz w:val="20"/>
        </w:rPr>
        <w:t> </w:t>
      </w:r>
      <w:r>
        <w:rPr>
          <w:rFonts w:ascii="Cambria Math"/>
          <w:w w:val="271"/>
          <w:sz w:val="20"/>
        </w:rPr>
        <w:t>   </w:t>
      </w:r>
      <w:r>
        <w:rPr>
          <w:rFonts w:ascii="Cambria Math"/>
          <w:w w:val="159"/>
          <w:sz w:val="20"/>
        </w:rPr>
        <w:t> </w:t>
      </w:r>
      <w:r>
        <w:rPr>
          <w:rFonts w:ascii="Cambria Math"/>
          <w:w w:val="215"/>
          <w:position w:val="-3"/>
          <w:sz w:val="16"/>
        </w:rPr>
        <w:t> </w:t>
      </w:r>
      <w:r>
        <w:rPr>
          <w:rFonts w:ascii="Cambria Math"/>
          <w:position w:val="-3"/>
          <w:sz w:val="16"/>
        </w:rPr>
        <w:tab/>
      </w:r>
      <w:r>
        <w:rPr>
          <w:position w:val="6"/>
          <w:sz w:val="24"/>
        </w:rPr>
        <w:t>(3.12)</w:t>
      </w:r>
    </w:p>
    <w:p>
      <w:pPr>
        <w:pStyle w:val="BodyText"/>
        <w:spacing w:before="11"/>
        <w:rPr>
          <w:sz w:val="45"/>
        </w:rPr>
      </w:pPr>
    </w:p>
    <w:p>
      <w:pPr>
        <w:spacing w:before="0"/>
        <w:ind w:left="479" w:right="0" w:firstLine="0"/>
        <w:jc w:val="left"/>
        <w:rPr>
          <w:rFonts w:ascii="Cambria Math"/>
          <w:sz w:val="16"/>
        </w:rPr>
      </w:pPr>
      <w:r>
        <w:rPr>
          <w:rFonts w:ascii="Cambria Math"/>
          <w:w w:val="290"/>
          <w:position w:val="6"/>
          <w:sz w:val="28"/>
        </w:rPr>
        <w:t> </w:t>
      </w:r>
      <w:r>
        <w:rPr>
          <w:rFonts w:ascii="Cambria Math"/>
          <w:spacing w:val="1"/>
          <w:w w:val="290"/>
          <w:position w:val="6"/>
          <w:sz w:val="28"/>
        </w:rPr>
        <w:t> </w:t>
      </w:r>
      <w:r>
        <w:rPr>
          <w:rFonts w:ascii="Cambria Math"/>
          <w:w w:val="333"/>
          <w:position w:val="6"/>
          <w:sz w:val="28"/>
        </w:rPr>
        <w:t> </w:t>
      </w:r>
      <w:r>
        <w:rPr>
          <w:rFonts w:ascii="Cambria Math"/>
          <w:spacing w:val="-9"/>
          <w:w w:val="286"/>
          <w:position w:val="6"/>
          <w:sz w:val="28"/>
        </w:rPr>
        <w:t> </w:t>
      </w:r>
      <w:r>
        <w:rPr>
          <w:rFonts w:ascii="Cambria Math"/>
          <w:w w:val="228"/>
          <w:sz w:val="20"/>
        </w:rPr>
        <w:t> </w:t>
      </w:r>
      <w:r>
        <w:rPr>
          <w:i/>
          <w:spacing w:val="-1"/>
          <w:w w:val="110"/>
          <w:sz w:val="20"/>
        </w:rPr>
        <w:t> </w:t>
      </w:r>
      <w:r>
        <w:rPr>
          <w:rFonts w:ascii="Cambria Math"/>
          <w:w w:val="182"/>
          <w:sz w:val="20"/>
        </w:rPr>
        <w:t>  </w:t>
      </w:r>
      <w:r>
        <w:rPr>
          <w:rFonts w:ascii="Cambria Math"/>
          <w:spacing w:val="-1"/>
          <w:w w:val="182"/>
          <w:sz w:val="20"/>
        </w:rPr>
        <w:t> </w:t>
      </w:r>
      <w:r>
        <w:rPr>
          <w:rFonts w:ascii="Cambria Math"/>
          <w:w w:val="247"/>
          <w:sz w:val="20"/>
        </w:rPr>
        <w:t> </w:t>
      </w:r>
      <w:r>
        <w:rPr>
          <w:rFonts w:ascii="Cambria Math"/>
          <w:spacing w:val="-5"/>
          <w:w w:val="247"/>
          <w:sz w:val="20"/>
        </w:rPr>
        <w:t> </w:t>
      </w:r>
      <w:r>
        <w:rPr>
          <w:rFonts w:ascii="Cambria Math"/>
          <w:w w:val="215"/>
          <w:position w:val="-3"/>
          <w:sz w:val="16"/>
        </w:rPr>
        <w:t> </w:t>
      </w:r>
      <w:r>
        <w:rPr>
          <w:rFonts w:ascii="Cambria Math"/>
          <w:position w:val="-3"/>
          <w:sz w:val="16"/>
        </w:rPr>
        <w:t>  </w:t>
      </w:r>
      <w:r>
        <w:rPr>
          <w:rFonts w:ascii="Cambria Math"/>
          <w:spacing w:val="-12"/>
          <w:position w:val="-3"/>
          <w:sz w:val="16"/>
        </w:rPr>
        <w:t> </w:t>
      </w:r>
      <w:r>
        <w:rPr>
          <w:rFonts w:ascii="Cambria Math"/>
          <w:w w:val="340"/>
          <w:position w:val="6"/>
          <w:sz w:val="28"/>
        </w:rPr>
        <w:t> </w:t>
      </w:r>
      <w:r>
        <w:rPr>
          <w:rFonts w:ascii="Cambria Math"/>
          <w:position w:val="6"/>
          <w:sz w:val="28"/>
        </w:rPr>
        <w:t> </w:t>
      </w:r>
      <w:r>
        <w:rPr>
          <w:rFonts w:ascii="Cambria Math"/>
          <w:spacing w:val="17"/>
          <w:position w:val="6"/>
          <w:sz w:val="28"/>
        </w:rPr>
        <w:t> </w:t>
      </w:r>
      <w:r>
        <w:rPr>
          <w:rFonts w:ascii="Cambria Math"/>
          <w:w w:val="290"/>
          <w:position w:val="6"/>
          <w:sz w:val="28"/>
        </w:rPr>
        <w:t> </w:t>
      </w:r>
      <w:r>
        <w:rPr>
          <w:rFonts w:ascii="Cambria Math"/>
          <w:spacing w:val="1"/>
          <w:w w:val="290"/>
          <w:position w:val="6"/>
          <w:sz w:val="28"/>
        </w:rPr>
        <w:t> </w:t>
      </w:r>
      <w:r>
        <w:rPr>
          <w:rFonts w:ascii="Cambria Math"/>
          <w:spacing w:val="-2"/>
          <w:w w:val="333"/>
          <w:position w:val="6"/>
          <w:sz w:val="28"/>
        </w:rPr>
        <w:t> </w:t>
      </w:r>
      <w:r>
        <w:rPr>
          <w:rFonts w:ascii="Cambria Math"/>
          <w:spacing w:val="-9"/>
          <w:w w:val="286"/>
          <w:position w:val="6"/>
          <w:sz w:val="28"/>
        </w:rPr>
        <w:t> </w:t>
      </w:r>
      <w:r>
        <w:rPr>
          <w:rFonts w:ascii="Cambria Math"/>
          <w:w w:val="199"/>
          <w:sz w:val="20"/>
        </w:rPr>
        <w:t> </w:t>
      </w:r>
      <w:r>
        <w:rPr>
          <w:rFonts w:ascii="Cambria Math"/>
          <w:sz w:val="20"/>
        </w:rPr>
        <w:t> </w:t>
      </w:r>
      <w:r>
        <w:rPr>
          <w:rFonts w:ascii="Cambria Math"/>
          <w:spacing w:val="-10"/>
          <w:sz w:val="20"/>
        </w:rPr>
        <w:t> </w:t>
      </w:r>
      <w:r>
        <w:rPr>
          <w:rFonts w:ascii="Cambria Math"/>
          <w:w w:val="340"/>
          <w:position w:val="6"/>
          <w:sz w:val="28"/>
        </w:rPr>
        <w:t> </w:t>
      </w:r>
      <w:r>
        <w:rPr>
          <w:rFonts w:ascii="Cambria Math"/>
          <w:spacing w:val="-1"/>
          <w:position w:val="6"/>
          <w:sz w:val="28"/>
        </w:rPr>
        <w:t> </w:t>
      </w:r>
      <w:r>
        <w:rPr>
          <w:rFonts w:ascii="Cambria Math"/>
          <w:w w:val="290"/>
          <w:position w:val="6"/>
          <w:sz w:val="28"/>
        </w:rPr>
        <w:t> </w:t>
      </w:r>
      <w:r>
        <w:rPr>
          <w:rFonts w:ascii="Cambria Math"/>
          <w:spacing w:val="1"/>
          <w:w w:val="290"/>
          <w:position w:val="6"/>
          <w:sz w:val="28"/>
        </w:rPr>
        <w:t> </w:t>
      </w:r>
      <w:r>
        <w:rPr>
          <w:rFonts w:ascii="Cambria Math"/>
          <w:spacing w:val="-2"/>
          <w:w w:val="333"/>
          <w:position w:val="6"/>
          <w:sz w:val="28"/>
        </w:rPr>
        <w:t> </w:t>
      </w:r>
      <w:r>
        <w:rPr>
          <w:rFonts w:ascii="Cambria Math"/>
          <w:spacing w:val="-9"/>
          <w:w w:val="286"/>
          <w:position w:val="6"/>
          <w:sz w:val="28"/>
        </w:rPr>
        <w:t> </w:t>
      </w:r>
      <w:r>
        <w:rPr>
          <w:rFonts w:ascii="Cambria Math"/>
          <w:w w:val="221"/>
          <w:sz w:val="20"/>
        </w:rPr>
        <w:t>   </w:t>
      </w:r>
      <w:r>
        <w:rPr>
          <w:rFonts w:ascii="Cambria Math"/>
          <w:w w:val="253"/>
          <w:sz w:val="20"/>
        </w:rPr>
        <w:t>   </w:t>
      </w:r>
      <w:r>
        <w:rPr>
          <w:rFonts w:ascii="Cambria Math"/>
          <w:spacing w:val="1"/>
          <w:w w:val="199"/>
          <w:sz w:val="20"/>
        </w:rPr>
        <w:t> </w:t>
      </w:r>
      <w:r>
        <w:rPr>
          <w:rFonts w:ascii="Cambria Math"/>
          <w:w w:val="271"/>
          <w:sz w:val="20"/>
        </w:rPr>
        <w:t>   </w:t>
      </w:r>
      <w:r>
        <w:rPr>
          <w:rFonts w:ascii="Cambria Math"/>
          <w:w w:val="159"/>
          <w:sz w:val="20"/>
        </w:rPr>
        <w:t> </w:t>
      </w:r>
      <w:r>
        <w:rPr>
          <w:rFonts w:ascii="Cambria Math"/>
          <w:w w:val="215"/>
          <w:position w:val="-3"/>
          <w:sz w:val="16"/>
        </w:rPr>
        <w:t> </w:t>
      </w:r>
    </w:p>
    <w:p>
      <w:pPr>
        <w:spacing w:after="0"/>
        <w:jc w:val="left"/>
        <w:rPr>
          <w:rFonts w:ascii="Cambria Math"/>
          <w:sz w:val="16"/>
        </w:rPr>
        <w:sectPr>
          <w:type w:val="continuous"/>
          <w:pgSz w:w="12250" w:h="15850"/>
          <w:pgMar w:top="1500" w:bottom="280" w:left="1580" w:right="1580"/>
          <w:cols w:num="2" w:equalWidth="0">
            <w:col w:w="2239" w:space="40"/>
            <w:col w:w="6811"/>
          </w:cols>
        </w:sect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spacing w:before="6" w:after="1"/>
        <w:rPr>
          <w:rFonts w:ascii="Cambria Math"/>
          <w:sz w:val="19"/>
        </w:rPr>
      </w:pPr>
    </w:p>
    <w:p>
      <w:pPr>
        <w:pStyle w:val="BodyText"/>
        <w:spacing w:line="20" w:lineRule="exact"/>
        <w:ind w:left="116"/>
        <w:rPr>
          <w:rFonts w:ascii="Cambria Math"/>
          <w:sz w:val="2"/>
        </w:rPr>
      </w:pPr>
      <w:r>
        <w:rPr>
          <w:rFonts w:ascii="Cambria Math"/>
          <w:sz w:val="2"/>
        </w:rPr>
        <w:pict>
          <v:group style="width:144.65pt;height:.6pt;mso-position-horizontal-relative:char;mso-position-vertical-relative:line" coordorigin="0,0" coordsize="2893,12">
            <v:line style="position:absolute" from="6,6" to="2886,6" stroked="true" strokeweight=".60004pt" strokecolor="#000000"/>
          </v:group>
        </w:pict>
      </w:r>
      <w:r>
        <w:rPr>
          <w:rFonts w:ascii="Cambria Math"/>
          <w:sz w:val="2"/>
        </w:rPr>
      </w:r>
    </w:p>
    <w:p>
      <w:pPr>
        <w:spacing w:before="71"/>
        <w:ind w:left="122" w:right="342" w:firstLine="0"/>
        <w:jc w:val="left"/>
        <w:rPr>
          <w:sz w:val="20"/>
        </w:rPr>
      </w:pPr>
      <w:r>
        <w:rPr>
          <w:position w:val="9"/>
          <w:sz w:val="13"/>
        </w:rPr>
        <w:t>56 </w:t>
      </w:r>
      <w:r>
        <w:rPr>
          <w:sz w:val="20"/>
        </w:rPr>
        <w:t>En el caso de Bolivia se asume que otros ingresos no tributarios y las regalías mineras no están afectadas por el ciclo económico.</w:t>
      </w:r>
    </w:p>
    <w:p>
      <w:pPr>
        <w:spacing w:after="0"/>
        <w:jc w:val="left"/>
        <w:rPr>
          <w:sz w:val="20"/>
        </w:rPr>
        <w:sectPr>
          <w:type w:val="continuous"/>
          <w:pgSz w:w="12250" w:h="15850"/>
          <w:pgMar w:top="1500" w:bottom="280" w:left="1580" w:right="1580"/>
        </w:sectPr>
      </w:pPr>
    </w:p>
    <w:p>
      <w:pPr>
        <w:pStyle w:val="BodyText"/>
        <w:spacing w:line="360" w:lineRule="auto" w:before="50"/>
        <w:ind w:left="102" w:right="117" w:firstLine="707"/>
      </w:pPr>
      <w:r>
        <w:rPr/>
        <w:t>La variación del balance primario no gasífero cíclicamente ajustado corresponde a  la definción de  impuslo fiscal, con el que se puede captar la orientación de la política</w:t>
      </w:r>
      <w:r>
        <w:rPr>
          <w:spacing w:val="19"/>
        </w:rPr>
        <w:t> </w:t>
      </w:r>
      <w:r>
        <w:rPr/>
        <w:t>fiscal</w:t>
      </w:r>
    </w:p>
    <w:p>
      <w:pPr>
        <w:pStyle w:val="BodyText"/>
        <w:spacing w:before="6"/>
        <w:ind w:left="102" w:right="127"/>
      </w:pPr>
      <w:r>
        <w:rPr/>
        <w:t>–cíclica o contracíclica) (Villafuerte, et al., 2011), por tanto:</w:t>
      </w:r>
    </w:p>
    <w:p>
      <w:pPr>
        <w:pStyle w:val="BodyText"/>
      </w:pPr>
    </w:p>
    <w:p>
      <w:pPr>
        <w:spacing w:before="182"/>
        <w:ind w:left="1418" w:right="0" w:firstLine="0"/>
        <w:jc w:val="center"/>
        <w:rPr>
          <w:sz w:val="24"/>
        </w:rPr>
      </w:pPr>
      <w:r>
        <w:rPr>
          <w:rFonts w:ascii="Cambria Math"/>
          <w:w w:val="172"/>
          <w:sz w:val="28"/>
        </w:rPr>
        <w:t> </w:t>
      </w:r>
      <w:r>
        <w:rPr>
          <w:rFonts w:ascii="Cambria Math"/>
          <w:w w:val="278"/>
          <w:sz w:val="28"/>
        </w:rPr>
        <w:t> </w:t>
      </w:r>
      <w:r>
        <w:rPr>
          <w:rFonts w:ascii="Cambria Math"/>
          <w:w w:val="199"/>
          <w:position w:val="-5"/>
          <w:sz w:val="20"/>
        </w:rPr>
        <w:t> </w:t>
      </w:r>
      <w:r>
        <w:rPr>
          <w:rFonts w:ascii="Cambria Math"/>
          <w:position w:val="-5"/>
          <w:sz w:val="20"/>
        </w:rPr>
        <w:t>  </w:t>
      </w:r>
      <w:r>
        <w:rPr>
          <w:rFonts w:ascii="Cambria Math"/>
          <w:w w:val="340"/>
          <w:sz w:val="28"/>
        </w:rPr>
        <w:t> </w:t>
      </w:r>
      <w:r>
        <w:rPr>
          <w:rFonts w:ascii="Cambria Math"/>
          <w:sz w:val="28"/>
        </w:rPr>
        <w:t>  </w:t>
      </w:r>
      <w:r>
        <w:rPr>
          <w:rFonts w:ascii="Cambria Math"/>
          <w:w w:val="271"/>
          <w:sz w:val="28"/>
        </w:rPr>
        <w:t> </w:t>
      </w:r>
      <w:r>
        <w:rPr>
          <w:rFonts w:ascii="Cambria Math"/>
          <w:w w:val="290"/>
          <w:sz w:val="28"/>
        </w:rPr>
        <w:t>  </w:t>
      </w:r>
      <w:r>
        <w:rPr>
          <w:rFonts w:ascii="Cambria Math"/>
          <w:w w:val="333"/>
          <w:sz w:val="28"/>
        </w:rPr>
        <w:t> </w:t>
      </w:r>
      <w:r>
        <w:rPr>
          <w:rFonts w:ascii="Cambria Math"/>
          <w:w w:val="286"/>
          <w:sz w:val="28"/>
        </w:rPr>
        <w:t> </w:t>
      </w:r>
      <w:r>
        <w:rPr>
          <w:rFonts w:ascii="Cambria Math"/>
          <w:w w:val="228"/>
          <w:position w:val="-5"/>
          <w:sz w:val="20"/>
        </w:rPr>
        <w:t> </w:t>
      </w:r>
      <w:r>
        <w:rPr>
          <w:rFonts w:ascii="Cambria Math"/>
          <w:w w:val="125"/>
          <w:position w:val="-5"/>
          <w:sz w:val="20"/>
        </w:rPr>
        <w:t> </w:t>
      </w:r>
      <w:r>
        <w:rPr>
          <w:rFonts w:ascii="Cambria Math"/>
          <w:w w:val="194"/>
          <w:position w:val="-5"/>
          <w:sz w:val="20"/>
        </w:rPr>
        <w:t>  </w:t>
      </w:r>
      <w:r>
        <w:rPr>
          <w:rFonts w:ascii="Cambria Math"/>
          <w:w w:val="92"/>
          <w:position w:val="-5"/>
          <w:sz w:val="20"/>
        </w:rPr>
        <w:t> </w:t>
      </w:r>
      <w:r>
        <w:rPr>
          <w:rFonts w:ascii="Cambria Math"/>
          <w:w w:val="262"/>
          <w:position w:val="-5"/>
          <w:sz w:val="20"/>
        </w:rPr>
        <w:t>   </w:t>
      </w:r>
      <w:r>
        <w:rPr>
          <w:rFonts w:ascii="Cambria Math"/>
          <w:w w:val="208"/>
          <w:position w:val="-5"/>
          <w:sz w:val="20"/>
        </w:rPr>
        <w:t>  </w:t>
      </w:r>
      <w:r>
        <w:rPr>
          <w:rFonts w:ascii="Cambria Math"/>
          <w:w w:val="92"/>
          <w:position w:val="-5"/>
          <w:sz w:val="20"/>
        </w:rPr>
        <w:t> </w:t>
      </w:r>
      <w:r>
        <w:rPr>
          <w:rFonts w:ascii="Cambria Math"/>
          <w:w w:val="215"/>
          <w:position w:val="-9"/>
          <w:sz w:val="16"/>
        </w:rPr>
        <w:t> </w:t>
      </w:r>
      <w:r>
        <w:rPr>
          <w:rFonts w:ascii="Cambria Math"/>
          <w:position w:val="-9"/>
          <w:sz w:val="16"/>
        </w:rPr>
        <w:t>    </w:t>
      </w:r>
      <w:r>
        <w:rPr>
          <w:sz w:val="24"/>
        </w:rPr>
        <w:t>(3.13)</w:t>
      </w:r>
    </w:p>
    <w:p>
      <w:pPr>
        <w:pStyle w:val="BodyText"/>
        <w:tabs>
          <w:tab w:pos="7182" w:val="left" w:leader="none"/>
        </w:tabs>
        <w:spacing w:line="369" w:lineRule="auto" w:before="321"/>
        <w:ind w:left="102" w:right="127" w:firstLine="707"/>
      </w:pPr>
      <w:r>
        <w:rPr/>
        <w:t>La posición fiscal, medida por el balance primario no gasífero, puede ser de tipo expansiva                                       </w:t>
      </w:r>
      <w:r>
        <w:rPr/>
        <w:t>y</w:t>
      </w:r>
      <w:r>
        <w:rPr>
          <w:spacing w:val="4"/>
        </w:rPr>
        <w:t> </w:t>
      </w:r>
      <w:r>
        <w:rPr/>
        <w:t>contractiva                                   </w:t>
      </w:r>
      <w:r>
        <w:rPr>
          <w:spacing w:val="27"/>
        </w:rPr>
        <w:t> </w:t>
      </w:r>
      <w:r>
        <w:rPr/>
        <w:t>.</w:t>
        <w:tab/>
        <w:t>Adicionalmente, se puede evaluar la relación entre el ciclo económico y la orientación de la politica fiscal al comparar el impulso fiscal y la variación de la brecha del producto. El siguiente cuadro muestra las relaciones entre el impulso fiscal y la brecha del</w:t>
      </w:r>
      <w:r>
        <w:rPr>
          <w:spacing w:val="-15"/>
        </w:rPr>
        <w:t> </w:t>
      </w:r>
      <w:r>
        <w:rPr/>
        <w:t>producto:</w:t>
      </w:r>
    </w:p>
    <w:p>
      <w:pPr>
        <w:pStyle w:val="BodyText"/>
        <w:spacing w:before="3"/>
        <w:rPr>
          <w:sz w:val="35"/>
        </w:rPr>
      </w:pPr>
    </w:p>
    <w:p>
      <w:pPr>
        <w:pStyle w:val="BodyText"/>
        <w:ind w:left="1406" w:right="22"/>
        <w:jc w:val="center"/>
      </w:pPr>
      <w:bookmarkStart w:name="_bookmark87" w:id="123"/>
      <w:bookmarkEnd w:id="123"/>
      <w:r>
        <w:rPr/>
      </w:r>
      <w:r>
        <w:rPr/>
        <w:t>Cuadro 3. 3: Orientación de la política fiscal mediante BCA</w:t>
      </w:r>
    </w:p>
    <w:p>
      <w:pPr>
        <w:spacing w:after="0"/>
        <w:jc w:val="center"/>
        <w:sectPr>
          <w:pgSz w:w="12250" w:h="15850"/>
          <w:pgMar w:header="0" w:footer="1037" w:top="1360" w:bottom="1220" w:left="1600" w:right="1580"/>
        </w:sectPr>
      </w:pPr>
    </w:p>
    <w:p>
      <w:pPr>
        <w:spacing w:before="23"/>
        <w:ind w:left="0" w:right="0" w:firstLine="0"/>
        <w:jc w:val="right"/>
        <w:rPr>
          <w:rFonts w:ascii="Constantia"/>
          <w:sz w:val="21"/>
        </w:rPr>
      </w:pPr>
      <w:r>
        <w:rPr>
          <w:rFonts w:ascii="Constantia"/>
          <w:sz w:val="21"/>
        </w:rPr>
        <w:t>Impulso</w:t>
      </w:r>
    </w:p>
    <w:p>
      <w:pPr>
        <w:spacing w:before="23"/>
        <w:ind w:left="160" w:right="0" w:firstLine="0"/>
        <w:jc w:val="left"/>
        <w:rPr>
          <w:rFonts w:ascii="Constantia" w:hAnsi="Constantia"/>
          <w:sz w:val="21"/>
        </w:rPr>
      </w:pPr>
      <w:r>
        <w:rPr/>
        <w:br w:type="column"/>
      </w:r>
      <w:r>
        <w:rPr>
          <w:rFonts w:ascii="Constantia" w:hAnsi="Constantia"/>
          <w:sz w:val="21"/>
        </w:rPr>
        <w:t>∆ Brecha del PIB</w:t>
      </w:r>
    </w:p>
    <w:p>
      <w:pPr>
        <w:spacing w:line="186" w:lineRule="exact" w:before="159"/>
        <w:ind w:left="147" w:right="-6" w:firstLine="0"/>
        <w:jc w:val="left"/>
        <w:rPr>
          <w:rFonts w:ascii="Constantia" w:hAnsi="Constantia"/>
          <w:sz w:val="21"/>
        </w:rPr>
      </w:pPr>
      <w:r>
        <w:rPr/>
        <w:br w:type="column"/>
      </w:r>
      <w:r>
        <w:rPr>
          <w:rFonts w:ascii="Constantia" w:hAnsi="Constantia"/>
          <w:sz w:val="21"/>
        </w:rPr>
        <w:t>FI/ ∆ Brecha</w:t>
      </w:r>
    </w:p>
    <w:p>
      <w:pPr>
        <w:spacing w:before="23"/>
        <w:ind w:left="206" w:right="0" w:firstLine="0"/>
        <w:jc w:val="left"/>
        <w:rPr>
          <w:rFonts w:ascii="Constantia" w:hAnsi="Constantia"/>
          <w:sz w:val="21"/>
        </w:rPr>
      </w:pPr>
      <w:r>
        <w:rPr/>
        <w:br w:type="column"/>
      </w:r>
      <w:r>
        <w:rPr>
          <w:rFonts w:ascii="Constantia" w:hAnsi="Constantia"/>
          <w:sz w:val="21"/>
        </w:rPr>
        <w:t>Orientación</w:t>
      </w:r>
    </w:p>
    <w:p>
      <w:pPr>
        <w:spacing w:after="0"/>
        <w:jc w:val="left"/>
        <w:rPr>
          <w:rFonts w:ascii="Constantia" w:hAnsi="Constantia"/>
          <w:sz w:val="21"/>
        </w:rPr>
        <w:sectPr>
          <w:type w:val="continuous"/>
          <w:pgSz w:w="12250" w:h="15850"/>
          <w:pgMar w:top="1500" w:bottom="280" w:left="1600" w:right="1580"/>
          <w:cols w:num="4" w:equalWidth="0">
            <w:col w:w="3349" w:space="40"/>
            <w:col w:w="1700" w:space="40"/>
            <w:col w:w="1300" w:space="40"/>
            <w:col w:w="2601"/>
          </w:cols>
        </w:sectPr>
      </w:pPr>
    </w:p>
    <w:p>
      <w:pPr>
        <w:tabs>
          <w:tab w:pos="3921" w:val="left" w:leader="none"/>
          <w:tab w:pos="6990" w:val="left" w:leader="none"/>
          <w:tab w:pos="7960" w:val="left" w:leader="none"/>
        </w:tabs>
        <w:spacing w:line="218" w:lineRule="exact" w:before="0" w:after="37"/>
        <w:ind w:left="2521" w:right="127" w:firstLine="0"/>
        <w:jc w:val="left"/>
        <w:rPr>
          <w:rFonts w:ascii="Constantia"/>
          <w:sz w:val="21"/>
        </w:rPr>
      </w:pPr>
      <w:r>
        <w:rPr>
          <w:rFonts w:ascii="Constantia"/>
          <w:w w:val="102"/>
          <w:sz w:val="21"/>
          <w:u w:val="thick"/>
        </w:rPr>
        <w:t> </w:t>
      </w:r>
      <w:r>
        <w:rPr>
          <w:rFonts w:ascii="Constantia"/>
          <w:sz w:val="21"/>
          <w:u w:val="thick"/>
        </w:rPr>
        <w:t>  </w:t>
      </w:r>
      <w:r>
        <w:rPr>
          <w:rFonts w:ascii="Constantia"/>
          <w:spacing w:val="2"/>
          <w:sz w:val="21"/>
          <w:u w:val="thick"/>
        </w:rPr>
        <w:t> </w:t>
      </w:r>
      <w:r>
        <w:rPr>
          <w:rFonts w:ascii="Constantia"/>
          <w:sz w:val="21"/>
          <w:u w:val="thick"/>
        </w:rPr>
        <w:t>fiscal</w:t>
        <w:tab/>
        <w:t>(Brecha)</w:t>
        <w:tab/>
        <w:t>fiscal</w:t>
        <w:tab/>
      </w:r>
    </w:p>
    <w:tbl>
      <w:tblPr>
        <w:tblW w:w="0" w:type="auto"/>
        <w:jc w:val="left"/>
        <w:tblInd w:w="288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71"/>
        <w:gridCol w:w="1444"/>
        <w:gridCol w:w="1128"/>
        <w:gridCol w:w="1545"/>
      </w:tblGrid>
      <w:tr>
        <w:trPr>
          <w:trHeight w:val="867" w:hRule="exact"/>
        </w:trPr>
        <w:tc>
          <w:tcPr>
            <w:tcW w:w="771" w:type="dxa"/>
          </w:tcPr>
          <w:p>
            <w:pPr>
              <w:pStyle w:val="TableParagraph"/>
              <w:spacing w:before="1"/>
              <w:ind w:left="46"/>
              <w:jc w:val="left"/>
              <w:rPr>
                <w:rFonts w:ascii="Constantia"/>
                <w:sz w:val="21"/>
              </w:rPr>
            </w:pPr>
            <w:r>
              <w:rPr>
                <w:rFonts w:ascii="Constantia"/>
                <w:w w:val="102"/>
                <w:sz w:val="21"/>
              </w:rPr>
              <w:t>-</w:t>
            </w:r>
          </w:p>
          <w:p>
            <w:pPr>
              <w:pStyle w:val="TableParagraph"/>
              <w:spacing w:before="27"/>
              <w:ind w:left="35"/>
              <w:jc w:val="left"/>
              <w:rPr>
                <w:rFonts w:ascii="Constantia"/>
                <w:sz w:val="21"/>
              </w:rPr>
            </w:pPr>
            <w:r>
              <w:rPr>
                <w:rFonts w:ascii="Constantia"/>
                <w:w w:val="102"/>
                <w:sz w:val="21"/>
              </w:rPr>
              <w:t>+</w:t>
            </w:r>
          </w:p>
          <w:p>
            <w:pPr>
              <w:pStyle w:val="TableParagraph"/>
              <w:spacing w:before="27"/>
              <w:ind w:left="46"/>
              <w:jc w:val="left"/>
              <w:rPr>
                <w:rFonts w:ascii="Constantia"/>
                <w:sz w:val="21"/>
              </w:rPr>
            </w:pPr>
            <w:r>
              <w:rPr>
                <w:rFonts w:ascii="Constantia"/>
                <w:w w:val="102"/>
                <w:sz w:val="21"/>
              </w:rPr>
              <w:t>-</w:t>
            </w:r>
          </w:p>
        </w:tc>
        <w:tc>
          <w:tcPr>
            <w:tcW w:w="1444" w:type="dxa"/>
          </w:tcPr>
          <w:p>
            <w:pPr>
              <w:pStyle w:val="TableParagraph"/>
              <w:spacing w:before="1"/>
              <w:ind w:right="106"/>
              <w:rPr>
                <w:rFonts w:ascii="Constantia"/>
                <w:sz w:val="21"/>
              </w:rPr>
            </w:pPr>
            <w:r>
              <w:rPr>
                <w:rFonts w:ascii="Constantia"/>
                <w:w w:val="102"/>
                <w:sz w:val="21"/>
              </w:rPr>
              <w:t>-</w:t>
            </w:r>
          </w:p>
          <w:p>
            <w:pPr>
              <w:pStyle w:val="TableParagraph"/>
              <w:spacing w:before="27"/>
              <w:ind w:right="88"/>
              <w:rPr>
                <w:rFonts w:ascii="Constantia"/>
                <w:sz w:val="21"/>
              </w:rPr>
            </w:pPr>
            <w:r>
              <w:rPr>
                <w:rFonts w:ascii="Constantia"/>
                <w:w w:val="102"/>
                <w:sz w:val="21"/>
              </w:rPr>
              <w:t>+</w:t>
            </w:r>
          </w:p>
          <w:p>
            <w:pPr>
              <w:pStyle w:val="TableParagraph"/>
              <w:spacing w:before="27"/>
              <w:ind w:right="88"/>
              <w:rPr>
                <w:rFonts w:ascii="Constantia"/>
                <w:sz w:val="21"/>
              </w:rPr>
            </w:pPr>
            <w:r>
              <w:rPr>
                <w:rFonts w:ascii="Constantia"/>
                <w:w w:val="102"/>
                <w:sz w:val="21"/>
              </w:rPr>
              <w:t>+</w:t>
            </w:r>
          </w:p>
        </w:tc>
        <w:tc>
          <w:tcPr>
            <w:tcW w:w="1128" w:type="dxa"/>
          </w:tcPr>
          <w:p>
            <w:pPr>
              <w:pStyle w:val="TableParagraph"/>
              <w:spacing w:before="1"/>
              <w:ind w:left="707"/>
              <w:jc w:val="left"/>
              <w:rPr>
                <w:rFonts w:ascii="Constantia"/>
                <w:sz w:val="21"/>
              </w:rPr>
            </w:pPr>
            <w:r>
              <w:rPr>
                <w:rFonts w:ascii="Constantia"/>
                <w:w w:val="102"/>
                <w:sz w:val="21"/>
              </w:rPr>
              <w:t>+</w:t>
            </w:r>
          </w:p>
          <w:p>
            <w:pPr>
              <w:pStyle w:val="TableParagraph"/>
              <w:spacing w:before="27"/>
              <w:ind w:left="707"/>
              <w:jc w:val="left"/>
              <w:rPr>
                <w:rFonts w:ascii="Constantia"/>
                <w:sz w:val="21"/>
              </w:rPr>
            </w:pPr>
            <w:r>
              <w:rPr>
                <w:rFonts w:ascii="Constantia"/>
                <w:w w:val="102"/>
                <w:sz w:val="21"/>
              </w:rPr>
              <w:t>+</w:t>
            </w:r>
          </w:p>
          <w:p>
            <w:pPr>
              <w:pStyle w:val="TableParagraph"/>
              <w:spacing w:before="27"/>
              <w:ind w:left="719"/>
              <w:jc w:val="left"/>
              <w:rPr>
                <w:rFonts w:ascii="Constantia"/>
                <w:sz w:val="21"/>
              </w:rPr>
            </w:pPr>
            <w:r>
              <w:rPr>
                <w:rFonts w:ascii="Constantia"/>
                <w:w w:val="102"/>
                <w:sz w:val="21"/>
              </w:rPr>
              <w:t>-</w:t>
            </w:r>
          </w:p>
        </w:tc>
        <w:tc>
          <w:tcPr>
            <w:tcW w:w="1545" w:type="dxa"/>
          </w:tcPr>
          <w:p>
            <w:pPr>
              <w:pStyle w:val="TableParagraph"/>
              <w:spacing w:line="266" w:lineRule="auto" w:before="1"/>
              <w:ind w:left="301" w:right="26"/>
              <w:jc w:val="left"/>
              <w:rPr>
                <w:rFonts w:ascii="Constantia" w:hAnsi="Constantia"/>
                <w:sz w:val="21"/>
              </w:rPr>
            </w:pPr>
            <w:r>
              <w:rPr>
                <w:rFonts w:ascii="Constantia" w:hAnsi="Constantia"/>
                <w:sz w:val="21"/>
              </w:rPr>
              <w:t>Procíclica Procíclica Contracíclica</w:t>
            </w:r>
          </w:p>
        </w:tc>
      </w:tr>
      <w:tr>
        <w:trPr>
          <w:trHeight w:val="295" w:hRule="exact"/>
        </w:trPr>
        <w:tc>
          <w:tcPr>
            <w:tcW w:w="771" w:type="dxa"/>
          </w:tcPr>
          <w:p>
            <w:pPr>
              <w:pStyle w:val="TableParagraph"/>
              <w:spacing w:before="7"/>
              <w:ind w:left="35"/>
              <w:jc w:val="left"/>
              <w:rPr>
                <w:rFonts w:ascii="Constantia"/>
                <w:sz w:val="21"/>
              </w:rPr>
            </w:pPr>
            <w:r>
              <w:rPr>
                <w:rFonts w:ascii="Constantia"/>
                <w:w w:val="102"/>
                <w:sz w:val="21"/>
              </w:rPr>
              <w:t>+</w:t>
            </w:r>
          </w:p>
        </w:tc>
        <w:tc>
          <w:tcPr>
            <w:tcW w:w="1444" w:type="dxa"/>
          </w:tcPr>
          <w:p>
            <w:pPr>
              <w:pStyle w:val="TableParagraph"/>
              <w:spacing w:before="7"/>
              <w:ind w:left="629"/>
              <w:jc w:val="left"/>
              <w:rPr>
                <w:rFonts w:ascii="Constantia"/>
                <w:sz w:val="21"/>
              </w:rPr>
            </w:pPr>
            <w:r>
              <w:rPr>
                <w:rFonts w:ascii="Constantia"/>
                <w:w w:val="102"/>
                <w:sz w:val="21"/>
              </w:rPr>
              <w:t>-</w:t>
            </w:r>
          </w:p>
        </w:tc>
        <w:tc>
          <w:tcPr>
            <w:tcW w:w="1128" w:type="dxa"/>
          </w:tcPr>
          <w:p>
            <w:pPr>
              <w:pStyle w:val="TableParagraph"/>
              <w:spacing w:before="7"/>
              <w:ind w:right="329"/>
              <w:jc w:val="right"/>
              <w:rPr>
                <w:rFonts w:ascii="Constantia"/>
                <w:sz w:val="21"/>
              </w:rPr>
            </w:pPr>
            <w:r>
              <w:rPr>
                <w:rFonts w:ascii="Constantia"/>
                <w:w w:val="102"/>
                <w:sz w:val="21"/>
              </w:rPr>
              <w:t>-</w:t>
            </w:r>
          </w:p>
        </w:tc>
        <w:tc>
          <w:tcPr>
            <w:tcW w:w="1545" w:type="dxa"/>
          </w:tcPr>
          <w:p>
            <w:pPr>
              <w:pStyle w:val="TableParagraph"/>
              <w:spacing w:before="7"/>
              <w:ind w:left="301"/>
              <w:jc w:val="left"/>
              <w:rPr>
                <w:rFonts w:ascii="Constantia" w:hAnsi="Constantia"/>
                <w:sz w:val="21"/>
              </w:rPr>
            </w:pPr>
            <w:r>
              <w:rPr>
                <w:rFonts w:ascii="Constantia" w:hAnsi="Constantia"/>
                <w:sz w:val="21"/>
              </w:rPr>
              <w:t>Contracíclica</w:t>
            </w:r>
          </w:p>
        </w:tc>
      </w:tr>
      <w:tr>
        <w:trPr>
          <w:trHeight w:val="277" w:hRule="exact"/>
        </w:trPr>
        <w:tc>
          <w:tcPr>
            <w:tcW w:w="771" w:type="dxa"/>
          </w:tcPr>
          <w:p>
            <w:pPr>
              <w:pStyle w:val="TableParagraph"/>
              <w:spacing w:line="252" w:lineRule="exact"/>
              <w:ind w:left="35"/>
              <w:jc w:val="left"/>
              <w:rPr>
                <w:rFonts w:ascii="Constantia"/>
                <w:sz w:val="21"/>
              </w:rPr>
            </w:pPr>
            <w:r>
              <w:rPr>
                <w:rFonts w:ascii="Constantia"/>
                <w:w w:val="102"/>
                <w:sz w:val="21"/>
              </w:rPr>
              <w:t>0</w:t>
            </w:r>
          </w:p>
        </w:tc>
        <w:tc>
          <w:tcPr>
            <w:tcW w:w="1444" w:type="dxa"/>
          </w:tcPr>
          <w:p>
            <w:pPr>
              <w:pStyle w:val="TableParagraph"/>
              <w:spacing w:line="252" w:lineRule="exact"/>
              <w:ind w:left="617"/>
              <w:jc w:val="left"/>
              <w:rPr>
                <w:rFonts w:ascii="Constantia"/>
                <w:sz w:val="21"/>
              </w:rPr>
            </w:pPr>
            <w:r>
              <w:rPr>
                <w:rFonts w:ascii="Constantia"/>
                <w:w w:val="102"/>
                <w:sz w:val="21"/>
              </w:rPr>
              <w:t>+</w:t>
            </w:r>
          </w:p>
        </w:tc>
        <w:tc>
          <w:tcPr>
            <w:tcW w:w="1128" w:type="dxa"/>
          </w:tcPr>
          <w:p>
            <w:pPr>
              <w:pStyle w:val="TableParagraph"/>
              <w:spacing w:line="252" w:lineRule="exact"/>
              <w:ind w:right="302"/>
              <w:jc w:val="right"/>
              <w:rPr>
                <w:rFonts w:ascii="Constantia"/>
                <w:sz w:val="21"/>
              </w:rPr>
            </w:pPr>
            <w:r>
              <w:rPr>
                <w:rFonts w:ascii="Constantia"/>
                <w:w w:val="102"/>
                <w:sz w:val="21"/>
              </w:rPr>
              <w:t>0</w:t>
            </w:r>
          </w:p>
        </w:tc>
        <w:tc>
          <w:tcPr>
            <w:tcW w:w="1545" w:type="dxa"/>
          </w:tcPr>
          <w:p>
            <w:pPr>
              <w:pStyle w:val="TableParagraph"/>
              <w:spacing w:line="252" w:lineRule="exact"/>
              <w:ind w:left="301" w:right="26"/>
              <w:jc w:val="left"/>
              <w:rPr>
                <w:rFonts w:ascii="Constantia"/>
                <w:sz w:val="21"/>
              </w:rPr>
            </w:pPr>
            <w:r>
              <w:rPr>
                <w:rFonts w:ascii="Constantia"/>
                <w:sz w:val="21"/>
              </w:rPr>
              <w:t>Neutral</w:t>
            </w:r>
          </w:p>
        </w:tc>
      </w:tr>
    </w:tbl>
    <w:p>
      <w:pPr>
        <w:tabs>
          <w:tab w:pos="2916" w:val="left" w:leader="none"/>
          <w:tab w:pos="4282" w:val="left" w:leader="none"/>
          <w:tab w:pos="5805" w:val="left" w:leader="none"/>
          <w:tab w:pos="6527" w:val="left" w:leader="none"/>
          <w:tab w:pos="7960" w:val="left" w:leader="none"/>
        </w:tabs>
        <w:spacing w:before="2"/>
        <w:ind w:left="2521" w:right="127" w:firstLine="0"/>
        <w:jc w:val="left"/>
        <w:rPr>
          <w:rFonts w:ascii="Constantia"/>
          <w:sz w:val="21"/>
        </w:rPr>
      </w:pPr>
      <w:r>
        <w:rPr>
          <w:rFonts w:ascii="Constantia"/>
          <w:w w:val="102"/>
          <w:sz w:val="21"/>
          <w:u w:val="thick"/>
        </w:rPr>
        <w:t> </w:t>
      </w:r>
      <w:r>
        <w:rPr>
          <w:rFonts w:ascii="Constantia"/>
          <w:sz w:val="21"/>
          <w:u w:val="thick"/>
        </w:rPr>
        <w:tab/>
        <w:t>0</w:t>
        <w:tab/>
        <w:t>-</w:t>
        <w:tab/>
        <w:t>0</w:t>
        <w:tab/>
        <w:t>Neutral</w:t>
        <w:tab/>
      </w:r>
    </w:p>
    <w:p>
      <w:pPr>
        <w:spacing w:before="163"/>
        <w:ind w:left="2427" w:right="127" w:firstLine="0"/>
        <w:jc w:val="left"/>
        <w:rPr>
          <w:sz w:val="20"/>
        </w:rPr>
      </w:pPr>
      <w:r>
        <w:rPr>
          <w:sz w:val="20"/>
        </w:rPr>
        <w:t>Fuente: Elaboración propia con base en revisión bibliográfica</w:t>
      </w:r>
    </w:p>
    <w:p>
      <w:pPr>
        <w:pStyle w:val="BodyText"/>
        <w:spacing w:before="1"/>
      </w:pPr>
    </w:p>
    <w:p>
      <w:pPr>
        <w:pStyle w:val="BodyText"/>
        <w:spacing w:line="360" w:lineRule="auto"/>
        <w:ind w:left="102" w:right="118" w:firstLine="707"/>
        <w:jc w:val="both"/>
      </w:pPr>
      <w:r>
        <w:rPr/>
        <w:t>La brecha del producto está definida como el PIB observado menos el PIB potencial dividido entre el PIB potencial. El impulso fiscal es la variación del balance primario sin recurso natural (no gasífero) ciclicamente ajustado.</w:t>
      </w:r>
    </w:p>
    <w:p>
      <w:pPr>
        <w:pStyle w:val="BodyText"/>
        <w:spacing w:line="360" w:lineRule="auto" w:before="6"/>
        <w:ind w:left="102" w:right="116" w:firstLine="707"/>
        <w:jc w:val="both"/>
      </w:pPr>
      <w:r>
        <w:rPr/>
        <w:t>Cabe mencionar que las limitaciones de la metodología del balance cíclicamente ajustado se centran en la sensibilidad de las estimaciones con relación a la brecha del producto y los precios de equilibrios del gas natural, por tanto, las desviaciones en torno a las condiciones de equilibrio de mediano y largo plazo son los principales insumos metodológicos  y, al mismo tiempo,  las deficiencias centrales (Girouard &amp; Andre, 2006).</w:t>
      </w:r>
    </w:p>
    <w:p>
      <w:pPr>
        <w:spacing w:after="0" w:line="360" w:lineRule="auto"/>
        <w:jc w:val="both"/>
        <w:sectPr>
          <w:type w:val="continuous"/>
          <w:pgSz w:w="12250" w:h="15850"/>
          <w:pgMar w:top="1500" w:bottom="280" w:left="1600" w:right="1580"/>
        </w:sectPr>
      </w:pPr>
    </w:p>
    <w:p>
      <w:pPr>
        <w:pStyle w:val="ListParagraph"/>
        <w:numPr>
          <w:ilvl w:val="3"/>
          <w:numId w:val="13"/>
        </w:numPr>
        <w:tabs>
          <w:tab w:pos="1334" w:val="left" w:leader="none"/>
        </w:tabs>
        <w:spacing w:line="240" w:lineRule="auto" w:before="50" w:after="0"/>
        <w:ind w:left="1334" w:right="0" w:hanging="360"/>
        <w:jc w:val="left"/>
        <w:rPr>
          <w:i/>
          <w:sz w:val="24"/>
        </w:rPr>
      </w:pPr>
      <w:r>
        <w:rPr>
          <w:i/>
          <w:sz w:val="24"/>
        </w:rPr>
        <w:t>Evaluación de la posición fiscal sostenible</w:t>
      </w:r>
      <w:r>
        <w:rPr>
          <w:i/>
          <w:spacing w:val="-5"/>
          <w:sz w:val="24"/>
        </w:rPr>
        <w:t> </w:t>
      </w:r>
      <w:r>
        <w:rPr>
          <w:i/>
          <w:sz w:val="24"/>
        </w:rPr>
        <w:t>(PFS)</w:t>
      </w:r>
    </w:p>
    <w:p>
      <w:pPr>
        <w:pStyle w:val="BodyText"/>
        <w:spacing w:before="8"/>
        <w:rPr>
          <w:i/>
          <w:sz w:val="32"/>
        </w:rPr>
      </w:pPr>
    </w:p>
    <w:p>
      <w:pPr>
        <w:pStyle w:val="BodyText"/>
        <w:spacing w:line="360" w:lineRule="auto" w:before="1"/>
        <w:ind w:left="122" w:right="117" w:firstLine="707"/>
        <w:jc w:val="both"/>
      </w:pPr>
      <w:r>
        <w:rPr/>
        <w:t>Finalmente, en esta sección se evalúa el balance primario meta basada en el algoritmo de la posición fiscal sostenible (PFS) (Croce &amp; Hugo, 2003), tomándose los siguientes aspectos:</w:t>
      </w:r>
    </w:p>
    <w:p>
      <w:pPr>
        <w:pStyle w:val="BodyText"/>
        <w:tabs>
          <w:tab w:pos="1759" w:val="left" w:leader="none"/>
          <w:tab w:pos="3286" w:val="left" w:leader="none"/>
        </w:tabs>
        <w:spacing w:before="54"/>
        <w:ind w:left="3"/>
        <w:jc w:val="center"/>
      </w:pPr>
      <w:r>
        <w:rPr/>
        <w:t>Donde:</w:t>
      </w:r>
      <w:r>
        <w:rPr>
          <w:rFonts w:ascii="Cambria Math"/>
          <w:sz w:val="28"/>
        </w:rPr>
        <w:tab/>
      </w:r>
      <w:r>
        <w:rPr>
          <w:rFonts w:ascii="Cambria Math"/>
          <w:position w:val="10"/>
          <w:sz w:val="20"/>
        </w:rPr>
        <w:tab/>
      </w:r>
      <w:r>
        <w:rPr/>
        <w:t>(3.14)</w:t>
      </w:r>
    </w:p>
    <w:p>
      <w:pPr>
        <w:pStyle w:val="BodyText"/>
        <w:spacing w:line="364" w:lineRule="auto" w:before="170"/>
        <w:ind w:left="122" w:right="116" w:firstLine="707"/>
        <w:jc w:val="both"/>
      </w:pPr>
      <w:r>
        <w:rPr/>
        <w:t>En (3.14),    y     se constituyen, respectivamente,  en el  balance primario  y el  factor de descuento que convergerá a la regla de deuda pública   [valor mínimo de la    deuda pública a PIB real durante el período</w:t>
      </w:r>
      <w:r>
        <w:rPr>
          <w:spacing w:val="-9"/>
        </w:rPr>
        <w:t> </w:t>
      </w:r>
      <w:r>
        <w:rPr/>
        <w:t>observado].</w:t>
      </w:r>
    </w:p>
    <w:p>
      <w:pPr>
        <w:pStyle w:val="BodyText"/>
        <w:spacing w:before="3"/>
        <w:ind w:left="830" w:right="115"/>
      </w:pPr>
      <w:r>
        <w:rPr/>
        <w:t>Para  el  cómputo  de  ,  se  considera  la  tasa  de  interés  real  de  la  deuda  pública</w:t>
      </w:r>
    </w:p>
    <w:p>
      <w:pPr>
        <w:pStyle w:val="BodyText"/>
        <w:spacing w:before="146"/>
        <w:ind w:left="122"/>
        <w:jc w:val="both"/>
      </w:pPr>
      <w:r>
        <w:rPr>
          <w:rFonts w:ascii="Cambria Math" w:hAnsi="Cambria Math"/>
          <w:w w:val="188"/>
        </w:rPr>
        <w:t> </w:t>
      </w:r>
      <w:r>
        <w:rPr>
          <w:rFonts w:ascii="Cambria Math" w:hAnsi="Cambria Math"/>
          <w:spacing w:val="1"/>
          <w:w w:val="216"/>
        </w:rPr>
        <w:t> </w:t>
      </w:r>
      <w:r>
        <w:rPr>
          <w:rFonts w:ascii="Cambria Math" w:hAnsi="Cambria Math"/>
          <w:spacing w:val="-26"/>
          <w:w w:val="200"/>
          <w:position w:val="-4"/>
          <w:sz w:val="17"/>
        </w:rPr>
        <w:t> </w:t>
      </w:r>
      <w:r>
        <w:rPr>
          <w:rFonts w:ascii="Cambria Math" w:hAnsi="Cambria Math"/>
          <w:spacing w:val="13"/>
          <w:w w:val="188"/>
        </w:rPr>
        <w:t> </w:t>
      </w:r>
      <w:r>
        <w:rPr>
          <w:rFonts w:ascii="Cambria Math" w:hAnsi="Cambria Math"/>
        </w:rPr>
        <w:t> </w:t>
      </w:r>
      <w:r>
        <w:rPr/>
        <w:t>(véase anexo 3.2) y la tasa de crecimiento real del producto       </w:t>
      </w:r>
      <w:r>
        <w:rPr>
          <w:spacing w:val="58"/>
        </w:rPr>
        <w:t> </w:t>
      </w:r>
      <w:r>
        <w:rPr/>
        <w:t>:</w:t>
      </w:r>
    </w:p>
    <w:p>
      <w:pPr>
        <w:pStyle w:val="BodyText"/>
        <w:spacing w:before="2"/>
      </w:pPr>
    </w:p>
    <w:p>
      <w:pPr>
        <w:tabs>
          <w:tab w:pos="1483" w:val="left" w:leader="none"/>
        </w:tabs>
        <w:spacing w:line="221" w:lineRule="exact" w:before="0"/>
        <w:ind w:left="0" w:right="0" w:firstLine="0"/>
        <w:jc w:val="center"/>
        <w:rPr>
          <w:sz w:val="24"/>
        </w:rPr>
      </w:pPr>
      <w:r>
        <w:rPr/>
        <w:pict>
          <v:line style="position:absolute;mso-position-horizontal-relative:page;mso-position-vertical-relative:paragraph;z-index:-563248" from="285.529999pt,7.243105pt" to="319.609999pt,7.243105pt" stroked="true" strokeweight=".96002pt" strokecolor="#000000">
            <w10:wrap type="none"/>
          </v:line>
        </w:pict>
      </w:r>
      <w:r>
        <w:rPr>
          <w:rFonts w:ascii="Cambria Math"/>
          <w:w w:val="275"/>
          <w:sz w:val="28"/>
        </w:rPr>
        <w:t> </w:t>
      </w:r>
      <w:r>
        <w:rPr>
          <w:rFonts w:ascii="Cambria Math"/>
          <w:sz w:val="28"/>
        </w:rPr>
        <w:t>  </w:t>
      </w:r>
      <w:r>
        <w:rPr>
          <w:rFonts w:ascii="Cambria Math"/>
          <w:spacing w:val="-22"/>
          <w:sz w:val="28"/>
        </w:rPr>
        <w:t> </w:t>
      </w:r>
      <w:r>
        <w:rPr>
          <w:rFonts w:ascii="Cambria Math"/>
          <w:w w:val="340"/>
          <w:sz w:val="28"/>
        </w:rPr>
        <w:t> </w:t>
      </w:r>
      <w:r>
        <w:rPr>
          <w:rFonts w:ascii="Cambria Math"/>
          <w:sz w:val="28"/>
        </w:rPr>
        <w:t> </w:t>
      </w:r>
      <w:r>
        <w:rPr>
          <w:rFonts w:ascii="Cambria Math"/>
          <w:spacing w:val="-2"/>
          <w:sz w:val="28"/>
        </w:rPr>
        <w:t> </w:t>
      </w:r>
      <w:r>
        <w:rPr>
          <w:rFonts w:ascii="Cambria Math"/>
          <w:spacing w:val="-2"/>
          <w:w w:val="187"/>
          <w:position w:val="17"/>
          <w:sz w:val="20"/>
        </w:rPr>
        <w:t> </w:t>
      </w:r>
      <w:r>
        <w:rPr>
          <w:rFonts w:ascii="Cambria Math"/>
          <w:spacing w:val="2"/>
          <w:w w:val="261"/>
          <w:position w:val="17"/>
          <w:sz w:val="20"/>
        </w:rPr>
        <w:t> </w:t>
      </w:r>
      <w:r>
        <w:rPr>
          <w:rFonts w:ascii="Cambria Math"/>
          <w:spacing w:val="-1"/>
          <w:w w:val="329"/>
          <w:position w:val="17"/>
          <w:sz w:val="20"/>
        </w:rPr>
        <w:t> </w:t>
      </w:r>
      <w:r>
        <w:rPr>
          <w:rFonts w:ascii="Cambria Math"/>
          <w:spacing w:val="-19"/>
          <w:w w:val="239"/>
          <w:position w:val="17"/>
          <w:sz w:val="20"/>
        </w:rPr>
        <w:t> </w:t>
      </w:r>
      <w:r>
        <w:rPr>
          <w:rFonts w:ascii="Cambria Math"/>
          <w:spacing w:val="7"/>
          <w:w w:val="215"/>
          <w:position w:val="12"/>
          <w:sz w:val="16"/>
        </w:rPr>
        <w:t> </w:t>
      </w:r>
      <w:r>
        <w:rPr>
          <w:rFonts w:ascii="Cambria Math"/>
          <w:w w:val="187"/>
          <w:position w:val="17"/>
          <w:sz w:val="20"/>
        </w:rPr>
        <w:t> </w:t>
      </w:r>
      <w:r>
        <w:rPr>
          <w:rFonts w:ascii="Cambria Math"/>
          <w:position w:val="17"/>
          <w:sz w:val="20"/>
        </w:rPr>
        <w:tab/>
      </w:r>
      <w:r>
        <w:rPr>
          <w:sz w:val="24"/>
        </w:rPr>
        <w:t>(3.15)</w:t>
      </w:r>
    </w:p>
    <w:p>
      <w:pPr>
        <w:tabs>
          <w:tab w:pos="467" w:val="left" w:leader="none"/>
        </w:tabs>
        <w:spacing w:line="179" w:lineRule="exact" w:before="0"/>
        <w:ind w:left="0" w:right="604" w:firstLine="0"/>
        <w:jc w:val="center"/>
        <w:rPr>
          <w:rFonts w:ascii="Cambria Math"/>
          <w:sz w:val="20"/>
        </w:rPr>
      </w:pPr>
      <w:r>
        <w:rPr>
          <w:rFonts w:ascii="Cambria Math"/>
          <w:w w:val="199"/>
          <w:position w:val="8"/>
          <w:sz w:val="20"/>
        </w:rPr>
        <w:t> </w:t>
      </w:r>
      <w:r>
        <w:rPr>
          <w:rFonts w:ascii="Cambria Math"/>
          <w:position w:val="8"/>
          <w:sz w:val="20"/>
        </w:rPr>
        <w:tab/>
      </w:r>
      <w:r>
        <w:rPr>
          <w:rFonts w:ascii="Cambria Math"/>
          <w:spacing w:val="-2"/>
          <w:w w:val="187"/>
          <w:position w:val="1"/>
          <w:sz w:val="20"/>
        </w:rPr>
        <w:t> </w:t>
      </w:r>
      <w:r>
        <w:rPr>
          <w:rFonts w:ascii="Cambria Math"/>
          <w:spacing w:val="2"/>
          <w:w w:val="261"/>
          <w:sz w:val="20"/>
        </w:rPr>
        <w:t> </w:t>
      </w:r>
      <w:r>
        <w:rPr>
          <w:rFonts w:ascii="Cambria Math"/>
          <w:w w:val="329"/>
          <w:sz w:val="20"/>
        </w:rPr>
        <w:t> </w:t>
      </w:r>
      <w:r>
        <w:rPr>
          <w:rFonts w:ascii="Cambria Math"/>
          <w:sz w:val="20"/>
        </w:rPr>
        <w:t> </w:t>
      </w:r>
      <w:r>
        <w:rPr>
          <w:rFonts w:ascii="Cambria Math"/>
          <w:spacing w:val="-5"/>
          <w:w w:val="298"/>
          <w:sz w:val="20"/>
        </w:rPr>
        <w:t> </w:t>
      </w:r>
      <w:r>
        <w:rPr>
          <w:rFonts w:ascii="Cambria Math"/>
          <w:spacing w:val="7"/>
          <w:w w:val="215"/>
          <w:position w:val="-3"/>
          <w:sz w:val="16"/>
        </w:rPr>
        <w:t> </w:t>
      </w:r>
      <w:r>
        <w:rPr>
          <w:rFonts w:ascii="Cambria Math"/>
          <w:w w:val="187"/>
          <w:position w:val="1"/>
          <w:sz w:val="20"/>
        </w:rPr>
        <w:t> </w:t>
      </w:r>
    </w:p>
    <w:p>
      <w:pPr>
        <w:pStyle w:val="BodyText"/>
        <w:spacing w:line="364" w:lineRule="auto" w:before="168"/>
        <w:ind w:left="122" w:right="526" w:firstLine="707"/>
      </w:pPr>
      <w:r>
        <w:rPr/>
        <w:t>Donde  mide el margen entre la tasa de interés real de la deuda pública y la tasa de crecimiento real observada en el período</w:t>
      </w:r>
      <w:r>
        <w:rPr>
          <w:spacing w:val="-7"/>
        </w:rPr>
        <w:t> </w:t>
      </w:r>
      <w:r>
        <w:rPr>
          <w:i/>
        </w:rPr>
        <w:t>t</w:t>
      </w:r>
      <w:r>
        <w:rPr/>
        <w:t>.</w:t>
      </w:r>
    </w:p>
    <w:p>
      <w:pPr>
        <w:pStyle w:val="BodyText"/>
        <w:spacing w:before="3"/>
        <w:ind w:left="830" w:right="115"/>
      </w:pPr>
      <w:r>
        <w:rPr/>
        <w:t>Con base en la distribución de      se plantean dos factores de descuento  alternativos</w:t>
      </w:r>
    </w:p>
    <w:p>
      <w:pPr>
        <w:pStyle w:val="BodyText"/>
        <w:spacing w:before="144"/>
        <w:ind w:left="122"/>
        <w:jc w:val="both"/>
      </w:pPr>
      <w:r>
        <w:rPr>
          <w:rFonts w:ascii="Cambria Math" w:hAnsi="Cambria Math"/>
          <w:w w:val="188"/>
        </w:rPr>
        <w:t> </w:t>
      </w:r>
      <w:r>
        <w:rPr>
          <w:rFonts w:ascii="Cambria Math" w:hAnsi="Cambria Math"/>
          <w:w w:val="275"/>
        </w:rPr>
        <w:t> </w:t>
      </w:r>
      <w:r>
        <w:rPr>
          <w:rFonts w:ascii="Cambria Math" w:hAnsi="Cambria Math"/>
          <w:w w:val="219"/>
          <w:position w:val="9"/>
          <w:sz w:val="17"/>
        </w:rPr>
        <w:t> </w:t>
      </w:r>
      <w:r>
        <w:rPr>
          <w:rFonts w:ascii="Cambria Math" w:hAnsi="Cambria Math"/>
          <w:w w:val="188"/>
        </w:rPr>
        <w:t> </w:t>
      </w:r>
      <w:r>
        <w:rPr/>
        <w:t>: (i) un escenario base, que es el promedio simple de la distribución observada de        ;</w:t>
      </w:r>
    </w:p>
    <w:p>
      <w:pPr>
        <w:pStyle w:val="ListParagraph"/>
        <w:numPr>
          <w:ilvl w:val="0"/>
          <w:numId w:val="9"/>
        </w:numPr>
        <w:tabs>
          <w:tab w:pos="535" w:val="left" w:leader="none"/>
        </w:tabs>
        <w:spacing w:line="345" w:lineRule="auto" w:before="144" w:after="0"/>
        <w:ind w:left="122" w:right="118" w:firstLine="0"/>
        <w:jc w:val="both"/>
        <w:rPr>
          <w:sz w:val="24"/>
        </w:rPr>
      </w:pPr>
      <w:r>
        <w:rPr>
          <w:sz w:val="24"/>
        </w:rPr>
        <w:t>un escenario de mayor volatilidad que corresponde al máximo valor del margen señalado en el período abordado.</w:t>
      </w:r>
      <w:r>
        <w:rPr>
          <w:position w:val="11"/>
          <w:sz w:val="16"/>
        </w:rPr>
        <w:t>57 </w:t>
      </w:r>
      <w:r>
        <w:rPr>
          <w:sz w:val="24"/>
        </w:rPr>
        <w:t>El objetivo de los dos escenarios propuestos es ofrecer dos tipos de reglas fiscales acorde a contextos diferentes de la actividad</w:t>
      </w:r>
      <w:r>
        <w:rPr>
          <w:spacing w:val="-17"/>
          <w:sz w:val="24"/>
        </w:rPr>
        <w:t> </w:t>
      </w:r>
      <w:r>
        <w:rPr>
          <w:sz w:val="24"/>
        </w:rPr>
        <w:t>económica.</w:t>
      </w:r>
    </w:p>
    <w:p>
      <w:pPr>
        <w:pStyle w:val="BodyText"/>
        <w:spacing w:line="367" w:lineRule="auto" w:before="24"/>
        <w:ind w:left="122" w:right="115" w:firstLine="707"/>
      </w:pPr>
      <w:r>
        <w:rPr/>
        <w:t>Otro factor de evaluación es , el cual corresponde a la reacción fiscal del balance primario         y balance primario meta        , así como la deuda pública del período  anterior</w:t>
      </w:r>
    </w:p>
    <w:p>
      <w:pPr>
        <w:pStyle w:val="BodyText"/>
        <w:spacing w:before="3"/>
        <w:ind w:left="122"/>
        <w:jc w:val="both"/>
      </w:pPr>
      <w:r>
        <w:rPr>
          <w:rFonts w:ascii="Cambria Math" w:hAnsi="Cambria Math"/>
          <w:w w:val="188"/>
        </w:rPr>
        <w:t> </w:t>
      </w:r>
      <w:r>
        <w:rPr>
          <w:rFonts w:ascii="Cambria Math" w:hAnsi="Cambria Math"/>
          <w:w w:val="263"/>
        </w:rPr>
        <w:t> </w:t>
      </w:r>
      <w:r>
        <w:rPr>
          <w:rFonts w:ascii="Cambria Math" w:hAnsi="Cambria Math"/>
          <w:w w:val="200"/>
          <w:position w:val="-4"/>
          <w:sz w:val="17"/>
        </w:rPr>
        <w:t> </w:t>
      </w:r>
      <w:r>
        <w:rPr>
          <w:rFonts w:ascii="Cambria Math" w:hAnsi="Cambria Math"/>
          <w:w w:val="331"/>
          <w:position w:val="-4"/>
          <w:sz w:val="17"/>
        </w:rPr>
        <w:t> </w:t>
      </w:r>
      <w:r>
        <w:rPr>
          <w:rFonts w:ascii="Cambria Math" w:hAnsi="Cambria Math"/>
          <w:w w:val="263"/>
          <w:position w:val="-4"/>
          <w:sz w:val="17"/>
        </w:rPr>
        <w:t> </w:t>
      </w:r>
      <w:r>
        <w:rPr>
          <w:rFonts w:ascii="Cambria Math" w:hAnsi="Cambria Math"/>
          <w:w w:val="188"/>
        </w:rPr>
        <w:t> </w:t>
      </w:r>
      <w:r>
        <w:rPr>
          <w:rFonts w:ascii="Cambria Math" w:hAnsi="Cambria Math"/>
        </w:rPr>
        <w:t> </w:t>
      </w:r>
      <w:r>
        <w:rPr/>
        <w:t>con relación a la deuda objetivo        :</w:t>
      </w:r>
    </w:p>
    <w:p>
      <w:pPr>
        <w:spacing w:line="195" w:lineRule="exact" w:before="115"/>
        <w:ind w:left="0" w:right="251" w:firstLine="0"/>
        <w:jc w:val="center"/>
        <w:rPr>
          <w:rFonts w:ascii="Cambria Math"/>
          <w:sz w:val="16"/>
        </w:rPr>
      </w:pPr>
      <w:r>
        <w:rPr>
          <w:rFonts w:ascii="Cambria Math"/>
          <w:spacing w:val="-7"/>
          <w:w w:val="270"/>
          <w:sz w:val="20"/>
        </w:rPr>
        <w:t> </w:t>
      </w:r>
      <w:r>
        <w:rPr>
          <w:rFonts w:ascii="Cambria Math"/>
          <w:spacing w:val="7"/>
          <w:w w:val="215"/>
          <w:position w:val="-3"/>
          <w:sz w:val="16"/>
        </w:rPr>
        <w:t> </w:t>
      </w:r>
      <w:r>
        <w:rPr>
          <w:rFonts w:ascii="Cambria Math"/>
          <w:spacing w:val="-1"/>
          <w:w w:val="329"/>
          <w:sz w:val="20"/>
        </w:rPr>
        <w:t> </w:t>
      </w:r>
      <w:r>
        <w:rPr>
          <w:rFonts w:ascii="Cambria Math"/>
          <w:spacing w:val="5"/>
          <w:w w:val="270"/>
          <w:sz w:val="20"/>
        </w:rPr>
        <w:t> </w:t>
      </w:r>
      <w:r>
        <w:rPr>
          <w:rFonts w:ascii="Cambria Math"/>
          <w:w w:val="220"/>
          <w:position w:val="7"/>
          <w:sz w:val="16"/>
        </w:rPr>
        <w:t> </w:t>
      </w:r>
    </w:p>
    <w:p>
      <w:pPr>
        <w:tabs>
          <w:tab w:pos="1682" w:val="left" w:leader="none"/>
        </w:tabs>
        <w:spacing w:line="245" w:lineRule="exact" w:before="0"/>
        <w:ind w:left="1039" w:right="0" w:firstLine="0"/>
        <w:jc w:val="center"/>
        <w:rPr>
          <w:sz w:val="24"/>
        </w:rPr>
      </w:pPr>
      <w:r>
        <w:rPr/>
        <w:pict>
          <v:line style="position:absolute;mso-position-horizontal-relative:page;mso-position-vertical-relative:paragraph;z-index:-563224" from="280.130005pt,5.696105pt" to="319.730005pt,5.696105pt" stroked="true" strokeweight=".95996pt" strokecolor="#000000">
            <w10:wrap type="none"/>
          </v:line>
        </w:pict>
      </w:r>
      <w:r>
        <w:rPr>
          <w:rFonts w:ascii="Cambria Math"/>
          <w:spacing w:val="-1"/>
          <w:w w:val="329"/>
          <w:position w:val="-13"/>
          <w:sz w:val="20"/>
        </w:rPr>
        <w:t> </w:t>
      </w:r>
      <w:r>
        <w:rPr>
          <w:rFonts w:ascii="Cambria Math"/>
          <w:spacing w:val="7"/>
          <w:w w:val="289"/>
          <w:position w:val="-13"/>
          <w:sz w:val="20"/>
        </w:rPr>
        <w:t> </w:t>
      </w:r>
      <w:r>
        <w:rPr>
          <w:rFonts w:ascii="Cambria Math"/>
          <w:w w:val="220"/>
          <w:position w:val="-7"/>
          <w:sz w:val="16"/>
        </w:rPr>
        <w:t> </w:t>
      </w:r>
      <w:r>
        <w:rPr>
          <w:rFonts w:ascii="Cambria Math"/>
          <w:position w:val="-7"/>
          <w:sz w:val="16"/>
        </w:rPr>
        <w:tab/>
      </w:r>
      <w:r>
        <w:rPr>
          <w:sz w:val="24"/>
        </w:rPr>
        <w:t>(3.16)</w:t>
      </w:r>
    </w:p>
    <w:p>
      <w:pPr>
        <w:pStyle w:val="BodyText"/>
        <w:spacing w:before="2"/>
        <w:rPr>
          <w:sz w:val="19"/>
        </w:rPr>
      </w:pPr>
    </w:p>
    <w:p>
      <w:pPr>
        <w:pStyle w:val="BodyText"/>
        <w:tabs>
          <w:tab w:pos="6912" w:val="left" w:leader="none"/>
        </w:tabs>
        <w:spacing w:line="403" w:lineRule="auto" w:before="70"/>
        <w:ind w:left="122" w:right="126" w:firstLine="707"/>
      </w:pPr>
      <w:r>
        <w:rPr/>
        <w:t>A  manera  de  recapitular  lo  mencionado  en  el</w:t>
      </w:r>
      <w:r>
        <w:rPr>
          <w:spacing w:val="-8"/>
        </w:rPr>
        <w:t> </w:t>
      </w:r>
      <w:r>
        <w:rPr/>
        <w:t>capítulo</w:t>
      </w:r>
      <w:r>
        <w:rPr>
          <w:spacing w:val="52"/>
        </w:rPr>
        <w:t> </w:t>
      </w:r>
      <w:r>
        <w:rPr/>
        <w:t>1,</w:t>
        <w:tab/>
        <w:t>la  posición</w:t>
      </w:r>
      <w:r>
        <w:rPr>
          <w:spacing w:val="42"/>
        </w:rPr>
        <w:t> </w:t>
      </w:r>
      <w:r>
        <w:rPr/>
        <w:t>fiscal</w:t>
      </w:r>
      <w:r>
        <w:rPr>
          <w:spacing w:val="51"/>
        </w:rPr>
        <w:t> </w:t>
      </w:r>
      <w:r>
        <w:rPr/>
        <w:t>es</w:t>
      </w:r>
      <w:r>
        <w:rPr>
          <w:w w:val="99"/>
        </w:rPr>
        <w:t> </w:t>
      </w:r>
      <w:r>
        <w:rPr/>
        <w:t>sostenible cuando la diferencia entre                </w:t>
      </w:r>
      <w:r>
        <w:rPr/>
        <w:t>es menor que el umbral de</w:t>
      </w:r>
      <w:r>
        <w:rPr>
          <w:spacing w:val="-1"/>
        </w:rPr>
        <w:t> </w:t>
      </w:r>
      <w:r>
        <w:rPr/>
        <w:t>1:</w:t>
      </w:r>
    </w:p>
    <w:p>
      <w:pPr>
        <w:pStyle w:val="BodyText"/>
        <w:rPr>
          <w:sz w:val="20"/>
        </w:rPr>
      </w:pPr>
    </w:p>
    <w:p>
      <w:pPr>
        <w:pStyle w:val="BodyText"/>
        <w:spacing w:before="10"/>
        <w:rPr>
          <w:sz w:val="20"/>
        </w:rPr>
      </w:pPr>
      <w:r>
        <w:rPr/>
        <w:pict>
          <v:line style="position:absolute;mso-position-horizontal-relative:page;mso-position-vertical-relative:paragraph;z-index:8848;mso-wrap-distance-left:0;mso-wrap-distance-right:0" from="85.103996pt,14.248725pt" to="229.123996pt,14.248725pt" stroked="true" strokeweight=".599980pt" strokecolor="#000000">
            <w10:wrap type="topAndBottom"/>
          </v:line>
        </w:pict>
      </w:r>
    </w:p>
    <w:p>
      <w:pPr>
        <w:spacing w:before="50"/>
        <w:ind w:left="122" w:right="120" w:firstLine="0"/>
        <w:jc w:val="both"/>
        <w:rPr>
          <w:sz w:val="20"/>
        </w:rPr>
      </w:pPr>
      <w:r>
        <w:rPr>
          <w:position w:val="9"/>
          <w:sz w:val="13"/>
        </w:rPr>
        <w:t>57 </w:t>
      </w:r>
      <w:r>
        <w:rPr>
          <w:sz w:val="20"/>
        </w:rPr>
        <w:t>Croce &amp; Hugo (2003, Pg. 8) señalan que el valor esperado de </w:t>
      </w:r>
      <w:r>
        <w:rPr>
          <w:i/>
          <w:sz w:val="20"/>
        </w:rPr>
        <w:t>β</w:t>
      </w:r>
      <w:r>
        <w:rPr>
          <w:sz w:val="20"/>
        </w:rPr>
        <w:t>* debería constituirse alrededor de 1 para economías maduras, mayor que 1 para economías con escasez de capital y costos elevados de intermediación financiera     y  mucho  mayor  que  1  bajo  contextos  de  volatilidad  económica  e  incertidumbre    política.</w:t>
      </w:r>
    </w:p>
    <w:p>
      <w:pPr>
        <w:spacing w:before="0"/>
        <w:ind w:left="122" w:right="118" w:firstLine="0"/>
        <w:jc w:val="both"/>
        <w:rPr>
          <w:sz w:val="20"/>
        </w:rPr>
      </w:pPr>
      <w:r>
        <w:rPr>
          <w:w w:val="287"/>
          <w:sz w:val="20"/>
        </w:rPr>
        <w:t> </w:t>
      </w:r>
      <w:r>
        <w:rPr>
          <w:w w:val="199"/>
          <w:sz w:val="20"/>
        </w:rPr>
        <w:t> </w:t>
      </w:r>
      <w:r>
        <w:rPr>
          <w:w w:val="149"/>
          <w:sz w:val="20"/>
        </w:rPr>
        <w:t>    </w:t>
      </w:r>
      <w:r>
        <w:rPr>
          <w:w w:val="199"/>
          <w:sz w:val="20"/>
        </w:rPr>
        <w:t> </w:t>
      </w:r>
      <w:r>
        <w:rPr>
          <w:w w:val="176"/>
          <w:sz w:val="20"/>
        </w:rPr>
        <w:t> </w:t>
      </w:r>
      <w:r>
        <w:rPr>
          <w:w w:val="110"/>
          <w:sz w:val="20"/>
        </w:rPr>
        <w:t> </w:t>
      </w:r>
      <w:r>
        <w:rPr>
          <w:w w:val="309"/>
          <w:sz w:val="20"/>
        </w:rPr>
        <w:t> </w:t>
      </w:r>
      <w:r>
        <w:rPr>
          <w:w w:val="176"/>
          <w:sz w:val="20"/>
        </w:rPr>
        <w:t> </w:t>
      </w:r>
      <w:r>
        <w:rPr>
          <w:w w:val="199"/>
          <w:sz w:val="20"/>
        </w:rPr>
        <w:t> </w:t>
      </w:r>
      <w:r>
        <w:rPr>
          <w:w w:val="129"/>
          <w:sz w:val="20"/>
        </w:rPr>
        <w:t>   </w:t>
      </w:r>
      <w:r>
        <w:rPr>
          <w:sz w:val="20"/>
        </w:rPr>
        <w:t>    </w:t>
      </w:r>
      <w:r>
        <w:rPr>
          <w:w w:val="154"/>
          <w:sz w:val="20"/>
        </w:rPr>
        <w:t> </w:t>
      </w:r>
      <w:r>
        <w:rPr>
          <w:w w:val="176"/>
          <w:sz w:val="20"/>
        </w:rPr>
        <w:t> </w:t>
      </w:r>
      <w:r>
        <w:rPr>
          <w:sz w:val="20"/>
        </w:rPr>
        <w:t>  </w:t>
      </w:r>
      <w:r>
        <w:rPr>
          <w:w w:val="199"/>
          <w:sz w:val="20"/>
        </w:rPr>
        <w:t> </w:t>
      </w:r>
      <w:r>
        <w:rPr>
          <w:w w:val="132"/>
          <w:sz w:val="20"/>
        </w:rPr>
        <w:t> </w:t>
      </w:r>
      <w:r>
        <w:rPr>
          <w:w w:val="169"/>
          <w:sz w:val="20"/>
        </w:rPr>
        <w:t>   </w:t>
      </w:r>
      <w:r>
        <w:rPr>
          <w:w w:val="199"/>
          <w:sz w:val="20"/>
        </w:rPr>
        <w:t> </w:t>
      </w:r>
      <w:r>
        <w:rPr>
          <w:w w:val="143"/>
          <w:sz w:val="20"/>
        </w:rPr>
        <w:t>  </w:t>
      </w:r>
      <w:r>
        <w:rPr>
          <w:sz w:val="20"/>
        </w:rPr>
        <w:t>  </w:t>
      </w:r>
      <w:r>
        <w:rPr>
          <w:w w:val="143"/>
          <w:sz w:val="20"/>
        </w:rPr>
        <w:t>  </w:t>
      </w:r>
      <w:r>
        <w:rPr>
          <w:sz w:val="20"/>
        </w:rPr>
        <w:t>  </w:t>
      </w:r>
      <w:r>
        <w:rPr>
          <w:w w:val="176"/>
          <w:sz w:val="20"/>
        </w:rPr>
        <w:t>  </w:t>
      </w:r>
      <w:r>
        <w:rPr>
          <w:w w:val="154"/>
          <w:sz w:val="20"/>
        </w:rPr>
        <w:t> </w:t>
      </w:r>
      <w:r>
        <w:rPr>
          <w:w w:val="199"/>
          <w:sz w:val="20"/>
        </w:rPr>
        <w:t> </w:t>
      </w:r>
      <w:r>
        <w:rPr>
          <w:sz w:val="20"/>
        </w:rPr>
        <w:t>  </w:t>
      </w:r>
      <w:r>
        <w:rPr>
          <w:w w:val="199"/>
          <w:sz w:val="20"/>
        </w:rPr>
        <w:t> </w:t>
      </w:r>
      <w:r>
        <w:rPr>
          <w:w w:val="176"/>
          <w:sz w:val="20"/>
        </w:rPr>
        <w:t> </w:t>
      </w:r>
      <w:r>
        <w:rPr>
          <w:sz w:val="20"/>
        </w:rPr>
        <w:t>  β*  &lt;                                                                     tasa  de crecimiento real del producto.</w:t>
      </w:r>
    </w:p>
    <w:p>
      <w:pPr>
        <w:spacing w:after="0"/>
        <w:jc w:val="both"/>
        <w:rPr>
          <w:sz w:val="20"/>
        </w:rPr>
        <w:sectPr>
          <w:pgSz w:w="12250" w:h="15850"/>
          <w:pgMar w:header="0" w:footer="1037" w:top="1360" w:bottom="1220" w:left="1580" w:right="1580"/>
        </w:sectPr>
      </w:pPr>
    </w:p>
    <w:p>
      <w:pPr>
        <w:pStyle w:val="BodyText"/>
        <w:spacing w:before="5"/>
        <w:rPr>
          <w:sz w:val="9"/>
        </w:rPr>
      </w:pPr>
    </w:p>
    <w:p>
      <w:pPr>
        <w:spacing w:line="32" w:lineRule="exact" w:before="81"/>
        <w:ind w:left="0" w:right="1732" w:firstLine="0"/>
        <w:jc w:val="right"/>
        <w:rPr>
          <w:sz w:val="16"/>
        </w:rPr>
      </w:pPr>
      <w:r>
        <w:rPr>
          <w:sz w:val="16"/>
        </w:rPr>
        <w:t>58</w:t>
      </w:r>
    </w:p>
    <w:p>
      <w:pPr>
        <w:tabs>
          <w:tab w:pos="6605" w:val="left" w:leader="none"/>
        </w:tabs>
        <w:spacing w:before="3"/>
        <w:ind w:left="5479" w:right="115" w:firstLine="0"/>
        <w:jc w:val="left"/>
        <w:rPr>
          <w:sz w:val="24"/>
        </w:rPr>
      </w:pPr>
      <w:r>
        <w:rPr/>
        <w:pict>
          <v:line style="position:absolute;mso-position-horizontal-relative:page;mso-position-vertical-relative:paragraph;z-index:8944" from="291.290009pt,7.393098pt" to="314.930009pt,7.393098pt" stroked="true" strokeweight=".96001pt" strokecolor="#000000">
            <w10:wrap type="none"/>
          </v:line>
        </w:pict>
      </w:r>
      <w:r>
        <w:rPr/>
        <w:pict>
          <v:line style="position:absolute;mso-position-horizontal-relative:page;mso-position-vertical-relative:paragraph;z-index:-563152" from="331.609985pt,7.393098pt" to="371.233985pt,7.393098pt" stroked="true" strokeweight=".96001pt" strokecolor="#000000">
            <w10:wrap type="none"/>
          </v:line>
        </w:pict>
      </w:r>
      <w:r>
        <w:rPr>
          <w:rFonts w:ascii="Cambria Math"/>
          <w:spacing w:val="1"/>
          <w:w w:val="329"/>
          <w:position w:val="-13"/>
          <w:sz w:val="20"/>
        </w:rPr>
        <w:t> </w:t>
      </w:r>
      <w:r>
        <w:rPr>
          <w:rFonts w:ascii="Cambria Math"/>
          <w:spacing w:val="7"/>
          <w:w w:val="289"/>
          <w:position w:val="-13"/>
          <w:sz w:val="20"/>
        </w:rPr>
        <w:t> </w:t>
      </w:r>
      <w:r>
        <w:rPr>
          <w:rFonts w:ascii="Cambria Math"/>
          <w:w w:val="220"/>
          <w:position w:val="-7"/>
          <w:sz w:val="16"/>
        </w:rPr>
        <w:t> </w:t>
      </w:r>
      <w:r>
        <w:rPr>
          <w:rFonts w:ascii="Cambria Math"/>
          <w:position w:val="-7"/>
          <w:sz w:val="16"/>
        </w:rPr>
        <w:t> </w:t>
      </w:r>
      <w:r>
        <w:rPr>
          <w:rFonts w:ascii="Cambria Math"/>
          <w:spacing w:val="15"/>
          <w:position w:val="-7"/>
          <w:sz w:val="16"/>
        </w:rPr>
        <w:t> </w:t>
      </w:r>
      <w:r>
        <w:rPr>
          <w:rFonts w:ascii="Cambria Math"/>
          <w:w w:val="341"/>
          <w:sz w:val="28"/>
        </w:rPr>
        <w:t> </w:t>
      </w:r>
      <w:r>
        <w:rPr>
          <w:rFonts w:ascii="Cambria Math"/>
          <w:spacing w:val="13"/>
          <w:sz w:val="28"/>
        </w:rPr>
        <w:t> </w:t>
      </w:r>
      <w:r>
        <w:rPr>
          <w:rFonts w:ascii="Cambria Math"/>
          <w:w w:val="252"/>
          <w:sz w:val="28"/>
        </w:rPr>
        <w:t> </w:t>
      </w:r>
      <w:r>
        <w:rPr>
          <w:rFonts w:ascii="Cambria Math"/>
          <w:sz w:val="28"/>
        </w:rPr>
        <w:tab/>
      </w:r>
      <w:r>
        <w:rPr>
          <w:sz w:val="24"/>
        </w:rPr>
        <w:t>(3.17)</w:t>
      </w:r>
    </w:p>
    <w:p>
      <w:pPr>
        <w:pStyle w:val="BodyText"/>
        <w:rPr>
          <w:sz w:val="20"/>
        </w:rPr>
      </w:pPr>
    </w:p>
    <w:p>
      <w:pPr>
        <w:pStyle w:val="BodyText"/>
        <w:spacing w:before="6"/>
        <w:rPr>
          <w:sz w:val="20"/>
        </w:rPr>
      </w:pPr>
    </w:p>
    <w:p>
      <w:pPr>
        <w:pStyle w:val="Heading4"/>
        <w:numPr>
          <w:ilvl w:val="1"/>
          <w:numId w:val="13"/>
        </w:numPr>
        <w:tabs>
          <w:tab w:pos="698" w:val="left" w:leader="none"/>
        </w:tabs>
        <w:spacing w:line="240" w:lineRule="auto" w:before="69" w:after="0"/>
        <w:ind w:left="698" w:right="0" w:hanging="576"/>
        <w:jc w:val="both"/>
      </w:pPr>
      <w:bookmarkStart w:name="_bookmark88" w:id="124"/>
      <w:bookmarkEnd w:id="124"/>
      <w:r>
        <w:rPr>
          <w:b w:val="0"/>
        </w:rPr>
      </w:r>
      <w:bookmarkStart w:name="_bookmark88" w:id="125"/>
      <w:bookmarkEnd w:id="125"/>
      <w:r>
        <w:rPr/>
        <w:t>R</w:t>
      </w:r>
      <w:r>
        <w:rPr/>
        <w:t>esultados</w:t>
      </w:r>
    </w:p>
    <w:p>
      <w:pPr>
        <w:pStyle w:val="BodyText"/>
        <w:spacing w:before="4"/>
        <w:rPr>
          <w:b/>
        </w:rPr>
      </w:pPr>
    </w:p>
    <w:p>
      <w:pPr>
        <w:pStyle w:val="ListParagraph"/>
        <w:numPr>
          <w:ilvl w:val="2"/>
          <w:numId w:val="13"/>
        </w:numPr>
        <w:tabs>
          <w:tab w:pos="1525" w:val="left" w:leader="none"/>
          <w:tab w:pos="1526" w:val="left" w:leader="none"/>
        </w:tabs>
        <w:spacing w:line="240" w:lineRule="auto" w:before="1" w:after="0"/>
        <w:ind w:left="1526" w:right="0" w:hanging="720"/>
        <w:jc w:val="left"/>
        <w:rPr>
          <w:b/>
          <w:sz w:val="24"/>
        </w:rPr>
      </w:pPr>
      <w:bookmarkStart w:name="_bookmark89" w:id="126"/>
      <w:bookmarkEnd w:id="126"/>
      <w:r>
        <w:rPr/>
      </w:r>
      <w:bookmarkStart w:name="_bookmark89" w:id="127"/>
      <w:bookmarkEnd w:id="127"/>
      <w:r>
        <w:rPr>
          <w:b/>
          <w:sz w:val="24"/>
        </w:rPr>
        <w:t>C</w:t>
      </w:r>
      <w:r>
        <w:rPr>
          <w:b/>
          <w:sz w:val="24"/>
        </w:rPr>
        <w:t>omparación de</w:t>
      </w:r>
      <w:r>
        <w:rPr>
          <w:b/>
          <w:spacing w:val="-6"/>
          <w:sz w:val="24"/>
        </w:rPr>
        <w:t> </w:t>
      </w:r>
      <w:r>
        <w:rPr>
          <w:b/>
          <w:sz w:val="24"/>
        </w:rPr>
        <w:t>filtros</w:t>
      </w:r>
    </w:p>
    <w:p>
      <w:pPr>
        <w:pStyle w:val="BodyText"/>
        <w:spacing w:before="4"/>
        <w:rPr>
          <w:b/>
          <w:sz w:val="32"/>
        </w:rPr>
      </w:pPr>
    </w:p>
    <w:p>
      <w:pPr>
        <w:pStyle w:val="BodyText"/>
        <w:spacing w:line="360" w:lineRule="auto"/>
        <w:ind w:left="122" w:right="116" w:firstLine="707"/>
        <w:jc w:val="both"/>
      </w:pPr>
      <w:r>
        <w:rPr/>
        <w:t>Al emplear los filtros, de acuerdo con la </w:t>
      </w:r>
      <w:r>
        <w:rPr>
          <w:i/>
        </w:rPr>
        <w:t>figura 3.3</w:t>
      </w:r>
      <w:r>
        <w:rPr/>
        <w:t>, se encontraron resultados más suavizados para el filtro de Christiano y Fitzgerald (CF) en comparación con el filtro de Hodrick  y Prescott (HP).       </w:t>
      </w:r>
      <w:r>
        <w:rPr>
          <w:spacing w:val="51"/>
        </w:rPr>
        <w:t> </w:t>
      </w:r>
      <w:r>
        <w:rPr/>
        <w:t>Ambos filtros sugieren que el precio del gas </w:t>
      </w:r>
      <w:r>
        <w:rPr>
          <w:spacing w:val="-11"/>
        </w:rPr>
        <w:t> </w:t>
      </w:r>
      <w:r>
        <w:rPr>
          <w:w w:val="188"/>
        </w:rPr>
        <w:t> </w:t>
      </w:r>
      <w:r>
        <w:rPr>
          <w:spacing w:val="-1"/>
          <w:w w:val="188"/>
        </w:rPr>
        <w:t> </w:t>
      </w:r>
      <w:r>
        <w:rPr>
          <w:w w:val="155"/>
        </w:rPr>
        <w:t>   </w:t>
      </w:r>
      <w:r>
        <w:rPr>
          <w:spacing w:val="-2"/>
          <w:w w:val="155"/>
        </w:rPr>
        <w:t> </w:t>
      </w:r>
      <w:r>
        <w:rPr>
          <w:w w:val="111"/>
        </w:rPr>
        <w:t> </w:t>
      </w:r>
      <w:r>
        <w:rPr/>
        <w:t> </w:t>
      </w:r>
      <w:r>
        <w:rPr>
          <w:spacing w:val="-19"/>
        </w:rPr>
        <w:t> </w:t>
      </w:r>
      <w:r>
        <w:rPr>
          <w:w w:val="177"/>
        </w:rPr>
        <w:t>    </w:t>
      </w:r>
      <w:r>
        <w:rPr/>
        <w:t> </w:t>
      </w:r>
      <w:r>
        <w:rPr>
          <w:spacing w:val="-19"/>
        </w:rPr>
        <w:t> </w:t>
      </w:r>
      <w:r>
        <w:rPr>
          <w:w w:val="177"/>
        </w:rPr>
        <w:t>  </w:t>
      </w:r>
    </w:p>
    <w:p>
      <w:pPr>
        <w:pStyle w:val="BodyText"/>
        <w:spacing w:before="7"/>
        <w:ind w:left="122"/>
        <w:jc w:val="both"/>
      </w:pPr>
      <w:r>
        <w:rPr>
          <w:w w:val="244"/>
        </w:rPr>
        <w:t>  </w:t>
      </w:r>
      <w:r>
        <w:rPr>
          <w:w w:val="200"/>
        </w:rPr>
        <w:t> </w:t>
      </w:r>
      <w:r>
        <w:rPr>
          <w:w w:val="166"/>
        </w:rPr>
        <w:t>  </w:t>
      </w:r>
      <w:r>
        <w:rPr/>
        <w:t>  </w:t>
      </w:r>
      <w:r>
        <w:rPr>
          <w:w w:val="200"/>
        </w:rPr>
        <w:t> </w:t>
      </w:r>
      <w:r>
        <w:rPr>
          <w:w w:val="177"/>
        </w:rPr>
        <w:t> </w:t>
      </w:r>
      <w:r>
        <w:rPr>
          <w:w w:val="166"/>
        </w:rPr>
        <w:t>  </w:t>
      </w:r>
      <w:r>
        <w:rPr>
          <w:w w:val="177"/>
        </w:rPr>
        <w:t> </w:t>
      </w:r>
      <w:r>
        <w:rPr>
          <w:w w:val="185"/>
        </w:rPr>
        <w:t>   </w:t>
      </w:r>
      <w:r>
        <w:rPr/>
        <w:t>  </w:t>
      </w:r>
      <w:r>
        <w:rPr>
          <w:w w:val="177"/>
        </w:rPr>
        <w:t> </w:t>
      </w:r>
      <w:r>
        <w:rPr>
          <w:w w:val="111"/>
        </w:rPr>
        <w:t> </w:t>
      </w:r>
      <w:r>
        <w:rPr>
          <w:w w:val="177"/>
        </w:rPr>
        <w:t> </w:t>
      </w:r>
      <w:r>
        <w:rPr>
          <w:w w:val="111"/>
        </w:rPr>
        <w:t>  </w:t>
      </w:r>
      <w:r>
        <w:rPr>
          <w:w w:val="177"/>
        </w:rPr>
        <w:t> </w:t>
      </w:r>
      <w:r>
        <w:rPr>
          <w:w w:val="200"/>
        </w:rPr>
        <w:t> </w:t>
      </w:r>
      <w:r>
        <w:rPr/>
        <w:t>  </w:t>
      </w:r>
      <w:r>
        <w:rPr>
          <w:w w:val="177"/>
        </w:rPr>
        <w:t> </w:t>
      </w:r>
      <w:r>
        <w:rPr/>
        <w:t>  </w:t>
      </w:r>
      <w:r>
        <w:rPr>
          <w:w w:val="195"/>
        </w:rPr>
        <w:t>     </w:t>
      </w:r>
      <w:r>
        <w:rPr>
          <w:w w:val="185"/>
        </w:rPr>
        <w:t>   </w:t>
      </w:r>
      <w:r>
        <w:rPr/>
        <w:t>  </w:t>
      </w:r>
      <w:r>
        <w:rPr>
          <w:w w:val="188"/>
        </w:rPr>
        <w:t>  </w:t>
      </w:r>
      <w:r>
        <w:rPr>
          <w:w w:val="111"/>
        </w:rPr>
        <w:t> </w:t>
      </w:r>
      <w:r>
        <w:rPr/>
        <w:t>  </w:t>
      </w:r>
      <w:r>
        <w:rPr>
          <w:w w:val="160"/>
        </w:rPr>
        <w:t>   9</w:t>
      </w:r>
      <w:r>
        <w:rPr/>
        <w:t>  </w:t>
      </w:r>
      <w:r>
        <w:rPr>
          <w:w w:val="177"/>
        </w:rPr>
        <w:t> </w:t>
      </w:r>
      <w:r>
        <w:rPr>
          <w:w w:val="155"/>
        </w:rPr>
        <w:t>    </w:t>
      </w:r>
      <w:r>
        <w:rPr>
          <w:w w:val="177"/>
        </w:rPr>
        <w:t>  </w:t>
      </w:r>
      <w:r>
        <w:rPr>
          <w:w w:val="200"/>
        </w:rPr>
        <w:t>  </w:t>
      </w:r>
      <w:r>
        <w:rPr/>
        <w:t>  </w:t>
      </w:r>
      <w:r>
        <w:rPr>
          <w:w w:val="177"/>
        </w:rPr>
        <w:t>   </w:t>
      </w:r>
      <w:r>
        <w:rPr/>
        <w:t>  </w:t>
      </w:r>
      <w:r>
        <w:rPr>
          <w:w w:val="144"/>
        </w:rPr>
        <w:t>  </w:t>
      </w:r>
      <w:r>
        <w:rPr/>
        <w:t>  </w:t>
      </w:r>
      <w:r>
        <w:rPr>
          <w:w w:val="155"/>
        </w:rPr>
        <w:t>  </w:t>
      </w:r>
      <w:r>
        <w:rPr>
          <w:w w:val="177"/>
        </w:rPr>
        <w:t>  </w:t>
      </w:r>
      <w:r>
        <w:rPr>
          <w:w w:val="166"/>
        </w:rPr>
        <w:t>    </w:t>
      </w:r>
      <w:r>
        <w:rPr/>
        <w:t>  </w:t>
      </w:r>
      <w:r>
        <w:rPr>
          <w:w w:val="140"/>
        </w:rPr>
        <w:t>   </w:t>
      </w:r>
      <w:r>
        <w:rPr>
          <w:w w:val="177"/>
        </w:rPr>
        <w:t> </w:t>
      </w:r>
      <w:r>
        <w:rPr>
          <w:w w:val="170"/>
        </w:rPr>
        <w:t>   </w:t>
      </w:r>
      <w:r>
        <w:rPr>
          <w:w w:val="177"/>
        </w:rPr>
        <w:t> </w:t>
      </w:r>
      <w:r>
        <w:rPr>
          <w:w w:val="150"/>
        </w:rPr>
        <w:t>      </w:t>
      </w:r>
      <w:r>
        <w:rPr/>
        <w:t>  </w:t>
      </w:r>
      <w:r>
        <w:rPr>
          <w:w w:val="222"/>
        </w:rPr>
        <w:t>  </w:t>
      </w:r>
    </w:p>
    <w:p>
      <w:pPr>
        <w:pStyle w:val="BodyText"/>
        <w:spacing w:line="360" w:lineRule="auto" w:before="137"/>
        <w:ind w:left="122" w:right="118"/>
        <w:jc w:val="both"/>
      </w:pPr>
      <w:r>
        <w:rPr>
          <w:spacing w:val="-1"/>
          <w:w w:val="177"/>
        </w:rPr>
        <w:t>  </w:t>
      </w:r>
      <w:r>
        <w:rPr>
          <w:w w:val="207"/>
        </w:rPr>
        <w:t>   </w:t>
      </w:r>
      <w:r>
        <w:rPr>
          <w:w w:val="150"/>
        </w:rPr>
        <w:t>  </w:t>
      </w:r>
      <w:r>
        <w:rPr/>
        <w:t> </w:t>
      </w:r>
      <w:r>
        <w:rPr>
          <w:spacing w:val="-27"/>
        </w:rPr>
        <w:t> </w:t>
      </w:r>
      <w:r>
        <w:rPr>
          <w:spacing w:val="-1"/>
          <w:w w:val="177"/>
        </w:rPr>
        <w:t> </w:t>
      </w:r>
      <w:r>
        <w:rPr>
          <w:w w:val="111"/>
        </w:rPr>
        <w:t> </w:t>
      </w:r>
      <w:r>
        <w:rPr/>
        <w:t> </w:t>
      </w:r>
      <w:r>
        <w:rPr>
          <w:spacing w:val="-27"/>
        </w:rPr>
        <w:t> </w:t>
      </w:r>
      <w:r>
        <w:rPr>
          <w:spacing w:val="2"/>
          <w:w w:val="200"/>
        </w:rPr>
        <w:t> </w:t>
      </w:r>
      <w:r>
        <w:rPr>
          <w:spacing w:val="-1"/>
          <w:w w:val="177"/>
        </w:rPr>
        <w:t> </w:t>
      </w:r>
      <w:r>
        <w:rPr>
          <w:w w:val="166"/>
        </w:rPr>
        <w:t>    </w:t>
      </w:r>
      <w:r>
        <w:rPr>
          <w:w w:val="177"/>
        </w:rPr>
        <w:t> </w:t>
      </w:r>
      <w:r>
        <w:rPr/>
        <w:t> </w:t>
      </w:r>
      <w:r>
        <w:rPr>
          <w:spacing w:val="-28"/>
        </w:rPr>
        <w:t> </w:t>
      </w:r>
      <w:r>
        <w:rPr>
          <w:w w:val="166"/>
        </w:rPr>
        <w:t> </w:t>
      </w:r>
      <w:r>
        <w:rPr>
          <w:spacing w:val="-1"/>
          <w:w w:val="166"/>
        </w:rPr>
        <w:t> </w:t>
      </w:r>
      <w:r>
        <w:rPr>
          <w:w w:val="211"/>
        </w:rPr>
        <w:t> </w:t>
      </w:r>
      <w:r>
        <w:rPr>
          <w:spacing w:val="3"/>
          <w:w w:val="211"/>
        </w:rPr>
        <w:t> </w:t>
      </w:r>
      <w:r>
        <w:rPr>
          <w:spacing w:val="-1"/>
          <w:w w:val="177"/>
        </w:rPr>
        <w:t> </w:t>
      </w:r>
      <w:r>
        <w:rPr>
          <w:w w:val="148"/>
        </w:rPr>
        <w:t>   </w:t>
      </w:r>
      <w:r>
        <w:rPr/>
        <w:t> </w:t>
      </w:r>
      <w:r>
        <w:rPr>
          <w:w w:val="1"/>
        </w:rPr>
        <w:t> </w:t>
      </w:r>
      <w:r>
        <w:rPr/>
        <w:t> </w:t>
      </w:r>
      <w:r>
        <w:rPr>
          <w:spacing w:val="-27"/>
        </w:rPr>
        <w:t> </w:t>
      </w:r>
      <w:r>
        <w:rPr>
          <w:spacing w:val="-1"/>
          <w:w w:val="177"/>
        </w:rPr>
        <w:t> </w:t>
      </w:r>
      <w:r>
        <w:rPr>
          <w:w w:val="200"/>
        </w:rPr>
        <w:t>  </w:t>
      </w:r>
      <w:r>
        <w:rPr/>
        <w:t> </w:t>
      </w:r>
      <w:r>
        <w:rPr>
          <w:spacing w:val="-22"/>
        </w:rPr>
        <w:t> </w:t>
      </w:r>
      <w:r>
        <w:rPr>
          <w:w w:val="200"/>
        </w:rPr>
        <w:t> </w:t>
      </w:r>
      <w:r>
        <w:rPr/>
        <w:t> </w:t>
      </w:r>
      <w:r>
        <w:rPr>
          <w:spacing w:val="-30"/>
        </w:rPr>
        <w:t> </w:t>
      </w:r>
      <w:r>
        <w:rPr>
          <w:w w:val="155"/>
        </w:rPr>
        <w:t>   </w:t>
      </w:r>
      <w:r>
        <w:rPr/>
        <w:t> </w:t>
      </w:r>
      <w:r>
        <w:rPr>
          <w:spacing w:val="-21"/>
        </w:rPr>
        <w:t> </w:t>
      </w:r>
      <w:r>
        <w:rPr/>
        <w:t>gas natural tuvo su mayor caída entre el último trimestre del 2009 y el primer trimestre del 2010. En consecuencia, es posible señalar que  el balance primario sigue los comportamientos cíclicos del precio del gas natural hasta un máximo de tres</w:t>
      </w:r>
      <w:r>
        <w:rPr>
          <w:spacing w:val="-5"/>
        </w:rPr>
        <w:t> </w:t>
      </w:r>
      <w:r>
        <w:rPr/>
        <w:t>trimestres.</w:t>
      </w:r>
    </w:p>
    <w:p>
      <w:pPr>
        <w:pStyle w:val="BodyText"/>
        <w:spacing w:line="360" w:lineRule="auto" w:before="4"/>
        <w:ind w:left="122" w:right="119" w:firstLine="707"/>
        <w:jc w:val="both"/>
      </w:pPr>
      <w:r>
        <w:rPr/>
        <w:t>De forma preliminar, se pudo evidenciar que la deuda pública siguió un comportamiento contracíclico a los movimientos de precios del gas natural: i) disminución de deuda en períodos de auge de precios e ii) incremento del endeudamiento público en tiempos de caídas de precios.</w:t>
      </w:r>
    </w:p>
    <w:p>
      <w:pPr>
        <w:pStyle w:val="BodyText"/>
        <w:spacing w:line="360" w:lineRule="auto" w:before="4"/>
        <w:ind w:left="122" w:right="123" w:firstLine="707"/>
        <w:jc w:val="both"/>
      </w:pPr>
      <w:r>
        <w:rPr/>
        <w:t>En el período posterior a la nacionalización de los hidrocarburos, y sin considerar el período de recesión internacional, se puede sugerir algunos cambios en el comportamiento de la posición fiscal: i) mejora del balance primario; ii) deterioro del balance primario no gasífero; iii) disminución de la deuda pública.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4"/>
        </w:rPr>
      </w:pPr>
      <w:r>
        <w:rPr/>
        <w:pict>
          <v:line style="position:absolute;mso-position-horizontal-relative:page;mso-position-vertical-relative:paragraph;z-index:8920;mso-wrap-distance-left:0;mso-wrap-distance-right:0" from="85.103996pt,10.823452pt" to="229.123996pt,10.823452pt" stroked="true" strokeweight=".599980pt" strokecolor="#000000">
            <w10:wrap type="topAndBottom"/>
          </v:line>
        </w:pict>
      </w:r>
    </w:p>
    <w:p>
      <w:pPr>
        <w:spacing w:before="50"/>
        <w:ind w:left="122" w:right="126" w:firstLine="0"/>
        <w:jc w:val="both"/>
        <w:rPr>
          <w:sz w:val="20"/>
        </w:rPr>
      </w:pPr>
      <w:r>
        <w:rPr>
          <w:position w:val="9"/>
          <w:sz w:val="13"/>
        </w:rPr>
        <w:t>58 </w:t>
      </w:r>
      <w:r>
        <w:rPr>
          <w:sz w:val="20"/>
        </w:rPr>
        <w:t>En el marco teórico se mencionaron tres grados de sostenibilidad fiscal: a) de grado fuerte, si se cumple la condición más del 75% del período observado; b) de grado insostenible, si se cumple menos del 25% del período abordado; c) de grado débil (inconcluyente) si se encuentra entre el  25 y 75% del período.</w:t>
      </w:r>
    </w:p>
    <w:p>
      <w:pPr>
        <w:spacing w:after="0"/>
        <w:jc w:val="both"/>
        <w:rPr>
          <w:sz w:val="20"/>
        </w:rPr>
        <w:sectPr>
          <w:pgSz w:w="12250" w:h="15850"/>
          <w:pgMar w:header="0" w:footer="1037" w:top="1320" w:bottom="1220" w:left="1580" w:right="1580"/>
        </w:sectPr>
      </w:pPr>
    </w:p>
    <w:p>
      <w:pPr>
        <w:pStyle w:val="BodyText"/>
        <w:spacing w:line="360" w:lineRule="auto" w:before="50"/>
        <w:ind w:left="3359" w:right="276" w:hanging="3090"/>
      </w:pPr>
      <w:bookmarkStart w:name="_bookmark90" w:id="128"/>
      <w:bookmarkEnd w:id="128"/>
      <w:r>
        <w:rPr/>
      </w:r>
      <w:r>
        <w:rPr/>
        <w:t>Figura 3. 3: Comparación de filtros en series económicas: Christiano y Fitzgerald (CF) y Hodrick y Prescott (HP)</w:t>
      </w:r>
    </w:p>
    <w:p>
      <w:pPr>
        <w:spacing w:after="0" w:line="360" w:lineRule="auto"/>
        <w:sectPr>
          <w:pgSz w:w="12250" w:h="15850"/>
          <w:pgMar w:header="0" w:footer="1037" w:top="1360" w:bottom="1220" w:left="1600" w:right="1580"/>
        </w:sectPr>
      </w:pPr>
    </w:p>
    <w:p>
      <w:pPr>
        <w:spacing w:before="90"/>
        <w:ind w:left="314" w:right="-5" w:firstLine="0"/>
        <w:jc w:val="left"/>
        <w:rPr>
          <w:rFonts w:ascii="Calibri"/>
          <w:sz w:val="14"/>
        </w:rPr>
      </w:pPr>
      <w:r>
        <w:rPr/>
        <w:pict>
          <v:group style="position:absolute;margin-left:105.816086pt;margin-top:8.500784pt;width:186.05pt;height:121.45pt;mso-position-horizontal-relative:page;mso-position-vertical-relative:paragraph;z-index:-563056" coordorigin="2116,170" coordsize="3721,2429">
            <v:shape style="position:absolute;left:788;top:9490;width:6001;height:3420" coordorigin="788,9490" coordsize="6001,3420" path="m2274,2593l2274,176m2229,2593l2274,2593m2229,2328l2274,2328m2229,2052l2274,2052m2229,1787l2274,1787m2229,1522l2274,1522m2229,1246l2274,1246m2229,981l2274,981m2229,716l2274,716m2229,451l2274,451m2229,176l2274,176m2274,1522l5831,1522m2274,1522l2274,1565m2580,1522l2580,1565m2895,1522l2895,1565m3210,1522l3210,1565m3526,1522l3526,1565m3841,1522l3841,1565m4156,1522l4156,1565m4471,1522l4471,1565m4786,1522l4786,1565m5102,1522l5102,1565m5417,1522l5417,1565m5732,1522l5732,1565e" filled="false" stroked="true" strokeweight=".490225pt" strokecolor="#858585">
              <v:path arrowok="t"/>
            </v:shape>
            <v:shape style="position:absolute;left:2319;top:413;width:3459;height:1763" coordorigin="2319,413" coordsize="3459,1763" path="m2319,1655l2336,1599,2354,1536,2371,1473,2389,1417,2406,1375,2424,1354,2445,1365,2466,1408,2487,1466,2507,1519,2528,1552,2555,1554,2581,1535,2607,1515,2633,1514,2659,1541,2686,1585,2712,1632,2738,1673,2764,1707,2790,1738,2817,1764,2843,1779,2869,1777,2895,1761,2921,1745,2948,1742,3000,1776,3052,1844,3094,1945,3115,2003,3136,2052,3157,2080,3182,2083,3210,2065,3262,1981,3292,1891,3322,1775,3337,1716,3367,1612,3388,1553,3430,1448,3472,1375,3498,1358,3524,1359,3550,1364,3576,1360,3629,1324,3681,1266,3723,1176,3744,1125,3765,1086,3786,1072,3807,1090,3828,1132,3849,1187,3870,1244,3891,1293,3917,1342,3943,1387,3969,1433,3996,1482,4017,1531,4037,1589,4058,1645,4079,1690,4100,1713,4127,1704,4153,1666,4179,1616,4205,1573,4231,1544,4258,1519,4284,1487,4325,1394,4355,1283,4370,1222,4385,1164,4415,1070,4467,1006,4494,985,4520,948,4537,906,4555,854,4572,798,4589,740,4607,686,4624,638,4637,601,4650,556,4664,510,4677,467,4690,433,4703,413,4716,413,4729,437,4750,535,4764,633,4778,750,4785,812,4792,877,4799,943,4806,1008,4813,1073,4820,1137,4827,1198,4834,1255,4841,1313,4848,1373,4855,1436,4862,1500,4869,1566,4876,1631,4883,1696,4890,1759,4897,1821,4911,1935,4925,2032,4939,2106,4991,2168,5023,2175,5043,2174,5096,2129,5148,2034,5183,1932,5201,1870,5218,1809,5253,1709,5306,1632,5358,1598,5384,1592,5410,1595,5436,1606,5463,1624,5489,1659,5515,1707,5541,1751,5567,1772,5594,1767,5620,1744,5672,1662,5714,1565,5735,1506,5756,1446,5777,1389e" filled="false" stroked="true" strokeweight="1.541084pt" strokecolor="#497dba">
              <v:path arrowok="t"/>
            </v:shape>
            <v:shape style="position:absolute;left:2319;top:715;width:3459;height:1529" coordorigin="2319,715" coordsize="3459,1529" path="m2319,1488l2345,1463,2371,1437,2397,1413,2450,1380,2528,1362,2555,1366,2633,1406,2686,1456,2738,1520,2790,1594,2817,1633,2843,1671,2895,1744,2948,1809,3000,1857,3052,1888,3105,1897,3131,1894,3210,1857,3262,1810,3314,1750,3367,1679,3419,1598,3445,1555,3472,1513,3498,1469,3524,1424,3550,1380,3603,1301,3655,1232,3707,1189,3760,1173,3786,1179,3838,1223,3891,1300,3933,1386,3975,1487,3996,1535,4017,1583,4037,1633,4058,1682,4100,1758,4153,1809,4179,1816,4205,1805,4258,1726,4284,1663,4310,1590,4340,1488,4355,1429,4370,1368,4385,1306,4400,1246,4415,1188,4430,1132,4445,1073,4460,1014,4490,904,4520,819,4572,734,4599,715,4624,719,4666,786,4708,907,4729,981,4752,1077,4776,1189,4787,1248,4799,1309,4811,1369,4822,1428,4834,1485,4846,1541,4857,1599,4881,1716,4904,1829,4927,1931,4960,2045,4981,2107,5023,2200,5070,2243,5096,2238,5148,2191,5201,2098,5227,2039,5253,1984,5279,1932,5306,1878,5332,1828,5384,1753,5436,1706,5489,1677,5541,1664,5567,1653,5620,1622,5672,1574,5725,1494,5751,1447,5777,1402e" filled="false" stroked="true" strokeweight="1.551319pt" strokecolor="#bd4a47">
              <v:path arrowok="t"/>
              <v:stroke dashstyle="longDash"/>
            </v:shape>
            <v:shape style="position:absolute;left:5065;top:932;width:104;height:521" coordorigin="5065,932" coordsize="104,521" path="m5076,1330l5072,1332,5067,1335,5065,1341,5067,1346,5106,1453,5119,1434,5117,1434,5099,1431,5103,1392,5084,1338,5082,1333,5076,1330xm5103,1392l5099,1431,5117,1434,5118,1428,5117,1428,5101,1426,5110,1411,5103,1392xm5160,1342l5155,1343,5121,1395,5117,1434,5119,1434,5166,1361,5169,1356,5168,1349,5160,1342xm5110,1411l5101,1426,5117,1428,5110,1411xm5121,1395l5110,1411,5117,1428,5118,1428,5121,1395xm5151,932l5103,1392,5110,1411,5121,1395,5169,935,5151,932xe" filled="true" fillcolor="#ff0000" stroked="false">
              <v:path arrowok="t"/>
              <v:fill type="solid"/>
            </v:shape>
            <v:shape style="position:absolute;left:2842;top:181;width:2830;height:645" type="#_x0000_t202" filled="false" stroked="false">
              <v:textbox inset="0,0,0,0">
                <w:txbxContent>
                  <w:p>
                    <w:pPr>
                      <w:spacing w:line="243" w:lineRule="exact" w:before="0"/>
                      <w:ind w:left="0" w:right="0" w:firstLine="0"/>
                      <w:jc w:val="left"/>
                      <w:rPr>
                        <w:rFonts w:ascii="Constantia"/>
                        <w:b/>
                        <w:sz w:val="25"/>
                      </w:rPr>
                    </w:pPr>
                    <w:r>
                      <w:rPr>
                        <w:rFonts w:ascii="Constantia"/>
                        <w:b/>
                        <w:w w:val="85"/>
                        <w:sz w:val="25"/>
                      </w:rPr>
                      <w:t>Precio del gas natural</w:t>
                    </w:r>
                  </w:p>
                  <w:p>
                    <w:pPr>
                      <w:spacing w:line="192" w:lineRule="exact" w:before="0"/>
                      <w:ind w:left="1988" w:right="0" w:firstLine="0"/>
                      <w:jc w:val="left"/>
                      <w:rPr>
                        <w:rFonts w:ascii="Constantia" w:hAnsi="Constantia"/>
                        <w:sz w:val="17"/>
                      </w:rPr>
                    </w:pPr>
                    <w:r>
                      <w:rPr>
                        <w:rFonts w:ascii="Constantia" w:hAnsi="Constantia"/>
                        <w:color w:val="FF0000"/>
                        <w:w w:val="95"/>
                        <w:sz w:val="17"/>
                      </w:rPr>
                      <w:t>Recesión</w:t>
                    </w:r>
                  </w:p>
                  <w:p>
                    <w:pPr>
                      <w:spacing w:line="204" w:lineRule="exact" w:before="5"/>
                      <w:ind w:left="0" w:right="0" w:firstLine="0"/>
                      <w:jc w:val="right"/>
                      <w:rPr>
                        <w:rFonts w:ascii="Constantia"/>
                        <w:sz w:val="17"/>
                      </w:rPr>
                    </w:pPr>
                    <w:r>
                      <w:rPr>
                        <w:rFonts w:ascii="Constantia"/>
                        <w:color w:val="FF0000"/>
                        <w:w w:val="85"/>
                        <w:sz w:val="17"/>
                      </w:rPr>
                      <w:t>internacional</w:t>
                    </w:r>
                  </w:p>
                </w:txbxContent>
              </v:textbox>
              <w10:wrap type="none"/>
            </v:shape>
            <v:shape style="position:absolute;left:2116;top:1734;width:36;height:677" type="#_x0000_t202" filled="false" stroked="false">
              <v:textbox inset="0,0,0,0">
                <w:txbxContent>
                  <w:p>
                    <w:pPr>
                      <w:spacing w:line="141" w:lineRule="exact" w:before="0"/>
                      <w:ind w:left="0" w:right="0" w:firstLine="0"/>
                      <w:jc w:val="left"/>
                      <w:rPr>
                        <w:rFonts w:ascii="Calibri"/>
                        <w:sz w:val="14"/>
                      </w:rPr>
                    </w:pPr>
                    <w:r>
                      <w:rPr>
                        <w:rFonts w:ascii="Calibri"/>
                        <w:w w:val="83"/>
                        <w:sz w:val="14"/>
                      </w:rPr>
                      <w:t>)</w:t>
                    </w:r>
                  </w:p>
                  <w:p>
                    <w:pPr>
                      <w:spacing w:before="98"/>
                      <w:ind w:left="0" w:right="0" w:firstLine="0"/>
                      <w:jc w:val="left"/>
                      <w:rPr>
                        <w:rFonts w:ascii="Calibri"/>
                        <w:sz w:val="14"/>
                      </w:rPr>
                    </w:pPr>
                    <w:r>
                      <w:rPr>
                        <w:rFonts w:ascii="Calibri"/>
                        <w:w w:val="83"/>
                        <w:sz w:val="14"/>
                      </w:rPr>
                      <w:t>)</w:t>
                    </w:r>
                  </w:p>
                  <w:p>
                    <w:pPr>
                      <w:spacing w:line="168" w:lineRule="exact" w:before="98"/>
                      <w:ind w:left="0" w:right="0" w:firstLine="0"/>
                      <w:jc w:val="left"/>
                      <w:rPr>
                        <w:rFonts w:ascii="Calibri"/>
                        <w:sz w:val="14"/>
                      </w:rPr>
                    </w:pPr>
                    <w:r>
                      <w:rPr>
                        <w:rFonts w:ascii="Calibri"/>
                        <w:w w:val="83"/>
                        <w:sz w:val="14"/>
                      </w:rPr>
                      <w:t>)</w:t>
                    </w:r>
                  </w:p>
                </w:txbxContent>
              </v:textbox>
              <w10:wrap type="none"/>
            </v:shape>
            <v:shape style="position:absolute;left:2123;top:1649;width:3543;height:139" type="#_x0000_t202" filled="false" stroked="false">
              <v:textbox inset="0,0,0,0">
                <w:txbxContent>
                  <w:p>
                    <w:pPr>
                      <w:spacing w:line="139" w:lineRule="exact" w:before="0"/>
                      <w:ind w:left="0" w:right="0" w:firstLine="0"/>
                      <w:jc w:val="left"/>
                      <w:rPr>
                        <w:rFonts w:ascii="Calibri"/>
                        <w:sz w:val="14"/>
                      </w:rPr>
                    </w:pPr>
                    <w:r>
                      <w:rPr>
                        <w:rFonts w:ascii="Calibri"/>
                        <w:w w:val="95"/>
                        <w:sz w:val="14"/>
                      </w:rPr>
                      <w:t>2003Q1  2004Q2  2005Q3  2006Q4  2008Q1  2009Q2    2010Q3</w:t>
                    </w:r>
                  </w:p>
                </w:txbxContent>
              </v:textbox>
              <w10:wrap type="none"/>
            </v:shape>
            <w10:wrap type="none"/>
          </v:group>
        </w:pict>
      </w:r>
      <w:r>
        <w:rPr>
          <w:rFonts w:ascii="Calibri"/>
          <w:w w:val="90"/>
          <w:sz w:val="14"/>
        </w:rPr>
        <w:t>0.50</w:t>
      </w:r>
    </w:p>
    <w:p>
      <w:pPr>
        <w:spacing w:before="98"/>
        <w:ind w:left="314" w:right="-5" w:firstLine="0"/>
        <w:jc w:val="left"/>
        <w:rPr>
          <w:rFonts w:ascii="Calibri"/>
          <w:sz w:val="14"/>
        </w:rPr>
      </w:pPr>
      <w:r>
        <w:rPr>
          <w:rFonts w:ascii="Calibri"/>
          <w:w w:val="90"/>
          <w:sz w:val="14"/>
        </w:rPr>
        <w:t>0.40</w:t>
      </w:r>
    </w:p>
    <w:p>
      <w:pPr>
        <w:spacing w:before="98"/>
        <w:ind w:left="314" w:right="-5" w:firstLine="0"/>
        <w:jc w:val="left"/>
        <w:rPr>
          <w:rFonts w:ascii="Calibri"/>
          <w:sz w:val="14"/>
        </w:rPr>
      </w:pPr>
      <w:r>
        <w:rPr>
          <w:rFonts w:ascii="Calibri"/>
          <w:w w:val="90"/>
          <w:sz w:val="14"/>
        </w:rPr>
        <w:t>0.30</w:t>
      </w:r>
    </w:p>
    <w:p>
      <w:pPr>
        <w:spacing w:before="98"/>
        <w:ind w:left="314" w:right="-5" w:firstLine="0"/>
        <w:jc w:val="left"/>
        <w:rPr>
          <w:rFonts w:ascii="Calibri"/>
          <w:sz w:val="14"/>
        </w:rPr>
      </w:pPr>
      <w:r>
        <w:rPr>
          <w:rFonts w:ascii="Calibri"/>
          <w:w w:val="90"/>
          <w:sz w:val="14"/>
        </w:rPr>
        <w:t>0.20</w:t>
      </w:r>
    </w:p>
    <w:p>
      <w:pPr>
        <w:spacing w:before="98"/>
        <w:ind w:left="314" w:right="-5" w:firstLine="0"/>
        <w:jc w:val="left"/>
        <w:rPr>
          <w:rFonts w:ascii="Calibri"/>
          <w:sz w:val="14"/>
        </w:rPr>
      </w:pPr>
      <w:r>
        <w:rPr>
          <w:rFonts w:ascii="Calibri"/>
          <w:w w:val="90"/>
          <w:sz w:val="14"/>
        </w:rPr>
        <w:t>0.10</w:t>
      </w:r>
    </w:p>
    <w:p>
      <w:pPr>
        <w:spacing w:line="376" w:lineRule="auto" w:before="98"/>
        <w:ind w:left="264" w:right="21" w:firstLine="174"/>
        <w:jc w:val="left"/>
        <w:rPr>
          <w:rFonts w:ascii="Calibri"/>
          <w:sz w:val="14"/>
        </w:rPr>
      </w:pPr>
      <w:r>
        <w:rPr>
          <w:rFonts w:ascii="Calibri"/>
          <w:w w:val="95"/>
          <w:sz w:val="14"/>
        </w:rPr>
        <w:t>- </w:t>
      </w:r>
      <w:r>
        <w:rPr>
          <w:rFonts w:ascii="Calibri"/>
          <w:w w:val="85"/>
          <w:sz w:val="14"/>
        </w:rPr>
        <w:t>(0.10</w:t>
      </w:r>
    </w:p>
    <w:p>
      <w:pPr>
        <w:spacing w:before="0"/>
        <w:ind w:left="264" w:right="-5" w:firstLine="0"/>
        <w:jc w:val="left"/>
        <w:rPr>
          <w:rFonts w:ascii="Calibri"/>
          <w:sz w:val="14"/>
        </w:rPr>
      </w:pPr>
      <w:r>
        <w:rPr>
          <w:rFonts w:ascii="Calibri"/>
          <w:w w:val="90"/>
          <w:sz w:val="14"/>
        </w:rPr>
        <w:t>(0.20</w:t>
      </w:r>
    </w:p>
    <w:p>
      <w:pPr>
        <w:spacing w:before="98"/>
        <w:ind w:left="264" w:right="-5" w:firstLine="0"/>
        <w:jc w:val="left"/>
        <w:rPr>
          <w:rFonts w:ascii="Calibri"/>
          <w:sz w:val="14"/>
        </w:rPr>
      </w:pPr>
      <w:r>
        <w:rPr>
          <w:rFonts w:ascii="Calibri"/>
          <w:w w:val="90"/>
          <w:sz w:val="14"/>
        </w:rPr>
        <w:t>(0.30</w:t>
      </w:r>
    </w:p>
    <w:p>
      <w:pPr>
        <w:spacing w:before="98"/>
        <w:ind w:left="264" w:right="-15" w:firstLine="0"/>
        <w:jc w:val="left"/>
        <w:rPr>
          <w:rFonts w:ascii="Calibri"/>
          <w:sz w:val="14"/>
        </w:rPr>
      </w:pPr>
      <w:r>
        <w:rPr>
          <w:rFonts w:ascii="Calibri"/>
          <w:w w:val="85"/>
          <w:sz w:val="14"/>
        </w:rPr>
        <w:t>(0.40)</w:t>
      </w:r>
    </w:p>
    <w:p>
      <w:pPr>
        <w:spacing w:before="90"/>
        <w:ind w:left="240" w:right="3975" w:firstLine="0"/>
        <w:jc w:val="center"/>
        <w:rPr>
          <w:rFonts w:ascii="Calibri"/>
          <w:sz w:val="14"/>
        </w:rPr>
      </w:pPr>
      <w:r>
        <w:rPr/>
        <w:br w:type="column"/>
      </w:r>
      <w:r>
        <w:rPr>
          <w:rFonts w:ascii="Calibri"/>
          <w:w w:val="90"/>
          <w:sz w:val="14"/>
        </w:rPr>
        <w:t>0.06</w:t>
      </w:r>
    </w:p>
    <w:p>
      <w:pPr>
        <w:pStyle w:val="BodyText"/>
        <w:spacing w:before="4"/>
        <w:rPr>
          <w:rFonts w:ascii="Calibri"/>
          <w:sz w:val="14"/>
        </w:rPr>
      </w:pPr>
    </w:p>
    <w:p>
      <w:pPr>
        <w:spacing w:before="0"/>
        <w:ind w:left="240" w:right="3974" w:firstLine="0"/>
        <w:jc w:val="center"/>
        <w:rPr>
          <w:rFonts w:ascii="Calibri"/>
          <w:sz w:val="14"/>
        </w:rPr>
      </w:pPr>
      <w:r>
        <w:rPr/>
        <w:pict>
          <v:group style="position:absolute;margin-left:330.075867pt;margin-top:-13.296579pt;width:183pt;height:125.5pt;mso-position-horizontal-relative:page;mso-position-vertical-relative:paragraph;z-index:-562840" coordorigin="6602,-266" coordsize="3660,2510">
            <v:shape style="position:absolute;left:788;top:9054;width:6016;height:3420" coordorigin="788,9054" coordsize="6016,3420" path="m6754,2157l6754,-260m6719,2157l6754,2157m6719,1807l6754,1807m6719,1468l6754,1468m6719,1118l6754,1118m6719,779l6754,779m6719,429l6754,429m6719,89l6754,89m6719,-260l6754,-260m6754,779l10256,779m6754,779l6754,821m7063,779l7063,821m7372,779l7372,821m7680,779l7680,821m7989,779l7989,821m8298,779l8298,821m8606,779l8606,821m8915,779l8915,821m9224,779l9224,821m9532,779l9532,821m9841,779l9841,821m10150,779l10150,821e" filled="false" stroked="true" strokeweight=".485566pt" strokecolor="#858585">
              <v:path arrowok="t"/>
            </v:shape>
            <v:shape style="position:absolute;left:6807;top:-112;width:3396;height:2186" coordorigin="6807,-112" coordsize="3396,2186" path="m6807,1154l6833,1167,6859,1181,6884,1195,6910,1209,6936,1229,6962,1253,6987,1270,7013,1267,7039,1232,7064,1173,7090,1116,7116,1085,7142,1098,7167,1138,7193,1180,7219,1200,7245,1184,7270,1148,7296,1110,7322,1091,7347,1103,7373,1133,7399,1161,7425,1168,7450,1138,7476,1084,7502,1031,7528,1003,7553,1014,7579,1049,7605,1087,7630,1110,7656,1114,7682,1111,7708,1096,7733,1067,7754,1025,7774,966,7795,903,7816,847,7836,808,7857,809,7888,824,7919,832,7946,775,7961,678,7968,619,7976,554,7983,485,7991,415,7998,345,8005,276,8013,210,8020,149,8035,48,8063,-29,8124,-60,8145,-66,8171,-84,8196,-102,8222,-112,8248,-101,8268,-68,8289,-16,8309,43,8330,95,8351,129,8372,127,8402,106,8432,92,8463,145,8482,248,8491,312,8500,380,8510,449,8519,518,8528,583,8547,692,8578,767,8638,792,8659,799,8683,825,8711,862,8739,884,8772,831,8793,721,8803,653,8814,581,8824,509,8834,441,8844,381,8865,299,8884,281,8905,297,8928,329,8949,363,8968,383,8992,380,9019,367,9046,361,9086,417,9115,535,9130,601,9144,661,9159,707,9174,731,9191,723,9208,686,9225,633,9242,579,9259,538,9311,582,9345,691,9362,745,9379,788,9405,833,9431,869,9457,903,9483,939,9504,964,9534,997,9564,1044,9585,1110,9597,1193,9608,1306,9614,1371,9620,1440,9625,1511,9631,1584,9637,1656,9643,1726,9648,1794,9654,1858,9665,1966,9677,2042,9688,2074,9695,2070,9714,1975,9727,1863,9733,1796,9740,1726,9746,1653,9753,1580,9759,1508,9765,1439,9772,1374,9785,1267,9809,1156,9831,1098,9876,1015,9894,985,9920,945,9945,914,9971,883,9997,842,10018,791,10038,726,10059,661,10079,611,10100,592,10120,609,10141,655,10162,716,10182,782,10203,839e" filled="false" stroked="true" strokeweight="1.512102pt" strokecolor="#497dba">
              <v:path arrowok="t"/>
            </v:shape>
            <v:shape style="position:absolute;left:6807;top:-77;width:3396;height:1646" coordorigin="6807,-77" coordsize="3396,1646" path="m6807,1060l6833,1069,6859,1078,6884,1086,6962,1110,7039,1125,7090,1128,7116,1126,7193,1106,7270,1075,7296,1063,7322,1054,7347,1046,7373,1040,7399,1037,7425,1037,7502,1060,7579,1099,7605,1113,7630,1121,7656,1124,7682,1124,7759,1070,7810,982,7836,924,7870,828,7905,715,7922,656,7939,597,7954,546,7968,491,7983,435,7998,379,8027,273,8063,162,8083,102,8124,2,8171,-62,8222,-77,8248,-63,8299,13,8325,70,8351,131,8385,226,8419,332,8436,385,8474,492,8495,549,8536,653,8582,740,8634,802,8685,825,8711,821,8788,774,8839,717,8865,687,8891,658,8917,627,8942,597,8994,550,9045,517,9097,508,9122,511,9199,564,9251,637,9297,725,9338,825,9379,934,9414,1033,9431,1085,9448,1137,9483,1235,9524,1346,9565,1445,9611,1521,9663,1565,9688,1569,9714,1557,9765,1496,9812,1411,9853,1308,9873,1253,9894,1200,9915,1148,9935,1093,9956,1040,9997,947,10048,863,10100,810,10126,800,10151,800,10177,805,10203,807e" filled="false" stroked="true" strokeweight="1.539575pt" strokecolor="#bd4a47">
              <v:path arrowok="t"/>
              <v:stroke dashstyle="longDash"/>
            </v:shape>
            <v:line style="position:absolute" from="8148,-38" to="8148,2200" stroked="true" strokeweight="1.322915pt" strokecolor="#ff0000">
              <v:stroke dashstyle="longDash"/>
            </v:line>
            <v:shape style="position:absolute;left:9404;top:411;width:101;height:256" type="#_x0000_t75" stroked="false">
              <v:imagedata r:id="rId213" o:title=""/>
            </v:shape>
            <v:shape style="position:absolute;left:7290;top:-255;width:2806;height:632" type="#_x0000_t202" filled="false" stroked="false">
              <v:textbox inset="0,0,0,0">
                <w:txbxContent>
                  <w:p>
                    <w:pPr>
                      <w:spacing w:line="237" w:lineRule="exact" w:before="0"/>
                      <w:ind w:left="0" w:right="0" w:firstLine="0"/>
                      <w:jc w:val="left"/>
                      <w:rPr>
                        <w:rFonts w:ascii="Constantia"/>
                        <w:b/>
                        <w:sz w:val="25"/>
                      </w:rPr>
                    </w:pPr>
                    <w:r>
                      <w:rPr>
                        <w:rFonts w:ascii="Constantia"/>
                        <w:b/>
                        <w:w w:val="85"/>
                        <w:sz w:val="25"/>
                      </w:rPr>
                      <w:t>Balance primario/ PIB</w:t>
                    </w:r>
                  </w:p>
                  <w:p>
                    <w:pPr>
                      <w:spacing w:line="185" w:lineRule="exact" w:before="0"/>
                      <w:ind w:left="1978" w:right="0" w:firstLine="0"/>
                      <w:jc w:val="left"/>
                      <w:rPr>
                        <w:rFonts w:ascii="Constantia" w:hAnsi="Constantia"/>
                        <w:sz w:val="17"/>
                      </w:rPr>
                    </w:pPr>
                    <w:r>
                      <w:rPr>
                        <w:rFonts w:ascii="Constantia" w:hAnsi="Constantia"/>
                        <w:color w:val="FF0000"/>
                        <w:w w:val="95"/>
                        <w:sz w:val="17"/>
                      </w:rPr>
                      <w:t>Recesión</w:t>
                    </w:r>
                  </w:p>
                  <w:p>
                    <w:pPr>
                      <w:spacing w:line="204" w:lineRule="exact" w:before="5"/>
                      <w:ind w:left="0" w:right="0" w:firstLine="0"/>
                      <w:jc w:val="right"/>
                      <w:rPr>
                        <w:rFonts w:ascii="Constantia"/>
                        <w:sz w:val="17"/>
                      </w:rPr>
                    </w:pPr>
                    <w:r>
                      <w:rPr>
                        <w:rFonts w:ascii="Constantia"/>
                        <w:color w:val="FF0000"/>
                        <w:w w:val="80"/>
                        <w:sz w:val="17"/>
                      </w:rPr>
                      <w:t>internacional</w:t>
                    </w:r>
                  </w:p>
                </w:txbxContent>
              </v:textbox>
              <w10:wrap type="none"/>
            </v:shape>
            <v:shape style="position:absolute;left:6602;top:906;width:3486;height:300" type="#_x0000_t202" filled="false" stroked="false">
              <v:textbox inset="0,0,0,0">
                <w:txbxContent>
                  <w:p>
                    <w:pPr>
                      <w:spacing w:line="137" w:lineRule="exact" w:before="0"/>
                      <w:ind w:left="8" w:right="0" w:firstLine="0"/>
                      <w:jc w:val="left"/>
                      <w:rPr>
                        <w:rFonts w:ascii="Calibri"/>
                        <w:sz w:val="14"/>
                      </w:rPr>
                    </w:pPr>
                    <w:r>
                      <w:rPr>
                        <w:rFonts w:ascii="Calibri"/>
                        <w:w w:val="90"/>
                        <w:sz w:val="14"/>
                      </w:rPr>
                      <w:t>2003Q1   2004Q2   2005Q3   2006Q4   2008Q1   2009Q2  2010Q3</w:t>
                    </w:r>
                  </w:p>
                  <w:p>
                    <w:pPr>
                      <w:spacing w:line="163" w:lineRule="exact" w:before="0"/>
                      <w:ind w:left="0" w:right="0" w:firstLine="0"/>
                      <w:jc w:val="left"/>
                      <w:rPr>
                        <w:rFonts w:ascii="Calibri"/>
                        <w:sz w:val="14"/>
                      </w:rPr>
                    </w:pPr>
                    <w:r>
                      <w:rPr>
                        <w:rFonts w:ascii="Calibri"/>
                        <w:w w:val="82"/>
                        <w:sz w:val="14"/>
                      </w:rPr>
                      <w:t>)</w:t>
                    </w:r>
                  </w:p>
                </w:txbxContent>
              </v:textbox>
              <w10:wrap type="none"/>
            </v:shape>
            <v:shape style="position:absolute;left:6602;top:1413;width:35;height:139" type="#_x0000_t202" filled="false" stroked="false">
              <v:textbox inset="0,0,0,0">
                <w:txbxContent>
                  <w:p>
                    <w:pPr>
                      <w:spacing w:line="138" w:lineRule="exact" w:before="0"/>
                      <w:ind w:left="0" w:right="0" w:firstLine="0"/>
                      <w:jc w:val="left"/>
                      <w:rPr>
                        <w:rFonts w:ascii="Calibri"/>
                        <w:sz w:val="14"/>
                      </w:rPr>
                    </w:pPr>
                    <w:r>
                      <w:rPr>
                        <w:rFonts w:ascii="Calibri"/>
                        <w:w w:val="82"/>
                        <w:sz w:val="14"/>
                      </w:rPr>
                      <w:t>)</w:t>
                    </w:r>
                  </w:p>
                </w:txbxContent>
              </v:textbox>
              <w10:wrap type="none"/>
            </v:shape>
            <v:shape style="position:absolute;left:6602;top:1759;width:35;height:139" type="#_x0000_t202" filled="false" stroked="false">
              <v:textbox inset="0,0,0,0">
                <w:txbxContent>
                  <w:p>
                    <w:pPr>
                      <w:spacing w:line="138" w:lineRule="exact" w:before="0"/>
                      <w:ind w:left="0" w:right="0" w:firstLine="0"/>
                      <w:jc w:val="left"/>
                      <w:rPr>
                        <w:rFonts w:ascii="Calibri"/>
                        <w:sz w:val="14"/>
                      </w:rPr>
                    </w:pPr>
                    <w:r>
                      <w:rPr>
                        <w:rFonts w:ascii="Calibri"/>
                        <w:w w:val="82"/>
                        <w:sz w:val="14"/>
                      </w:rPr>
                      <w:t>)</w:t>
                    </w:r>
                  </w:p>
                </w:txbxContent>
              </v:textbox>
              <w10:wrap type="none"/>
            </v:shape>
            <v:shape style="position:absolute;left:8257;top:1707;width:1182;height:383" type="#_x0000_t202" filled="false" stroked="false">
              <v:textbox inset="0,0,0,0">
                <w:txbxContent>
                  <w:p>
                    <w:pPr>
                      <w:spacing w:line="173" w:lineRule="exact" w:before="0"/>
                      <w:ind w:left="0" w:right="-11" w:firstLine="0"/>
                      <w:jc w:val="left"/>
                      <w:rPr>
                        <w:rFonts w:ascii="Constantia" w:hAnsi="Constantia"/>
                        <w:sz w:val="17"/>
                      </w:rPr>
                    </w:pPr>
                    <w:r>
                      <w:rPr>
                        <w:rFonts w:ascii="Constantia" w:hAnsi="Constantia"/>
                        <w:color w:val="FF0000"/>
                        <w:w w:val="85"/>
                        <w:sz w:val="17"/>
                      </w:rPr>
                      <w:t>Nacionalización</w:t>
                    </w:r>
                    <w:r>
                      <w:rPr>
                        <w:rFonts w:ascii="Constantia" w:hAnsi="Constantia"/>
                        <w:color w:val="FF0000"/>
                        <w:spacing w:val="-22"/>
                        <w:w w:val="85"/>
                        <w:sz w:val="17"/>
                      </w:rPr>
                      <w:t> </w:t>
                    </w:r>
                    <w:r>
                      <w:rPr>
                        <w:rFonts w:ascii="Constantia" w:hAnsi="Constantia"/>
                        <w:color w:val="FF0000"/>
                        <w:w w:val="85"/>
                        <w:sz w:val="17"/>
                      </w:rPr>
                      <w:t>de</w:t>
                    </w:r>
                  </w:p>
                  <w:p>
                    <w:pPr>
                      <w:spacing w:line="204" w:lineRule="exact" w:before="5"/>
                      <w:ind w:left="0" w:right="-11" w:firstLine="0"/>
                      <w:jc w:val="left"/>
                      <w:rPr>
                        <w:rFonts w:ascii="Constantia"/>
                        <w:sz w:val="17"/>
                      </w:rPr>
                    </w:pPr>
                    <w:r>
                      <w:rPr>
                        <w:rFonts w:ascii="Constantia"/>
                        <w:color w:val="FF0000"/>
                        <w:w w:val="95"/>
                        <w:sz w:val="17"/>
                      </w:rPr>
                      <w:t>hidrocarburos</w:t>
                    </w:r>
                  </w:p>
                </w:txbxContent>
              </v:textbox>
              <w10:wrap type="none"/>
            </v:shape>
            <v:shape style="position:absolute;left:6602;top:2105;width:35;height:139" type="#_x0000_t202" filled="false" stroked="false">
              <v:textbox inset="0,0,0,0">
                <w:txbxContent>
                  <w:p>
                    <w:pPr>
                      <w:spacing w:line="139" w:lineRule="exact" w:before="0"/>
                      <w:ind w:left="0" w:right="0" w:firstLine="0"/>
                      <w:jc w:val="left"/>
                      <w:rPr>
                        <w:rFonts w:ascii="Calibri"/>
                        <w:sz w:val="14"/>
                      </w:rPr>
                    </w:pPr>
                    <w:r>
                      <w:rPr>
                        <w:rFonts w:ascii="Calibri"/>
                        <w:w w:val="82"/>
                        <w:sz w:val="14"/>
                      </w:rPr>
                      <w:t>)</w:t>
                    </w:r>
                  </w:p>
                </w:txbxContent>
              </v:textbox>
              <w10:wrap type="none"/>
            </v:shape>
            <w10:wrap type="none"/>
          </v:group>
        </w:pict>
      </w:r>
      <w:r>
        <w:rPr>
          <w:rFonts w:ascii="Calibri"/>
          <w:w w:val="90"/>
          <w:sz w:val="14"/>
        </w:rPr>
        <w:t>0.04</w:t>
      </w:r>
    </w:p>
    <w:p>
      <w:pPr>
        <w:pStyle w:val="BodyText"/>
        <w:spacing w:before="3"/>
        <w:rPr>
          <w:rFonts w:ascii="Calibri"/>
          <w:sz w:val="14"/>
        </w:rPr>
      </w:pPr>
    </w:p>
    <w:p>
      <w:pPr>
        <w:spacing w:before="1"/>
        <w:ind w:left="240" w:right="3975" w:firstLine="0"/>
        <w:jc w:val="center"/>
        <w:rPr>
          <w:rFonts w:ascii="Calibri"/>
          <w:sz w:val="14"/>
        </w:rPr>
      </w:pPr>
      <w:r>
        <w:rPr>
          <w:rFonts w:ascii="Calibri"/>
          <w:w w:val="90"/>
          <w:sz w:val="14"/>
        </w:rPr>
        <w:t>0.02</w:t>
      </w:r>
    </w:p>
    <w:p>
      <w:pPr>
        <w:pStyle w:val="BodyText"/>
        <w:spacing w:before="4"/>
        <w:rPr>
          <w:rFonts w:ascii="Calibri"/>
          <w:sz w:val="14"/>
        </w:rPr>
      </w:pPr>
    </w:p>
    <w:p>
      <w:pPr>
        <w:spacing w:before="0"/>
        <w:ind w:left="0" w:right="3664" w:firstLine="0"/>
        <w:jc w:val="center"/>
        <w:rPr>
          <w:rFonts w:ascii="Calibri"/>
          <w:sz w:val="14"/>
        </w:rPr>
      </w:pPr>
      <w:r>
        <w:rPr>
          <w:rFonts w:ascii="Calibri"/>
          <w:w w:val="82"/>
          <w:sz w:val="14"/>
        </w:rPr>
        <w:t>-</w:t>
      </w:r>
    </w:p>
    <w:p>
      <w:pPr>
        <w:pStyle w:val="BodyText"/>
        <w:spacing w:before="4"/>
        <w:rPr>
          <w:rFonts w:ascii="Calibri"/>
          <w:sz w:val="14"/>
        </w:rPr>
      </w:pPr>
    </w:p>
    <w:p>
      <w:pPr>
        <w:spacing w:before="0"/>
        <w:ind w:left="227" w:right="4024" w:firstLine="0"/>
        <w:jc w:val="center"/>
        <w:rPr>
          <w:rFonts w:ascii="Calibri"/>
          <w:sz w:val="14"/>
        </w:rPr>
      </w:pPr>
      <w:r>
        <w:rPr>
          <w:rFonts w:ascii="Calibri"/>
          <w:w w:val="90"/>
          <w:sz w:val="14"/>
        </w:rPr>
        <w:t>(0.02</w:t>
      </w:r>
    </w:p>
    <w:p>
      <w:pPr>
        <w:pStyle w:val="BodyText"/>
        <w:spacing w:before="3"/>
        <w:rPr>
          <w:rFonts w:ascii="Calibri"/>
          <w:sz w:val="14"/>
        </w:rPr>
      </w:pPr>
    </w:p>
    <w:p>
      <w:pPr>
        <w:spacing w:before="1"/>
        <w:ind w:left="227" w:right="4024" w:firstLine="0"/>
        <w:jc w:val="center"/>
        <w:rPr>
          <w:rFonts w:ascii="Calibri"/>
          <w:sz w:val="14"/>
        </w:rPr>
      </w:pPr>
      <w:r>
        <w:rPr>
          <w:rFonts w:ascii="Calibri"/>
          <w:w w:val="90"/>
          <w:sz w:val="14"/>
        </w:rPr>
        <w:t>(0.04</w:t>
      </w:r>
    </w:p>
    <w:p>
      <w:pPr>
        <w:pStyle w:val="BodyText"/>
        <w:spacing w:before="4"/>
        <w:rPr>
          <w:rFonts w:ascii="Calibri"/>
          <w:sz w:val="14"/>
        </w:rPr>
      </w:pPr>
    </w:p>
    <w:p>
      <w:pPr>
        <w:spacing w:before="0"/>
        <w:ind w:left="227" w:right="4024" w:firstLine="0"/>
        <w:jc w:val="center"/>
        <w:rPr>
          <w:rFonts w:ascii="Calibri"/>
          <w:sz w:val="14"/>
        </w:rPr>
      </w:pPr>
      <w:r>
        <w:rPr>
          <w:rFonts w:ascii="Calibri"/>
          <w:w w:val="90"/>
          <w:sz w:val="14"/>
        </w:rPr>
        <w:t>(0.06</w:t>
      </w:r>
    </w:p>
    <w:p>
      <w:pPr>
        <w:pStyle w:val="BodyText"/>
        <w:spacing w:before="4"/>
        <w:rPr>
          <w:rFonts w:ascii="Calibri"/>
          <w:sz w:val="14"/>
        </w:rPr>
      </w:pPr>
    </w:p>
    <w:p>
      <w:pPr>
        <w:spacing w:before="0"/>
        <w:ind w:left="227" w:right="4024" w:firstLine="0"/>
        <w:jc w:val="center"/>
        <w:rPr>
          <w:rFonts w:ascii="Calibri"/>
          <w:sz w:val="14"/>
        </w:rPr>
      </w:pPr>
      <w:r>
        <w:rPr>
          <w:rFonts w:ascii="Calibri"/>
          <w:w w:val="90"/>
          <w:sz w:val="14"/>
        </w:rPr>
        <w:t>(0.08</w:t>
      </w:r>
    </w:p>
    <w:p>
      <w:pPr>
        <w:spacing w:after="0"/>
        <w:jc w:val="center"/>
        <w:rPr>
          <w:rFonts w:ascii="Calibri"/>
          <w:sz w:val="14"/>
        </w:rPr>
        <w:sectPr>
          <w:type w:val="continuous"/>
          <w:pgSz w:w="12250" w:h="15850"/>
          <w:pgMar w:top="1500" w:bottom="280" w:left="1600" w:right="1580"/>
          <w:cols w:num="2" w:equalWidth="0">
            <w:col w:w="553" w:space="3938"/>
            <w:col w:w="4579"/>
          </w:cols>
        </w:sectPr>
      </w:pPr>
    </w:p>
    <w:p>
      <w:pPr>
        <w:pStyle w:val="BodyText"/>
        <w:spacing w:before="1"/>
        <w:rPr>
          <w:rFonts w:ascii="Calibri"/>
          <w:sz w:val="10"/>
        </w:rPr>
      </w:pPr>
    </w:p>
    <w:p>
      <w:pPr>
        <w:spacing w:before="0"/>
        <w:ind w:left="1408" w:right="-19" w:firstLine="0"/>
        <w:jc w:val="left"/>
        <w:rPr>
          <w:rFonts w:ascii="Calibri" w:hAnsi="Calibri"/>
          <w:sz w:val="12"/>
        </w:rPr>
      </w:pPr>
      <w:r>
        <w:rPr/>
        <w:pict>
          <v:line style="position:absolute;mso-position-horizontal-relative:page;mso-position-vertical-relative:paragraph;z-index:9088" from="133.504227pt,3.132784pt" to="148.811017pt,3.132784pt" stroked="true" strokeweight="1.590483pt" strokecolor="#497dba">
            <w10:wrap type="none"/>
          </v:line>
        </w:pict>
      </w:r>
      <w:r>
        <w:rPr>
          <w:rFonts w:ascii="Calibri" w:hAnsi="Calibri"/>
          <w:w w:val="90"/>
          <w:sz w:val="12"/>
        </w:rPr>
        <w:t>Precio gas nat….HP</w:t>
      </w:r>
    </w:p>
    <w:p>
      <w:pPr>
        <w:pStyle w:val="BodyText"/>
        <w:spacing w:before="1"/>
        <w:rPr>
          <w:rFonts w:ascii="Calibri"/>
          <w:sz w:val="10"/>
        </w:rPr>
      </w:pPr>
      <w:r>
        <w:rPr/>
        <w:br w:type="column"/>
      </w:r>
      <w:r>
        <w:rPr>
          <w:rFonts w:ascii="Calibri"/>
          <w:sz w:val="10"/>
        </w:rPr>
      </w:r>
    </w:p>
    <w:p>
      <w:pPr>
        <w:tabs>
          <w:tab w:pos="522" w:val="left" w:leader="none"/>
        </w:tabs>
        <w:spacing w:before="0"/>
        <w:ind w:left="179" w:right="0" w:firstLine="0"/>
        <w:jc w:val="left"/>
        <w:rPr>
          <w:rFonts w:ascii="Calibri" w:hAnsi="Calibri"/>
          <w:sz w:val="12"/>
        </w:rPr>
      </w:pPr>
      <w:r>
        <w:rPr/>
        <w:pict>
          <v:line style="position:absolute;mso-position-horizontal-relative:page;mso-position-vertical-relative:paragraph;z-index:-563008" from="203.30188pt,3.132784pt" to="218.611672pt,3.132784pt" stroked="true" strokeweight="1.590483pt" strokecolor="#bd4a47">
            <v:stroke dashstyle="longDash"/>
            <w10:wrap type="none"/>
          </v:line>
        </w:pict>
      </w:r>
      <w:r>
        <w:rPr>
          <w:w w:val="90"/>
          <w:sz w:val="12"/>
        </w:rPr>
        <w:t> </w:t>
      </w:r>
      <w:r>
        <w:rPr>
          <w:sz w:val="12"/>
        </w:rPr>
        <w:tab/>
      </w:r>
      <w:r>
        <w:rPr>
          <w:rFonts w:ascii="Calibri" w:hAnsi="Calibri"/>
          <w:w w:val="90"/>
          <w:sz w:val="12"/>
        </w:rPr>
        <w:t>Precio gas</w:t>
      </w:r>
      <w:r>
        <w:rPr>
          <w:rFonts w:ascii="Calibri" w:hAnsi="Calibri"/>
          <w:spacing w:val="-12"/>
          <w:w w:val="90"/>
          <w:sz w:val="12"/>
        </w:rPr>
        <w:t> </w:t>
      </w:r>
      <w:r>
        <w:rPr>
          <w:rFonts w:ascii="Calibri" w:hAnsi="Calibri"/>
          <w:w w:val="90"/>
          <w:sz w:val="12"/>
        </w:rPr>
        <w:t>nat….CF</w:t>
      </w:r>
    </w:p>
    <w:p>
      <w:pPr>
        <w:pStyle w:val="BodyText"/>
        <w:spacing w:before="1"/>
        <w:rPr>
          <w:rFonts w:ascii="Calibri"/>
          <w:sz w:val="10"/>
        </w:rPr>
      </w:pPr>
      <w:r>
        <w:rPr/>
        <w:br w:type="column"/>
      </w:r>
      <w:r>
        <w:rPr>
          <w:rFonts w:ascii="Calibri"/>
          <w:sz w:val="10"/>
        </w:rPr>
      </w:r>
    </w:p>
    <w:p>
      <w:pPr>
        <w:spacing w:before="0"/>
        <w:ind w:left="0" w:right="0" w:firstLine="0"/>
        <w:jc w:val="right"/>
        <w:rPr>
          <w:rFonts w:ascii="Calibri" w:hAnsi="Calibri"/>
          <w:sz w:val="12"/>
        </w:rPr>
      </w:pPr>
      <w:r>
        <w:rPr/>
        <w:pict>
          <v:line style="position:absolute;mso-position-horizontal-relative:page;mso-position-vertical-relative:paragraph;z-index:9304" from="374.312592pt,3.132784pt" to="389.311506pt,3.132784pt" stroked="true" strokeweight="1.590483pt" strokecolor="#497dba">
            <w10:wrap type="none"/>
          </v:line>
        </w:pict>
      </w:r>
      <w:r>
        <w:rPr>
          <w:rFonts w:ascii="Calibri" w:hAnsi="Calibri"/>
          <w:w w:val="85"/>
          <w:sz w:val="12"/>
        </w:rPr>
        <w:t>BP/PIB….HP</w:t>
      </w:r>
    </w:p>
    <w:p>
      <w:pPr>
        <w:pStyle w:val="BodyText"/>
        <w:spacing w:before="1"/>
        <w:rPr>
          <w:rFonts w:ascii="Calibri"/>
          <w:sz w:val="10"/>
        </w:rPr>
      </w:pPr>
      <w:r>
        <w:rPr/>
        <w:br w:type="column"/>
      </w:r>
      <w:r>
        <w:rPr>
          <w:rFonts w:ascii="Calibri"/>
          <w:sz w:val="10"/>
        </w:rPr>
      </w:r>
    </w:p>
    <w:p>
      <w:pPr>
        <w:tabs>
          <w:tab w:pos="451" w:val="left" w:leader="none"/>
        </w:tabs>
        <w:spacing w:before="0"/>
        <w:ind w:left="118" w:right="0" w:firstLine="0"/>
        <w:jc w:val="left"/>
        <w:rPr>
          <w:rFonts w:ascii="Calibri" w:hAnsi="Calibri"/>
          <w:sz w:val="12"/>
        </w:rPr>
      </w:pPr>
      <w:r>
        <w:rPr/>
        <w:pict>
          <v:line style="position:absolute;mso-position-horizontal-relative:page;mso-position-vertical-relative:paragraph;z-index:-562792" from="425.030212pt,3.132784pt" to="439.582276pt,3.132784pt" stroked="true" strokeweight="1.590483pt" strokecolor="#bd4a47">
            <v:stroke dashstyle="longDash"/>
            <w10:wrap type="none"/>
          </v:line>
        </w:pict>
      </w:r>
      <w:r>
        <w:rPr>
          <w:w w:val="88"/>
          <w:sz w:val="12"/>
        </w:rPr>
        <w:t> </w:t>
      </w:r>
      <w:r>
        <w:rPr>
          <w:sz w:val="12"/>
        </w:rPr>
        <w:tab/>
      </w:r>
      <w:r>
        <w:rPr>
          <w:rFonts w:ascii="Calibri" w:hAnsi="Calibri"/>
          <w:sz w:val="12"/>
        </w:rPr>
        <w:t>BP/PIB….CF</w:t>
      </w:r>
    </w:p>
    <w:p>
      <w:pPr>
        <w:spacing w:after="0"/>
        <w:jc w:val="left"/>
        <w:rPr>
          <w:rFonts w:ascii="Calibri" w:hAnsi="Calibri"/>
          <w:sz w:val="12"/>
        </w:rPr>
        <w:sectPr>
          <w:type w:val="continuous"/>
          <w:pgSz w:w="12250" w:h="15850"/>
          <w:pgMar w:top="1500" w:bottom="280" w:left="1600" w:right="1580"/>
          <w:cols w:num="4" w:equalWidth="0">
            <w:col w:w="2247" w:space="40"/>
            <w:col w:w="1338" w:space="1186"/>
            <w:col w:w="1932" w:space="40"/>
            <w:col w:w="2287"/>
          </w:cols>
        </w:sectPr>
      </w:pPr>
    </w:p>
    <w:p>
      <w:pPr>
        <w:pStyle w:val="BodyText"/>
        <w:spacing w:before="7"/>
        <w:rPr>
          <w:rFonts w:ascii="Calibri"/>
          <w:sz w:val="11"/>
        </w:rPr>
      </w:pPr>
    </w:p>
    <w:p>
      <w:pPr>
        <w:tabs>
          <w:tab w:pos="4715" w:val="left" w:leader="none"/>
        </w:tabs>
        <w:spacing w:before="71"/>
        <w:ind w:left="363" w:right="127" w:firstLine="0"/>
        <w:jc w:val="left"/>
        <w:rPr>
          <w:rFonts w:ascii="Calibri"/>
          <w:sz w:val="13"/>
        </w:rPr>
      </w:pPr>
      <w:r>
        <w:rPr/>
        <w:pict>
          <v:group style="position:absolute;margin-left:108.433685pt;margin-top:7.550784pt;width:179.8pt;height:125.95pt;mso-position-horizontal-relative:page;mso-position-vertical-relative:paragraph;z-index:-562648" coordorigin="2169,151" coordsize="3596,2519">
            <v:shape style="position:absolute;left:788;top:6396;width:6001;height:3420" coordorigin="788,6396" coordsize="6001,3420" path="m2317,2574l2317,157m2273,2574l2317,2574m2273,2267l2317,2267m2273,1970l2317,1970m2273,1673l2317,1673m2273,1365l2317,1365m2273,1068l2317,1068m2273,761l2317,761m2273,464l2317,464m2273,157l2317,157m2317,1365l5759,1365m2317,1365l2317,1408m2613,1365l2613,1408m2918,1365l2918,1408m3223,1365l3223,1408m3528,1365l3528,1408m3833,1365l3833,1408m4138,1365l4138,1408m4443,1365l4443,1408m4740,1365l4740,1408m5045,1365l5045,1408m5349,1365l5349,1408m5654,1365l5654,1408e" filled="false" stroked="true" strokeweight=".482925pt" strokecolor="#858585">
              <v:path arrowok="t"/>
            </v:shape>
            <v:shape style="position:absolute;left:2361;top:438;width:3347;height:1888" coordorigin="2361,438" coordsize="3347,1888" path="m2361,1575l2386,1622,2411,1671,2437,1716,2462,1753,2487,1784,2513,1810,2538,1826,2563,1823,2614,1763,2641,1708,2665,1637,2685,1545,2705,1425,2716,1362,2726,1299,2736,1239,2756,1138,2788,1069,2846,1052,2868,1052,2893,1058,2918,1074,2944,1086,2969,1079,2989,1049,3010,1000,3030,947,3050,904,3070,885,3096,906,3121,958,3146,1016,3172,1056,3197,1070,3222,1073,3248,1067,3273,1058,3299,1039,3324,1012,3349,986,3375,970,3397,980,3425,1004,3453,1019,3487,967,3510,862,3521,797,3532,730,3544,665,3555,604,3577,515,3628,447,3656,438,3679,448,3713,520,3746,631,3763,690,3780,745,3814,848,3848,952,3882,1063,3910,1167,3939,1277,3954,1331,3968,1382,3983,1431,4000,1487,4017,1543,4051,1646,4084,1711,4110,1719,4135,1698,4160,1670,4186,1653,4211,1656,4236,1668,4262,1677,4287,1667,4307,1635,4328,1585,4348,1531,4368,1488,4389,1471,4409,1493,4429,1543,4449,1602,4470,1654,4490,1680,4510,1668,4531,1629,4551,1582,4571,1546,4625,1622,4642,1686,4659,1751,4676,1806,4693,1839,4718,1845,4743,1820,4769,1786,4794,1763,4819,1755,4845,1751,4870,1751,4896,1752,4921,1752,4946,1754,4972,1759,4997,1768,5020,1776,5076,1808,5108,1881,5126,1983,5135,2044,5144,2107,5154,2169,5163,2226,5172,2273,5181,2308,5191,2326,5200,2324,5221,2230,5236,2116,5243,2049,5250,1978,5258,1906,5265,1835,5272,1766,5279,1701,5294,1595,5323,1503,5381,1445,5402,1422,5453,1330,5504,1216,5538,1103,5555,1038,5572,979,5588,933,5605,909,5626,915,5646,948,5666,997,5686,1049,5707,1094e" filled="false" stroked="true" strokeweight="1.522066pt" strokecolor="#497dba">
              <v:path arrowok="t"/>
            </v:shape>
            <v:shape style="position:absolute;left:2361;top:606;width:3347;height:1262" coordorigin="2361,606" coordsize="3347,1262" path="m2361,1749l2386,1777,2411,1808,2437,1835,2462,1854,2487,1863,2513,1867,2538,1862,2589,1821,2639,1740,2685,1644,2726,1536,2746,1480,2766,1426,2786,1373,2807,1318,2827,1265,2868,1174,2918,1093,2969,1049,2994,1045,3020,1052,3070,1086,3121,1144,3146,1177,3172,1203,3197,1225,3222,1244,3248,1255,3273,1255,3324,1218,3375,1143,3415,1054,3456,948,3476,898,3496,848,3516,796,3537,746,3577,667,3628,614,3653,606,3679,613,3729,681,3755,736,3780,799,3814,901,3831,960,3848,1021,3865,1081,3882,1140,3898,1197,3915,1256,3932,1315,3966,1425,4008,1533,4059,1629,4110,1682,4160,1691,4186,1687,4211,1677,4236,1660,4262,1641,4287,1623,4312,1607,4338,1590,4363,1576,4389,1565,4414,1558,4439,1555,4465,1555,4490,1556,4515,1561,4541,1567,4566,1575,4591,1583,4617,1590,4642,1597,4667,1605,4693,1612,4718,1619,4794,1643,4870,1682,4921,1718,4972,1763,4997,1783,5022,1803,5048,1823,5073,1840,5098,1849,5124,1851,5149,1848,5225,1786,5276,1698,5321,1596,5362,1484,5382,1427,5402,1372,5423,1317,5443,1262,5463,1208,5504,1115,5555,1033,5605,986,5631,981,5656,988,5681,1000,5707,1010e" filled="false" stroked="true" strokeweight="1.555236pt" strokecolor="#bd4a47">
              <v:path arrowok="t"/>
              <v:stroke dashstyle="longDash"/>
            </v:shape>
            <v:line style="position:absolute" from="3624,411" to="3624,2638" stroked="true" strokeweight="1.307068pt" strokecolor="#ff0000">
              <v:stroke dashstyle="longDash"/>
            </v:line>
            <v:shape style="position:absolute;left:2465;top:162;width:2913;height:565" type="#_x0000_t202" filled="false" stroked="false">
              <v:textbox inset="0,0,0,0">
                <w:txbxContent>
                  <w:p>
                    <w:pPr>
                      <w:spacing w:line="259" w:lineRule="exact" w:before="0"/>
                      <w:ind w:left="0" w:right="0" w:firstLine="0"/>
                      <w:jc w:val="center"/>
                      <w:rPr>
                        <w:rFonts w:ascii="Constantia" w:hAnsi="Constantia"/>
                        <w:b/>
                        <w:sz w:val="25"/>
                      </w:rPr>
                    </w:pPr>
                    <w:r>
                      <w:rPr>
                        <w:rFonts w:ascii="Constantia" w:hAnsi="Constantia"/>
                        <w:b/>
                        <w:w w:val="85"/>
                        <w:sz w:val="25"/>
                      </w:rPr>
                      <w:t>Balance</w:t>
                    </w:r>
                    <w:r>
                      <w:rPr>
                        <w:rFonts w:ascii="Constantia" w:hAnsi="Constantia"/>
                        <w:b/>
                        <w:spacing w:val="-37"/>
                        <w:w w:val="85"/>
                        <w:sz w:val="25"/>
                      </w:rPr>
                      <w:t> </w:t>
                    </w:r>
                    <w:r>
                      <w:rPr>
                        <w:rFonts w:ascii="Constantia" w:hAnsi="Constantia"/>
                        <w:b/>
                        <w:w w:val="85"/>
                        <w:sz w:val="25"/>
                      </w:rPr>
                      <w:t>primario</w:t>
                    </w:r>
                    <w:r>
                      <w:rPr>
                        <w:rFonts w:ascii="Constantia" w:hAnsi="Constantia"/>
                        <w:b/>
                        <w:spacing w:val="-29"/>
                        <w:w w:val="85"/>
                        <w:sz w:val="25"/>
                      </w:rPr>
                      <w:t> </w:t>
                    </w:r>
                    <w:r>
                      <w:rPr>
                        <w:rFonts w:ascii="Constantia" w:hAnsi="Constantia"/>
                        <w:b/>
                        <w:w w:val="85"/>
                        <w:sz w:val="25"/>
                      </w:rPr>
                      <w:t>no</w:t>
                    </w:r>
                    <w:r>
                      <w:rPr>
                        <w:rFonts w:ascii="Constantia" w:hAnsi="Constantia"/>
                        <w:b/>
                        <w:spacing w:val="-29"/>
                        <w:w w:val="85"/>
                        <w:sz w:val="25"/>
                      </w:rPr>
                      <w:t> </w:t>
                    </w:r>
                    <w:r>
                      <w:rPr>
                        <w:rFonts w:ascii="Constantia" w:hAnsi="Constantia"/>
                        <w:b/>
                        <w:w w:val="85"/>
                        <w:sz w:val="25"/>
                      </w:rPr>
                      <w:t>gasífero/</w:t>
                    </w:r>
                  </w:p>
                  <w:p>
                    <w:pPr>
                      <w:spacing w:line="302" w:lineRule="exact" w:before="3"/>
                      <w:ind w:left="3" w:right="0" w:firstLine="0"/>
                      <w:jc w:val="center"/>
                      <w:rPr>
                        <w:rFonts w:ascii="Constantia"/>
                        <w:b/>
                        <w:sz w:val="25"/>
                      </w:rPr>
                    </w:pPr>
                    <w:r>
                      <w:rPr>
                        <w:rFonts w:ascii="Constantia"/>
                        <w:b/>
                        <w:w w:val="95"/>
                        <w:sz w:val="25"/>
                      </w:rPr>
                      <w:t>PIB</w:t>
                    </w:r>
                  </w:p>
                </w:txbxContent>
              </v:textbox>
              <w10:wrap type="none"/>
            </v:shape>
            <v:shape style="position:absolute;left:2169;top:1496;width:3426;height:257" type="#_x0000_t202" filled="false" stroked="false">
              <v:textbox inset="0,0,0,0">
                <w:txbxContent>
                  <w:p>
                    <w:pPr>
                      <w:spacing w:line="115" w:lineRule="exact" w:before="0"/>
                      <w:ind w:left="2" w:right="0" w:firstLine="0"/>
                      <w:jc w:val="left"/>
                      <w:rPr>
                        <w:rFonts w:ascii="Calibri"/>
                        <w:sz w:val="14"/>
                      </w:rPr>
                    </w:pPr>
                    <w:r>
                      <w:rPr>
                        <w:rFonts w:ascii="Calibri"/>
                        <w:w w:val="90"/>
                        <w:sz w:val="14"/>
                      </w:rPr>
                      <w:t>2003Q1   2004Q2   2005Q3   2006Q4   2008Q1   2009Q2 2010Q3</w:t>
                    </w:r>
                  </w:p>
                  <w:p>
                    <w:pPr>
                      <w:spacing w:line="142" w:lineRule="exact" w:before="0"/>
                      <w:ind w:left="0" w:right="0" w:firstLine="0"/>
                      <w:jc w:val="left"/>
                      <w:rPr>
                        <w:rFonts w:ascii="Calibri"/>
                        <w:sz w:val="14"/>
                      </w:rPr>
                    </w:pPr>
                    <w:r>
                      <w:rPr>
                        <w:rFonts w:ascii="Calibri"/>
                        <w:w w:val="81"/>
                        <w:sz w:val="14"/>
                      </w:rPr>
                      <w:t>)</w:t>
                    </w:r>
                  </w:p>
                </w:txbxContent>
              </v:textbox>
              <w10:wrap type="none"/>
            </v:shape>
            <v:shape style="position:absolute;left:2169;top:1917;width:35;height:139" type="#_x0000_t202" filled="false" stroked="false">
              <v:textbox inset="0,0,0,0">
                <w:txbxContent>
                  <w:p>
                    <w:pPr>
                      <w:spacing w:line="138" w:lineRule="exact" w:before="0"/>
                      <w:ind w:left="0" w:right="0" w:firstLine="0"/>
                      <w:jc w:val="left"/>
                      <w:rPr>
                        <w:rFonts w:ascii="Calibri"/>
                        <w:sz w:val="14"/>
                      </w:rPr>
                    </w:pPr>
                    <w:r>
                      <w:rPr>
                        <w:rFonts w:ascii="Calibri"/>
                        <w:w w:val="81"/>
                        <w:sz w:val="14"/>
                      </w:rPr>
                      <w:t>)</w:t>
                    </w:r>
                  </w:p>
                </w:txbxContent>
              </v:textbox>
              <w10:wrap type="none"/>
            </v:shape>
            <v:shape style="position:absolute;left:2169;top:2219;width:35;height:442" type="#_x0000_t202" filled="false" stroked="false">
              <v:textbox inset="0,0,0,0">
                <w:txbxContent>
                  <w:p>
                    <w:pPr>
                      <w:spacing w:line="141" w:lineRule="exact" w:before="0"/>
                      <w:ind w:left="0" w:right="0" w:firstLine="0"/>
                      <w:jc w:val="left"/>
                      <w:rPr>
                        <w:rFonts w:ascii="Calibri"/>
                        <w:sz w:val="14"/>
                      </w:rPr>
                    </w:pPr>
                    <w:r>
                      <w:rPr>
                        <w:rFonts w:ascii="Calibri"/>
                        <w:w w:val="81"/>
                        <w:sz w:val="14"/>
                      </w:rPr>
                      <w:t>)</w:t>
                    </w:r>
                  </w:p>
                  <w:p>
                    <w:pPr>
                      <w:spacing w:line="240" w:lineRule="auto" w:before="5"/>
                      <w:rPr>
                        <w:sz w:val="11"/>
                      </w:rPr>
                    </w:pPr>
                  </w:p>
                  <w:p>
                    <w:pPr>
                      <w:spacing w:line="168" w:lineRule="exact" w:before="0"/>
                      <w:ind w:left="0" w:right="0" w:firstLine="0"/>
                      <w:jc w:val="left"/>
                      <w:rPr>
                        <w:rFonts w:ascii="Calibri"/>
                        <w:sz w:val="14"/>
                      </w:rPr>
                    </w:pPr>
                    <w:r>
                      <w:rPr>
                        <w:rFonts w:ascii="Calibri"/>
                        <w:w w:val="81"/>
                        <w:sz w:val="14"/>
                      </w:rPr>
                      <w:t>)</w:t>
                    </w:r>
                  </w:p>
                </w:txbxContent>
              </v:textbox>
              <w10:wrap type="none"/>
            </v:shape>
            <v:shape style="position:absolute;left:3698;top:2287;width:1168;height:383" type="#_x0000_t202" filled="false" stroked="false">
              <v:textbox inset="0,0,0,0">
                <w:txbxContent>
                  <w:p>
                    <w:pPr>
                      <w:spacing w:line="173" w:lineRule="exact" w:before="0"/>
                      <w:ind w:left="0" w:right="-11" w:firstLine="0"/>
                      <w:jc w:val="left"/>
                      <w:rPr>
                        <w:rFonts w:ascii="Constantia" w:hAnsi="Constantia"/>
                        <w:sz w:val="17"/>
                      </w:rPr>
                    </w:pPr>
                    <w:r>
                      <w:rPr>
                        <w:rFonts w:ascii="Constantia" w:hAnsi="Constantia"/>
                        <w:color w:val="FF0000"/>
                        <w:w w:val="80"/>
                        <w:sz w:val="17"/>
                      </w:rPr>
                      <w:t>Nacionalización  de</w:t>
                    </w:r>
                  </w:p>
                  <w:p>
                    <w:pPr>
                      <w:spacing w:line="204" w:lineRule="exact" w:before="5"/>
                      <w:ind w:left="0" w:right="-11" w:firstLine="0"/>
                      <w:jc w:val="left"/>
                      <w:rPr>
                        <w:rFonts w:ascii="Constantia"/>
                        <w:sz w:val="17"/>
                      </w:rPr>
                    </w:pPr>
                    <w:r>
                      <w:rPr>
                        <w:rFonts w:ascii="Constantia"/>
                        <w:color w:val="FF0000"/>
                        <w:w w:val="90"/>
                        <w:sz w:val="17"/>
                      </w:rPr>
                      <w:t>hidrocarburos</w:t>
                    </w:r>
                  </w:p>
                </w:txbxContent>
              </v:textbox>
              <w10:wrap type="none"/>
            </v:shape>
            <w10:wrap type="none"/>
          </v:group>
        </w:pict>
      </w:r>
      <w:r>
        <w:rPr/>
        <w:pict>
          <v:group style="position:absolute;margin-left:326.248077pt;margin-top:7.526273pt;width:183pt;height:125.9pt;mso-position-horizontal-relative:page;mso-position-vertical-relative:paragraph;z-index:-562456" coordorigin="6525,151" coordsize="3660,2518">
            <v:shape style="position:absolute;left:788;top:6381;width:6001;height:3435" coordorigin="788,6381" coordsize="6001,3435" path="m6676,2576l6676,156m6632,2576l6676,2576m6632,2174l6676,2174m6632,1773l6676,1773m6632,1371l6676,1371m6632,959l6676,959m6632,558l6676,558m6632,156l6676,156m6676,1371l10179,1371m6676,1371l6676,1414m6978,1371l6978,1414m7288,1371l7288,1414m7598,1371l7598,1414m7909,1371l7909,1414m8219,1371l8219,1414m8530,1371l8530,1414m8840,1371l8840,1414m9142,1371l9142,1414m9452,1371l9452,1414m9762,1371l9762,1414m10073,1371l10073,1414e" filled="false" stroked="true" strokeweight=".485904pt" strokecolor="#858585">
              <v:path arrowok="t"/>
            </v:shape>
            <v:shape style="position:absolute;left:6720;top:335;width:3406;height:2024" coordorigin="6720,335" coordsize="3406,2024" path="m6720,2280l6741,2222,6762,2162,6782,2103,6803,2048,6824,1998,6844,1970,6875,1936,6906,1888,6927,1820,6935,1748,6944,1650,6953,1531,6957,1466,6961,1399,6965,1329,6970,1259,6974,1189,6978,1120,6983,1052,6987,986,6991,924,7000,811,7008,722,7017,661,7026,635,7030,638,7041,703,7048,790,7056,904,7059,969,7063,1039,7067,1113,7070,1190,7074,1269,7078,1349,7082,1430,7085,1511,7089,1591,7093,1670,7096,1746,7100,1819,7104,1888,7107,1952,7115,2064,7122,2148,7133,2207,7137,2207,7154,2112,7162,2020,7170,1904,7174,1840,7179,1772,7183,1702,7187,1630,7191,1557,7195,1484,7199,1411,7203,1339,7207,1269,7212,1202,7216,1139,7224,1025,7232,934,7252,824,7275,761,7324,676,7365,645,7391,656,7417,670,7443,663,7469,625,7494,569,7520,510,7546,466,7572,441,7598,428,7623,418,7649,405,7675,382,7701,355,7727,335,7752,337,7778,371,7804,429,7830,491,7856,539,7881,571,7907,596,7933,611,7959,611,7973,593,7991,555,8010,510,8030,473,8076,547,8090,651,8096,713,8103,778,8110,847,8117,917,8124,987,8131,1055,8138,1121,8145,1182,8158,1285,8187,1397,8217,1455,8268,1500,8280,1481,8291,1444,8303,1394,8314,1338,8326,1283,8337,1236,8349,1203,8360,1190,8372,1205,8385,1268,8399,1372,8406,1435,8413,1503,8420,1575,8427,1648,8434,1721,8440,1792,8447,1859,8454,1920,8468,2020,8495,2077,8526,2071,8558,2058,8578,2059,8595,2099,8612,2158,8630,2225,8647,2289,8664,2337,8681,2358,8698,2342,8716,2295,8733,2234,8750,2170,8767,2120,8784,2097,8805,2112,8826,2157,8846,2216,8867,2269,8888,2301,8913,2306,8939,2290,8965,2267,8991,2247,9012,2244,9042,2241,9073,2227,9102,2159,9118,2065,9134,1946,9142,1882,9150,1817,9158,1752,9165,1689,9181,1576,9197,1490,9220,1423,9277,1341,9300,1309,9321,1264,9342,1211,9362,1161,9383,1127,9404,1118,9421,1143,9438,1195,9455,1260,9472,1323,9490,1371,9507,1389,9524,1368,9541,1318,9558,1252,9576,1184,9593,1126,9610,1092,9636,1092,9662,1126,9687,1165,9713,1179,9734,1157,9755,1112,9775,1065,9796,1033,9842,1106,9868,1228,9881,1292,9894,1350,9907,1396,9920,1425,9945,1430,9971,1394,9997,1346,10023,1316,10049,1310,10075,1313,10100,1321,10126,1326e" filled="false" stroked="true" strokeweight="1.518623pt" strokecolor="#497dba">
              <v:path arrowok="t"/>
            </v:shape>
            <v:shape style="position:absolute;left:6720;top:498;width:3406;height:1846" coordorigin="6720,498" coordsize="3406,1846" path="m6720,1860l6746,1827,6772,1794,6798,1761,6824,1726,6849,1688,6875,1648,6901,1608,6927,1568,6978,1490,7030,1413,7082,1337,7107,1299,7159,1221,7211,1140,7262,1055,7314,966,7340,922,7365,876,7391,831,7417,786,7469,702,7520,626,7572,566,7623,522,7701,498,7727,501,7804,543,7856,597,7907,671,7959,760,8010,863,8036,919,8062,976,8103,1072,8145,1172,8186,1274,8227,1377,8248,1429,8289,1531,8330,1632,8372,1731,8413,1826,8454,1918,8501,2013,8552,2110,8604,2194,8655,2263,8707,2312,8784,2343,8810,2340,8888,2288,8939,2215,8991,2114,9032,2014,9073,1899,9094,1839,9128,1734,9163,1622,9180,1567,9197,1513,9214,1460,9232,1406,9266,1301,9300,1205,9342,1103,9383,1015,9429,939,9481,882,9533,851,9558,846,9584,846,9662,870,9713,901,9765,937,9791,955,9816,973,9868,1006,9945,1047,10023,1079,10100,1105,10126,1113e" filled="false" stroked="true" strokeweight="1.527264pt" strokecolor="#bd4a47">
              <v:path arrowok="t"/>
              <v:stroke dashstyle="longDash"/>
            </v:shape>
            <v:line style="position:absolute" from="8006,410" to="8006,2639" stroked="true" strokeweight="1.330371pt" strokecolor="#ff0000">
              <v:stroke dashstyle="longDash"/>
            </v:line>
            <v:shape style="position:absolute;left:7333;top:162;width:1945;height:731" type="#_x0000_t202" filled="false" stroked="false">
              <v:textbox inset="0,0,0,0">
                <w:txbxContent>
                  <w:p>
                    <w:pPr>
                      <w:spacing w:line="258" w:lineRule="exact" w:before="0"/>
                      <w:ind w:left="0" w:right="-14" w:firstLine="0"/>
                      <w:jc w:val="left"/>
                      <w:rPr>
                        <w:rFonts w:ascii="Constantia" w:hAnsi="Constantia"/>
                        <w:b/>
                        <w:sz w:val="25"/>
                      </w:rPr>
                    </w:pPr>
                    <w:r>
                      <w:rPr>
                        <w:rFonts w:ascii="Constantia" w:hAnsi="Constantia"/>
                        <w:b/>
                        <w:w w:val="85"/>
                        <w:sz w:val="25"/>
                      </w:rPr>
                      <w:t>Deuda pública/</w:t>
                    </w:r>
                    <w:r>
                      <w:rPr>
                        <w:rFonts w:ascii="Constantia" w:hAnsi="Constantia"/>
                        <w:b/>
                        <w:spacing w:val="-10"/>
                        <w:w w:val="85"/>
                        <w:sz w:val="25"/>
                      </w:rPr>
                      <w:t> </w:t>
                    </w:r>
                    <w:r>
                      <w:rPr>
                        <w:rFonts w:ascii="Constantia" w:hAnsi="Constantia"/>
                        <w:b/>
                        <w:spacing w:val="-3"/>
                        <w:w w:val="85"/>
                        <w:sz w:val="25"/>
                      </w:rPr>
                      <w:t>PIB</w:t>
                    </w:r>
                  </w:p>
                  <w:p>
                    <w:pPr>
                      <w:spacing w:line="244" w:lineRule="auto" w:before="56"/>
                      <w:ind w:left="989" w:right="-14" w:firstLine="0"/>
                      <w:jc w:val="left"/>
                      <w:rPr>
                        <w:rFonts w:ascii="Constantia" w:hAnsi="Constantia"/>
                        <w:sz w:val="17"/>
                      </w:rPr>
                    </w:pPr>
                    <w:r>
                      <w:rPr>
                        <w:rFonts w:ascii="Constantia" w:hAnsi="Constantia"/>
                        <w:color w:val="FF0000"/>
                        <w:w w:val="95"/>
                        <w:sz w:val="17"/>
                      </w:rPr>
                      <w:t>Recesión </w:t>
                    </w:r>
                    <w:r>
                      <w:rPr>
                        <w:rFonts w:ascii="Constantia" w:hAnsi="Constantia"/>
                        <w:color w:val="FF0000"/>
                        <w:w w:val="80"/>
                        <w:sz w:val="17"/>
                      </w:rPr>
                      <w:t>internacional</w:t>
                    </w:r>
                  </w:p>
                </w:txbxContent>
              </v:textbox>
              <w10:wrap type="none"/>
            </v:shape>
            <v:shape style="position:absolute;left:6525;top:1496;width:3487;height:358" type="#_x0000_t202" filled="false" stroked="false">
              <v:textbox inset="0,0,0,0">
                <w:txbxContent>
                  <w:p>
                    <w:pPr>
                      <w:spacing w:line="138" w:lineRule="exact" w:before="0"/>
                      <w:ind w:left="2" w:right="0" w:firstLine="0"/>
                      <w:jc w:val="left"/>
                      <w:rPr>
                        <w:rFonts w:ascii="Calibri"/>
                        <w:sz w:val="13"/>
                      </w:rPr>
                    </w:pPr>
                    <w:r>
                      <w:rPr>
                        <w:rFonts w:ascii="Calibri"/>
                        <w:sz w:val="13"/>
                      </w:rPr>
                      <w:t>2003Q1  2004Q2  2005Q3  2006Q4  2008Q1  2009Q2    2010Q3</w:t>
                    </w:r>
                  </w:p>
                  <w:p>
                    <w:pPr>
                      <w:spacing w:line="158" w:lineRule="exact" w:before="61"/>
                      <w:ind w:left="0" w:right="0" w:firstLine="0"/>
                      <w:jc w:val="left"/>
                      <w:rPr>
                        <w:rFonts w:ascii="Calibri"/>
                        <w:sz w:val="13"/>
                      </w:rPr>
                    </w:pPr>
                    <w:r>
                      <w:rPr>
                        <w:rFonts w:ascii="Calibri"/>
                        <w:w w:val="88"/>
                        <w:sz w:val="13"/>
                      </w:rPr>
                      <w:t>)</w:t>
                    </w:r>
                  </w:p>
                </w:txbxContent>
              </v:textbox>
              <w10:wrap type="none"/>
            </v:shape>
            <v:shape style="position:absolute;left:6525;top:2120;width:36;height:138" type="#_x0000_t202" filled="false" stroked="false">
              <v:textbox inset="0,0,0,0">
                <w:txbxContent>
                  <w:p>
                    <w:pPr>
                      <w:spacing w:line="138" w:lineRule="exact" w:before="0"/>
                      <w:ind w:left="0" w:right="0" w:firstLine="0"/>
                      <w:jc w:val="left"/>
                      <w:rPr>
                        <w:rFonts w:ascii="Calibri"/>
                        <w:sz w:val="13"/>
                      </w:rPr>
                    </w:pPr>
                    <w:r>
                      <w:rPr>
                        <w:rFonts w:ascii="Calibri"/>
                        <w:w w:val="88"/>
                        <w:sz w:val="13"/>
                      </w:rPr>
                      <w:t>)</w:t>
                    </w:r>
                  </w:p>
                </w:txbxContent>
              </v:textbox>
              <w10:wrap type="none"/>
            </v:shape>
            <v:shape style="position:absolute;left:6525;top:2524;width:36;height:139" type="#_x0000_t202" filled="false" stroked="false">
              <v:textbox inset="0,0,0,0">
                <w:txbxContent>
                  <w:p>
                    <w:pPr>
                      <w:spacing w:line="138" w:lineRule="exact" w:before="0"/>
                      <w:ind w:left="0" w:right="0" w:firstLine="0"/>
                      <w:jc w:val="left"/>
                      <w:rPr>
                        <w:rFonts w:ascii="Calibri"/>
                        <w:sz w:val="14"/>
                      </w:rPr>
                    </w:pPr>
                    <w:r>
                      <w:rPr>
                        <w:rFonts w:ascii="Calibri"/>
                        <w:w w:val="82"/>
                        <w:sz w:val="14"/>
                      </w:rPr>
                      <w:t>)</w:t>
                    </w:r>
                  </w:p>
                </w:txbxContent>
              </v:textbox>
              <w10:wrap type="none"/>
            </v:shape>
            <v:shape style="position:absolute;left:8082;top:2287;width:1189;height:382" type="#_x0000_t202" filled="false" stroked="false">
              <v:textbox inset="0,0,0,0">
                <w:txbxContent>
                  <w:p>
                    <w:pPr>
                      <w:spacing w:line="173" w:lineRule="exact" w:before="0"/>
                      <w:ind w:left="0" w:right="-12" w:firstLine="0"/>
                      <w:jc w:val="left"/>
                      <w:rPr>
                        <w:rFonts w:ascii="Constantia" w:hAnsi="Constantia"/>
                        <w:sz w:val="17"/>
                      </w:rPr>
                    </w:pPr>
                    <w:r>
                      <w:rPr>
                        <w:rFonts w:ascii="Constantia" w:hAnsi="Constantia"/>
                        <w:color w:val="FF0000"/>
                        <w:w w:val="85"/>
                        <w:sz w:val="17"/>
                      </w:rPr>
                      <w:t>Nacionalización</w:t>
                    </w:r>
                    <w:r>
                      <w:rPr>
                        <w:rFonts w:ascii="Constantia" w:hAnsi="Constantia"/>
                        <w:color w:val="FF0000"/>
                        <w:spacing w:val="-14"/>
                        <w:w w:val="85"/>
                        <w:sz w:val="17"/>
                      </w:rPr>
                      <w:t> </w:t>
                    </w:r>
                    <w:r>
                      <w:rPr>
                        <w:rFonts w:ascii="Constantia" w:hAnsi="Constantia"/>
                        <w:color w:val="FF0000"/>
                        <w:w w:val="85"/>
                        <w:sz w:val="17"/>
                      </w:rPr>
                      <w:t>de</w:t>
                    </w:r>
                  </w:p>
                  <w:p>
                    <w:pPr>
                      <w:spacing w:line="204" w:lineRule="exact" w:before="4"/>
                      <w:ind w:left="0" w:right="-12" w:firstLine="0"/>
                      <w:jc w:val="left"/>
                      <w:rPr>
                        <w:rFonts w:ascii="Constantia"/>
                        <w:sz w:val="17"/>
                      </w:rPr>
                    </w:pPr>
                    <w:r>
                      <w:rPr>
                        <w:rFonts w:ascii="Constantia"/>
                        <w:color w:val="FF0000"/>
                        <w:w w:val="95"/>
                        <w:sz w:val="17"/>
                      </w:rPr>
                      <w:t>hidrocarburos</w:t>
                    </w:r>
                  </w:p>
                </w:txbxContent>
              </v:textbox>
              <w10:wrap type="none"/>
            </v:shape>
            <w10:wrap type="none"/>
          </v:group>
        </w:pict>
      </w:r>
      <w:r>
        <w:rPr>
          <w:rFonts w:ascii="Calibri"/>
          <w:w w:val="95"/>
          <w:sz w:val="14"/>
        </w:rPr>
        <w:t>0.08</w:t>
        <w:tab/>
      </w:r>
      <w:r>
        <w:rPr>
          <w:rFonts w:ascii="Calibri"/>
          <w:w w:val="95"/>
          <w:sz w:val="13"/>
        </w:rPr>
        <w:t>0.30</w:t>
      </w:r>
    </w:p>
    <w:p>
      <w:pPr>
        <w:spacing w:after="0"/>
        <w:jc w:val="left"/>
        <w:rPr>
          <w:rFonts w:ascii="Calibri"/>
          <w:sz w:val="13"/>
        </w:rPr>
        <w:sectPr>
          <w:type w:val="continuous"/>
          <w:pgSz w:w="12250" w:h="15850"/>
          <w:pgMar w:top="1500" w:bottom="280" w:left="1600" w:right="1580"/>
        </w:sectPr>
      </w:pPr>
    </w:p>
    <w:p>
      <w:pPr>
        <w:pStyle w:val="BodyText"/>
        <w:spacing w:before="9"/>
        <w:rPr>
          <w:rFonts w:ascii="Calibri"/>
          <w:sz w:val="10"/>
        </w:rPr>
      </w:pPr>
    </w:p>
    <w:p>
      <w:pPr>
        <w:spacing w:before="0"/>
        <w:ind w:left="363" w:right="-13" w:firstLine="0"/>
        <w:jc w:val="left"/>
        <w:rPr>
          <w:rFonts w:ascii="Calibri"/>
          <w:sz w:val="14"/>
        </w:rPr>
      </w:pPr>
      <w:r>
        <w:rPr>
          <w:rFonts w:ascii="Calibri"/>
          <w:w w:val="80"/>
          <w:sz w:val="14"/>
        </w:rPr>
        <w:t>0.06</w:t>
      </w:r>
    </w:p>
    <w:p>
      <w:pPr>
        <w:pStyle w:val="BodyText"/>
        <w:spacing w:before="9"/>
        <w:rPr>
          <w:rFonts w:ascii="Calibri"/>
          <w:sz w:val="10"/>
        </w:rPr>
      </w:pPr>
    </w:p>
    <w:p>
      <w:pPr>
        <w:spacing w:before="1"/>
        <w:ind w:left="363" w:right="-13" w:firstLine="0"/>
        <w:jc w:val="left"/>
        <w:rPr>
          <w:rFonts w:ascii="Calibri"/>
          <w:sz w:val="14"/>
        </w:rPr>
      </w:pPr>
      <w:r>
        <w:rPr>
          <w:rFonts w:ascii="Calibri"/>
          <w:w w:val="80"/>
          <w:sz w:val="14"/>
        </w:rPr>
        <w:t>0.04</w:t>
      </w:r>
    </w:p>
    <w:p>
      <w:pPr>
        <w:pStyle w:val="BodyText"/>
        <w:spacing w:before="9"/>
        <w:rPr>
          <w:rFonts w:ascii="Calibri"/>
          <w:sz w:val="10"/>
        </w:rPr>
      </w:pPr>
    </w:p>
    <w:p>
      <w:pPr>
        <w:spacing w:before="0"/>
        <w:ind w:left="363" w:right="-13" w:firstLine="0"/>
        <w:jc w:val="left"/>
        <w:rPr>
          <w:rFonts w:ascii="Calibri"/>
          <w:sz w:val="14"/>
        </w:rPr>
      </w:pPr>
      <w:r>
        <w:rPr>
          <w:rFonts w:ascii="Calibri"/>
          <w:w w:val="80"/>
          <w:sz w:val="14"/>
        </w:rPr>
        <w:t>0.02</w:t>
      </w:r>
    </w:p>
    <w:p>
      <w:pPr>
        <w:pStyle w:val="BodyText"/>
        <w:spacing w:before="9"/>
        <w:rPr>
          <w:rFonts w:ascii="Calibri"/>
          <w:sz w:val="19"/>
        </w:rPr>
      </w:pPr>
      <w:r>
        <w:rPr/>
        <w:br w:type="column"/>
      </w:r>
      <w:r>
        <w:rPr>
          <w:rFonts w:ascii="Calibri"/>
          <w:sz w:val="19"/>
        </w:rPr>
      </w:r>
    </w:p>
    <w:p>
      <w:pPr>
        <w:spacing w:before="1"/>
        <w:ind w:left="363" w:right="0" w:firstLine="0"/>
        <w:jc w:val="left"/>
        <w:rPr>
          <w:rFonts w:ascii="Calibri"/>
          <w:sz w:val="13"/>
        </w:rPr>
      </w:pPr>
      <w:r>
        <w:rPr>
          <w:rFonts w:ascii="Calibri"/>
          <w:sz w:val="13"/>
        </w:rPr>
        <w:t>0.20</w:t>
      </w:r>
    </w:p>
    <w:p>
      <w:pPr>
        <w:pStyle w:val="BodyText"/>
        <w:spacing w:before="3"/>
        <w:rPr>
          <w:rFonts w:ascii="Calibri"/>
          <w:sz w:val="19"/>
        </w:rPr>
      </w:pPr>
    </w:p>
    <w:p>
      <w:pPr>
        <w:spacing w:before="0"/>
        <w:ind w:left="363" w:right="0" w:firstLine="0"/>
        <w:jc w:val="left"/>
        <w:rPr>
          <w:rFonts w:ascii="Calibri"/>
          <w:sz w:val="14"/>
        </w:rPr>
      </w:pPr>
      <w:r>
        <w:rPr>
          <w:rFonts w:ascii="Calibri"/>
          <w:w w:val="95"/>
          <w:sz w:val="14"/>
        </w:rPr>
        <w:t>0.10</w:t>
      </w:r>
    </w:p>
    <w:p>
      <w:pPr>
        <w:spacing w:after="0"/>
        <w:jc w:val="left"/>
        <w:rPr>
          <w:rFonts w:ascii="Calibri"/>
          <w:sz w:val="14"/>
        </w:rPr>
        <w:sectPr>
          <w:type w:val="continuous"/>
          <w:pgSz w:w="12250" w:h="15850"/>
          <w:pgMar w:top="1500" w:bottom="280" w:left="1600" w:right="1580"/>
          <w:cols w:num="2" w:equalWidth="0">
            <w:col w:w="569" w:space="3783"/>
            <w:col w:w="4718"/>
          </w:cols>
        </w:sectPr>
      </w:pPr>
    </w:p>
    <w:p>
      <w:pPr>
        <w:pStyle w:val="BodyText"/>
        <w:spacing w:before="10"/>
        <w:rPr>
          <w:rFonts w:ascii="Calibri"/>
          <w:sz w:val="10"/>
        </w:rPr>
      </w:pPr>
    </w:p>
    <w:p>
      <w:pPr>
        <w:tabs>
          <w:tab w:pos="4838" w:val="left" w:leader="none"/>
        </w:tabs>
        <w:spacing w:before="0"/>
        <w:ind w:left="483" w:right="127" w:firstLine="0"/>
        <w:jc w:val="left"/>
        <w:rPr>
          <w:rFonts w:ascii="Calibri"/>
          <w:sz w:val="13"/>
        </w:rPr>
      </w:pPr>
      <w:r>
        <w:rPr>
          <w:rFonts w:ascii="Calibri"/>
          <w:w w:val="95"/>
          <w:sz w:val="14"/>
        </w:rPr>
        <w:t>-</w:t>
        <w:tab/>
      </w:r>
      <w:r>
        <w:rPr>
          <w:rFonts w:ascii="Calibri"/>
          <w:w w:val="95"/>
          <w:sz w:val="13"/>
        </w:rPr>
        <w:t>-</w:t>
      </w:r>
    </w:p>
    <w:p>
      <w:pPr>
        <w:spacing w:after="0"/>
        <w:jc w:val="left"/>
        <w:rPr>
          <w:rFonts w:ascii="Calibri"/>
          <w:sz w:val="13"/>
        </w:rPr>
        <w:sectPr>
          <w:type w:val="continuous"/>
          <w:pgSz w:w="12250" w:h="15850"/>
          <w:pgMar w:top="1500" w:bottom="280" w:left="1600" w:right="1580"/>
        </w:sectPr>
      </w:pPr>
    </w:p>
    <w:p>
      <w:pPr>
        <w:pStyle w:val="BodyText"/>
        <w:spacing w:before="9"/>
        <w:rPr>
          <w:rFonts w:ascii="Calibri"/>
          <w:sz w:val="10"/>
        </w:rPr>
      </w:pPr>
    </w:p>
    <w:p>
      <w:pPr>
        <w:spacing w:before="0"/>
        <w:ind w:left="323" w:right="-10" w:firstLine="0"/>
        <w:jc w:val="left"/>
        <w:rPr>
          <w:rFonts w:ascii="Calibri"/>
          <w:sz w:val="14"/>
        </w:rPr>
      </w:pPr>
      <w:r>
        <w:rPr>
          <w:rFonts w:ascii="Calibri"/>
          <w:w w:val="80"/>
          <w:sz w:val="14"/>
        </w:rPr>
        <w:t>(0.02</w:t>
      </w:r>
    </w:p>
    <w:p>
      <w:pPr>
        <w:pStyle w:val="BodyText"/>
        <w:spacing w:before="9"/>
        <w:rPr>
          <w:rFonts w:ascii="Calibri"/>
          <w:sz w:val="10"/>
        </w:rPr>
      </w:pPr>
    </w:p>
    <w:p>
      <w:pPr>
        <w:spacing w:before="0"/>
        <w:ind w:left="323" w:right="-10" w:firstLine="0"/>
        <w:jc w:val="left"/>
        <w:rPr>
          <w:rFonts w:ascii="Calibri"/>
          <w:sz w:val="14"/>
        </w:rPr>
      </w:pPr>
      <w:r>
        <w:rPr>
          <w:rFonts w:ascii="Calibri"/>
          <w:w w:val="80"/>
          <w:sz w:val="14"/>
        </w:rPr>
        <w:t>(0.04</w:t>
      </w:r>
    </w:p>
    <w:p>
      <w:pPr>
        <w:pStyle w:val="BodyText"/>
        <w:spacing w:before="9"/>
        <w:rPr>
          <w:rFonts w:ascii="Calibri"/>
          <w:sz w:val="10"/>
        </w:rPr>
      </w:pPr>
    </w:p>
    <w:p>
      <w:pPr>
        <w:spacing w:before="0"/>
        <w:ind w:left="323" w:right="-10" w:firstLine="0"/>
        <w:jc w:val="left"/>
        <w:rPr>
          <w:rFonts w:ascii="Calibri"/>
          <w:sz w:val="14"/>
        </w:rPr>
      </w:pPr>
      <w:r>
        <w:rPr>
          <w:rFonts w:ascii="Calibri"/>
          <w:w w:val="80"/>
          <w:sz w:val="14"/>
        </w:rPr>
        <w:t>(0.06</w:t>
      </w:r>
    </w:p>
    <w:p>
      <w:pPr>
        <w:pStyle w:val="BodyText"/>
        <w:spacing w:before="9"/>
        <w:rPr>
          <w:rFonts w:ascii="Calibri"/>
          <w:sz w:val="10"/>
        </w:rPr>
      </w:pPr>
    </w:p>
    <w:p>
      <w:pPr>
        <w:spacing w:before="1"/>
        <w:ind w:left="323" w:right="-10" w:firstLine="0"/>
        <w:jc w:val="left"/>
        <w:rPr>
          <w:rFonts w:ascii="Calibri"/>
          <w:sz w:val="14"/>
        </w:rPr>
      </w:pPr>
      <w:r>
        <w:rPr>
          <w:rFonts w:ascii="Calibri"/>
          <w:w w:val="80"/>
          <w:sz w:val="14"/>
        </w:rPr>
        <w:t>(0.08</w:t>
      </w:r>
    </w:p>
    <w:p>
      <w:pPr>
        <w:pStyle w:val="BodyText"/>
        <w:spacing w:before="10"/>
        <w:rPr>
          <w:rFonts w:ascii="Calibri"/>
          <w:sz w:val="19"/>
        </w:rPr>
      </w:pPr>
      <w:r>
        <w:rPr/>
        <w:br w:type="column"/>
      </w:r>
      <w:r>
        <w:rPr>
          <w:rFonts w:ascii="Calibri"/>
          <w:sz w:val="19"/>
        </w:rPr>
      </w:r>
    </w:p>
    <w:p>
      <w:pPr>
        <w:spacing w:before="0"/>
        <w:ind w:left="323" w:right="0" w:firstLine="0"/>
        <w:jc w:val="left"/>
        <w:rPr>
          <w:rFonts w:ascii="Calibri"/>
          <w:sz w:val="13"/>
        </w:rPr>
      </w:pPr>
      <w:r>
        <w:rPr>
          <w:rFonts w:ascii="Calibri"/>
          <w:sz w:val="13"/>
        </w:rPr>
        <w:t>(0.10</w:t>
      </w:r>
    </w:p>
    <w:p>
      <w:pPr>
        <w:pStyle w:val="BodyText"/>
        <w:spacing w:before="1"/>
        <w:rPr>
          <w:rFonts w:ascii="Calibri"/>
          <w:sz w:val="20"/>
        </w:rPr>
      </w:pPr>
    </w:p>
    <w:p>
      <w:pPr>
        <w:spacing w:before="0"/>
        <w:ind w:left="323" w:right="0" w:firstLine="0"/>
        <w:jc w:val="left"/>
        <w:rPr>
          <w:rFonts w:ascii="Calibri"/>
          <w:sz w:val="13"/>
        </w:rPr>
      </w:pPr>
      <w:r>
        <w:rPr>
          <w:rFonts w:ascii="Calibri"/>
          <w:sz w:val="13"/>
        </w:rPr>
        <w:t>(0.20</w:t>
      </w:r>
    </w:p>
    <w:p>
      <w:pPr>
        <w:pStyle w:val="BodyText"/>
        <w:spacing w:before="3"/>
        <w:rPr>
          <w:rFonts w:ascii="Calibri"/>
          <w:sz w:val="19"/>
        </w:rPr>
      </w:pPr>
    </w:p>
    <w:p>
      <w:pPr>
        <w:spacing w:before="1"/>
        <w:ind w:left="323" w:right="0" w:firstLine="0"/>
        <w:jc w:val="left"/>
        <w:rPr>
          <w:rFonts w:ascii="Calibri"/>
          <w:sz w:val="14"/>
        </w:rPr>
      </w:pPr>
      <w:r>
        <w:rPr>
          <w:rFonts w:ascii="Calibri"/>
          <w:w w:val="95"/>
          <w:sz w:val="14"/>
        </w:rPr>
        <w:t>(0.30</w:t>
      </w:r>
    </w:p>
    <w:p>
      <w:pPr>
        <w:spacing w:after="0"/>
        <w:jc w:val="left"/>
        <w:rPr>
          <w:rFonts w:ascii="Calibri"/>
          <w:sz w:val="14"/>
        </w:rPr>
        <w:sectPr>
          <w:type w:val="continuous"/>
          <w:pgSz w:w="12250" w:h="15850"/>
          <w:pgMar w:top="1500" w:bottom="280" w:left="1600" w:right="1580"/>
          <w:cols w:num="2" w:equalWidth="0">
            <w:col w:w="566" w:space="3786"/>
            <w:col w:w="4718"/>
          </w:cols>
        </w:sectPr>
      </w:pPr>
    </w:p>
    <w:p>
      <w:pPr>
        <w:pStyle w:val="BodyText"/>
        <w:rPr>
          <w:rFonts w:ascii="Calibri"/>
          <w:sz w:val="10"/>
        </w:rPr>
      </w:pPr>
    </w:p>
    <w:p>
      <w:pPr>
        <w:spacing w:before="0"/>
        <w:ind w:left="0" w:right="0" w:firstLine="0"/>
        <w:jc w:val="right"/>
        <w:rPr>
          <w:rFonts w:ascii="Calibri" w:hAnsi="Calibri"/>
          <w:sz w:val="12"/>
        </w:rPr>
      </w:pPr>
      <w:r>
        <w:rPr/>
        <w:pict>
          <v:line style="position:absolute;mso-position-horizontal-relative:page;mso-position-vertical-relative:paragraph;z-index:9496" from="144.607635pt,3.132784pt" to="158.982480pt,3.132784pt" stroked="true" strokeweight="1.590483pt" strokecolor="#497dba">
            <w10:wrap type="none"/>
          </v:line>
        </w:pict>
      </w:r>
      <w:r>
        <w:rPr>
          <w:rFonts w:ascii="Calibri" w:hAnsi="Calibri"/>
          <w:w w:val="85"/>
          <w:sz w:val="12"/>
        </w:rPr>
        <w:t>BPNP/PIB….HP</w:t>
      </w:r>
    </w:p>
    <w:p>
      <w:pPr>
        <w:pStyle w:val="BodyText"/>
        <w:rPr>
          <w:rFonts w:ascii="Calibri"/>
          <w:sz w:val="10"/>
        </w:rPr>
      </w:pPr>
      <w:r>
        <w:rPr/>
        <w:br w:type="column"/>
      </w:r>
      <w:r>
        <w:rPr>
          <w:rFonts w:ascii="Calibri"/>
          <w:sz w:val="10"/>
        </w:rPr>
      </w:r>
    </w:p>
    <w:p>
      <w:pPr>
        <w:tabs>
          <w:tab w:pos="465" w:val="left" w:leader="none"/>
        </w:tabs>
        <w:spacing w:before="0"/>
        <w:ind w:left="135" w:right="0" w:firstLine="0"/>
        <w:jc w:val="left"/>
        <w:rPr>
          <w:rFonts w:ascii="Calibri" w:hAnsi="Calibri"/>
          <w:sz w:val="12"/>
        </w:rPr>
      </w:pPr>
      <w:r>
        <w:rPr/>
        <w:pict>
          <v:line style="position:absolute;mso-position-horizontal-relative:page;mso-position-vertical-relative:paragraph;z-index:-562600" from="201.685852pt,3.132784pt" to="216.063601pt,3.132784pt" stroked="true" strokeweight="1.590483pt" strokecolor="#bd4a47">
            <v:stroke dashstyle="longDash"/>
            <w10:wrap type="none"/>
          </v:line>
        </w:pict>
      </w:r>
      <w:r>
        <w:rPr>
          <w:w w:val="87"/>
          <w:sz w:val="12"/>
        </w:rPr>
        <w:t> </w:t>
      </w:r>
      <w:r>
        <w:rPr>
          <w:sz w:val="12"/>
        </w:rPr>
        <w:tab/>
      </w:r>
      <w:r>
        <w:rPr>
          <w:rFonts w:ascii="Calibri" w:hAnsi="Calibri"/>
          <w:w w:val="85"/>
          <w:sz w:val="12"/>
        </w:rPr>
        <w:t>BPNG/PIB….CF</w:t>
      </w:r>
    </w:p>
    <w:p>
      <w:pPr>
        <w:pStyle w:val="BodyText"/>
        <w:rPr>
          <w:rFonts w:ascii="Calibri"/>
          <w:sz w:val="10"/>
        </w:rPr>
      </w:pPr>
      <w:r>
        <w:rPr/>
        <w:br w:type="column"/>
      </w:r>
      <w:r>
        <w:rPr>
          <w:rFonts w:ascii="Calibri"/>
          <w:sz w:val="10"/>
        </w:rPr>
      </w:r>
    </w:p>
    <w:p>
      <w:pPr>
        <w:spacing w:before="1"/>
        <w:ind w:left="0" w:right="0" w:firstLine="0"/>
        <w:jc w:val="right"/>
        <w:rPr>
          <w:rFonts w:ascii="Calibri" w:hAnsi="Calibri"/>
          <w:sz w:val="12"/>
        </w:rPr>
      </w:pPr>
      <w:r>
        <w:rPr/>
        <w:pict>
          <v:line style="position:absolute;mso-position-horizontal-relative:page;mso-position-vertical-relative:paragraph;z-index:9688" from="369.71582pt,3.191589pt" to="384.355812pt,3.191589pt" stroked="true" strokeweight="1.585054pt" strokecolor="#497dba">
            <w10:wrap type="none"/>
          </v:line>
        </w:pict>
      </w:r>
      <w:r>
        <w:rPr>
          <w:rFonts w:ascii="Calibri" w:hAnsi="Calibri"/>
          <w:w w:val="90"/>
          <w:sz w:val="12"/>
        </w:rPr>
        <w:t>DP/PIB….HP</w:t>
      </w:r>
    </w:p>
    <w:p>
      <w:pPr>
        <w:pStyle w:val="BodyText"/>
        <w:rPr>
          <w:rFonts w:ascii="Calibri"/>
          <w:sz w:val="10"/>
        </w:rPr>
      </w:pPr>
      <w:r>
        <w:rPr/>
        <w:br w:type="column"/>
      </w:r>
      <w:r>
        <w:rPr>
          <w:rFonts w:ascii="Calibri"/>
          <w:sz w:val="10"/>
        </w:rPr>
      </w:r>
    </w:p>
    <w:p>
      <w:pPr>
        <w:tabs>
          <w:tab w:pos="464" w:val="left" w:leader="none"/>
        </w:tabs>
        <w:spacing w:before="1"/>
        <w:ind w:left="130" w:right="0" w:firstLine="0"/>
        <w:jc w:val="left"/>
        <w:rPr>
          <w:rFonts w:ascii="Calibri" w:hAnsi="Calibri"/>
          <w:sz w:val="12"/>
        </w:rPr>
      </w:pPr>
      <w:r>
        <w:rPr/>
        <w:pict>
          <v:line style="position:absolute;mso-position-horizontal-relative:page;mso-position-vertical-relative:paragraph;z-index:-562408" from="421.16275pt,3.191589pt" to="435.79683pt,3.191589pt" stroked="true" strokeweight="1.585054pt" strokecolor="#bd4a47">
            <v:stroke dashstyle="longDash"/>
            <w10:wrap type="none"/>
          </v:line>
        </w:pict>
      </w:r>
      <w:r>
        <w:rPr>
          <w:w w:val="88"/>
          <w:sz w:val="12"/>
        </w:rPr>
        <w:t> </w:t>
      </w:r>
      <w:r>
        <w:rPr>
          <w:sz w:val="12"/>
        </w:rPr>
        <w:tab/>
      </w:r>
      <w:r>
        <w:rPr>
          <w:rFonts w:ascii="Calibri" w:hAnsi="Calibri"/>
          <w:sz w:val="12"/>
        </w:rPr>
        <w:t>DP/PIB….CF</w:t>
      </w:r>
    </w:p>
    <w:p>
      <w:pPr>
        <w:spacing w:after="0"/>
        <w:jc w:val="left"/>
        <w:rPr>
          <w:rFonts w:ascii="Calibri" w:hAnsi="Calibri"/>
          <w:sz w:val="12"/>
        </w:rPr>
        <w:sectPr>
          <w:type w:val="continuous"/>
          <w:pgSz w:w="12250" w:h="15850"/>
          <w:pgMar w:top="1500" w:bottom="280" w:left="1600" w:right="1580"/>
          <w:cols w:num="4" w:equalWidth="0">
            <w:col w:w="2258" w:space="40"/>
            <w:col w:w="1097" w:space="1113"/>
            <w:col w:w="2144" w:space="40"/>
            <w:col w:w="2378"/>
          </w:cols>
        </w:sectPr>
      </w:pPr>
    </w:p>
    <w:p>
      <w:pPr>
        <w:spacing w:before="127"/>
        <w:ind w:left="102" w:right="127" w:firstLine="0"/>
        <w:jc w:val="left"/>
        <w:rPr>
          <w:sz w:val="20"/>
        </w:rPr>
      </w:pPr>
      <w:r>
        <w:rPr>
          <w:sz w:val="20"/>
        </w:rPr>
        <w:t>Fuente: Estimaciones propias con base en información del Banco Central de Bolivia (2012) y Yacimientos Petrolíferos Fiscales Bolivianos (2012).</w:t>
      </w:r>
    </w:p>
    <w:p>
      <w:pPr>
        <w:pStyle w:val="BodyText"/>
        <w:rPr>
          <w:sz w:val="20"/>
        </w:rPr>
      </w:pPr>
    </w:p>
    <w:p>
      <w:pPr>
        <w:pStyle w:val="BodyText"/>
        <w:spacing w:before="4"/>
        <w:rPr>
          <w:sz w:val="25"/>
        </w:rPr>
      </w:pPr>
    </w:p>
    <w:p>
      <w:pPr>
        <w:pStyle w:val="Heading4"/>
        <w:numPr>
          <w:ilvl w:val="3"/>
          <w:numId w:val="13"/>
        </w:numPr>
        <w:tabs>
          <w:tab w:pos="1314" w:val="left" w:leader="none"/>
        </w:tabs>
        <w:spacing w:line="276" w:lineRule="auto" w:before="1" w:after="0"/>
        <w:ind w:left="1314" w:right="588" w:hanging="360"/>
        <w:jc w:val="left"/>
      </w:pPr>
      <w:r>
        <w:rPr/>
        <w:t>Movimientos cíclicos de la posición fiscal en torno a los precios del gas natural</w:t>
      </w:r>
    </w:p>
    <w:p>
      <w:pPr>
        <w:pStyle w:val="BodyText"/>
        <w:spacing w:line="360" w:lineRule="auto" w:before="56"/>
        <w:ind w:left="461" w:right="121" w:firstLine="348"/>
        <w:jc w:val="both"/>
      </w:pPr>
      <w:r>
        <w:rPr/>
        <w:t>Al momento de comparar los comovimientos de las fluctuaciones cíclicas de los precios del gas natural y de las finanzas públicas de Bolivia, empleándose el filtro HP, se observaron los siguientes comovimientos [</w:t>
      </w:r>
      <w:r>
        <w:rPr>
          <w:i/>
        </w:rPr>
        <w:t>figura 3.4</w:t>
      </w:r>
      <w:r>
        <w:rPr/>
        <w:t>, incisos (a) – (e)]:</w:t>
      </w:r>
    </w:p>
    <w:p>
      <w:pPr>
        <w:pStyle w:val="BodyText"/>
        <w:spacing w:line="360" w:lineRule="auto" w:before="6"/>
        <w:ind w:left="1181" w:right="117" w:hanging="488"/>
        <w:jc w:val="both"/>
      </w:pPr>
      <w:r>
        <w:rPr/>
        <w:t>i. Movimientos contracíclicos: la asignación de  los  ingresos  fiscales  del  gas  natural al gasto de capital y la deuda pública mostraron un comportamiento contracíclico a los precios del gas natural [(a) y (e)] (en direcciones</w:t>
      </w:r>
      <w:r>
        <w:rPr>
          <w:spacing w:val="-20"/>
        </w:rPr>
        <w:t> </w:t>
      </w:r>
      <w:r>
        <w:rPr/>
        <w:t>opuestas).</w:t>
      </w:r>
    </w:p>
    <w:p>
      <w:pPr>
        <w:pStyle w:val="BodyText"/>
        <w:spacing w:line="360" w:lineRule="auto" w:before="4"/>
        <w:ind w:left="1181" w:right="116" w:hanging="555"/>
        <w:jc w:val="both"/>
      </w:pPr>
      <w:r>
        <w:rPr/>
        <w:t>ii.                                              :                                                                      [(c) y (d)] se comportaron de forma procíclica a los precios del gas natural (en la misma dirección).</w:t>
      </w:r>
    </w:p>
    <w:p>
      <w:pPr>
        <w:spacing w:after="0" w:line="360" w:lineRule="auto"/>
        <w:jc w:val="both"/>
        <w:sectPr>
          <w:type w:val="continuous"/>
          <w:pgSz w:w="12250" w:h="15850"/>
          <w:pgMar w:top="1500" w:bottom="280" w:left="1600" w:right="1580"/>
        </w:sectPr>
      </w:pPr>
    </w:p>
    <w:p>
      <w:pPr>
        <w:pStyle w:val="BodyText"/>
        <w:spacing w:before="50"/>
        <w:ind w:left="810"/>
      </w:pPr>
      <w:r>
        <w:rPr/>
        <w:t>La asignación de los ingresos fiscales no     gasíferos  </w:t>
      </w:r>
      <w:r>
        <w:rPr>
          <w:w w:val="1"/>
        </w:rPr>
        <w:t> </w:t>
      </w:r>
      <w:r>
        <w:rPr/>
        <w:t>  </w:t>
      </w:r>
      <w:r>
        <w:rPr>
          <w:w w:val="177"/>
        </w:rPr>
        <w:t> </w:t>
      </w:r>
      <w:r>
        <w:rPr>
          <w:w w:val="111"/>
        </w:rPr>
        <w:t> </w:t>
      </w:r>
      <w:r>
        <w:rPr/>
        <w:t>  </w:t>
      </w:r>
      <w:r>
        <w:rPr>
          <w:w w:val="177"/>
        </w:rPr>
        <w:t> </w:t>
      </w:r>
      <w:r>
        <w:rPr>
          <w:w w:val="190"/>
        </w:rPr>
        <w:t>       </w:t>
      </w:r>
      <w:r>
        <w:rPr>
          <w:w w:val="211"/>
        </w:rPr>
        <w:t>  </w:t>
      </w:r>
      <w:r>
        <w:rPr>
          <w:w w:val="177"/>
        </w:rPr>
        <w:t> </w:t>
      </w:r>
      <w:r>
        <w:rPr>
          <w:w w:val="170"/>
        </w:rPr>
        <w:t>   </w:t>
      </w:r>
      <w:r>
        <w:rPr/>
        <w:t>  </w:t>
      </w:r>
      <w:r>
        <w:rPr>
          <w:w w:val="188"/>
        </w:rPr>
        <w:t>  </w:t>
      </w:r>
      <w:r>
        <w:rPr>
          <w:w w:val="111"/>
        </w:rPr>
        <w:t> </w:t>
      </w:r>
      <w:r>
        <w:rPr/>
        <w:t>  </w:t>
      </w:r>
      <w:r>
        <w:rPr>
          <w:w w:val="200"/>
        </w:rPr>
        <w:t> </w:t>
      </w:r>
      <w:r>
        <w:rPr>
          <w:w w:val="177"/>
        </w:rPr>
        <w:t> </w:t>
      </w:r>
      <w:r>
        <w:rPr>
          <w:w w:val="155"/>
        </w:rPr>
        <w:t>   </w:t>
      </w:r>
    </w:p>
    <w:p>
      <w:pPr>
        <w:pStyle w:val="BodyText"/>
        <w:spacing w:line="360" w:lineRule="auto" w:before="137"/>
        <w:ind w:left="102" w:right="98"/>
        <w:jc w:val="both"/>
      </w:pPr>
      <w:r>
        <w:rPr>
          <w:spacing w:val="-1"/>
          <w:w w:val="177"/>
        </w:rPr>
        <w:t> </w:t>
      </w:r>
      <w:r>
        <w:rPr>
          <w:w w:val="166"/>
        </w:rPr>
        <w:t> </w:t>
      </w:r>
      <w:r>
        <w:rPr>
          <w:spacing w:val="-1"/>
          <w:w w:val="166"/>
        </w:rPr>
        <w:t> </w:t>
      </w:r>
      <w:r>
        <w:rPr>
          <w:w w:val="140"/>
        </w:rPr>
        <w:t>  </w:t>
      </w:r>
      <w:r>
        <w:rPr>
          <w:spacing w:val="-2"/>
          <w:w w:val="140"/>
        </w:rPr>
        <w:t> </w:t>
      </w:r>
      <w:r>
        <w:rPr>
          <w:w w:val="162"/>
        </w:rPr>
        <w:t>   </w:t>
      </w:r>
      <w:r>
        <w:rPr>
          <w:spacing w:val="16"/>
        </w:rPr>
        <w:t> </w:t>
      </w:r>
      <w:r>
        <w:rPr>
          <w:spacing w:val="-1"/>
          <w:w w:val="177"/>
        </w:rPr>
        <w:t> </w:t>
      </w:r>
      <w:r>
        <w:rPr>
          <w:w w:val="200"/>
        </w:rPr>
        <w:t> </w:t>
      </w:r>
      <w:r>
        <w:rPr>
          <w:spacing w:val="16"/>
        </w:rPr>
        <w:t> </w:t>
      </w:r>
      <w:r>
        <w:rPr>
          <w:w w:val="177"/>
        </w:rPr>
        <w:t>  </w:t>
      </w:r>
      <w:r>
        <w:rPr>
          <w:spacing w:val="1"/>
          <w:w w:val="177"/>
        </w:rPr>
        <w:t> </w:t>
      </w:r>
      <w:r>
        <w:rPr>
          <w:spacing w:val="-1"/>
          <w:w w:val="177"/>
        </w:rPr>
        <w:t> </w:t>
      </w:r>
      <w:r>
        <w:rPr>
          <w:w w:val="170"/>
        </w:rPr>
        <w:t>   </w:t>
      </w:r>
      <w:r>
        <w:rPr>
          <w:spacing w:val="17"/>
        </w:rPr>
        <w:t> </w:t>
      </w:r>
      <w:r>
        <w:rPr>
          <w:w w:val="188"/>
        </w:rPr>
        <w:t>  </w:t>
      </w:r>
      <w:r>
        <w:rPr>
          <w:spacing w:val="15"/>
        </w:rPr>
        <w:t> </w:t>
      </w:r>
      <w:r>
        <w:rPr>
          <w:w w:val="155"/>
        </w:rPr>
        <w:t>   </w:t>
      </w:r>
      <w:r>
        <w:rPr>
          <w:spacing w:val="17"/>
        </w:rPr>
        <w:t> </w:t>
      </w:r>
      <w:r>
        <w:rPr>
          <w:w w:val="170"/>
        </w:rPr>
        <w:t>  </w:t>
      </w:r>
      <w:r>
        <w:rPr>
          <w:spacing w:val="-2"/>
          <w:w w:val="170"/>
        </w:rPr>
        <w:t> </w:t>
      </w:r>
      <w:r>
        <w:rPr>
          <w:w w:val="155"/>
        </w:rPr>
        <w:t> </w:t>
      </w:r>
      <w:r>
        <w:rPr>
          <w:spacing w:val="-2"/>
          <w:w w:val="155"/>
        </w:rPr>
        <w:t> </w:t>
      </w:r>
      <w:r>
        <w:rPr>
          <w:w w:val="170"/>
        </w:rPr>
        <w:t>   </w:t>
      </w:r>
      <w:r>
        <w:rPr>
          <w:spacing w:val="17"/>
        </w:rPr>
        <w:t> </w:t>
      </w:r>
      <w:r>
        <w:rPr>
          <w:w w:val="144"/>
        </w:rPr>
        <w:t>   </w:t>
      </w:r>
      <w:r>
        <w:rPr>
          <w:spacing w:val="-1"/>
          <w:w w:val="144"/>
        </w:rPr>
        <w:t> </w:t>
      </w:r>
      <w:r>
        <w:rPr>
          <w:spacing w:val="-1"/>
          <w:w w:val="177"/>
        </w:rPr>
        <w:t> </w:t>
      </w:r>
      <w:r>
        <w:rPr>
          <w:spacing w:val="2"/>
          <w:w w:val="111"/>
        </w:rPr>
        <w:t> </w:t>
      </w:r>
      <w:r>
        <w:rPr>
          <w:spacing w:val="-1"/>
          <w:w w:val="177"/>
        </w:rPr>
        <w:t> </w:t>
      </w:r>
      <w:r>
        <w:rPr>
          <w:w w:val="155"/>
        </w:rPr>
        <w:t> </w:t>
      </w:r>
      <w:r>
        <w:rPr>
          <w:spacing w:val="16"/>
        </w:rPr>
        <w:t> </w:t>
      </w:r>
      <w:r>
        <w:rPr>
          <w:w w:val="155"/>
        </w:rPr>
        <w:t>   </w:t>
      </w:r>
      <w:r>
        <w:rPr>
          <w:spacing w:val="17"/>
        </w:rPr>
        <w:t> </w:t>
      </w:r>
      <w:r>
        <w:rPr>
          <w:w w:val="155"/>
        </w:rPr>
        <w:t> </w:t>
      </w:r>
      <w:r>
        <w:rPr>
          <w:spacing w:val="-2"/>
          <w:w w:val="155"/>
        </w:rPr>
        <w:t> </w:t>
      </w:r>
      <w:r>
        <w:rPr>
          <w:spacing w:val="-1"/>
          <w:w w:val="177"/>
        </w:rPr>
        <w:t> </w:t>
      </w:r>
      <w:r>
        <w:rPr>
          <w:w w:val="166"/>
        </w:rPr>
        <w:t> </w:t>
      </w:r>
      <w:r>
        <w:rPr>
          <w:spacing w:val="-1"/>
          <w:w w:val="166"/>
        </w:rPr>
        <w:t> </w:t>
      </w:r>
      <w:r>
        <w:rPr>
          <w:w w:val="177"/>
        </w:rPr>
        <w:t>  </w:t>
      </w:r>
      <w:r>
        <w:rPr>
          <w:spacing w:val="16"/>
        </w:rPr>
        <w:t> </w:t>
      </w:r>
      <w:r>
        <w:rPr>
          <w:w w:val="188"/>
        </w:rPr>
        <w:t> </w:t>
      </w:r>
      <w:r>
        <w:rPr>
          <w:spacing w:val="-1"/>
          <w:w w:val="188"/>
        </w:rPr>
        <w:t> </w:t>
      </w:r>
      <w:r>
        <w:rPr>
          <w:w w:val="148"/>
        </w:rPr>
        <w:t>  </w:t>
      </w:r>
      <w:r>
        <w:rPr>
          <w:spacing w:val="1"/>
          <w:w w:val="148"/>
        </w:rPr>
        <w:t> </w:t>
      </w:r>
      <w:r>
        <w:rPr>
          <w:spacing w:val="-1"/>
          <w:w w:val="177"/>
        </w:rPr>
        <w:t> </w:t>
      </w:r>
      <w:r>
        <w:rPr>
          <w:w w:val="111"/>
        </w:rPr>
        <w:t> </w:t>
      </w:r>
      <w:r>
        <w:rPr/>
        <w:t> </w:t>
      </w:r>
      <w:r>
        <w:rPr>
          <w:w w:val="1"/>
        </w:rPr>
        <w:t> </w:t>
      </w:r>
      <w:r>
        <w:rPr>
          <w:spacing w:val="21"/>
        </w:rPr>
        <w:t> </w:t>
      </w:r>
      <w:r>
        <w:rPr/>
        <w:t>[(b)], en cierta medida, se la puede considerar como neutral a los cambios en el precio del gas natural; de forma inicial, se pudo evidenciar un comportamiento procíclico, sin embargo, una vez que los precios del gas natural cayeron,  el gasto corriente no disminuyó (</w:t>
      </w:r>
      <w:r>
        <w:rPr>
          <w:i/>
        </w:rPr>
        <w:t>figura</w:t>
      </w:r>
      <w:r>
        <w:rPr>
          <w:i/>
          <w:spacing w:val="-14"/>
        </w:rPr>
        <w:t> </w:t>
      </w:r>
      <w:r>
        <w:rPr>
          <w:i/>
        </w:rPr>
        <w:t>3.4</w:t>
      </w:r>
      <w:r>
        <w:rPr/>
        <w:t>).</w:t>
      </w:r>
    </w:p>
    <w:p>
      <w:pPr>
        <w:spacing w:after="0" w:line="360" w:lineRule="auto"/>
        <w:jc w:val="both"/>
        <w:sectPr>
          <w:pgSz w:w="12250" w:h="15850"/>
          <w:pgMar w:header="0" w:footer="1037" w:top="1360" w:bottom="1220" w:left="1600" w:right="1600"/>
        </w:sectPr>
      </w:pPr>
    </w:p>
    <w:p>
      <w:pPr>
        <w:pStyle w:val="BodyText"/>
        <w:spacing w:before="48"/>
        <w:ind w:left="4024" w:right="107" w:hanging="3853"/>
      </w:pPr>
      <w:bookmarkStart w:name="_bookmark91" w:id="129"/>
      <w:bookmarkEnd w:id="129"/>
      <w:r>
        <w:rPr/>
      </w:r>
      <w:r>
        <w:rPr/>
        <w:t>Figura 3. 4: Fluctuaciones cíclicas de los precios del gas natural y de las finanzas públicas de Bolivia</w:t>
      </w:r>
    </w:p>
    <w:p>
      <w:pPr>
        <w:spacing w:after="0"/>
        <w:sectPr>
          <w:pgSz w:w="12250" w:h="15850"/>
          <w:pgMar w:header="0" w:footer="1037" w:top="1360" w:bottom="1220" w:left="1600" w:right="1600"/>
        </w:sectPr>
      </w:pPr>
    </w:p>
    <w:p>
      <w:pPr>
        <w:pStyle w:val="BodyText"/>
        <w:rPr>
          <w:sz w:val="20"/>
        </w:rPr>
      </w:pPr>
    </w:p>
    <w:p>
      <w:pPr>
        <w:pStyle w:val="BodyText"/>
        <w:rPr>
          <w:sz w:val="20"/>
        </w:rPr>
      </w:pPr>
    </w:p>
    <w:p>
      <w:pPr>
        <w:pStyle w:val="BodyText"/>
        <w:spacing w:before="10"/>
        <w:rPr>
          <w:sz w:val="20"/>
        </w:rPr>
      </w:pPr>
    </w:p>
    <w:p>
      <w:pPr>
        <w:spacing w:before="1"/>
        <w:ind w:left="338" w:right="0" w:firstLine="0"/>
        <w:jc w:val="center"/>
        <w:rPr>
          <w:rFonts w:ascii="Calibri"/>
          <w:sz w:val="19"/>
        </w:rPr>
      </w:pPr>
      <w:r>
        <w:rPr>
          <w:rFonts w:ascii="Calibri"/>
          <w:sz w:val="19"/>
        </w:rPr>
        <w:t>0.80</w:t>
      </w:r>
    </w:p>
    <w:p>
      <w:pPr>
        <w:spacing w:before="83"/>
        <w:ind w:left="337" w:right="0" w:firstLine="0"/>
        <w:jc w:val="center"/>
        <w:rPr>
          <w:rFonts w:ascii="Calibri"/>
          <w:sz w:val="19"/>
        </w:rPr>
      </w:pPr>
      <w:r>
        <w:rPr>
          <w:rFonts w:ascii="Calibri"/>
          <w:sz w:val="19"/>
        </w:rPr>
        <w:t>0.60</w:t>
      </w:r>
    </w:p>
    <w:p>
      <w:pPr>
        <w:spacing w:before="83"/>
        <w:ind w:left="338" w:right="0" w:firstLine="0"/>
        <w:jc w:val="center"/>
        <w:rPr>
          <w:rFonts w:ascii="Calibri"/>
          <w:sz w:val="19"/>
        </w:rPr>
      </w:pPr>
      <w:r>
        <w:rPr>
          <w:rFonts w:ascii="Calibri"/>
          <w:sz w:val="19"/>
        </w:rPr>
        <w:t>0.40</w:t>
      </w:r>
    </w:p>
    <w:p>
      <w:pPr>
        <w:spacing w:before="83"/>
        <w:ind w:left="337" w:right="0" w:firstLine="0"/>
        <w:jc w:val="center"/>
        <w:rPr>
          <w:rFonts w:ascii="Calibri"/>
          <w:sz w:val="19"/>
        </w:rPr>
      </w:pPr>
      <w:r>
        <w:rPr>
          <w:rFonts w:ascii="Calibri"/>
          <w:sz w:val="19"/>
        </w:rPr>
        <w:t>0.20</w:t>
      </w:r>
    </w:p>
    <w:p>
      <w:pPr>
        <w:spacing w:before="83"/>
        <w:ind w:left="0" w:right="121" w:firstLine="0"/>
        <w:jc w:val="right"/>
        <w:rPr>
          <w:rFonts w:ascii="Calibri"/>
          <w:sz w:val="19"/>
        </w:rPr>
      </w:pPr>
      <w:r>
        <w:rPr>
          <w:rFonts w:ascii="Calibri"/>
          <w:w w:val="97"/>
          <w:sz w:val="19"/>
        </w:rPr>
        <w:t>-</w:t>
      </w:r>
    </w:p>
    <w:p>
      <w:pPr>
        <w:spacing w:before="83"/>
        <w:ind w:left="301" w:right="0" w:firstLine="0"/>
        <w:jc w:val="center"/>
        <w:rPr>
          <w:rFonts w:ascii="Calibri"/>
          <w:sz w:val="19"/>
        </w:rPr>
      </w:pPr>
      <w:r>
        <w:rPr>
          <w:rFonts w:ascii="Calibri"/>
          <w:sz w:val="19"/>
        </w:rPr>
        <w:t>(0.20)</w:t>
      </w:r>
    </w:p>
    <w:p>
      <w:pPr>
        <w:spacing w:before="83"/>
        <w:ind w:left="301" w:right="0" w:firstLine="0"/>
        <w:jc w:val="center"/>
        <w:rPr>
          <w:rFonts w:ascii="Calibri"/>
          <w:sz w:val="19"/>
        </w:rPr>
      </w:pPr>
      <w:r>
        <w:rPr>
          <w:rFonts w:ascii="Calibri"/>
          <w:sz w:val="19"/>
        </w:rPr>
        <w:t>(0.40)</w:t>
      </w:r>
    </w:p>
    <w:p>
      <w:pPr>
        <w:pStyle w:val="Heading4"/>
        <w:spacing w:line="242" w:lineRule="auto" w:before="53"/>
        <w:ind w:left="301" w:firstLine="2"/>
        <w:jc w:val="center"/>
        <w:rPr>
          <w:rFonts w:ascii="Constantia" w:hAnsi="Constantia"/>
        </w:rPr>
      </w:pPr>
      <w:r>
        <w:rPr>
          <w:b w:val="0"/>
        </w:rPr>
        <w:br w:type="column"/>
      </w:r>
      <w:r>
        <w:rPr>
          <w:rFonts w:ascii="Constantia" w:hAnsi="Constantia"/>
        </w:rPr>
        <w:t>Precio de </w:t>
      </w:r>
      <w:r>
        <w:rPr>
          <w:rFonts w:ascii="Constantia" w:hAnsi="Constantia"/>
          <w:spacing w:val="2"/>
        </w:rPr>
        <w:t>gas </w:t>
      </w:r>
      <w:r>
        <w:rPr>
          <w:rFonts w:ascii="Constantia" w:hAnsi="Constantia"/>
        </w:rPr>
        <w:t>natural y Asignación de </w:t>
      </w:r>
      <w:r>
        <w:rPr>
          <w:rFonts w:ascii="Constantia" w:hAnsi="Constantia"/>
          <w:spacing w:val="-4"/>
        </w:rPr>
        <w:t>ingr. </w:t>
      </w:r>
      <w:r>
        <w:rPr>
          <w:rFonts w:ascii="Constantia" w:hAnsi="Constantia"/>
        </w:rPr>
        <w:t>fisc. gasíferos</w:t>
      </w:r>
      <w:r>
        <w:rPr>
          <w:rFonts w:ascii="Constantia" w:hAnsi="Constantia"/>
          <w:spacing w:val="-15"/>
        </w:rPr>
        <w:t> </w:t>
      </w:r>
      <w:r>
        <w:rPr>
          <w:rFonts w:ascii="Constantia" w:hAnsi="Constantia"/>
          <w:spacing w:val="2"/>
        </w:rPr>
        <w:t>al</w:t>
      </w:r>
      <w:r>
        <w:rPr>
          <w:rFonts w:ascii="Constantia" w:hAnsi="Constantia"/>
          <w:spacing w:val="-41"/>
        </w:rPr>
        <w:t> </w:t>
      </w:r>
      <w:r>
        <w:rPr>
          <w:rFonts w:ascii="Constantia" w:hAnsi="Constantia"/>
        </w:rPr>
        <w:t>gasto</w:t>
      </w:r>
      <w:r>
        <w:rPr>
          <w:rFonts w:ascii="Constantia" w:hAnsi="Constantia"/>
          <w:spacing w:val="-37"/>
        </w:rPr>
        <w:t> </w:t>
      </w:r>
      <w:r>
        <w:rPr>
          <w:rFonts w:ascii="Constantia" w:hAnsi="Constantia"/>
        </w:rPr>
        <w:t>de</w:t>
      </w:r>
      <w:r>
        <w:rPr>
          <w:rFonts w:ascii="Constantia" w:hAnsi="Constantia"/>
          <w:spacing w:val="-37"/>
        </w:rPr>
        <w:t> </w:t>
      </w:r>
      <w:r>
        <w:rPr>
          <w:rFonts w:ascii="Constantia" w:hAnsi="Constantia"/>
        </w:rPr>
        <w:t>capital (a)</w:t>
      </w:r>
    </w:p>
    <w:p>
      <w:pPr>
        <w:pStyle w:val="BodyText"/>
        <w:rPr>
          <w:rFonts w:ascii="Constantia"/>
          <w:b/>
          <w:sz w:val="20"/>
        </w:rPr>
      </w:pPr>
      <w:r>
        <w:rPr/>
        <w:br w:type="column"/>
      </w:r>
      <w:r>
        <w:rPr>
          <w:rFonts w:ascii="Constantia"/>
          <w:b/>
          <w:sz w:val="20"/>
        </w:rPr>
      </w:r>
    </w:p>
    <w:p>
      <w:pPr>
        <w:pStyle w:val="BodyText"/>
        <w:rPr>
          <w:rFonts w:ascii="Constantia"/>
          <w:b/>
          <w:sz w:val="20"/>
        </w:rPr>
      </w:pPr>
    </w:p>
    <w:p>
      <w:pPr>
        <w:pStyle w:val="BodyText"/>
        <w:spacing w:before="4"/>
        <w:rPr>
          <w:rFonts w:ascii="Constantia"/>
          <w:b/>
          <w:sz w:val="17"/>
        </w:rPr>
      </w:pPr>
    </w:p>
    <w:p>
      <w:pPr>
        <w:spacing w:before="1"/>
        <w:ind w:left="343" w:right="0" w:firstLine="0"/>
        <w:jc w:val="center"/>
        <w:rPr>
          <w:rFonts w:ascii="Calibri"/>
          <w:sz w:val="19"/>
        </w:rPr>
      </w:pPr>
      <w:r>
        <w:rPr>
          <w:rFonts w:ascii="Calibri"/>
          <w:w w:val="105"/>
          <w:sz w:val="19"/>
        </w:rPr>
        <w:t>0.60</w:t>
      </w:r>
    </w:p>
    <w:p>
      <w:pPr>
        <w:spacing w:before="146"/>
        <w:ind w:left="343" w:right="0" w:firstLine="0"/>
        <w:jc w:val="center"/>
        <w:rPr>
          <w:rFonts w:ascii="Calibri"/>
          <w:sz w:val="19"/>
        </w:rPr>
      </w:pPr>
      <w:r>
        <w:rPr>
          <w:rFonts w:ascii="Calibri"/>
          <w:w w:val="105"/>
          <w:sz w:val="19"/>
        </w:rPr>
        <w:t>0.40</w:t>
      </w:r>
    </w:p>
    <w:p>
      <w:pPr>
        <w:spacing w:before="146"/>
        <w:ind w:left="343" w:right="0" w:firstLine="0"/>
        <w:jc w:val="center"/>
        <w:rPr>
          <w:rFonts w:ascii="Calibri"/>
          <w:sz w:val="19"/>
        </w:rPr>
      </w:pPr>
      <w:r>
        <w:rPr>
          <w:rFonts w:ascii="Calibri"/>
          <w:w w:val="105"/>
          <w:sz w:val="19"/>
        </w:rPr>
        <w:t>0.20</w:t>
      </w:r>
    </w:p>
    <w:p>
      <w:pPr>
        <w:spacing w:before="146"/>
        <w:ind w:left="0" w:right="127" w:firstLine="0"/>
        <w:jc w:val="right"/>
        <w:rPr>
          <w:rFonts w:ascii="Calibri"/>
          <w:sz w:val="19"/>
        </w:rPr>
      </w:pPr>
      <w:r>
        <w:rPr>
          <w:rFonts w:ascii="Calibri"/>
          <w:w w:val="102"/>
          <w:sz w:val="19"/>
        </w:rPr>
        <w:t>-</w:t>
      </w:r>
    </w:p>
    <w:p>
      <w:pPr>
        <w:spacing w:before="147"/>
        <w:ind w:left="301" w:right="0" w:firstLine="0"/>
        <w:jc w:val="center"/>
        <w:rPr>
          <w:rFonts w:ascii="Calibri"/>
          <w:sz w:val="19"/>
        </w:rPr>
      </w:pPr>
      <w:r>
        <w:rPr>
          <w:rFonts w:ascii="Calibri"/>
          <w:w w:val="105"/>
          <w:sz w:val="19"/>
        </w:rPr>
        <w:t>(0.20)</w:t>
      </w:r>
    </w:p>
    <w:p>
      <w:pPr>
        <w:spacing w:before="146"/>
        <w:ind w:left="301" w:right="0" w:firstLine="0"/>
        <w:jc w:val="center"/>
        <w:rPr>
          <w:rFonts w:ascii="Calibri"/>
          <w:sz w:val="19"/>
        </w:rPr>
      </w:pPr>
      <w:r>
        <w:rPr>
          <w:rFonts w:ascii="Calibri"/>
          <w:w w:val="105"/>
          <w:sz w:val="19"/>
        </w:rPr>
        <w:t>(0.40)</w:t>
      </w:r>
    </w:p>
    <w:p>
      <w:pPr>
        <w:pStyle w:val="Heading4"/>
        <w:spacing w:line="242" w:lineRule="auto" w:before="53"/>
        <w:ind w:left="301" w:right="429" w:hanging="6"/>
        <w:jc w:val="center"/>
        <w:rPr>
          <w:rFonts w:ascii="Constantia" w:hAnsi="Constantia"/>
        </w:rPr>
      </w:pPr>
      <w:r>
        <w:rPr>
          <w:b w:val="0"/>
        </w:rPr>
        <w:br w:type="column"/>
      </w:r>
      <w:r>
        <w:rPr>
          <w:rFonts w:ascii="Constantia" w:hAnsi="Constantia"/>
        </w:rPr>
        <w:t>Precio de gas natural y Asignación de ingr. fisc. no gasíferos al gasto corriente (b)</w:t>
      </w:r>
    </w:p>
    <w:p>
      <w:pPr>
        <w:spacing w:after="0" w:line="242" w:lineRule="auto"/>
        <w:jc w:val="center"/>
        <w:rPr>
          <w:rFonts w:ascii="Constantia" w:hAnsi="Constantia"/>
        </w:rPr>
        <w:sectPr>
          <w:type w:val="continuous"/>
          <w:pgSz w:w="12250" w:h="15850"/>
          <w:pgMar w:top="1500" w:bottom="280" w:left="1600" w:right="1600"/>
          <w:cols w:num="4" w:equalWidth="0">
            <w:col w:w="757" w:space="104"/>
            <w:col w:w="3301" w:space="129"/>
            <w:col w:w="780" w:space="127"/>
            <w:col w:w="3852"/>
          </w:cols>
        </w:sectPr>
      </w:pPr>
    </w:p>
    <w:p>
      <w:pPr>
        <w:pStyle w:val="BodyText"/>
        <w:spacing w:before="10"/>
        <w:rPr>
          <w:rFonts w:ascii="Constantia"/>
          <w:b/>
          <w:sz w:val="21"/>
        </w:rPr>
      </w:pPr>
    </w:p>
    <w:p>
      <w:pPr>
        <w:tabs>
          <w:tab w:pos="2238" w:val="left" w:leader="none"/>
          <w:tab w:pos="5466" w:val="left" w:leader="none"/>
          <w:tab w:pos="6466" w:val="left" w:leader="none"/>
        </w:tabs>
        <w:spacing w:before="70"/>
        <w:ind w:left="1210" w:right="0" w:firstLine="0"/>
        <w:jc w:val="left"/>
        <w:rPr>
          <w:rFonts w:ascii="Constantia" w:hAnsi="Constantia"/>
          <w:sz w:val="15"/>
        </w:rPr>
      </w:pPr>
      <w:r>
        <w:rPr/>
        <w:pict>
          <v:group style="position:absolute;margin-left:110.508652pt;margin-top:-113.912849pt;width:178.1pt;height:94.9pt;mso-position-horizontal-relative:page;mso-position-vertical-relative:paragraph;z-index:-562384" coordorigin="2210,-2278" coordsize="3562,1898">
            <v:shape style="position:absolute;left:683;top:8065;width:3481;height:1891" coordorigin="683,8065" coordsize="3481,1891" path="m2547,-389l2547,-2271m2476,-389l2547,-389m2476,-702l2547,-702m2476,-1016l2547,-1016m2476,-1330l2547,-1330m2476,-1643l2547,-1643m2476,-1957l2547,-1957m2476,-2271l2547,-2271m2547,-1016l5765,-1016m2589,-1016l2589,-986m2689,-1016l2689,-986m2774,-1016l2774,-986m2873,-1016l2873,-986m2972,-1016l2972,-986m3057,-1016l3057,-986m3156,-1016l3156,-986m3256,-1016l3256,-986m3341,-1016l3341,-986m3440,-1016l3440,-986m3539,-1016l3539,-986m3624,-1016l3624,-986m3723,-1016l3723,-986m3822,-1016l3822,-986m3922,-1016l3922,-986m4007,-1016l4007,-986m4106,-1016l4106,-986m4205,-1016l4205,-986m4290,-1016l4290,-986m4390,-1016l4390,-986m4489,-1016l4489,-986m4574,-1016l4574,-986m4673,-1016l4673,-986m4772,-1016l4772,-986m4857,-1016l4857,-986m4957,-1016l4957,-986m5056,-1016l5056,-986m5141,-1016l5141,-986m5240,-1016l5240,-986m5339,-1016l5339,-986m5439,-1016l5439,-986m5524,-1016l5524,-986m5623,-1016l5623,-986m5722,-1016l5722,-986m5765,-1016l5765,-986m2547,-1016l2547,-971m2632,-1016l2632,-971m2731,-1016l2731,-971m2830,-1016l2830,-971m2915,-1016l2915,-971m3015,-1016l3015,-971m3114,-1016l3114,-971m3199,-1016l3199,-971m3298,-1016l3298,-971m3397,-1016l3397,-971m3482,-1016l3482,-971m3582,-1016l3582,-971m3681,-1016l3681,-971m3780,-1016l3780,-971m3865,-1016l3865,-971m3964,-1016l3964,-971m4063,-1016l4063,-971m4149,-1016l4149,-971m4248,-1016l4248,-971m4347,-1016l4347,-971m4432,-1016l4432,-971m4531,-1016l4531,-971m4631,-1016l4631,-971m4716,-1016l4716,-971m4815,-1016l4815,-971m4914,-1016l4914,-971m4999,-1016l4999,-971m5098,-1016l5098,-971m5198,-1016l5198,-971m5297,-1016l5297,-971m5382,-1016l5382,-971m5481,-1016l5481,-971m5580,-1016l5580,-971m5665,-1016l5665,-971m5765,-1016l5765,-971e" filled="false" stroked="true" strokeweight=".727803pt" strokecolor="#858585">
              <v:path arrowok="t"/>
            </v:shape>
            <v:shape style="position:absolute;left:2589;top:-1672;width:3133;height:1037" coordorigin="2589,-1672" coordsize="3133,1037" path="m2589,-943l2613,-994,2637,-1050,2661,-1096,2684,-1120,2708,-1108,2732,-1071,2755,-1030,2779,-1004,2803,-1002,2827,-1013,2850,-1025,2874,-1026,2898,-1010,2922,-984,2945,-956,2969,-932,2993,-913,3017,-894,3040,-879,3064,-870,3088,-872,3111,-881,3135,-890,3159,-892,3230,-855,3278,-799,3301,-756,3325,-716,3349,-693,3373,-690,3396,-700,3444,-752,3491,-855,3515,-916,3539,-968,3586,-1051,3634,-1107,3657,-1118,3681,-1117,3705,-1114,3729,-1116,3800,-1152,3847,-1201,3871,-1240,3895,-1273,3918,-1285,3942,-1270,3966,-1234,3990,-1192,4013,-1155,4037,-1127,4061,-1100,4084,-1074,4108,-1045,4132,-1007,4156,-965,4179,-928,4203,-909,4227,-914,4251,-937,4274,-966,4298,-991,4322,-1008,4346,-1023,4369,-1042,4393,-1071,4417,-1119,4441,-1179,4464,-1239,4488,-1286,4512,-1312,4535,-1324,4559,-1336,4583,-1358,4607,-1397,4630,-1446,4654,-1496,4678,-1540,4702,-1588,4725,-1640,4749,-1672,4789,-1612,4804,-1543,4820,-1456,4836,-1361,4852,-1266,4868,-1178,4883,-1090,4899,-996,4915,-900,4931,-811,4947,-735,4982,-650,5038,-636,5058,-638,5129,-689,5176,-763,5200,-817,5224,-870,5271,-938,5342,-977,5366,-980,5390,-978,5414,-972,5437,-961,5461,-941,5485,-913,5508,-887,5532,-874,5556,-877,5580,-891,5627,-939,5675,-1013,5698,-1057,5722,-1099e" filled="false" stroked="true" strokeweight="2.229294pt" strokecolor="#497dba">
              <v:path arrowok="t"/>
            </v:shape>
            <v:shape style="position:absolute;left:2589;top:-1942;width:3133;height:1417" coordorigin="2589,-1942" coordsize="3133,1417" path="m2589,-738l2613,-742,2637,-745,2661,-749,2684,-755,2708,-764,2732,-775,2755,-786,2779,-797,2857,-810,2881,-887,2889,-951,2896,-1026,2903,-1112,2911,-1203,2918,-1299,2925,-1396,2933,-1491,2940,-1581,2947,-1665,2954,-1738,2962,-1799,2987,-1857,3017,-1833,3046,-1798,3064,-1783,3088,-1815,3111,-1868,3135,-1919,3159,-1942,3183,-1928,3206,-1893,3230,-1843,3254,-1787,3278,-1717,3301,-1633,3325,-1551,3349,-1490,3371,-1461,3396,-1447,3421,-1436,3444,-1419,3467,-1382,3491,-1337,3515,-1293,3539,-1259,3559,-1251,3586,-1250,3613,-1244,3649,-1166,3665,-1092,3681,-1006,3697,-920,3713,-843,3729,-786,3750,-747,3776,-724,3802,-708,3823,-688,3847,-647,3871,-597,3895,-552,3918,-526,3942,-525,3966,-542,3990,-565,4013,-583,4036,-587,4061,-587,4085,-592,4108,-613,4132,-667,4156,-741,4179,-816,4203,-869,4226,-892,4251,-900,4275,-900,4298,-900,4322,-902,4393,-881,4441,-819,4464,-779,4488,-742,4512,-701,4535,-657,4559,-621,4583,-603,4607,-613,4630,-642,4654,-678,4678,-709,4702,-728,4725,-744,4749,-765,4773,-798,4796,-858,4820,-935,4844,-1006,4868,-1045,4891,-1034,4915,-990,4939,-941,4963,-913,4986,-918,5010,-939,5034,-966,5058,-988,5079,-996,5105,-1002,5131,-1014,5152,-1041,5171,-1098,5190,-1179,5209,-1266,5228,-1338,5247,-1376,5271,-1366,5295,-1317,5319,-1249,5342,-1185,5366,-1120,5390,-1046,5414,-978,5437,-928,5460,-909,5485,-906,5509,-908,5532,-902,5556,-876,5580,-840,5603,-812,5627,-813,5651,-854,5675,-923,5698,-1004,5722,-1078e" filled="false" stroked="true" strokeweight="2.221163pt" strokecolor="#bd4a47">
              <v:path arrowok="t"/>
              <v:stroke dashstyle="longDash"/>
            </v:shape>
            <v:shape style="position:absolute;left:2210;top:-891;width:3454;height:449" coordorigin="2210,-891" coordsize="3454,449" path="m2314,-487l2305,-507,2303,-505,2303,-503,2303,-501,2303,-497,2302,-493,2299,-491,2297,-487,2274,-463,2274,-467,2274,-479,2272,-513,2271,-523,2267,-533,2265,-539,2263,-543,2254,-553,2247,-555,2232,-555,2225,-551,2213,-539,2210,-533,2210,-517,2213,-509,2219,-501,2221,-503,2218,-509,2217,-515,2219,-525,2221,-529,2228,-537,2233,-539,2245,-539,2250,-537,2261,-525,2265,-515,2267,-503,2268,-491,2269,-479,2269,-463,2268,-445,2270,-443,2290,-463,2314,-487m2365,-553l2364,-561,2357,-577,2357,-547,2357,-539,2355,-537,2350,-531,2344,-529,2336,-533,2328,-537,2318,-545,2308,-555,2302,-561,2296,-569,2285,-585,2282,-591,2282,-601,2283,-605,2287,-609,2289,-611,2300,-611,2313,-603,2321,-597,2341,-577,2348,-567,2356,-553,2357,-547,2357,-577,2357,-579,2351,-587,2342,-597,2333,-605,2324,-611,2315,-617,2305,-619,2295,-619,2287,-617,2278,-607,2276,-603,2274,-589,2275,-581,2282,-563,2288,-555,2296,-545,2306,-535,2316,-529,2340,-521,2350,-523,2355,-529,2360,-535,2363,-539,2365,-553m2425,-617l2424,-624,2417,-641,2417,-611,2417,-603,2416,-601,2410,-593,2404,-593,2397,-597,2388,-601,2378,-609,2368,-619,2362,-624,2356,-632,2345,-648,2342,-654,2342,-664,2343,-668,2347,-672,2350,-674,2356,-674,2361,-672,2373,-666,2381,-660,2401,-638,2409,-628,2416,-615,2417,-611,2417,-641,2417,-642,2411,-650,2402,-660,2393,-668,2384,-674,2375,-678,2365,-680,2355,-682,2347,-680,2338,-670,2336,-666,2334,-652,2335,-644,2342,-626,2348,-617,2356,-609,2366,-599,2376,-593,2400,-585,2410,-587,2416,-593,2420,-597,2423,-603,2425,-617m2482,-668l2480,-690,2477,-696,2466,-708,2463,-710,2461,-712,2450,-714,2444,-712,2438,-710,2439,-722,2437,-728,2437,-732,2428,-740,2424,-742,2419,-744,2412,-744,2405,-742,2395,-730,2392,-724,2391,-712,2392,-706,2395,-698,2398,-698,2395,-710,2397,-718,2406,-726,2410,-728,2419,-728,2423,-726,2430,-720,2432,-716,2434,-708,2434,-704,2432,-694,2430,-690,2427,-688,2429,-686,2434,-690,2437,-692,2445,-696,2456,-696,2463,-694,2466,-692,2473,-684,2475,-680,2475,-668,2473,-662,2468,-658,2466,-656,2465,-654,2461,-654,2455,-652,2453,-650,2451,-650,2450,-648,2448,-646,2447,-644,2447,-642,2448,-640,2450,-638,2452,-636,2458,-638,2462,-642,2477,-656,2482,-668m2604,-752l2603,-752,2598,-746,2591,-742,2577,-740,2568,-740,2558,-744,2564,-754,2566,-766,2562,-792,2557,-802,2556,-802,2556,-752,2553,-744,2540,-730,2532,-728,2523,-728,2515,-730,2506,-734,2497,-740,2488,-750,2480,-758,2474,-768,2471,-776,2469,-786,2468,-794,2471,-802,2478,-810,2482,-814,2487,-816,2498,-820,2504,-818,2519,-812,2528,-806,2548,-784,2554,-774,2556,-752,2556,-802,2548,-812,2539,-820,2530,-824,2520,-828,2510,-830,2496,-830,2484,-824,2474,-814,2468,-806,2463,-796,2460,-786,2459,-776,2460,-764,2464,-754,2469,-744,2476,-736,2483,-728,2490,-724,2505,-718,2526,-718,2532,-720,2539,-724,2555,-724,2571,-728,2579,-732,2592,-740,2604,-752m2631,-822l2629,-824,2625,-820,2623,-818,2618,-818,2613,-822,2567,-869,2547,-891,2545,-889,2536,-861,2538,-860,2540,-863,2541,-865,2543,-867,2544,-869,2548,-869,2549,-867,2551,-867,2555,-863,2604,-812,2606,-808,2607,-806,2607,-804,2604,-798,2601,-796,2603,-792,2627,-818,2631,-822m2693,-487l2684,-507,2682,-505,2682,-503,2683,-501,2682,-497,2681,-493,2678,-491,2676,-487,2653,-463,2653,-467,2653,-479,2651,-513,2650,-523,2646,-533,2644,-539,2642,-543,2633,-553,2626,-555,2611,-555,2604,-551,2592,-539,2590,-533,2589,-517,2592,-509,2598,-501,2600,-503,2597,-509,2596,-515,2598,-525,2600,-529,2607,-537,2612,-539,2624,-539,2629,-537,2640,-525,2644,-515,2646,-503,2647,-491,2648,-479,2648,-463,2648,-445,2650,-443,2669,-463,2693,-487m2744,-553l2743,-561,2736,-577,2736,-547,2736,-539,2735,-537,2729,-531,2723,-529,2715,-533,2707,-537,2697,-545,2687,-555,2681,-561,2675,-569,2664,-585,2661,-591,2661,-601,2662,-605,2666,-609,2669,-611,2680,-611,2692,-603,2700,-597,2720,-577,2728,-567,2735,-553,2736,-547,2736,-577,2736,-579,2730,-587,2721,-597,2712,-605,2703,-611,2694,-617,2684,-619,2674,-619,2666,-617,2657,-607,2655,-603,2653,-589,2654,-581,2661,-563,2667,-555,2675,-545,2685,-535,2695,-529,2719,-521,2729,-523,2734,-529,2739,-535,2742,-539,2744,-553m2804,-617l2803,-624,2797,-641,2797,-611,2796,-603,2795,-601,2789,-593,2783,-593,2776,-597,2767,-601,2757,-609,2747,-619,2741,-624,2735,-632,2724,-648,2721,-654,2721,-664,2722,-668,2726,-672,2729,-674,2735,-674,2740,-672,2752,-666,2760,-660,2780,-638,2788,-628,2792,-621,2795,-615,2797,-611,2797,-641,2796,-642,2790,-650,2782,-660,2772,-668,2763,-674,2754,-678,2744,-680,2734,-682,2726,-680,2717,-670,2715,-666,2713,-652,2714,-644,2721,-626,2727,-617,2735,-609,2745,-599,2755,-593,2779,-585,2789,-587,2795,-593,2800,-597,2802,-603,2804,-617m2869,-674l2860,-684,2850,-694,2858,-702,2860,-704,2852,-712,2842,-702,2833,-711,2833,-692,2808,-666,2797,-730,2833,-692,2833,-711,2816,-730,2795,-752,2789,-746,2803,-658,2810,-652,2824,-666,2841,-684,2860,-664,2869,-674m2983,-752l2983,-752,2977,-746,2970,-742,2956,-740,2947,-740,2937,-744,2943,-754,2945,-766,2941,-792,2936,-802,2935,-802,2935,-752,2932,-744,2919,-730,2911,-728,2902,-728,2894,-730,2885,-734,2876,-740,2867,-750,2859,-758,2853,-768,2850,-776,2848,-786,2847,-794,2850,-802,2857,-810,2861,-814,2866,-816,2877,-820,2883,-818,2898,-812,2907,-806,2927,-784,2933,-774,2935,-752,2935,-802,2927,-812,2918,-820,2909,-824,2899,-828,2889,-830,2875,-830,2863,-824,2853,-814,2847,-806,2842,-796,2839,-786,2838,-776,2840,-764,2843,-754,2848,-744,2855,-736,2862,-728,2869,-724,2884,-718,2905,-718,2911,-720,2919,-724,2934,-724,2950,-728,2958,-732,2971,-740,2983,-752m3010,-822l3008,-824,3004,-820,3002,-818,2997,-818,2992,-822,2947,-869,2926,-891,2924,-889,2915,-861,2918,-860,2919,-863,2920,-865,2922,-867,2923,-869,2927,-869,2930,-867,2934,-863,2983,-812,2985,-808,2986,-806,2986,-804,2984,-798,2980,-796,2982,-792,3006,-818,3010,-822m3072,-487l3063,-507,3061,-505,3062,-503,3062,-501,3061,-497,3060,-493,3058,-491,3055,-487,3032,-463,3032,-467,3032,-479,3031,-513,3029,-523,3026,-533,3024,-539,3021,-543,3012,-553,3005,-555,2990,-555,2983,-551,2972,-539,2969,-533,2968,-517,2971,-509,2977,-501,2979,-503,2976,-509,2975,-515,2977,-525,2979,-529,2986,-537,2991,-539,3003,-539,3008,-537,3019,-525,3023,-515,3025,-503,3026,-491,3027,-479,3027,-463,3027,-445,3029,-443,3048,-463,3072,-487m3123,-553l3122,-561,3116,-577,3116,-547,3115,-539,3114,-537,3108,-531,3102,-529,3095,-533,3086,-537,3076,-545,3066,-555,3060,-561,3054,-569,3043,-585,3040,-591,3040,-601,3041,-605,3045,-609,3048,-611,3059,-611,3071,-603,3079,-597,3099,-577,3107,-567,3111,-557,3114,-553,3116,-547,3116,-577,3115,-579,3109,-587,3100,-597,3091,-605,3082,-611,3073,-617,3063,-619,3053,-619,3045,-617,3036,-607,3034,-603,3032,-589,3033,-581,3040,-563,3046,-555,3054,-545,3064,-535,3074,-529,3098,-521,3108,-523,3113,-529,3119,-535,3121,-539,3123,-553m3183,-617l3182,-624,3176,-641,3176,-611,3175,-603,3174,-601,3168,-593,3162,-593,3155,-597,3146,-601,3136,-609,3126,-619,3120,-624,3114,-632,3103,-648,3101,-654,3100,-664,3101,-668,3105,-672,3108,-674,3114,-674,3119,-672,3132,-666,3139,-660,3159,-638,3167,-628,3171,-621,3174,-615,3176,-611,3176,-641,3175,-642,3169,-650,3161,-660,3151,-668,3142,-674,3133,-678,3123,-680,3113,-682,3105,-680,3096,-670,3094,-666,3092,-652,3093,-644,3100,-626,3106,-617,3115,-609,3124,-599,3135,-593,3158,-585,3168,-587,3174,-593,3179,-597,3181,-603,3183,-617m3238,-682l3237,-688,3234,-698,3231,-702,3229,-704,3221,-714,3212,-718,3192,-718,3181,-714,3170,-704,3165,-720,3187,-744,3182,-758,3155,-730,3170,-684,3177,-692,3183,-696,3196,-702,3203,-702,3216,-700,3221,-698,3230,-688,3233,-682,3233,-670,3231,-664,3224,-656,3220,-654,3215,-654,3212,-652,3209,-652,3208,-650,3205,-648,3205,-648,3205,-644,3205,-642,3208,-640,3211,-638,3218,-640,3221,-642,3230,-652,3233,-658,3237,-668,3238,-672,3238,-682m3362,-752l3362,-752,3356,-746,3349,-742,3335,-740,3326,-740,3316,-744,3322,-754,3324,-766,3320,-792,3315,-802,3314,-802,3314,-752,3311,-744,3298,-730,3290,-728,3281,-728,3273,-730,3264,-734,3255,-740,3246,-750,3238,-758,3233,-768,3229,-776,3227,-786,3226,-794,3229,-802,3236,-810,3240,-814,3245,-816,3256,-820,3262,-818,3277,-812,3286,-806,3306,-784,3312,-774,3314,-752,3314,-802,3306,-812,3297,-820,3288,-824,3278,-828,3268,-830,3254,-830,3242,-824,3232,-814,3226,-806,3221,-796,3218,-786,3218,-776,3219,-764,3222,-754,3227,-744,3234,-736,3241,-728,3248,-724,3263,-718,3284,-718,3290,-720,3298,-724,3313,-724,3329,-728,3337,-732,3350,-740,3362,-752m3389,-822l3387,-824,3383,-820,3381,-818,3376,-818,3371,-822,3326,-869,3305,-891,3303,-889,3294,-861,3297,-860,3298,-863,3299,-865,3301,-867,3303,-869,3306,-869,3309,-867,3313,-863,3362,-812,3365,-808,3366,-806,3366,-804,3363,-798,3359,-796,3361,-792,3385,-818,3389,-822m3451,-487l3442,-507,3440,-505,3441,-503,3441,-501,3440,-497,3439,-493,3437,-491,3434,-487,3411,-463,3411,-467,3411,-479,3410,-513,3408,-523,3405,-533,3403,-539,3400,-543,3391,-553,3385,-555,3369,-555,3362,-551,3351,-539,3348,-533,3347,-517,3350,-509,3356,-501,3358,-503,3355,-509,3354,-515,3356,-525,3358,-529,3366,-537,3370,-539,3382,-539,3387,-537,3398,-525,3402,-515,3404,-503,3406,-491,3406,-479,3406,-463,3406,-445,3408,-443,3427,-463,3451,-487m3502,-553l3501,-561,3495,-577,3495,-547,3494,-539,3493,-537,3487,-531,3481,-529,3474,-533,3465,-537,3455,-545,3445,-555,3439,-561,3433,-569,3422,-585,3419,-591,3419,-601,3420,-605,3424,-609,3427,-611,3438,-611,3450,-603,3458,-597,3478,-577,3486,-567,3490,-557,3493,-553,3495,-547,3495,-577,3494,-579,3488,-587,3480,-597,3470,-605,3461,-611,3452,-617,3442,-619,3432,-619,3424,-617,3415,-607,3413,-603,3411,-589,3412,-581,3419,-563,3425,-555,3433,-545,3443,-535,3454,-529,3477,-521,3487,-523,3492,-529,3498,-535,3500,-539,3502,-553m3562,-617l3561,-624,3555,-641,3555,-611,3554,-603,3553,-601,3547,-593,3541,-593,3534,-597,3525,-601,3516,-609,3506,-619,3499,-624,3493,-632,3483,-648,3480,-654,3479,-664,3480,-668,3485,-672,3487,-674,3493,-674,3498,-672,3511,-666,3518,-660,3538,-638,3546,-628,3550,-621,3553,-615,3555,-611,3555,-641,3554,-642,3548,-650,3540,-660,3531,-668,3521,-674,3512,-678,3503,-680,3492,-682,3485,-680,3476,-670,3473,-666,3471,-652,3472,-644,3479,-626,3485,-617,3494,-609,3503,-599,3514,-593,3537,-585,3547,-587,3554,-593,3558,-597,3560,-603,3562,-617m3625,-674l3623,-686,3622,-694,3618,-702,3618,-703,3618,-670,3616,-666,3611,-660,3608,-658,3599,-658,3594,-660,3584,-664,3579,-668,3573,-674,3569,-680,3565,-686,3566,-690,3567,-694,3569,-698,3570,-700,3576,-706,3582,-708,3596,-704,3602,-700,3614,-688,3617,-682,3618,-670,3618,-703,3613,-708,3606,-716,3599,-720,3583,-720,3577,-718,3567,-706,3564,-700,3562,-690,3558,-696,3552,-714,3552,-720,3552,-734,3552,-738,3556,-748,3558,-752,3563,-758,3561,-760,3554,-754,3550,-748,3545,-736,3543,-728,3542,-708,3544,-698,3550,-680,3555,-672,3572,-654,3584,-648,3597,-650,3604,-650,3610,-652,3615,-658,3622,-666,3625,-674m3741,-752l3741,-752,3735,-746,3728,-742,3714,-740,3705,-740,3695,-744,3701,-754,3703,-766,3699,-792,3694,-802,3693,-802,3693,-752,3690,-744,3677,-730,3669,-728,3660,-728,3652,-730,3643,-734,3634,-740,3626,-750,3618,-758,3612,-768,3608,-776,3606,-786,3606,-794,3608,-802,3615,-810,3619,-814,3624,-816,3635,-820,3641,-818,3657,-812,3665,-806,3685,-784,3691,-774,3693,-752,3693,-802,3685,-812,3676,-820,3667,-824,3657,-828,3647,-830,3633,-830,3621,-824,3611,-814,3605,-806,3600,-796,3597,-786,3597,-776,3598,-764,3601,-754,3606,-744,3613,-736,3620,-728,3627,-724,3642,-718,3663,-718,3670,-720,3677,-724,3692,-724,3708,-728,3716,-732,3724,-736,3730,-740,3741,-752m3768,-822l3766,-824,3762,-820,3760,-818,3755,-818,3750,-822,3746,-826,3705,-869,3684,-891,3682,-889,3673,-861,3676,-860,3677,-863,3678,-865,3681,-867,3682,-869,3685,-869,3689,-867,3692,-863,3741,-812,3744,-808,3744,-808,3745,-806,3745,-804,3744,-804,3744,-802,3742,-798,3738,-796,3740,-792,3764,-818,3768,-822m3830,-487l3821,-507,3819,-505,3820,-503,3820,-501,3818,-493,3816,-491,3813,-487,3809,-483,3790,-463,3790,-479,3789,-499,3789,-513,3787,-523,3784,-533,3782,-539,3779,-543,3775,-547,3770,-553,3764,-555,3748,-555,3741,-551,3735,-545,3730,-539,3727,-533,3726,-517,3729,-509,3735,-501,3737,-503,3734,-509,3733,-515,3735,-525,3737,-529,3745,-537,3750,-539,3761,-539,3766,-537,3771,-531,3777,-525,3781,-515,3783,-503,3785,-491,3785,-479,3785,-463,3785,-445,3787,-443,3806,-463,3830,-487m3881,-553l3880,-561,3877,-569,3874,-577,3874,-547,3873,-539,3872,-537,3866,-531,3860,-529,3853,-533,3844,-537,3835,-545,3824,-555,3818,-561,3812,-569,3802,-585,3798,-591,3798,-597,3798,-601,3799,-605,3801,-607,3803,-609,3806,-611,3817,-611,3830,-603,3837,-597,3846,-589,3857,-577,3865,-567,3872,-553,3874,-547,3874,-577,3873,-579,3867,-587,3859,-597,3849,-605,3840,-611,3831,-617,3822,-619,3811,-619,3804,-617,3798,-611,3795,-607,3792,-603,3791,-597,3790,-589,3791,-581,3795,-573,3798,-563,3804,-555,3812,-545,3822,-535,3833,-529,3856,-521,3866,-523,3871,-529,3877,-535,3879,-539,3881,-553m3941,-617l3940,-624,3937,-632,3934,-641,3934,-611,3933,-607,3933,-603,3932,-601,3930,-597,3926,-593,3920,-593,3913,-597,3904,-601,3895,-609,3885,-619,3878,-624,3873,-632,3862,-648,3859,-654,3858,-660,3858,-664,3859,-668,3866,-674,3872,-674,3877,-672,3882,-670,3890,-666,3898,-660,3906,-650,3917,-638,3925,-628,3932,-615,3934,-611,3934,-641,3933,-642,3927,-650,3919,-660,3910,-668,3900,-674,3891,-678,3882,-680,3871,-682,3864,-680,3858,-674,3855,-670,3852,-666,3852,-660,3850,-652,3851,-644,3855,-634,3858,-626,3864,-617,3873,-609,3882,-599,3893,-593,3916,-585,3926,-587,3932,-593,3933,-595,3937,-597,3939,-603,3941,-617m3992,-656l3952,-742,3944,-758,3942,-760,3903,-718,3913,-692,3915,-694,3914,-700,3914,-704,3916,-712,3918,-716,3922,-720,3942,-742,3986,-648,3992,-656m4120,-752l4120,-752,4114,-746,4108,-742,4100,-742,4093,-740,4084,-740,4074,-744,4080,-754,4082,-766,4078,-792,4073,-802,4072,-802,4072,-752,4069,-744,4063,-736,4056,-730,4048,-728,4039,-728,4031,-730,4022,-734,4013,-740,4005,-750,3997,-758,3991,-768,3987,-776,3985,-786,3985,-794,3987,-802,3994,-810,3998,-814,4003,-816,4009,-818,4014,-820,4020,-818,4027,-816,4036,-812,4044,-806,4064,-784,4070,-774,4072,-762,4072,-752,4072,-802,4064,-812,4056,-820,4046,-824,4037,-828,4026,-830,4012,-830,4000,-824,3991,-814,3984,-806,3979,-796,3977,-786,3976,-776,3977,-764,3980,-754,3985,-744,3992,-736,3999,-728,4006,-724,4022,-718,4042,-718,4049,-720,4056,-724,4071,-724,4087,-728,4095,-732,4103,-736,4109,-740,4120,-752m4147,-822l4145,-824,4142,-820,4139,-818,4134,-818,4132,-820,4129,-822,4125,-826,4084,-869,4063,-891,4061,-889,4052,-861,4055,-860,4056,-863,4057,-865,4060,-867,4061,-869,4064,-869,4066,-867,4068,-867,4071,-863,4120,-812,4123,-808,4123,-808,4124,-806,4124,-804,4123,-804,4123,-802,4121,-798,4118,-796,4119,-792,4143,-818,4147,-822m4209,-487l4200,-507,4198,-505,4199,-503,4199,-501,4198,-497,4197,-493,4196,-491,4195,-491,4192,-487,4169,-463,4169,-479,4168,-501,4168,-513,4166,-523,4161,-539,4158,-543,4154,-547,4149,-553,4143,-555,4127,-555,4120,-551,4114,-545,4109,-539,4106,-533,4106,-517,4108,-509,4114,-501,4116,-503,4114,-509,4112,-515,4114,-525,4116,-529,4124,-537,4129,-539,4140,-539,4146,-537,4150,-531,4156,-525,4160,-515,4163,-503,4164,-491,4164,-479,4165,-463,4164,-445,4166,-443,4186,-463,4209,-487m4260,-553l4259,-561,4256,-569,4253,-577,4253,-547,4252,-539,4251,-537,4249,-535,4245,-531,4239,-529,4232,-533,4223,-537,4214,-545,4204,-555,4197,-561,4191,-569,4186,-577,4181,-585,4178,-591,4177,-597,4177,-601,4178,-605,4183,-609,4185,-611,4196,-611,4201,-607,4209,-603,4217,-597,4225,-589,4236,-577,4244,-567,4252,-553,4253,-547,4253,-577,4252,-579,4246,-587,4238,-597,4229,-605,4219,-611,4210,-617,4201,-619,4190,-619,4183,-617,4174,-607,4171,-603,4170,-597,4169,-589,4170,-581,4174,-573,4177,-563,4183,-555,4192,-545,4201,-535,4212,-529,4223,-525,4235,-521,4245,-523,4251,-529,4256,-535,4258,-539,4260,-553m4321,-617l4319,-624,4316,-632,4313,-641,4313,-611,4312,-603,4311,-601,4305,-593,4299,-593,4292,-597,4283,-601,4274,-609,4264,-619,4258,-624,4252,-632,4241,-648,4238,-654,4237,-660,4237,-664,4238,-668,4241,-670,4243,-672,4245,-674,4252,-674,4256,-672,4269,-666,4277,-660,4285,-650,4296,-638,4304,-628,4312,-615,4313,-611,4313,-641,4312,-642,4306,-650,4298,-660,4289,-668,4280,-674,4270,-678,4261,-680,4251,-682,4243,-680,4237,-674,4234,-670,4231,-666,4231,-660,4229,-652,4231,-644,4234,-634,4238,-626,4243,-617,4252,-609,4262,-599,4272,-593,4296,-585,4305,-587,4312,-593,4316,-597,4318,-603,4321,-617m4383,-688l4381,-694,4377,-698,4377,-680,4377,-670,4375,-666,4371,-662,4367,-658,4362,-656,4352,-656,4347,-658,4339,-666,4336,-670,4333,-680,4333,-684,4333,-690,4333,-692,4347,-692,4357,-694,4367,-692,4370,-690,4372,-686,4376,-684,4377,-680,4377,-698,4376,-700,4371,-704,4366,-706,4360,-708,4347,-708,4336,-706,4338,-716,4339,-724,4338,-730,4337,-734,4335,-738,4334,-740,4332,-742,4331,-743,4331,-712,4331,-706,4315,-704,4308,-704,4303,-706,4300,-708,4296,-712,4294,-716,4295,-726,4297,-730,4304,-738,4308,-740,4316,-740,4321,-738,4327,-732,4329,-728,4331,-720,4331,-712,4331,-743,4328,-746,4323,-748,4309,-746,4303,-744,4291,-732,4288,-724,4287,-710,4290,-702,4294,-698,4297,-694,4301,-692,4310,-690,4328,-690,4327,-682,4327,-674,4329,-662,4331,-658,4338,-650,4344,-648,4358,-646,4366,-650,4371,-656,4373,-658,4379,-664,4383,-672,4383,-680,4383,-688m4499,-752l4499,-752,4493,-746,4487,-742,4472,-740,4464,-740,4454,-744,4459,-754,4461,-766,4459,-778,4457,-792,4452,-802,4451,-802,4451,-752,4448,-744,4442,-736,4435,-730,4427,-728,4419,-728,4410,-730,4401,-734,4393,-740,4384,-750,4376,-758,4370,-768,4366,-776,4364,-786,4364,-794,4367,-802,4373,-810,4377,-814,4382,-816,4388,-818,4393,-820,4400,-818,4406,-816,4415,-812,4424,-806,4444,-784,4450,-774,4451,-762,4451,-752,4451,-802,4443,-812,4435,-820,4425,-824,4416,-828,4405,-830,4391,-830,4379,-824,4370,-814,4363,-806,4358,-796,4356,-786,4355,-776,4356,-764,4359,-754,4364,-744,4371,-736,4378,-728,4386,-724,4393,-720,4400,-718,4421,-718,4428,-720,4435,-724,4450,-724,4467,-728,4474,-732,4482,-736,4488,-740,4499,-752m4526,-822l4524,-824,4521,-820,4518,-818,4513,-818,4511,-820,4508,-822,4504,-826,4463,-869,4442,-891,4441,-889,4431,-861,4434,-860,4435,-863,4436,-865,4439,-867,4440,-869,4444,-869,4445,-867,4447,-867,4450,-863,4499,-812,4502,-808,4502,-808,4503,-806,4503,-804,4502,-804,4502,-802,4500,-798,4497,-796,4499,-792,4522,-818,4526,-822m4588,-487l4579,-507,4577,-505,4578,-503,4578,-501,4577,-497,4576,-493,4575,-491,4574,-491,4571,-487,4548,-463,4549,-467,4547,-513,4545,-523,4542,-533,4540,-539,4537,-543,4534,-547,4528,-553,4522,-555,4506,-555,4499,-551,4493,-545,4488,-539,4485,-533,4485,-517,4488,-509,4493,-501,4495,-503,4493,-509,4492,-515,4493,-525,4495,-529,4503,-537,4508,-539,4519,-539,4525,-537,4529,-531,4535,-525,4539,-515,4541,-503,4543,-491,4544,-477,4544,-463,4543,-445,4545,-443,4565,-463,4588,-487m4639,-553l4638,-561,4635,-569,4632,-577,4632,-547,4631,-539,4630,-537,4628,-535,4624,-531,4618,-529,4611,-533,4602,-537,4593,-545,4583,-555,4576,-561,4571,-569,4565,-577,4560,-585,4557,-591,4556,-597,4556,-601,4557,-605,4562,-609,4564,-611,4575,-611,4581,-607,4588,-603,4596,-597,4604,-589,4615,-577,4623,-567,4628,-557,4630,-553,4632,-547,4632,-577,4631,-579,4625,-587,4617,-597,4608,-605,4598,-611,4589,-617,4580,-619,4570,-619,4562,-617,4556,-611,4553,-607,4551,-603,4550,-597,4548,-589,4550,-581,4553,-573,4557,-563,4562,-555,4571,-545,4581,-535,4591,-529,4602,-525,4615,-521,4624,-523,4630,-529,4631,-531,4635,-535,4637,-539,4638,-547,4639,-553m4700,-617l4698,-624,4695,-632,4692,-640,4692,-611,4691,-603,4690,-601,4688,-597,4684,-593,4678,-593,4671,-597,4662,-601,4653,-609,4643,-619,4637,-624,4631,-632,4625,-640,4620,-648,4617,-654,4616,-660,4616,-664,4617,-668,4622,-672,4624,-674,4631,-674,4635,-672,4641,-670,4648,-666,4656,-660,4664,-650,4675,-638,4683,-628,4691,-615,4692,-611,4692,-640,4691,-642,4685,-650,4677,-660,4668,-668,4659,-674,4649,-678,4640,-680,4630,-682,4622,-680,4613,-670,4611,-666,4610,-660,4609,-652,4610,-644,4613,-634,4617,-626,4623,-617,4631,-609,4641,-599,4651,-593,4662,-589,4675,-585,4685,-587,4691,-593,4695,-597,4697,-603,4700,-617m4749,-676l4749,-688,4746,-700,4745,-704,4743,-710,4737,-722,4726,-734,4726,-710,4726,-706,4725,-702,4722,-696,4721,-694,4716,-688,4711,-686,4706,-688,4698,-688,4691,-694,4678,-708,4675,-712,4674,-718,4674,-724,4675,-728,4678,-732,4681,-734,4684,-736,4693,-736,4698,-734,4703,-732,4708,-728,4713,-726,4719,-718,4722,-714,4726,-710,4726,-734,4724,-736,4720,-740,4710,-744,4699,-746,4689,-746,4682,-744,4676,-736,4669,-730,4666,-720,4668,-710,4669,-700,4673,-692,4679,-686,4686,-678,4693,-674,4708,-674,4714,-676,4724,-686,4727,-694,4730,-704,4734,-696,4737,-686,4739,-678,4740,-668,4740,-660,4736,-646,4733,-642,4728,-636,4730,-634,4733,-638,4740,-644,4745,-654,4749,-676m4878,-752l4878,-752,4872,-746,4866,-742,4851,-740,4843,-740,4833,-744,4838,-754,4840,-766,4838,-778,4836,-792,4831,-802,4830,-803,4830,-752,4828,-744,4821,-736,4814,-730,4807,-728,4798,-728,4789,-730,4780,-734,4772,-740,4763,-750,4755,-758,4749,-768,4745,-776,4743,-786,4743,-794,4746,-802,4752,-810,4757,-814,4761,-816,4767,-818,4773,-820,4779,-818,4794,-812,4802,-806,4811,-796,4823,-784,4829,-774,4830,-752,4830,-803,4822,-812,4814,-820,4805,-824,4795,-828,4784,-830,4770,-830,4758,-824,4749,-814,4742,-806,4737,-796,4735,-786,4734,-776,4735,-764,4738,-754,4743,-744,4750,-736,4757,-728,4765,-724,4772,-720,4780,-718,4801,-718,4807,-720,4814,-724,4829,-724,4846,-728,4853,-732,4861,-736,4867,-740,4878,-752m4905,-822l4903,-824,4900,-820,4897,-818,4891,-818,4890,-820,4887,-822,4883,-826,4842,-869,4821,-891,4820,-889,4811,-861,4813,-860,4814,-863,4816,-865,4818,-867,4819,-869,4823,-869,4826,-867,4829,-863,4878,-812,4881,-808,4881,-808,4882,-806,4882,-804,4881,-804,4881,-802,4879,-798,4876,-796,4878,-792,4901,-818,4905,-822m4967,-487l4958,-507,4956,-505,4957,-503,4957,-501,4956,-493,4954,-491,4953,-491,4950,-487,4946,-483,4928,-463,4928,-467,4926,-513,4924,-523,4921,-533,4919,-539,4916,-543,4912,-547,4907,-553,4901,-555,4885,-555,4878,-551,4867,-539,4864,-533,4864,-517,4867,-509,4872,-501,4874,-503,4872,-509,4871,-515,4872,-525,4874,-529,4878,-533,4882,-537,4887,-539,4898,-539,4904,-537,4908,-531,4914,-525,4919,-515,4921,-503,4922,-491,4923,-479,4923,-463,4922,-445,4924,-443,4944,-463,4967,-487m5018,-553l5017,-561,5014,-569,5011,-577,5011,-547,5011,-543,5010,-539,5009,-537,5007,-535,5003,-531,4998,-529,4990,-533,4981,-537,4972,-545,4962,-555,4956,-561,4950,-569,4939,-585,4936,-591,4936,-597,4935,-601,4936,-605,4943,-611,4954,-611,4960,-607,4967,-603,4975,-597,4983,-589,4994,-577,5002,-567,5010,-553,5011,-547,5011,-577,5010,-579,5004,-587,4996,-597,4987,-605,4978,-611,4968,-617,4959,-619,4949,-619,4941,-617,4935,-611,4932,-607,4930,-603,4929,-597,4927,-589,4929,-581,4932,-573,4936,-563,4942,-555,4950,-545,4960,-535,4970,-529,4994,-521,5004,-523,5009,-529,5011,-531,5014,-535,5016,-539,5018,-553m5084,-611l5082,-613,5078,-609,5076,-607,5068,-607,5066,-611,5062,-615,5019,-658,5000,-678,4998,-678,4989,-650,4992,-648,4993,-652,4994,-654,4996,-656,4998,-658,5001,-658,5003,-656,5005,-656,5008,-652,5053,-605,5057,-601,5061,-595,5061,-593,5060,-591,5058,-587,5054,-583,5056,-581,5080,-607,5084,-611m5139,-680l5138,-688,5134,-696,5131,-704,5131,-674,5131,-666,5129,-662,5128,-660,5123,-656,5118,-656,5110,-660,5101,-664,5092,-670,5082,-682,5076,-688,5070,-696,5065,-704,5059,-710,5056,-718,5056,-724,5056,-728,5056,-732,5061,-736,5063,-738,5070,-738,5074,-736,5080,-734,5087,-730,5095,-724,5103,-714,5115,-702,5122,-692,5130,-678,5131,-674,5131,-704,5131,-706,5125,-714,5116,-722,5107,-732,5098,-738,5089,-742,5079,-744,5069,-746,5061,-744,5056,-738,5052,-734,5050,-730,5049,-724,5048,-716,5049,-708,5052,-698,5056,-690,5062,-680,5070,-672,5080,-662,5090,-654,5101,-652,5114,-648,5124,-650,5131,-656,5134,-660,5137,-666,5139,-680m5257,-752l5257,-752,5251,-746,5245,-742,5230,-740,5222,-740,5212,-744,5217,-754,5219,-766,5217,-778,5216,-792,5210,-802,5210,-803,5210,-752,5207,-744,5200,-736,5193,-730,5186,-728,5177,-728,5168,-730,5159,-734,5151,-740,5142,-750,5134,-758,5128,-768,5124,-776,5123,-786,5122,-794,5125,-802,5131,-810,5136,-814,5140,-816,5152,-820,5158,-818,5173,-812,5182,-806,5202,-784,5208,-774,5210,-752,5210,-803,5201,-812,5193,-820,5184,-824,5174,-828,5163,-830,5149,-830,5137,-824,5128,-814,5121,-806,5117,-796,5114,-786,5113,-776,5114,-764,5117,-754,5122,-744,5130,-736,5136,-728,5151,-720,5159,-718,5180,-718,5186,-720,5193,-724,5208,-724,5225,-728,5233,-732,5246,-740,5257,-752m5284,-822l5282,-824,5279,-820,5276,-818,5272,-818,5266,-822,5262,-826,5221,-869,5201,-891,5199,-889,5190,-861,5192,-860,5193,-863,5195,-865,5197,-867,5198,-869,5202,-869,5205,-867,5209,-863,5258,-812,5260,-808,5261,-808,5261,-806,5261,-804,5261,-804,5260,-802,5258,-798,5255,-796,5257,-792,5281,-818,5284,-822m5346,-487l5337,-507,5335,-505,5336,-503,5336,-501,5335,-493,5332,-491,5330,-487,5326,-483,5307,-463,5307,-467,5305,-513,5303,-523,5300,-533,5298,-539,5295,-543,5292,-547,5286,-553,5280,-555,5264,-555,5258,-551,5252,-545,5246,-539,5243,-533,5243,-517,5246,-509,5252,-501,5253,-503,5251,-509,5250,-515,5251,-525,5253,-529,5261,-537,5266,-539,5278,-539,5283,-537,5287,-531,5293,-525,5298,-515,5300,-503,5301,-491,5302,-479,5302,-463,5301,-445,5303,-443,5323,-463,5346,-487m5398,-553l5396,-561,5393,-569,5390,-577,5390,-547,5390,-543,5390,-539,5388,-537,5386,-535,5382,-531,5377,-529,5369,-533,5360,-537,5351,-545,5341,-555,5335,-561,5329,-569,5318,-585,5315,-591,5315,-597,5314,-601,5315,-605,5322,-611,5333,-611,5346,-603,5354,-597,5362,-589,5373,-577,5381,-567,5389,-553,5390,-547,5390,-577,5390,-579,5383,-587,5375,-597,5366,-605,5357,-611,5347,-617,5338,-619,5328,-619,5320,-617,5314,-611,5311,-607,5309,-603,5308,-597,5307,-589,5308,-581,5311,-573,5315,-563,5321,-555,5329,-545,5339,-535,5349,-529,5373,-521,5383,-523,5388,-529,5390,-531,5393,-535,5395,-539,5398,-553m5463,-611l5461,-613,5458,-609,5455,-607,5448,-607,5445,-611,5441,-615,5398,-658,5379,-678,5377,-678,5368,-650,5371,-648,5372,-652,5373,-654,5376,-656,5377,-658,5380,-658,5384,-656,5387,-652,5436,-601,5439,-597,5439,-597,5440,-595,5440,-593,5439,-591,5439,-591,5437,-587,5433,-583,5435,-581,5459,-607,5463,-611m5523,-674l5521,-676,5518,-672,5515,-670,5508,-670,5505,-674,5501,-678,5458,-722,5439,-742,5438,-740,5428,-712,5431,-712,5432,-716,5433,-718,5436,-720,5437,-722,5439,-722,5441,-720,5442,-720,5444,-718,5447,-716,5492,-668,5496,-664,5500,-658,5500,-656,5499,-652,5497,-650,5493,-646,5496,-644,5519,-670,5523,-674m5636,-752l5636,-752,5630,-746,5624,-742,5617,-742,5609,-740,5601,-740,5591,-744,5596,-754,5598,-766,5596,-778,5595,-792,5589,-802,5589,-802,5589,-752,5586,-744,5579,-736,5572,-730,5565,-728,5556,-728,5547,-730,5539,-734,5530,-740,5521,-750,5513,-758,5507,-768,5503,-776,5502,-786,5501,-794,5504,-802,5510,-810,5515,-814,5520,-816,5531,-820,5537,-818,5544,-816,5552,-812,5561,-806,5581,-784,5587,-774,5589,-752,5589,-802,5580,-812,5572,-820,5563,-824,5553,-828,5543,-830,5528,-830,5517,-824,5507,-814,5500,-806,5496,-796,5493,-786,5492,-778,5492,-774,5493,-764,5496,-754,5501,-744,5509,-736,5516,-728,5523,-724,5538,-718,5559,-718,5565,-720,5572,-724,5587,-724,5604,-728,5612,-732,5619,-736,5625,-740,5636,-752m5663,-822l5661,-824,5658,-820,5655,-818,5651,-818,5645,-822,5641,-826,5600,-869,5580,-891,5578,-889,5569,-861,5571,-860,5572,-863,5574,-865,5576,-867,5577,-869,5581,-869,5582,-867,5584,-867,5588,-863,5637,-812,5639,-808,5640,-808,5640,-806,5640,-804,5640,-804,5639,-802,5637,-798,5634,-796,5636,-792,5660,-818,5663,-822e" filled="true" fillcolor="#000000" stroked="false">
              <v:path arrowok="t"/>
              <v:fill type="solid"/>
            </v:shape>
            <w10:wrap type="none"/>
          </v:group>
        </w:pict>
      </w:r>
      <w:r>
        <w:rPr/>
        <w:pict>
          <v:line style="position:absolute;mso-position-horizontal-relative:page;mso-position-vertical-relative:paragraph;z-index:9760" from="113.875694pt,8.201391pt" to="137.973269pt,8.201391pt" stroked="true" strokeweight="2.240563pt" strokecolor="#497dba">
            <w10:wrap type="none"/>
          </v:line>
        </w:pict>
      </w:r>
      <w:r>
        <w:rPr/>
        <w:pict>
          <v:line style="position:absolute;mso-position-horizontal-relative:page;mso-position-vertical-relative:paragraph;z-index:-562336" from="164.905853pt,8.201391pt" to="188.998703pt,8.201391pt" stroked="true" strokeweight="2.240563pt" strokecolor="#bd4a47">
            <v:stroke dashstyle="longDash"/>
            <w10:wrap type="none"/>
          </v:line>
        </w:pict>
      </w:r>
      <w:r>
        <w:rPr/>
        <w:pict>
          <v:group style="position:absolute;margin-left:325.915619pt;margin-top:-113.912849pt;width:186.45pt;height:94.9pt;mso-position-horizontal-relative:page;mso-position-vertical-relative:paragraph;z-index:-562312" coordorigin="6518,-2278" coordsize="3729,1898">
            <v:shape style="position:absolute;left:683;top:8065;width:3451;height:1891" coordorigin="683,8065" coordsize="3451,1891" path="m6861,-389l6861,-2271m6801,-389l6861,-389m6801,-762l6861,-762m6801,-1150l6861,-1150m6801,-1524l6861,-1524m6801,-1897l6861,-1897m6801,-2271l6861,-2271m6861,-1150l10239,-1150m6921,-1150l6921,-1106m7010,-1150l7010,-1106m7115,-1150l7115,-1106m7220,-1150l7220,-1106m7309,-1150l7309,-1106m7414,-1150l7414,-1106m7519,-1150l7519,-1106m7608,-1150l7608,-1106m7713,-1150l7713,-1106m7803,-1150l7803,-1106m7907,-1150l7907,-1106m8012,-1150l8012,-1106m8102,-1150l8102,-1106m8206,-1150l8206,-1106m8311,-1150l8311,-1106m8401,-1150l8401,-1106m8505,-1150l8505,-1106m8595,-1150l8595,-1106m8700,-1150l8700,-1106m8804,-1150l8804,-1106m8894,-1150l8894,-1106m8999,-1150l8999,-1106m9103,-1150l9103,-1106m9193,-1150l9193,-1106m9298,-1150l9298,-1106m9402,-1150l9402,-1106m9492,-1150l9492,-1106m9597,-1150l9597,-1106m9686,-1150l9686,-1106m9791,-1150l9791,-1106m9896,-1150l9896,-1106m9985,-1150l9985,-1106m10090,-1150l10090,-1106m10195,-1150l10195,-1106m10239,-1150l10239,-1106m6861,-1150l6861,-1091m6966,-1150l6966,-1091m7070,-1150l7070,-1091m7160,-1150l7160,-1091m7265,-1150l7265,-1091m7369,-1150l7369,-1091m7459,-1150l7459,-1091m7564,-1150l7564,-1091m7668,-1150l7668,-1091m7758,-1150l7758,-1091m7863,-1150l7863,-1091m7952,-1150l7952,-1091m8057,-1150l8057,-1091m8161,-1150l8161,-1091m8251,-1150l8251,-1091m8356,-1150l8356,-1091m8460,-1150l8460,-1091m8550,-1150l8550,-1091m8655,-1150l8655,-1091m8745,-1150l8745,-1091m8849,-1150l8849,-1091m8954,-1150l8954,-1091m9044,-1150l9044,-1091m9148,-1150l9148,-1091m9253,-1150l9253,-1091m9343,-1150l9343,-1091m9447,-1150l9447,-1091m9537,-1150l9537,-1091m9641,-1150l9641,-1091m9746,-1150l9746,-1091m9836,-1150l9836,-1091m9940,-1150l9940,-1091m10045,-1150l10045,-1091m10135,-1150l10135,-1091m10239,-1150l10239,-1091e" filled="false" stroked="true" strokeweight=".747141pt" strokecolor="#858585">
              <v:path arrowok="t"/>
            </v:shape>
            <v:shape style="position:absolute;left:6921;top:-1917;width:3274;height:1227" coordorigin="6921,-1917" coordsize="3274,1227" path="m6921,-1053l6946,-1114,6970,-1180,6995,-1235,7020,-1263,7045,-1249,7070,-1206,7094,-1156,7119,-1125,7144,-1123,7169,-1137,7194,-1151,7218,-1151,7243,-1133,7268,-1102,7293,-1069,7318,-1041,7342,-1017,7367,-995,7392,-978,7417,-967,7442,-969,7466,-980,7491,-991,7516,-993,7590,-949,7640,-882,7665,-831,7690,-784,7714,-758,7739,-755,7764,-767,7814,-827,7863,-949,7888,-1021,7913,-1083,7962,-1181,8012,-1248,8037,-1260,8062,-1260,8086,-1256,8111,-1259,8186,-1301,8235,-1359,8260,-1405,8285,-1444,8310,-1459,8334,-1440,8359,-1399,8384,-1349,8409,-1305,8434,-1271,8458,-1240,8483,-1208,8508,-1174,8533,-1130,8558,-1079,8582,-1036,8607,-1013,8632,-1019,8657,-1046,8682,-1080,8707,-1110,8731,-1130,8756,-1148,8781,-1170,8806,-1205,8830,-1262,8855,-1333,8880,-1405,8905,-1460,8930,-1490,8954,-1505,8979,-1519,9004,-1545,9029,-1592,9054,-1650,9079,-1709,9103,-1761,9128,-1818,9153,-1880,9178,-1917,9217,-1856,9231,-1790,9245,-1707,9259,-1614,9273,-1516,9287,-1420,9302,-1331,9314,-1255,9326,-1172,9339,-1087,9351,-1003,9364,-923,9376,-850,9389,-788,9421,-710,9480,-691,9500,-692,9574,-753,9624,-840,9649,-904,9674,-966,9723,-1048,9773,-1084,9823,-1097,9847,-1095,9872,-1088,9897,-1075,9922,-1051,9946,-1017,9971,-987,9996,-972,10021,-976,10046,-992,10095,-1048,10145,-1136,10170,-1188,10195,-1238e" filled="false" stroked="true" strokeweight="2.240775pt" strokecolor="#497dba">
              <v:path arrowok="t"/>
            </v:shape>
            <v:shape style="position:absolute;left:6921;top:-1537;width:3274;height:851" coordorigin="6921,-1537" coordsize="3274,851" path="m6921,-1358l6946,-1381,6970,-1404,6995,-1426,7020,-1442,7045,-1453,7070,-1459,7094,-1461,7119,-1456,7196,-1410,7238,-1313,7258,-1231,7278,-1143,7298,-1064,7318,-1009,7340,-990,7367,-991,7395,-999,7417,-1002,7442,-998,7466,-992,7491,-986,7516,-981,7541,-973,7566,-965,7590,-959,7615,-961,7640,-976,7665,-998,7690,-1022,7714,-1041,7739,-1055,7764,-1066,7789,-1073,7814,-1072,7838,-1060,7863,-1037,7888,-1015,7913,-1001,7936,-1007,7962,-1024,7989,-1035,8012,-1021,8037,-956,8062,-860,8086,-764,8111,-702,8136,-686,8161,-696,8210,-747,8260,-814,8285,-856,8310,-897,8334,-940,8359,-986,8384,-1029,8409,-1064,8434,-1087,8458,-1101,8483,-1113,8508,-1129,8533,-1155,8558,-1187,8582,-1215,8607,-1231,8632,-1228,8657,-1212,8682,-1194,8707,-1185,8731,-1192,8756,-1208,8781,-1222,8806,-1226,8830,-1209,8855,-1181,8880,-1154,8905,-1145,8930,-1163,8954,-1199,8979,-1236,9004,-1256,9029,-1249,9054,-1227,9079,-1203,9103,-1192,9128,-1200,9153,-1219,9178,-1240,9202,-1253,9227,-1255,9252,-1250,9277,-1244,9302,-1241,9326,-1245,9351,-1252,9376,-1259,9401,-1263,9426,-1265,9450,-1264,9475,-1263,9500,-1263,9524,-1261,9550,-1257,9575,-1259,9599,-1278,9624,-1338,9649,-1425,9674,-1504,9698,-1537,9723,-1499,9748,-1416,9773,-1325,9798,-1265,9822,-1250,9847,-1257,9873,-1269,9897,-1272,9971,-1219,10021,-1171,10046,-1142,10071,-1115,10095,-1096,10120,-1090,10145,-1092,10170,-1096,10195,-1100e" filled="false" stroked="true" strokeweight="2.240672pt" strokecolor="#bd4a47">
              <v:path arrowok="t"/>
              <v:stroke dashstyle="longDash"/>
            </v:shape>
            <v:shape style="position:absolute;left:6518;top:-1017;width:3616;height:449" coordorigin="6518,-1017" coordsize="3616,449" path="m6627,-613l6618,-633,6616,-631,6617,-629,6617,-627,6616,-623,6615,-619,6612,-617,6610,-613,6585,-589,6586,-593,6585,-605,6584,-639,6582,-649,6579,-659,6577,-664,6574,-668,6564,-678,6557,-680,6541,-680,6534,-676,6522,-664,6519,-659,6518,-643,6521,-635,6527,-627,6529,-629,6527,-635,6526,-641,6527,-651,6529,-655,6537,-662,6543,-664,6555,-664,6560,-662,6572,-651,6576,-641,6578,-629,6580,-617,6580,-605,6580,-589,6580,-571,6582,-569,6603,-589,6627,-613m6681,-678l6680,-686,6673,-703,6673,-672,6673,-664,6672,-662,6665,-657,6659,-655,6642,-662,6632,-670,6622,-680,6615,-686,6609,-694,6597,-710,6594,-716,6594,-726,6595,-730,6599,-734,6602,-736,6614,-736,6627,-728,6635,-722,6656,-702,6664,-692,6672,-678,6673,-672,6673,-703,6673,-704,6667,-712,6658,-722,6648,-730,6638,-736,6628,-742,6618,-744,6608,-744,6599,-742,6590,-732,6588,-728,6585,-714,6587,-706,6594,-688,6600,-680,6609,-670,6619,-661,6630,-655,6655,-647,6666,-649,6671,-655,6677,-661,6679,-664,6681,-678m6745,-742l6744,-750,6737,-766,6737,-736,6736,-728,6735,-726,6729,-718,6723,-718,6706,-726,6696,-734,6685,-744,6678,-750,6672,-758,6661,-774,6658,-780,6657,-790,6658,-794,6663,-798,6665,-800,6672,-800,6677,-798,6690,-792,6699,-786,6719,-764,6728,-754,6736,-740,6737,-736,6737,-766,6736,-768,6730,-776,6721,-786,6711,-794,6702,-800,6692,-804,6682,-806,6671,-808,6663,-806,6653,-796,6651,-792,6649,-778,6650,-770,6657,-752,6664,-742,6672,-734,6683,-724,6694,-718,6719,-710,6729,-712,6736,-718,6740,-722,6743,-728,6745,-742m6804,-794l6803,-816,6799,-822,6788,-834,6785,-836,6783,-838,6771,-840,6765,-838,6758,-836,6759,-848,6758,-854,6757,-858,6748,-866,6744,-868,6738,-870,6731,-870,6724,-868,6713,-856,6710,-850,6709,-838,6710,-832,6713,-824,6716,-824,6714,-836,6715,-844,6725,-852,6729,-854,6739,-854,6743,-852,6750,-846,6752,-842,6754,-834,6754,-830,6752,-820,6750,-816,6747,-814,6749,-812,6754,-816,6757,-818,6766,-822,6777,-822,6785,-820,6788,-818,6795,-810,6797,-806,6798,-794,6796,-788,6790,-784,6789,-782,6786,-780,6783,-780,6776,-778,6774,-776,6772,-776,6771,-774,6769,-772,6768,-770,6768,-768,6769,-766,6771,-764,6773,-762,6780,-764,6784,-768,6800,-782,6804,-794m6933,-878l6933,-878,6927,-872,6920,-868,6905,-866,6896,-866,6885,-870,6891,-880,6893,-892,6889,-917,6884,-927,6883,-928,6883,-878,6880,-870,6866,-856,6858,-854,6848,-854,6839,-856,6830,-860,6821,-866,6812,-874,6803,-884,6797,-894,6793,-901,6791,-911,6790,-919,6794,-927,6800,-935,6805,-939,6810,-941,6822,-945,6828,-943,6844,-937,6853,-931,6875,-909,6881,-899,6883,-878,6883,-928,6874,-937,6865,-945,6856,-949,6845,-953,6834,-955,6824,-953,6814,-951,6805,-947,6797,-939,6790,-931,6785,-921,6782,-911,6781,-901,6782,-890,6786,-880,6791,-870,6799,-862,6806,-854,6813,-850,6829,-844,6837,-842,6846,-844,6851,-844,6858,-846,6866,-850,6881,-850,6899,-854,6907,-858,6921,-866,6933,-878m6962,-947l6960,-949,6956,-945,6953,-943,6948,-943,6943,-947,6895,-995,6873,-1017,6871,-1015,6862,-987,6864,-985,6866,-989,6867,-991,6870,-993,6871,-995,6875,-995,6876,-993,6878,-993,6882,-989,6934,-937,6936,-933,6937,-931,6937,-929,6934,-923,6931,-921,6933,-917,6958,-943,6962,-947m7024,-613l7014,-633,7012,-631,7013,-629,7013,-627,7012,-623,7011,-619,7009,-617,7006,-613,6982,-589,6982,-593,6982,-605,6980,-639,6978,-649,6975,-659,6973,-664,6970,-668,6961,-678,6954,-680,6937,-680,6930,-676,6918,-664,6915,-659,6915,-643,6918,-635,6924,-627,6926,-629,6923,-635,6922,-641,6924,-651,6926,-655,6934,-662,6939,-664,6951,-664,6957,-662,6968,-651,6972,-641,6975,-629,6976,-617,6977,-605,6977,-589,6976,-571,6978,-569,6999,-589,7024,-613m7078,-678l7077,-686,7070,-703,7070,-672,7069,-664,7068,-662,7062,-657,7056,-655,7039,-662,7029,-670,7018,-680,7011,-686,7005,-694,6994,-710,6991,-716,6990,-726,6991,-730,6996,-734,6998,-736,7010,-736,7023,-728,7032,-722,7052,-702,7061,-692,7065,-682,7069,-678,7070,-672,7070,-703,7069,-704,7063,-712,7054,-722,7044,-730,7035,-736,7025,-742,7015,-744,7004,-744,6996,-742,6986,-732,6984,-728,6982,-714,6983,-706,6990,-688,6997,-680,7005,-670,7016,-661,7027,-655,7052,-647,7062,-649,7068,-655,7073,-661,7076,-664,7078,-678m7141,-742l7140,-750,7133,-766,7133,-736,7133,-728,7131,-726,7125,-718,7119,-718,7102,-726,7092,-734,7081,-744,7075,-750,7069,-758,7057,-774,7054,-780,7053,-790,7055,-794,7059,-798,7062,-800,7069,-800,7073,-798,7087,-792,7095,-786,7116,-764,7124,-754,7129,-746,7132,-740,7133,-736,7133,-766,7133,-768,7126,-776,7117,-786,7108,-794,7098,-800,7088,-804,7078,-806,7068,-808,7059,-806,7050,-796,7048,-792,7045,-778,7046,-770,7054,-752,7060,-742,7069,-734,7079,-724,7090,-718,7115,-710,7125,-712,7132,-718,7137,-722,7139,-728,7141,-742m7210,-800l7200,-810,7190,-820,7198,-828,7200,-830,7192,-838,7182,-828,7172,-837,7172,-818,7145,-792,7134,-856,7172,-818,7172,-837,7153,-856,7131,-878,7125,-872,7140,-784,7148,-778,7162,-792,7180,-810,7201,-790,7210,-800m7330,-878l7330,-878,7323,-872,7316,-868,7301,-866,7292,-866,7282,-870,7288,-880,7289,-892,7286,-917,7280,-927,7279,-928,7279,-878,7276,-870,7262,-856,7254,-854,7245,-854,7236,-856,7227,-860,7217,-866,7208,-874,7200,-884,7193,-894,7189,-901,7188,-911,7187,-919,7190,-927,7197,-935,7201,-939,7207,-941,7218,-945,7225,-943,7241,-937,7250,-931,7271,-909,7278,-899,7279,-878,7279,-928,7271,-937,7262,-945,7252,-949,7242,-953,7231,-955,7220,-953,7210,-951,7201,-947,7193,-939,7186,-931,7181,-921,7178,-911,7178,-901,7179,-890,7182,-880,7187,-870,7195,-862,7202,-854,7210,-850,7226,-844,7234,-842,7242,-844,7248,-844,7254,-846,7262,-850,7278,-850,7295,-854,7304,-858,7318,-866,7330,-878m7358,-947l7356,-949,7352,-945,7350,-943,7345,-943,7339,-947,7292,-995,7270,-1017,7268,-1015,7258,-987,7261,-985,7262,-989,7264,-991,7266,-993,7267,-995,7271,-995,7273,-993,7274,-993,7278,-989,7330,-937,7333,-933,7334,-931,7334,-929,7331,-923,7327,-921,7329,-917,7354,-943,7358,-947m7420,-613l7411,-633,7409,-631,7409,-629,7410,-627,7409,-623,7408,-619,7405,-617,7403,-613,7378,-589,7379,-593,7378,-605,7377,-639,7375,-649,7372,-659,7369,-664,7366,-668,7357,-678,7350,-680,7334,-680,7327,-676,7315,-664,7312,-659,7311,-643,7314,-635,7320,-627,7322,-629,7320,-635,7318,-641,7320,-651,7322,-655,7330,-662,7335,-664,7348,-664,7353,-662,7365,-651,7369,-641,7371,-629,7372,-617,7373,-605,7373,-589,7373,-571,7375,-569,7396,-589,7420,-613m7474,-678l7473,-686,7466,-703,7466,-672,7466,-664,7465,-662,7458,-657,7452,-655,7435,-662,7425,-670,7414,-680,7408,-686,7402,-694,7390,-710,7387,-716,7386,-726,7388,-730,7392,-734,7395,-736,7407,-736,7420,-728,7428,-722,7449,-702,7457,-692,7462,-682,7465,-678,7466,-672,7466,-703,7466,-704,7459,-712,7451,-722,7441,-730,7431,-736,7421,-742,7411,-744,7401,-744,7392,-742,7383,-732,7381,-728,7378,-714,7380,-706,7387,-688,7393,-680,7402,-670,7412,-661,7423,-655,7448,-647,7459,-649,7464,-655,7470,-661,7472,-664,7474,-678m7538,-742l7537,-750,7530,-766,7530,-736,7529,-728,7528,-726,7522,-718,7516,-718,7498,-726,7489,-734,7478,-744,7471,-750,7465,-758,7454,-774,7451,-780,7450,-790,7451,-794,7456,-798,7458,-800,7465,-800,7470,-798,7483,-792,7492,-786,7512,-764,7521,-754,7528,-740,7530,-736,7530,-766,7529,-768,7523,-776,7514,-786,7504,-794,7495,-800,7485,-804,7475,-806,7464,-808,7456,-806,7446,-796,7444,-792,7442,-778,7443,-770,7450,-752,7457,-742,7465,-734,7476,-724,7487,-718,7512,-710,7522,-712,7529,-718,7533,-722,7535,-728,7538,-742m7596,-808l7595,-814,7591,-824,7588,-828,7586,-830,7577,-840,7569,-844,7547,-844,7535,-840,7523,-830,7518,-846,7541,-870,7536,-884,7509,-856,7524,-810,7531,-818,7538,-822,7551,-828,7558,-828,7572,-826,7578,-824,7588,-814,7590,-808,7590,-796,7588,-790,7580,-782,7577,-780,7572,-780,7569,-778,7565,-778,7564,-776,7561,-774,7561,-774,7560,-770,7561,-768,7564,-766,7567,-764,7574,-766,7578,-768,7587,-778,7591,-784,7595,-794,7595,-798,7596,-808m7726,-878l7726,-878,7720,-872,7713,-868,7698,-866,7689,-866,7678,-870,7684,-880,7686,-892,7682,-917,7677,-927,7676,-928,7676,-878,7673,-870,7659,-856,7651,-854,7641,-854,7632,-856,7623,-860,7614,-866,7604,-874,7596,-884,7590,-894,7586,-901,7584,-911,7583,-919,7586,-927,7593,-935,7598,-939,7603,-941,7615,-945,7621,-943,7637,-937,7646,-931,7668,-909,7674,-899,7675,-888,7676,-878,7676,-928,7667,-937,7658,-945,7648,-949,7638,-953,7627,-955,7616,-953,7607,-951,7598,-947,7590,-939,7583,-931,7578,-921,7575,-911,7574,-901,7575,-890,7578,-880,7584,-870,7591,-862,7599,-854,7606,-850,7622,-844,7630,-842,7639,-844,7644,-844,7651,-846,7659,-850,7674,-850,7692,-854,7700,-858,7714,-866,7726,-878m7755,-947l7752,-949,7749,-945,7746,-943,7741,-943,7736,-947,7688,-995,7666,-1017,7664,-1015,7655,-987,7657,-985,7659,-989,7660,-991,7662,-993,7664,-995,7668,-995,7669,-993,7671,-993,7675,-989,7727,-937,7729,-933,7730,-931,7730,-929,7727,-923,7724,-921,7726,-917,7751,-943,7755,-947m7817,-613l7807,-633,7805,-631,7806,-629,7806,-627,7805,-623,7804,-619,7802,-617,7799,-613,7775,-589,7775,-593,7775,-605,7773,-639,7771,-649,7768,-659,7766,-664,7763,-668,7754,-678,7747,-680,7730,-680,7723,-676,7711,-664,7708,-659,7708,-643,7711,-635,7717,-627,7719,-629,7716,-635,7715,-641,7717,-651,7719,-655,7727,-662,7732,-664,7744,-664,7750,-662,7761,-651,7765,-641,7768,-629,7769,-617,7770,-605,7770,-589,7769,-571,7771,-569,7792,-589,7817,-613m7871,-678l7870,-686,7863,-703,7863,-672,7862,-664,7861,-662,7855,-657,7849,-655,7832,-662,7822,-670,7811,-680,7804,-686,7798,-694,7787,-710,7784,-716,7783,-726,7784,-730,7789,-734,7791,-736,7803,-736,7816,-728,7825,-722,7845,-702,7854,-692,7861,-678,7863,-672,7863,-703,7862,-704,7856,-712,7847,-722,7837,-730,7828,-736,7818,-742,7808,-744,7797,-744,7789,-742,7779,-732,7777,-728,7775,-714,7776,-706,7783,-688,7790,-680,7798,-670,7809,-661,7820,-655,7845,-647,7855,-649,7861,-655,7866,-661,7868,-664,7871,-678m7934,-742l7933,-750,7926,-766,7926,-736,7926,-728,7924,-726,7918,-718,7912,-718,7895,-726,7885,-734,7874,-744,7868,-750,7862,-758,7850,-774,7847,-780,7846,-790,7848,-794,7852,-798,7855,-800,7862,-800,7866,-798,7880,-792,7888,-786,7909,-764,7917,-754,7925,-740,7926,-736,7926,-766,7926,-768,7919,-776,7910,-786,7901,-794,7891,-800,7881,-804,7871,-806,7861,-808,7852,-806,7843,-796,7840,-792,7838,-778,7839,-770,7847,-752,7853,-742,7862,-734,7872,-724,7883,-718,7908,-710,7918,-712,7925,-718,7929,-722,7932,-728,7934,-742m8000,-800l7997,-820,7993,-828,7993,-828,7993,-796,7991,-792,7985,-786,7982,-784,7973,-784,7968,-786,7957,-790,7952,-794,7945,-800,7941,-806,7937,-812,7938,-816,7939,-820,7941,-824,7943,-826,7949,-832,7955,-834,7970,-830,7976,-826,7989,-814,7992,-808,7993,-796,7993,-828,7988,-834,7980,-842,7973,-846,7957,-846,7950,-844,7939,-832,7936,-826,7934,-816,7930,-822,7924,-840,7923,-846,7923,-860,7924,-864,7927,-874,7930,-878,7935,-884,7933,-886,7925,-880,7922,-874,7916,-862,7914,-854,7913,-834,7915,-824,7922,-806,7927,-798,7934,-790,7942,-784,7951,-778,7961,-776,7978,-776,7984,-778,7990,-784,7997,-792,8000,-800m8123,-878l8123,-878,8116,-872,8109,-868,8094,-866,8085,-866,8075,-870,8080,-880,8082,-892,8079,-917,8073,-927,8072,-928,8072,-878,8069,-870,8055,-856,8047,-854,8038,-854,8029,-856,8020,-860,8010,-866,8001,-874,7993,-884,7986,-894,7982,-901,7981,-911,7980,-919,7983,-927,7990,-935,7994,-939,7999,-941,8011,-945,8018,-943,8034,-937,8043,-931,8064,-909,8070,-899,8072,-878,8072,-928,8064,-937,8055,-945,8045,-949,8035,-953,8024,-955,8013,-953,8003,-951,7994,-947,7986,-939,7979,-931,7974,-921,7971,-911,7970,-901,7972,-890,7975,-880,7980,-870,7988,-862,7995,-854,8003,-850,8019,-844,8027,-842,8035,-844,8041,-844,8047,-846,8055,-850,8071,-850,8088,-854,8097,-858,8111,-866,8123,-878m8151,-947l8149,-949,8145,-945,8143,-943,8136,-943,8135,-945,8132,-947,8128,-951,8084,-995,8063,-1017,8061,-1015,8051,-987,8054,-985,8055,-989,8057,-991,8059,-993,8060,-995,8064,-995,8065,-993,8067,-993,8071,-989,8123,-937,8126,-933,8126,-933,8126,-931,8126,-929,8126,-929,8126,-927,8124,-923,8120,-921,8122,-917,8147,-943,8151,-947m8213,-613l8204,-633,8202,-631,8202,-629,8203,-627,8202,-623,8201,-619,8200,-617,8198,-617,8195,-613,8171,-589,8172,-593,8170,-639,8168,-649,8165,-659,8162,-664,8159,-668,8156,-672,8150,-678,8143,-680,8127,-680,8120,-676,8113,-670,8108,-664,8105,-659,8104,-643,8107,-635,8113,-627,8115,-629,8112,-635,8111,-641,8113,-651,8115,-655,8123,-662,8128,-664,8141,-664,8146,-662,8151,-657,8157,-651,8162,-641,8164,-629,8165,-617,8166,-603,8166,-589,8166,-571,8168,-569,8188,-589,8213,-613m8267,-678l8266,-686,8262,-694,8259,-702,8259,-672,8259,-664,8257,-662,8255,-661,8251,-657,8245,-655,8237,-659,8228,-662,8218,-670,8207,-680,8201,-686,8195,-694,8189,-702,8183,-710,8180,-716,8180,-722,8180,-726,8181,-730,8185,-734,8188,-736,8199,-736,8205,-732,8213,-728,8221,-722,8230,-714,8242,-702,8250,-692,8258,-678,8259,-672,8259,-702,8259,-704,8252,-712,8243,-722,8234,-730,8224,-736,8214,-742,8204,-744,8194,-744,8185,-742,8180,-736,8176,-732,8174,-728,8173,-722,8171,-714,8173,-706,8176,-698,8180,-688,8186,-680,8195,-670,8205,-661,8216,-655,8228,-651,8241,-647,8251,-649,8257,-655,8259,-657,8262,-661,8265,-664,8266,-672,8267,-678m8331,-742l8329,-750,8323,-767,8323,-736,8322,-728,8321,-726,8315,-718,8308,-718,8301,-722,8291,-726,8281,-734,8271,-744,8264,-750,8258,-758,8247,-774,8243,-780,8243,-786,8243,-790,8244,-794,8249,-798,8251,-800,8258,-800,8263,-798,8269,-796,8276,-792,8285,-786,8293,-776,8305,-764,8313,-754,8321,-740,8323,-736,8323,-767,8322,-768,8316,-776,8307,-786,8297,-794,8288,-800,8278,-804,8268,-806,8257,-808,8249,-806,8243,-800,8239,-796,8237,-792,8236,-786,8235,-778,8236,-770,8240,-760,8243,-752,8249,-742,8258,-734,8269,-724,8279,-718,8291,-714,8304,-710,8315,-712,8320,-718,8322,-720,8326,-722,8328,-728,8331,-742m8384,-782l8342,-868,8334,-884,8332,-886,8290,-844,8301,-818,8303,-820,8302,-826,8301,-830,8303,-836,8304,-838,8306,-842,8311,-846,8332,-868,8378,-774,8384,-782m8519,-878l8519,-878,8513,-872,8506,-868,8491,-866,8481,-866,8471,-870,8477,-880,8479,-892,8477,-903,8475,-917,8470,-927,8469,-928,8469,-878,8466,-870,8459,-862,8452,-856,8444,-854,8434,-854,8425,-856,8416,-860,8407,-866,8397,-874,8389,-884,8383,-894,8379,-901,8377,-911,8376,-919,8379,-927,8386,-935,8391,-939,8396,-941,8402,-943,8408,-945,8414,-943,8430,-937,8439,-931,8449,-921,8461,-909,8467,-899,8469,-878,8469,-928,8460,-937,8451,-945,8441,-949,8431,-953,8420,-955,8409,-953,8399,-951,8391,-947,8383,-939,8376,-931,8371,-921,8368,-911,8367,-901,8368,-890,8371,-880,8377,-870,8384,-862,8392,-854,8399,-850,8407,-846,8415,-844,8423,-842,8431,-844,8437,-844,8444,-846,8451,-850,8467,-850,8485,-854,8493,-858,8501,-862,8507,-866,8519,-878m8547,-947l8545,-949,8542,-945,8539,-943,8533,-943,8531,-945,8529,-947,8524,-951,8481,-995,8459,-1017,8457,-1015,8448,-987,8450,-985,8452,-989,8453,-991,8455,-993,8457,-995,8461,-995,8462,-993,8464,-993,8468,-989,8515,-941,8520,-937,8523,-931,8523,-929,8522,-927,8520,-923,8516,-921,8519,-917,8544,-943,8547,-947m8610,-613l8600,-633,8598,-631,8599,-629,8599,-627,8597,-619,8595,-617,8592,-613,8568,-589,8568,-605,8567,-625,8566,-639,8564,-649,8559,-664,8556,-668,8552,-672,8547,-678,8540,-680,8523,-680,8516,-676,8510,-670,8504,-664,8501,-659,8501,-643,8504,-635,8510,-627,8512,-629,8509,-635,8508,-641,8510,-651,8512,-655,8520,-662,8525,-664,8537,-664,8543,-662,8547,-657,8554,-651,8558,-641,8561,-629,8562,-617,8563,-605,8563,-589,8562,-571,8564,-569,8585,-589,8610,-613m8664,-678l8662,-686,8656,-703,8656,-672,8655,-664,8654,-662,8652,-661,8648,-657,8642,-655,8634,-659,8624,-662,8614,-670,8604,-680,8597,-686,8591,-694,8580,-710,8577,-716,8576,-722,8576,-726,8577,-730,8582,-734,8584,-736,8596,-736,8602,-732,8609,-728,8618,-722,8626,-714,8638,-702,8647,-692,8654,-678,8656,-672,8656,-703,8655,-704,8649,-712,8640,-722,8630,-730,8621,-736,8611,-742,8601,-744,8590,-744,8582,-742,8576,-736,8572,-732,8570,-728,8569,-722,8568,-714,8569,-706,8573,-698,8576,-688,8583,-680,8591,-670,8602,-661,8612,-655,8624,-651,8638,-647,8648,-649,8653,-655,8655,-657,8659,-661,8661,-664,8664,-678m8727,-742l8726,-750,8722,-758,8719,-766,8719,-736,8718,-728,8717,-726,8711,-718,8705,-718,8688,-726,8678,-734,8667,-744,8661,-750,8655,-758,8643,-774,8640,-780,8640,-786,8639,-790,8641,-794,8648,-800,8654,-800,8659,-798,8673,-792,8681,-786,8690,-776,8702,-764,8710,-754,8718,-740,8719,-736,8719,-766,8719,-768,8712,-776,8703,-786,8694,-794,8684,-800,8674,-804,8664,-806,8653,-808,8645,-806,8639,-800,8636,-796,8633,-792,8633,-786,8631,-778,8632,-770,8636,-760,8640,-752,8646,-742,8655,-734,8665,-724,8676,-718,8701,-710,8711,-712,8717,-718,8719,-720,8722,-722,8725,-728,8727,-742m8793,-814l8791,-820,8787,-824,8787,-806,8786,-796,8784,-792,8776,-784,8771,-782,8760,-782,8755,-784,8746,-792,8744,-796,8742,-802,8740,-806,8740,-810,8740,-816,8740,-818,8755,-818,8766,-820,8776,-818,8779,-816,8782,-812,8785,-810,8787,-806,8787,-824,8785,-826,8781,-830,8775,-832,8769,-834,8755,-834,8743,-832,8746,-842,8746,-850,8746,-856,8745,-860,8743,-864,8741,-866,8740,-868,8739,-869,8739,-838,8738,-832,8721,-830,8714,-830,8708,-832,8706,-834,8701,-838,8700,-842,8700,-852,8702,-856,8706,-860,8710,-864,8714,-866,8723,-866,8727,-864,8734,-858,8736,-854,8739,-846,8739,-838,8739,-869,8735,-872,8730,-874,8715,-872,8709,-870,8696,-858,8693,-850,8692,-836,8695,-828,8700,-824,8703,-820,8707,-818,8716,-816,8736,-816,8734,-808,8734,-800,8736,-788,8738,-784,8746,-776,8752,-774,8767,-772,8775,-776,8781,-782,8782,-784,8789,-790,8793,-798,8793,-804,8793,-808,8793,-814m8916,-878l8915,-878,8909,-872,8902,-868,8887,-866,8878,-866,8868,-870,8873,-880,8875,-892,8872,-917,8866,-927,8865,-928,8865,-878,8862,-870,8855,-862,8848,-856,8840,-854,8831,-854,8822,-856,8812,-860,8803,-866,8794,-874,8785,-884,8779,-894,8775,-901,8773,-911,8773,-919,8776,-927,8783,-935,8787,-939,8792,-941,8798,-943,8804,-945,8811,-943,8827,-937,8836,-931,8857,-909,8863,-899,8864,-888,8865,-878,8865,-928,8857,-937,8848,-945,8838,-949,8828,-953,8817,-955,8806,-953,8796,-951,8787,-947,8779,-939,8772,-931,8767,-921,8764,-911,8763,-901,8765,-890,8768,-880,8773,-870,8781,-862,8788,-854,8796,-850,8804,-846,8812,-844,8820,-842,8828,-844,8834,-844,8840,-846,8848,-850,8864,-850,8881,-854,8889,-858,8897,-862,8903,-866,8916,-878m8944,-947l8942,-949,8938,-945,8936,-943,8931,-943,8928,-945,8925,-947,8921,-951,8877,-995,8856,-1017,8854,-1015,8844,-987,8847,-985,8848,-989,8851,-993,8852,-993,8853,-995,8857,-995,8858,-993,8860,-993,8864,-989,8916,-937,8919,-933,8919,-933,8920,-931,8920,-929,8919,-929,8919,-927,8916,-923,8913,-921,8915,-917,8940,-943,8944,-947m9006,-613l8997,-633,8995,-631,8995,-629,8996,-627,8994,-619,8991,-617,8989,-613,8984,-609,8964,-589,8964,-609,8963,-625,8963,-639,8961,-649,8957,-659,8955,-664,8952,-668,8948,-672,8943,-678,8936,-680,8920,-680,8913,-676,8906,-670,8900,-664,8897,-659,8897,-643,8900,-635,8906,-627,8908,-629,8905,-635,8904,-641,8906,-651,8908,-655,8916,-662,8921,-664,8934,-664,8939,-662,8944,-657,8950,-651,8955,-641,8957,-629,8958,-617,8959,-605,8959,-589,8959,-571,8961,-569,8981,-589,9006,-613m9060,-678l9059,-686,9055,-694,9052,-703,9052,-672,9052,-664,9050,-662,9044,-657,9038,-655,9021,-662,9011,-670,9000,-680,8994,-686,8988,-694,8976,-710,8973,-716,8973,-722,8972,-726,8974,-730,8981,-736,8992,-736,9006,-728,9014,-722,9023,-714,9035,-702,9043,-692,9051,-678,9052,-672,9052,-703,9052,-704,9045,-712,9036,-722,9027,-730,9017,-736,9007,-742,8997,-744,8987,-744,8978,-742,8972,-736,8969,-732,8966,-728,8966,-722,8964,-714,8965,-706,8969,-698,8973,-688,8979,-680,8988,-670,8998,-661,9009,-655,9034,-647,9044,-649,9050,-655,9052,-657,9056,-661,9058,-664,9060,-678m9124,-742l9122,-750,9119,-758,9116,-766,9116,-736,9115,-732,9115,-728,9114,-726,9112,-722,9108,-718,9102,-718,9094,-722,9084,-726,9074,-734,9064,-744,9057,-750,9051,-758,9040,-774,9037,-780,9036,-786,9036,-790,9037,-794,9044,-800,9051,-800,9056,-798,9061,-796,9069,-792,9077,-786,9086,-776,9098,-764,9106,-754,9114,-740,9116,-736,9116,-766,9115,-768,9109,-776,9100,-786,9090,-794,9080,-800,9071,-804,9061,-806,9050,-808,9042,-806,9036,-800,9032,-796,9030,-792,9029,-786,9028,-778,9029,-770,9033,-760,9036,-752,9043,-742,9051,-734,9061,-724,9072,-718,9097,-710,9108,-712,9113,-718,9115,-720,9119,-722,9121,-728,9124,-742m9176,-802l9176,-814,9171,-830,9169,-836,9163,-848,9155,-856,9152,-859,9152,-836,9152,-832,9151,-828,9149,-826,9148,-822,9146,-820,9144,-818,9141,-814,9136,-812,9122,-814,9114,-820,9100,-834,9097,-838,9097,-844,9096,-850,9098,-854,9104,-860,9108,-862,9117,-862,9122,-860,9127,-858,9133,-854,9137,-852,9141,-848,9144,-844,9148,-840,9152,-836,9152,-859,9149,-862,9145,-866,9135,-870,9123,-872,9113,-872,9105,-870,9091,-856,9088,-846,9090,-836,9091,-826,9095,-818,9109,-804,9116,-800,9133,-800,9139,-802,9150,-812,9153,-820,9155,-830,9160,-822,9164,-812,9166,-796,9167,-786,9165,-780,9162,-772,9159,-768,9154,-762,9156,-760,9160,-764,9167,-770,9171,-780,9173,-790,9176,-802m9312,-878l9312,-878,9306,-872,9299,-868,9291,-868,9284,-866,9275,-866,9264,-870,9270,-880,9272,-892,9268,-917,9262,-927,9262,-928,9262,-878,9259,-870,9251,-862,9245,-856,9236,-854,9227,-854,9218,-856,9209,-860,9200,-866,9190,-874,9182,-884,9176,-894,9172,-901,9170,-911,9169,-919,9172,-927,9179,-935,9184,-939,9189,-941,9201,-945,9207,-943,9223,-937,9232,-931,9253,-909,9260,-899,9262,-878,9262,-928,9253,-937,9244,-945,9234,-949,9224,-953,9213,-955,9202,-953,9193,-951,9184,-947,9175,-939,9169,-931,9164,-921,9161,-911,9160,-901,9161,-890,9164,-880,9170,-870,9177,-862,9185,-854,9192,-850,9208,-844,9216,-842,9225,-844,9230,-844,9237,-846,9244,-850,9260,-850,9278,-854,9286,-858,9294,-862,9300,-866,9312,-878m9341,-947l9338,-949,9335,-945,9332,-943,9327,-943,9324,-945,9321,-947,9317,-951,9274,-995,9252,-1017,9250,-1015,9241,-987,9243,-985,9245,-989,9246,-991,9248,-993,9249,-995,9253,-995,9255,-993,9257,-993,9261,-989,9312,-937,9315,-933,9315,-933,9316,-931,9316,-929,9315,-929,9315,-927,9313,-923,9309,-921,9311,-917,9337,-943,9341,-947m9403,-613l9393,-633,9391,-631,9392,-629,9392,-627,9390,-619,9388,-617,9385,-613,9381,-609,9361,-589,9361,-593,9359,-639,9357,-649,9354,-659,9352,-664,9349,-668,9345,-672,9340,-678,9333,-680,9316,-680,9309,-676,9303,-670,9297,-664,9294,-659,9294,-643,9296,-635,9303,-627,9305,-629,9302,-635,9301,-641,9302,-651,9305,-655,9313,-662,9318,-664,9330,-664,9336,-662,9341,-657,9347,-651,9351,-641,9353,-629,9355,-617,9355,-605,9356,-589,9355,-571,9357,-569,9378,-589,9403,-613m9457,-678l9456,-686,9452,-694,9449,-703,9449,-672,9448,-668,9448,-664,9447,-662,9445,-661,9441,-657,9435,-655,9427,-659,9417,-662,9407,-670,9397,-680,9390,-686,9384,-694,9373,-710,9370,-716,9369,-722,9369,-726,9370,-730,9377,-736,9389,-736,9395,-732,9402,-728,9410,-722,9419,-714,9431,-702,9439,-692,9447,-678,9449,-672,9449,-703,9448,-704,9442,-712,9433,-722,9423,-730,9413,-736,9404,-742,9394,-744,9383,-744,9375,-742,9369,-736,9365,-732,9363,-728,9362,-722,9361,-714,9362,-706,9366,-698,9369,-688,9376,-680,9384,-670,9395,-661,9405,-655,9430,-647,9441,-649,9446,-655,9448,-657,9452,-661,9454,-664,9457,-678m9525,-736l9523,-738,9520,-734,9517,-732,9509,-732,9507,-736,9502,-740,9457,-784,9437,-804,9435,-804,9426,-776,9428,-774,9430,-778,9431,-780,9433,-782,9435,-784,9438,-784,9442,-782,9446,-778,9497,-726,9500,-722,9501,-722,9501,-720,9501,-718,9501,-716,9500,-716,9498,-712,9494,-708,9497,-706,9522,-732,9525,-736m9583,-806l9582,-814,9579,-822,9576,-830,9576,-800,9575,-792,9574,-788,9572,-786,9567,-782,9561,-782,9554,-786,9544,-790,9534,-796,9524,-808,9517,-814,9511,-822,9505,-830,9500,-836,9496,-844,9496,-850,9496,-854,9497,-858,9502,-862,9504,-864,9511,-864,9516,-862,9521,-860,9529,-856,9537,-850,9546,-840,9558,-828,9566,-818,9571,-810,9574,-804,9576,-800,9576,-830,9575,-832,9569,-840,9560,-848,9550,-858,9540,-864,9531,-868,9521,-870,9510,-872,9502,-870,9496,-864,9492,-860,9490,-856,9489,-850,9488,-842,9489,-834,9492,-824,9496,-816,9502,-806,9511,-798,9521,-788,9532,-780,9544,-778,9557,-774,9568,-776,9575,-782,9579,-786,9581,-792,9582,-798,9583,-806m9709,-878l9708,-878,9702,-872,9695,-868,9680,-866,9671,-866,9660,-870,9666,-880,9668,-892,9666,-903,9665,-917,9659,-927,9658,-928,9658,-878,9655,-870,9648,-862,9641,-856,9633,-854,9624,-854,9615,-856,9605,-860,9596,-866,9587,-874,9578,-884,9572,-894,9568,-901,9566,-911,9566,-919,9569,-927,9576,-935,9580,-939,9585,-941,9597,-945,9603,-943,9611,-941,9620,-937,9629,-931,9650,-909,9656,-899,9658,-878,9658,-928,9649,-937,9640,-945,9631,-949,9621,-953,9610,-955,9599,-953,9589,-951,9580,-947,9572,-939,9565,-931,9560,-921,9557,-911,9556,-901,9558,-890,9561,-880,9566,-870,9574,-862,9581,-854,9589,-850,9605,-844,9613,-842,9621,-844,9627,-844,9633,-846,9641,-850,9657,-850,9674,-854,9682,-858,9690,-862,9697,-866,9709,-878m9737,-947l9735,-949,9731,-945,9729,-943,9724,-943,9718,-947,9714,-951,9670,-995,9649,-1017,9647,-1015,9637,-987,9640,-985,9641,-989,9642,-991,9645,-993,9646,-995,9650,-995,9651,-993,9653,-993,9657,-989,9709,-937,9711,-933,9712,-933,9712,-931,9712,-929,9712,-929,9711,-927,9709,-923,9706,-921,9708,-917,9733,-943,9737,-947m9799,-613l9790,-633,9788,-631,9788,-629,9788,-627,9787,-619,9785,-617,9784,-617,9781,-613,9777,-609,9757,-589,9757,-593,9756,-639,9754,-649,9750,-659,9748,-664,9745,-668,9741,-672,9736,-678,9729,-680,9713,-680,9705,-676,9694,-664,9690,-659,9690,-649,9690,-643,9693,-635,9699,-627,9701,-629,9698,-635,9697,-641,9699,-651,9701,-655,9705,-659,9709,-662,9714,-664,9727,-664,9732,-662,9737,-657,9743,-651,9748,-641,9750,-629,9751,-617,9752,-605,9752,-589,9752,-571,9754,-569,9774,-589,9799,-613m9853,-678l9852,-686,9848,-694,9845,-703,9845,-672,9845,-668,9845,-664,9843,-662,9841,-661,9837,-657,9831,-655,9823,-659,9814,-662,9804,-670,9793,-680,9787,-686,9781,-694,9769,-710,9766,-716,9766,-722,9765,-726,9766,-730,9774,-736,9785,-736,9791,-732,9799,-728,9807,-722,9816,-714,9828,-702,9836,-692,9844,-678,9845,-672,9845,-703,9845,-704,9838,-712,9829,-722,9820,-730,9810,-736,9800,-742,9790,-744,9780,-744,9771,-742,9765,-736,9762,-732,9759,-728,9758,-722,9757,-714,9758,-706,9762,-698,9766,-688,9772,-680,9781,-670,9791,-661,9802,-655,9827,-647,9837,-649,9843,-655,9845,-657,9848,-661,9851,-664,9853,-678m9922,-736l9920,-738,9916,-734,9914,-732,9906,-732,9903,-736,9899,-740,9854,-784,9834,-804,9832,-804,9822,-776,9825,-774,9826,-778,9827,-780,9830,-782,9831,-784,9835,-784,9836,-782,9838,-782,9842,-778,9889,-730,9894,-726,9898,-720,9898,-718,9896,-716,9894,-712,9891,-708,9893,-706,9918,-732,9922,-736m9985,-800l9983,-802,9980,-798,9977,-796,9969,-796,9966,-800,9962,-804,9917,-848,9897,-868,9895,-866,9886,-838,9888,-838,9890,-842,9891,-844,9893,-846,9894,-848,9897,-848,9898,-846,9900,-846,9902,-844,9906,-842,9911,-836,9953,-794,9957,-790,9960,-786,9960,-786,9961,-784,9961,-782,9960,-780,9960,-778,9958,-776,9954,-772,9956,-770,9981,-796,9985,-800m10105,-878l10105,-878,10099,-872,10092,-868,10077,-866,10067,-866,10057,-870,10063,-880,10065,-892,10063,-903,10061,-917,10055,-927,10055,-928,10055,-878,10051,-870,10044,-862,10038,-856,10030,-854,10020,-854,10011,-856,10002,-860,9993,-866,9983,-874,9975,-884,9969,-894,9965,-901,9963,-911,9962,-919,9965,-927,9972,-935,9977,-939,9982,-941,9993,-945,10000,-943,10016,-937,10025,-931,10046,-909,10053,-899,10055,-878,10055,-928,10046,-937,10037,-945,10027,-949,10017,-953,10006,-955,9995,-953,9985,-951,9977,-947,9969,-939,9962,-931,9957,-921,9954,-911,9953,-901,9954,-890,9957,-880,9963,-870,9970,-862,9978,-854,9993,-846,10009,-842,10017,-844,10023,-844,10030,-846,10037,-850,10053,-850,10071,-854,10079,-858,10093,-866,10105,-878m10133,-947l10131,-949,10128,-945,10125,-943,10120,-943,10114,-947,10110,-951,10067,-995,10045,-1017,10043,-1015,10034,-987,10036,-985,10038,-989,10039,-991,10041,-993,10043,-995,10046,-995,10050,-993,10053,-989,10059,-983,10105,-937,10108,-933,10108,-933,10109,-931,10109,-929,10108,-929,10108,-927,10106,-923,10102,-921,10104,-917,10130,-943,10133,-947e" filled="true" fillcolor="#000000" stroked="false">
              <v:path arrowok="t"/>
              <v:fill type="solid"/>
            </v:shape>
            <w10:wrap type="none"/>
          </v:group>
        </w:pict>
      </w:r>
      <w:r>
        <w:rPr/>
        <w:pict>
          <v:line style="position:absolute;mso-position-horizontal-relative:page;mso-position-vertical-relative:paragraph;z-index:-562288" from="325.109406pt,8.201391pt" to="350.52194pt,8.201391pt" stroked="true" strokeweight="2.240563pt" strokecolor="#497dba">
            <w10:wrap type="none"/>
          </v:line>
        </w:pict>
      </w:r>
      <w:r>
        <w:rPr/>
        <w:pict>
          <v:line style="position:absolute;mso-position-horizontal-relative:page;mso-position-vertical-relative:paragraph;z-index:-562264" from="375.187042pt,8.201391pt" to="400.599577pt,8.201391pt" stroked="true" strokeweight="2.240563pt" strokecolor="#bd4a47">
            <v:stroke dashstyle="longDash"/>
            <w10:wrap type="none"/>
          </v:line>
        </w:pict>
      </w:r>
      <w:r>
        <w:rPr>
          <w:rFonts w:ascii="Constantia" w:hAnsi="Constantia"/>
          <w:sz w:val="15"/>
        </w:rPr>
        <w:t>Pgas</w:t>
        <w:tab/>
        <w:t>Administ.</w:t>
      </w:r>
      <w:r>
        <w:rPr>
          <w:rFonts w:ascii="Constantia" w:hAnsi="Constantia"/>
          <w:spacing w:val="-21"/>
          <w:sz w:val="15"/>
        </w:rPr>
        <w:t> </w:t>
      </w:r>
      <w:r>
        <w:rPr>
          <w:rFonts w:ascii="Constantia" w:hAnsi="Constantia"/>
          <w:sz w:val="15"/>
        </w:rPr>
        <w:t>Ing.</w:t>
      </w:r>
      <w:r>
        <w:rPr>
          <w:rFonts w:ascii="Constantia" w:hAnsi="Constantia"/>
          <w:spacing w:val="-21"/>
          <w:sz w:val="15"/>
        </w:rPr>
        <w:t> </w:t>
      </w:r>
      <w:r>
        <w:rPr>
          <w:rFonts w:ascii="Constantia" w:hAnsi="Constantia"/>
          <w:sz w:val="15"/>
        </w:rPr>
        <w:t>Fisc.</w:t>
      </w:r>
      <w:r>
        <w:rPr>
          <w:rFonts w:ascii="Constantia" w:hAnsi="Constantia"/>
          <w:spacing w:val="-28"/>
          <w:sz w:val="15"/>
        </w:rPr>
        <w:t> </w:t>
      </w:r>
      <w:r>
        <w:rPr>
          <w:rFonts w:ascii="Constantia" w:hAnsi="Constantia"/>
          <w:sz w:val="15"/>
        </w:rPr>
        <w:t>Gasíferos</w:t>
        <w:tab/>
        <w:t>Pgas</w:t>
        <w:tab/>
      </w:r>
      <w:r>
        <w:rPr>
          <w:rFonts w:ascii="Constantia" w:hAnsi="Constantia"/>
          <w:spacing w:val="2"/>
          <w:sz w:val="15"/>
        </w:rPr>
        <w:t>Administ. </w:t>
      </w:r>
      <w:r>
        <w:rPr>
          <w:rFonts w:ascii="Constantia" w:hAnsi="Constantia"/>
          <w:sz w:val="15"/>
        </w:rPr>
        <w:t>Ing. Fisc. </w:t>
      </w:r>
      <w:r>
        <w:rPr>
          <w:rFonts w:ascii="Constantia" w:hAnsi="Constantia"/>
          <w:spacing w:val="3"/>
          <w:sz w:val="15"/>
        </w:rPr>
        <w:t>No</w:t>
      </w:r>
      <w:r>
        <w:rPr>
          <w:rFonts w:ascii="Constantia" w:hAnsi="Constantia"/>
          <w:spacing w:val="-29"/>
          <w:sz w:val="15"/>
        </w:rPr>
        <w:t> </w:t>
      </w:r>
      <w:r>
        <w:rPr>
          <w:rFonts w:ascii="Constantia" w:hAnsi="Constantia"/>
          <w:sz w:val="15"/>
        </w:rPr>
        <w:t>Gasíferos</w:t>
      </w:r>
    </w:p>
    <w:p>
      <w:pPr>
        <w:pStyle w:val="BodyText"/>
        <w:spacing w:before="10"/>
        <w:rPr>
          <w:rFonts w:ascii="Constantia"/>
          <w:sz w:val="14"/>
        </w:rPr>
      </w:pPr>
    </w:p>
    <w:p>
      <w:pPr>
        <w:spacing w:after="0"/>
        <w:rPr>
          <w:rFonts w:ascii="Constantia"/>
          <w:sz w:val="14"/>
        </w:rPr>
        <w:sectPr>
          <w:type w:val="continuous"/>
          <w:pgSz w:w="12250" w:h="15850"/>
          <w:pgMar w:top="1500" w:bottom="280" w:left="1600" w:right="1600"/>
        </w:sectPr>
      </w:pPr>
    </w:p>
    <w:p>
      <w:pPr>
        <w:pStyle w:val="Heading4"/>
        <w:spacing w:line="244" w:lineRule="auto" w:before="52"/>
        <w:ind w:left="1147" w:right="-14" w:firstLine="158"/>
        <w:rPr>
          <w:rFonts w:ascii="Constantia"/>
        </w:rPr>
      </w:pPr>
      <w:r>
        <w:rPr/>
        <w:pict>
          <v:group style="position:absolute;margin-left:325.313385pt;margin-top:40.637100pt;width:163.85pt;height:94.9pt;mso-position-horizontal-relative:page;mso-position-vertical-relative:paragraph;z-index:-562168" coordorigin="6506,813" coordsize="3277,1898">
            <v:shape style="position:absolute;left:683;top:7631;width:2986;height:1891" coordorigin="683,7631" coordsize="2986,1891" path="m9701,2702l9701,820m9701,2702l9776,2702m9701,2224l9776,2224m9701,1761l9776,1761m9701,1283l9776,1283m9701,820l9776,820m6861,2702l6861,820m6801,2702l6861,2702m6801,2329l6861,2329m6801,1941l6861,1941m6801,1567l6861,1567m6801,1194l6861,1194m6801,820l6861,820m6861,1941l9701,1941m6906,1941l6906,1985m6995,1941l6995,1985m7070,1941l7070,1985m7160,1941l7160,1985m7235,1941l7235,1985m7324,1941l7324,1985m7414,1941l7414,1985m7489,1941l7489,1985m7578,1941l7578,1985m7653,1941l7653,1985m7743,1941l7743,1985m7832,1941l7832,1985m7907,1941l7907,1985m7997,1941l7997,1985m8072,1941l8072,1985m8161,1941l8161,1985m8236,1941l8236,1985m8326,1941l8326,1985m8415,1941l8415,1985m8490,1941l8490,1985m8580,1941l8580,1985m8655,1941l8655,1985m8744,1941l8744,1985m8834,1941l8834,1985m8909,1941l8909,1985m8999,1941l8999,1985m9073,1941l9073,1985m9163,1941l9163,1985m9253,1941l9253,1985m9327,1941l9327,1985m9417,1941l9417,1985m9492,1941l9492,1985m9581,1941l9581,1985m9671,1941l9671,1985m9701,1941l9701,1985m6861,1941l6861,2000m6951,1941l6951,2000m7025,1941l7025,2000m7115,1941l7115,2000m7205,1941l7205,2000m7279,1941l7279,2000m7369,1941l7369,2000m7444,1941l7444,2000m7534,1941l7534,2000m7623,1941l7623,2000m7698,1941l7698,2000m7788,1941l7788,2000m7862,1941l7862,2000m7952,1941l7952,2000m8042,1941l8042,2000m8116,1941l8116,2000m8206,1941l8206,2000m8281,1941l8281,2000m8371,1941l8371,2000m8445,1941l8445,2000m8535,1941l8535,2000m8625,1941l8625,2000m8700,1941l8700,2000m8789,1941l8789,2000m8864,1941l8864,2000m8954,1941l8954,2000m9043,1941l9043,2000m9118,1941l9118,2000m9208,1941l9208,2000m9283,1941l9283,2000m9372,1941l9372,2000m9462,1941l9462,2000m9537,1941l9537,2000m9626,1941l9626,2000m9701,1941l9701,2000e" filled="false" stroked="true" strokeweight=".747116pt" strokecolor="#858585">
              <v:path arrowok="t"/>
            </v:shape>
            <v:shape style="position:absolute;left:6906;top:1174;width:2766;height:1227" coordorigin="6906,1174" coordsize="2766,1227" path="m6906,2039l6927,1978,6948,1912,6969,1857,6990,1829,7010,1842,7031,1886,7052,1935,7073,1967,7094,1968,7115,1955,7136,1941,7157,1940,7178,1959,7199,1989,7220,2023,7241,2051,7262,2074,7283,2096,7304,2114,7325,2125,7346,2123,7367,2112,7388,2101,7409,2099,7471,2143,7513,2210,7534,2261,7555,2308,7576,2335,7596,2336,7618,2323,7660,2265,7702,2143,7723,2071,7744,2009,7786,1911,7828,1844,7848,1831,7869,1832,7890,1836,7911,1833,7974,1790,8016,1732,8037,1686,8058,1648,8079,1632,8100,1651,8121,1693,8142,1743,8163,1787,8184,1820,8205,1852,8226,1884,8247,1918,8267,1962,8288,2013,8309,2056,8330,2079,8351,2072,8372,2046,8393,2012,8414,1981,8435,1961,8456,1944,8477,1921,8498,1887,8519,1830,8540,1758,8561,1687,8582,1631,8602,1602,8624,1586,8645,1572,8665,1546,8686,1499,8707,1441,8728,1382,8749,1330,8770,1273,8791,1211,8812,1174,8845,1235,8857,1301,8869,1384,8881,1477,8893,1575,8905,1671,8917,1760,8927,1837,8938,1919,8948,2005,8959,2089,8969,2169,8980,2242,8990,2304,9017,2380,9068,2401,9084,2400,9147,2339,9189,2252,9210,2188,9231,2126,9273,2045,9336,1999,9357,1994,9378,1997,9399,2004,9420,2017,9441,2041,9462,2075,9482,2105,9504,2120,9524,2116,9545,2100,9587,2044,9629,1956,9650,1903,9671,1853e" filled="false" stroked="true" strokeweight="2.240821pt" strokecolor="#497dba">
              <v:path arrowok="t"/>
            </v:shape>
            <v:shape style="position:absolute;left:6906;top:1042;width:2766;height:1459" coordorigin="6906,1042" coordsize="2766,1459" path="m6906,1921l6927,1957,6948,1995,6969,2030,6990,2058,7010,2082,7031,2103,7052,2115,7073,2112,7115,2065,7157,1969,7174,1897,7191,1805,7207,1707,7224,1618,7241,1555,7307,1517,7325,1516,7346,1521,7367,1533,7388,1542,7409,1537,7429,1505,7450,1455,7471,1408,7492,1386,7513,1403,7534,1443,7555,1488,7576,1519,7597,1530,7618,1532,7639,1528,7660,1520,7681,1506,7702,1485,7723,1464,7744,1452,7762,1460,7786,1477,7809,1488,7828,1476,7844,1421,7861,1339,7878,1246,7895,1161,7911,1100,7929,1070,7953,1050,7977,1042,7995,1048,8016,1086,8037,1145,8058,1213,8079,1278,8100,1338,8121,1398,8142,1459,8163,1524,8184,1594,8205,1668,8226,1742,8247,1809,8267,1874,8288,1938,8330,2026,8351,2032,8372,2016,8393,1994,8414,1981,8435,1983,8456,1993,8477,1999,8498,1992,8519,1958,8540,1907,8561,1860,8582,1840,8603,1865,8624,1918,8645,1973,8665,2002,8686,1986,8707,1944,8728,1904,8749,1894,8770,1935,8791,2007,8812,2080,8833,2125,8854,2129,8875,2110,8896,2084,8917,2066,8938,2060,8959,2057,8980,2057,9001,2057,9022,2058,9084,2070,9150,2103,9182,2186,9196,2267,9210,2357,9224,2437,9238,2491,9252,2500,9262,2469,9273,2408,9283,2327,9294,2233,9304,2135,9315,2043,9325,1964,9353,1866,9402,1820,9420,1803,9462,1731,9504,1643,9524,1580,9545,1505,9566,1439,9587,1405,9608,1414,9629,1453,9650,1504,9671,1548e" filled="false" stroked="true" strokeweight="2.240904pt" strokecolor="#bd4a47">
              <v:path arrowok="t"/>
              <v:stroke dashstyle="longDash"/>
            </v:shape>
            <v:shape style="position:absolute;left:6506;top:2074;width:3120;height:449" coordorigin="6506,2074" coordsize="3120,449" path="m6615,2478l6606,2458,6604,2460,6604,2462,6605,2464,6604,2468,6603,2472,6600,2474,6598,2478,6573,2502,6574,2498,6573,2486,6572,2452,6570,2442,6567,2432,6565,2427,6562,2423,6552,2413,6545,2411,6529,2411,6522,2415,6510,2427,6507,2432,6506,2448,6509,2456,6515,2464,6517,2462,6515,2456,6514,2450,6515,2440,6517,2436,6525,2429,6530,2427,6543,2427,6548,2429,6560,2440,6564,2450,6566,2462,6568,2474,6568,2486,6568,2502,6568,2520,6570,2522,6591,2502,6615,2478m6669,2413l6668,2405,6661,2388,6661,2419,6661,2427,6660,2429,6653,2434,6647,2436,6630,2429,6620,2421,6610,2411,6603,2405,6597,2397,6585,2381,6582,2375,6582,2365,6583,2361,6587,2357,6590,2355,6602,2355,6615,2363,6623,2369,6644,2389,6652,2399,6660,2413,6661,2419,6661,2388,6661,2387,6654,2379,6646,2369,6636,2361,6626,2355,6616,2349,6606,2347,6596,2347,6587,2349,6578,2359,6576,2363,6573,2377,6575,2385,6582,2403,6588,2411,6597,2421,6607,2430,6618,2436,6643,2444,6654,2442,6659,2436,6665,2430,6667,2427,6669,2413m6733,2349l6732,2341,6725,2325,6725,2355,6724,2363,6723,2365,6717,2373,6711,2373,6693,2365,6684,2357,6673,2347,6666,2341,6660,2333,6649,2317,6646,2311,6645,2301,6646,2297,6651,2293,6653,2291,6660,2291,6665,2293,6678,2299,6687,2305,6707,2327,6716,2337,6723,2351,6725,2355,6725,2325,6724,2323,6718,2315,6709,2305,6699,2297,6690,2291,6680,2287,6670,2285,6659,2283,6651,2285,6641,2295,6639,2299,6637,2313,6638,2321,6645,2339,6652,2349,6660,2357,6671,2367,6682,2373,6707,2381,6717,2379,6724,2373,6728,2369,6730,2363,6733,2349m6792,2297l6791,2275,6787,2269,6776,2257,6773,2255,6771,2253,6759,2251,6753,2253,6746,2255,6747,2243,6746,2237,6745,2233,6736,2225,6731,2223,6726,2221,6719,2221,6712,2223,6701,2235,6698,2241,6697,2253,6698,2259,6701,2267,6704,2267,6702,2255,6703,2247,6713,2239,6717,2237,6727,2237,6731,2239,6738,2245,6740,2249,6742,2257,6742,2261,6740,2271,6738,2275,6735,2277,6737,2279,6742,2275,6745,2273,6754,2269,6765,2269,6772,2271,6776,2273,6783,2281,6785,2285,6785,2297,6784,2303,6778,2307,6776,2309,6774,2311,6771,2311,6764,2313,6762,2315,6760,2315,6759,2317,6757,2319,6756,2321,6756,2323,6757,2325,6759,2327,6761,2329,6768,2327,6772,2323,6788,2309,6792,2297m6921,2213l6921,2213,6915,2219,6908,2223,6893,2225,6884,2225,6873,2221,6879,2211,6881,2199,6877,2174,6872,2164,6871,2163,6871,2213,6868,2221,6854,2235,6846,2237,6836,2237,6827,2235,6818,2231,6809,2225,6799,2217,6791,2207,6785,2197,6781,2190,6779,2180,6778,2172,6781,2164,6788,2156,6793,2152,6798,2150,6810,2146,6816,2148,6832,2154,6841,2160,6863,2182,6869,2192,6870,2203,6871,2213,6871,2163,6862,2154,6853,2146,6843,2142,6833,2138,6822,2136,6811,2138,6802,2140,6793,2144,6785,2152,6778,2160,6773,2170,6770,2180,6769,2190,6770,2201,6773,2211,6779,2221,6786,2229,6794,2237,6801,2241,6817,2247,6825,2249,6834,2247,6839,2247,6846,2245,6854,2241,6869,2241,6887,2237,6895,2233,6909,2225,6921,2213m6950,2144l6947,2142,6944,2146,6941,2148,6936,2148,6931,2144,6883,2096,6861,2074,6859,2076,6850,2104,6852,2106,6854,2102,6855,2100,6857,2098,6859,2096,6863,2096,6864,2098,6866,2098,6870,2102,6922,2154,6924,2158,6925,2160,6925,2162,6922,2168,6919,2170,6921,2174,6946,2148,6950,2144m6950,2478l6940,2458,6938,2460,6939,2462,6939,2464,6938,2468,6937,2472,6935,2474,6932,2478,6908,2502,6908,2498,6908,2486,6906,2452,6904,2442,6901,2432,6899,2427,6896,2423,6887,2413,6880,2411,6863,2411,6856,2415,6844,2427,6841,2432,6841,2448,6844,2456,6850,2464,6852,2462,6849,2456,6848,2450,6850,2440,6852,2436,6860,2429,6865,2427,6877,2427,6883,2429,6894,2440,6898,2450,6901,2462,6902,2474,6903,2486,6903,2502,6902,2520,6904,2522,6925,2502,6950,2478m7004,2413l7003,2405,6996,2388,6996,2419,6995,2427,6994,2429,6988,2434,6982,2436,6965,2429,6955,2421,6944,2411,6937,2405,6931,2397,6920,2381,6917,2375,6916,2365,6917,2361,6922,2357,6924,2355,6936,2355,6949,2363,6958,2369,6978,2389,6987,2399,6991,2409,6995,2413,6996,2419,6996,2388,6995,2387,6989,2379,6980,2369,6970,2361,6961,2355,6951,2349,6941,2347,6930,2347,6922,2349,6912,2359,6910,2363,6908,2377,6909,2385,6916,2403,6923,2411,6931,2421,6942,2430,6953,2436,6978,2444,6988,2442,6994,2436,6999,2430,7002,2427,7004,2413m7067,2349l7066,2341,7059,2325,7059,2355,7059,2363,7057,2365,7051,2373,7045,2373,7028,2365,7018,2357,7007,2347,7001,2341,6995,2333,6983,2317,6980,2311,6979,2301,6981,2297,6985,2293,6988,2291,6995,2291,6999,2293,7013,2299,7021,2305,7042,2327,7050,2337,7055,2345,7058,2351,7059,2355,7059,2325,7059,2323,7052,2315,7043,2305,7034,2297,7024,2291,7014,2287,7004,2285,6994,2283,6985,2285,6976,2295,6974,2299,6971,2313,6972,2321,6980,2339,6986,2349,6995,2357,7005,2367,7016,2373,7041,2381,7051,2379,7058,2373,7063,2369,7065,2363,7067,2349m7136,2291l7126,2281,7116,2271,7124,2263,7126,2261,7118,2253,7108,2263,7098,2254,7098,2273,7071,2299,7060,2235,7098,2273,7098,2254,7079,2235,7057,2213,7051,2219,7066,2307,7074,2313,7088,2299,7106,2281,7127,2301,7136,2291m7256,2213l7256,2213,7249,2219,7242,2223,7227,2225,7218,2225,7208,2221,7213,2211,7215,2199,7212,2174,7206,2164,7205,2163,7205,2213,7202,2221,7188,2235,7180,2237,7171,2237,7162,2235,7153,2231,7143,2225,7134,2217,7126,2207,7119,2197,7115,2190,7114,2180,7113,2172,7116,2164,7123,2156,7127,2152,7132,2150,7144,2146,7151,2148,7167,2154,7176,2160,7197,2182,7204,2192,7205,2213,7205,2163,7197,2154,7188,2146,7178,2142,7168,2138,7157,2136,7146,2138,7136,2140,7127,2144,7119,2152,7112,2160,7107,2170,7104,2180,7103,2190,7105,2201,7108,2211,7113,2221,7121,2229,7128,2237,7136,2241,7152,2247,7160,2249,7168,2247,7174,2247,7180,2245,7188,2241,7204,2241,7221,2237,7230,2233,7244,2225,7256,2213m7284,2144l7282,2142,7278,2146,7276,2148,7271,2148,7265,2144,7218,2096,7196,2074,7194,2076,7184,2104,7187,2106,7188,2102,7190,2100,7192,2098,7193,2096,7197,2096,7200,2098,7204,2102,7256,2154,7259,2158,7260,2160,7260,2162,7257,2168,7253,2170,7255,2174,7280,2148,7284,2144m7284,2478l7275,2458,7273,2460,7273,2462,7274,2464,7273,2468,7272,2472,7269,2474,7267,2478,7242,2502,7243,2498,7242,2486,7241,2452,7239,2442,7236,2432,7233,2427,7231,2423,7221,2413,7214,2411,7198,2411,7191,2415,7179,2427,7176,2432,7175,2448,7178,2456,7184,2464,7186,2462,7184,2456,7182,2450,7184,2440,7186,2436,7194,2429,7199,2427,7212,2427,7217,2429,7229,2440,7233,2450,7235,2462,7237,2474,7237,2486,7237,2502,7237,2520,7239,2522,7260,2502,7284,2478m7338,2413l7337,2405,7330,2388,7330,2419,7330,2427,7329,2429,7322,2434,7316,2436,7299,2429,7289,2421,7278,2411,7272,2405,7266,2397,7254,2381,7251,2375,7250,2365,7252,2361,7256,2357,7259,2355,7271,2355,7284,2363,7292,2369,7313,2389,7321,2399,7329,2413,7330,2419,7330,2388,7330,2387,7323,2379,7315,2369,7305,2361,7295,2355,7285,2349,7275,2347,7265,2347,7256,2349,7247,2359,7245,2363,7242,2377,7244,2385,7251,2403,7257,2411,7266,2421,7276,2430,7287,2436,7312,2444,7323,2442,7328,2436,7334,2430,7336,2427,7338,2413m7402,2349l7401,2341,7394,2325,7394,2355,7393,2363,7392,2365,7386,2373,7380,2373,7362,2365,7353,2357,7342,2347,7335,2341,7329,2333,7318,2317,7315,2311,7314,2301,7315,2297,7320,2293,7322,2291,7329,2291,7334,2293,7347,2299,7356,2305,7376,2327,7385,2337,7392,2351,7394,2355,7394,2325,7393,2323,7387,2315,7378,2305,7368,2297,7359,2291,7349,2287,7339,2285,7328,2283,7320,2285,7310,2295,7308,2299,7306,2313,7307,2321,7314,2339,7321,2349,7329,2357,7340,2367,7351,2373,7376,2381,7386,2379,7393,2373,7397,2369,7399,2363,7402,2349m7460,2283l7459,2277,7455,2267,7452,2263,7450,2261,7441,2251,7433,2247,7411,2247,7399,2251,7387,2261,7382,2245,7405,2221,7400,2207,7373,2235,7388,2281,7395,2273,7402,2269,7407,2267,7415,2263,7422,2263,7436,2265,7442,2267,7452,2277,7454,2283,7454,2295,7452,2301,7444,2309,7441,2311,7436,2311,7433,2313,7429,2313,7428,2315,7425,2317,7425,2317,7424,2321,7425,2323,7428,2325,7431,2327,7438,2325,7442,2323,7451,2313,7455,2307,7459,2297,7459,2293,7460,2283m7590,2213l7590,2213,7584,2219,7577,2223,7562,2225,7553,2225,7542,2221,7548,2211,7550,2199,7546,2174,7541,2164,7540,2163,7540,2213,7537,2221,7523,2235,7515,2237,7505,2237,7496,2235,7487,2231,7478,2225,7468,2217,7460,2207,7454,2197,7450,2190,7448,2180,7447,2172,7450,2164,7457,2156,7462,2152,7467,2150,7479,2146,7485,2148,7501,2154,7510,2160,7532,2182,7538,2192,7539,2203,7540,2213,7540,2163,7531,2154,7522,2146,7512,2142,7502,2138,7491,2136,7480,2138,7471,2140,7462,2144,7454,2152,7447,2160,7442,2170,7439,2180,7438,2190,7439,2201,7442,2211,7448,2221,7455,2229,7463,2237,7470,2241,7486,2247,7494,2249,7503,2247,7508,2247,7515,2245,7523,2241,7538,2241,7556,2237,7564,2233,7578,2225,7590,2213m7619,2144l7616,2142,7613,2146,7610,2148,7605,2148,7600,2144,7552,2096,7530,2074,7528,2076,7519,2104,7521,2106,7523,2102,7524,2100,7526,2098,7528,2096,7532,2096,7533,2098,7535,2098,7539,2102,7591,2154,7593,2158,7594,2160,7594,2162,7591,2168,7587,2170,7590,2174,7615,2148,7619,2144m7619,2478l7609,2458,7607,2460,7608,2462,7608,2464,7607,2468,7606,2472,7604,2474,7601,2478,7577,2502,7577,2498,7577,2486,7575,2452,7573,2442,7570,2432,7568,2427,7565,2423,7556,2413,7549,2411,7532,2411,7525,2415,7513,2427,7510,2432,7510,2448,7513,2456,7519,2464,7521,2462,7518,2456,7517,2450,7519,2440,7521,2436,7529,2429,7534,2427,7546,2427,7552,2429,7563,2440,7567,2450,7570,2462,7571,2474,7572,2486,7572,2502,7571,2520,7573,2522,7594,2502,7619,2478m7673,2413l7672,2405,7665,2388,7665,2419,7664,2427,7663,2429,7657,2434,7651,2436,7634,2429,7624,2421,7613,2411,7606,2405,7600,2397,7589,2381,7586,2375,7585,2365,7586,2361,7591,2357,7593,2355,7605,2355,7618,2363,7627,2369,7647,2389,7656,2399,7660,2409,7664,2413,7665,2419,7665,2388,7664,2387,7658,2379,7649,2369,7639,2361,7630,2355,7620,2349,7610,2347,7599,2347,7591,2349,7581,2359,7579,2363,7577,2377,7578,2385,7585,2403,7592,2411,7600,2421,7611,2430,7622,2436,7647,2444,7657,2442,7663,2436,7668,2430,7671,2427,7673,2413m7736,2349l7735,2341,7728,2325,7728,2355,7728,2363,7726,2365,7720,2373,7714,2373,7697,2365,7687,2357,7676,2347,7670,2341,7664,2333,7652,2317,7649,2311,7648,2301,7650,2297,7654,2293,7657,2291,7664,2291,7668,2293,7682,2299,7690,2305,7711,2327,7719,2337,7724,2345,7727,2351,7728,2355,7728,2325,7728,2323,7721,2315,7712,2305,7703,2297,7693,2291,7683,2287,7673,2285,7663,2283,7654,2285,7645,2295,7643,2299,7640,2313,7641,2321,7649,2339,7655,2349,7664,2357,7674,2367,7685,2373,7710,2381,7720,2379,7727,2373,7732,2369,7734,2363,7736,2349m7802,2291l7801,2279,7799,2271,7795,2263,7795,2263,7795,2295,7793,2299,7787,2305,7784,2307,7775,2307,7770,2305,7759,2301,7754,2297,7747,2291,7744,2285,7739,2279,7740,2275,7741,2271,7744,2267,7745,2265,7751,2259,7757,2257,7772,2261,7778,2265,7791,2277,7794,2283,7795,2295,7795,2263,7790,2257,7782,2249,7775,2245,7759,2245,7752,2247,7741,2259,7738,2265,7736,2275,7732,2269,7726,2251,7725,2245,7725,2231,7726,2227,7729,2217,7732,2213,7737,2207,7735,2205,7727,2211,7724,2217,7718,2229,7716,2237,7715,2257,7717,2267,7724,2285,7729,2293,7736,2301,7744,2307,7753,2313,7763,2315,7780,2315,7786,2313,7792,2307,7799,2299,7802,2291m7925,2213l7925,2213,7918,2219,7911,2223,7896,2225,7887,2225,7877,2221,7882,2211,7884,2199,7881,2174,7875,2164,7874,2163,7874,2213,7871,2221,7857,2235,7849,2237,7840,2237,7831,2235,7822,2231,7812,2225,7803,2217,7795,2207,7788,2197,7784,2190,7783,2180,7782,2172,7785,2164,7792,2156,7796,2152,7801,2150,7813,2146,7820,2148,7836,2154,7845,2160,7866,2182,7873,2192,7874,2213,7874,2163,7866,2154,7857,2146,7847,2142,7837,2138,7826,2136,7815,2138,7805,2140,7796,2144,7788,2152,7781,2160,7776,2170,7773,2180,7772,2190,7774,2201,7777,2211,7782,2221,7790,2229,7797,2237,7805,2241,7821,2247,7829,2249,7837,2247,7843,2247,7849,2245,7857,2241,7873,2241,7890,2237,7899,2233,7913,2225,7925,2213m7953,2144l7951,2142,7947,2146,7945,2148,7940,2148,7934,2144,7887,2096,7865,2074,7863,2076,7853,2104,7856,2106,7857,2102,7859,2100,7861,2098,7862,2096,7866,2096,7869,2098,7873,2102,7925,2154,7928,2158,7929,2160,7929,2162,7926,2168,7922,2170,7924,2174,7949,2148,7953,2144m7953,2478l7944,2458,7942,2460,7942,2462,7943,2464,7942,2468,7941,2472,7938,2474,7936,2478,7911,2502,7912,2498,7911,2486,7910,2452,7908,2442,7905,2432,7902,2427,7899,2423,7890,2413,7883,2411,7867,2411,7860,2415,7848,2427,7845,2432,7844,2448,7847,2456,7853,2464,7855,2462,7853,2456,7851,2450,7853,2440,7855,2436,7863,2429,7868,2427,7881,2427,7886,2429,7898,2440,7902,2450,7904,2462,7906,2474,7906,2486,7906,2502,7906,2520,7908,2522,7929,2502,7953,2478m8007,2413l8006,2405,7999,2388,7999,2419,7999,2427,7998,2429,7991,2434,7985,2436,7968,2429,7958,2421,7947,2411,7941,2405,7935,2397,7923,2381,7920,2375,7919,2365,7921,2361,7925,2357,7928,2355,7940,2355,7953,2363,7961,2369,7982,2389,7990,2399,7998,2413,7999,2419,7999,2388,7999,2387,7992,2379,7984,2369,7974,2361,7964,2355,7954,2349,7944,2347,7934,2347,7925,2349,7916,2359,7914,2363,7911,2377,7913,2385,7920,2403,7926,2411,7935,2421,7945,2430,7956,2436,7981,2444,7992,2442,7997,2436,8003,2430,8005,2427,8007,2413m8071,2349l8070,2341,8063,2325,8063,2355,8062,2363,8061,2365,8055,2373,8049,2373,8031,2365,8022,2357,8011,2347,8004,2341,7998,2333,7987,2317,7984,2311,7983,2301,7984,2297,7989,2293,7991,2291,7998,2291,8003,2293,8016,2299,8025,2305,8045,2327,8053,2337,8061,2351,8063,2355,8063,2325,8062,2323,8056,2315,8047,2305,8037,2297,8028,2291,8018,2287,8008,2285,7997,2283,7989,2285,7979,2295,7977,2299,7975,2313,7976,2321,7983,2339,7990,2349,7998,2357,8009,2367,8020,2373,8045,2381,8055,2379,8062,2373,8066,2369,8068,2363,8071,2349m8125,2309l8082,2223,8074,2207,8072,2205,8030,2247,8041,2273,8043,2271,8042,2265,8042,2261,8043,2255,8044,2253,8046,2249,8072,2223,8118,2317,8125,2309m8259,2213l8259,2213,8253,2219,8246,2223,8238,2223,8231,2225,8222,2225,8211,2221,8217,2211,8219,2199,8217,2188,8215,2174,8209,2164,8209,2163,8209,2213,8206,2221,8199,2229,8192,2235,8184,2237,8174,2237,8165,2235,8156,2231,8147,2225,8138,2217,8129,2207,8123,2197,8119,2190,8117,2180,8116,2172,8119,2164,8126,2156,8131,2152,8136,2150,8148,2146,8154,2148,8170,2154,8179,2160,8201,2182,8207,2192,8209,2213,8209,2163,8200,2154,8191,2146,8181,2142,8171,2138,8160,2136,8149,2138,8140,2140,8131,2144,8123,2152,8116,2160,8111,2170,8108,2180,8107,2188,8107,2192,8108,2201,8111,2211,8117,2221,8124,2229,8132,2237,8139,2241,8155,2247,8163,2249,8172,2247,8177,2247,8184,2245,8192,2241,8207,2241,8225,2237,8233,2233,8241,2229,8247,2225,8259,2213m8288,2144l8285,2142,8282,2146,8279,2148,8274,2148,8269,2144,8264,2140,8221,2096,8199,2074,8197,2076,8188,2104,8190,2106,8192,2102,8193,2100,8196,2098,8197,2096,8201,2096,8202,2098,8204,2098,8208,2102,8259,2154,8262,2158,8262,2158,8263,2160,8263,2162,8262,2162,8262,2164,8260,2168,8257,2170,8258,2174,8284,2148,8288,2144m8288,2478l8278,2458,8276,2460,8277,2462,8277,2464,8277,2466,8276,2468,8275,2472,8274,2474,8273,2474,8270,2478,8246,2502,8246,2498,8244,2452,8242,2442,8239,2432,8237,2427,8234,2423,8230,2419,8225,2413,8218,2411,8201,2411,8194,2415,8182,2427,8179,2432,8179,2448,8182,2456,8188,2464,8190,2462,8187,2456,8186,2450,8188,2440,8190,2436,8198,2429,8203,2427,8215,2427,8221,2429,8226,2434,8232,2440,8236,2450,8239,2462,8240,2474,8241,2486,8241,2502,8240,2520,8242,2522,8263,2502,8288,2478m8342,2413l8341,2405,8337,2397,8334,2388,8334,2419,8334,2423,8333,2427,8332,2429,8330,2430,8326,2434,8320,2436,8312,2432,8303,2429,8293,2421,8282,2411,8275,2405,8269,2397,8258,2381,8255,2375,8254,2369,8254,2365,8255,2361,8260,2357,8262,2355,8274,2355,8280,2359,8287,2363,8296,2369,8304,2377,8316,2389,8325,2399,8329,2409,8332,2413,8334,2419,8334,2388,8333,2387,8327,2379,8318,2369,8308,2361,8299,2355,8289,2349,8279,2347,8268,2347,8260,2349,8254,2355,8250,2359,8248,2363,8247,2369,8246,2377,8247,2385,8251,2393,8255,2403,8261,2411,8269,2421,8280,2430,8291,2436,8315,2444,8326,2442,8332,2436,8333,2434,8337,2430,8340,2427,8341,2419,8342,2413m8405,2349l8404,2341,8400,2333,8397,2325,8397,2355,8397,2363,8395,2365,8393,2369,8389,2373,8383,2373,8375,2369,8366,2365,8356,2357,8345,2347,8339,2341,8333,2333,8327,2325,8321,2317,8318,2311,8318,2305,8317,2301,8318,2297,8323,2293,8326,2291,8333,2291,8337,2293,8343,2295,8351,2299,8359,2305,8368,2315,8380,2327,8388,2337,8396,2351,8397,2355,8397,2325,8397,2323,8390,2315,8381,2305,8372,2297,8362,2291,8352,2287,8342,2285,8332,2283,8323,2285,8317,2291,8314,2295,8312,2299,8311,2305,8309,2313,8311,2321,8314,2331,8318,2339,8324,2349,8333,2357,8343,2367,8354,2373,8366,2377,8379,2381,8389,2379,8395,2373,8397,2371,8400,2369,8403,2363,8404,2355,8405,2349m8471,2277l8469,2271,8465,2267,8465,2285,8465,2295,8462,2299,8458,2303,8454,2307,8449,2309,8438,2309,8433,2307,8428,2301,8424,2299,8422,2295,8419,2285,8418,2279,8419,2273,8433,2273,8444,2271,8454,2273,8457,2275,8460,2279,8463,2281,8465,2285,8465,2267,8463,2265,8459,2261,8453,2259,8442,2257,8433,2257,8421,2259,8424,2249,8425,2241,8424,2235,8423,2231,8421,2227,8419,2225,8418,2223,8417,2222,8417,2253,8417,2259,8399,2261,8392,2261,8390,2259,8387,2259,8384,2257,8379,2253,8378,2249,8378,2239,8380,2235,8384,2231,8388,2227,8392,2225,8401,2225,8405,2227,8412,2233,8414,2237,8415,2241,8417,2245,8417,2247,8417,2253,8417,2222,8414,2219,8408,2217,8393,2219,8387,2221,8374,2233,8371,2241,8371,2247,8371,2251,8370,2255,8373,2263,8378,2267,8381,2271,8385,2273,8395,2275,8414,2275,8412,2283,8412,2291,8413,2297,8414,2303,8416,2307,8424,2315,8430,2317,8445,2319,8453,2315,8459,2309,8460,2307,8467,2301,8471,2293,8471,2277m8594,2213l8594,2213,8587,2219,8580,2223,8565,2225,8556,2225,8545,2221,8551,2211,8553,2199,8552,2188,8550,2174,8544,2164,8543,2163,8543,2213,8540,2221,8533,2229,8526,2235,8518,2237,8509,2237,8500,2235,8491,2231,8481,2225,8472,2217,8464,2207,8457,2197,8453,2190,8452,2180,8451,2172,8454,2164,8461,2156,8465,2152,8471,2150,8482,2146,8489,2148,8505,2154,8514,2160,8535,2182,8542,2192,8543,2213,8543,2163,8535,2154,8526,2146,8516,2142,8506,2138,8495,2136,8484,2138,8474,2140,8465,2144,8457,2152,8450,2160,8445,2170,8442,2180,8441,2190,8443,2201,8446,2211,8451,2221,8459,2229,8466,2237,8482,2245,8498,2249,8506,2247,8512,2247,8518,2245,8526,2241,8542,2241,8559,2237,8568,2233,8575,2229,8582,2225,8594,2213m8622,2144l8620,2142,8616,2146,8614,2148,8607,2148,8606,2146,8603,2144,8599,2140,8555,2096,8534,2074,8532,2076,8522,2104,8525,2106,8526,2102,8528,2100,8530,2098,8531,2096,8535,2096,8539,2098,8542,2102,8594,2154,8597,2158,8597,2158,8598,2160,8598,2162,8597,2162,8597,2164,8595,2168,8591,2170,8593,2174,8618,2148,8622,2144m8622,2478l8613,2458,8611,2460,8611,2462,8612,2464,8611,2468,8610,2472,8609,2474,8607,2474,8604,2478,8580,2502,8580,2486,8579,2464,8579,2452,8577,2442,8571,2427,8568,2423,8565,2419,8559,2413,8552,2411,8536,2411,8529,2415,8522,2421,8517,2427,8514,2432,8513,2448,8516,2456,8522,2464,8524,2462,8522,2456,8521,2450,8521,2446,8522,2440,8524,2436,8532,2429,8538,2427,8550,2427,8555,2429,8560,2434,8566,2440,8571,2450,8573,2462,8575,2474,8575,2486,8575,2502,8575,2520,8577,2522,8597,2502,8622,2478m8676,2413l8675,2405,8668,2388,8668,2419,8668,2427,8666,2429,8664,2430,8660,2434,8654,2436,8646,2432,8637,2429,8627,2421,8616,2411,8610,2405,8604,2397,8592,2381,8589,2375,8589,2369,8589,2365,8590,2361,8594,2357,8597,2355,8608,2355,8614,2359,8622,2363,8630,2369,8639,2377,8651,2389,8659,2399,8667,2413,8668,2419,8668,2388,8668,2387,8661,2379,8653,2369,8643,2361,8633,2355,8623,2349,8613,2347,8603,2347,8594,2349,8589,2355,8585,2359,8583,2363,8582,2369,8580,2377,8582,2385,8585,2393,8589,2403,8595,2411,8604,2421,8614,2430,8625,2436,8637,2440,8650,2444,8660,2442,8666,2436,8668,2434,8672,2430,8674,2427,8676,2413m8740,2349l8739,2341,8735,2333,8732,2325,8732,2355,8731,2363,8730,2365,8724,2373,8717,2373,8701,2365,8691,2357,8680,2347,8673,2341,8667,2333,8656,2317,8653,2311,8652,2305,8652,2301,8653,2297,8660,2291,8667,2291,8672,2293,8685,2299,8694,2305,8702,2315,8714,2327,8722,2337,8730,2351,8732,2355,8732,2325,8731,2323,8725,2315,8716,2305,8706,2297,8697,2291,8687,2287,8677,2285,8666,2283,8658,2285,8652,2291,8648,2295,8646,2299,8645,2305,8644,2313,8645,2321,8649,2331,8652,2339,8658,2349,8667,2357,8678,2367,8689,2373,8714,2381,8724,2379,8729,2373,8731,2371,8735,2369,8737,2363,8740,2349m8792,2289l8792,2277,8787,2261,8785,2255,8779,2243,8771,2235,8768,2232,8768,2255,8768,2259,8767,2263,8764,2269,8762,2271,8757,2277,8752,2279,8746,2277,8738,2277,8730,2271,8716,2257,8713,2253,8713,2247,8712,2241,8714,2237,8720,2231,8724,2229,8733,2229,8738,2231,8749,2237,8754,2239,8757,2243,8760,2247,8764,2251,8768,2255,8768,2232,8765,2229,8762,2225,8751,2221,8739,2219,8729,2219,8721,2221,8715,2229,8707,2235,8704,2245,8706,2255,8707,2265,8712,2273,8718,2279,8725,2287,8733,2291,8749,2291,8755,2289,8761,2283,8766,2279,8769,2271,8771,2261,8776,2269,8780,2279,8783,2295,8783,2301,8782,2305,8778,2319,8775,2323,8770,2329,8772,2331,8775,2327,8783,2321,8787,2311,8789,2301,8792,2289m8928,2213l8928,2213,8922,2219,8915,2223,8900,2225,8891,2225,8880,2221,8886,2211,8888,2199,8886,2188,8884,2174,8879,2164,8878,2163,8878,2213,8875,2221,8868,2229,8861,2235,8853,2237,8843,2237,8834,2235,8825,2231,8816,2225,8806,2217,8798,2207,8792,2197,8788,2190,8786,2180,8785,2172,8788,2164,8795,2156,8800,2152,8805,2150,8811,2148,8817,2146,8823,2148,8839,2154,8848,2160,8870,2182,8876,2192,8877,2203,8878,2213,8878,2163,8869,2154,8860,2146,8850,2142,8840,2138,8829,2136,8818,2138,8809,2140,8800,2144,8792,2152,8785,2160,8780,2170,8777,2180,8776,2190,8777,2201,8780,2211,8786,2221,8793,2229,8801,2237,8808,2241,8816,2245,8824,2247,8832,2249,8841,2247,8846,2247,8853,2245,8861,2241,8876,2241,8894,2237,8902,2233,8910,2229,8916,2225,8928,2213m8956,2144l8954,2142,8951,2146,8948,2148,8943,2148,8941,2146,8938,2144,8933,2140,8890,2096,8868,2074,8866,2076,8857,2104,8859,2106,8861,2102,8862,2100,8864,2098,8864,2098,8866,2096,8870,2096,8871,2098,8873,2098,8877,2102,8929,2154,8931,2158,8932,2158,8932,2160,8932,2162,8932,2162,8931,2164,8929,2168,8926,2170,8928,2174,8953,2148,8956,2144m8957,2478l8947,2458,8945,2460,8946,2462,8946,2464,8944,2472,8942,2474,8939,2478,8935,2482,8915,2502,8915,2498,8913,2452,8911,2442,8908,2432,8906,2427,8903,2423,8899,2419,8894,2413,8887,2411,8870,2411,8863,2415,8857,2421,8851,2427,8848,2432,8848,2434,8848,2448,8851,2456,8857,2464,8859,2462,8856,2456,8855,2450,8857,2440,8859,2436,8867,2429,8872,2427,8884,2427,8890,2429,8895,2434,8901,2440,8905,2450,8908,2462,8909,2474,8910,2486,8910,2502,8909,2520,8911,2522,8932,2502,8957,2478m9011,2413l9010,2405,9006,2397,9003,2388,9003,2419,9002,2423,9002,2427,9001,2429,8999,2430,8995,2434,8989,2436,8981,2432,8972,2429,8962,2421,8951,2411,8944,2405,8938,2397,8927,2381,8924,2375,8923,2369,8923,2365,8924,2361,8931,2355,8943,2355,8956,2363,8965,2369,8973,2377,8985,2389,8994,2399,9001,2413,9003,2419,9003,2388,9002,2387,8996,2379,8987,2369,8977,2361,8968,2355,8958,2349,8948,2347,8937,2347,8929,2349,8923,2355,8919,2359,8917,2363,8916,2369,8915,2377,8916,2385,8920,2393,8923,2403,8930,2411,8939,2421,8949,2430,8960,2436,8985,2444,8995,2442,9000,2436,9002,2434,9006,2430,9008,2427,9011,2413m9080,2355l9078,2353,9074,2357,9071,2359,9063,2359,9061,2355,9056,2351,9012,2307,8991,2287,8990,2287,8980,2315,8983,2317,8984,2313,8985,2311,8988,2309,8989,2307,8993,2307,8996,2309,9000,2313,9052,2365,9054,2369,9055,2369,9055,2371,9055,2373,9055,2375,9054,2375,9052,2379,9049,2383,9051,2385,9076,2359,9080,2355m9138,2285l9136,2277,9133,2269,9130,2261,9130,2291,9129,2299,9128,2303,9126,2305,9121,2309,9115,2309,9108,2305,9098,2301,9088,2295,9078,2283,9071,2277,9065,2269,9059,2261,9054,2255,9051,2247,9050,2241,9050,2237,9051,2233,9056,2229,9058,2227,9065,2227,9070,2229,9076,2231,9083,2235,9091,2241,9100,2251,9112,2263,9120,2273,9125,2281,9128,2287,9130,2291,9130,2261,9129,2259,9123,2251,9114,2243,9104,2233,9095,2227,9085,2223,9075,2221,9064,2219,9056,2221,9050,2227,9046,2231,9044,2235,9043,2241,9042,2249,9043,2257,9047,2267,9050,2275,9056,2285,9065,2293,9076,2303,9086,2311,9098,2313,9111,2317,9122,2315,9129,2309,9133,2305,9135,2299,9136,2293,9138,2285m9263,2213l9263,2213,9256,2219,9249,2223,9242,2223,9234,2225,9225,2225,9215,2221,9221,2211,9223,2199,9221,2188,9219,2174,9213,2164,9212,2163,9212,2213,9209,2221,9202,2229,9195,2235,9187,2237,9178,2237,9169,2235,9160,2231,9150,2225,9141,2217,9133,2207,9126,2197,9122,2190,9120,2180,9120,2172,9123,2164,9130,2156,9134,2152,9139,2150,9151,2146,9158,2148,9165,2150,9174,2154,9183,2160,9204,2182,9211,2192,9212,2213,9212,2163,9204,2154,9195,2146,9185,2142,9175,2138,9164,2136,9153,2138,9143,2140,9134,2144,9126,2152,9119,2160,9114,2170,9111,2180,9111,2190,9112,2201,9115,2211,9120,2221,9128,2229,9135,2237,9143,2241,9159,2247,9167,2249,9175,2247,9181,2247,9187,2245,9195,2241,9211,2241,9228,2237,9236,2233,9244,2229,9251,2225,9263,2213m9291,2144l9289,2142,9285,2146,9283,2148,9278,2148,9272,2144,9268,2140,9224,2096,9203,2074,9201,2076,9191,2104,9194,2106,9195,2102,9197,2100,9199,2098,9200,2096,9204,2096,9205,2098,9207,2098,9211,2102,9263,2154,9266,2158,9266,2158,9267,2160,9267,2162,9266,2162,9266,2164,9264,2168,9260,2170,9262,2174,9287,2148,9291,2144m9291,2478l9282,2458,9280,2460,9281,2462,9281,2464,9280,2468,9279,2472,9278,2474,9276,2474,9274,2478,9249,2502,9250,2498,9248,2452,9246,2442,9243,2432,9240,2427,9237,2423,9234,2419,9228,2413,9221,2411,9205,2411,9198,2415,9191,2421,9186,2427,9183,2432,9182,2448,9185,2456,9191,2464,9193,2462,9190,2456,9189,2450,9191,2440,9193,2436,9201,2429,9206,2427,9219,2427,9224,2429,9229,2434,9235,2440,9240,2450,9242,2462,9243,2474,9244,2488,9244,2502,9244,2520,9246,2522,9266,2502,9291,2478m9345,2413l9344,2405,9341,2397,9338,2389,9338,2419,9337,2427,9336,2429,9334,2430,9329,2434,9323,2436,9315,2432,9306,2429,9296,2421,9285,2411,9279,2405,9273,2397,9261,2381,9258,2375,9258,2369,9257,2365,9259,2361,9263,2357,9266,2355,9278,2355,9283,2359,9291,2363,9299,2369,9308,2377,9320,2389,9328,2399,9333,2409,9336,2413,9338,2419,9338,2389,9337,2387,9331,2379,9322,2369,9312,2361,9302,2355,9292,2349,9283,2347,9272,2347,9263,2349,9257,2355,9254,2359,9252,2363,9251,2369,9249,2377,9251,2385,9254,2393,9258,2403,9264,2411,9273,2421,9283,2430,9294,2436,9319,2444,9330,2442,9335,2436,9337,2434,9341,2430,9343,2427,9344,2419,9345,2413m9414,2355l9412,2353,9408,2357,9406,2359,9398,2359,9395,2355,9391,2351,9346,2307,9326,2287,9324,2287,9314,2315,9317,2317,9318,2313,9321,2309,9322,2309,9323,2307,9327,2307,9329,2309,9331,2309,9334,2313,9340,2319,9382,2361,9386,2365,9389,2369,9389,2369,9390,2371,9390,2373,9389,2375,9389,2375,9387,2379,9383,2383,9385,2385,9410,2359,9414,2355m9478,2291l9475,2289,9472,2293,9469,2295,9461,2295,9458,2291,9454,2287,9410,2243,9389,2223,9387,2225,9378,2253,9380,2253,9382,2249,9383,2247,9386,2245,9387,2243,9389,2243,9391,2245,9392,2245,9394,2247,9398,2249,9403,2255,9445,2297,9450,2301,9452,2305,9453,2305,9453,2307,9453,2309,9453,2311,9452,2313,9450,2315,9447,2319,9449,2321,9474,2295,9478,2291m9597,2213l9597,2213,9591,2219,9584,2223,9569,2225,9560,2225,9549,2221,9555,2211,9557,2199,9555,2188,9553,2174,9548,2164,9547,2163,9547,2213,9544,2221,9537,2229,9530,2235,9522,2237,9512,2237,9503,2235,9494,2231,9485,2225,9475,2217,9467,2207,9461,2197,9457,2190,9455,2180,9454,2172,9457,2164,9464,2156,9469,2152,9474,2150,9486,2146,9492,2148,9508,2154,9517,2160,9538,2182,9545,2192,9547,2213,9547,2163,9538,2154,9529,2146,9519,2142,9509,2138,9498,2136,9487,2138,9478,2140,9469,2144,9461,2152,9454,2160,9449,2170,9446,2180,9445,2190,9446,2201,9449,2211,9455,2221,9462,2229,9470,2237,9477,2241,9485,2245,9501,2249,9510,2247,9515,2247,9522,2245,9529,2241,9545,2241,9563,2237,9571,2233,9579,2229,9585,2225,9597,2213m9626,2144l9624,2142,9620,2146,9617,2148,9611,2148,9609,2146,9607,2144,9602,2140,9559,2096,9537,2074,9535,2076,9526,2104,9528,2106,9530,2102,9531,2100,9533,2098,9535,2096,9538,2096,9542,2098,9546,2102,9597,2154,9600,2158,9601,2158,9601,2160,9601,2162,9601,2162,9600,2164,9598,2168,9594,2170,9597,2174,9622,2148,9626,2144e" filled="true" fillcolor="#000000" stroked="false">
              <v:path arrowok="t"/>
              <v:fill type="solid"/>
            </v:shape>
            <w10:wrap type="none"/>
          </v:group>
        </w:pict>
      </w:r>
      <w:r>
        <w:rPr>
          <w:rFonts w:ascii="Constantia"/>
        </w:rPr>
        <w:t>Precio de gas natural y </w:t>
      </w:r>
      <w:r>
        <w:rPr>
          <w:rFonts w:ascii="Constantia"/>
          <w:w w:val="95"/>
        </w:rPr>
        <w:t>Balance primario/ PIB (c)</w:t>
      </w:r>
    </w:p>
    <w:p>
      <w:pPr>
        <w:spacing w:line="244" w:lineRule="auto" w:before="52"/>
        <w:ind w:left="1147" w:right="413" w:firstLine="315"/>
        <w:jc w:val="left"/>
        <w:rPr>
          <w:rFonts w:ascii="Constantia" w:hAnsi="Constantia"/>
          <w:b/>
          <w:sz w:val="24"/>
        </w:rPr>
      </w:pPr>
      <w:r>
        <w:rPr/>
        <w:br w:type="column"/>
      </w:r>
      <w:r>
        <w:rPr>
          <w:rFonts w:ascii="Constantia" w:hAnsi="Constantia"/>
          <w:b/>
          <w:sz w:val="24"/>
        </w:rPr>
        <w:t>Precio de gas natural y Balance primario No Gasíf./</w:t>
      </w:r>
    </w:p>
    <w:p>
      <w:pPr>
        <w:spacing w:after="0" w:line="244" w:lineRule="auto"/>
        <w:jc w:val="left"/>
        <w:rPr>
          <w:rFonts w:ascii="Constantia" w:hAnsi="Constantia"/>
          <w:sz w:val="24"/>
        </w:rPr>
        <w:sectPr>
          <w:type w:val="continuous"/>
          <w:pgSz w:w="12250" w:h="15850"/>
          <w:pgMar w:top="1500" w:bottom="280" w:left="1600" w:right="1600"/>
          <w:cols w:num="2" w:equalWidth="0">
            <w:col w:w="3891" w:space="431"/>
            <w:col w:w="4728"/>
          </w:cols>
        </w:sectPr>
      </w:pPr>
    </w:p>
    <w:p>
      <w:pPr>
        <w:spacing w:before="49"/>
        <w:ind w:left="285" w:right="0" w:firstLine="0"/>
        <w:jc w:val="center"/>
        <w:rPr>
          <w:rFonts w:ascii="Calibri"/>
          <w:sz w:val="19"/>
        </w:rPr>
      </w:pPr>
      <w:r>
        <w:rPr/>
        <w:pict>
          <v:group style="position:absolute;margin-left:108.714096pt;margin-top:8.103127pt;width:156.15pt;height:94.9pt;mso-position-horizontal-relative:page;mso-position-vertical-relative:paragraph;z-index:-562240" coordorigin="2174,162" coordsize="3123,1898">
            <v:shape style="position:absolute;left:683;top:6981;width:2971;height:1891" coordorigin="683,6981" coordsize="2971,1891" path="m5232,2052l5232,170m5232,2052l5290,2052m5232,1678l5290,1678m5232,1290l5290,1290m5232,916l5290,916m5232,543l5290,543m5232,170l5290,170m2510,2052l2510,170m2453,2052l2510,2052m2453,1678l2510,1678m2453,1290l2510,1290m2453,916l2510,916m2453,543l2510,543m2453,170l2510,170m2510,1290l5232,1290m2553,1290l2553,1335m2639,1290l2639,1335m2711,1290l2711,1335m2797,1290l2797,1335m2883,1290l2883,1335m2954,1290l2954,1335m3040,1290l3040,1335m3112,1290l3112,1335m3198,1290l3198,1335m3270,1290l3270,1335m3355,1290l3355,1335m3441,1290l3441,1335m3513,1290l3513,1335m3599,1290l3599,1335m3671,1290l3671,1335m3757,1290l3757,1335m3842,1290l3842,1335m3914,1290l3914,1335m4000,1290l4000,1335m4072,1290l4072,1335m4158,1290l4158,1335m4229,1290l4229,1335m4315,1290l4315,1335m4401,1290l4401,1335m4473,1290l4473,1335m4559,1290l4559,1335m4631,1290l4631,1335m4717,1290l4717,1335m4803,1290l4803,1335m4874,1290l4874,1335m4960,1290l4960,1335m5032,1290l5032,1335m5118,1290l5118,1335m5189,1290l5189,1335m5232,1290l5232,1335m2510,1290l2510,1350m2596,1290l2596,1350m2682,1290l2682,1350m2754,1290l2754,1350m2840,1290l2840,1350m2911,1290l2911,1350m2997,1290l2997,1350m3083,1290l3083,1350m3155,1290l3155,1350m3241,1290l3241,1350m3312,1290l3312,1350m3398,1290l3398,1350m3470,1290l3470,1350m3556,1290l3556,1350m3642,1290l3642,1350m3714,1290l3714,1350m3800,1290l3800,1350m3871,1290l3871,1350m3957,1290l3957,1350m4043,1290l4043,1350m4115,1290l4115,1350m4201,1290l4201,1350m4272,1290l4272,1350m4358,1290l4358,1350m4430,1290l4430,1350m4516,1290l4516,1350m4602,1290l4602,1350m4674,1290l4674,1350m4760,1290l4760,1350m4831,1290l4831,1350m4917,1290l4917,1350m5003,1290l5003,1350m5075,1290l5075,1350m5161,1290l5161,1350m5232,1290l5232,1350e" filled="false" stroked="true" strokeweight=".731599pt" strokecolor="#858585">
              <v:path arrowok="t"/>
            </v:shape>
            <v:shape style="position:absolute;left:2553;top:523;width:2637;height:1227" coordorigin="2553,523" coordsize="2637,1227" path="m2553,1388l2573,1327,2593,1261,2613,1206,2633,1178,2653,1192,2673,1235,2693,1285,2713,1316,2733,1318,2753,1304,2773,1290,2793,1290,2813,1309,2833,1339,2853,1372,2873,1400,2893,1424,2913,1446,2933,1464,2953,1474,2973,1472,2993,1461,3012,1450,3032,1448,3092,1493,3132,1559,3152,1610,3172,1657,3192,1684,3211,1686,3232,1673,3272,1615,3312,1492,3332,1420,3352,1358,3392,1260,3432,1193,3452,1181,3472,1181,3492,1185,3512,1182,3572,1140,3612,1081,3632,1036,3652,997,3672,982,3691,1000,3711,1042,3731,1092,3751,1136,3771,1170,3791,1201,3811,1233,3831,1267,3851,1311,3871,1362,3891,1405,3911,1428,3931,1422,3951,1395,3971,1361,3991,1331,4011,1311,4031,1293,4051,1270,4071,1236,4091,1179,4111,1108,4131,1036,4151,981,4170,951,4191,936,4211,921,4231,895,4251,849,4271,791,4291,731,4310,680,4331,623,4351,561,4371,523,4402,584,4413,650,4425,733,4436,827,4448,924,4459,1021,4470,1110,4480,1186,4490,1269,4500,1354,4510,1438,4520,1519,4530,1592,4540,1654,4566,1729,4614,1750,4630,1749,4690,1689,4730,1601,4750,1538,4770,1475,4810,1394,4870,1348,4890,1344,4910,1346,4930,1354,4950,1366,4970,1390,4990,1424,5010,1454,5030,1469,5050,1466,5070,1450,5109,1393,5149,1305,5169,1253,5189,1203e" filled="false" stroked="true" strokeweight="2.224272pt" strokecolor="#497dba">
              <v:path arrowok="t"/>
            </v:shape>
            <v:shape style="position:absolute;left:2553;top:435;width:2637;height:1188" coordorigin="2553,435" coordsize="2637,1188" path="m2553,1123l2573,1130,2593,1138,2613,1145,2633,1153,2653,1163,2673,1177,2693,1186,2713,1185,2733,1165,2753,1133,2773,1102,2793,1086,2813,1093,2833,1114,2853,1137,2873,1148,2893,1139,2913,1119,2933,1099,2953,1089,2973,1095,2993,1111,3012,1127,3032,1131,3052,1114,3072,1085,3092,1056,3112,1041,3132,1047,3152,1066,3172,1087,3192,1099,3212,1101,3232,1100,3252,1091,3272,1075,3292,1045,3312,1004,3332,963,3352,935,3369,935,3392,945,3415,950,3445,884,3459,809,3472,721,3485,634,3498,557,3528,478,3592,460,3612,450,3632,440,3652,435,3672,441,3691,466,3711,503,3731,541,3751,566,3769,565,3791,552,3814,543,3831,556,3851,623,3871,721,3891,821,3911,892,3929,915,3951,924,3974,927,3991,930,4010,946,4031,966,4052,978,4071,966,4091,905,4111,812,4131,719,4151,659,4170,648,4191,664,4211,688,4231,704,4251,702,4271,694,4291,691,4310,703,4331,744,4351,805,4371,862,4391,893,4410,880,4430,840,4450,798,4470,781,4490,800,4510,840,4530,887,4550,924,4570,949,4590,968,4610,986,4630,1006,4647,1020,4670,1037,4693,1062,4721,1160,4733,1246,4744,1345,4756,1445,4767,1532,4779,1596,4790,1623,4803,1599,4817,1530,4830,1434,4843,1328,4856,1232,4870,1163,4910,1079,4950,1031,4990,992,5010,976,5030,953,5050,917,5070,872,5089,834,5109,817,5129,832,5149,868,5169,912,5189,952e" filled="false" stroked="true" strokeweight="2.225121pt" strokecolor="#bd4a47">
              <v:path arrowok="t"/>
              <v:stroke dashstyle="longDash"/>
            </v:shape>
            <v:shape style="position:absolute;left:2174;top:1423;width:2984;height:449" coordorigin="2174,1423" coordsize="2984,449" path="m2279,1828l2270,1808,2268,1810,2268,1812,2269,1814,2268,1818,2267,1822,2264,1824,2262,1828,2239,1852,2239,1848,2239,1836,2237,1802,2235,1792,2232,1782,2230,1776,2227,1772,2218,1762,2212,1760,2196,1760,2189,1764,2177,1776,2175,1782,2174,1798,2177,1806,2183,1814,2185,1812,2182,1806,2181,1800,2183,1790,2185,1786,2193,1778,2197,1776,2209,1776,2215,1778,2225,1790,2229,1800,2232,1812,2233,1824,2234,1836,2234,1852,2233,1869,2235,1871,2255,1852,2279,1828m2331,1762l2329,1754,2323,1738,2323,1768,2322,1776,2321,1778,2315,1784,2309,1786,2293,1778,2283,1770,2273,1760,2267,1754,2261,1746,2250,1730,2247,1724,2246,1714,2247,1710,2252,1706,2254,1704,2266,1704,2278,1712,2286,1718,2306,1738,2314,1748,2319,1758,2322,1762,2323,1768,2323,1738,2322,1736,2316,1728,2308,1718,2299,1710,2289,1704,2280,1698,2270,1696,2260,1696,2252,1698,2243,1708,2241,1712,2239,1726,2240,1734,2247,1752,2253,1760,2261,1770,2271,1780,2281,1786,2305,1794,2315,1792,2321,1786,2326,1780,2328,1776,2331,1762m2391,1698l2390,1690,2384,1674,2384,1704,2383,1712,2382,1714,2376,1722,2370,1722,2354,1714,2344,1706,2334,1696,2328,1690,2322,1682,2311,1666,2308,1660,2307,1650,2308,1646,2313,1642,2315,1640,2322,1640,2326,1642,2339,1648,2347,1654,2367,1676,2375,1686,2379,1694,2382,1700,2384,1704,2384,1674,2383,1672,2377,1664,2369,1654,2359,1646,2350,1640,2341,1636,2331,1634,2321,1632,2313,1634,2304,1644,2302,1648,2299,1662,2301,1670,2308,1688,2314,1698,2322,1706,2332,1716,2342,1722,2366,1730,2376,1728,2383,1722,2387,1718,2389,1712,2391,1698m2449,1646l2447,1624,2444,1618,2433,1607,2430,1605,2428,1603,2416,1601,2411,1603,2404,1605,2405,1593,2404,1587,2403,1583,2394,1575,2390,1573,2385,1571,2378,1571,2371,1573,2361,1585,2358,1591,2357,1603,2358,1609,2361,1617,2364,1617,2362,1605,2363,1597,2372,1589,2376,1587,2386,1587,2390,1589,2396,1595,2398,1599,2401,1607,2401,1611,2398,1620,2396,1624,2394,1626,2396,1628,2400,1624,2403,1622,2411,1618,2422,1618,2429,1620,2433,1622,2440,1630,2442,1634,2442,1646,2440,1652,2435,1656,2433,1658,2430,1660,2428,1660,2422,1662,2420,1664,2418,1664,2416,1666,2414,1668,2414,1670,2414,1672,2414,1674,2417,1676,2419,1678,2425,1676,2429,1672,2444,1658,2449,1646m2572,1563l2572,1563,2566,1569,2559,1573,2545,1575,2536,1575,2526,1571,2531,1561,2533,1549,2530,1523,2524,1513,2524,1512,2524,1563,2521,1571,2507,1585,2500,1587,2491,1587,2482,1585,2473,1581,2464,1575,2455,1567,2447,1557,2441,1547,2437,1539,2436,1529,2435,1521,2438,1513,2445,1505,2449,1501,2454,1499,2465,1495,2471,1497,2487,1503,2495,1509,2516,1531,2522,1541,2524,1563,2524,1512,2515,1503,2507,1495,2497,1491,2488,1487,2477,1485,2463,1485,2451,1491,2441,1501,2434,1509,2430,1519,2427,1529,2426,1539,2427,1551,2430,1561,2436,1571,2443,1579,2450,1587,2457,1591,2472,1597,2480,1599,2488,1597,2493,1597,2500,1595,2507,1591,2522,1591,2539,1587,2547,1583,2560,1575,2572,1563m2599,1828l2590,1808,2588,1810,2588,1812,2588,1814,2588,1818,2587,1822,2584,1824,2582,1828,2559,1852,2559,1848,2558,1836,2557,1802,2555,1792,2552,1782,2550,1776,2547,1772,2538,1762,2532,1760,2516,1760,2509,1764,2497,1776,2494,1782,2494,1798,2497,1806,2503,1814,2505,1812,2502,1806,2501,1800,2503,1790,2505,1786,2512,1778,2517,1776,2529,1776,2534,1778,2545,1790,2549,1800,2552,1812,2553,1824,2553,1836,2554,1852,2553,1869,2555,1871,2575,1852,2599,1828m2599,1493l2597,1491,2594,1495,2591,1497,2586,1497,2581,1493,2535,1445,2515,1423,2513,1425,2504,1453,2506,1455,2507,1451,2509,1449,2511,1447,2512,1445,2516,1445,2519,1447,2523,1451,2572,1503,2575,1507,2576,1509,2576,1511,2573,1517,2569,1519,2571,1523,2595,1497,2599,1493m2651,1762l2649,1754,2643,1738,2643,1768,2642,1776,2641,1778,2635,1784,2629,1786,2613,1778,2603,1770,2593,1760,2587,1754,2581,1746,2570,1730,2567,1724,2566,1714,2567,1710,2572,1706,2574,1704,2585,1704,2598,1712,2606,1718,2626,1738,2634,1748,2638,1758,2642,1762,2643,1768,2643,1738,2642,1736,2636,1728,2628,1718,2618,1710,2609,1704,2600,1698,2590,1696,2580,1696,2572,1698,2563,1708,2561,1712,2558,1726,2560,1734,2567,1752,2573,1760,2581,1770,2591,1780,2601,1786,2625,1794,2635,1792,2641,1786,2646,1780,2648,1776,2651,1762m2711,1698l2710,1690,2704,1674,2704,1704,2703,1712,2702,1714,2696,1722,2690,1722,2674,1714,2664,1706,2654,1696,2648,1690,2642,1682,2631,1666,2628,1660,2627,1650,2628,1646,2633,1642,2635,1640,2642,1640,2646,1642,2659,1648,2667,1654,2687,1676,2695,1686,2699,1694,2702,1700,2704,1704,2704,1674,2703,1672,2697,1664,2688,1654,2679,1646,2670,1640,2660,1636,2651,1634,2641,1632,2633,1634,2624,1644,2621,1648,2619,1662,2620,1670,2627,1688,2633,1698,2642,1706,2652,1716,2662,1722,2686,1730,2696,1728,2702,1722,2707,1718,2709,1712,2711,1698m2777,1640l2767,1630,2758,1620,2765,1613,2767,1611,2760,1603,2750,1613,2741,1603,2741,1622,2715,1648,2704,1585,2741,1622,2741,1603,2723,1585,2702,1563,2696,1569,2710,1656,2717,1662,2731,1648,2749,1630,2768,1650,2777,1640m2892,1563l2892,1563,2886,1569,2879,1573,2865,1575,2856,1575,2846,1571,2851,1561,2853,1549,2850,1523,2844,1513,2844,1512,2844,1563,2841,1571,2827,1585,2819,1587,2811,1587,2802,1585,2793,1581,2784,1575,2775,1567,2767,1557,2761,1547,2757,1539,2756,1529,2755,1521,2758,1513,2765,1505,2769,1501,2774,1499,2785,1495,2791,1497,2807,1503,2815,1509,2836,1531,2842,1541,2844,1563,2844,1512,2835,1503,2827,1495,2817,1491,2807,1487,2797,1485,2783,1485,2771,1491,2761,1501,2754,1509,2750,1519,2747,1529,2746,1539,2747,1551,2750,1561,2755,1571,2763,1579,2770,1587,2777,1591,2792,1597,2800,1599,2808,1597,2813,1597,2820,1595,2827,1591,2842,1591,2859,1587,2867,1583,2880,1575,2892,1563m2919,1828l2910,1808,2907,1810,2908,1812,2908,1814,2908,1818,2907,1822,2904,1824,2902,1828,2878,1852,2879,1848,2878,1836,2877,1802,2875,1792,2872,1782,2870,1776,2867,1772,2858,1762,2852,1760,2836,1760,2829,1764,2817,1776,2814,1782,2814,1798,2817,1806,2823,1814,2825,1812,2822,1806,2821,1800,2823,1790,2825,1786,2832,1778,2837,1776,2849,1776,2854,1778,2865,1790,2869,1800,2871,1812,2873,1824,2873,1836,2874,1852,2873,1869,2875,1871,2895,1852,2919,1828m2919,1493l2917,1491,2914,1495,2911,1497,2906,1497,2901,1493,2855,1445,2834,1423,2833,1425,2823,1453,2826,1455,2827,1451,2829,1449,2831,1447,2832,1445,2836,1445,2837,1447,2839,1447,2843,1451,2892,1503,2895,1507,2896,1509,2896,1511,2893,1517,2889,1519,2891,1523,2915,1497,2919,1493m2970,1762l2969,1754,2963,1738,2963,1768,2962,1776,2961,1778,2955,1784,2949,1786,2933,1778,2923,1770,2913,1760,2907,1754,2901,1746,2890,1730,2887,1724,2886,1714,2887,1710,2892,1706,2894,1704,2905,1704,2918,1712,2926,1718,2946,1738,2954,1748,2961,1762,2963,1768,2963,1738,2962,1736,2956,1728,2948,1718,2938,1710,2929,1704,2920,1698,2910,1696,2900,1696,2892,1698,2883,1708,2881,1712,2878,1726,2880,1734,2887,1752,2893,1760,2901,1770,2911,1780,2921,1786,2945,1794,2955,1792,2961,1786,2966,1780,2968,1776,2970,1762m3031,1698l3030,1690,3024,1674,3024,1704,3023,1712,3022,1714,3016,1722,3010,1722,2993,1714,2984,1706,2974,1696,2968,1690,2962,1682,2951,1666,2948,1660,2947,1650,2948,1646,2953,1642,2955,1640,2961,1640,2966,1642,2979,1648,2987,1654,3007,1676,3015,1686,3022,1700,3024,1704,3024,1674,3023,1672,3017,1664,3008,1654,2999,1646,2990,1640,2980,1636,2971,1634,2961,1632,2953,1634,2943,1644,2941,1648,2939,1662,2940,1670,2947,1688,2953,1698,2962,1706,2972,1716,2982,1722,3006,1730,3016,1728,3022,1722,3027,1718,3029,1712,3031,1698m3087,1632l3086,1626,3082,1617,3080,1613,3078,1611,3069,1601,3061,1597,3040,1597,3028,1601,3017,1611,3012,1595,3035,1571,3030,1557,3003,1585,3018,1630,3025,1622,3031,1618,3044,1613,3051,1613,3064,1615,3070,1617,3079,1626,3081,1632,3081,1644,3079,1650,3072,1658,3068,1660,3064,1660,3061,1662,3057,1662,3056,1664,3054,1666,3053,1666,3053,1670,3053,1672,3056,1674,3059,1676,3066,1674,3070,1672,3079,1662,3082,1656,3086,1646,3086,1642,3087,1632m3212,1563l3212,1563,3206,1569,3199,1573,3184,1575,3176,1575,3166,1571,3171,1561,3173,1549,3170,1523,3164,1513,3164,1512,3164,1563,3161,1571,3147,1585,3139,1587,3130,1587,3122,1585,3113,1581,3104,1575,3095,1567,3087,1557,3081,1547,3077,1539,3076,1529,3075,1521,3078,1513,3084,1505,3089,1501,3094,1499,3105,1495,3111,1497,3126,1503,3135,1509,3156,1531,3162,1541,3163,1553,3164,1563,3164,1512,3155,1503,3147,1495,3137,1491,3127,1487,3117,1485,3103,1485,3091,1491,3081,1501,3074,1509,3070,1519,3067,1529,3066,1539,3067,1551,3070,1561,3075,1571,3083,1579,3090,1587,3097,1591,3112,1597,3120,1599,3128,1597,3133,1597,3140,1595,3147,1591,3162,1591,3179,1587,3187,1583,3200,1575,3212,1563m3238,1828l3229,1808,3227,1810,3228,1812,3228,1814,3227,1818,3227,1822,3224,1824,3221,1828,3198,1852,3198,1848,3198,1836,3197,1802,3195,1792,3192,1782,3190,1776,3187,1772,3178,1762,3171,1760,3156,1760,3149,1764,3137,1776,3134,1782,3134,1798,3137,1806,3143,1814,3145,1812,3142,1806,3141,1800,3142,1790,3145,1786,3152,1778,3157,1776,3169,1776,3174,1778,3185,1790,3189,1800,3191,1812,3193,1824,3193,1836,3193,1852,3193,1869,3195,1871,3215,1852,3238,1828m3239,1493l3237,1491,3233,1495,3231,1497,3226,1497,3221,1493,3175,1445,3154,1423,3153,1425,3143,1453,3146,1455,3147,1451,3148,1449,3151,1447,3152,1445,3156,1445,3157,1447,3159,1447,3162,1451,3212,1503,3215,1507,3215,1509,3215,1511,3213,1517,3209,1519,3211,1523,3235,1497,3239,1493m3290,1762l3289,1754,3283,1738,3283,1768,3282,1776,3281,1778,3275,1784,3269,1786,3253,1778,3243,1770,3233,1760,3227,1754,3221,1746,3210,1730,3207,1724,3206,1714,3207,1710,3212,1706,3214,1704,3225,1704,3238,1712,3246,1718,3266,1738,3274,1748,3278,1758,3281,1762,3283,1768,3283,1738,3282,1736,3276,1728,3267,1718,3258,1710,3249,1704,3239,1698,3230,1696,3220,1696,3212,1698,3203,1708,3200,1712,3198,1726,3199,1734,3206,1752,3212,1760,3221,1770,3231,1780,3241,1786,3265,1794,3275,1792,3280,1786,3286,1780,3288,1776,3290,1762m3351,1698l3350,1690,3343,1674,3343,1704,3343,1712,3342,1714,3336,1722,3330,1722,3313,1714,3304,1706,3294,1696,3287,1690,3282,1682,3270,1666,3268,1660,3267,1650,3268,1646,3272,1642,3275,1640,3281,1640,3286,1642,3299,1648,3307,1654,3327,1676,3334,1686,3339,1694,3342,1700,3343,1704,3343,1674,3343,1672,3337,1664,3328,1654,3319,1646,3310,1640,3300,1636,3291,1634,3280,1632,3273,1634,3263,1644,3261,1648,3259,1662,3260,1670,3267,1688,3273,1698,3282,1706,3292,1716,3302,1722,3326,1730,3336,1728,3342,1722,3346,1718,3349,1712,3351,1698m3414,1640l3411,1620,3408,1613,3407,1612,3407,1644,3406,1648,3400,1654,3397,1656,3388,1656,3383,1654,3373,1650,3368,1646,3362,1640,3358,1634,3354,1628,3355,1624,3356,1620,3358,1617,3359,1615,3365,1609,3371,1607,3385,1611,3391,1615,3403,1626,3406,1632,3407,1644,3407,1612,3402,1607,3395,1599,3388,1595,3372,1595,3366,1597,3356,1609,3352,1615,3351,1624,3347,1618,3341,1601,3340,1595,3340,1581,3341,1577,3344,1567,3347,1563,3352,1557,3350,1555,3342,1561,3339,1567,3333,1579,3332,1587,3331,1607,3333,1617,3339,1634,3344,1642,3361,1660,3373,1666,3386,1664,3393,1664,3399,1662,3404,1656,3412,1648,3414,1640m3532,1563l3531,1563,3526,1569,3519,1573,3504,1575,3496,1575,3486,1571,3491,1561,3493,1549,3489,1523,3484,1513,3483,1512,3483,1563,3480,1571,3467,1585,3459,1587,3450,1587,3442,1585,3433,1581,3424,1575,3415,1567,3407,1557,3401,1547,3397,1539,3395,1529,3395,1521,3398,1513,3404,1505,3409,1501,3414,1499,3425,1495,3431,1497,3446,1503,3455,1509,3475,1531,3482,1541,3483,1563,3483,1512,3475,1503,3466,1495,3457,1491,3447,1487,3437,1485,3422,1485,3410,1491,3401,1501,3394,1509,3389,1519,3387,1529,3386,1539,3387,1551,3390,1561,3395,1571,3402,1579,3410,1587,3417,1591,3432,1597,3440,1599,3448,1597,3453,1597,3459,1595,3467,1591,3482,1591,3499,1587,3507,1583,3520,1575,3532,1563m3558,1828l3549,1808,3547,1810,3548,1812,3548,1814,3547,1818,3547,1822,3544,1824,3541,1828,3518,1852,3518,1848,3518,1836,3517,1802,3515,1792,3512,1782,3510,1776,3507,1772,3498,1762,3491,1760,3476,1760,3469,1764,3457,1776,3454,1782,3454,1798,3457,1806,3462,1814,3464,1812,3462,1806,3461,1800,3462,1790,3464,1786,3472,1778,3477,1776,3489,1776,3494,1778,3505,1790,3509,1800,3511,1812,3513,1824,3513,1836,3513,1852,3513,1869,3515,1871,3535,1852,3558,1828m3559,1493l3557,1491,3553,1495,3551,1497,3546,1497,3541,1493,3495,1445,3474,1423,3472,1425,3463,1453,3466,1455,3467,1451,3468,1449,3471,1447,3472,1445,3475,1445,3479,1447,3482,1451,3532,1503,3534,1507,3535,1509,3535,1511,3532,1517,3529,1519,3531,1523,3555,1497,3559,1493m3610,1762l3609,1754,3603,1738,3603,1768,3602,1776,3601,1778,3595,1784,3589,1786,3572,1778,3563,1770,3553,1760,3546,1754,3541,1746,3530,1730,3527,1724,3526,1714,3527,1710,3532,1706,3534,1704,3545,1704,3558,1712,3566,1718,3586,1738,3594,1748,3598,1758,3601,1762,3603,1768,3603,1738,3602,1736,3596,1728,3587,1718,3578,1710,3569,1704,3559,1698,3550,1696,3540,1696,3532,1698,3522,1708,3520,1712,3518,1726,3519,1734,3526,1752,3532,1760,3541,1770,3551,1780,3561,1786,3585,1794,3595,1792,3600,1786,3606,1780,3608,1776,3610,1762m3671,1698l3670,1690,3663,1674,3663,1704,3663,1712,3661,1714,3655,1722,3650,1722,3633,1714,3624,1706,3614,1696,3607,1690,3601,1682,3590,1666,3587,1660,3587,1650,3588,1646,3592,1642,3595,1640,3601,1640,3606,1642,3619,1648,3627,1654,3646,1676,3654,1686,3659,1694,3662,1700,3663,1704,3663,1674,3663,1672,3657,1664,3648,1654,3639,1646,3630,1640,3620,1636,3611,1634,3600,1632,3592,1634,3583,1644,3581,1648,3579,1662,3580,1670,3587,1688,3593,1698,3602,1706,3611,1716,3622,1722,3646,1730,3656,1728,3662,1722,3666,1718,3669,1712,3671,1698m3723,1658l3681,1573,3674,1557,3672,1555,3632,1597,3643,1622,3645,1620,3643,1615,3643,1611,3644,1605,3645,1603,3648,1599,3672,1573,3716,1666,3723,1658m3851,1563l3851,1563,3845,1569,3839,1573,3832,1573,3824,1575,3816,1575,3805,1571,3811,1561,3813,1549,3809,1523,3804,1513,3803,1512,3803,1563,3800,1571,3793,1579,3787,1585,3779,1587,3770,1587,3761,1585,3753,1581,3744,1575,3735,1567,3727,1557,3721,1547,3717,1539,3715,1529,3715,1521,3718,1513,3724,1505,3728,1501,3733,1499,3739,1497,3745,1495,3751,1497,3766,1503,3775,1509,3795,1531,3801,1541,3803,1553,3803,1563,3803,1512,3795,1503,3786,1495,3777,1491,3767,1487,3757,1485,3742,1485,3730,1491,3721,1501,3714,1509,3709,1519,3706,1529,3706,1539,3707,1551,3710,1561,3715,1571,3722,1579,3729,1587,3737,1591,3744,1595,3752,1597,3760,1599,3768,1597,3773,1597,3779,1595,3787,1591,3802,1591,3819,1587,3826,1583,3834,1579,3840,1575,3851,1563m3878,1828l3869,1808,3867,1810,3868,1812,3868,1814,3867,1818,3866,1822,3865,1824,3864,1824,3861,1828,3838,1852,3838,1848,3837,1802,3835,1792,3832,1782,3829,1776,3827,1772,3823,1768,3818,1762,3811,1760,3795,1760,3789,1764,3783,1770,3777,1776,3774,1782,3774,1798,3777,1806,3782,1814,3784,1812,3782,1806,3781,1800,3782,1790,3784,1786,3792,1778,3797,1776,3809,1776,3814,1778,3819,1784,3825,1790,3829,1800,3831,1812,3832,1824,3833,1838,3833,1852,3833,1869,3835,1871,3854,1852,3878,1828m3879,1493l3877,1491,3873,1495,3871,1497,3866,1497,3863,1495,3860,1493,3856,1489,3815,1445,3794,1423,3792,1425,3783,1453,3786,1455,3787,1451,3788,1449,3791,1447,3791,1445,3795,1445,3797,1447,3799,1447,3802,1451,3852,1503,3854,1507,3855,1507,3855,1509,3855,1511,3855,1511,3854,1513,3852,1517,3849,1519,3851,1523,3875,1497,3879,1493m3930,1762l3929,1754,3925,1746,3923,1738,3923,1768,3922,1776,3921,1778,3919,1780,3915,1784,3909,1786,3901,1782,3892,1778,3883,1770,3873,1760,3866,1754,3860,1746,3849,1730,3846,1724,3846,1718,3846,1714,3847,1710,3851,1706,3854,1704,3865,1704,3871,1708,3878,1712,3886,1718,3894,1726,3906,1738,3914,1748,3918,1758,3921,1762,3923,1768,3923,1738,3922,1736,3916,1728,3907,1718,3898,1710,3889,1704,3879,1698,3870,1696,3859,1696,3851,1698,3846,1704,3842,1708,3840,1712,3839,1718,3838,1726,3839,1734,3843,1742,3846,1752,3852,1760,3861,1770,3871,1780,3881,1786,3905,1794,3915,1792,3920,1786,3922,1784,3925,1780,3928,1776,3929,1768,3930,1762m3991,1698l3990,1690,3986,1682,3983,1674,3983,1704,3983,1712,3981,1714,3979,1718,3975,1722,3970,1722,3962,1718,3953,1714,3944,1706,3933,1696,3927,1690,3921,1682,3916,1674,3910,1666,3907,1660,3907,1654,3907,1650,3908,1646,3912,1642,3915,1640,3921,1640,3926,1642,3931,1644,3939,1648,3947,1654,3955,1664,3966,1676,3974,1686,3982,1700,3983,1704,3983,1674,3983,1672,3977,1664,3968,1654,3959,1646,3949,1640,3940,1636,3931,1634,3920,1632,3912,1634,3907,1640,3903,1644,3901,1648,3900,1654,3899,1662,3900,1670,3903,1680,3907,1688,3913,1698,3921,1706,3931,1716,3942,1722,3953,1726,3966,1730,3976,1728,3981,1722,3983,1720,3986,1718,3989,1712,3991,1698m4054,1626l4052,1620,4048,1616,4048,1634,4048,1642,4048,1644,4046,1648,4042,1652,4038,1656,4033,1658,4022,1658,4017,1656,4013,1650,4009,1648,4007,1644,4004,1634,4003,1628,4004,1622,4017,1622,4028,1620,4038,1622,4041,1624,4043,1628,4046,1630,4048,1634,4048,1616,4046,1615,4042,1611,4037,1609,4026,1607,4018,1607,4006,1609,4008,1599,4009,1591,4008,1585,4008,1581,4006,1577,4004,1575,4003,1573,4002,1572,4002,1603,4002,1609,3985,1611,3979,1611,3973,1609,3970,1607,3966,1603,3964,1599,3965,1589,3967,1585,3970,1581,3974,1577,3978,1575,3987,1575,3991,1577,3997,1583,4000,1587,4001,1591,4002,1595,4002,1597,4002,1603,4002,1572,3999,1569,3993,1567,3979,1569,3973,1571,3961,1583,3958,1591,3957,1605,3960,1613,3965,1617,3968,1620,3971,1622,3981,1624,3999,1624,3997,1632,3997,1640,3999,1652,4001,1656,4009,1664,4014,1666,4029,1668,4037,1664,4042,1658,4044,1656,4050,1650,4054,1642,4054,1636,4054,1626m4171,1563l4171,1563,4165,1569,4159,1573,4144,1575,4135,1575,4125,1571,4131,1561,4133,1549,4131,1537,4129,1523,4124,1513,4123,1512,4123,1563,4120,1571,4113,1579,4107,1585,4099,1587,4090,1587,4081,1585,4073,1581,4064,1575,4055,1567,4047,1557,4041,1547,4037,1539,4035,1529,4034,1521,4038,1513,4044,1505,4048,1501,4053,1499,4064,1495,4071,1497,4086,1503,4095,1509,4115,1531,4121,1541,4123,1563,4123,1512,4115,1503,4106,1495,4097,1491,4087,1487,4076,1485,4062,1485,4050,1491,4041,1501,4034,1509,4029,1519,4026,1529,4025,1539,4027,1551,4030,1561,4035,1571,4042,1579,4049,1587,4057,1591,4064,1595,4080,1599,4087,1597,4093,1597,4099,1595,4106,1591,4122,1591,4138,1587,4146,1583,4154,1579,4160,1575,4171,1563m4198,1828l4189,1808,4187,1810,4188,1812,4188,1814,4186,1822,4184,1824,4181,1828,4177,1832,4158,1852,4158,1836,4157,1816,4157,1802,4155,1792,4151,1782,4149,1776,4147,1772,4143,1768,4138,1762,4131,1760,4115,1760,4108,1764,4102,1770,4097,1776,4094,1782,4093,1798,4096,1806,4102,1814,4104,1812,4102,1806,4101,1800,4102,1790,4104,1786,4112,1778,4117,1776,4128,1776,4134,1778,4139,1784,4145,1790,4149,1800,4151,1812,4152,1824,4153,1836,4153,1852,4153,1869,4155,1871,4174,1852,4198,1828m4199,1493l4197,1491,4193,1495,4191,1497,4184,1497,4183,1495,4180,1493,4176,1489,4135,1445,4114,1423,4112,1425,4103,1453,4106,1455,4107,1451,4108,1449,4110,1447,4111,1445,4115,1445,4119,1447,4122,1451,4172,1503,4174,1507,4175,1507,4175,1509,4175,1511,4175,1511,4174,1513,4172,1517,4169,1519,4171,1523,4195,1497,4199,1493m4250,1762l4249,1754,4245,1746,4242,1738,4242,1768,4242,1776,4240,1778,4234,1784,4229,1786,4212,1778,4203,1770,4192,1760,4186,1754,4180,1746,4169,1730,4166,1724,4166,1718,4166,1714,4167,1710,4174,1704,4185,1704,4198,1712,4206,1718,4214,1726,4225,1738,4233,1748,4241,1762,4242,1768,4242,1738,4242,1736,4236,1728,4227,1718,4218,1710,4209,1704,4199,1698,4190,1696,4179,1696,4171,1698,4166,1704,4162,1708,4160,1712,4159,1718,4158,1726,4159,1734,4163,1742,4166,1752,4172,1760,4181,1770,4190,1780,4201,1786,4225,1794,4235,1792,4240,1786,4242,1784,4245,1780,4248,1776,4250,1762m4311,1698l4310,1690,4306,1682,4303,1674,4303,1704,4303,1708,4302,1712,4301,1714,4299,1718,4295,1722,4289,1722,4282,1718,4273,1714,4264,1706,4253,1696,4247,1690,4241,1682,4230,1666,4227,1660,4227,1654,4226,1650,4228,1646,4234,1640,4241,1640,4246,1642,4251,1644,4259,1648,4266,1654,4275,1664,4286,1676,4294,1686,4302,1700,4303,1704,4303,1674,4302,1672,4296,1664,4288,1654,4279,1646,4269,1640,4260,1636,4250,1634,4240,1632,4232,1634,4226,1640,4223,1644,4221,1648,4220,1654,4219,1662,4220,1670,4223,1680,4227,1688,4233,1698,4241,1706,4251,1716,4262,1722,4285,1730,4296,1728,4301,1722,4302,1720,4306,1718,4308,1712,4311,1698m4361,1638l4361,1626,4356,1611,4354,1605,4349,1593,4341,1585,4338,1582,4338,1605,4337,1609,4336,1613,4335,1615,4334,1618,4332,1620,4327,1626,4322,1628,4309,1626,4302,1620,4288,1607,4285,1603,4285,1597,4284,1591,4286,1587,4292,1581,4295,1579,4304,1579,4309,1581,4314,1583,4319,1587,4324,1589,4327,1593,4330,1597,4334,1601,4338,1605,4338,1582,4335,1579,4332,1575,4321,1571,4310,1569,4300,1569,4293,1571,4279,1585,4277,1595,4278,1605,4280,1615,4284,1622,4297,1636,4304,1640,4319,1640,4326,1638,4336,1628,4339,1620,4341,1611,4346,1618,4349,1628,4352,1644,4352,1654,4350,1660,4348,1668,4344,1672,4340,1678,4342,1680,4345,1676,4352,1670,4356,1660,4358,1650,4361,1638m4491,1563l4491,1563,4485,1569,4479,1573,4471,1573,4464,1575,4455,1575,4445,1571,4451,1561,4453,1549,4451,1537,4449,1523,4444,1513,4443,1512,4443,1563,4440,1571,4433,1579,4427,1585,4419,1587,4410,1587,4401,1585,4392,1581,4384,1575,4375,1567,4367,1557,4361,1547,4357,1539,4355,1529,4354,1521,4357,1513,4364,1505,4368,1501,4373,1499,4384,1495,4391,1497,4406,1503,4415,1509,4435,1531,4441,1541,4443,1563,4443,1512,4435,1503,4426,1495,4417,1491,4407,1487,4396,1485,4382,1485,4370,1491,4360,1501,4354,1509,4349,1519,4346,1529,4346,1537,4346,1541,4347,1551,4350,1561,4355,1571,4362,1579,4369,1587,4376,1591,4392,1597,4399,1599,4407,1597,4413,1597,4419,1595,4426,1591,4442,1591,4458,1587,4466,1583,4474,1579,4480,1575,4491,1563m4518,1828l4509,1808,4507,1810,4508,1812,4508,1814,4507,1818,4506,1822,4505,1824,4504,1824,4501,1828,4478,1852,4478,1848,4476,1802,4474,1792,4471,1782,4469,1776,4466,1772,4463,1768,4457,1762,4451,1760,4435,1760,4428,1764,4422,1770,4417,1776,4414,1782,4413,1798,4416,1806,4422,1814,4424,1812,4421,1806,4420,1800,4422,1790,4424,1786,4432,1778,4437,1776,4448,1776,4454,1778,4458,1784,4464,1790,4469,1800,4471,1812,4472,1824,4473,1838,4473,1852,4472,1869,4474,1871,4494,1852,4518,1828m4519,1493l4516,1491,4513,1495,4510,1497,4506,1497,4503,1495,4500,1493,4496,1489,4455,1445,4434,1423,4432,1425,4423,1453,4425,1455,4427,1451,4428,1449,4430,1447,4431,1445,4435,1445,4436,1447,4438,1447,4442,1451,4492,1503,4494,1507,4494,1507,4495,1509,4495,1511,4494,1511,4494,1513,4492,1517,4489,1519,4491,1523,4515,1497,4519,1493m4570,1762l4569,1754,4565,1746,4562,1738,4562,1768,4562,1776,4560,1778,4558,1780,4554,1784,4549,1786,4541,1782,4532,1778,4523,1770,4512,1760,4506,1754,4500,1746,4495,1738,4489,1730,4486,1724,4486,1718,4486,1714,4487,1710,4491,1706,4494,1704,4505,1704,4510,1708,4518,1712,4526,1718,4534,1726,4545,1738,4553,1748,4561,1762,4562,1768,4562,1738,4562,1736,4556,1728,4547,1718,4538,1710,4528,1704,4519,1698,4510,1696,4499,1696,4491,1698,4486,1704,4482,1708,4480,1712,4479,1718,4478,1726,4479,1734,4482,1742,4486,1752,4492,1760,4500,1770,4510,1780,4521,1786,4532,1790,4545,1794,4555,1792,4560,1786,4562,1784,4565,1780,4568,1776,4569,1768,4570,1762m4636,1704l4634,1702,4630,1706,4628,1708,4620,1708,4617,1704,4613,1700,4571,1656,4551,1636,4549,1636,4540,1664,4543,1666,4544,1662,4545,1660,4548,1658,4549,1656,4552,1656,4554,1658,4556,1658,4559,1662,4565,1668,4604,1710,4609,1714,4611,1718,4612,1718,4612,1720,4612,1722,4612,1724,4611,1724,4609,1728,4606,1732,4608,1734,4632,1708,4636,1704m4691,1634l4690,1626,4687,1618,4684,1610,4684,1640,4683,1648,4682,1652,4676,1658,4670,1658,4654,1650,4644,1644,4634,1632,4628,1626,4622,1618,4611,1605,4608,1597,4607,1591,4607,1587,4608,1583,4615,1577,4622,1577,4626,1579,4639,1585,4647,1591,4655,1601,4667,1613,4675,1622,4682,1636,4684,1640,4684,1610,4683,1609,4677,1601,4668,1593,4659,1583,4650,1577,4641,1573,4631,1571,4621,1569,4613,1571,4607,1577,4604,1581,4601,1585,4601,1591,4599,1599,4600,1607,4604,1617,4608,1624,4613,1634,4622,1642,4632,1652,4642,1660,4666,1666,4676,1664,4683,1658,4687,1654,4689,1648,4691,1634m4811,1563l4811,1563,4805,1569,4799,1573,4784,1575,4775,1575,4765,1571,4771,1561,4773,1549,4771,1537,4769,1523,4764,1513,4763,1512,4763,1563,4760,1571,4753,1579,4747,1585,4739,1587,4730,1587,4721,1585,4712,1581,4703,1575,4694,1567,4686,1557,4680,1547,4677,1539,4675,1529,4674,1521,4677,1513,4684,1505,4688,1501,4693,1499,4699,1497,4704,1495,4711,1497,4726,1503,4735,1509,4744,1519,4755,1531,4761,1541,4763,1563,4763,1512,4755,1503,4746,1495,4737,1491,4727,1487,4716,1485,4702,1485,4690,1491,4680,1501,4674,1509,4669,1519,4666,1529,4665,1539,4666,1551,4670,1561,4675,1571,4682,1579,4689,1587,4696,1591,4704,1595,4711,1597,4719,1599,4727,1597,4733,1597,4739,1595,4746,1591,4762,1591,4778,1587,4786,1583,4794,1579,4800,1575,4811,1563m4838,1828l4829,1808,4827,1810,4827,1812,4828,1814,4826,1822,4823,1824,4821,1828,4817,1832,4798,1852,4798,1848,4796,1802,4794,1792,4791,1782,4789,1776,4786,1772,4783,1768,4777,1762,4771,1760,4755,1760,4748,1764,4742,1770,4736,1776,4734,1782,4734,1784,4733,1798,4736,1806,4742,1814,4744,1812,4741,1806,4740,1800,4742,1790,4744,1786,4752,1778,4757,1776,4768,1776,4774,1778,4778,1784,4784,1790,4789,1800,4791,1812,4792,1824,4793,1836,4793,1852,4792,1869,4794,1871,4814,1852,4838,1828m4838,1493l4836,1491,4833,1495,4830,1497,4824,1497,4823,1495,4820,1493,4816,1489,4774,1445,4754,1423,4752,1425,4743,1453,4745,1455,4746,1451,4748,1449,4750,1447,4751,1445,4755,1445,4756,1447,4758,1447,4762,1451,4807,1499,4812,1503,4815,1509,4815,1511,4814,1513,4812,1517,4808,1519,4811,1523,4835,1497,4838,1493m4890,1762l4889,1754,4885,1746,4882,1738,4882,1768,4882,1772,4881,1776,4880,1778,4878,1780,4874,1784,4868,1786,4861,1782,4852,1778,4843,1770,4832,1760,4826,1754,4820,1746,4809,1730,4806,1724,4806,1718,4805,1714,4807,1710,4813,1704,4825,1704,4830,1708,4838,1712,4845,1718,4854,1726,4865,1738,4873,1748,4881,1762,4882,1768,4882,1738,4881,1736,4875,1728,4867,1718,4858,1710,4848,1704,4839,1698,4829,1696,4819,1696,4811,1698,4805,1704,4802,1708,4800,1712,4799,1718,4798,1726,4799,1734,4802,1742,4806,1752,4812,1760,4820,1770,4830,1780,4841,1786,4864,1794,4875,1792,4880,1786,4881,1784,4885,1780,4887,1776,4890,1762m4956,1704l4954,1702,4950,1706,4948,1708,4940,1708,4937,1704,4933,1700,4890,1656,4871,1636,4869,1636,4860,1664,4863,1666,4864,1662,4865,1660,4867,1658,4868,1656,4872,1656,4876,1658,4879,1662,4929,1714,4931,1718,4932,1718,4932,1720,4932,1722,4932,1724,4931,1724,4929,1728,4926,1732,4928,1734,4952,1708,4956,1704m5016,1640l5014,1638,5011,1642,5009,1644,5001,1644,4998,1640,4994,1636,4951,1593,4932,1573,4930,1575,4921,1603,4923,1603,4925,1599,4926,1597,4928,1595,4929,1593,4932,1593,4933,1595,4934,1595,4936,1597,4940,1599,4945,1605,4985,1646,4990,1650,4992,1654,4992,1654,4993,1656,4993,1658,4992,1660,4992,1662,4990,1664,4987,1668,4989,1670,5013,1644,5016,1640m5131,1563l5131,1563,5125,1569,5118,1573,5104,1575,5095,1575,5085,1571,5091,1561,5093,1549,5091,1537,5089,1523,5084,1513,5083,1512,5083,1563,5080,1571,5073,1579,5066,1585,5059,1587,5050,1587,5041,1585,5032,1581,5023,1575,5014,1567,5006,1557,5000,1547,4997,1539,4995,1529,4994,1521,4997,1513,5004,1505,5008,1501,5013,1499,5024,1495,5030,1497,5037,1499,5046,1503,5055,1509,5075,1531,5081,1541,5083,1563,5083,1512,5074,1503,5066,1495,5057,1491,5047,1487,5036,1485,5022,1485,5010,1491,5000,1501,4993,1509,4989,1519,4986,1529,4985,1539,4986,1551,4990,1561,4995,1571,5002,1579,5009,1587,5016,1591,5031,1597,5039,1599,5047,1597,5052,1597,5059,1595,5066,1591,5081,1591,5098,1587,5106,1583,5120,1575,5131,1563m5158,1493l5156,1491,5153,1495,5150,1497,5145,1497,5140,1493,5136,1489,5094,1445,5074,1423,5072,1425,5063,1453,5065,1455,5066,1451,5068,1449,5070,1447,5071,1445,5075,1445,5076,1447,5078,1447,5082,1451,5131,1503,5134,1507,5134,1507,5135,1509,5135,1511,5134,1511,5134,1513,5132,1517,5128,1519,5131,1523,5155,1497,5158,1493e" filled="true" fillcolor="#000000" stroked="false">
              <v:path arrowok="t"/>
              <v:fill type="solid"/>
            </v:shape>
            <w10:wrap type="none"/>
          </v:group>
        </w:pict>
      </w:r>
      <w:r>
        <w:rPr>
          <w:rFonts w:ascii="Calibri"/>
          <w:sz w:val="19"/>
        </w:rPr>
        <w:t>0.60</w:t>
      </w:r>
    </w:p>
    <w:p>
      <w:pPr>
        <w:spacing w:before="146"/>
        <w:ind w:left="285" w:right="0" w:firstLine="0"/>
        <w:jc w:val="center"/>
        <w:rPr>
          <w:rFonts w:ascii="Calibri"/>
          <w:sz w:val="19"/>
        </w:rPr>
      </w:pPr>
      <w:r>
        <w:rPr>
          <w:rFonts w:ascii="Calibri"/>
          <w:sz w:val="19"/>
        </w:rPr>
        <w:t>0.40</w:t>
      </w:r>
    </w:p>
    <w:p>
      <w:pPr>
        <w:spacing w:before="146"/>
        <w:ind w:left="285" w:right="0" w:firstLine="0"/>
        <w:jc w:val="center"/>
        <w:rPr>
          <w:rFonts w:ascii="Calibri"/>
          <w:sz w:val="19"/>
        </w:rPr>
      </w:pPr>
      <w:r>
        <w:rPr>
          <w:rFonts w:ascii="Calibri"/>
          <w:sz w:val="19"/>
        </w:rPr>
        <w:t>0.20</w:t>
      </w:r>
    </w:p>
    <w:p>
      <w:pPr>
        <w:spacing w:before="146"/>
        <w:ind w:left="0" w:right="137" w:firstLine="0"/>
        <w:jc w:val="right"/>
        <w:rPr>
          <w:rFonts w:ascii="Calibri"/>
          <w:sz w:val="19"/>
        </w:rPr>
      </w:pPr>
      <w:r>
        <w:rPr>
          <w:rFonts w:ascii="Calibri"/>
          <w:w w:val="98"/>
          <w:sz w:val="19"/>
        </w:rPr>
        <w:t>-</w:t>
      </w:r>
    </w:p>
    <w:p>
      <w:pPr>
        <w:spacing w:before="147"/>
        <w:ind w:left="275" w:right="0" w:firstLine="0"/>
        <w:jc w:val="center"/>
        <w:rPr>
          <w:rFonts w:ascii="Calibri"/>
          <w:sz w:val="19"/>
        </w:rPr>
      </w:pPr>
      <w:r>
        <w:rPr>
          <w:rFonts w:ascii="Calibri"/>
          <w:sz w:val="19"/>
        </w:rPr>
        <w:t>(0.20)</w:t>
      </w:r>
    </w:p>
    <w:p>
      <w:pPr>
        <w:spacing w:before="146"/>
        <w:ind w:left="275" w:right="0" w:firstLine="0"/>
        <w:jc w:val="center"/>
        <w:rPr>
          <w:rFonts w:ascii="Calibri"/>
          <w:sz w:val="19"/>
        </w:rPr>
      </w:pPr>
      <w:r>
        <w:rPr>
          <w:rFonts w:ascii="Calibri"/>
          <w:sz w:val="19"/>
        </w:rPr>
        <w:t>(0.40)</w:t>
      </w:r>
    </w:p>
    <w:p>
      <w:pPr>
        <w:spacing w:before="49"/>
        <w:ind w:left="275" w:right="-15" w:firstLine="0"/>
        <w:jc w:val="left"/>
        <w:rPr>
          <w:rFonts w:ascii="Calibri"/>
          <w:sz w:val="19"/>
        </w:rPr>
      </w:pPr>
      <w:r>
        <w:rPr/>
        <w:br w:type="column"/>
      </w:r>
      <w:r>
        <w:rPr>
          <w:rFonts w:ascii="Calibri"/>
          <w:sz w:val="19"/>
        </w:rPr>
        <w:t>0.08</w:t>
      </w:r>
    </w:p>
    <w:p>
      <w:pPr>
        <w:spacing w:before="146"/>
        <w:ind w:left="275" w:right="-15" w:firstLine="0"/>
        <w:jc w:val="left"/>
        <w:rPr>
          <w:rFonts w:ascii="Calibri"/>
          <w:sz w:val="19"/>
        </w:rPr>
      </w:pPr>
      <w:r>
        <w:rPr>
          <w:rFonts w:ascii="Calibri"/>
          <w:sz w:val="19"/>
        </w:rPr>
        <w:t>0.04</w:t>
      </w:r>
    </w:p>
    <w:p>
      <w:pPr>
        <w:spacing w:line="391" w:lineRule="auto" w:before="146"/>
        <w:ind w:left="283" w:right="-15" w:hanging="5"/>
        <w:jc w:val="left"/>
        <w:rPr>
          <w:rFonts w:ascii="Calibri"/>
          <w:sz w:val="19"/>
        </w:rPr>
      </w:pPr>
      <w:r>
        <w:rPr>
          <w:rFonts w:ascii="Calibri"/>
          <w:sz w:val="19"/>
        </w:rPr>
        <w:t>- (0.04)</w:t>
      </w:r>
    </w:p>
    <w:p>
      <w:pPr>
        <w:spacing w:before="1"/>
        <w:ind w:left="283" w:right="-15" w:firstLine="0"/>
        <w:jc w:val="left"/>
        <w:rPr>
          <w:rFonts w:ascii="Calibri"/>
          <w:sz w:val="19"/>
        </w:rPr>
      </w:pPr>
      <w:r>
        <w:rPr>
          <w:rFonts w:ascii="Calibri"/>
          <w:sz w:val="19"/>
        </w:rPr>
        <w:t>(0.08)</w:t>
      </w:r>
    </w:p>
    <w:p>
      <w:pPr>
        <w:spacing w:before="146"/>
        <w:ind w:left="283" w:right="-15" w:firstLine="0"/>
        <w:jc w:val="left"/>
        <w:rPr>
          <w:rFonts w:ascii="Calibri"/>
          <w:sz w:val="19"/>
        </w:rPr>
      </w:pPr>
      <w:r>
        <w:rPr>
          <w:rFonts w:ascii="Calibri"/>
          <w:sz w:val="19"/>
        </w:rPr>
        <w:t>(0.12)</w:t>
      </w:r>
    </w:p>
    <w:p>
      <w:pPr>
        <w:spacing w:before="49"/>
        <w:ind w:left="247" w:right="0" w:firstLine="0"/>
        <w:jc w:val="center"/>
        <w:rPr>
          <w:rFonts w:ascii="Calibri"/>
          <w:sz w:val="19"/>
        </w:rPr>
      </w:pPr>
      <w:r>
        <w:rPr/>
        <w:br w:type="column"/>
      </w:r>
      <w:r>
        <w:rPr>
          <w:rFonts w:ascii="Calibri"/>
          <w:w w:val="105"/>
          <w:sz w:val="19"/>
        </w:rPr>
        <w:t>0.60</w:t>
      </w:r>
    </w:p>
    <w:p>
      <w:pPr>
        <w:spacing w:before="146"/>
        <w:ind w:left="247" w:right="0" w:firstLine="0"/>
        <w:jc w:val="center"/>
        <w:rPr>
          <w:rFonts w:ascii="Calibri"/>
          <w:sz w:val="19"/>
        </w:rPr>
      </w:pPr>
      <w:r>
        <w:rPr>
          <w:rFonts w:ascii="Calibri"/>
          <w:w w:val="105"/>
          <w:sz w:val="19"/>
        </w:rPr>
        <w:t>0.40</w:t>
      </w:r>
    </w:p>
    <w:p>
      <w:pPr>
        <w:spacing w:before="146"/>
        <w:ind w:left="247" w:right="0" w:firstLine="0"/>
        <w:jc w:val="center"/>
        <w:rPr>
          <w:rFonts w:ascii="Calibri"/>
          <w:sz w:val="19"/>
        </w:rPr>
      </w:pPr>
      <w:r>
        <w:rPr>
          <w:rFonts w:ascii="Calibri"/>
          <w:w w:val="105"/>
          <w:sz w:val="19"/>
        </w:rPr>
        <w:t>0.20</w:t>
      </w:r>
    </w:p>
    <w:p>
      <w:pPr>
        <w:spacing w:before="146"/>
        <w:ind w:left="0" w:right="141" w:firstLine="0"/>
        <w:jc w:val="right"/>
        <w:rPr>
          <w:rFonts w:ascii="Calibri"/>
          <w:sz w:val="19"/>
        </w:rPr>
      </w:pPr>
      <w:r>
        <w:rPr>
          <w:rFonts w:ascii="Calibri"/>
          <w:w w:val="102"/>
          <w:sz w:val="19"/>
        </w:rPr>
        <w:t>-</w:t>
      </w:r>
    </w:p>
    <w:p>
      <w:pPr>
        <w:spacing w:before="147"/>
        <w:ind w:left="235" w:right="0" w:firstLine="0"/>
        <w:jc w:val="center"/>
        <w:rPr>
          <w:rFonts w:ascii="Calibri"/>
          <w:sz w:val="19"/>
        </w:rPr>
      </w:pPr>
      <w:r>
        <w:rPr>
          <w:rFonts w:ascii="Calibri"/>
          <w:w w:val="105"/>
          <w:sz w:val="19"/>
        </w:rPr>
        <w:t>(0.20)</w:t>
      </w:r>
    </w:p>
    <w:p>
      <w:pPr>
        <w:spacing w:before="146"/>
        <w:ind w:left="235" w:right="0" w:firstLine="0"/>
        <w:jc w:val="center"/>
        <w:rPr>
          <w:rFonts w:ascii="Calibri"/>
          <w:sz w:val="19"/>
        </w:rPr>
      </w:pPr>
      <w:r>
        <w:rPr>
          <w:rFonts w:ascii="Calibri"/>
          <w:w w:val="105"/>
          <w:sz w:val="19"/>
        </w:rPr>
        <w:t>(0.40)</w:t>
      </w:r>
    </w:p>
    <w:p>
      <w:pPr>
        <w:pStyle w:val="Heading4"/>
        <w:spacing w:line="280" w:lineRule="exact"/>
        <w:ind w:left="275" w:right="-20" w:firstLine="0"/>
        <w:rPr>
          <w:rFonts w:ascii="Constantia"/>
        </w:rPr>
      </w:pPr>
      <w:r>
        <w:rPr>
          <w:b w:val="0"/>
        </w:rPr>
        <w:br w:type="column"/>
      </w:r>
      <w:r>
        <w:rPr>
          <w:rFonts w:ascii="Constantia"/>
          <w:spacing w:val="-4"/>
        </w:rPr>
        <w:t>PIB </w:t>
      </w:r>
      <w:r>
        <w:rPr>
          <w:rFonts w:ascii="Constantia"/>
        </w:rPr>
        <w:t>(d)</w:t>
      </w:r>
    </w:p>
    <w:p>
      <w:pPr>
        <w:spacing w:before="49"/>
        <w:ind w:left="275" w:right="0" w:firstLine="0"/>
        <w:jc w:val="left"/>
        <w:rPr>
          <w:rFonts w:ascii="Calibri"/>
          <w:sz w:val="19"/>
        </w:rPr>
      </w:pPr>
      <w:r>
        <w:rPr/>
        <w:br w:type="column"/>
      </w:r>
      <w:r>
        <w:rPr>
          <w:rFonts w:ascii="Calibri"/>
          <w:w w:val="105"/>
          <w:sz w:val="19"/>
        </w:rPr>
        <w:t>0.08</w:t>
      </w:r>
    </w:p>
    <w:p>
      <w:pPr>
        <w:pStyle w:val="BodyText"/>
        <w:spacing w:before="9"/>
        <w:rPr>
          <w:rFonts w:ascii="Calibri"/>
          <w:sz w:val="19"/>
        </w:rPr>
      </w:pPr>
    </w:p>
    <w:p>
      <w:pPr>
        <w:spacing w:before="0"/>
        <w:ind w:left="275" w:right="0" w:firstLine="0"/>
        <w:jc w:val="left"/>
        <w:rPr>
          <w:rFonts w:ascii="Calibri"/>
          <w:sz w:val="19"/>
        </w:rPr>
      </w:pPr>
      <w:r>
        <w:rPr>
          <w:rFonts w:ascii="Calibri"/>
          <w:w w:val="105"/>
          <w:sz w:val="19"/>
        </w:rPr>
        <w:t>0.04</w:t>
      </w:r>
    </w:p>
    <w:p>
      <w:pPr>
        <w:pStyle w:val="BodyText"/>
        <w:spacing w:before="9"/>
        <w:rPr>
          <w:rFonts w:ascii="Calibri"/>
          <w:sz w:val="19"/>
        </w:rPr>
      </w:pPr>
    </w:p>
    <w:p>
      <w:pPr>
        <w:spacing w:before="0"/>
        <w:ind w:left="279" w:right="0" w:firstLine="0"/>
        <w:jc w:val="left"/>
        <w:rPr>
          <w:rFonts w:ascii="Calibri"/>
          <w:sz w:val="19"/>
        </w:rPr>
      </w:pPr>
      <w:r>
        <w:rPr>
          <w:rFonts w:ascii="Calibri"/>
          <w:w w:val="102"/>
          <w:sz w:val="19"/>
        </w:rPr>
        <w:t>-</w:t>
      </w:r>
    </w:p>
    <w:p>
      <w:pPr>
        <w:pStyle w:val="BodyText"/>
        <w:spacing w:before="9"/>
        <w:rPr>
          <w:rFonts w:ascii="Calibri"/>
          <w:sz w:val="19"/>
        </w:rPr>
      </w:pPr>
    </w:p>
    <w:p>
      <w:pPr>
        <w:spacing w:before="0"/>
        <w:ind w:left="283" w:right="0" w:firstLine="0"/>
        <w:jc w:val="left"/>
        <w:rPr>
          <w:rFonts w:ascii="Calibri"/>
          <w:sz w:val="19"/>
        </w:rPr>
      </w:pPr>
      <w:r>
        <w:rPr>
          <w:rFonts w:ascii="Calibri"/>
          <w:w w:val="105"/>
          <w:sz w:val="19"/>
        </w:rPr>
        <w:t>(0.04)</w:t>
      </w:r>
    </w:p>
    <w:p>
      <w:pPr>
        <w:pStyle w:val="BodyText"/>
        <w:spacing w:before="9"/>
        <w:rPr>
          <w:rFonts w:ascii="Calibri"/>
          <w:sz w:val="19"/>
        </w:rPr>
      </w:pPr>
    </w:p>
    <w:p>
      <w:pPr>
        <w:spacing w:before="0"/>
        <w:ind w:left="283" w:right="0" w:firstLine="0"/>
        <w:jc w:val="left"/>
        <w:rPr>
          <w:rFonts w:ascii="Calibri"/>
          <w:sz w:val="19"/>
        </w:rPr>
      </w:pPr>
      <w:r>
        <w:rPr>
          <w:rFonts w:ascii="Calibri"/>
          <w:w w:val="105"/>
          <w:sz w:val="19"/>
        </w:rPr>
        <w:t>(0.08)</w:t>
      </w:r>
    </w:p>
    <w:p>
      <w:pPr>
        <w:spacing w:after="0"/>
        <w:jc w:val="left"/>
        <w:rPr>
          <w:rFonts w:ascii="Calibri"/>
          <w:sz w:val="19"/>
        </w:rPr>
        <w:sectPr>
          <w:type w:val="continuous"/>
          <w:pgSz w:w="12250" w:h="15850"/>
          <w:pgMar w:top="1500" w:bottom="280" w:left="1600" w:right="1600"/>
          <w:cols w:num="5" w:equalWidth="0">
            <w:col w:w="736" w:space="2840"/>
            <w:col w:w="741" w:space="40"/>
            <w:col w:w="713" w:space="1308"/>
            <w:col w:w="1057" w:space="618"/>
            <w:col w:w="997"/>
          </w:cols>
        </w:sectPr>
      </w:pPr>
    </w:p>
    <w:p>
      <w:pPr>
        <w:pStyle w:val="BodyText"/>
        <w:spacing w:before="10"/>
        <w:rPr>
          <w:rFonts w:ascii="Calibri"/>
          <w:sz w:val="21"/>
        </w:rPr>
      </w:pPr>
    </w:p>
    <w:p>
      <w:pPr>
        <w:tabs>
          <w:tab w:pos="2405" w:val="left" w:leader="none"/>
          <w:tab w:pos="5588" w:val="left" w:leader="none"/>
          <w:tab w:pos="6714" w:val="left" w:leader="none"/>
        </w:tabs>
        <w:spacing w:before="70"/>
        <w:ind w:left="1328" w:right="0" w:firstLine="0"/>
        <w:jc w:val="left"/>
        <w:rPr>
          <w:rFonts w:ascii="Constantia" w:hAnsi="Constantia"/>
          <w:sz w:val="15"/>
        </w:rPr>
      </w:pPr>
      <w:r>
        <w:rPr/>
        <w:pict>
          <v:line style="position:absolute;mso-position-horizontal-relative:page;mso-position-vertical-relative:paragraph;z-index:9904" from="119.778267pt,8.201391pt" to="143.417613pt,8.201391pt" stroked="true" strokeweight="2.240563pt" strokecolor="#497dba">
            <w10:wrap type="none"/>
          </v:line>
        </w:pict>
      </w:r>
      <w:r>
        <w:rPr/>
        <w:pict>
          <v:line style="position:absolute;mso-position-horizontal-relative:page;mso-position-vertical-relative:paragraph;z-index:-562192" from="173.504059pt,8.201391pt" to="197.138629pt,8.201391pt" stroked="true" strokeweight="2.240563pt" strokecolor="#bd4a47">
            <v:stroke dashstyle="longDash"/>
            <w10:wrap type="none"/>
          </v:line>
        </w:pict>
      </w:r>
      <w:r>
        <w:rPr/>
        <w:pict>
          <v:line style="position:absolute;mso-position-horizontal-relative:page;mso-position-vertical-relative:paragraph;z-index:-562144" from="331.087128pt,8.201391pt" to="356.497943pt,8.201391pt" stroked="true" strokeweight="2.240563pt" strokecolor="#497dba">
            <w10:wrap type="none"/>
          </v:line>
        </w:pict>
      </w:r>
      <w:r>
        <w:rPr/>
        <w:pict>
          <v:line style="position:absolute;mso-position-horizontal-relative:page;mso-position-vertical-relative:paragraph;z-index:-562120" from="387.140411pt,8.201391pt" to="412.546245pt,8.201391pt" stroked="true" strokeweight="2.240563pt" strokecolor="#bd4a47">
            <v:stroke dashstyle="longDash"/>
            <w10:wrap type="none"/>
          </v:line>
        </w:pict>
      </w:r>
      <w:r>
        <w:rPr>
          <w:rFonts w:ascii="Constantia" w:hAnsi="Constantia"/>
          <w:sz w:val="15"/>
        </w:rPr>
        <w:t>Pgas</w:t>
        <w:tab/>
        <w:t>BP/</w:t>
      </w:r>
      <w:r>
        <w:rPr>
          <w:rFonts w:ascii="Constantia" w:hAnsi="Constantia"/>
          <w:spacing w:val="-17"/>
          <w:sz w:val="15"/>
        </w:rPr>
        <w:t> </w:t>
      </w:r>
      <w:r>
        <w:rPr>
          <w:rFonts w:ascii="Constantia" w:hAnsi="Constantia"/>
          <w:sz w:val="15"/>
        </w:rPr>
        <w:t>PIB…eje</w:t>
      </w:r>
      <w:r>
        <w:rPr>
          <w:rFonts w:ascii="Constantia" w:hAnsi="Constantia"/>
          <w:spacing w:val="-15"/>
          <w:sz w:val="15"/>
        </w:rPr>
        <w:t> </w:t>
      </w:r>
      <w:r>
        <w:rPr>
          <w:rFonts w:ascii="Constantia" w:hAnsi="Constantia"/>
          <w:sz w:val="15"/>
        </w:rPr>
        <w:t>secundario</w:t>
        <w:tab/>
        <w:t>Pgas</w:t>
        <w:tab/>
        <w:t>BPNG/ PIB…eje</w:t>
      </w:r>
      <w:r>
        <w:rPr>
          <w:rFonts w:ascii="Constantia" w:hAnsi="Constantia"/>
          <w:spacing w:val="11"/>
          <w:sz w:val="15"/>
        </w:rPr>
        <w:t> </w:t>
      </w:r>
      <w:r>
        <w:rPr>
          <w:rFonts w:ascii="Constantia" w:hAnsi="Constantia"/>
          <w:sz w:val="15"/>
        </w:rPr>
        <w:t>secundario</w:t>
      </w:r>
    </w:p>
    <w:p>
      <w:pPr>
        <w:pStyle w:val="BodyText"/>
        <w:spacing w:before="10"/>
        <w:rPr>
          <w:rFonts w:ascii="Constantia"/>
          <w:sz w:val="14"/>
        </w:rPr>
      </w:pPr>
    </w:p>
    <w:p>
      <w:pPr>
        <w:pStyle w:val="Heading4"/>
        <w:spacing w:line="244" w:lineRule="auto" w:before="52"/>
        <w:ind w:left="4085" w:right="2491" w:hanging="717"/>
        <w:rPr>
          <w:rFonts w:ascii="Constantia" w:hAnsi="Constantia"/>
        </w:rPr>
      </w:pPr>
      <w:r>
        <w:rPr>
          <w:rFonts w:ascii="Constantia" w:hAnsi="Constantia"/>
        </w:rPr>
        <w:t>Precio</w:t>
      </w:r>
      <w:r>
        <w:rPr>
          <w:rFonts w:ascii="Constantia" w:hAnsi="Constantia"/>
          <w:spacing w:val="-38"/>
        </w:rPr>
        <w:t> </w:t>
      </w:r>
      <w:r>
        <w:rPr>
          <w:rFonts w:ascii="Constantia" w:hAnsi="Constantia"/>
        </w:rPr>
        <w:t>de</w:t>
      </w:r>
      <w:r>
        <w:rPr>
          <w:rFonts w:ascii="Constantia" w:hAnsi="Constantia"/>
          <w:spacing w:val="-39"/>
        </w:rPr>
        <w:t> </w:t>
      </w:r>
      <w:r>
        <w:rPr>
          <w:rFonts w:ascii="Constantia" w:hAnsi="Constantia"/>
          <w:spacing w:val="2"/>
        </w:rPr>
        <w:t>gas</w:t>
      </w:r>
      <w:r>
        <w:rPr>
          <w:rFonts w:ascii="Constantia" w:hAnsi="Constantia"/>
          <w:spacing w:val="-42"/>
        </w:rPr>
        <w:t> </w:t>
      </w:r>
      <w:r>
        <w:rPr>
          <w:rFonts w:ascii="Constantia" w:hAnsi="Constantia"/>
        </w:rPr>
        <w:t>natural</w:t>
      </w:r>
      <w:r>
        <w:rPr>
          <w:rFonts w:ascii="Constantia" w:hAnsi="Constantia"/>
          <w:spacing w:val="-42"/>
        </w:rPr>
        <w:t> </w:t>
      </w:r>
      <w:r>
        <w:rPr>
          <w:rFonts w:ascii="Constantia" w:hAnsi="Constantia"/>
        </w:rPr>
        <w:t>y</w:t>
      </w:r>
      <w:r>
        <w:rPr>
          <w:rFonts w:ascii="Constantia" w:hAnsi="Constantia"/>
          <w:spacing w:val="-42"/>
        </w:rPr>
        <w:t> </w:t>
      </w:r>
      <w:r>
        <w:rPr>
          <w:rFonts w:ascii="Constantia" w:hAnsi="Constantia"/>
        </w:rPr>
        <w:t>Deuda Pública</w:t>
      </w:r>
      <w:r>
        <w:rPr>
          <w:rFonts w:ascii="Constantia" w:hAnsi="Constantia"/>
          <w:spacing w:val="-36"/>
        </w:rPr>
        <w:t> </w:t>
      </w:r>
      <w:r>
        <w:rPr>
          <w:rFonts w:ascii="Constantia" w:hAnsi="Constantia"/>
        </w:rPr>
        <w:t>/</w:t>
      </w:r>
      <w:r>
        <w:rPr>
          <w:rFonts w:ascii="Constantia" w:hAnsi="Constantia"/>
          <w:spacing w:val="-35"/>
        </w:rPr>
        <w:t> </w:t>
      </w:r>
      <w:r>
        <w:rPr>
          <w:rFonts w:ascii="Constantia" w:hAnsi="Constantia"/>
          <w:spacing w:val="-3"/>
        </w:rPr>
        <w:t>PIB</w:t>
      </w:r>
      <w:r>
        <w:rPr>
          <w:rFonts w:ascii="Constantia" w:hAnsi="Constantia"/>
          <w:spacing w:val="-36"/>
        </w:rPr>
        <w:t> </w:t>
      </w:r>
      <w:r>
        <w:rPr>
          <w:rFonts w:ascii="Constantia" w:hAnsi="Constantia"/>
        </w:rPr>
        <w:t>(e)</w:t>
      </w:r>
    </w:p>
    <w:p>
      <w:pPr>
        <w:pStyle w:val="BodyText"/>
        <w:rPr>
          <w:rFonts w:ascii="Constantia"/>
          <w:b/>
          <w:sz w:val="20"/>
        </w:rPr>
      </w:pPr>
    </w:p>
    <w:p>
      <w:pPr>
        <w:pStyle w:val="BodyText"/>
        <w:rPr>
          <w:rFonts w:ascii="Constantia"/>
          <w:b/>
          <w:sz w:val="20"/>
        </w:rPr>
      </w:pPr>
    </w:p>
    <w:p>
      <w:pPr>
        <w:pStyle w:val="BodyText"/>
        <w:rPr>
          <w:rFonts w:ascii="Constantia"/>
          <w:b/>
          <w:sz w:val="20"/>
        </w:rPr>
      </w:pPr>
    </w:p>
    <w:p>
      <w:pPr>
        <w:pStyle w:val="BodyText"/>
        <w:rPr>
          <w:rFonts w:ascii="Constantia"/>
          <w:b/>
          <w:sz w:val="20"/>
        </w:rPr>
      </w:pPr>
    </w:p>
    <w:p>
      <w:pPr>
        <w:pStyle w:val="BodyText"/>
        <w:rPr>
          <w:rFonts w:ascii="Constantia"/>
          <w:b/>
          <w:sz w:val="20"/>
        </w:rPr>
      </w:pPr>
    </w:p>
    <w:p>
      <w:pPr>
        <w:pStyle w:val="BodyText"/>
        <w:rPr>
          <w:rFonts w:ascii="Constantia"/>
          <w:b/>
          <w:sz w:val="20"/>
        </w:rPr>
      </w:pPr>
    </w:p>
    <w:p>
      <w:pPr>
        <w:pStyle w:val="BodyText"/>
        <w:rPr>
          <w:rFonts w:ascii="Constantia"/>
          <w:b/>
          <w:sz w:val="20"/>
        </w:rPr>
      </w:pPr>
    </w:p>
    <w:p>
      <w:pPr>
        <w:pStyle w:val="BodyText"/>
        <w:rPr>
          <w:rFonts w:ascii="Constantia"/>
          <w:b/>
          <w:sz w:val="19"/>
        </w:rPr>
      </w:pPr>
    </w:p>
    <w:p>
      <w:pPr>
        <w:spacing w:before="0"/>
        <w:ind w:left="2539" w:right="0" w:firstLine="0"/>
        <w:jc w:val="left"/>
        <w:rPr>
          <w:rFonts w:ascii="Calibri"/>
          <w:sz w:val="19"/>
        </w:rPr>
      </w:pPr>
      <w:r>
        <w:rPr/>
        <w:pict>
          <v:group style="position:absolute;margin-left:206.987411pt;margin-top:-92.897209pt;width:193.35pt;height:98.8pt;mso-position-horizontal-relative:page;mso-position-vertical-relative:paragraph;z-index:-562072" coordorigin="4140,-1858" coordsize="3867,1976">
            <v:shape style="position:absolute;left:698;top:1514;width:3436;height:1891" coordorigin="698,1514" coordsize="3436,1891" path="m4787,110l4787,-1772m4730,110l4787,110m4730,-263l4787,-263m4730,-652l4787,-652m4730,-1025l4787,-1025m4730,-1398l4787,-1398m4730,-1772l4787,-1772m4787,-652l7999,-652m4830,-652l4830,-607m4930,-652l4930,-607m5015,-652l5015,-607m5115,-652l5115,-607m5215,-652l5215,-607m5301,-652l5301,-607m5401,-652l5401,-607m5501,-652l5501,-607m5586,-652l5586,-607m5686,-652l5686,-607m5786,-652l5786,-607m5872,-652l5872,-607m5971,-652l5971,-607m6057,-652l6057,-607m6157,-652l6157,-607m6257,-652l6257,-607m6343,-652l6343,-607m6443,-652l6443,-607m6543,-652l6543,-607m6628,-652l6628,-607m6728,-652l6728,-607m6814,-652l6814,-607m6914,-652l6914,-607m7014,-652l7014,-607m7099,-652l7099,-607m7199,-652l7199,-607m7299,-652l7299,-607m7385,-652l7385,-607m7485,-652l7485,-607m7570,-652l7570,-607m7670,-652l7670,-607m7770,-652l7770,-607m7856,-652l7856,-607m7956,-652l7956,-607m7999,-652l7999,-607m4787,-652l4787,-592m4887,-652l4887,-592m4972,-652l4972,-592m5072,-652l5072,-592m5158,-652l5158,-592m5258,-652l5258,-592m5358,-652l5358,-592m5443,-652l5443,-592m5543,-652l5543,-592m5643,-652l5643,-592m5729,-652l5729,-592m5829,-652l5829,-592m5914,-652l5914,-592m6014,-652l6014,-592m6114,-652l6114,-592m6200,-652l6200,-592m6300,-652l6300,-592m6400,-652l6400,-592m6485,-652l6485,-592m6585,-652l6585,-592m6685,-652l6685,-592m6771,-652l6771,-592m6871,-652l6871,-592m6957,-652l6957,-592m7056,-652l7056,-592m7156,-652l7156,-592m7242,-652l7242,-592m7342,-652l7342,-592m7442,-652l7442,-592m7528,-652l7528,-592m7627,-652l7627,-592m7713,-652l7713,-592m7813,-652l7813,-592m7913,-652l7913,-592m7999,-652l7999,-592e" filled="false" stroked="true" strokeweight=".730274pt" strokecolor="#858585">
              <v:path arrowok="t"/>
            </v:shape>
            <v:shape style="position:absolute;left:4830;top:-1418;width:3127;height:1227" coordorigin="4830,-1418" coordsize="3127,1227" path="m4830,-554l4853,-615,4877,-681,4901,-736,4924,-764,4948,-750,4972,-707,4995,-657,5019,-626,5043,-625,5066,-638,5090,-652,5114,-653,5138,-634,5161,-604,5185,-570,5209,-542,5232,-519,5256,-497,5280,-479,5303,-468,5327,-470,5351,-481,5374,-492,5398,-494,5469,-450,5516,-383,5540,-332,5564,-286,5587,-259,5611,-256,5635,-268,5682,-328,5730,-450,5753,-522,5777,-584,5824,-682,5872,-749,5895,-761,5919,-761,5943,-757,5966,-760,6037,-802,6085,-861,6108,-906,6132,-945,6156,-960,6180,-942,6203,-900,6227,-850,6250,-806,6274,-772,6298,-741,6322,-709,6345,-675,6369,-631,6393,-580,6416,-537,6440,-514,6464,-521,6487,-547,6511,-581,6535,-612,6558,-632,6582,-649,6606,-671,6629,-706,6653,-763,6677,-834,6700,-906,6724,-961,6748,-991,6772,-1006,6795,-1020,6819,-1047,6843,-1093,6866,-1151,6890,-1210,6914,-1262,6937,-1319,6961,-1381,6985,-1418,7022,-1358,7035,-1291,7049,-1208,7062,-1115,7076,-1017,7090,-921,7103,-833,7115,-756,7127,-673,7139,-588,7150,-504,7162,-424,7174,-351,7186,-289,7217,-211,7273,-192,7292,-193,7364,-254,7411,-342,7435,-405,7458,-468,7506,-549,7577,-594,7600,-599,7624,-596,7648,-589,7671,-576,7695,-552,7719,-518,7742,-488,7766,-473,7790,-477,7814,-493,7861,-549,7908,-637,7932,-689,7956,-740e" filled="false" stroked="true" strokeweight="2.227291pt" strokecolor="#497dba">
              <v:path arrowok="t"/>
            </v:shape>
            <v:shape style="position:absolute;left:4830;top:-1135;width:3127;height:959" coordorigin="4830,-1135" coordsize="3127,959" path="m4830,-214l4853,-248,4877,-284,4901,-317,4924,-347,4944,-360,4972,-374,4999,-395,5031,-487,5043,-568,5055,-664,5066,-763,5078,-856,5090,-932,5102,-981,5114,-991,5123,-964,5133,-904,5142,-821,5152,-723,5161,-616,5171,-510,5180,-412,5190,-331,5199,-273,5209,-248,5219,-260,5240,-372,5251,-458,5261,-552,5272,-648,5282,-738,5293,-813,5323,-915,5378,-970,5422,-988,5445,-983,5469,-976,5493,-980,5516,-998,5540,-1024,5564,-1052,5587,-1073,5611,-1084,5635,-1091,5659,-1096,5682,-1102,5706,-1112,5730,-1126,5753,-1135,5777,-1134,5801,-1118,5824,-1090,5848,-1061,5872,-1038,5895,-1023,5919,-1011,5943,-1004,5966,-1004,5989,-1023,6014,-1056,6038,-1079,6061,-1067,6080,-1011,6099,-925,6118,-826,6137,-734,6156,-667,6203,-600,6250,-583,6274,-615,6298,-673,6322,-721,6345,-723,6364,-670,6383,-582,6402,-479,6421,-384,6440,-320,6461,-303,6487,-308,6514,-319,6535,-318,6558,-286,6582,-239,6606,-197,6629,-177,6653,-194,6677,-236,6700,-279,6724,-300,6748,-289,6772,-258,6795,-224,6819,-204,6843,-201,6866,-209,6890,-220,6914,-229,6935,-230,6961,-227,6987,-233,7008,-255,7032,-322,7056,-417,7079,-515,7103,-588,7125,-623,7150,-644,7175,-658,7198,-673,7222,-701,7245,-732,7269,-757,7292,-764,7316,-741,7340,-697,7364,-654,7387,-636,7411,-656,7435,-701,7458,-748,7482,-776,7506,-776,7529,-760,7553,-742,7577,-735,7600,-750,7624,-778,7648,-802,7671,-803,7695,-770,7719,-712,7742,-654,7766,-619,7790,-616,7814,-633,7837,-656,7861,-670,7885,-673,7908,-671,7932,-668,7956,-665e" filled="false" stroked="true" strokeweight="2.232018pt" strokecolor="#bd4a47">
              <v:path arrowok="t"/>
              <v:stroke dashstyle="longDash"/>
            </v:shape>
            <v:shape style="position:absolute;left:4451;top:-518;width:3452;height:449" coordorigin="4451,-518" coordsize="3452,449" path="m4556,-114l4547,-134,4545,-132,4545,-130,4545,-128,4545,-124,4544,-120,4541,-118,4539,-114,4516,-90,4516,-94,4516,-106,4514,-140,4512,-150,4509,-160,4507,-166,4504,-170,4495,-180,4489,-182,4473,-182,4466,-178,4455,-166,4452,-160,4451,-144,4454,-136,4460,-128,4462,-130,4459,-136,4458,-142,4460,-152,4462,-156,4470,-164,4475,-166,4486,-166,4492,-164,4502,-152,4506,-142,4509,-130,4510,-118,4511,-106,4511,-90,4510,-72,4512,-70,4532,-90,4556,-114m4607,-180l4606,-188,4600,-204,4600,-174,4599,-166,4598,-164,4592,-158,4586,-156,4570,-164,4560,-172,4550,-182,4544,-188,4538,-196,4527,-211,4524,-217,4523,-227,4524,-231,4529,-235,4531,-237,4542,-237,4555,-229,4563,-223,4583,-203,4591,-194,4595,-184,4598,-180,4600,-174,4600,-204,4599,-205,4593,-213,4585,-223,4575,-231,4566,-237,4557,-243,4547,-245,4537,-245,4529,-243,4520,-233,4518,-229,4516,-215,4517,-207,4524,-190,4530,-182,4538,-172,4548,-162,4558,-156,4582,-148,4592,-150,4597,-156,4603,-162,4605,-166,4607,-180m4668,-243l4667,-251,4660,-268,4660,-237,4660,-229,4658,-227,4652,-219,4647,-219,4630,-227,4621,-235,4611,-245,4604,-251,4599,-259,4588,-275,4585,-281,4584,-291,4585,-295,4590,-299,4592,-301,4598,-301,4603,-299,4616,-293,4624,-287,4643,-265,4651,-255,4656,-247,4659,-241,4660,-237,4660,-268,4660,-269,4654,-277,4645,-287,4636,-295,4627,-301,4617,-305,4608,-307,4597,-309,4590,-307,4580,-297,4578,-293,4576,-279,4577,-271,4584,-253,4590,-243,4599,-235,4608,-225,4619,-219,4643,-211,4653,-213,4659,-219,4663,-223,4666,-229,4668,-243m4725,-295l4723,-317,4720,-323,4709,-335,4707,-337,4704,-339,4693,-341,4687,-339,4681,-337,4682,-349,4680,-355,4679,-359,4671,-367,4667,-369,4661,-371,4654,-371,4648,-369,4637,-357,4635,-351,4634,-339,4635,-333,4638,-325,4640,-325,4638,-337,4640,-345,4649,-353,4653,-355,4662,-355,4666,-353,4673,-347,4675,-343,4677,-335,4677,-331,4675,-321,4673,-317,4670,-315,4672,-313,4676,-317,4680,-319,4688,-323,4699,-323,4706,-321,4709,-319,4716,-311,4718,-307,4718,-295,4716,-289,4711,-285,4710,-283,4707,-281,4705,-281,4698,-279,4696,-277,4694,-277,4693,-275,4691,-273,4690,-271,4690,-269,4690,-267,4693,-265,4695,-263,4701,-265,4705,-269,4720,-283,4725,-295m4848,-379l4848,-379,4842,-373,4835,-369,4821,-367,4812,-367,4802,-371,4807,-381,4809,-393,4806,-419,4800,-429,4800,-429,4800,-379,4797,-371,4783,-357,4776,-355,4767,-355,4758,-357,4749,-361,4740,-367,4731,-375,4723,-385,4718,-395,4714,-403,4712,-413,4711,-421,4714,-429,4721,-437,4725,-440,4730,-442,4741,-446,4747,-444,4763,-438,4771,-433,4792,-411,4798,-401,4800,-379,4800,-429,4791,-438,4783,-446,4773,-450,4764,-454,4753,-456,4739,-456,4727,-450,4717,-440,4711,-433,4706,-423,4703,-413,4702,-403,4703,-391,4707,-381,4712,-371,4719,-363,4726,-355,4733,-351,4748,-345,4756,-343,4764,-345,4769,-345,4776,-347,4783,-351,4798,-351,4815,-355,4823,-359,4836,-367,4848,-379m4875,-448l4873,-450,4869,-446,4867,-444,4862,-444,4857,-448,4811,-496,4791,-518,4789,-516,4780,-488,4782,-486,4783,-490,4785,-492,4787,-494,4788,-496,4792,-496,4793,-494,4795,-494,4799,-490,4848,-438,4850,-435,4851,-433,4851,-431,4849,-425,4845,-423,4847,-419,4871,-444,4875,-448m4934,-114l4925,-134,4923,-132,4924,-130,4924,-128,4923,-124,4922,-120,4920,-118,4917,-114,4894,-90,4894,-94,4894,-106,4893,-140,4891,-150,4888,-160,4886,-166,4883,-170,4874,-180,4867,-182,4852,-182,4845,-178,4833,-166,4830,-160,4830,-144,4833,-136,4839,-128,4841,-130,4838,-136,4837,-142,4839,-152,4841,-156,4848,-164,4853,-166,4865,-166,4870,-164,4881,-152,4885,-142,4887,-130,4889,-118,4889,-106,4889,-90,4889,-72,4891,-70,4911,-90,4934,-114m4986,-180l4985,-188,4978,-204,4978,-174,4978,-166,4976,-164,4970,-158,4965,-156,4948,-164,4939,-172,4929,-182,4922,-188,4917,-196,4906,-211,4903,-217,4902,-227,4903,-231,4908,-235,4910,-237,4921,-237,4934,-229,4942,-223,4961,-203,4969,-194,4977,-180,4978,-174,4978,-204,4978,-205,4972,-213,4963,-223,4954,-231,4945,-237,4935,-243,4926,-245,4916,-245,4908,-243,4898,-233,4896,-229,4894,-215,4895,-207,4902,-190,4908,-182,4917,-172,4927,-162,4937,-156,4961,-148,4971,-150,4976,-156,4981,-162,4984,-166,4986,-180m5046,-243l5045,-251,5039,-268,5039,-237,5038,-229,5037,-227,5031,-219,5025,-219,5009,-227,4999,-235,4989,-245,4983,-251,4977,-259,4966,-275,4963,-281,4962,-291,4964,-295,4968,-299,4970,-301,4977,-301,4982,-299,4994,-293,5002,-287,5022,-265,5030,-255,5037,-241,5039,-237,5039,-268,5038,-269,5032,-277,5024,-287,5014,-295,5005,-301,4996,-305,4986,-307,4976,-309,4968,-307,4959,-297,4957,-293,4955,-279,4956,-271,4963,-253,4969,-243,4977,-235,4987,-225,4997,-219,5021,-211,5031,-213,5038,-219,5042,-223,5044,-229,5046,-243m5112,-301l5102,-311,5093,-321,5100,-329,5102,-331,5095,-339,5085,-329,5076,-338,5076,-319,5050,-293,5039,-357,5076,-319,5076,-338,5058,-357,5037,-379,5031,-373,5045,-285,5052,-279,5066,-293,5084,-311,5103,-291,5112,-301m5226,-379l5226,-379,5220,-373,5214,-369,5199,-367,5190,-367,5180,-371,5186,-381,5188,-393,5184,-419,5179,-429,5178,-429,5178,-379,5175,-371,5162,-357,5154,-355,5145,-355,5137,-357,5128,-361,5119,-367,5110,-375,5102,-385,5096,-395,5092,-403,5091,-413,5090,-421,5093,-429,5099,-437,5104,-440,5109,-442,5120,-446,5126,-444,5141,-438,5150,-433,5170,-411,5176,-401,5178,-379,5178,-429,5170,-438,5161,-446,5152,-450,5142,-454,5132,-456,5117,-456,5106,-450,5096,-440,5089,-433,5085,-423,5082,-413,5081,-403,5082,-391,5085,-381,5090,-371,5098,-363,5105,-355,5112,-351,5127,-345,5135,-343,5143,-345,5148,-345,5154,-347,5162,-351,5177,-351,5193,-355,5201,-359,5215,-367,5226,-379m5253,-448l5251,-450,5248,-446,5245,-444,5241,-444,5235,-448,5190,-496,5169,-518,5167,-516,5158,-488,5161,-486,5162,-490,5163,-492,5165,-494,5167,-496,5170,-496,5172,-494,5174,-494,5177,-490,5227,-438,5229,-435,5230,-433,5230,-431,5227,-425,5224,-423,5226,-419,5250,-444,5253,-448m5313,-114l5304,-134,5302,-132,5302,-130,5303,-128,5302,-124,5301,-120,5298,-118,5296,-114,5273,-90,5273,-94,5273,-106,5271,-140,5269,-150,5266,-160,5264,-166,5261,-170,5252,-180,5246,-182,5230,-182,5223,-178,5212,-166,5209,-160,5209,-144,5211,-136,5217,-128,5219,-130,5217,-136,5216,-142,5217,-152,5219,-156,5227,-164,5232,-166,5243,-166,5249,-164,5260,-152,5264,-142,5266,-130,5267,-118,5268,-106,5268,-90,5267,-72,5269,-70,5289,-90,5313,-114m5364,-180l5363,-188,5357,-204,5357,-174,5356,-166,5355,-164,5349,-158,5343,-156,5327,-164,5317,-172,5307,-182,5301,-188,5295,-196,5284,-211,5281,-217,5280,-227,5282,-231,5286,-235,5289,-237,5300,-237,5312,-229,5320,-223,5340,-203,5348,-194,5352,-184,5355,-180,5357,-174,5357,-204,5356,-205,5350,-213,5342,-223,5332,-231,5323,-237,5314,-243,5304,-245,5294,-245,5286,-243,5277,-233,5275,-229,5273,-215,5274,-207,5281,-190,5287,-182,5295,-172,5305,-162,5315,-156,5339,-148,5349,-150,5355,-156,5360,-162,5362,-166,5364,-180m5425,-243l5424,-251,5417,-268,5417,-237,5417,-229,5416,-227,5410,-219,5404,-219,5387,-227,5378,-235,5368,-245,5362,-251,5356,-259,5345,-275,5342,-281,5341,-291,5342,-295,5347,-299,5349,-301,5356,-301,5360,-299,5373,-293,5381,-287,5401,-265,5408,-255,5413,-247,5416,-241,5417,-237,5417,-268,5417,-269,5411,-277,5402,-287,5393,-295,5384,-301,5374,-305,5365,-307,5355,-309,5347,-307,5338,-297,5335,-293,5333,-279,5334,-271,5341,-253,5347,-243,5356,-235,5366,-225,5376,-219,5400,-211,5410,-213,5416,-219,5420,-223,5423,-229,5425,-243m5480,-309l5479,-315,5476,-325,5473,-329,5471,-331,5463,-341,5454,-345,5433,-345,5422,-341,5411,-331,5406,-347,5428,-371,5423,-385,5397,-357,5411,-311,5419,-319,5425,-323,5438,-329,5444,-329,5458,-327,5463,-325,5472,-315,5475,-309,5475,-297,5473,-291,5466,-283,5462,-281,5457,-281,5454,-279,5451,-279,5450,-277,5447,-275,5447,-275,5447,-271,5447,-269,5450,-267,5453,-265,5460,-267,5464,-269,5472,-279,5476,-285,5479,-295,5480,-299,5480,-309m5605,-379l5605,-379,5599,-373,5592,-369,5578,-367,5569,-367,5559,-371,5565,-381,5566,-393,5563,-419,5557,-429,5557,-429,5557,-379,5554,-371,5540,-357,5533,-355,5524,-355,5515,-357,5506,-361,5498,-367,5489,-375,5481,-385,5475,-395,5471,-403,5469,-413,5468,-421,5471,-429,5478,-437,5482,-440,5487,-442,5498,-446,5505,-444,5520,-438,5529,-433,5549,-411,5555,-401,5557,-379,5557,-429,5548,-438,5540,-446,5531,-450,5521,-454,5510,-456,5496,-456,5484,-450,5474,-440,5468,-433,5463,-423,5460,-413,5460,-403,5461,-391,5464,-381,5469,-371,5476,-363,5483,-355,5490,-351,5506,-345,5513,-343,5521,-345,5527,-345,5533,-347,5540,-351,5555,-351,5572,-355,5580,-359,5593,-367,5605,-379m5632,-448l5630,-450,5627,-446,5624,-444,5619,-444,5614,-448,5568,-496,5548,-518,5546,-516,5537,-488,5539,-486,5540,-490,5542,-492,5544,-494,5545,-496,5549,-496,5552,-494,5556,-490,5605,-438,5608,-435,5609,-433,5609,-431,5606,-425,5602,-423,5604,-419,5628,-444,5632,-448m5691,-114l5682,-134,5680,-132,5681,-130,5681,-128,5680,-124,5680,-120,5677,-118,5674,-114,5651,-90,5652,-94,5651,-106,5650,-140,5648,-150,5645,-160,5643,-166,5640,-170,5631,-180,5625,-182,5609,-182,5602,-178,5590,-166,5588,-160,5587,-144,5590,-136,5596,-128,5598,-130,5595,-136,5594,-142,5596,-152,5598,-156,5605,-164,5610,-166,5622,-166,5627,-164,5638,-152,5642,-142,5644,-130,5646,-118,5646,-106,5646,-90,5646,-72,5648,-70,5668,-90,5691,-114m5743,-180l5742,-188,5735,-204,5735,-174,5735,-166,5734,-164,5728,-158,5722,-156,5705,-164,5696,-172,5686,-182,5680,-188,5674,-196,5663,-211,5660,-217,5659,-227,5660,-231,5665,-235,5667,-237,5678,-237,5691,-229,5699,-223,5719,-203,5726,-194,5731,-184,5734,-180,5735,-174,5735,-204,5735,-205,5729,-213,5720,-223,5711,-231,5702,-237,5692,-243,5683,-245,5673,-245,5665,-243,5656,-233,5653,-229,5651,-215,5652,-207,5659,-190,5665,-182,5674,-172,5684,-162,5694,-156,5718,-148,5728,-150,5733,-156,5738,-162,5741,-166,5743,-180m5804,-243l5802,-251,5796,-268,5796,-237,5795,-229,5794,-227,5788,-219,5782,-219,5766,-227,5756,-235,5746,-245,5740,-251,5734,-259,5723,-275,5720,-281,5720,-291,5721,-295,5725,-299,5728,-301,5734,-301,5739,-299,5752,-293,5759,-287,5779,-265,5787,-255,5792,-247,5795,-241,5796,-237,5796,-268,5795,-269,5789,-277,5781,-287,5772,-295,5762,-301,5753,-305,5743,-307,5733,-309,5725,-307,5716,-297,5714,-293,5712,-279,5713,-271,5720,-253,5726,-243,5734,-235,5744,-225,5755,-219,5778,-211,5788,-213,5795,-219,5799,-223,5801,-229,5804,-243m5867,-301l5864,-321,5860,-329,5859,-329,5859,-297,5858,-293,5852,-287,5849,-285,5841,-285,5836,-287,5825,-291,5821,-295,5814,-301,5810,-307,5806,-313,5807,-317,5808,-321,5810,-325,5812,-327,5818,-333,5823,-335,5837,-331,5844,-327,5855,-315,5858,-309,5859,-297,5859,-329,5855,-335,5847,-343,5840,-347,5825,-347,5819,-345,5808,-333,5805,-327,5803,-317,5800,-323,5794,-341,5793,-347,5793,-361,5794,-365,5797,-375,5800,-379,5804,-385,5802,-387,5795,-381,5792,-375,5786,-363,5784,-355,5784,-335,5785,-325,5792,-307,5797,-299,5813,-281,5825,-275,5839,-277,5845,-277,5851,-279,5857,-285,5864,-293,5867,-301m5983,-379l5983,-379,5977,-373,5971,-369,5956,-367,5948,-367,5938,-371,5943,-381,5945,-393,5941,-419,5936,-429,5935,-429,5935,-379,5932,-371,5919,-357,5911,-355,5902,-355,5894,-357,5885,-361,5876,-367,5867,-375,5859,-385,5853,-395,5849,-403,5848,-413,5847,-421,5850,-429,5857,-437,5861,-440,5866,-442,5877,-446,5883,-444,5898,-438,5907,-433,5927,-411,5934,-401,5935,-379,5935,-429,5927,-438,5918,-446,5909,-450,5899,-454,5889,-456,5875,-456,5863,-450,5853,-440,5846,-433,5842,-423,5839,-413,5838,-403,5839,-391,5842,-381,5848,-371,5855,-363,5862,-355,5869,-351,5884,-345,5892,-343,5900,-345,5905,-345,5912,-347,5919,-351,5934,-351,5951,-355,5959,-359,5972,-367,5983,-379m6010,-448l6009,-450,6005,-446,6003,-444,5997,-444,5995,-446,5992,-448,5988,-452,5947,-496,5926,-518,5924,-516,5915,-488,5918,-486,5919,-490,5920,-492,5923,-494,5924,-496,5927,-496,5929,-494,5931,-494,5934,-490,5979,-442,5984,-438,5987,-433,5987,-431,5986,-429,5984,-425,5981,-423,5983,-419,6007,-444,6010,-448m6070,-114l6061,-134,6059,-132,6060,-130,6060,-128,6059,-124,6058,-120,6057,-118,6056,-118,6053,-114,6030,-90,6030,-106,6029,-128,6028,-140,6027,-150,6021,-166,6018,-170,6015,-174,6010,-180,6003,-182,5987,-182,5981,-178,5975,-172,5969,-166,5966,-160,5966,-144,5969,-136,5974,-128,5976,-130,5974,-136,5973,-142,5973,-146,5974,-152,5976,-156,5984,-164,5989,-166,6001,-166,6006,-164,6010,-158,6017,-152,6021,-142,6023,-130,6024,-118,6025,-106,6025,-90,6025,-72,6026,-70,6046,-90,6070,-114m6122,-180l6120,-188,6114,-204,6114,-174,6113,-166,6112,-164,6110,-162,6106,-158,6100,-156,6093,-160,6084,-164,6074,-172,6064,-182,6058,-188,6052,-196,6047,-203,6041,-211,6038,-217,6038,-223,6038,-227,6039,-231,6043,-235,6046,-237,6057,-237,6062,-233,6069,-229,6077,-223,6086,-215,6097,-203,6105,-194,6113,-180,6114,-174,6114,-204,6113,-205,6107,-213,6099,-223,6090,-231,6080,-237,6071,-243,6061,-245,6051,-245,6043,-243,6038,-237,6034,-233,6032,-229,6031,-223,6030,-215,6031,-207,6034,-200,6038,-190,6044,-182,6052,-172,6062,-162,6073,-156,6084,-152,6097,-148,6106,-150,6112,-156,6113,-158,6117,-162,6119,-166,6122,-180m6182,-243l6181,-251,6177,-259,6175,-268,6175,-237,6174,-229,6173,-227,6167,-219,6161,-219,6145,-227,6135,-235,6125,-245,6119,-251,6113,-259,6102,-275,6099,-281,6098,-287,6098,-291,6099,-295,6106,-301,6113,-301,6117,-299,6130,-293,6138,-287,6146,-277,6158,-265,6166,-255,6173,-241,6175,-237,6175,-268,6174,-269,6168,-277,6159,-287,6150,-295,6141,-301,6132,-305,6122,-307,6112,-309,6104,-307,6098,-301,6095,-297,6093,-293,6092,-287,6090,-279,6092,-271,6095,-261,6099,-253,6104,-243,6113,-235,6123,-225,6133,-219,6157,-211,6167,-213,6172,-219,6174,-221,6178,-223,6180,-229,6182,-243m6233,-283l6193,-369,6185,-385,6183,-387,6144,-345,6154,-319,6156,-321,6154,-327,6154,-331,6156,-337,6156,-339,6159,-343,6163,-347,6183,-369,6227,-275,6233,-283m6362,-379l6362,-379,6356,-373,6349,-369,6335,-367,6326,-367,6316,-371,6322,-381,6324,-393,6322,-405,6320,-419,6315,-429,6314,-429,6314,-379,6311,-371,6304,-363,6298,-357,6290,-355,6281,-355,6272,-357,6263,-361,6255,-367,6246,-375,6238,-385,6232,-395,6228,-403,6226,-413,6226,-421,6229,-429,6235,-437,6239,-440,6244,-442,6250,-444,6256,-446,6262,-444,6277,-438,6286,-433,6306,-411,6312,-401,6313,-389,6314,-379,6314,-429,6306,-438,6297,-446,6288,-450,6278,-454,6268,-456,6253,-456,6241,-450,6232,-440,6225,-433,6220,-423,6218,-413,6217,-403,6218,-391,6221,-381,6226,-371,6233,-363,6240,-355,6248,-351,6255,-347,6263,-345,6270,-343,6278,-345,6284,-345,6290,-347,6297,-351,6313,-351,6329,-355,6337,-359,6345,-363,6350,-367,6362,-379m6389,-448l6387,-450,6384,-446,6381,-444,6376,-444,6374,-446,6371,-448,6367,-452,6325,-496,6305,-518,6303,-516,6294,-488,6296,-486,6298,-490,6299,-492,6301,-494,6302,-496,6306,-496,6307,-494,6309,-494,6313,-490,6362,-438,6365,-435,6365,-435,6366,-433,6366,-431,6365,-431,6365,-429,6363,-425,6360,-423,6361,-419,6385,-444,6389,-448m6448,-114l6439,-134,6438,-132,6438,-130,6438,-128,6437,-120,6434,-118,6432,-114,6428,-110,6408,-90,6408,-106,6407,-126,6407,-140,6405,-150,6402,-160,6400,-166,6397,-170,6393,-174,6388,-180,6382,-182,6366,-182,6359,-178,6353,-172,6348,-166,6345,-160,6344,-144,6347,-136,6353,-128,6355,-130,6352,-136,6351,-142,6353,-152,6355,-156,6363,-164,6368,-166,6379,-166,6384,-164,6389,-158,6395,-152,6399,-142,6402,-130,6403,-118,6403,-106,6404,-90,6403,-72,6405,-70,6425,-90,6448,-114m6500,-180l6499,-188,6495,-196,6493,-204,6493,-174,6492,-166,6491,-164,6485,-158,6479,-156,6471,-160,6462,-164,6453,-172,6443,-182,6437,-188,6431,-196,6420,-211,6417,-217,6416,-223,6416,-227,6417,-231,6420,-233,6422,-235,6424,-237,6435,-237,6448,-229,6456,-223,6464,-215,6476,-203,6484,-194,6491,-180,6493,-174,6493,-204,6492,-205,6486,-213,6477,-223,6468,-231,6459,-237,6450,-243,6440,-245,6430,-245,6422,-243,6416,-237,6413,-233,6411,-229,6410,-223,6408,-215,6410,-207,6413,-200,6417,-190,6423,-182,6431,-172,6441,-162,6451,-156,6475,-148,6485,-150,6490,-156,6492,-158,6496,-162,6498,-166,6500,-180m6561,-243l6560,-251,6556,-259,6553,-268,6553,-237,6553,-233,6553,-229,6551,-227,6549,-223,6545,-219,6540,-219,6532,-223,6523,-227,6514,-235,6504,-245,6497,-251,6491,-259,6480,-275,6478,-281,6477,-287,6477,-291,6478,-295,6485,-301,6491,-301,6496,-299,6501,-297,6509,-293,6517,-287,6525,-277,6536,-265,6544,-255,6552,-241,6553,-237,6553,-268,6553,-269,6546,-277,6538,-287,6529,-295,6519,-301,6510,-305,6501,-307,6490,-309,6482,-307,6477,-301,6473,-297,6471,-293,6470,-287,6469,-279,6470,-271,6474,-261,6477,-253,6483,-243,6492,-235,6501,-225,6512,-219,6536,-211,6546,-213,6551,-219,6553,-221,6556,-223,6558,-229,6561,-243m6624,-315l6621,-321,6618,-325,6618,-307,6617,-297,6615,-293,6607,-285,6603,-283,6592,-283,6587,-285,6582,-291,6579,-293,6576,-297,6573,-307,6573,-311,6573,-319,6587,-319,6597,-321,6607,-319,6610,-317,6613,-313,6616,-311,6618,-307,6618,-325,6616,-327,6612,-331,6607,-333,6600,-335,6587,-335,6576,-333,6578,-343,6579,-351,6577,-361,6576,-365,6574,-367,6573,-369,6572,-370,6572,-339,6571,-333,6555,-331,6549,-331,6543,-333,6541,-335,6536,-339,6534,-343,6535,-353,6537,-357,6540,-361,6544,-365,6548,-367,6557,-367,6561,-365,6567,-359,6569,-355,6572,-347,6572,-345,6572,-339,6572,-370,6568,-373,6563,-375,6549,-373,6543,-371,6531,-359,6528,-351,6527,-337,6530,-329,6534,-325,6537,-321,6541,-319,6546,-317,6569,-317,6567,-309,6567,-301,6568,-295,6569,-289,6571,-285,6579,-277,6584,-275,6599,-273,6606,-277,6612,-283,6620,-291,6623,-299,6623,-305,6624,-315m6741,-379l6740,-379,6734,-373,6728,-369,6721,-369,6713,-367,6705,-367,6695,-371,6700,-381,6702,-393,6699,-419,6693,-429,6693,-429,6693,-379,6690,-371,6683,-363,6676,-357,6668,-355,6659,-355,6651,-357,6642,-361,6633,-367,6624,-375,6616,-385,6610,-395,6607,-403,6605,-413,6604,-421,6607,-429,6614,-437,6618,-440,6623,-442,6628,-444,6634,-446,6640,-444,6656,-438,6664,-433,6685,-411,6691,-401,6692,-389,6693,-379,6693,-429,6684,-438,6676,-446,6666,-450,6657,-454,6646,-456,6632,-456,6620,-450,6610,-440,6604,-433,6599,-423,6596,-413,6595,-403,6596,-391,6600,-381,6605,-371,6612,-363,6619,-355,6626,-351,6641,-345,6649,-343,6657,-345,6662,-345,6669,-347,6676,-351,6691,-351,6708,-355,6716,-359,6723,-363,6729,-367,6741,-379m6768,-448l6766,-450,6762,-446,6760,-444,6755,-444,6752,-446,6749,-448,6745,-452,6704,-496,6683,-518,6682,-516,6672,-488,6675,-486,6676,-490,6678,-492,6680,-494,6681,-496,6685,-496,6686,-494,6688,-494,6691,-490,6741,-438,6743,-435,6744,-435,6744,-433,6744,-431,6744,-431,6743,-429,6741,-425,6738,-423,6740,-419,6764,-444,6768,-448m6827,-114l6818,-134,6816,-132,6817,-130,6817,-128,6815,-120,6813,-118,6810,-114,6806,-110,6787,-90,6787,-94,6786,-140,6784,-150,6781,-160,6779,-166,6776,-170,6772,-174,6767,-180,6760,-182,6745,-182,6738,-178,6732,-172,6726,-166,6723,-160,6723,-144,6726,-136,6732,-128,6734,-130,6731,-136,6730,-142,6731,-152,6734,-156,6741,-164,6746,-166,6758,-166,6763,-164,6768,-158,6774,-152,6778,-142,6780,-130,6781,-118,6782,-106,6782,-90,6782,-72,6784,-70,6803,-90,6827,-114m6879,-180l6878,-188,6874,-196,6871,-204,6871,-174,6871,-170,6871,-166,6869,-164,6863,-158,6857,-156,6841,-164,6832,-172,6822,-182,6815,-188,6809,-196,6798,-211,6796,-217,6795,-223,6795,-227,6796,-231,6803,-237,6814,-237,6827,-229,6835,-223,6843,-215,6854,-203,6862,-194,6870,-180,6871,-174,6871,-204,6871,-205,6864,-213,6856,-223,6847,-231,6837,-237,6828,-243,6819,-245,6808,-245,6800,-243,6795,-237,6791,-233,6789,-229,6788,-223,6787,-215,6788,-207,6792,-200,6795,-190,6801,-182,6810,-172,6819,-162,6830,-156,6854,-148,6863,-150,6869,-156,6871,-158,6874,-162,6876,-166,6879,-180m6939,-243l6938,-251,6934,-259,6932,-268,6932,-237,6931,-233,6931,-229,6930,-227,6928,-223,6924,-219,6918,-219,6911,-223,6902,-227,6892,-235,6882,-245,6876,-251,6870,-259,6859,-275,6856,-281,6856,-287,6855,-291,6856,-295,6863,-301,6870,-301,6875,-299,6880,-297,6887,-293,6895,-287,6903,-277,6915,-265,6923,-255,6930,-241,6932,-237,6932,-268,6931,-269,6925,-277,6917,-287,6907,-295,6898,-301,6889,-305,6879,-307,6869,-309,6861,-307,6855,-301,6852,-297,6850,-293,6849,-287,6848,-279,6849,-271,6852,-261,6856,-253,6862,-243,6870,-235,6880,-225,6890,-219,6914,-211,6924,-213,6929,-219,6931,-221,6935,-223,6937,-229,6939,-243m6989,-303l6989,-315,6984,-331,6983,-337,6977,-349,6969,-357,6966,-360,6966,-337,6966,-333,6965,-329,6964,-327,6962,-323,6961,-321,6955,-315,6951,-313,6938,-315,6930,-321,6917,-335,6914,-339,6914,-345,6913,-351,6914,-355,6920,-361,6924,-363,6933,-363,6938,-361,6943,-359,6948,-355,6952,-353,6956,-349,6959,-345,6962,-341,6966,-337,6966,-360,6964,-363,6960,-367,6950,-371,6938,-373,6929,-373,6921,-371,6908,-357,6905,-347,6907,-337,6908,-327,6912,-319,6925,-305,6932,-301,6948,-301,6954,-303,6964,-313,6967,-321,6969,-331,6974,-323,6977,-313,6980,-297,6980,-287,6976,-273,6973,-269,6968,-263,6970,-261,6973,-265,6980,-271,6985,-281,6989,-303m7119,-379l7119,-379,7113,-373,7107,-369,7099,-369,7092,-367,7083,-367,7073,-371,7079,-381,7081,-393,7079,-405,7077,-419,7072,-429,7071,-429,7071,-379,7068,-371,7061,-363,7055,-357,7047,-355,7038,-355,7029,-357,7021,-361,7012,-367,7003,-375,6995,-385,6989,-395,6985,-403,6983,-413,6983,-421,6986,-429,6992,-437,6997,-440,7001,-442,7013,-446,7019,-444,7026,-442,7034,-438,7043,-433,7063,-411,7069,-401,7071,-379,7071,-429,7063,-438,7054,-446,7045,-450,7035,-454,7025,-456,7010,-456,6998,-450,6989,-440,6982,-433,6977,-423,6975,-413,6974,-405,6974,-401,6975,-391,6978,-381,6983,-371,6990,-363,6997,-355,7005,-351,7020,-345,7028,-343,7036,-345,7041,-345,7047,-347,7055,-351,7070,-351,7086,-355,7094,-359,7102,-363,7108,-367,7119,-379m7146,-448l7144,-450,7141,-446,7138,-444,7134,-444,7128,-448,7124,-452,7083,-496,7062,-518,7060,-516,7051,-488,7053,-486,7055,-490,7056,-492,7058,-494,7059,-496,7063,-496,7064,-494,7066,-494,7070,-490,7119,-438,7122,-435,7123,-435,7123,-433,7123,-431,7123,-431,7122,-429,7120,-425,7117,-423,7119,-419,7143,-444,7146,-448m7206,-114l7197,-134,7195,-132,7195,-130,7195,-128,7194,-120,7193,-118,7191,-118,7189,-114,7185,-110,7166,-90,7166,-94,7164,-140,7162,-150,7159,-160,7157,-166,7154,-170,7150,-174,7145,-180,7139,-182,7123,-182,7116,-178,7105,-166,7102,-160,7102,-144,7104,-136,7110,-128,7112,-130,7109,-136,7108,-142,7110,-152,7112,-156,7120,-164,7125,-166,7136,-166,7142,-164,7146,-158,7152,-152,7157,-142,7159,-130,7160,-118,7161,-106,7161,-90,7160,-72,7162,-70,7182,-90,7206,-114m7257,-180l7256,-188,7252,-196,7250,-204,7250,-174,7249,-170,7249,-166,7248,-164,7246,-162,7242,-158,7236,-156,7229,-160,7220,-164,7210,-172,7200,-182,7194,-188,7188,-196,7177,-211,7174,-217,7174,-223,7173,-227,7174,-231,7181,-237,7193,-237,7198,-233,7205,-229,7213,-223,7221,-215,7233,-203,7241,-194,7248,-180,7250,-174,7250,-204,7249,-205,7243,-213,7235,-223,7225,-231,7216,-237,7207,-243,7197,-245,7187,-245,7179,-243,7173,-237,7170,-233,7168,-229,7167,-223,7166,-215,7167,-207,7170,-200,7174,-190,7180,-182,7188,-172,7198,-162,7208,-156,7232,-148,7242,-150,7248,-156,7249,-158,7253,-162,7255,-166,7257,-180m7323,-237l7321,-239,7318,-235,7315,-233,7308,-233,7305,-237,7301,-241,7258,-285,7239,-305,7237,-305,7228,-277,7230,-275,7231,-279,7233,-281,7235,-283,7236,-285,7240,-285,7241,-283,7243,-283,7247,-279,7292,-231,7296,-227,7300,-221,7300,-219,7299,-217,7297,-213,7293,-209,7295,-207,7319,-233,7323,-237m7378,-307l7377,-315,7374,-323,7371,-331,7371,-301,7370,-293,7369,-289,7367,-287,7363,-283,7357,-283,7350,-287,7341,-291,7331,-297,7321,-309,7315,-315,7309,-323,7304,-331,7298,-337,7295,-345,7295,-351,7295,-355,7296,-359,7300,-363,7303,-365,7309,-365,7314,-363,7319,-361,7326,-357,7334,-351,7343,-341,7354,-329,7362,-319,7370,-305,7371,-301,7371,-331,7370,-333,7364,-341,7356,-349,7346,-359,7337,-365,7328,-369,7318,-371,7308,-373,7300,-371,7295,-365,7291,-361,7289,-357,7288,-351,7287,-343,7288,-335,7291,-325,7295,-317,7301,-307,7309,-299,7319,-289,7329,-281,7340,-279,7353,-275,7363,-277,7370,-283,7374,-287,7376,-293,7378,-307m7498,-379l7498,-379,7492,-373,7485,-369,7471,-367,7462,-367,7452,-371,7457,-381,7459,-393,7457,-405,7456,-419,7450,-429,7450,-429,7450,-379,7447,-371,7440,-363,7433,-357,7426,-355,7417,-355,7408,-357,7399,-361,7390,-367,7382,-375,7373,-385,7368,-395,7364,-403,7362,-413,7361,-421,7364,-429,7371,-437,7375,-440,7380,-442,7391,-446,7398,-444,7413,-438,7422,-433,7442,-411,7448,-401,7450,-379,7450,-429,7441,-438,7433,-446,7423,-450,7414,-454,7403,-456,7389,-456,7377,-450,7367,-440,7361,-433,7356,-423,7353,-413,7352,-403,7354,-391,7357,-381,7362,-371,7369,-363,7376,-355,7383,-351,7398,-345,7406,-343,7414,-345,7419,-345,7426,-347,7433,-351,7448,-351,7465,-355,7473,-359,7486,-367,7498,-379m7525,-448l7523,-450,7519,-446,7517,-444,7512,-444,7507,-448,7503,-452,7461,-496,7441,-518,7439,-516,7429,-488,7432,-486,7433,-490,7435,-492,7437,-494,7438,-496,7442,-496,7443,-494,7445,-494,7449,-490,7454,-484,7498,-438,7500,-435,7501,-435,7501,-433,7501,-431,7501,-431,7500,-429,7499,-425,7495,-423,7497,-419,7521,-444,7525,-448m7584,-114l7575,-134,7573,-132,7574,-130,7574,-128,7573,-124,7572,-120,7571,-118,7570,-118,7567,-114,7544,-90,7544,-94,7543,-140,7541,-150,7538,-160,7536,-166,7533,-170,7529,-174,7524,-180,7517,-182,7502,-182,7495,-178,7483,-166,7481,-160,7480,-144,7483,-136,7489,-128,7491,-130,7488,-136,7487,-142,7488,-152,7491,-156,7498,-164,7503,-166,7515,-166,7520,-164,7525,-158,7531,-152,7535,-142,7537,-130,7539,-118,7539,-104,7539,-90,7539,-72,7541,-70,7561,-90,7584,-114m7636,-180l7635,-188,7631,-196,7628,-204,7628,-174,7628,-170,7628,-166,7626,-164,7625,-162,7620,-158,7615,-156,7607,-160,7598,-164,7589,-172,7579,-182,7572,-188,7567,-196,7555,-211,7553,-217,7552,-223,7552,-227,7553,-231,7558,-235,7560,-237,7571,-237,7576,-233,7584,-229,7592,-223,7600,-215,7611,-203,7619,-194,7624,-184,7627,-180,7628,-174,7628,-204,7628,-205,7622,-213,7613,-223,7604,-231,7595,-237,7585,-243,7576,-245,7566,-245,7558,-243,7552,-237,7548,-233,7546,-229,7545,-223,7544,-215,7545,-207,7549,-200,7552,-190,7558,-182,7567,-172,7577,-162,7587,-156,7611,-148,7621,-150,7626,-156,7628,-158,7631,-162,7634,-166,7635,-174,7636,-180m7701,-237l7700,-239,7696,-235,7694,-233,7686,-233,7683,-237,7679,-241,7637,-285,7617,-305,7615,-305,7606,-277,7609,-275,7610,-279,7611,-281,7613,-283,7614,-283,7615,-285,7618,-285,7620,-283,7622,-283,7625,-279,7631,-273,7670,-231,7675,-227,7677,-223,7678,-223,7678,-221,7678,-219,7678,-217,7677,-217,7675,-213,7672,-209,7674,-207,7698,-233,7701,-237m7762,-301l7760,-303,7757,-299,7754,-297,7747,-297,7744,-301,7740,-305,7697,-349,7678,-369,7676,-367,7667,-339,7669,-339,7671,-343,7672,-345,7674,-347,7675,-349,7678,-349,7679,-347,7680,-347,7682,-345,7686,-343,7691,-337,7731,-295,7735,-291,7738,-287,7738,-287,7739,-285,7739,-283,7738,-281,7738,-279,7736,-277,7732,-273,7734,-271,7758,-297,7762,-301m7876,-379l7876,-379,7870,-373,7864,-369,7849,-367,7840,-367,7830,-371,7836,-381,7838,-393,7836,-405,7834,-419,7829,-429,7828,-429,7828,-379,7825,-371,7819,-363,7812,-357,7804,-355,7795,-355,7787,-357,7778,-361,7769,-367,7760,-375,7752,-385,7746,-395,7742,-403,7741,-413,7740,-421,7743,-429,7749,-437,7754,-440,7759,-442,7770,-446,7776,-444,7791,-438,7800,-433,7820,-411,7826,-401,7828,-379,7828,-429,7820,-438,7811,-446,7802,-450,7792,-454,7782,-456,7768,-456,7756,-450,7746,-440,7739,-433,7735,-423,7732,-413,7731,-403,7732,-391,7735,-381,7740,-371,7748,-363,7755,-355,7769,-347,7785,-343,7793,-345,7798,-345,7804,-347,7812,-351,7827,-351,7843,-355,7851,-359,7859,-363,7865,-367,7876,-379m7903,-448l7901,-450,7898,-446,7895,-444,7889,-444,7888,-446,7885,-448,7881,-452,7840,-496,7819,-518,7817,-516,7808,-488,7811,-486,7812,-490,7813,-492,7815,-494,7817,-496,7820,-496,7824,-494,7827,-490,7877,-438,7879,-435,7880,-435,7880,-433,7880,-431,7880,-431,7879,-429,7877,-425,7874,-423,7876,-419,7900,-444,7903,-448e" filled="true" fillcolor="#000000" stroked="false">
              <v:path arrowok="t"/>
              <v:fill type="solid"/>
            </v:shape>
            <v:shape style="position:absolute;left:4140;top:-1858;width:3867;height:1976" type="#_x0000_t202" filled="false" stroked="false">
              <v:textbox inset="0,0,0,0">
                <w:txbxContent>
                  <w:p>
                    <w:pPr>
                      <w:spacing w:line="197" w:lineRule="exact" w:before="0"/>
                      <w:ind w:left="0" w:right="3367" w:firstLine="0"/>
                      <w:jc w:val="center"/>
                      <w:rPr>
                        <w:rFonts w:ascii="Calibri"/>
                        <w:sz w:val="19"/>
                      </w:rPr>
                    </w:pPr>
                    <w:r>
                      <w:rPr>
                        <w:rFonts w:ascii="Calibri"/>
                        <w:sz w:val="19"/>
                      </w:rPr>
                      <w:t>0.60</w:t>
                    </w:r>
                  </w:p>
                  <w:p>
                    <w:pPr>
                      <w:spacing w:before="146"/>
                      <w:ind w:left="0" w:right="3367" w:firstLine="0"/>
                      <w:jc w:val="center"/>
                      <w:rPr>
                        <w:rFonts w:ascii="Calibri"/>
                        <w:sz w:val="19"/>
                      </w:rPr>
                    </w:pPr>
                    <w:r>
                      <w:rPr>
                        <w:rFonts w:ascii="Calibri"/>
                        <w:sz w:val="19"/>
                      </w:rPr>
                      <w:t>0.40</w:t>
                    </w:r>
                  </w:p>
                  <w:p>
                    <w:pPr>
                      <w:spacing w:before="146"/>
                      <w:ind w:left="0" w:right="3367" w:firstLine="0"/>
                      <w:jc w:val="center"/>
                      <w:rPr>
                        <w:rFonts w:ascii="Calibri"/>
                        <w:sz w:val="19"/>
                      </w:rPr>
                    </w:pPr>
                    <w:r>
                      <w:rPr>
                        <w:rFonts w:ascii="Calibri"/>
                        <w:sz w:val="19"/>
                      </w:rPr>
                      <w:t>0.20</w:t>
                    </w:r>
                  </w:p>
                  <w:p>
                    <w:pPr>
                      <w:spacing w:before="146"/>
                      <w:ind w:left="0" w:right="3254" w:firstLine="0"/>
                      <w:jc w:val="center"/>
                      <w:rPr>
                        <w:rFonts w:ascii="Calibri"/>
                        <w:sz w:val="19"/>
                      </w:rPr>
                    </w:pPr>
                    <w:r>
                      <w:rPr>
                        <w:rFonts w:ascii="Calibri"/>
                        <w:w w:val="97"/>
                        <w:sz w:val="19"/>
                      </w:rPr>
                      <w:t>-</w:t>
                    </w:r>
                  </w:p>
                  <w:p>
                    <w:pPr>
                      <w:spacing w:before="147"/>
                      <w:ind w:left="0" w:right="3407" w:firstLine="0"/>
                      <w:jc w:val="center"/>
                      <w:rPr>
                        <w:rFonts w:ascii="Calibri"/>
                        <w:sz w:val="19"/>
                      </w:rPr>
                    </w:pPr>
                    <w:r>
                      <w:rPr>
                        <w:rFonts w:ascii="Calibri"/>
                        <w:sz w:val="19"/>
                      </w:rPr>
                      <w:t>(0.20)</w:t>
                    </w:r>
                  </w:p>
                </w:txbxContent>
              </v:textbox>
              <w10:wrap type="none"/>
            </v:shape>
            <w10:wrap type="none"/>
          </v:group>
        </w:pict>
      </w:r>
      <w:r>
        <w:rPr>
          <w:rFonts w:ascii="Calibri"/>
          <w:sz w:val="19"/>
        </w:rPr>
        <w:t>(0.40)</w:t>
      </w:r>
    </w:p>
    <w:p>
      <w:pPr>
        <w:pStyle w:val="BodyText"/>
        <w:spacing w:before="10"/>
        <w:rPr>
          <w:rFonts w:ascii="Calibri"/>
          <w:sz w:val="21"/>
        </w:rPr>
      </w:pPr>
    </w:p>
    <w:p>
      <w:pPr>
        <w:tabs>
          <w:tab w:pos="1670" w:val="left" w:leader="none"/>
        </w:tabs>
        <w:spacing w:before="70"/>
        <w:ind w:left="660" w:right="0" w:firstLine="0"/>
        <w:jc w:val="center"/>
        <w:rPr>
          <w:rFonts w:ascii="Constantia"/>
          <w:sz w:val="15"/>
        </w:rPr>
      </w:pPr>
      <w:r>
        <w:rPr/>
        <w:pict>
          <v:line style="position:absolute;mso-position-horizontal-relative:page;mso-position-vertical-relative:paragraph;z-index:10072" from="257.897552pt,8.201391pt" to="282.163136pt,8.201391pt" stroked="true" strokeweight="2.240563pt" strokecolor="#497dba">
            <w10:wrap type="none"/>
          </v:line>
        </w:pict>
      </w:r>
      <w:r>
        <w:rPr/>
        <w:pict>
          <v:line style="position:absolute;mso-position-horizontal-relative:page;mso-position-vertical-relative:paragraph;z-index:-562024" from="308.565063pt,8.201391pt" to="332.126469pt,8.201391pt" stroked="true" strokeweight="2.240563pt" strokecolor="#bd4a47">
            <v:stroke dashstyle="longDash"/>
            <w10:wrap type="none"/>
          </v:line>
        </w:pict>
      </w:r>
      <w:r>
        <w:rPr>
          <w:rFonts w:ascii="Constantia"/>
          <w:sz w:val="15"/>
        </w:rPr>
        <w:t>Pgas</w:t>
        <w:tab/>
      </w:r>
      <w:r>
        <w:rPr>
          <w:rFonts w:ascii="Constantia"/>
          <w:spacing w:val="2"/>
          <w:w w:val="95"/>
          <w:sz w:val="15"/>
        </w:rPr>
        <w:t>DP/</w:t>
      </w:r>
      <w:r>
        <w:rPr>
          <w:rFonts w:ascii="Constantia"/>
          <w:spacing w:val="-9"/>
          <w:w w:val="95"/>
          <w:sz w:val="15"/>
        </w:rPr>
        <w:t> </w:t>
      </w:r>
      <w:r>
        <w:rPr>
          <w:rFonts w:ascii="Constantia"/>
          <w:w w:val="95"/>
          <w:sz w:val="15"/>
        </w:rPr>
        <w:t>PIB</w:t>
      </w:r>
    </w:p>
    <w:p>
      <w:pPr>
        <w:pStyle w:val="BodyText"/>
        <w:spacing w:before="10"/>
        <w:rPr>
          <w:rFonts w:ascii="Constantia"/>
          <w:sz w:val="8"/>
        </w:rPr>
      </w:pPr>
    </w:p>
    <w:p>
      <w:pPr>
        <w:spacing w:before="74"/>
        <w:ind w:left="102" w:right="0" w:firstLine="0"/>
        <w:jc w:val="left"/>
        <w:rPr>
          <w:sz w:val="20"/>
        </w:rPr>
      </w:pPr>
      <w:r>
        <w:rPr>
          <w:sz w:val="20"/>
        </w:rPr>
        <w:t>Fuente: Estimaciones propias con base en información del Banco Central de Bolivia (2012) y Yacimientos Petrolíferos Fiscales Bolivianos (2012).</w:t>
      </w:r>
    </w:p>
    <w:p>
      <w:pPr>
        <w:spacing w:after="0"/>
        <w:jc w:val="left"/>
        <w:rPr>
          <w:sz w:val="20"/>
        </w:rPr>
        <w:sectPr>
          <w:type w:val="continuous"/>
          <w:pgSz w:w="12250" w:h="15850"/>
          <w:pgMar w:top="1500" w:bottom="280" w:left="1600" w:right="1600"/>
        </w:sectPr>
      </w:pPr>
    </w:p>
    <w:p>
      <w:pPr>
        <w:pStyle w:val="BodyText"/>
        <w:spacing w:line="360" w:lineRule="auto" w:before="50"/>
        <w:ind w:left="102" w:right="115" w:firstLine="707"/>
        <w:jc w:val="both"/>
      </w:pPr>
      <w:r>
        <w:rPr/>
        <w:t>Para confirmar las apreciaciones previas, esta vez, con base en correlaciones, para los casos significativos, se encontró una asociación de orden moderada-fuerte (</w:t>
      </w:r>
      <w:r>
        <w:rPr>
          <w:i/>
        </w:rPr>
        <w:t>cuadro 3.4</w:t>
      </w:r>
      <w:r>
        <w:rPr/>
        <w:t>) durante el período global de estudio: 2003-2011. En tal sentido, se verificó que la asignación de los ingresos fiscales gasíferos al gasto de capital y la deuda pública siguen un comportamiento contracíclico a los precios del gas natural de grado moderado-fuerte. Adicionalmente, se evidenció un comportamiento procíclico del balance fiscal. Por otra parte, el balance primario no gasífero y la asignación de ingresos no gasíferos resultaron neutrales a los movimientos de precios del gas</w:t>
      </w:r>
      <w:r>
        <w:rPr>
          <w:spacing w:val="-11"/>
        </w:rPr>
        <w:t> </w:t>
      </w:r>
      <w:r>
        <w:rPr/>
        <w:t>natural.</w:t>
      </w:r>
    </w:p>
    <w:p>
      <w:pPr>
        <w:pStyle w:val="BodyText"/>
        <w:spacing w:line="360" w:lineRule="auto" w:before="7"/>
        <w:ind w:left="102" w:right="121" w:firstLine="707"/>
        <w:jc w:val="both"/>
      </w:pPr>
      <w:r>
        <w:rPr/>
        <w:t>Al comparar las fluctuaciones cíclicas del gasto primario desagregado, se encontró que el consumo del gobierno fue procíclico a los movimientos de precios del gas natural, aunque de grado débil. El resto de los tipos de gastos públicos tuvieron un comportamiento neutral con relación a las fluctuaciones de precios.</w:t>
      </w:r>
    </w:p>
    <w:p>
      <w:pPr>
        <w:pStyle w:val="BodyText"/>
        <w:spacing w:line="360" w:lineRule="auto" w:before="6"/>
        <w:ind w:left="102" w:right="116" w:firstLine="707"/>
        <w:jc w:val="both"/>
      </w:pPr>
      <w:r>
        <w:rPr/>
        <w:t>Un análisis complementario sobre la volatilidad de las series cíclicas, reveló que la asignación de los ingresos fiscales gasíferos al gasto de capital y la deuda pública tuvieron un comportamiento más volátil en relación a las fluctuaciones cíclicas de los precios del gas natural, lo cual señala la alta variabilidad en las decisiones institucionales sobre la inversión pública y el manejo del endeudamiento público (ver </w:t>
      </w:r>
      <w:r>
        <w:rPr>
          <w:i/>
        </w:rPr>
        <w:t>cuadro 3.4</w:t>
      </w:r>
      <w:r>
        <w:rPr/>
        <w:t>).</w:t>
      </w:r>
    </w:p>
    <w:p>
      <w:pPr>
        <w:pStyle w:val="BodyText"/>
        <w:spacing w:line="360" w:lineRule="auto" w:before="4"/>
        <w:ind w:left="102" w:right="121" w:firstLine="707"/>
        <w:jc w:val="both"/>
      </w:pPr>
      <w:r>
        <w:rPr/>
        <w:t>Para efectos comparativos, se apreció que el balance primario, con y sin gas natural, fue procíclico al comportamiento de la producción de gas natural, y a la actividad económica respectivamente (véase los anexos 3.3 y 3.4.). Adicionalmente, la deuda pública fue contracíclica al ciclo económico. Al desagregar los gastos primarios, el gasto de transferencias tuvo una orientación contracíclica a las fluctuaciones de la actividad económica.</w:t>
      </w:r>
    </w:p>
    <w:p>
      <w:pPr>
        <w:spacing w:after="0" w:line="360" w:lineRule="auto"/>
        <w:jc w:val="both"/>
        <w:sectPr>
          <w:pgSz w:w="12250" w:h="15850"/>
          <w:pgMar w:header="0" w:footer="1037" w:top="1360" w:bottom="1220" w:left="1600" w:right="1580"/>
        </w:sectPr>
      </w:pPr>
    </w:p>
    <w:p>
      <w:pPr>
        <w:pStyle w:val="BodyText"/>
        <w:spacing w:before="48"/>
        <w:ind w:left="1258" w:right="115"/>
      </w:pPr>
      <w:bookmarkStart w:name="_bookmark92" w:id="130"/>
      <w:bookmarkEnd w:id="130"/>
      <w:r>
        <w:rPr/>
      </w:r>
      <w:r>
        <w:rPr/>
        <w:t>Cuadro 3. 4: Asociaciones vinculadas a la posición fiscal de Bolivia</w:t>
      </w:r>
    </w:p>
    <w:p>
      <w:pPr>
        <w:pStyle w:val="BodyText"/>
        <w:ind w:left="3781" w:right="115"/>
      </w:pPr>
      <w:r>
        <w:rPr>
          <w:u w:val="single"/>
        </w:rPr>
        <w:t>Período 2003(T1) – 2011 (T2)</w:t>
      </w:r>
    </w:p>
    <w:p>
      <w:pPr>
        <w:spacing w:after="0"/>
        <w:sectPr>
          <w:pgSz w:w="12250" w:h="15850"/>
          <w:pgMar w:header="0" w:footer="1037" w:top="1360" w:bottom="1220" w:left="1600" w:right="1560"/>
        </w:sectPr>
      </w:pPr>
    </w:p>
    <w:p>
      <w:pPr>
        <w:spacing w:before="26"/>
        <w:ind w:left="0" w:right="0" w:firstLine="0"/>
        <w:jc w:val="right"/>
        <w:rPr>
          <w:rFonts w:ascii="Constantia"/>
          <w:sz w:val="17"/>
        </w:rPr>
      </w:pPr>
      <w:r>
        <w:rPr/>
        <w:pict>
          <v:group style="position:absolute;margin-left:469.172882pt;margin-top:23.193336pt;width:59.05pt;height:1.65pt;mso-position-horizontal-relative:page;mso-position-vertical-relative:paragraph;z-index:-561976" coordorigin="9383,464" coordsize="1181,33">
            <v:line style="position:absolute" from="9394,469" to="10554,469" stroked="true" strokeweight=".529935pt" strokecolor="#000000"/>
            <v:line style="position:absolute" from="9389,469" to="10559,469" stroked="true" strokeweight=".529935pt" strokecolor="#000000"/>
            <v:line style="position:absolute" from="9394,491" to="10554,491" stroked="true" strokeweight=".529935pt" strokecolor="#000000"/>
            <v:line style="position:absolute" from="9389,491" to="10559,491" stroked="true" strokeweight=".529935pt" strokecolor="#000000"/>
            <w10:wrap type="none"/>
          </v:group>
        </w:pict>
      </w:r>
      <w:r>
        <w:rPr>
          <w:rFonts w:ascii="Constantia"/>
          <w:sz w:val="17"/>
        </w:rPr>
        <w:t>Volatilidad</w:t>
      </w:r>
    </w:p>
    <w:p>
      <w:pPr>
        <w:spacing w:before="26"/>
        <w:ind w:left="567" w:right="0" w:firstLine="0"/>
        <w:jc w:val="left"/>
        <w:rPr>
          <w:rFonts w:ascii="Constantia"/>
          <w:sz w:val="17"/>
        </w:rPr>
      </w:pPr>
      <w:r>
        <w:rPr/>
        <w:br w:type="column"/>
      </w:r>
      <w:r>
        <w:rPr>
          <w:rFonts w:ascii="Constantia"/>
          <w:sz w:val="17"/>
        </w:rPr>
        <w:t>Variabilidad</w:t>
      </w:r>
    </w:p>
    <w:p>
      <w:pPr>
        <w:spacing w:before="26"/>
        <w:ind w:left="567" w:right="0" w:firstLine="0"/>
        <w:jc w:val="left"/>
        <w:rPr>
          <w:rFonts w:ascii="Constantia" w:hAnsi="Constantia"/>
          <w:sz w:val="17"/>
        </w:rPr>
      </w:pPr>
      <w:r>
        <w:rPr/>
        <w:br w:type="column"/>
      </w:r>
      <w:r>
        <w:rPr>
          <w:rFonts w:ascii="Constantia" w:hAnsi="Constantia"/>
          <w:sz w:val="17"/>
        </w:rPr>
        <w:t>Correlación</w:t>
      </w:r>
    </w:p>
    <w:p>
      <w:pPr>
        <w:spacing w:after="0"/>
        <w:jc w:val="left"/>
        <w:rPr>
          <w:rFonts w:ascii="Constantia" w:hAnsi="Constantia"/>
          <w:sz w:val="17"/>
        </w:rPr>
        <w:sectPr>
          <w:type w:val="continuous"/>
          <w:pgSz w:w="12250" w:h="15850"/>
          <w:pgMar w:top="1500" w:bottom="280" w:left="1600" w:right="1560"/>
          <w:cols w:num="3" w:equalWidth="0">
            <w:col w:w="4374" w:space="40"/>
            <w:col w:w="1503" w:space="40"/>
            <w:col w:w="3133"/>
          </w:cols>
        </w:sectPr>
      </w:pPr>
    </w:p>
    <w:p>
      <w:pPr>
        <w:pStyle w:val="BodyText"/>
        <w:rPr>
          <w:rFonts w:ascii="Constantia"/>
          <w:sz w:val="3"/>
        </w:rPr>
      </w:pPr>
    </w:p>
    <w:tbl>
      <w:tblPr>
        <w:tblW w:w="0" w:type="auto"/>
        <w:jc w:val="left"/>
        <w:tblInd w:w="14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180"/>
        <w:gridCol w:w="666"/>
        <w:gridCol w:w="589"/>
        <w:gridCol w:w="266"/>
        <w:gridCol w:w="634"/>
        <w:gridCol w:w="589"/>
        <w:gridCol w:w="905"/>
        <w:gridCol w:w="723"/>
        <w:gridCol w:w="1265"/>
      </w:tblGrid>
      <w:tr>
        <w:trPr>
          <w:trHeight w:val="210" w:hRule="exact"/>
        </w:trPr>
        <w:tc>
          <w:tcPr>
            <w:tcW w:w="8817" w:type="dxa"/>
            <w:gridSpan w:val="9"/>
          </w:tcPr>
          <w:p>
            <w:pPr>
              <w:pStyle w:val="TableParagraph"/>
              <w:tabs>
                <w:tab w:pos="4935" w:val="left" w:leader="none"/>
                <w:tab w:pos="6562" w:val="left" w:leader="none"/>
                <w:tab w:pos="7679" w:val="left" w:leader="none"/>
              </w:tabs>
              <w:spacing w:line="197" w:lineRule="exact"/>
              <w:ind w:left="3701"/>
              <w:jc w:val="left"/>
              <w:rPr>
                <w:rFonts w:ascii="Constantia" w:hAnsi="Constantia" w:cs="Constantia" w:eastAsia="Constantia"/>
                <w:sz w:val="17"/>
                <w:szCs w:val="17"/>
              </w:rPr>
            </w:pPr>
            <w:r>
              <w:rPr>
                <w:rFonts w:ascii="Constantia" w:hAnsi="Constantia" w:cs="Constantia" w:eastAsia="Constantia"/>
                <w:position w:val="1"/>
                <w:sz w:val="17"/>
                <w:szCs w:val="17"/>
              </w:rPr>
              <w:t>(σ)</w:t>
              <w:tab/>
              <w:t>[σ(</w:t>
            </w:r>
            <w:r>
              <w:rPr>
                <w:rFonts w:ascii="Constantia" w:hAnsi="Constantia" w:cs="Constantia" w:eastAsia="Constantia"/>
                <w:position w:val="1"/>
                <w:sz w:val="14"/>
                <w:szCs w:val="14"/>
              </w:rPr>
              <w:t>i</w:t>
            </w:r>
            <w:r>
              <w:rPr>
                <w:rFonts w:ascii="Constantia" w:hAnsi="Constantia" w:cs="Constantia" w:eastAsia="Constantia"/>
                <w:position w:val="1"/>
                <w:sz w:val="17"/>
                <w:szCs w:val="17"/>
              </w:rPr>
              <w:t>)/σ(</w:t>
            </w:r>
            <w:r>
              <w:rPr>
                <w:rFonts w:ascii="Constantia" w:hAnsi="Constantia" w:cs="Constantia" w:eastAsia="Constantia"/>
                <w:position w:val="1"/>
                <w:sz w:val="14"/>
                <w:szCs w:val="14"/>
              </w:rPr>
              <w:t>y</w:t>
            </w:r>
            <w:r>
              <w:rPr>
                <w:rFonts w:ascii="Constantia" w:hAnsi="Constantia" w:cs="Constantia" w:eastAsia="Constantia"/>
                <w:position w:val="1"/>
                <w:sz w:val="17"/>
                <w:szCs w:val="17"/>
              </w:rPr>
              <w:t>)]</w:t>
              <w:tab/>
            </w:r>
            <w:r>
              <w:rPr>
                <w:rFonts w:ascii="Constantia" w:hAnsi="Constantia" w:cs="Constantia" w:eastAsia="Constantia"/>
                <w:spacing w:val="2"/>
                <w:position w:val="1"/>
                <w:sz w:val="17"/>
                <w:szCs w:val="17"/>
              </w:rPr>
              <w:t>[</w:t>
            </w:r>
            <w:r>
              <w:rPr>
                <w:spacing w:val="2"/>
                <w:position w:val="1"/>
                <w:sz w:val="17"/>
                <w:szCs w:val="17"/>
              </w:rPr>
              <w:t>ϕ</w:t>
            </w:r>
            <w:r>
              <w:rPr>
                <w:spacing w:val="-4"/>
                <w:position w:val="1"/>
                <w:sz w:val="17"/>
                <w:szCs w:val="17"/>
              </w:rPr>
              <w:t> </w:t>
            </w:r>
            <w:r>
              <w:rPr>
                <w:rFonts w:ascii="Constantia" w:hAnsi="Constantia" w:cs="Constantia" w:eastAsia="Constantia"/>
                <w:position w:val="1"/>
                <w:sz w:val="17"/>
                <w:szCs w:val="17"/>
              </w:rPr>
              <w:t>(t</w:t>
            </w:r>
            <w:r>
              <w:rPr>
                <w:rFonts w:ascii="Constantia" w:hAnsi="Constantia" w:cs="Constantia" w:eastAsia="Constantia"/>
                <w:position w:val="1"/>
                <w:sz w:val="14"/>
                <w:szCs w:val="14"/>
              </w:rPr>
              <w:t>0</w:t>
            </w:r>
            <w:r>
              <w:rPr>
                <w:rFonts w:ascii="Constantia" w:hAnsi="Constantia" w:cs="Constantia" w:eastAsia="Constantia"/>
                <w:position w:val="1"/>
                <w:sz w:val="17"/>
                <w:szCs w:val="17"/>
              </w:rPr>
              <w:t>)]</w:t>
              <w:tab/>
            </w:r>
            <w:r>
              <w:rPr>
                <w:rFonts w:ascii="Constantia" w:hAnsi="Constantia" w:cs="Constantia" w:eastAsia="Constantia"/>
                <w:sz w:val="17"/>
                <w:szCs w:val="17"/>
              </w:rPr>
              <w:t>Orientación</w:t>
            </w:r>
          </w:p>
        </w:tc>
      </w:tr>
      <w:tr>
        <w:trPr>
          <w:trHeight w:val="323" w:hRule="exact"/>
        </w:trPr>
        <w:tc>
          <w:tcPr>
            <w:tcW w:w="3846" w:type="dxa"/>
            <w:gridSpan w:val="2"/>
          </w:tcPr>
          <w:p>
            <w:pPr>
              <w:pStyle w:val="TableParagraph"/>
              <w:spacing w:before="77"/>
              <w:ind w:right="210"/>
              <w:jc w:val="right"/>
              <w:rPr>
                <w:rFonts w:ascii="Constantia"/>
                <w:sz w:val="17"/>
              </w:rPr>
            </w:pPr>
            <w:r>
              <w:rPr>
                <w:rFonts w:ascii="Constantia"/>
                <w:sz w:val="17"/>
              </w:rPr>
              <w:t>HP</w:t>
            </w:r>
          </w:p>
        </w:tc>
        <w:tc>
          <w:tcPr>
            <w:tcW w:w="589" w:type="dxa"/>
            <w:tcBorders>
              <w:top w:val="double" w:sz="4" w:space="0" w:color="000000"/>
            </w:tcBorders>
          </w:tcPr>
          <w:p>
            <w:pPr>
              <w:pStyle w:val="TableParagraph"/>
              <w:spacing w:before="61"/>
              <w:ind w:left="81" w:right="83"/>
              <w:rPr>
                <w:rFonts w:ascii="Constantia"/>
                <w:sz w:val="17"/>
              </w:rPr>
            </w:pPr>
            <w:r>
              <w:rPr>
                <w:rFonts w:ascii="Constantia"/>
                <w:sz w:val="17"/>
              </w:rPr>
              <w:t>CF</w:t>
            </w:r>
          </w:p>
        </w:tc>
        <w:tc>
          <w:tcPr>
            <w:tcW w:w="266" w:type="dxa"/>
          </w:tcPr>
          <w:p>
            <w:pPr/>
          </w:p>
        </w:tc>
        <w:tc>
          <w:tcPr>
            <w:tcW w:w="634" w:type="dxa"/>
            <w:tcBorders>
              <w:top w:val="double" w:sz="4" w:space="0" w:color="000000"/>
            </w:tcBorders>
          </w:tcPr>
          <w:p>
            <w:pPr>
              <w:pStyle w:val="TableParagraph"/>
              <w:spacing w:before="61"/>
              <w:ind w:left="202"/>
              <w:jc w:val="left"/>
              <w:rPr>
                <w:rFonts w:ascii="Constantia"/>
                <w:sz w:val="17"/>
              </w:rPr>
            </w:pPr>
            <w:r>
              <w:rPr>
                <w:rFonts w:ascii="Constantia"/>
                <w:sz w:val="17"/>
              </w:rPr>
              <w:t>HP</w:t>
            </w:r>
          </w:p>
        </w:tc>
        <w:tc>
          <w:tcPr>
            <w:tcW w:w="589" w:type="dxa"/>
            <w:tcBorders>
              <w:top w:val="double" w:sz="4" w:space="0" w:color="000000"/>
            </w:tcBorders>
          </w:tcPr>
          <w:p>
            <w:pPr>
              <w:pStyle w:val="TableParagraph"/>
              <w:spacing w:before="61"/>
              <w:ind w:left="80" w:right="82"/>
              <w:rPr>
                <w:rFonts w:ascii="Constantia"/>
                <w:sz w:val="17"/>
              </w:rPr>
            </w:pPr>
            <w:r>
              <w:rPr>
                <w:rFonts w:ascii="Constantia"/>
                <w:sz w:val="17"/>
              </w:rPr>
              <w:t>CF</w:t>
            </w:r>
          </w:p>
        </w:tc>
        <w:tc>
          <w:tcPr>
            <w:tcW w:w="2893" w:type="dxa"/>
            <w:gridSpan w:val="3"/>
          </w:tcPr>
          <w:p>
            <w:pPr>
              <w:pStyle w:val="TableParagraph"/>
              <w:spacing w:line="32" w:lineRule="exact"/>
              <w:ind w:left="249"/>
              <w:jc w:val="left"/>
              <w:rPr>
                <w:rFonts w:ascii="Constantia"/>
                <w:sz w:val="3"/>
              </w:rPr>
            </w:pPr>
            <w:r>
              <w:rPr>
                <w:rFonts w:ascii="Constantia"/>
                <w:position w:val="0"/>
                <w:sz w:val="3"/>
              </w:rPr>
              <w:pict>
                <v:group style="width:64.4pt;height:1.65pt;mso-position-horizontal-relative:char;mso-position-vertical-relative:line" coordorigin="0,0" coordsize="1288,33">
                  <v:line style="position:absolute" from="11,6" to="1276,6" stroked="true" strokeweight=".529935pt" strokecolor="#000000"/>
                  <v:line style="position:absolute" from="6,6" to="1282,6" stroked="true" strokeweight=".529935pt" strokecolor="#000000"/>
                  <v:line style="position:absolute" from="11,27" to="1276,27" stroked="true" strokeweight=".529935pt" strokecolor="#000000"/>
                  <v:line style="position:absolute" from="6,27" to="1282,27" stroked="true" strokeweight=".529935pt" strokecolor="#000000"/>
                </v:group>
              </w:pict>
            </w:r>
            <w:r>
              <w:rPr>
                <w:rFonts w:ascii="Constantia"/>
                <w:position w:val="0"/>
                <w:sz w:val="3"/>
              </w:rPr>
            </w:r>
          </w:p>
          <w:p>
            <w:pPr>
              <w:pStyle w:val="TableParagraph"/>
              <w:tabs>
                <w:tab w:pos="1127" w:val="left" w:leader="none"/>
              </w:tabs>
              <w:spacing w:before="45"/>
              <w:ind w:left="468"/>
              <w:jc w:val="left"/>
              <w:rPr>
                <w:rFonts w:ascii="Constantia"/>
                <w:sz w:val="17"/>
              </w:rPr>
            </w:pPr>
            <w:r>
              <w:rPr>
                <w:rFonts w:ascii="Constantia"/>
                <w:sz w:val="17"/>
              </w:rPr>
              <w:t>HP</w:t>
              <w:tab/>
            </w:r>
            <w:r>
              <w:rPr>
                <w:rFonts w:ascii="Constantia"/>
                <w:spacing w:val="-5"/>
                <w:sz w:val="17"/>
              </w:rPr>
              <w:t>CF</w:t>
            </w:r>
          </w:p>
        </w:tc>
      </w:tr>
      <w:tr>
        <w:trPr>
          <w:trHeight w:val="392" w:hRule="exact"/>
        </w:trPr>
        <w:tc>
          <w:tcPr>
            <w:tcW w:w="3846" w:type="dxa"/>
            <w:gridSpan w:val="2"/>
          </w:tcPr>
          <w:p>
            <w:pPr>
              <w:pStyle w:val="TableParagraph"/>
              <w:tabs>
                <w:tab w:pos="3733" w:val="right" w:leader="none"/>
              </w:tabs>
              <w:spacing w:line="246" w:lineRule="exact"/>
              <w:ind w:left="31"/>
              <w:jc w:val="left"/>
              <w:rPr>
                <w:rFonts w:ascii="Constantia"/>
                <w:sz w:val="20"/>
              </w:rPr>
            </w:pPr>
            <w:r>
              <w:rPr>
                <w:rFonts w:ascii="Constantia"/>
                <w:b/>
                <w:spacing w:val="-3"/>
                <w:position w:val="1"/>
                <w:sz w:val="20"/>
                <w:u w:val="single"/>
              </w:rPr>
              <w:t>Precio </w:t>
            </w:r>
            <w:r>
              <w:rPr>
                <w:rFonts w:ascii="Constantia"/>
                <w:b/>
                <w:position w:val="1"/>
                <w:sz w:val="20"/>
                <w:u w:val="single"/>
              </w:rPr>
              <w:t>del </w:t>
            </w:r>
            <w:r>
              <w:rPr>
                <w:rFonts w:ascii="Constantia"/>
                <w:b/>
                <w:spacing w:val="-3"/>
                <w:position w:val="1"/>
                <w:sz w:val="20"/>
                <w:u w:val="single"/>
              </w:rPr>
              <w:t>gas</w:t>
            </w:r>
            <w:r>
              <w:rPr>
                <w:rFonts w:ascii="Constantia"/>
                <w:b/>
                <w:spacing w:val="16"/>
                <w:position w:val="1"/>
                <w:sz w:val="20"/>
                <w:u w:val="single"/>
              </w:rPr>
              <w:t> </w:t>
            </w:r>
            <w:r>
              <w:rPr>
                <w:rFonts w:ascii="Constantia"/>
                <w:b/>
                <w:spacing w:val="-3"/>
                <w:position w:val="1"/>
                <w:sz w:val="20"/>
                <w:u w:val="single"/>
              </w:rPr>
              <w:t>natural</w:t>
            </w:r>
            <w:r>
              <w:rPr>
                <w:rFonts w:ascii="Constantia"/>
                <w:b/>
                <w:spacing w:val="3"/>
                <w:position w:val="1"/>
                <w:sz w:val="20"/>
                <w:u w:val="single"/>
              </w:rPr>
              <w:t> </w:t>
            </w:r>
            <w:r>
              <w:rPr>
                <w:rFonts w:ascii="Constantia"/>
                <w:b/>
                <w:position w:val="1"/>
                <w:sz w:val="20"/>
                <w:u w:val="single"/>
              </w:rPr>
              <w:t>(y)</w:t>
            </w:r>
            <w:r>
              <w:rPr>
                <w:rFonts w:ascii="Constantia"/>
                <w:sz w:val="20"/>
              </w:rPr>
              <w:tab/>
              <w:t>0.14</w:t>
            </w:r>
          </w:p>
        </w:tc>
        <w:tc>
          <w:tcPr>
            <w:tcW w:w="589" w:type="dxa"/>
          </w:tcPr>
          <w:p>
            <w:pPr>
              <w:pStyle w:val="TableParagraph"/>
              <w:spacing w:before="2"/>
              <w:ind w:left="90" w:right="37"/>
              <w:rPr>
                <w:rFonts w:ascii="Constantia"/>
                <w:sz w:val="20"/>
              </w:rPr>
            </w:pPr>
            <w:r>
              <w:rPr>
                <w:rFonts w:ascii="Constantia"/>
                <w:sz w:val="20"/>
              </w:rPr>
              <w:t>0.13</w:t>
            </w:r>
          </w:p>
        </w:tc>
        <w:tc>
          <w:tcPr>
            <w:tcW w:w="900" w:type="dxa"/>
            <w:gridSpan w:val="2"/>
          </w:tcPr>
          <w:p>
            <w:pPr>
              <w:pStyle w:val="TableParagraph"/>
              <w:spacing w:before="2"/>
              <w:ind w:left="457"/>
              <w:jc w:val="left"/>
              <w:rPr>
                <w:rFonts w:ascii="Constantia"/>
                <w:sz w:val="20"/>
              </w:rPr>
            </w:pPr>
            <w:r>
              <w:rPr>
                <w:rFonts w:ascii="Constantia"/>
                <w:sz w:val="20"/>
              </w:rPr>
              <w:t>1.00</w:t>
            </w:r>
          </w:p>
        </w:tc>
        <w:tc>
          <w:tcPr>
            <w:tcW w:w="589" w:type="dxa"/>
          </w:tcPr>
          <w:p>
            <w:pPr>
              <w:pStyle w:val="TableParagraph"/>
              <w:spacing w:before="2"/>
              <w:ind w:left="90" w:right="41"/>
              <w:rPr>
                <w:rFonts w:ascii="Constantia"/>
                <w:sz w:val="20"/>
              </w:rPr>
            </w:pPr>
            <w:r>
              <w:rPr>
                <w:rFonts w:ascii="Constantia"/>
                <w:sz w:val="20"/>
              </w:rPr>
              <w:t>1.00</w:t>
            </w:r>
          </w:p>
        </w:tc>
        <w:tc>
          <w:tcPr>
            <w:tcW w:w="1628" w:type="dxa"/>
            <w:gridSpan w:val="2"/>
          </w:tcPr>
          <w:p>
            <w:pPr/>
          </w:p>
        </w:tc>
        <w:tc>
          <w:tcPr>
            <w:tcW w:w="1265" w:type="dxa"/>
          </w:tcPr>
          <w:p>
            <w:pPr/>
          </w:p>
        </w:tc>
      </w:tr>
      <w:tr>
        <w:trPr>
          <w:trHeight w:val="446" w:hRule="exact"/>
        </w:trPr>
        <w:tc>
          <w:tcPr>
            <w:tcW w:w="3846" w:type="dxa"/>
            <w:gridSpan w:val="2"/>
          </w:tcPr>
          <w:p>
            <w:pPr>
              <w:pStyle w:val="TableParagraph"/>
              <w:spacing w:line="121" w:lineRule="exact"/>
              <w:ind w:left="31"/>
              <w:jc w:val="left"/>
              <w:rPr>
                <w:rFonts w:ascii="Constantia" w:hAnsi="Constantia"/>
                <w:sz w:val="17"/>
              </w:rPr>
            </w:pPr>
            <w:r>
              <w:rPr>
                <w:rFonts w:ascii="Constantia" w:hAnsi="Constantia"/>
                <w:sz w:val="17"/>
              </w:rPr>
              <w:t>Asignación de Ing. Fisc. Gasíf.</w:t>
            </w:r>
          </w:p>
          <w:p>
            <w:pPr>
              <w:pStyle w:val="TableParagraph"/>
              <w:tabs>
                <w:tab w:pos="3733" w:val="right" w:leader="none"/>
              </w:tabs>
              <w:spacing w:line="231" w:lineRule="exact"/>
              <w:ind w:left="31"/>
              <w:jc w:val="left"/>
              <w:rPr>
                <w:rFonts w:ascii="Constantia"/>
                <w:sz w:val="20"/>
              </w:rPr>
            </w:pPr>
            <w:r>
              <w:rPr>
                <w:rFonts w:ascii="Constantia"/>
                <w:w w:val="105"/>
                <w:sz w:val="12"/>
              </w:rPr>
              <w:t>(Gasto de capital/ Ingresos fisc.</w:t>
            </w:r>
            <w:r>
              <w:rPr>
                <w:rFonts w:ascii="Constantia"/>
                <w:spacing w:val="-1"/>
                <w:w w:val="105"/>
                <w:sz w:val="12"/>
              </w:rPr>
              <w:t> </w:t>
            </w:r>
            <w:r>
              <w:rPr>
                <w:rFonts w:ascii="Constantia"/>
                <w:w w:val="105"/>
                <w:sz w:val="12"/>
              </w:rPr>
              <w:t>Gas</w:t>
            </w:r>
            <w:r>
              <w:rPr>
                <w:rFonts w:ascii="Constantia"/>
                <w:spacing w:val="1"/>
                <w:w w:val="105"/>
                <w:sz w:val="12"/>
              </w:rPr>
              <w:t> </w:t>
            </w:r>
            <w:r>
              <w:rPr>
                <w:rFonts w:ascii="Constantia"/>
                <w:w w:val="105"/>
                <w:sz w:val="12"/>
              </w:rPr>
              <w:t>Natur.)</w:t>
            </w:r>
            <w:r>
              <w:rPr>
                <w:rFonts w:ascii="Constantia"/>
                <w:w w:val="105"/>
                <w:position w:val="-2"/>
                <w:sz w:val="20"/>
              </w:rPr>
              <w:tab/>
              <w:t>0.24</w:t>
            </w:r>
          </w:p>
        </w:tc>
        <w:tc>
          <w:tcPr>
            <w:tcW w:w="589" w:type="dxa"/>
          </w:tcPr>
          <w:p>
            <w:pPr>
              <w:pStyle w:val="TableParagraph"/>
              <w:spacing w:before="110"/>
              <w:ind w:left="90" w:right="63"/>
              <w:rPr>
                <w:rFonts w:ascii="Constantia"/>
                <w:sz w:val="20"/>
              </w:rPr>
            </w:pPr>
            <w:r>
              <w:rPr>
                <w:rFonts w:ascii="Constantia"/>
                <w:sz w:val="20"/>
              </w:rPr>
              <w:t>0.22</w:t>
            </w:r>
          </w:p>
        </w:tc>
        <w:tc>
          <w:tcPr>
            <w:tcW w:w="900" w:type="dxa"/>
            <w:gridSpan w:val="2"/>
          </w:tcPr>
          <w:p>
            <w:pPr>
              <w:pStyle w:val="TableParagraph"/>
              <w:spacing w:before="110"/>
              <w:ind w:left="467"/>
              <w:jc w:val="left"/>
              <w:rPr>
                <w:rFonts w:ascii="Constantia"/>
                <w:sz w:val="20"/>
              </w:rPr>
            </w:pPr>
            <w:r>
              <w:rPr>
                <w:rFonts w:ascii="Constantia"/>
                <w:sz w:val="20"/>
              </w:rPr>
              <w:t>1.70</w:t>
            </w:r>
          </w:p>
        </w:tc>
        <w:tc>
          <w:tcPr>
            <w:tcW w:w="589" w:type="dxa"/>
          </w:tcPr>
          <w:p>
            <w:pPr>
              <w:pStyle w:val="TableParagraph"/>
              <w:spacing w:before="110"/>
              <w:ind w:left="90" w:right="31"/>
              <w:rPr>
                <w:rFonts w:ascii="Constantia"/>
                <w:sz w:val="20"/>
              </w:rPr>
            </w:pPr>
            <w:r>
              <w:rPr>
                <w:rFonts w:ascii="Constantia"/>
                <w:sz w:val="20"/>
              </w:rPr>
              <w:t>1.67</w:t>
            </w:r>
          </w:p>
        </w:tc>
        <w:tc>
          <w:tcPr>
            <w:tcW w:w="1628" w:type="dxa"/>
            <w:gridSpan w:val="2"/>
          </w:tcPr>
          <w:p>
            <w:pPr>
              <w:pStyle w:val="TableParagraph"/>
              <w:spacing w:before="110"/>
              <w:ind w:left="265"/>
              <w:jc w:val="left"/>
              <w:rPr>
                <w:rFonts w:ascii="Constantia"/>
                <w:sz w:val="20"/>
              </w:rPr>
            </w:pPr>
            <w:r>
              <w:rPr>
                <w:rFonts w:ascii="Constantia"/>
                <w:sz w:val="20"/>
              </w:rPr>
              <w:t>-0.50**-0.62**</w:t>
            </w:r>
          </w:p>
        </w:tc>
        <w:tc>
          <w:tcPr>
            <w:tcW w:w="1265" w:type="dxa"/>
          </w:tcPr>
          <w:p>
            <w:pPr>
              <w:pStyle w:val="TableParagraph"/>
              <w:spacing w:before="138"/>
              <w:ind w:left="126"/>
              <w:jc w:val="left"/>
              <w:rPr>
                <w:rFonts w:ascii="Constantia" w:hAnsi="Constantia"/>
                <w:sz w:val="17"/>
              </w:rPr>
            </w:pPr>
            <w:r>
              <w:rPr>
                <w:rFonts w:ascii="Constantia" w:hAnsi="Constantia"/>
                <w:sz w:val="17"/>
              </w:rPr>
              <w:t>Contracíclica</w:t>
            </w:r>
          </w:p>
        </w:tc>
      </w:tr>
      <w:tr>
        <w:trPr>
          <w:trHeight w:val="382" w:hRule="exact"/>
        </w:trPr>
        <w:tc>
          <w:tcPr>
            <w:tcW w:w="3846" w:type="dxa"/>
            <w:gridSpan w:val="2"/>
          </w:tcPr>
          <w:p>
            <w:pPr>
              <w:pStyle w:val="TableParagraph"/>
              <w:spacing w:line="96" w:lineRule="exact"/>
              <w:ind w:left="31"/>
              <w:jc w:val="left"/>
              <w:rPr>
                <w:rFonts w:ascii="Constantia" w:hAnsi="Constantia"/>
                <w:sz w:val="17"/>
              </w:rPr>
            </w:pPr>
            <w:r>
              <w:rPr>
                <w:rFonts w:ascii="Constantia" w:hAnsi="Constantia"/>
                <w:sz w:val="17"/>
              </w:rPr>
              <w:t>Asignación de Ing. Fisc. No Gasíf.</w:t>
            </w:r>
          </w:p>
          <w:p>
            <w:pPr>
              <w:pStyle w:val="TableParagraph"/>
              <w:tabs>
                <w:tab w:pos="3731" w:val="right" w:leader="none"/>
              </w:tabs>
              <w:spacing w:line="206" w:lineRule="exact"/>
              <w:ind w:left="31"/>
              <w:jc w:val="left"/>
              <w:rPr>
                <w:rFonts w:ascii="Constantia" w:hAnsi="Constantia"/>
                <w:sz w:val="20"/>
              </w:rPr>
            </w:pPr>
            <w:r>
              <w:rPr>
                <w:rFonts w:ascii="Constantia" w:hAnsi="Constantia"/>
                <w:w w:val="105"/>
                <w:sz w:val="12"/>
              </w:rPr>
              <w:t>(Gasto corriente / Ingresos fisc.</w:t>
            </w:r>
            <w:r>
              <w:rPr>
                <w:rFonts w:ascii="Constantia" w:hAnsi="Constantia"/>
                <w:spacing w:val="-1"/>
                <w:w w:val="105"/>
                <w:sz w:val="12"/>
              </w:rPr>
              <w:t> </w:t>
            </w:r>
            <w:r>
              <w:rPr>
                <w:rFonts w:ascii="Constantia" w:hAnsi="Constantia"/>
                <w:w w:val="105"/>
                <w:sz w:val="12"/>
              </w:rPr>
              <w:t>No</w:t>
            </w:r>
            <w:r>
              <w:rPr>
                <w:rFonts w:ascii="Constantia" w:hAnsi="Constantia"/>
                <w:spacing w:val="-6"/>
                <w:w w:val="105"/>
                <w:sz w:val="12"/>
              </w:rPr>
              <w:t> </w:t>
            </w:r>
            <w:r>
              <w:rPr>
                <w:rFonts w:ascii="Constantia" w:hAnsi="Constantia"/>
                <w:w w:val="105"/>
                <w:sz w:val="12"/>
              </w:rPr>
              <w:t>Gasíf.)</w:t>
            </w:r>
            <w:r>
              <w:rPr>
                <w:rFonts w:ascii="Constantia" w:hAnsi="Constantia"/>
                <w:w w:val="105"/>
                <w:position w:val="2"/>
                <w:sz w:val="20"/>
              </w:rPr>
              <w:tab/>
              <w:t>0.11</w:t>
            </w:r>
          </w:p>
        </w:tc>
        <w:tc>
          <w:tcPr>
            <w:tcW w:w="589" w:type="dxa"/>
          </w:tcPr>
          <w:p>
            <w:pPr>
              <w:pStyle w:val="TableParagraph"/>
              <w:spacing w:before="56"/>
              <w:ind w:left="90" w:right="83"/>
              <w:rPr>
                <w:rFonts w:ascii="Constantia"/>
                <w:sz w:val="20"/>
              </w:rPr>
            </w:pPr>
            <w:r>
              <w:rPr>
                <w:rFonts w:ascii="Constantia"/>
                <w:sz w:val="20"/>
              </w:rPr>
              <w:t>0.09</w:t>
            </w:r>
          </w:p>
        </w:tc>
        <w:tc>
          <w:tcPr>
            <w:tcW w:w="900" w:type="dxa"/>
            <w:gridSpan w:val="2"/>
          </w:tcPr>
          <w:p>
            <w:pPr>
              <w:pStyle w:val="TableParagraph"/>
              <w:spacing w:before="56"/>
              <w:ind w:left="436"/>
              <w:jc w:val="left"/>
              <w:rPr>
                <w:rFonts w:ascii="Constantia"/>
                <w:sz w:val="20"/>
              </w:rPr>
            </w:pPr>
            <w:r>
              <w:rPr>
                <w:rFonts w:ascii="Constantia"/>
                <w:sz w:val="20"/>
              </w:rPr>
              <w:t>0.75</w:t>
            </w:r>
          </w:p>
        </w:tc>
        <w:tc>
          <w:tcPr>
            <w:tcW w:w="589" w:type="dxa"/>
          </w:tcPr>
          <w:p>
            <w:pPr>
              <w:pStyle w:val="TableParagraph"/>
              <w:spacing w:before="56"/>
              <w:ind w:left="90" w:right="63"/>
              <w:rPr>
                <w:rFonts w:ascii="Constantia"/>
                <w:sz w:val="20"/>
              </w:rPr>
            </w:pPr>
            <w:r>
              <w:rPr>
                <w:rFonts w:ascii="Constantia"/>
                <w:sz w:val="20"/>
              </w:rPr>
              <w:t>0.72</w:t>
            </w:r>
          </w:p>
        </w:tc>
        <w:tc>
          <w:tcPr>
            <w:tcW w:w="1628" w:type="dxa"/>
            <w:gridSpan w:val="2"/>
          </w:tcPr>
          <w:p>
            <w:pPr>
              <w:pStyle w:val="TableParagraph"/>
              <w:tabs>
                <w:tab w:pos="989" w:val="left" w:leader="none"/>
              </w:tabs>
              <w:spacing w:before="56"/>
              <w:ind w:left="404"/>
              <w:jc w:val="left"/>
              <w:rPr>
                <w:rFonts w:ascii="Constantia"/>
                <w:sz w:val="20"/>
              </w:rPr>
            </w:pPr>
            <w:r>
              <w:rPr>
                <w:rFonts w:ascii="Constantia"/>
                <w:sz w:val="20"/>
              </w:rPr>
              <w:t>0.05</w:t>
              <w:tab/>
              <w:t>-0.01</w:t>
            </w:r>
          </w:p>
        </w:tc>
        <w:tc>
          <w:tcPr>
            <w:tcW w:w="1265" w:type="dxa"/>
          </w:tcPr>
          <w:p>
            <w:pPr>
              <w:pStyle w:val="TableParagraph"/>
              <w:spacing w:before="85"/>
              <w:ind w:left="126"/>
              <w:jc w:val="left"/>
              <w:rPr>
                <w:rFonts w:ascii="Constantia" w:hAnsi="Constantia"/>
                <w:sz w:val="17"/>
              </w:rPr>
            </w:pPr>
            <w:r>
              <w:rPr>
                <w:rFonts w:ascii="Constantia" w:hAnsi="Constantia"/>
                <w:sz w:val="17"/>
              </w:rPr>
              <w:t>Acíclico</w:t>
            </w:r>
          </w:p>
        </w:tc>
      </w:tr>
      <w:tr>
        <w:trPr>
          <w:trHeight w:val="341" w:hRule="exact"/>
        </w:trPr>
        <w:tc>
          <w:tcPr>
            <w:tcW w:w="3846" w:type="dxa"/>
            <w:gridSpan w:val="2"/>
          </w:tcPr>
          <w:p>
            <w:pPr>
              <w:pStyle w:val="TableParagraph"/>
              <w:tabs>
                <w:tab w:pos="3729" w:val="right" w:leader="none"/>
              </w:tabs>
              <w:spacing w:before="11"/>
              <w:ind w:left="31"/>
              <w:jc w:val="left"/>
              <w:rPr>
                <w:rFonts w:ascii="Constantia"/>
                <w:sz w:val="20"/>
              </w:rPr>
            </w:pPr>
            <w:r>
              <w:rPr>
                <w:rFonts w:ascii="Constantia"/>
                <w:sz w:val="17"/>
              </w:rPr>
              <w:t>Balance</w:t>
            </w:r>
            <w:r>
              <w:rPr>
                <w:rFonts w:ascii="Constantia"/>
                <w:spacing w:val="3"/>
                <w:sz w:val="17"/>
              </w:rPr>
              <w:t> </w:t>
            </w:r>
            <w:r>
              <w:rPr>
                <w:rFonts w:ascii="Constantia"/>
                <w:sz w:val="17"/>
              </w:rPr>
              <w:t>primario/</w:t>
            </w:r>
            <w:r>
              <w:rPr>
                <w:rFonts w:ascii="Constantia"/>
                <w:spacing w:val="-5"/>
                <w:sz w:val="17"/>
              </w:rPr>
              <w:t> </w:t>
            </w:r>
            <w:r>
              <w:rPr>
                <w:rFonts w:ascii="Constantia"/>
                <w:spacing w:val="-3"/>
                <w:sz w:val="17"/>
              </w:rPr>
              <w:t>PIB</w:t>
            </w:r>
            <w:r>
              <w:rPr>
                <w:rFonts w:ascii="Constantia"/>
                <w:spacing w:val="-3"/>
                <w:position w:val="-5"/>
                <w:sz w:val="20"/>
              </w:rPr>
              <w:tab/>
            </w:r>
            <w:r>
              <w:rPr>
                <w:rFonts w:ascii="Constantia"/>
                <w:position w:val="-5"/>
                <w:sz w:val="20"/>
              </w:rPr>
              <w:t>0.03</w:t>
            </w:r>
          </w:p>
        </w:tc>
        <w:tc>
          <w:tcPr>
            <w:tcW w:w="589" w:type="dxa"/>
          </w:tcPr>
          <w:p>
            <w:pPr>
              <w:pStyle w:val="TableParagraph"/>
              <w:spacing w:before="46"/>
              <w:ind w:left="90" w:right="74"/>
              <w:rPr>
                <w:rFonts w:ascii="Constantia"/>
                <w:sz w:val="20"/>
              </w:rPr>
            </w:pPr>
            <w:r>
              <w:rPr>
                <w:rFonts w:ascii="Constantia"/>
                <w:sz w:val="20"/>
              </w:rPr>
              <w:t>0.02</w:t>
            </w:r>
          </w:p>
        </w:tc>
        <w:tc>
          <w:tcPr>
            <w:tcW w:w="900" w:type="dxa"/>
            <w:gridSpan w:val="2"/>
          </w:tcPr>
          <w:p>
            <w:pPr>
              <w:pStyle w:val="TableParagraph"/>
              <w:spacing w:before="46"/>
              <w:ind w:left="457"/>
              <w:jc w:val="left"/>
              <w:rPr>
                <w:rFonts w:ascii="Constantia"/>
                <w:sz w:val="20"/>
              </w:rPr>
            </w:pPr>
            <w:r>
              <w:rPr>
                <w:rFonts w:ascii="Constantia"/>
                <w:sz w:val="20"/>
              </w:rPr>
              <w:t>0.18</w:t>
            </w:r>
          </w:p>
        </w:tc>
        <w:tc>
          <w:tcPr>
            <w:tcW w:w="589" w:type="dxa"/>
          </w:tcPr>
          <w:p>
            <w:pPr>
              <w:pStyle w:val="TableParagraph"/>
              <w:spacing w:before="46"/>
              <w:ind w:left="90" w:right="42"/>
              <w:rPr>
                <w:rFonts w:ascii="Constantia"/>
                <w:sz w:val="20"/>
              </w:rPr>
            </w:pPr>
            <w:r>
              <w:rPr>
                <w:rFonts w:ascii="Constantia"/>
                <w:sz w:val="20"/>
              </w:rPr>
              <w:t>0.18</w:t>
            </w:r>
          </w:p>
        </w:tc>
        <w:tc>
          <w:tcPr>
            <w:tcW w:w="1628" w:type="dxa"/>
            <w:gridSpan w:val="2"/>
          </w:tcPr>
          <w:p>
            <w:pPr>
              <w:pStyle w:val="TableParagraph"/>
              <w:spacing w:before="46"/>
              <w:ind w:left="383"/>
              <w:jc w:val="left"/>
              <w:rPr>
                <w:rFonts w:ascii="Constantia"/>
                <w:sz w:val="20"/>
              </w:rPr>
            </w:pPr>
            <w:r>
              <w:rPr>
                <w:rFonts w:ascii="Constantia"/>
                <w:sz w:val="20"/>
              </w:rPr>
              <w:t>0.51** 0.66**</w:t>
            </w:r>
          </w:p>
        </w:tc>
        <w:tc>
          <w:tcPr>
            <w:tcW w:w="1265" w:type="dxa"/>
          </w:tcPr>
          <w:p>
            <w:pPr>
              <w:pStyle w:val="TableParagraph"/>
              <w:spacing w:before="74"/>
              <w:ind w:left="126"/>
              <w:jc w:val="left"/>
              <w:rPr>
                <w:rFonts w:ascii="Constantia" w:hAnsi="Constantia"/>
                <w:sz w:val="17"/>
              </w:rPr>
            </w:pPr>
            <w:r>
              <w:rPr>
                <w:rFonts w:ascii="Constantia" w:hAnsi="Constantia"/>
                <w:sz w:val="17"/>
              </w:rPr>
              <w:t>Procíclico</w:t>
            </w:r>
          </w:p>
        </w:tc>
      </w:tr>
      <w:tr>
        <w:trPr>
          <w:trHeight w:val="329" w:hRule="exact"/>
        </w:trPr>
        <w:tc>
          <w:tcPr>
            <w:tcW w:w="3180" w:type="dxa"/>
          </w:tcPr>
          <w:p>
            <w:pPr>
              <w:pStyle w:val="TableParagraph"/>
              <w:spacing w:before="20"/>
              <w:ind w:left="31"/>
              <w:jc w:val="left"/>
              <w:rPr>
                <w:rFonts w:ascii="Constantia" w:hAnsi="Constantia"/>
                <w:sz w:val="17"/>
              </w:rPr>
            </w:pPr>
            <w:r>
              <w:rPr>
                <w:rFonts w:ascii="Constantia" w:hAnsi="Constantia"/>
                <w:sz w:val="17"/>
              </w:rPr>
              <w:t>Balance primario no gasíf./ PIB</w:t>
            </w:r>
          </w:p>
        </w:tc>
        <w:tc>
          <w:tcPr>
            <w:tcW w:w="666" w:type="dxa"/>
          </w:tcPr>
          <w:p>
            <w:pPr>
              <w:pStyle w:val="TableParagraph"/>
              <w:spacing w:before="34"/>
              <w:ind w:left="160" w:right="86"/>
              <w:rPr>
                <w:rFonts w:ascii="Constantia"/>
                <w:sz w:val="20"/>
              </w:rPr>
            </w:pPr>
            <w:r>
              <w:rPr>
                <w:rFonts w:ascii="Constantia"/>
                <w:sz w:val="20"/>
              </w:rPr>
              <w:t>0.03</w:t>
            </w:r>
          </w:p>
        </w:tc>
        <w:tc>
          <w:tcPr>
            <w:tcW w:w="589" w:type="dxa"/>
          </w:tcPr>
          <w:p>
            <w:pPr>
              <w:pStyle w:val="TableParagraph"/>
              <w:spacing w:before="34"/>
              <w:ind w:left="90" w:right="74"/>
              <w:rPr>
                <w:rFonts w:ascii="Constantia"/>
                <w:sz w:val="20"/>
              </w:rPr>
            </w:pPr>
            <w:r>
              <w:rPr>
                <w:rFonts w:ascii="Constantia"/>
                <w:sz w:val="20"/>
              </w:rPr>
              <w:t>0.02</w:t>
            </w:r>
          </w:p>
        </w:tc>
        <w:tc>
          <w:tcPr>
            <w:tcW w:w="900" w:type="dxa"/>
            <w:gridSpan w:val="2"/>
          </w:tcPr>
          <w:p>
            <w:pPr>
              <w:pStyle w:val="TableParagraph"/>
              <w:spacing w:before="34"/>
              <w:ind w:left="425"/>
              <w:jc w:val="left"/>
              <w:rPr>
                <w:rFonts w:ascii="Constantia"/>
                <w:sz w:val="20"/>
              </w:rPr>
            </w:pPr>
            <w:r>
              <w:rPr>
                <w:rFonts w:ascii="Constantia"/>
                <w:sz w:val="20"/>
              </w:rPr>
              <w:t>0.20</w:t>
            </w:r>
          </w:p>
        </w:tc>
        <w:tc>
          <w:tcPr>
            <w:tcW w:w="589" w:type="dxa"/>
          </w:tcPr>
          <w:p>
            <w:pPr>
              <w:pStyle w:val="TableParagraph"/>
              <w:spacing w:before="34"/>
              <w:ind w:left="90" w:right="42"/>
              <w:rPr>
                <w:rFonts w:ascii="Constantia"/>
                <w:sz w:val="20"/>
              </w:rPr>
            </w:pPr>
            <w:r>
              <w:rPr>
                <w:rFonts w:ascii="Constantia"/>
                <w:sz w:val="20"/>
              </w:rPr>
              <w:t>0.18</w:t>
            </w:r>
          </w:p>
        </w:tc>
        <w:tc>
          <w:tcPr>
            <w:tcW w:w="1628" w:type="dxa"/>
            <w:gridSpan w:val="2"/>
          </w:tcPr>
          <w:p>
            <w:pPr>
              <w:pStyle w:val="TableParagraph"/>
              <w:tabs>
                <w:tab w:pos="1063" w:val="left" w:leader="none"/>
              </w:tabs>
              <w:spacing w:before="34"/>
              <w:ind w:left="318"/>
              <w:jc w:val="left"/>
              <w:rPr>
                <w:rFonts w:ascii="Constantia"/>
                <w:sz w:val="20"/>
              </w:rPr>
            </w:pPr>
            <w:r>
              <w:rPr>
                <w:rFonts w:ascii="Constantia"/>
                <w:sz w:val="20"/>
              </w:rPr>
              <w:t>-0.00</w:t>
              <w:tab/>
              <w:t>0.18</w:t>
            </w:r>
          </w:p>
        </w:tc>
        <w:tc>
          <w:tcPr>
            <w:tcW w:w="1265" w:type="dxa"/>
          </w:tcPr>
          <w:p>
            <w:pPr>
              <w:pStyle w:val="TableParagraph"/>
              <w:spacing w:before="63"/>
              <w:ind w:left="126"/>
              <w:jc w:val="left"/>
              <w:rPr>
                <w:rFonts w:ascii="Constantia" w:hAnsi="Constantia"/>
                <w:sz w:val="17"/>
              </w:rPr>
            </w:pPr>
            <w:r>
              <w:rPr>
                <w:rFonts w:ascii="Constantia" w:hAnsi="Constantia"/>
                <w:sz w:val="17"/>
              </w:rPr>
              <w:t>Acíclico</w:t>
            </w:r>
          </w:p>
        </w:tc>
      </w:tr>
      <w:tr>
        <w:trPr>
          <w:trHeight w:val="283" w:hRule="exact"/>
        </w:trPr>
        <w:tc>
          <w:tcPr>
            <w:tcW w:w="3180" w:type="dxa"/>
            <w:tcBorders>
              <w:bottom w:val="double" w:sz="4" w:space="0" w:color="000000"/>
            </w:tcBorders>
          </w:tcPr>
          <w:p>
            <w:pPr>
              <w:pStyle w:val="TableParagraph"/>
              <w:spacing w:before="20"/>
              <w:ind w:left="31"/>
              <w:jc w:val="left"/>
              <w:rPr>
                <w:rFonts w:ascii="Constantia" w:hAnsi="Constantia"/>
                <w:sz w:val="17"/>
              </w:rPr>
            </w:pPr>
            <w:r>
              <w:rPr>
                <w:rFonts w:ascii="Constantia" w:hAnsi="Constantia"/>
                <w:sz w:val="17"/>
              </w:rPr>
              <w:t>Deuda pública/ PIB</w:t>
            </w:r>
          </w:p>
        </w:tc>
        <w:tc>
          <w:tcPr>
            <w:tcW w:w="666" w:type="dxa"/>
            <w:tcBorders>
              <w:bottom w:val="double" w:sz="4" w:space="0" w:color="000000"/>
            </w:tcBorders>
          </w:tcPr>
          <w:p>
            <w:pPr>
              <w:pStyle w:val="TableParagraph"/>
              <w:spacing w:before="23"/>
              <w:ind w:left="160" w:right="48"/>
              <w:rPr>
                <w:rFonts w:ascii="Constantia"/>
                <w:sz w:val="20"/>
              </w:rPr>
            </w:pPr>
            <w:r>
              <w:rPr>
                <w:rFonts w:ascii="Constantia"/>
                <w:sz w:val="20"/>
              </w:rPr>
              <w:t>0.16</w:t>
            </w:r>
          </w:p>
        </w:tc>
        <w:tc>
          <w:tcPr>
            <w:tcW w:w="589" w:type="dxa"/>
            <w:tcBorders>
              <w:bottom w:val="double" w:sz="4" w:space="0" w:color="000000"/>
            </w:tcBorders>
          </w:tcPr>
          <w:p>
            <w:pPr>
              <w:pStyle w:val="TableParagraph"/>
              <w:spacing w:before="23"/>
              <w:ind w:left="90" w:right="44"/>
              <w:rPr>
                <w:rFonts w:ascii="Constantia"/>
                <w:sz w:val="20"/>
              </w:rPr>
            </w:pPr>
            <w:r>
              <w:rPr>
                <w:rFonts w:ascii="Constantia"/>
                <w:sz w:val="20"/>
              </w:rPr>
              <w:t>0.14</w:t>
            </w:r>
          </w:p>
        </w:tc>
        <w:tc>
          <w:tcPr>
            <w:tcW w:w="900" w:type="dxa"/>
            <w:gridSpan w:val="2"/>
            <w:tcBorders>
              <w:bottom w:val="double" w:sz="4" w:space="0" w:color="000000"/>
            </w:tcBorders>
          </w:tcPr>
          <w:p>
            <w:pPr>
              <w:pStyle w:val="TableParagraph"/>
              <w:spacing w:before="23"/>
              <w:ind w:left="510"/>
              <w:jc w:val="left"/>
              <w:rPr>
                <w:rFonts w:ascii="Constantia"/>
                <w:sz w:val="20"/>
              </w:rPr>
            </w:pPr>
            <w:r>
              <w:rPr>
                <w:rFonts w:ascii="Constantia"/>
                <w:sz w:val="20"/>
              </w:rPr>
              <w:t>1.12</w:t>
            </w:r>
          </w:p>
        </w:tc>
        <w:tc>
          <w:tcPr>
            <w:tcW w:w="589" w:type="dxa"/>
            <w:tcBorders>
              <w:bottom w:val="double" w:sz="4" w:space="0" w:color="000000"/>
            </w:tcBorders>
          </w:tcPr>
          <w:p>
            <w:pPr>
              <w:pStyle w:val="TableParagraph"/>
              <w:spacing w:before="23"/>
              <w:ind w:left="90" w:right="41"/>
              <w:rPr>
                <w:rFonts w:ascii="Constantia"/>
                <w:sz w:val="20"/>
              </w:rPr>
            </w:pPr>
            <w:r>
              <w:rPr>
                <w:rFonts w:ascii="Constantia"/>
                <w:sz w:val="20"/>
              </w:rPr>
              <w:t>1.06</w:t>
            </w:r>
          </w:p>
        </w:tc>
        <w:tc>
          <w:tcPr>
            <w:tcW w:w="1628" w:type="dxa"/>
            <w:gridSpan w:val="2"/>
            <w:tcBorders>
              <w:bottom w:val="double" w:sz="4" w:space="0" w:color="000000"/>
            </w:tcBorders>
          </w:tcPr>
          <w:p>
            <w:pPr>
              <w:pStyle w:val="TableParagraph"/>
              <w:spacing w:before="23"/>
              <w:ind w:left="255"/>
              <w:jc w:val="left"/>
              <w:rPr>
                <w:rFonts w:ascii="Constantia"/>
                <w:sz w:val="20"/>
              </w:rPr>
            </w:pPr>
            <w:r>
              <w:rPr>
                <w:rFonts w:ascii="Constantia"/>
                <w:sz w:val="20"/>
              </w:rPr>
              <w:t>-0.44** -0.53**</w:t>
            </w:r>
          </w:p>
        </w:tc>
        <w:tc>
          <w:tcPr>
            <w:tcW w:w="1265" w:type="dxa"/>
            <w:tcBorders>
              <w:bottom w:val="double" w:sz="4" w:space="0" w:color="000000"/>
            </w:tcBorders>
          </w:tcPr>
          <w:p>
            <w:pPr>
              <w:pStyle w:val="TableParagraph"/>
              <w:spacing w:before="52"/>
              <w:ind w:left="126"/>
              <w:jc w:val="left"/>
              <w:rPr>
                <w:rFonts w:ascii="Constantia" w:hAnsi="Constantia"/>
                <w:sz w:val="17"/>
              </w:rPr>
            </w:pPr>
            <w:r>
              <w:rPr>
                <w:rFonts w:ascii="Constantia" w:hAnsi="Constantia"/>
                <w:sz w:val="17"/>
              </w:rPr>
              <w:t>Contracíclica</w:t>
            </w:r>
          </w:p>
        </w:tc>
      </w:tr>
      <w:tr>
        <w:trPr>
          <w:trHeight w:val="340" w:hRule="exact"/>
        </w:trPr>
        <w:tc>
          <w:tcPr>
            <w:tcW w:w="8817" w:type="dxa"/>
            <w:gridSpan w:val="9"/>
          </w:tcPr>
          <w:p>
            <w:pPr>
              <w:pStyle w:val="TableParagraph"/>
              <w:tabs>
                <w:tab w:pos="3743" w:val="left" w:leader="none"/>
                <w:tab w:pos="8827" w:val="left" w:leader="none"/>
              </w:tabs>
              <w:spacing w:before="34"/>
              <w:ind w:left="-11" w:right="-11"/>
              <w:jc w:val="left"/>
              <w:rPr>
                <w:sz w:val="22"/>
              </w:rPr>
            </w:pPr>
            <w:r>
              <w:rPr>
                <w:w w:val="101"/>
                <w:sz w:val="22"/>
                <w:u w:val="single"/>
              </w:rPr>
              <w:t> </w:t>
            </w:r>
            <w:r>
              <w:rPr>
                <w:sz w:val="22"/>
                <w:u w:val="single"/>
              </w:rPr>
              <w:tab/>
              <w:t>Gasto</w:t>
            </w:r>
            <w:r>
              <w:rPr>
                <w:spacing w:val="3"/>
                <w:sz w:val="22"/>
                <w:u w:val="single"/>
              </w:rPr>
              <w:t> </w:t>
            </w:r>
            <w:r>
              <w:rPr>
                <w:sz w:val="22"/>
                <w:u w:val="single"/>
              </w:rPr>
              <w:t>primario</w:t>
              <w:tab/>
            </w:r>
          </w:p>
        </w:tc>
      </w:tr>
      <w:tr>
        <w:trPr>
          <w:trHeight w:val="331" w:hRule="exact"/>
        </w:trPr>
        <w:tc>
          <w:tcPr>
            <w:tcW w:w="3180" w:type="dxa"/>
          </w:tcPr>
          <w:p>
            <w:pPr>
              <w:pStyle w:val="TableParagraph"/>
              <w:spacing w:before="23"/>
              <w:ind w:left="31"/>
              <w:jc w:val="left"/>
              <w:rPr>
                <w:rFonts w:ascii="Constantia"/>
                <w:sz w:val="17"/>
              </w:rPr>
            </w:pPr>
            <w:r>
              <w:rPr>
                <w:rFonts w:ascii="Constantia"/>
                <w:sz w:val="17"/>
              </w:rPr>
              <w:t>Consumo del gobierno</w:t>
            </w:r>
          </w:p>
        </w:tc>
        <w:tc>
          <w:tcPr>
            <w:tcW w:w="666" w:type="dxa"/>
          </w:tcPr>
          <w:p>
            <w:pPr>
              <w:pStyle w:val="TableParagraph"/>
              <w:spacing w:before="48"/>
              <w:ind w:left="160" w:right="44"/>
              <w:rPr>
                <w:rFonts w:ascii="Constantia"/>
                <w:sz w:val="20"/>
              </w:rPr>
            </w:pPr>
            <w:r>
              <w:rPr>
                <w:rFonts w:ascii="Constantia"/>
                <w:sz w:val="20"/>
              </w:rPr>
              <w:t>0.13</w:t>
            </w:r>
          </w:p>
        </w:tc>
        <w:tc>
          <w:tcPr>
            <w:tcW w:w="589" w:type="dxa"/>
          </w:tcPr>
          <w:p>
            <w:pPr>
              <w:pStyle w:val="TableParagraph"/>
              <w:spacing w:before="48"/>
              <w:ind w:left="90" w:right="3"/>
              <w:rPr>
                <w:rFonts w:ascii="Constantia"/>
                <w:sz w:val="20"/>
              </w:rPr>
            </w:pPr>
            <w:r>
              <w:rPr>
                <w:rFonts w:ascii="Constantia"/>
                <w:sz w:val="20"/>
              </w:rPr>
              <w:t>0.11</w:t>
            </w:r>
          </w:p>
        </w:tc>
        <w:tc>
          <w:tcPr>
            <w:tcW w:w="900" w:type="dxa"/>
            <w:gridSpan w:val="2"/>
          </w:tcPr>
          <w:p>
            <w:pPr>
              <w:pStyle w:val="TableParagraph"/>
              <w:spacing w:before="48"/>
              <w:ind w:left="425"/>
              <w:jc w:val="left"/>
              <w:rPr>
                <w:rFonts w:ascii="Constantia"/>
                <w:sz w:val="20"/>
              </w:rPr>
            </w:pPr>
            <w:r>
              <w:rPr>
                <w:rFonts w:ascii="Constantia"/>
                <w:sz w:val="20"/>
              </w:rPr>
              <w:t>0.87</w:t>
            </w:r>
          </w:p>
        </w:tc>
        <w:tc>
          <w:tcPr>
            <w:tcW w:w="589" w:type="dxa"/>
          </w:tcPr>
          <w:p>
            <w:pPr>
              <w:pStyle w:val="TableParagraph"/>
              <w:spacing w:before="48"/>
              <w:ind w:left="90" w:right="79"/>
              <w:rPr>
                <w:rFonts w:ascii="Constantia"/>
                <w:sz w:val="20"/>
              </w:rPr>
            </w:pPr>
            <w:r>
              <w:rPr>
                <w:rFonts w:ascii="Constantia"/>
                <w:sz w:val="20"/>
              </w:rPr>
              <w:t>0.83</w:t>
            </w:r>
          </w:p>
        </w:tc>
        <w:tc>
          <w:tcPr>
            <w:tcW w:w="905" w:type="dxa"/>
          </w:tcPr>
          <w:p>
            <w:pPr>
              <w:pStyle w:val="TableParagraph"/>
              <w:spacing w:before="48"/>
              <w:ind w:right="103"/>
              <w:jc w:val="right"/>
              <w:rPr>
                <w:rFonts w:ascii="Constantia"/>
                <w:sz w:val="20"/>
              </w:rPr>
            </w:pPr>
            <w:r>
              <w:rPr>
                <w:rFonts w:ascii="Constantia"/>
                <w:sz w:val="20"/>
              </w:rPr>
              <w:t>0.37*</w:t>
            </w:r>
          </w:p>
        </w:tc>
        <w:tc>
          <w:tcPr>
            <w:tcW w:w="723" w:type="dxa"/>
          </w:tcPr>
          <w:p>
            <w:pPr>
              <w:pStyle w:val="TableParagraph"/>
              <w:spacing w:before="48"/>
              <w:ind w:right="177"/>
              <w:jc w:val="right"/>
              <w:rPr>
                <w:rFonts w:ascii="Constantia"/>
                <w:sz w:val="20"/>
              </w:rPr>
            </w:pPr>
            <w:r>
              <w:rPr>
                <w:rFonts w:ascii="Constantia"/>
                <w:sz w:val="20"/>
              </w:rPr>
              <w:t>0.35*</w:t>
            </w:r>
          </w:p>
        </w:tc>
        <w:tc>
          <w:tcPr>
            <w:tcW w:w="1265" w:type="dxa"/>
          </w:tcPr>
          <w:p>
            <w:pPr>
              <w:pStyle w:val="TableParagraph"/>
              <w:spacing w:before="76"/>
              <w:ind w:left="126"/>
              <w:jc w:val="left"/>
              <w:rPr>
                <w:rFonts w:ascii="Constantia" w:hAnsi="Constantia"/>
                <w:sz w:val="17"/>
              </w:rPr>
            </w:pPr>
            <w:r>
              <w:rPr>
                <w:rFonts w:ascii="Constantia" w:hAnsi="Constantia"/>
                <w:sz w:val="17"/>
              </w:rPr>
              <w:t>Procíclico</w:t>
            </w:r>
          </w:p>
        </w:tc>
      </w:tr>
      <w:tr>
        <w:trPr>
          <w:trHeight w:val="287" w:hRule="exact"/>
        </w:trPr>
        <w:tc>
          <w:tcPr>
            <w:tcW w:w="3180" w:type="dxa"/>
          </w:tcPr>
          <w:p>
            <w:pPr>
              <w:pStyle w:val="TableParagraph"/>
              <w:spacing w:before="11"/>
              <w:ind w:left="31"/>
              <w:jc w:val="left"/>
              <w:rPr>
                <w:rFonts w:ascii="Constantia"/>
                <w:sz w:val="17"/>
              </w:rPr>
            </w:pPr>
            <w:r>
              <w:rPr>
                <w:rFonts w:ascii="Constantia"/>
                <w:sz w:val="17"/>
              </w:rPr>
              <w:t>Gaso de capital</w:t>
            </w:r>
          </w:p>
        </w:tc>
        <w:tc>
          <w:tcPr>
            <w:tcW w:w="666" w:type="dxa"/>
          </w:tcPr>
          <w:p>
            <w:pPr>
              <w:pStyle w:val="TableParagraph"/>
              <w:spacing w:before="3"/>
              <w:ind w:left="160" w:right="48"/>
              <w:rPr>
                <w:rFonts w:ascii="Constantia"/>
                <w:sz w:val="20"/>
              </w:rPr>
            </w:pPr>
            <w:r>
              <w:rPr>
                <w:rFonts w:ascii="Constantia"/>
                <w:sz w:val="20"/>
              </w:rPr>
              <w:t>0.10</w:t>
            </w:r>
          </w:p>
        </w:tc>
        <w:tc>
          <w:tcPr>
            <w:tcW w:w="589" w:type="dxa"/>
          </w:tcPr>
          <w:p>
            <w:pPr>
              <w:pStyle w:val="TableParagraph"/>
              <w:spacing w:before="3"/>
              <w:ind w:left="88" w:right="83"/>
              <w:rPr>
                <w:rFonts w:ascii="Constantia"/>
                <w:sz w:val="20"/>
              </w:rPr>
            </w:pPr>
            <w:r>
              <w:rPr>
                <w:rFonts w:ascii="Constantia"/>
                <w:sz w:val="20"/>
              </w:rPr>
              <w:t>0.08</w:t>
            </w:r>
          </w:p>
        </w:tc>
        <w:tc>
          <w:tcPr>
            <w:tcW w:w="900" w:type="dxa"/>
            <w:gridSpan w:val="2"/>
          </w:tcPr>
          <w:p>
            <w:pPr>
              <w:pStyle w:val="TableParagraph"/>
              <w:spacing w:before="3"/>
              <w:ind w:left="436"/>
              <w:jc w:val="left"/>
              <w:rPr>
                <w:rFonts w:ascii="Constantia"/>
                <w:sz w:val="20"/>
              </w:rPr>
            </w:pPr>
            <w:r>
              <w:rPr>
                <w:rFonts w:ascii="Constantia"/>
                <w:sz w:val="20"/>
              </w:rPr>
              <w:t>0.72</w:t>
            </w:r>
          </w:p>
        </w:tc>
        <w:tc>
          <w:tcPr>
            <w:tcW w:w="589" w:type="dxa"/>
          </w:tcPr>
          <w:p>
            <w:pPr>
              <w:pStyle w:val="TableParagraph"/>
              <w:spacing w:before="3"/>
              <w:ind w:left="90" w:right="79"/>
              <w:rPr>
                <w:rFonts w:ascii="Constantia"/>
                <w:sz w:val="20"/>
              </w:rPr>
            </w:pPr>
            <w:r>
              <w:rPr>
                <w:rFonts w:ascii="Constantia"/>
                <w:sz w:val="20"/>
              </w:rPr>
              <w:t>0.63</w:t>
            </w:r>
          </w:p>
        </w:tc>
        <w:tc>
          <w:tcPr>
            <w:tcW w:w="905" w:type="dxa"/>
          </w:tcPr>
          <w:p>
            <w:pPr>
              <w:pStyle w:val="TableParagraph"/>
              <w:spacing w:before="3"/>
              <w:ind w:right="158"/>
              <w:jc w:val="right"/>
              <w:rPr>
                <w:rFonts w:ascii="Constantia"/>
                <w:sz w:val="20"/>
              </w:rPr>
            </w:pPr>
            <w:r>
              <w:rPr>
                <w:rFonts w:ascii="Constantia"/>
                <w:sz w:val="20"/>
              </w:rPr>
              <w:t>0.14</w:t>
            </w:r>
          </w:p>
        </w:tc>
        <w:tc>
          <w:tcPr>
            <w:tcW w:w="723" w:type="dxa"/>
          </w:tcPr>
          <w:p>
            <w:pPr>
              <w:pStyle w:val="TableParagraph"/>
              <w:spacing w:before="3"/>
              <w:ind w:right="205"/>
              <w:jc w:val="right"/>
              <w:rPr>
                <w:rFonts w:ascii="Constantia"/>
                <w:sz w:val="20"/>
              </w:rPr>
            </w:pPr>
            <w:r>
              <w:rPr>
                <w:rFonts w:ascii="Constantia"/>
                <w:sz w:val="20"/>
              </w:rPr>
              <w:t>-0.13</w:t>
            </w:r>
          </w:p>
        </w:tc>
        <w:tc>
          <w:tcPr>
            <w:tcW w:w="1265" w:type="dxa"/>
          </w:tcPr>
          <w:p>
            <w:pPr>
              <w:pStyle w:val="TableParagraph"/>
              <w:spacing w:before="32"/>
              <w:ind w:left="126"/>
              <w:jc w:val="left"/>
              <w:rPr>
                <w:rFonts w:ascii="Constantia" w:hAnsi="Constantia"/>
                <w:sz w:val="17"/>
              </w:rPr>
            </w:pPr>
            <w:r>
              <w:rPr>
                <w:rFonts w:ascii="Constantia" w:hAnsi="Constantia"/>
                <w:sz w:val="17"/>
              </w:rPr>
              <w:t>Acíclico</w:t>
            </w:r>
          </w:p>
        </w:tc>
      </w:tr>
      <w:tr>
        <w:trPr>
          <w:trHeight w:val="292" w:hRule="exact"/>
        </w:trPr>
        <w:tc>
          <w:tcPr>
            <w:tcW w:w="3180" w:type="dxa"/>
          </w:tcPr>
          <w:p>
            <w:pPr>
              <w:pStyle w:val="TableParagraph"/>
              <w:spacing w:before="10"/>
              <w:ind w:left="31"/>
              <w:jc w:val="left"/>
              <w:rPr>
                <w:rFonts w:ascii="Constantia"/>
                <w:sz w:val="17"/>
              </w:rPr>
            </w:pPr>
            <w:r>
              <w:rPr>
                <w:rFonts w:ascii="Constantia"/>
                <w:sz w:val="17"/>
              </w:rPr>
              <w:t>Gasto Corriente</w:t>
            </w:r>
          </w:p>
        </w:tc>
        <w:tc>
          <w:tcPr>
            <w:tcW w:w="666" w:type="dxa"/>
          </w:tcPr>
          <w:p>
            <w:pPr>
              <w:pStyle w:val="TableParagraph"/>
              <w:spacing w:before="3"/>
              <w:ind w:left="160" w:right="91"/>
              <w:rPr>
                <w:rFonts w:ascii="Constantia"/>
                <w:sz w:val="20"/>
              </w:rPr>
            </w:pPr>
            <w:r>
              <w:rPr>
                <w:rFonts w:ascii="Constantia"/>
                <w:sz w:val="20"/>
              </w:rPr>
              <w:t>0.08</w:t>
            </w:r>
          </w:p>
        </w:tc>
        <w:tc>
          <w:tcPr>
            <w:tcW w:w="589" w:type="dxa"/>
          </w:tcPr>
          <w:p>
            <w:pPr>
              <w:pStyle w:val="TableParagraph"/>
              <w:spacing w:before="3"/>
              <w:ind w:left="89" w:right="83"/>
              <w:rPr>
                <w:rFonts w:ascii="Constantia"/>
                <w:sz w:val="20"/>
              </w:rPr>
            </w:pPr>
            <w:r>
              <w:rPr>
                <w:rFonts w:ascii="Constantia"/>
                <w:sz w:val="20"/>
              </w:rPr>
              <w:t>0.06</w:t>
            </w:r>
          </w:p>
        </w:tc>
        <w:tc>
          <w:tcPr>
            <w:tcW w:w="900" w:type="dxa"/>
            <w:gridSpan w:val="2"/>
          </w:tcPr>
          <w:p>
            <w:pPr>
              <w:pStyle w:val="TableParagraph"/>
              <w:spacing w:before="3"/>
              <w:ind w:left="436"/>
              <w:jc w:val="left"/>
              <w:rPr>
                <w:rFonts w:ascii="Constantia"/>
                <w:sz w:val="20"/>
              </w:rPr>
            </w:pPr>
            <w:r>
              <w:rPr>
                <w:rFonts w:ascii="Constantia"/>
                <w:sz w:val="20"/>
              </w:rPr>
              <w:t>0.53</w:t>
            </w:r>
          </w:p>
        </w:tc>
        <w:tc>
          <w:tcPr>
            <w:tcW w:w="589" w:type="dxa"/>
          </w:tcPr>
          <w:p>
            <w:pPr>
              <w:pStyle w:val="TableParagraph"/>
              <w:spacing w:before="3"/>
              <w:ind w:left="90" w:right="74"/>
              <w:rPr>
                <w:rFonts w:ascii="Constantia"/>
                <w:sz w:val="20"/>
              </w:rPr>
            </w:pPr>
            <w:r>
              <w:rPr>
                <w:rFonts w:ascii="Constantia"/>
                <w:sz w:val="20"/>
              </w:rPr>
              <w:t>0.47</w:t>
            </w:r>
          </w:p>
        </w:tc>
        <w:tc>
          <w:tcPr>
            <w:tcW w:w="905" w:type="dxa"/>
          </w:tcPr>
          <w:p>
            <w:pPr>
              <w:pStyle w:val="TableParagraph"/>
              <w:spacing w:before="3"/>
              <w:ind w:right="157"/>
              <w:jc w:val="right"/>
              <w:rPr>
                <w:rFonts w:ascii="Constantia"/>
                <w:sz w:val="20"/>
              </w:rPr>
            </w:pPr>
            <w:r>
              <w:rPr>
                <w:rFonts w:ascii="Constantia"/>
                <w:sz w:val="20"/>
              </w:rPr>
              <w:t>0.18</w:t>
            </w:r>
          </w:p>
        </w:tc>
        <w:tc>
          <w:tcPr>
            <w:tcW w:w="723" w:type="dxa"/>
          </w:tcPr>
          <w:p>
            <w:pPr>
              <w:pStyle w:val="TableParagraph"/>
              <w:spacing w:before="3"/>
              <w:ind w:right="232"/>
              <w:jc w:val="right"/>
              <w:rPr>
                <w:rFonts w:ascii="Constantia"/>
                <w:sz w:val="20"/>
              </w:rPr>
            </w:pPr>
            <w:r>
              <w:rPr>
                <w:rFonts w:ascii="Constantia"/>
                <w:sz w:val="20"/>
              </w:rPr>
              <w:t>0.14</w:t>
            </w:r>
          </w:p>
        </w:tc>
        <w:tc>
          <w:tcPr>
            <w:tcW w:w="1265" w:type="dxa"/>
          </w:tcPr>
          <w:p>
            <w:pPr>
              <w:pStyle w:val="TableParagraph"/>
              <w:spacing w:before="32"/>
              <w:ind w:left="126"/>
              <w:jc w:val="left"/>
              <w:rPr>
                <w:rFonts w:ascii="Constantia" w:hAnsi="Constantia"/>
                <w:sz w:val="17"/>
              </w:rPr>
            </w:pPr>
            <w:r>
              <w:rPr>
                <w:rFonts w:ascii="Constantia" w:hAnsi="Constantia"/>
                <w:sz w:val="17"/>
              </w:rPr>
              <w:t>Acíclico</w:t>
            </w:r>
          </w:p>
        </w:tc>
      </w:tr>
      <w:tr>
        <w:trPr>
          <w:trHeight w:val="268" w:hRule="exact"/>
        </w:trPr>
        <w:tc>
          <w:tcPr>
            <w:tcW w:w="3180" w:type="dxa"/>
            <w:tcBorders>
              <w:bottom w:val="double" w:sz="4" w:space="0" w:color="000000"/>
            </w:tcBorders>
          </w:tcPr>
          <w:p>
            <w:pPr>
              <w:pStyle w:val="TableParagraph"/>
              <w:spacing w:before="16"/>
              <w:ind w:left="31"/>
              <w:jc w:val="left"/>
              <w:rPr>
                <w:rFonts w:ascii="Constantia"/>
                <w:sz w:val="17"/>
              </w:rPr>
            </w:pPr>
            <w:r>
              <w:rPr>
                <w:rFonts w:ascii="Constantia"/>
                <w:sz w:val="17"/>
              </w:rPr>
              <w:t>Transferencias gubernamentales</w:t>
            </w:r>
          </w:p>
        </w:tc>
        <w:tc>
          <w:tcPr>
            <w:tcW w:w="666" w:type="dxa"/>
            <w:tcBorders>
              <w:bottom w:val="double" w:sz="4" w:space="0" w:color="000000"/>
            </w:tcBorders>
          </w:tcPr>
          <w:p>
            <w:pPr>
              <w:pStyle w:val="TableParagraph"/>
              <w:spacing w:before="8"/>
              <w:ind w:left="160" w:right="44"/>
              <w:rPr>
                <w:rFonts w:ascii="Constantia"/>
                <w:sz w:val="20"/>
              </w:rPr>
            </w:pPr>
            <w:r>
              <w:rPr>
                <w:rFonts w:ascii="Constantia"/>
                <w:sz w:val="20"/>
              </w:rPr>
              <w:t>0.13</w:t>
            </w:r>
          </w:p>
        </w:tc>
        <w:tc>
          <w:tcPr>
            <w:tcW w:w="589" w:type="dxa"/>
            <w:tcBorders>
              <w:bottom w:val="double" w:sz="4" w:space="0" w:color="000000"/>
            </w:tcBorders>
          </w:tcPr>
          <w:p>
            <w:pPr>
              <w:pStyle w:val="TableParagraph"/>
              <w:spacing w:before="8"/>
              <w:ind w:left="90" w:right="32"/>
              <w:rPr>
                <w:rFonts w:ascii="Constantia"/>
                <w:sz w:val="20"/>
              </w:rPr>
            </w:pPr>
            <w:r>
              <w:rPr>
                <w:rFonts w:ascii="Constantia"/>
                <w:sz w:val="20"/>
              </w:rPr>
              <w:t>0.12</w:t>
            </w:r>
          </w:p>
        </w:tc>
        <w:tc>
          <w:tcPr>
            <w:tcW w:w="900" w:type="dxa"/>
            <w:gridSpan w:val="2"/>
            <w:tcBorders>
              <w:bottom w:val="double" w:sz="4" w:space="0" w:color="000000"/>
            </w:tcBorders>
          </w:tcPr>
          <w:p>
            <w:pPr>
              <w:pStyle w:val="TableParagraph"/>
              <w:spacing w:before="8"/>
              <w:ind w:left="425"/>
              <w:jc w:val="left"/>
              <w:rPr>
                <w:rFonts w:ascii="Constantia"/>
                <w:sz w:val="20"/>
              </w:rPr>
            </w:pPr>
            <w:r>
              <w:rPr>
                <w:rFonts w:ascii="Constantia"/>
                <w:sz w:val="20"/>
              </w:rPr>
              <w:t>0.87</w:t>
            </w:r>
          </w:p>
        </w:tc>
        <w:tc>
          <w:tcPr>
            <w:tcW w:w="589" w:type="dxa"/>
            <w:tcBorders>
              <w:bottom w:val="double" w:sz="4" w:space="0" w:color="000000"/>
            </w:tcBorders>
          </w:tcPr>
          <w:p>
            <w:pPr>
              <w:pStyle w:val="TableParagraph"/>
              <w:spacing w:before="8"/>
              <w:ind w:left="90" w:right="82"/>
              <w:rPr>
                <w:rFonts w:ascii="Constantia"/>
                <w:sz w:val="20"/>
              </w:rPr>
            </w:pPr>
            <w:r>
              <w:rPr>
                <w:rFonts w:ascii="Constantia"/>
                <w:sz w:val="20"/>
              </w:rPr>
              <w:t>0.89</w:t>
            </w:r>
          </w:p>
        </w:tc>
        <w:tc>
          <w:tcPr>
            <w:tcW w:w="905" w:type="dxa"/>
            <w:tcBorders>
              <w:bottom w:val="double" w:sz="4" w:space="0" w:color="000000"/>
            </w:tcBorders>
          </w:tcPr>
          <w:p>
            <w:pPr>
              <w:pStyle w:val="TableParagraph"/>
              <w:spacing w:before="8"/>
              <w:ind w:right="105"/>
              <w:jc w:val="right"/>
              <w:rPr>
                <w:rFonts w:ascii="Constantia"/>
                <w:sz w:val="20"/>
              </w:rPr>
            </w:pPr>
            <w:r>
              <w:rPr>
                <w:rFonts w:ascii="Constantia"/>
                <w:sz w:val="20"/>
              </w:rPr>
              <w:t>-0.35</w:t>
            </w:r>
          </w:p>
        </w:tc>
        <w:tc>
          <w:tcPr>
            <w:tcW w:w="723" w:type="dxa"/>
            <w:tcBorders>
              <w:bottom w:val="double" w:sz="4" w:space="0" w:color="000000"/>
            </w:tcBorders>
          </w:tcPr>
          <w:p>
            <w:pPr>
              <w:pStyle w:val="TableParagraph"/>
              <w:spacing w:before="8"/>
              <w:ind w:right="188"/>
              <w:jc w:val="right"/>
              <w:rPr>
                <w:rFonts w:ascii="Constantia"/>
                <w:sz w:val="20"/>
              </w:rPr>
            </w:pPr>
            <w:r>
              <w:rPr>
                <w:rFonts w:ascii="Constantia"/>
                <w:sz w:val="20"/>
              </w:rPr>
              <w:t>-0.32</w:t>
            </w:r>
          </w:p>
        </w:tc>
        <w:tc>
          <w:tcPr>
            <w:tcW w:w="1265" w:type="dxa"/>
            <w:tcBorders>
              <w:bottom w:val="double" w:sz="4" w:space="0" w:color="000000"/>
            </w:tcBorders>
          </w:tcPr>
          <w:p>
            <w:pPr>
              <w:pStyle w:val="TableParagraph"/>
              <w:spacing w:before="37"/>
              <w:ind w:left="126"/>
              <w:jc w:val="left"/>
              <w:rPr>
                <w:rFonts w:ascii="Constantia" w:hAnsi="Constantia"/>
                <w:sz w:val="17"/>
              </w:rPr>
            </w:pPr>
            <w:r>
              <w:rPr>
                <w:rFonts w:ascii="Constantia" w:hAnsi="Constantia"/>
                <w:sz w:val="17"/>
              </w:rPr>
              <w:t>Acíclico</w:t>
            </w:r>
          </w:p>
        </w:tc>
      </w:tr>
    </w:tbl>
    <w:p>
      <w:pPr>
        <w:spacing w:line="191" w:lineRule="exact" w:before="0"/>
        <w:ind w:left="215" w:right="115" w:firstLine="0"/>
        <w:jc w:val="left"/>
        <w:rPr>
          <w:sz w:val="17"/>
        </w:rPr>
      </w:pPr>
      <w:r>
        <w:rPr>
          <w:sz w:val="17"/>
        </w:rPr>
        <w:t>Significancia: ** al 1% y * al 5% respectivamente</w:t>
      </w:r>
    </w:p>
    <w:p>
      <w:pPr>
        <w:spacing w:before="11"/>
        <w:ind w:left="193" w:right="115" w:firstLine="0"/>
        <w:jc w:val="left"/>
        <w:rPr>
          <w:sz w:val="18"/>
        </w:rPr>
      </w:pPr>
      <w:r>
        <w:rPr>
          <w:sz w:val="18"/>
        </w:rPr>
        <w:t>La volatilidad fue medida con base en  la desviación estándar de cada fluctuación cíclica.</w:t>
      </w:r>
    </w:p>
    <w:p>
      <w:pPr>
        <w:spacing w:before="0"/>
        <w:ind w:left="102" w:right="115" w:firstLine="0"/>
        <w:jc w:val="left"/>
        <w:rPr>
          <w:sz w:val="20"/>
        </w:rPr>
      </w:pPr>
      <w:r>
        <w:rPr>
          <w:sz w:val="20"/>
        </w:rPr>
        <w:t>Fuente: Estimaciones propias con base en información del Banco Central de Bolivia (2012) y Yacimientos Petrolíferos Fiscales Bolivianos (2012).</w:t>
      </w:r>
    </w:p>
    <w:p>
      <w:pPr>
        <w:pStyle w:val="BodyText"/>
        <w:spacing w:before="5"/>
        <w:rPr>
          <w:sz w:val="21"/>
        </w:rPr>
      </w:pPr>
    </w:p>
    <w:p>
      <w:pPr>
        <w:pStyle w:val="Heading4"/>
        <w:ind w:left="954" w:right="115" w:firstLine="0"/>
      </w:pPr>
      <w:r>
        <w:rPr/>
        <w:t>b)  Cambio institucional formal y factores informales (post-nacionalización)</w:t>
      </w:r>
    </w:p>
    <w:p>
      <w:pPr>
        <w:pStyle w:val="BodyText"/>
        <w:spacing w:before="6"/>
        <w:rPr>
          <w:b/>
          <w:sz w:val="32"/>
        </w:rPr>
      </w:pPr>
    </w:p>
    <w:p>
      <w:pPr>
        <w:pStyle w:val="BodyText"/>
        <w:spacing w:line="360" w:lineRule="auto"/>
        <w:ind w:left="102" w:right="140" w:firstLine="707"/>
        <w:jc w:val="both"/>
      </w:pPr>
      <w:r>
        <w:rPr/>
        <w:t>Conforme al análisis previo de los movimientos cíclicos, para este caso, se descompuso el período de análisis con el propósito de evaluar los cambios institucionales  de las finanzas públicas para el período de post-nacionalización. Los resultados sugieren, con relación a los precios del gas natural, una mayor asociación procíclica del balance primario y una orientación contracíclica para la deuda pública (</w:t>
      </w:r>
      <w:r>
        <w:rPr>
          <w:i/>
        </w:rPr>
        <w:t>cuadro</w:t>
      </w:r>
      <w:r>
        <w:rPr>
          <w:i/>
          <w:spacing w:val="-10"/>
        </w:rPr>
        <w:t> </w:t>
      </w:r>
      <w:r>
        <w:rPr>
          <w:i/>
        </w:rPr>
        <w:t>3.5</w:t>
      </w:r>
      <w:r>
        <w:rPr/>
        <w:t>).</w:t>
      </w:r>
    </w:p>
    <w:p>
      <w:pPr>
        <w:pStyle w:val="BodyText"/>
        <w:spacing w:line="360" w:lineRule="auto" w:before="6"/>
        <w:ind w:left="102" w:right="139" w:firstLine="707"/>
        <w:jc w:val="both"/>
      </w:pPr>
      <w:r>
        <w:rPr/>
        <w:t>Con relación a los movimientos cíclicos en torno al precio del gas natural,  se pueden resumir los siguientes puntos: (i) movimientos procíclicos del balance primario; (ii) movimientos contracíclicos de la asignación de los ingresos fiscales gasíferos al gasto de capital y la deuda pública; (iii) movimientos neutrales del balance primario no gasífero y la asignación de ingresos fiscales no gasíferos al gasto corriente (</w:t>
      </w:r>
      <w:r>
        <w:rPr>
          <w:i/>
        </w:rPr>
        <w:t>cuadro</w:t>
      </w:r>
      <w:r>
        <w:rPr>
          <w:i/>
          <w:spacing w:val="-17"/>
        </w:rPr>
        <w:t> </w:t>
      </w:r>
      <w:r>
        <w:rPr>
          <w:i/>
        </w:rPr>
        <w:t>3.5</w:t>
      </w:r>
      <w:r>
        <w:rPr/>
        <w:t>).</w:t>
      </w:r>
    </w:p>
    <w:p>
      <w:pPr>
        <w:spacing w:after="0" w:line="360" w:lineRule="auto"/>
        <w:jc w:val="both"/>
        <w:sectPr>
          <w:type w:val="continuous"/>
          <w:pgSz w:w="12250" w:h="15850"/>
          <w:pgMar w:top="1500" w:bottom="280" w:left="1600" w:right="1560"/>
        </w:sectPr>
      </w:pPr>
    </w:p>
    <w:p>
      <w:pPr>
        <w:pStyle w:val="BodyText"/>
        <w:spacing w:before="48"/>
        <w:ind w:left="366" w:right="115"/>
      </w:pPr>
      <w:bookmarkStart w:name="_bookmark93" w:id="131"/>
      <w:bookmarkEnd w:id="131"/>
      <w:r>
        <w:rPr/>
      </w:r>
      <w:r>
        <w:rPr/>
        <w:t>Cuadro 3. 5: Evaluación de cambios institucionales en las finanzas públicas de Bolivia</w:t>
      </w:r>
    </w:p>
    <w:p>
      <w:pPr>
        <w:tabs>
          <w:tab w:pos="3489" w:val="left" w:leader="none"/>
          <w:tab w:pos="5878" w:val="left" w:leader="none"/>
          <w:tab w:pos="6122" w:val="left" w:leader="none"/>
          <w:tab w:pos="6582" w:val="left" w:leader="none"/>
          <w:tab w:pos="8960" w:val="left" w:leader="none"/>
        </w:tabs>
        <w:spacing w:before="30"/>
        <w:ind w:left="3193" w:right="0" w:firstLine="0"/>
        <w:jc w:val="left"/>
        <w:rPr>
          <w:rFonts w:ascii="Constantia" w:hAnsi="Constantia"/>
          <w:b/>
          <w:sz w:val="19"/>
        </w:rPr>
      </w:pPr>
      <w:r>
        <w:rPr>
          <w:rFonts w:ascii="Constantia" w:hAnsi="Constantia"/>
          <w:b/>
          <w:w w:val="102"/>
          <w:sz w:val="19"/>
          <w:u w:val="thick"/>
        </w:rPr>
        <w:t> </w:t>
      </w:r>
      <w:r>
        <w:rPr>
          <w:rFonts w:ascii="Constantia" w:hAnsi="Constantia"/>
          <w:b/>
          <w:sz w:val="19"/>
          <w:u w:val="thick"/>
        </w:rPr>
        <w:tab/>
      </w:r>
      <w:r>
        <w:rPr>
          <w:rFonts w:ascii="Constantia" w:hAnsi="Constantia"/>
          <w:b/>
          <w:spacing w:val="-3"/>
          <w:sz w:val="19"/>
          <w:u w:val="thick"/>
        </w:rPr>
        <w:t>Previa-Nacionalización</w:t>
        <w:tab/>
      </w:r>
      <w:r>
        <w:rPr>
          <w:rFonts w:ascii="Constantia" w:hAnsi="Constantia"/>
          <w:b/>
          <w:spacing w:val="-3"/>
          <w:sz w:val="19"/>
        </w:rPr>
        <w:tab/>
      </w:r>
      <w:r>
        <w:rPr>
          <w:rFonts w:ascii="Constantia" w:hAnsi="Constantia"/>
          <w:b/>
          <w:spacing w:val="-3"/>
          <w:sz w:val="19"/>
          <w:u w:val="thick"/>
        </w:rPr>
        <w:t> </w:t>
        <w:tab/>
        <w:t>Post-Nacionalización</w:t>
        <w:tab/>
      </w:r>
    </w:p>
    <w:p>
      <w:pPr>
        <w:spacing w:after="0"/>
        <w:jc w:val="left"/>
        <w:rPr>
          <w:rFonts w:ascii="Constantia" w:hAnsi="Constantia"/>
          <w:sz w:val="19"/>
        </w:rPr>
        <w:sectPr>
          <w:pgSz w:w="12250" w:h="15850"/>
          <w:pgMar w:header="0" w:footer="1037" w:top="1360" w:bottom="1220" w:left="1600" w:right="1560"/>
        </w:sectPr>
      </w:pPr>
    </w:p>
    <w:p>
      <w:pPr>
        <w:spacing w:before="143"/>
        <w:ind w:left="0" w:right="0" w:firstLine="0"/>
        <w:jc w:val="right"/>
        <w:rPr>
          <w:rFonts w:ascii="Constantia"/>
          <w:sz w:val="16"/>
        </w:rPr>
      </w:pPr>
      <w:r>
        <w:rPr>
          <w:rFonts w:ascii="Constantia"/>
          <w:sz w:val="16"/>
        </w:rPr>
        <w:t>2003 (T1) - 2006  (T1)</w:t>
      </w:r>
    </w:p>
    <w:p>
      <w:pPr>
        <w:spacing w:before="143"/>
        <w:ind w:left="148" w:right="0" w:firstLine="0"/>
        <w:jc w:val="left"/>
        <w:rPr>
          <w:rFonts w:ascii="Constantia" w:hAnsi="Constantia"/>
          <w:sz w:val="16"/>
        </w:rPr>
      </w:pPr>
      <w:r>
        <w:rPr/>
        <w:br w:type="column"/>
      </w:r>
      <w:r>
        <w:rPr>
          <w:rFonts w:ascii="Constantia" w:hAnsi="Constantia"/>
          <w:sz w:val="16"/>
        </w:rPr>
        <w:t>Orientación</w:t>
      </w:r>
    </w:p>
    <w:p>
      <w:pPr>
        <w:spacing w:before="143"/>
        <w:ind w:left="357" w:right="-1" w:firstLine="0"/>
        <w:jc w:val="left"/>
        <w:rPr>
          <w:rFonts w:ascii="Constantia"/>
          <w:sz w:val="16"/>
        </w:rPr>
      </w:pPr>
      <w:r>
        <w:rPr/>
        <w:br w:type="column"/>
      </w:r>
      <w:r>
        <w:rPr>
          <w:rFonts w:ascii="Constantia"/>
          <w:sz w:val="16"/>
        </w:rPr>
        <w:t>2006 (T2) -  2011(T2)</w:t>
      </w:r>
    </w:p>
    <w:p>
      <w:pPr>
        <w:spacing w:before="143"/>
        <w:ind w:left="332" w:right="0" w:firstLine="0"/>
        <w:jc w:val="left"/>
        <w:rPr>
          <w:rFonts w:ascii="Constantia" w:hAnsi="Constantia"/>
          <w:sz w:val="16"/>
        </w:rPr>
      </w:pPr>
      <w:r>
        <w:rPr/>
        <w:br w:type="column"/>
      </w:r>
      <w:r>
        <w:rPr>
          <w:rFonts w:ascii="Constantia" w:hAnsi="Constantia"/>
          <w:sz w:val="16"/>
        </w:rPr>
        <w:t>Orientación</w:t>
      </w:r>
    </w:p>
    <w:p>
      <w:pPr>
        <w:spacing w:after="0"/>
        <w:jc w:val="left"/>
        <w:rPr>
          <w:rFonts w:ascii="Constantia" w:hAnsi="Constantia"/>
          <w:sz w:val="16"/>
        </w:rPr>
        <w:sectPr>
          <w:type w:val="continuous"/>
          <w:pgSz w:w="12250" w:h="15850"/>
          <w:pgMar w:top="1500" w:bottom="280" w:left="1600" w:right="1560"/>
          <w:cols w:num="4" w:equalWidth="0">
            <w:col w:w="4720" w:space="40"/>
            <w:col w:w="1018" w:space="40"/>
            <w:col w:w="1782" w:space="40"/>
            <w:col w:w="1450"/>
          </w:cols>
        </w:sectPr>
      </w:pPr>
    </w:p>
    <w:p>
      <w:pPr>
        <w:pStyle w:val="BodyText"/>
        <w:spacing w:before="9" w:after="1"/>
        <w:rPr>
          <w:rFonts w:ascii="Constantia"/>
          <w:sz w:val="9"/>
        </w:rPr>
      </w:pPr>
    </w:p>
    <w:p>
      <w:pPr>
        <w:pStyle w:val="BodyText"/>
        <w:spacing w:line="20" w:lineRule="exact"/>
        <w:ind w:left="3177"/>
        <w:rPr>
          <w:rFonts w:ascii="Constantia"/>
          <w:sz w:val="2"/>
        </w:rPr>
      </w:pPr>
      <w:r>
        <w:rPr>
          <w:rFonts w:ascii="Constantia"/>
          <w:sz w:val="2"/>
        </w:rPr>
        <w:pict>
          <v:group style="width:135.85pt;height:.6pt;mso-position-horizontal-relative:char;mso-position-vertical-relative:line" coordorigin="0,0" coordsize="2717,12">
            <v:line style="position:absolute" from="11,6" to="2706,6" stroked="true" strokeweight=".508809pt" strokecolor="#000000"/>
            <v:line style="position:absolute" from="6,6" to="2711,6" stroked="true" strokeweight=".508809pt" strokecolor="#000000"/>
          </v:group>
        </w:pict>
      </w:r>
      <w:r>
        <w:rPr>
          <w:rFonts w:ascii="Constantia"/>
          <w:sz w:val="2"/>
        </w:rPr>
      </w:r>
      <w:r>
        <w:rPr>
          <w:spacing w:val="187"/>
          <w:sz w:val="2"/>
        </w:rPr>
        <w:t> </w:t>
      </w:r>
      <w:r>
        <w:rPr>
          <w:rFonts w:ascii="Constantia"/>
          <w:spacing w:val="187"/>
          <w:sz w:val="2"/>
        </w:rPr>
        <w:pict>
          <v:group style="width:143.5pt;height:.6pt;mso-position-horizontal-relative:char;mso-position-vertical-relative:line" coordorigin="0,0" coordsize="2870,12">
            <v:line style="position:absolute" from="11,6" to="2859,6" stroked="true" strokeweight=".508809pt" strokecolor="#000000"/>
            <v:line style="position:absolute" from="6,6" to="2864,6" stroked="true" strokeweight=".508809pt" strokecolor="#000000"/>
          </v:group>
        </w:pict>
      </w:r>
      <w:r>
        <w:rPr>
          <w:rFonts w:ascii="Constantia"/>
          <w:spacing w:val="187"/>
          <w:sz w:val="2"/>
        </w:rPr>
      </w:r>
    </w:p>
    <w:p>
      <w:pPr>
        <w:spacing w:after="0" w:line="20" w:lineRule="exact"/>
        <w:rPr>
          <w:rFonts w:ascii="Constantia"/>
          <w:sz w:val="2"/>
        </w:rPr>
        <w:sectPr>
          <w:type w:val="continuous"/>
          <w:pgSz w:w="12250" w:h="15850"/>
          <w:pgMar w:top="1500" w:bottom="280" w:left="1600" w:right="1560"/>
        </w:sectPr>
      </w:pPr>
    </w:p>
    <w:p>
      <w:pPr>
        <w:pStyle w:val="BodyText"/>
        <w:spacing w:before="5"/>
        <w:rPr>
          <w:rFonts w:ascii="Constantia"/>
          <w:sz w:val="17"/>
        </w:rPr>
      </w:pPr>
    </w:p>
    <w:p>
      <w:pPr>
        <w:spacing w:line="290" w:lineRule="atLeast" w:before="1"/>
        <w:ind w:left="171" w:right="0" w:firstLine="0"/>
        <w:jc w:val="left"/>
        <w:rPr>
          <w:rFonts w:ascii="Constantia" w:hAnsi="Constantia"/>
          <w:sz w:val="16"/>
        </w:rPr>
      </w:pPr>
      <w:r>
        <w:rPr>
          <w:rFonts w:ascii="Constantia" w:hAnsi="Constantia"/>
          <w:sz w:val="16"/>
          <w:u w:val="single"/>
        </w:rPr>
        <w:t>Precio del gas natural (y) </w:t>
      </w:r>
      <w:r>
        <w:rPr>
          <w:rFonts w:ascii="Constantia" w:hAnsi="Constantia"/>
          <w:sz w:val="16"/>
        </w:rPr>
        <w:t>Asignación de Ing. Fisc. Gasíf.</w:t>
      </w:r>
    </w:p>
    <w:p>
      <w:pPr>
        <w:tabs>
          <w:tab w:pos="988" w:val="left" w:leader="none"/>
          <w:tab w:pos="3029" w:val="left" w:leader="none"/>
          <w:tab w:pos="3815" w:val="left" w:leader="none"/>
        </w:tabs>
        <w:spacing w:before="63"/>
        <w:ind w:left="171" w:right="0" w:firstLine="0"/>
        <w:jc w:val="left"/>
        <w:rPr>
          <w:rFonts w:ascii="Constantia"/>
          <w:sz w:val="16"/>
        </w:rPr>
      </w:pPr>
      <w:r>
        <w:rPr/>
        <w:br w:type="column"/>
      </w:r>
      <w:r>
        <w:rPr>
          <w:rFonts w:ascii="Constantia"/>
          <w:sz w:val="16"/>
        </w:rPr>
        <w:t>HP</w:t>
        <w:tab/>
      </w:r>
      <w:r>
        <w:rPr>
          <w:rFonts w:ascii="Constantia"/>
          <w:spacing w:val="-3"/>
          <w:sz w:val="16"/>
        </w:rPr>
        <w:t>CF</w:t>
        <w:tab/>
      </w:r>
      <w:r>
        <w:rPr>
          <w:rFonts w:ascii="Constantia"/>
          <w:sz w:val="16"/>
        </w:rPr>
        <w:t>HP</w:t>
        <w:tab/>
      </w:r>
      <w:r>
        <w:rPr>
          <w:rFonts w:ascii="Constantia"/>
          <w:spacing w:val="-5"/>
          <w:sz w:val="16"/>
        </w:rPr>
        <w:t>CF</w:t>
      </w:r>
    </w:p>
    <w:p>
      <w:pPr>
        <w:spacing w:after="0"/>
        <w:jc w:val="left"/>
        <w:rPr>
          <w:rFonts w:ascii="Constantia"/>
          <w:sz w:val="16"/>
        </w:rPr>
        <w:sectPr>
          <w:type w:val="continuous"/>
          <w:pgSz w:w="12250" w:h="15850"/>
          <w:pgMar w:top="1500" w:bottom="280" w:left="1600" w:right="1560"/>
          <w:cols w:num="2" w:equalWidth="0">
            <w:col w:w="2272" w:space="1077"/>
            <w:col w:w="5741"/>
          </w:cols>
        </w:sectPr>
      </w:pPr>
    </w:p>
    <w:p>
      <w:pPr>
        <w:tabs>
          <w:tab w:pos="3376" w:val="left" w:leader="none"/>
          <w:tab w:pos="4142" w:val="left" w:leader="none"/>
          <w:tab w:pos="6235" w:val="left" w:leader="none"/>
          <w:tab w:pos="7011" w:val="left" w:leader="none"/>
          <w:tab w:pos="7878" w:val="left" w:leader="none"/>
        </w:tabs>
        <w:spacing w:line="212" w:lineRule="exact" w:before="0"/>
        <w:ind w:left="171" w:right="115" w:firstLine="0"/>
        <w:jc w:val="left"/>
        <w:rPr>
          <w:rFonts w:ascii="Constantia" w:hAnsi="Constantia"/>
          <w:sz w:val="16"/>
        </w:rPr>
      </w:pPr>
      <w:r>
        <w:rPr>
          <w:rFonts w:ascii="Constantia" w:hAnsi="Constantia"/>
          <w:position w:val="3"/>
          <w:sz w:val="12"/>
        </w:rPr>
        <w:t>(Gasto de capital/ Ingresos fisc.</w:t>
      </w:r>
      <w:r>
        <w:rPr>
          <w:rFonts w:ascii="Constantia" w:hAnsi="Constantia"/>
          <w:spacing w:val="15"/>
          <w:position w:val="3"/>
          <w:sz w:val="12"/>
        </w:rPr>
        <w:t> </w:t>
      </w:r>
      <w:r>
        <w:rPr>
          <w:rFonts w:ascii="Constantia" w:hAnsi="Constantia"/>
          <w:position w:val="3"/>
          <w:sz w:val="12"/>
        </w:rPr>
        <w:t>Gas</w:t>
      </w:r>
      <w:r>
        <w:rPr>
          <w:rFonts w:ascii="Constantia" w:hAnsi="Constantia"/>
          <w:spacing w:val="4"/>
          <w:position w:val="3"/>
          <w:sz w:val="12"/>
        </w:rPr>
        <w:t> </w:t>
      </w:r>
      <w:r>
        <w:rPr>
          <w:rFonts w:ascii="Constantia" w:hAnsi="Constantia"/>
          <w:position w:val="3"/>
          <w:sz w:val="12"/>
        </w:rPr>
        <w:t>Natur.)</w:t>
        <w:tab/>
      </w:r>
      <w:r>
        <w:rPr>
          <w:rFonts w:ascii="Constantia" w:hAnsi="Constantia"/>
          <w:sz w:val="19"/>
        </w:rPr>
        <w:t>-0.62*</w:t>
        <w:tab/>
        <w:t>-0.82** </w:t>
      </w:r>
      <w:r>
        <w:rPr>
          <w:rFonts w:ascii="Constantia" w:hAnsi="Constantia"/>
          <w:spacing w:val="14"/>
          <w:sz w:val="19"/>
        </w:rPr>
        <w:t> </w:t>
      </w:r>
      <w:r>
        <w:rPr>
          <w:rFonts w:ascii="Constantia" w:hAnsi="Constantia"/>
          <w:sz w:val="16"/>
        </w:rPr>
        <w:t>Contracíclica</w:t>
        <w:tab/>
      </w:r>
      <w:r>
        <w:rPr>
          <w:rFonts w:ascii="Constantia" w:hAnsi="Constantia"/>
          <w:sz w:val="19"/>
        </w:rPr>
        <w:t>-0.50*</w:t>
        <w:tab/>
        <w:t>-0.70*</w:t>
        <w:tab/>
      </w:r>
      <w:r>
        <w:rPr>
          <w:rFonts w:ascii="Constantia" w:hAnsi="Constantia"/>
          <w:sz w:val="16"/>
        </w:rPr>
        <w:t>Contracíclica</w:t>
      </w:r>
    </w:p>
    <w:p>
      <w:pPr>
        <w:spacing w:before="21"/>
        <w:ind w:left="171" w:right="115" w:firstLine="0"/>
        <w:jc w:val="left"/>
        <w:rPr>
          <w:rFonts w:ascii="Constantia" w:hAnsi="Constantia"/>
          <w:sz w:val="16"/>
        </w:rPr>
      </w:pPr>
      <w:r>
        <w:rPr>
          <w:rFonts w:ascii="Constantia" w:hAnsi="Constantia"/>
          <w:sz w:val="16"/>
        </w:rPr>
        <w:t>Asignación de Ing. Fisc. No  Gasíf.</w:t>
      </w:r>
    </w:p>
    <w:tbl>
      <w:tblPr>
        <w:tblW w:w="0" w:type="auto"/>
        <w:jc w:val="left"/>
        <w:tblInd w:w="13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55"/>
        <w:gridCol w:w="1093"/>
        <w:gridCol w:w="755"/>
        <w:gridCol w:w="1115"/>
        <w:gridCol w:w="1024"/>
        <w:gridCol w:w="817"/>
        <w:gridCol w:w="1265"/>
      </w:tblGrid>
      <w:tr>
        <w:trPr>
          <w:trHeight w:val="254" w:hRule="exact"/>
        </w:trPr>
        <w:tc>
          <w:tcPr>
            <w:tcW w:w="2755" w:type="dxa"/>
          </w:tcPr>
          <w:p>
            <w:pPr>
              <w:pStyle w:val="TableParagraph"/>
              <w:spacing w:before="16"/>
              <w:ind w:left="35"/>
              <w:jc w:val="left"/>
              <w:rPr>
                <w:rFonts w:ascii="Constantia" w:hAnsi="Constantia"/>
                <w:sz w:val="12"/>
              </w:rPr>
            </w:pPr>
            <w:r>
              <w:rPr>
                <w:rFonts w:ascii="Constantia" w:hAnsi="Constantia"/>
                <w:sz w:val="12"/>
              </w:rPr>
              <w:t>(Gasto corriente / Ingresos fisc. No Gasíf.)</w:t>
            </w:r>
          </w:p>
        </w:tc>
        <w:tc>
          <w:tcPr>
            <w:tcW w:w="2963" w:type="dxa"/>
            <w:gridSpan w:val="3"/>
          </w:tcPr>
          <w:p>
            <w:pPr>
              <w:pStyle w:val="TableParagraph"/>
              <w:tabs>
                <w:tab w:pos="1311" w:val="left" w:leader="none"/>
                <w:tab w:pos="1934" w:val="left" w:leader="none"/>
              </w:tabs>
              <w:spacing w:line="161" w:lineRule="exact"/>
              <w:ind w:left="545"/>
              <w:jc w:val="left"/>
              <w:rPr>
                <w:rFonts w:ascii="Constantia" w:hAnsi="Constantia"/>
                <w:sz w:val="16"/>
              </w:rPr>
            </w:pPr>
            <w:r>
              <w:rPr>
                <w:rFonts w:ascii="Constantia" w:hAnsi="Constantia"/>
                <w:sz w:val="19"/>
              </w:rPr>
              <w:t>0.23</w:t>
              <w:tab/>
              <w:t>0.46</w:t>
              <w:tab/>
            </w:r>
            <w:r>
              <w:rPr>
                <w:rFonts w:ascii="Constantia" w:hAnsi="Constantia"/>
                <w:sz w:val="16"/>
              </w:rPr>
              <w:t>Acíclica</w:t>
            </w:r>
          </w:p>
        </w:tc>
        <w:tc>
          <w:tcPr>
            <w:tcW w:w="3105" w:type="dxa"/>
            <w:gridSpan w:val="3"/>
          </w:tcPr>
          <w:p>
            <w:pPr>
              <w:pStyle w:val="TableParagraph"/>
              <w:tabs>
                <w:tab w:pos="1145" w:val="left" w:leader="none"/>
                <w:tab w:pos="2023" w:val="left" w:leader="none"/>
              </w:tabs>
              <w:spacing w:line="161" w:lineRule="exact"/>
              <w:ind w:left="410"/>
              <w:jc w:val="left"/>
              <w:rPr>
                <w:rFonts w:ascii="Constantia" w:hAnsi="Constantia"/>
                <w:sz w:val="16"/>
              </w:rPr>
            </w:pPr>
            <w:r>
              <w:rPr>
                <w:rFonts w:ascii="Constantia" w:hAnsi="Constantia"/>
                <w:sz w:val="19"/>
              </w:rPr>
              <w:t>-0.16</w:t>
              <w:tab/>
              <w:t>-0.29</w:t>
              <w:tab/>
            </w:r>
            <w:r>
              <w:rPr>
                <w:rFonts w:ascii="Constantia" w:hAnsi="Constantia"/>
                <w:sz w:val="16"/>
              </w:rPr>
              <w:t>Acíclica</w:t>
            </w:r>
          </w:p>
        </w:tc>
      </w:tr>
      <w:tr>
        <w:trPr>
          <w:trHeight w:val="327" w:hRule="exact"/>
        </w:trPr>
        <w:tc>
          <w:tcPr>
            <w:tcW w:w="2755" w:type="dxa"/>
          </w:tcPr>
          <w:p>
            <w:pPr>
              <w:pStyle w:val="TableParagraph"/>
              <w:ind w:left="35"/>
              <w:jc w:val="left"/>
              <w:rPr>
                <w:rFonts w:ascii="Constantia"/>
                <w:sz w:val="16"/>
              </w:rPr>
            </w:pPr>
            <w:r>
              <w:rPr>
                <w:rFonts w:ascii="Constantia"/>
                <w:sz w:val="16"/>
              </w:rPr>
              <w:t>Balance  primario/ PIB</w:t>
            </w:r>
          </w:p>
        </w:tc>
        <w:tc>
          <w:tcPr>
            <w:tcW w:w="1093" w:type="dxa"/>
          </w:tcPr>
          <w:p>
            <w:pPr>
              <w:pStyle w:val="TableParagraph"/>
              <w:spacing w:before="33"/>
              <w:ind w:right="204"/>
              <w:jc w:val="right"/>
              <w:rPr>
                <w:rFonts w:ascii="Constantia"/>
                <w:sz w:val="19"/>
              </w:rPr>
            </w:pPr>
            <w:r>
              <w:rPr>
                <w:rFonts w:ascii="Constantia"/>
                <w:sz w:val="19"/>
              </w:rPr>
              <w:t>0.39</w:t>
            </w:r>
          </w:p>
        </w:tc>
        <w:tc>
          <w:tcPr>
            <w:tcW w:w="755" w:type="dxa"/>
          </w:tcPr>
          <w:p>
            <w:pPr>
              <w:pStyle w:val="TableParagraph"/>
              <w:spacing w:before="33"/>
              <w:ind w:left="218"/>
              <w:jc w:val="left"/>
              <w:rPr>
                <w:rFonts w:ascii="Constantia"/>
                <w:sz w:val="19"/>
              </w:rPr>
            </w:pPr>
            <w:r>
              <w:rPr>
                <w:rFonts w:ascii="Constantia"/>
                <w:sz w:val="19"/>
              </w:rPr>
              <w:t>0.36</w:t>
            </w:r>
          </w:p>
        </w:tc>
        <w:tc>
          <w:tcPr>
            <w:tcW w:w="1115" w:type="dxa"/>
          </w:tcPr>
          <w:p>
            <w:pPr>
              <w:pStyle w:val="TableParagraph"/>
              <w:spacing w:before="61"/>
              <w:ind w:left="86"/>
              <w:jc w:val="left"/>
              <w:rPr>
                <w:rFonts w:ascii="Constantia" w:hAnsi="Constantia"/>
                <w:sz w:val="16"/>
              </w:rPr>
            </w:pPr>
            <w:r>
              <w:rPr>
                <w:rFonts w:ascii="Constantia" w:hAnsi="Constantia"/>
                <w:sz w:val="16"/>
              </w:rPr>
              <w:t>Acíclico</w:t>
            </w:r>
          </w:p>
        </w:tc>
        <w:tc>
          <w:tcPr>
            <w:tcW w:w="1024" w:type="dxa"/>
          </w:tcPr>
          <w:p>
            <w:pPr>
              <w:pStyle w:val="TableParagraph"/>
              <w:spacing w:before="33"/>
              <w:ind w:left="420"/>
              <w:jc w:val="left"/>
              <w:rPr>
                <w:rFonts w:ascii="Constantia"/>
                <w:sz w:val="19"/>
              </w:rPr>
            </w:pPr>
            <w:r>
              <w:rPr>
                <w:rFonts w:ascii="Constantia"/>
                <w:sz w:val="19"/>
              </w:rPr>
              <w:t>0.47*</w:t>
            </w:r>
          </w:p>
        </w:tc>
        <w:tc>
          <w:tcPr>
            <w:tcW w:w="817" w:type="dxa"/>
          </w:tcPr>
          <w:p>
            <w:pPr>
              <w:pStyle w:val="TableParagraph"/>
              <w:spacing w:before="33"/>
              <w:ind w:right="180"/>
              <w:jc w:val="right"/>
              <w:rPr>
                <w:rFonts w:ascii="Constantia"/>
                <w:sz w:val="19"/>
              </w:rPr>
            </w:pPr>
            <w:r>
              <w:rPr>
                <w:rFonts w:ascii="Constantia"/>
                <w:sz w:val="19"/>
              </w:rPr>
              <w:t>0.72**</w:t>
            </w:r>
          </w:p>
        </w:tc>
        <w:tc>
          <w:tcPr>
            <w:tcW w:w="1265" w:type="dxa"/>
          </w:tcPr>
          <w:p>
            <w:pPr>
              <w:pStyle w:val="TableParagraph"/>
              <w:spacing w:before="61"/>
              <w:ind w:left="182"/>
              <w:jc w:val="left"/>
              <w:rPr>
                <w:rFonts w:ascii="Constantia" w:hAnsi="Constantia"/>
                <w:sz w:val="16"/>
              </w:rPr>
            </w:pPr>
            <w:r>
              <w:rPr>
                <w:rFonts w:ascii="Constantia" w:hAnsi="Constantia"/>
                <w:sz w:val="16"/>
              </w:rPr>
              <w:t>Procíclico</w:t>
            </w:r>
          </w:p>
        </w:tc>
      </w:tr>
      <w:tr>
        <w:trPr>
          <w:trHeight w:val="316" w:hRule="exact"/>
        </w:trPr>
        <w:tc>
          <w:tcPr>
            <w:tcW w:w="2755" w:type="dxa"/>
          </w:tcPr>
          <w:p>
            <w:pPr>
              <w:pStyle w:val="TableParagraph"/>
              <w:spacing w:before="10"/>
              <w:ind w:left="35"/>
              <w:jc w:val="left"/>
              <w:rPr>
                <w:rFonts w:ascii="Constantia" w:hAnsi="Constantia"/>
                <w:sz w:val="16"/>
              </w:rPr>
            </w:pPr>
            <w:r>
              <w:rPr>
                <w:rFonts w:ascii="Constantia" w:hAnsi="Constantia"/>
                <w:sz w:val="16"/>
              </w:rPr>
              <w:t>Balance primario no gasíf./  PIB</w:t>
            </w:r>
          </w:p>
        </w:tc>
        <w:tc>
          <w:tcPr>
            <w:tcW w:w="1093" w:type="dxa"/>
          </w:tcPr>
          <w:p>
            <w:pPr>
              <w:pStyle w:val="TableParagraph"/>
              <w:spacing w:before="23"/>
              <w:ind w:right="188"/>
              <w:jc w:val="right"/>
              <w:rPr>
                <w:rFonts w:ascii="Constantia"/>
                <w:sz w:val="19"/>
              </w:rPr>
            </w:pPr>
            <w:r>
              <w:rPr>
                <w:rFonts w:ascii="Constantia"/>
                <w:sz w:val="19"/>
              </w:rPr>
              <w:t>-0.21</w:t>
            </w:r>
          </w:p>
        </w:tc>
        <w:tc>
          <w:tcPr>
            <w:tcW w:w="755" w:type="dxa"/>
          </w:tcPr>
          <w:p>
            <w:pPr>
              <w:pStyle w:val="TableParagraph"/>
              <w:spacing w:before="23"/>
              <w:ind w:left="188"/>
              <w:jc w:val="left"/>
              <w:rPr>
                <w:rFonts w:ascii="Constantia"/>
                <w:sz w:val="19"/>
              </w:rPr>
            </w:pPr>
            <w:r>
              <w:rPr>
                <w:rFonts w:ascii="Constantia"/>
                <w:sz w:val="19"/>
              </w:rPr>
              <w:t>-0.38</w:t>
            </w:r>
          </w:p>
        </w:tc>
        <w:tc>
          <w:tcPr>
            <w:tcW w:w="1115" w:type="dxa"/>
          </w:tcPr>
          <w:p>
            <w:pPr>
              <w:pStyle w:val="TableParagraph"/>
              <w:spacing w:before="51"/>
              <w:ind w:left="86"/>
              <w:jc w:val="left"/>
              <w:rPr>
                <w:rFonts w:ascii="Constantia" w:hAnsi="Constantia"/>
                <w:sz w:val="16"/>
              </w:rPr>
            </w:pPr>
            <w:r>
              <w:rPr>
                <w:rFonts w:ascii="Constantia" w:hAnsi="Constantia"/>
                <w:sz w:val="16"/>
              </w:rPr>
              <w:t>Acíclico</w:t>
            </w:r>
          </w:p>
        </w:tc>
        <w:tc>
          <w:tcPr>
            <w:tcW w:w="1024" w:type="dxa"/>
          </w:tcPr>
          <w:p>
            <w:pPr>
              <w:pStyle w:val="TableParagraph"/>
              <w:spacing w:before="23"/>
              <w:ind w:left="451"/>
              <w:jc w:val="left"/>
              <w:rPr>
                <w:rFonts w:ascii="Constantia"/>
                <w:sz w:val="19"/>
              </w:rPr>
            </w:pPr>
            <w:r>
              <w:rPr>
                <w:rFonts w:ascii="Constantia"/>
                <w:sz w:val="19"/>
              </w:rPr>
              <w:t>0.18</w:t>
            </w:r>
          </w:p>
        </w:tc>
        <w:tc>
          <w:tcPr>
            <w:tcW w:w="817" w:type="dxa"/>
          </w:tcPr>
          <w:p>
            <w:pPr>
              <w:pStyle w:val="TableParagraph"/>
              <w:spacing w:before="23"/>
              <w:ind w:right="252"/>
              <w:jc w:val="right"/>
              <w:rPr>
                <w:rFonts w:ascii="Constantia"/>
                <w:sz w:val="19"/>
              </w:rPr>
            </w:pPr>
            <w:r>
              <w:rPr>
                <w:rFonts w:ascii="Constantia"/>
                <w:sz w:val="19"/>
              </w:rPr>
              <w:t>0.40</w:t>
            </w:r>
          </w:p>
        </w:tc>
        <w:tc>
          <w:tcPr>
            <w:tcW w:w="1265" w:type="dxa"/>
          </w:tcPr>
          <w:p>
            <w:pPr>
              <w:pStyle w:val="TableParagraph"/>
              <w:spacing w:before="51"/>
              <w:ind w:left="182"/>
              <w:jc w:val="left"/>
              <w:rPr>
                <w:rFonts w:ascii="Constantia" w:hAnsi="Constantia"/>
                <w:sz w:val="16"/>
              </w:rPr>
            </w:pPr>
            <w:r>
              <w:rPr>
                <w:rFonts w:ascii="Constantia" w:hAnsi="Constantia"/>
                <w:sz w:val="16"/>
              </w:rPr>
              <w:t>Acíclico</w:t>
            </w:r>
          </w:p>
        </w:tc>
      </w:tr>
      <w:tr>
        <w:trPr>
          <w:trHeight w:val="272" w:hRule="exact"/>
        </w:trPr>
        <w:tc>
          <w:tcPr>
            <w:tcW w:w="2755" w:type="dxa"/>
            <w:tcBorders>
              <w:bottom w:val="double" w:sz="4" w:space="0" w:color="000000"/>
            </w:tcBorders>
          </w:tcPr>
          <w:p>
            <w:pPr>
              <w:pStyle w:val="TableParagraph"/>
              <w:spacing w:before="10"/>
              <w:ind w:left="35"/>
              <w:jc w:val="left"/>
              <w:rPr>
                <w:rFonts w:ascii="Constantia" w:hAnsi="Constantia"/>
                <w:sz w:val="16"/>
              </w:rPr>
            </w:pPr>
            <w:r>
              <w:rPr>
                <w:rFonts w:ascii="Constantia" w:hAnsi="Constantia"/>
                <w:sz w:val="16"/>
              </w:rPr>
              <w:t>Deuda pública/ PIB</w:t>
            </w:r>
          </w:p>
        </w:tc>
        <w:tc>
          <w:tcPr>
            <w:tcW w:w="1093" w:type="dxa"/>
            <w:tcBorders>
              <w:bottom w:val="double" w:sz="4" w:space="0" w:color="000000"/>
            </w:tcBorders>
          </w:tcPr>
          <w:p>
            <w:pPr>
              <w:pStyle w:val="TableParagraph"/>
              <w:spacing w:before="12"/>
              <w:ind w:right="165"/>
              <w:jc w:val="right"/>
              <w:rPr>
                <w:rFonts w:ascii="Constantia"/>
                <w:sz w:val="19"/>
              </w:rPr>
            </w:pPr>
            <w:r>
              <w:rPr>
                <w:rFonts w:ascii="Constantia"/>
                <w:sz w:val="19"/>
              </w:rPr>
              <w:t>-0.28</w:t>
            </w:r>
          </w:p>
        </w:tc>
        <w:tc>
          <w:tcPr>
            <w:tcW w:w="755" w:type="dxa"/>
            <w:tcBorders>
              <w:bottom w:val="double" w:sz="4" w:space="0" w:color="000000"/>
            </w:tcBorders>
          </w:tcPr>
          <w:p>
            <w:pPr>
              <w:pStyle w:val="TableParagraph"/>
              <w:spacing w:before="12"/>
              <w:ind w:left="167"/>
              <w:jc w:val="left"/>
              <w:rPr>
                <w:rFonts w:ascii="Constantia"/>
                <w:sz w:val="19"/>
              </w:rPr>
            </w:pPr>
            <w:r>
              <w:rPr>
                <w:rFonts w:ascii="Constantia"/>
                <w:sz w:val="19"/>
              </w:rPr>
              <w:t>-0.62*</w:t>
            </w:r>
          </w:p>
        </w:tc>
        <w:tc>
          <w:tcPr>
            <w:tcW w:w="1115" w:type="dxa"/>
            <w:tcBorders>
              <w:bottom w:val="double" w:sz="4" w:space="0" w:color="000000"/>
            </w:tcBorders>
          </w:tcPr>
          <w:p>
            <w:pPr>
              <w:pStyle w:val="TableParagraph"/>
              <w:spacing w:before="41"/>
              <w:ind w:left="86"/>
              <w:jc w:val="left"/>
              <w:rPr>
                <w:rFonts w:ascii="Constantia"/>
                <w:sz w:val="16"/>
              </w:rPr>
            </w:pPr>
            <w:r>
              <w:rPr>
                <w:rFonts w:ascii="Constantia"/>
                <w:sz w:val="16"/>
              </w:rPr>
              <w:t>Ambigua</w:t>
            </w:r>
          </w:p>
        </w:tc>
        <w:tc>
          <w:tcPr>
            <w:tcW w:w="1024" w:type="dxa"/>
            <w:tcBorders>
              <w:bottom w:val="double" w:sz="4" w:space="0" w:color="000000"/>
            </w:tcBorders>
          </w:tcPr>
          <w:p>
            <w:pPr>
              <w:pStyle w:val="TableParagraph"/>
              <w:spacing w:before="12"/>
              <w:ind w:left="380"/>
              <w:jc w:val="left"/>
              <w:rPr>
                <w:rFonts w:ascii="Constantia"/>
                <w:sz w:val="19"/>
              </w:rPr>
            </w:pPr>
            <w:r>
              <w:rPr>
                <w:rFonts w:ascii="Constantia"/>
                <w:sz w:val="19"/>
              </w:rPr>
              <w:t>-0.49*</w:t>
            </w:r>
          </w:p>
        </w:tc>
        <w:tc>
          <w:tcPr>
            <w:tcW w:w="817" w:type="dxa"/>
            <w:tcBorders>
              <w:bottom w:val="double" w:sz="4" w:space="0" w:color="000000"/>
            </w:tcBorders>
          </w:tcPr>
          <w:p>
            <w:pPr>
              <w:pStyle w:val="TableParagraph"/>
              <w:spacing w:before="12"/>
              <w:ind w:right="181"/>
              <w:jc w:val="right"/>
              <w:rPr>
                <w:rFonts w:ascii="Constantia"/>
                <w:sz w:val="19"/>
              </w:rPr>
            </w:pPr>
            <w:r>
              <w:rPr>
                <w:rFonts w:ascii="Constantia"/>
                <w:sz w:val="19"/>
              </w:rPr>
              <w:t>-0.54*</w:t>
            </w:r>
          </w:p>
        </w:tc>
        <w:tc>
          <w:tcPr>
            <w:tcW w:w="1265" w:type="dxa"/>
            <w:tcBorders>
              <w:bottom w:val="double" w:sz="4" w:space="0" w:color="000000"/>
            </w:tcBorders>
          </w:tcPr>
          <w:p>
            <w:pPr>
              <w:pStyle w:val="TableParagraph"/>
              <w:spacing w:before="41"/>
              <w:ind w:left="182"/>
              <w:jc w:val="left"/>
              <w:rPr>
                <w:rFonts w:ascii="Constantia" w:hAnsi="Constantia"/>
                <w:sz w:val="16"/>
              </w:rPr>
            </w:pPr>
            <w:r>
              <w:rPr>
                <w:rFonts w:ascii="Constantia" w:hAnsi="Constantia"/>
                <w:sz w:val="16"/>
              </w:rPr>
              <w:t>Contracíclica</w:t>
            </w:r>
          </w:p>
        </w:tc>
      </w:tr>
    </w:tbl>
    <w:p>
      <w:pPr>
        <w:spacing w:line="171" w:lineRule="exact" w:before="0"/>
        <w:ind w:left="212" w:right="115" w:firstLine="0"/>
        <w:jc w:val="left"/>
        <w:rPr>
          <w:sz w:val="16"/>
        </w:rPr>
      </w:pPr>
      <w:r>
        <w:rPr>
          <w:sz w:val="16"/>
        </w:rPr>
        <w:t>Significancia: ** al 1% y * al 5% respectivamente</w:t>
      </w:r>
    </w:p>
    <w:p>
      <w:pPr>
        <w:spacing w:before="11"/>
        <w:ind w:left="102" w:right="115" w:firstLine="0"/>
        <w:jc w:val="left"/>
        <w:rPr>
          <w:sz w:val="20"/>
        </w:rPr>
      </w:pPr>
      <w:r>
        <w:rPr>
          <w:sz w:val="20"/>
        </w:rPr>
        <w:t>Fuente: Estimaciones propias con base en información del Banco Central de Bolivia (2012) y Yacimientos Petrolíferos Fiscales Bolivianos (2012).</w:t>
      </w:r>
    </w:p>
    <w:p>
      <w:pPr>
        <w:pStyle w:val="BodyText"/>
        <w:spacing w:before="10"/>
        <w:rPr>
          <w:sz w:val="23"/>
        </w:rPr>
      </w:pPr>
    </w:p>
    <w:p>
      <w:pPr>
        <w:pStyle w:val="BodyText"/>
        <w:spacing w:line="360" w:lineRule="auto"/>
        <w:ind w:left="102" w:right="136" w:firstLine="707"/>
        <w:jc w:val="both"/>
      </w:pPr>
      <w:r>
        <w:rPr/>
        <w:t>La nacionalización de los hidrocarburos llevó a una mayor asociación entre ingresos fiscales gasíferos y no gasíferos, lo cual significa que se relacionaron positiva y significativamente el gasto de capital y el gasto corriente en términos de ingresos fiscales gasíferos y no gasíferos respectivamente (</w:t>
      </w:r>
      <w:r>
        <w:rPr>
          <w:i/>
        </w:rPr>
        <w:t>cuadro 3.6</w:t>
      </w:r>
      <w:r>
        <w:rPr/>
        <w:t>). Por otra parte, el cambio principal fue que la asignación de los ingresos gasíferos al gasto de capital se asoció negativa y significativamente con el balance primario – con y sin gas natural –.</w:t>
      </w:r>
    </w:p>
    <w:p>
      <w:pPr>
        <w:pStyle w:val="BodyText"/>
        <w:spacing w:line="360" w:lineRule="auto" w:before="4"/>
        <w:ind w:left="102" w:right="136" w:firstLine="707"/>
        <w:jc w:val="both"/>
      </w:pPr>
      <w:r>
        <w:rPr/>
        <w:t>Finalmente, previo a la nacionalización de los hidrocarburos, existía un fuerte vínculo entre el balance primario no gasífero y la deuda pública. En la  post- nacionalización, surgió un debilitamiento de la relación cuando se realizó una sustitución  en el financiamiento del gasto corriente: los ingresos del recurso natural reemplazaron el financiamiento de la deuda</w:t>
      </w:r>
      <w:r>
        <w:rPr>
          <w:spacing w:val="-6"/>
        </w:rPr>
        <w:t> </w:t>
      </w:r>
      <w:r>
        <w:rPr/>
        <w:t>pública.</w:t>
      </w:r>
    </w:p>
    <w:p>
      <w:pPr>
        <w:spacing w:after="0" w:line="360" w:lineRule="auto"/>
        <w:jc w:val="both"/>
        <w:sectPr>
          <w:type w:val="continuous"/>
          <w:pgSz w:w="12250" w:h="15850"/>
          <w:pgMar w:top="1500" w:bottom="280" w:left="1600" w:right="1560"/>
        </w:sectPr>
      </w:pPr>
    </w:p>
    <w:p>
      <w:pPr>
        <w:pStyle w:val="BodyText"/>
        <w:spacing w:before="48"/>
        <w:ind w:left="4089" w:right="132" w:hanging="3983"/>
      </w:pPr>
      <w:bookmarkStart w:name="_bookmark94" w:id="132"/>
      <w:bookmarkEnd w:id="132"/>
      <w:r>
        <w:rPr/>
      </w:r>
      <w:r>
        <w:rPr/>
        <w:t>Cuadro 3. 6: Cambios institucionales en la asignación de los ingresos fiscales gasíferos y no gasíferos</w:t>
      </w:r>
    </w:p>
    <w:p>
      <w:pPr>
        <w:tabs>
          <w:tab w:pos="3367" w:val="left" w:leader="none"/>
          <w:tab w:pos="5756" w:val="left" w:leader="none"/>
          <w:tab w:pos="6001" w:val="left" w:leader="none"/>
          <w:tab w:pos="6460" w:val="left" w:leader="none"/>
          <w:tab w:pos="8839" w:val="left" w:leader="none"/>
        </w:tabs>
        <w:spacing w:line="222" w:lineRule="exact" w:before="0"/>
        <w:ind w:left="3071" w:right="0" w:firstLine="0"/>
        <w:jc w:val="center"/>
        <w:rPr>
          <w:rFonts w:ascii="Constantia" w:hAnsi="Constantia"/>
          <w:b/>
          <w:sz w:val="19"/>
        </w:rPr>
      </w:pPr>
      <w:r>
        <w:rPr>
          <w:rFonts w:ascii="Constantia" w:hAnsi="Constantia"/>
          <w:b/>
          <w:w w:val="102"/>
          <w:sz w:val="19"/>
          <w:u w:val="thick"/>
        </w:rPr>
        <w:t> </w:t>
      </w:r>
      <w:r>
        <w:rPr>
          <w:rFonts w:ascii="Constantia" w:hAnsi="Constantia"/>
          <w:b/>
          <w:sz w:val="19"/>
          <w:u w:val="thick"/>
        </w:rPr>
        <w:tab/>
      </w:r>
      <w:r>
        <w:rPr>
          <w:rFonts w:ascii="Constantia" w:hAnsi="Constantia"/>
          <w:b/>
          <w:spacing w:val="-3"/>
          <w:sz w:val="19"/>
          <w:u w:val="thick"/>
        </w:rPr>
        <w:t>Previa-Nacionalización</w:t>
        <w:tab/>
      </w:r>
      <w:r>
        <w:rPr>
          <w:rFonts w:ascii="Constantia" w:hAnsi="Constantia"/>
          <w:b/>
          <w:spacing w:val="-3"/>
          <w:sz w:val="19"/>
        </w:rPr>
        <w:tab/>
      </w:r>
      <w:r>
        <w:rPr>
          <w:rFonts w:ascii="Constantia" w:hAnsi="Constantia"/>
          <w:b/>
          <w:spacing w:val="-3"/>
          <w:sz w:val="19"/>
          <w:u w:val="thick"/>
        </w:rPr>
        <w:t> </w:t>
        <w:tab/>
        <w:t>Post-Nacionalización</w:t>
        <w:tab/>
      </w:r>
    </w:p>
    <w:p>
      <w:pPr>
        <w:tabs>
          <w:tab w:pos="5997" w:val="left" w:leader="none"/>
        </w:tabs>
        <w:spacing w:before="31" w:after="8"/>
        <w:ind w:left="2965" w:right="0" w:firstLine="0"/>
        <w:jc w:val="center"/>
        <w:rPr>
          <w:rFonts w:ascii="Constantia"/>
          <w:sz w:val="16"/>
        </w:rPr>
      </w:pPr>
      <w:r>
        <w:rPr>
          <w:rFonts w:ascii="Constantia"/>
          <w:sz w:val="16"/>
        </w:rPr>
        <w:t>2003 (T1) -</w:t>
      </w:r>
      <w:r>
        <w:rPr>
          <w:rFonts w:ascii="Constantia"/>
          <w:spacing w:val="20"/>
          <w:sz w:val="16"/>
        </w:rPr>
        <w:t> </w:t>
      </w:r>
      <w:r>
        <w:rPr>
          <w:rFonts w:ascii="Constantia"/>
          <w:sz w:val="16"/>
        </w:rPr>
        <w:t>2006</w:t>
      </w:r>
      <w:r>
        <w:rPr>
          <w:rFonts w:ascii="Constantia"/>
          <w:spacing w:val="11"/>
          <w:sz w:val="16"/>
        </w:rPr>
        <w:t> </w:t>
      </w:r>
      <w:r>
        <w:rPr>
          <w:rFonts w:ascii="Constantia"/>
          <w:sz w:val="16"/>
        </w:rPr>
        <w:t>(T1)</w:t>
        <w:tab/>
        <w:t>2006 (T2) - </w:t>
      </w:r>
      <w:r>
        <w:rPr>
          <w:rFonts w:ascii="Constantia"/>
          <w:spacing w:val="12"/>
          <w:sz w:val="16"/>
        </w:rPr>
        <w:t> </w:t>
      </w:r>
      <w:r>
        <w:rPr>
          <w:rFonts w:ascii="Constantia"/>
          <w:sz w:val="16"/>
        </w:rPr>
        <w:t>2011(T2)</w:t>
      </w:r>
    </w:p>
    <w:p>
      <w:pPr>
        <w:pStyle w:val="BodyText"/>
        <w:ind w:left="130"/>
        <w:rPr>
          <w:rFonts w:ascii="Constantia"/>
          <w:sz w:val="20"/>
        </w:rPr>
      </w:pPr>
      <w:r>
        <w:rPr>
          <w:rFonts w:ascii="Constantia"/>
          <w:sz w:val="20"/>
        </w:rPr>
        <w:pict>
          <v:group style="width:442.05pt;height:13.3pt;mso-position-horizontal-relative:char;mso-position-vertical-relative:line" coordorigin="0,0" coordsize="8841,266">
            <v:rect style="position:absolute;left:11;top:0;width:8830;height:265" filled="true" fillcolor="#b8cce3" stroked="false">
              <v:fill type="solid"/>
            </v:rect>
            <v:shape style="position:absolute;left:6;top:6;width:8830;height:255" type="#_x0000_t202" filled="true" fillcolor="#b8cce3" stroked="true" strokeweight=".509812pt" strokecolor="#000000">
              <v:textbox inset="0,0,0,0">
                <w:txbxContent>
                  <w:p>
                    <w:pPr>
                      <w:spacing w:before="13"/>
                      <w:ind w:left="837" w:right="0" w:firstLine="0"/>
                      <w:jc w:val="left"/>
                      <w:rPr>
                        <w:rFonts w:ascii="Constantia" w:hAnsi="Constantia"/>
                        <w:b/>
                        <w:sz w:val="19"/>
                      </w:rPr>
                    </w:pPr>
                    <w:r>
                      <w:rPr>
                        <w:rFonts w:ascii="Constantia" w:hAnsi="Constantia"/>
                        <w:b/>
                        <w:sz w:val="19"/>
                      </w:rPr>
                      <w:t>Correlación con   la   asignación de ingresos  fiscales gasíferos al gasto de  capital</w:t>
                    </w:r>
                  </w:p>
                </w:txbxContent>
              </v:textbox>
              <v:fill type="solid"/>
              <w10:wrap type="none"/>
            </v:shape>
          </v:group>
        </w:pict>
      </w:r>
      <w:r>
        <w:rPr>
          <w:rFonts w:ascii="Constantia"/>
          <w:sz w:val="20"/>
        </w:rPr>
      </w:r>
    </w:p>
    <w:p>
      <w:pPr>
        <w:tabs>
          <w:tab w:pos="1284" w:val="left" w:leader="none"/>
          <w:tab w:pos="3520" w:val="left" w:leader="none"/>
          <w:tab w:pos="4336" w:val="left" w:leader="none"/>
          <w:tab w:pos="4826" w:val="left" w:leader="none"/>
          <w:tab w:pos="5888" w:val="left" w:leader="none"/>
          <w:tab w:pos="6112" w:val="left" w:leader="none"/>
          <w:tab w:pos="6378" w:val="left" w:leader="none"/>
          <w:tab w:pos="7164" w:val="left" w:leader="none"/>
          <w:tab w:pos="7878" w:val="left" w:leader="none"/>
          <w:tab w:pos="8971" w:val="left" w:leader="none"/>
        </w:tabs>
        <w:spacing w:line="188" w:lineRule="exact" w:before="0"/>
        <w:ind w:left="130" w:right="0" w:firstLine="0"/>
        <w:jc w:val="left"/>
        <w:rPr>
          <w:rFonts w:ascii="Constantia" w:hAnsi="Constantia"/>
          <w:sz w:val="16"/>
        </w:rPr>
      </w:pPr>
      <w:r>
        <w:rPr>
          <w:rFonts w:ascii="Constantia" w:hAnsi="Constantia"/>
          <w:w w:val="102"/>
          <w:position w:val="1"/>
          <w:sz w:val="16"/>
          <w:u w:val="single"/>
        </w:rPr>
        <w:t> </w:t>
      </w:r>
      <w:r>
        <w:rPr>
          <w:rFonts w:ascii="Constantia" w:hAnsi="Constantia"/>
          <w:position w:val="1"/>
          <w:sz w:val="16"/>
          <w:u w:val="single"/>
        </w:rPr>
        <w:tab/>
        <w:t>Elementos</w:t>
        <w:tab/>
      </w:r>
      <w:r>
        <w:rPr>
          <w:rFonts w:ascii="Constantia" w:hAnsi="Constantia"/>
          <w:sz w:val="16"/>
          <w:u w:val="single"/>
        </w:rPr>
        <w:t>HP</w:t>
        <w:tab/>
      </w:r>
      <w:r>
        <w:rPr>
          <w:rFonts w:ascii="Constantia" w:hAnsi="Constantia"/>
          <w:spacing w:val="-3"/>
          <w:sz w:val="16"/>
          <w:u w:val="single"/>
        </w:rPr>
        <w:t>CF</w:t>
        <w:tab/>
      </w:r>
      <w:r>
        <w:rPr>
          <w:rFonts w:ascii="Constantia" w:hAnsi="Constantia"/>
          <w:sz w:val="16"/>
          <w:u w:val="single"/>
        </w:rPr>
        <w:t>Relación</w:t>
        <w:tab/>
      </w:r>
      <w:r>
        <w:rPr>
          <w:rFonts w:ascii="Constantia" w:hAnsi="Constantia"/>
          <w:sz w:val="16"/>
        </w:rPr>
        <w:tab/>
      </w:r>
      <w:r>
        <w:rPr>
          <w:rFonts w:ascii="Constantia" w:hAnsi="Constantia"/>
          <w:sz w:val="16"/>
          <w:u w:val="single"/>
        </w:rPr>
        <w:t> </w:t>
        <w:tab/>
        <w:t>HP</w:t>
        <w:tab/>
      </w:r>
      <w:r>
        <w:rPr>
          <w:rFonts w:ascii="Constantia" w:hAnsi="Constantia"/>
          <w:spacing w:val="-3"/>
          <w:sz w:val="16"/>
          <w:u w:val="single"/>
        </w:rPr>
        <w:t>CF</w:t>
        <w:tab/>
      </w:r>
      <w:r>
        <w:rPr>
          <w:rFonts w:ascii="Constantia" w:hAnsi="Constantia"/>
          <w:sz w:val="16"/>
          <w:u w:val="single"/>
        </w:rPr>
        <w:t>Relación</w:t>
        <w:tab/>
      </w:r>
    </w:p>
    <w:p>
      <w:pPr>
        <w:spacing w:line="179" w:lineRule="exact" w:before="19"/>
        <w:ind w:left="171" w:right="115" w:firstLine="0"/>
        <w:jc w:val="left"/>
        <w:rPr>
          <w:rFonts w:ascii="Constantia" w:hAnsi="Constantia"/>
          <w:sz w:val="16"/>
        </w:rPr>
      </w:pPr>
      <w:r>
        <w:rPr>
          <w:rFonts w:ascii="Constantia" w:hAnsi="Constantia"/>
          <w:sz w:val="16"/>
        </w:rPr>
        <w:t>Asignación de Ing. Fisc. No  Gasíf.</w:t>
      </w:r>
    </w:p>
    <w:p>
      <w:pPr>
        <w:tabs>
          <w:tab w:pos="3407" w:val="left" w:leader="none"/>
          <w:tab w:pos="4214" w:val="left" w:leader="none"/>
          <w:tab w:pos="6265" w:val="left" w:leader="none"/>
          <w:tab w:pos="7041" w:val="left" w:leader="none"/>
          <w:tab w:pos="7878" w:val="left" w:leader="none"/>
        </w:tabs>
        <w:spacing w:line="179" w:lineRule="exact" w:before="0"/>
        <w:ind w:left="171" w:right="115" w:firstLine="0"/>
        <w:jc w:val="left"/>
        <w:rPr>
          <w:rFonts w:ascii="Constantia" w:hAnsi="Constantia"/>
          <w:sz w:val="16"/>
        </w:rPr>
      </w:pPr>
      <w:r>
        <w:rPr>
          <w:rFonts w:ascii="Constantia" w:hAnsi="Constantia"/>
          <w:sz w:val="12"/>
        </w:rPr>
        <w:t>(Gasto corriente / Ingresos fisc.</w:t>
      </w:r>
      <w:r>
        <w:rPr>
          <w:rFonts w:ascii="Constantia" w:hAnsi="Constantia"/>
          <w:spacing w:val="12"/>
          <w:sz w:val="12"/>
        </w:rPr>
        <w:t> </w:t>
      </w:r>
      <w:r>
        <w:rPr>
          <w:rFonts w:ascii="Constantia" w:hAnsi="Constantia"/>
          <w:sz w:val="12"/>
        </w:rPr>
        <w:t>No</w:t>
      </w:r>
      <w:r>
        <w:rPr>
          <w:rFonts w:ascii="Constantia" w:hAnsi="Constantia"/>
          <w:spacing w:val="-3"/>
          <w:sz w:val="12"/>
        </w:rPr>
        <w:t> </w:t>
      </w:r>
      <w:r>
        <w:rPr>
          <w:rFonts w:ascii="Constantia" w:hAnsi="Constantia"/>
          <w:sz w:val="12"/>
        </w:rPr>
        <w:t>Gasíf.)</w:t>
        <w:tab/>
      </w:r>
      <w:r>
        <w:rPr>
          <w:rFonts w:ascii="Constantia" w:hAnsi="Constantia"/>
          <w:position w:val="1"/>
          <w:sz w:val="16"/>
        </w:rPr>
        <w:t>-0.56*</w:t>
        <w:tab/>
        <w:t>-0.59*     Negativa</w:t>
        <w:tab/>
        <w:t>0.56**</w:t>
        <w:tab/>
        <w:t>0.59**</w:t>
        <w:tab/>
        <w:t>Positiva</w:t>
      </w:r>
    </w:p>
    <w:p>
      <w:pPr>
        <w:tabs>
          <w:tab w:pos="3427" w:val="left" w:leader="none"/>
          <w:tab w:pos="3458" w:val="left" w:leader="none"/>
          <w:tab w:pos="4234" w:val="left" w:leader="none"/>
          <w:tab w:pos="4826" w:val="left" w:leader="none"/>
          <w:tab w:pos="6235" w:val="left" w:leader="none"/>
          <w:tab w:pos="7000" w:val="left" w:leader="none"/>
          <w:tab w:pos="7878" w:val="left" w:leader="none"/>
        </w:tabs>
        <w:spacing w:line="288" w:lineRule="auto" w:before="29"/>
        <w:ind w:left="171" w:right="563" w:firstLine="0"/>
        <w:jc w:val="left"/>
        <w:rPr>
          <w:rFonts w:ascii="Constantia" w:hAnsi="Constantia"/>
          <w:sz w:val="16"/>
        </w:rPr>
      </w:pPr>
      <w:r>
        <w:rPr>
          <w:rFonts w:ascii="Constantia" w:hAnsi="Constantia"/>
          <w:position w:val="1"/>
          <w:sz w:val="16"/>
        </w:rPr>
        <w:t>Balance</w:t>
      </w:r>
      <w:r>
        <w:rPr>
          <w:rFonts w:ascii="Constantia" w:hAnsi="Constantia"/>
          <w:spacing w:val="14"/>
          <w:position w:val="1"/>
          <w:sz w:val="16"/>
        </w:rPr>
        <w:t> </w:t>
      </w:r>
      <w:r>
        <w:rPr>
          <w:rFonts w:ascii="Constantia" w:hAnsi="Constantia"/>
          <w:position w:val="1"/>
          <w:sz w:val="16"/>
        </w:rPr>
        <w:t>primario/</w:t>
      </w:r>
      <w:r>
        <w:rPr>
          <w:rFonts w:ascii="Constantia" w:hAnsi="Constantia"/>
          <w:spacing w:val="4"/>
          <w:position w:val="1"/>
          <w:sz w:val="16"/>
        </w:rPr>
        <w:t> </w:t>
      </w:r>
      <w:r>
        <w:rPr>
          <w:rFonts w:ascii="Constantia" w:hAnsi="Constantia"/>
          <w:spacing w:val="-3"/>
          <w:position w:val="1"/>
          <w:sz w:val="16"/>
        </w:rPr>
        <w:t>PIB</w:t>
        <w:tab/>
      </w:r>
      <w:r>
        <w:rPr>
          <w:rFonts w:ascii="Constantia" w:hAnsi="Constantia"/>
          <w:sz w:val="16"/>
        </w:rPr>
        <w:t>-0.25</w:t>
        <w:tab/>
        <w:t>-0.27</w:t>
        <w:tab/>
        <w:t>N.S.</w:t>
        <w:tab/>
        <w:t>-0.91**</w:t>
        <w:tab/>
        <w:t>-0.96**</w:t>
        <w:tab/>
        <w:t>Negativa </w:t>
      </w:r>
      <w:r>
        <w:rPr>
          <w:rFonts w:ascii="Constantia" w:hAnsi="Constantia"/>
          <w:position w:val="2"/>
          <w:sz w:val="16"/>
        </w:rPr>
        <w:t>Balance primario no</w:t>
      </w:r>
      <w:r>
        <w:rPr>
          <w:rFonts w:ascii="Constantia" w:hAnsi="Constantia"/>
          <w:spacing w:val="34"/>
          <w:position w:val="2"/>
          <w:sz w:val="16"/>
        </w:rPr>
        <w:t> </w:t>
      </w:r>
      <w:r>
        <w:rPr>
          <w:rFonts w:ascii="Constantia" w:hAnsi="Constantia"/>
          <w:position w:val="2"/>
          <w:sz w:val="16"/>
        </w:rPr>
        <w:t>gasíf./</w:t>
      </w:r>
      <w:r>
        <w:rPr>
          <w:rFonts w:ascii="Constantia" w:hAnsi="Constantia"/>
          <w:spacing w:val="2"/>
          <w:position w:val="2"/>
          <w:sz w:val="16"/>
        </w:rPr>
        <w:t> </w:t>
      </w:r>
      <w:r>
        <w:rPr>
          <w:rFonts w:ascii="Constantia" w:hAnsi="Constantia"/>
          <w:spacing w:val="-3"/>
          <w:position w:val="2"/>
          <w:sz w:val="16"/>
        </w:rPr>
        <w:t>PIB</w:t>
        <w:tab/>
        <w:tab/>
      </w:r>
      <w:r>
        <w:rPr>
          <w:rFonts w:ascii="Constantia" w:hAnsi="Constantia"/>
          <w:sz w:val="16"/>
        </w:rPr>
        <w:t>0.47</w:t>
        <w:tab/>
        <w:t>0.47</w:t>
        <w:tab/>
        <w:t>N.S.</w:t>
        <w:tab/>
        <w:t>-0.57**</w:t>
        <w:tab/>
        <w:t>-0.59**</w:t>
        <w:tab/>
        <w:t>Negativa</w:t>
      </w:r>
    </w:p>
    <w:p>
      <w:pPr>
        <w:tabs>
          <w:tab w:pos="3458" w:val="left" w:leader="none"/>
          <w:tab w:pos="4275" w:val="left" w:leader="none"/>
          <w:tab w:pos="4826" w:val="left" w:leader="none"/>
          <w:tab w:pos="5878" w:val="left" w:leader="none"/>
          <w:tab w:pos="6122" w:val="left" w:leader="none"/>
          <w:tab w:pos="7072" w:val="left" w:leader="none"/>
          <w:tab w:pos="7878" w:val="left" w:leader="none"/>
          <w:tab w:pos="8960" w:val="left" w:leader="none"/>
        </w:tabs>
        <w:spacing w:line="202" w:lineRule="exact" w:before="0"/>
        <w:ind w:left="141" w:right="0" w:firstLine="0"/>
        <w:jc w:val="left"/>
        <w:rPr>
          <w:rFonts w:ascii="Constantia" w:hAnsi="Constantia"/>
          <w:sz w:val="16"/>
        </w:rPr>
      </w:pPr>
      <w:r>
        <w:rPr>
          <w:rFonts w:ascii="Constantia" w:hAnsi="Constantia"/>
          <w:spacing w:val="-11"/>
          <w:w w:val="102"/>
          <w:position w:val="1"/>
          <w:sz w:val="16"/>
          <w:u w:val="thick"/>
        </w:rPr>
        <w:t> </w:t>
      </w:r>
      <w:r>
        <w:rPr>
          <w:rFonts w:ascii="Constantia" w:hAnsi="Constantia"/>
          <w:position w:val="1"/>
          <w:sz w:val="16"/>
          <w:u w:val="thick"/>
        </w:rPr>
        <w:t>Deuda</w:t>
      </w:r>
      <w:r>
        <w:rPr>
          <w:rFonts w:ascii="Constantia" w:hAnsi="Constantia"/>
          <w:spacing w:val="10"/>
          <w:position w:val="1"/>
          <w:sz w:val="16"/>
          <w:u w:val="thick"/>
        </w:rPr>
        <w:t> </w:t>
      </w:r>
      <w:r>
        <w:rPr>
          <w:rFonts w:ascii="Constantia" w:hAnsi="Constantia"/>
          <w:position w:val="1"/>
          <w:sz w:val="16"/>
          <w:u w:val="thick"/>
        </w:rPr>
        <w:t>pública/</w:t>
      </w:r>
      <w:r>
        <w:rPr>
          <w:rFonts w:ascii="Constantia" w:hAnsi="Constantia"/>
          <w:spacing w:val="1"/>
          <w:position w:val="1"/>
          <w:sz w:val="16"/>
          <w:u w:val="thick"/>
        </w:rPr>
        <w:t> </w:t>
      </w:r>
      <w:r>
        <w:rPr>
          <w:rFonts w:ascii="Constantia" w:hAnsi="Constantia"/>
          <w:spacing w:val="-3"/>
          <w:position w:val="1"/>
          <w:sz w:val="16"/>
          <w:u w:val="thick"/>
        </w:rPr>
        <w:t>PIB</w:t>
        <w:tab/>
      </w:r>
      <w:r>
        <w:rPr>
          <w:rFonts w:ascii="Constantia" w:hAnsi="Constantia"/>
          <w:sz w:val="16"/>
          <w:u w:val="thick"/>
        </w:rPr>
        <w:t>0.29</w:t>
        <w:tab/>
        <w:t>0.51</w:t>
        <w:tab/>
        <w:t>N.S.</w:t>
        <w:tab/>
      </w:r>
      <w:r>
        <w:rPr>
          <w:rFonts w:ascii="Constantia" w:hAnsi="Constantia"/>
          <w:sz w:val="16"/>
        </w:rPr>
        <w:tab/>
      </w:r>
      <w:r>
        <w:rPr>
          <w:rFonts w:ascii="Constantia" w:hAnsi="Constantia"/>
          <w:sz w:val="16"/>
          <w:u w:val="thick"/>
        </w:rPr>
        <w:t>0.25</w:t>
        <w:tab/>
        <w:t>0.46*</w:t>
        <w:tab/>
        <w:t>Ambigua</w:t>
        <w:tab/>
      </w:r>
    </w:p>
    <w:p>
      <w:pPr>
        <w:pStyle w:val="BodyText"/>
        <w:spacing w:before="9"/>
        <w:rPr>
          <w:rFonts w:ascii="Constantia"/>
          <w:sz w:val="15"/>
        </w:rPr>
      </w:pPr>
      <w:r>
        <w:rPr/>
        <w:pict>
          <v:group style="position:absolute;margin-left:86.529907pt;margin-top:11.600896pt;width:442.05pt;height:13.35pt;mso-position-horizontal-relative:page;mso-position-vertical-relative:paragraph;z-index:10288;mso-wrap-distance-left:0;mso-wrap-distance-right:0" coordorigin="1731,232" coordsize="8841,267">
            <v:rect style="position:absolute;left:1741;top:232;width:8830;height:266" filled="true" fillcolor="#b8cce3" stroked="false">
              <v:fill type="solid"/>
            </v:rect>
            <v:shape style="position:absolute;left:1736;top:238;width:8830;height:256" type="#_x0000_t202" filled="true" fillcolor="#b8cce3" stroked="true" strokeweight=".509812pt" strokecolor="#000000">
              <v:textbox inset="0,0,0,0">
                <w:txbxContent>
                  <w:p>
                    <w:pPr>
                      <w:spacing w:before="13"/>
                      <w:ind w:left="571" w:right="0" w:firstLine="0"/>
                      <w:jc w:val="left"/>
                      <w:rPr>
                        <w:rFonts w:ascii="Constantia" w:hAnsi="Constantia"/>
                        <w:b/>
                        <w:sz w:val="19"/>
                      </w:rPr>
                    </w:pPr>
                    <w:r>
                      <w:rPr>
                        <w:rFonts w:ascii="Constantia" w:hAnsi="Constantia"/>
                        <w:b/>
                        <w:sz w:val="19"/>
                      </w:rPr>
                      <w:t>Correlación con la administración de ingresos  fiscales no gasíferos al    gasto corriente</w:t>
                    </w:r>
                  </w:p>
                </w:txbxContent>
              </v:textbox>
              <v:fill type="solid"/>
              <w10:wrap type="none"/>
            </v:shape>
            <w10:wrap type="topAndBottom"/>
          </v:group>
        </w:pict>
      </w:r>
    </w:p>
    <w:p>
      <w:pPr>
        <w:tabs>
          <w:tab w:pos="1284" w:val="left" w:leader="none"/>
          <w:tab w:pos="3366" w:val="left" w:leader="none"/>
          <w:tab w:pos="3520" w:val="left" w:leader="none"/>
          <w:tab w:pos="4193" w:val="left" w:leader="none"/>
          <w:tab w:pos="4336" w:val="left" w:leader="none"/>
          <w:tab w:pos="4826" w:val="left" w:leader="none"/>
          <w:tab w:pos="5888" w:val="left" w:leader="none"/>
          <w:tab w:pos="6112" w:val="left" w:leader="none"/>
          <w:tab w:pos="6235" w:val="left" w:leader="none"/>
          <w:tab w:pos="6378" w:val="left" w:leader="none"/>
          <w:tab w:pos="7011" w:val="left" w:leader="none"/>
          <w:tab w:pos="7164" w:val="left" w:leader="none"/>
          <w:tab w:pos="7878" w:val="left" w:leader="none"/>
          <w:tab w:pos="8971" w:val="left" w:leader="none"/>
        </w:tabs>
        <w:spacing w:line="264" w:lineRule="auto" w:before="0"/>
        <w:ind w:left="171" w:right="109" w:hanging="41"/>
        <w:jc w:val="left"/>
        <w:rPr>
          <w:rFonts w:ascii="Constantia" w:hAnsi="Constantia"/>
          <w:sz w:val="16"/>
        </w:rPr>
      </w:pPr>
      <w:r>
        <w:rPr>
          <w:rFonts w:ascii="Constantia" w:hAnsi="Constantia"/>
          <w:w w:val="102"/>
          <w:sz w:val="16"/>
          <w:u w:val="single"/>
        </w:rPr>
        <w:t> </w:t>
      </w:r>
      <w:r>
        <w:rPr>
          <w:rFonts w:ascii="Constantia" w:hAnsi="Constantia"/>
          <w:sz w:val="16"/>
          <w:u w:val="single"/>
        </w:rPr>
        <w:tab/>
        <w:t>Elementos</w:t>
        <w:tab/>
        <w:tab/>
        <w:t>HP</w:t>
        <w:tab/>
        <w:tab/>
      </w:r>
      <w:r>
        <w:rPr>
          <w:rFonts w:ascii="Constantia" w:hAnsi="Constantia"/>
          <w:spacing w:val="-3"/>
          <w:sz w:val="16"/>
          <w:u w:val="single"/>
        </w:rPr>
        <w:t>CF</w:t>
        <w:tab/>
      </w:r>
      <w:r>
        <w:rPr>
          <w:rFonts w:ascii="Constantia" w:hAnsi="Constantia"/>
          <w:sz w:val="16"/>
          <w:u w:val="single"/>
        </w:rPr>
        <w:t>Relación</w:t>
        <w:tab/>
      </w:r>
      <w:r>
        <w:rPr>
          <w:rFonts w:ascii="Constantia" w:hAnsi="Constantia"/>
          <w:sz w:val="16"/>
        </w:rPr>
        <w:tab/>
      </w:r>
      <w:r>
        <w:rPr>
          <w:rFonts w:ascii="Constantia" w:hAnsi="Constantia"/>
          <w:sz w:val="16"/>
          <w:u w:val="single"/>
        </w:rPr>
        <w:t> </w:t>
        <w:tab/>
        <w:tab/>
        <w:t>HP</w:t>
        <w:tab/>
        <w:tab/>
      </w:r>
      <w:r>
        <w:rPr>
          <w:rFonts w:ascii="Constantia" w:hAnsi="Constantia"/>
          <w:spacing w:val="-3"/>
          <w:sz w:val="16"/>
          <w:u w:val="single"/>
        </w:rPr>
        <w:t>CF</w:t>
        <w:tab/>
      </w:r>
      <w:r>
        <w:rPr>
          <w:rFonts w:ascii="Constantia" w:hAnsi="Constantia"/>
          <w:sz w:val="16"/>
          <w:u w:val="single"/>
        </w:rPr>
        <w:t>Relación</w:t>
        <w:tab/>
      </w:r>
      <w:r>
        <w:rPr>
          <w:rFonts w:ascii="Constantia" w:hAnsi="Constantia"/>
          <w:sz w:val="16"/>
        </w:rPr>
        <w:t> Balance</w:t>
      </w:r>
      <w:r>
        <w:rPr>
          <w:rFonts w:ascii="Constantia" w:hAnsi="Constantia"/>
          <w:spacing w:val="6"/>
          <w:sz w:val="16"/>
        </w:rPr>
        <w:t> </w:t>
      </w:r>
      <w:r>
        <w:rPr>
          <w:rFonts w:ascii="Constantia" w:hAnsi="Constantia"/>
          <w:sz w:val="16"/>
        </w:rPr>
        <w:t>primario/</w:t>
      </w:r>
      <w:r>
        <w:rPr>
          <w:rFonts w:ascii="Constantia" w:hAnsi="Constantia"/>
          <w:spacing w:val="-2"/>
          <w:sz w:val="16"/>
        </w:rPr>
        <w:t> </w:t>
      </w:r>
      <w:r>
        <w:rPr>
          <w:rFonts w:ascii="Constantia" w:hAnsi="Constantia"/>
          <w:spacing w:val="-3"/>
          <w:sz w:val="16"/>
        </w:rPr>
        <w:t>PIB</w:t>
        <w:tab/>
      </w:r>
      <w:r>
        <w:rPr>
          <w:rFonts w:ascii="Constantia" w:hAnsi="Constantia"/>
          <w:sz w:val="16"/>
        </w:rPr>
        <w:t>-0.65*</w:t>
        <w:tab/>
        <w:t>-0.59*    </w:t>
      </w:r>
      <w:r>
        <w:rPr>
          <w:rFonts w:ascii="Constantia" w:hAnsi="Constantia"/>
          <w:spacing w:val="34"/>
          <w:sz w:val="16"/>
        </w:rPr>
        <w:t> </w:t>
      </w:r>
      <w:r>
        <w:rPr>
          <w:rFonts w:ascii="Constantia" w:hAnsi="Constantia"/>
          <w:sz w:val="16"/>
        </w:rPr>
        <w:t>Negativa</w:t>
        <w:tab/>
        <w:tab/>
        <w:tab/>
        <w:t>-0.74**</w:t>
        <w:tab/>
        <w:t>-0.65**</w:t>
        <w:tab/>
        <w:t>Negativa Balance primario no </w:t>
      </w:r>
      <w:r>
        <w:rPr>
          <w:rFonts w:ascii="Constantia" w:hAnsi="Constantia"/>
          <w:spacing w:val="3"/>
          <w:sz w:val="16"/>
        </w:rPr>
        <w:t> </w:t>
      </w:r>
      <w:r>
        <w:rPr>
          <w:rFonts w:ascii="Constantia" w:hAnsi="Constantia"/>
          <w:sz w:val="16"/>
        </w:rPr>
        <w:t>gasíf./</w:t>
      </w:r>
      <w:r>
        <w:rPr>
          <w:rFonts w:ascii="Constantia" w:hAnsi="Constantia"/>
          <w:spacing w:val="5"/>
          <w:sz w:val="16"/>
        </w:rPr>
        <w:t> </w:t>
      </w:r>
      <w:r>
        <w:rPr>
          <w:rFonts w:ascii="Constantia" w:hAnsi="Constantia"/>
          <w:spacing w:val="-3"/>
          <w:sz w:val="16"/>
        </w:rPr>
        <w:t>PIB</w:t>
        <w:tab/>
      </w:r>
      <w:r>
        <w:rPr>
          <w:rFonts w:ascii="Constantia" w:hAnsi="Constantia"/>
          <w:sz w:val="16"/>
        </w:rPr>
        <w:t>-0.99**</w:t>
        <w:tab/>
        <w:t>0.99**   </w:t>
      </w:r>
      <w:r>
        <w:rPr>
          <w:rFonts w:ascii="Constantia" w:hAnsi="Constantia"/>
          <w:spacing w:val="39"/>
          <w:sz w:val="16"/>
        </w:rPr>
        <w:t> </w:t>
      </w:r>
      <w:r>
        <w:rPr>
          <w:rFonts w:ascii="Constantia" w:hAnsi="Constantia"/>
          <w:sz w:val="16"/>
        </w:rPr>
        <w:t>Negativa</w:t>
        <w:tab/>
        <w:tab/>
        <w:tab/>
        <w:t>-0.95**</w:t>
        <w:tab/>
        <w:t>-0.95**</w:t>
        <w:tab/>
        <w:t>Negativa</w:t>
      </w:r>
    </w:p>
    <w:p>
      <w:pPr>
        <w:tabs>
          <w:tab w:pos="3407" w:val="left" w:leader="none"/>
          <w:tab w:pos="4173" w:val="left" w:leader="none"/>
          <w:tab w:pos="5878" w:val="left" w:leader="none"/>
          <w:tab w:pos="6122" w:val="left" w:leader="none"/>
          <w:tab w:pos="7052" w:val="left" w:leader="none"/>
          <w:tab w:pos="7878" w:val="left" w:leader="none"/>
          <w:tab w:pos="8960" w:val="left" w:leader="none"/>
        </w:tabs>
        <w:spacing w:line="195" w:lineRule="exact" w:before="0"/>
        <w:ind w:left="141" w:right="0" w:firstLine="0"/>
        <w:jc w:val="left"/>
        <w:rPr>
          <w:rFonts w:ascii="Constantia" w:hAnsi="Constantia"/>
          <w:sz w:val="16"/>
        </w:rPr>
      </w:pPr>
      <w:r>
        <w:rPr>
          <w:rFonts w:ascii="Constantia" w:hAnsi="Constantia"/>
          <w:spacing w:val="-11"/>
          <w:w w:val="102"/>
          <w:sz w:val="16"/>
          <w:u w:val="thick"/>
        </w:rPr>
        <w:t> </w:t>
      </w:r>
      <w:r>
        <w:rPr>
          <w:rFonts w:ascii="Constantia" w:hAnsi="Constantia"/>
          <w:sz w:val="16"/>
          <w:u w:val="thick"/>
        </w:rPr>
        <w:t>Deuda</w:t>
      </w:r>
      <w:r>
        <w:rPr>
          <w:rFonts w:ascii="Constantia" w:hAnsi="Constantia"/>
          <w:spacing w:val="10"/>
          <w:sz w:val="16"/>
          <w:u w:val="thick"/>
        </w:rPr>
        <w:t> </w:t>
      </w:r>
      <w:r>
        <w:rPr>
          <w:rFonts w:ascii="Constantia" w:hAnsi="Constantia"/>
          <w:sz w:val="16"/>
          <w:u w:val="thick"/>
        </w:rPr>
        <w:t>pública/</w:t>
      </w:r>
      <w:r>
        <w:rPr>
          <w:rFonts w:ascii="Constantia" w:hAnsi="Constantia"/>
          <w:spacing w:val="2"/>
          <w:sz w:val="16"/>
          <w:u w:val="thick"/>
        </w:rPr>
        <w:t> </w:t>
      </w:r>
      <w:r>
        <w:rPr>
          <w:rFonts w:ascii="Constantia" w:hAnsi="Constantia"/>
          <w:spacing w:val="-3"/>
          <w:sz w:val="16"/>
          <w:u w:val="thick"/>
        </w:rPr>
        <w:t>PIB</w:t>
        <w:tab/>
      </w:r>
      <w:r>
        <w:rPr>
          <w:rFonts w:ascii="Constantia" w:hAnsi="Constantia"/>
          <w:sz w:val="16"/>
          <w:u w:val="thick"/>
        </w:rPr>
        <w:t>-0.61*</w:t>
        <w:tab/>
        <w:t>-0.84**  </w:t>
      </w:r>
      <w:r>
        <w:rPr>
          <w:rFonts w:ascii="Constantia" w:hAnsi="Constantia"/>
          <w:spacing w:val="23"/>
          <w:sz w:val="16"/>
          <w:u w:val="thick"/>
        </w:rPr>
        <w:t> </w:t>
      </w:r>
      <w:r>
        <w:rPr>
          <w:rFonts w:ascii="Constantia" w:hAnsi="Constantia"/>
          <w:sz w:val="16"/>
          <w:u w:val="thick"/>
        </w:rPr>
        <w:t>Negativa</w:t>
        <w:tab/>
      </w:r>
      <w:r>
        <w:rPr>
          <w:rFonts w:ascii="Constantia" w:hAnsi="Constantia"/>
          <w:sz w:val="16"/>
        </w:rPr>
        <w:tab/>
      </w:r>
      <w:r>
        <w:rPr>
          <w:rFonts w:ascii="Constantia" w:hAnsi="Constantia"/>
          <w:sz w:val="16"/>
          <w:u w:val="thick"/>
        </w:rPr>
        <w:t>-0.41</w:t>
        <w:tab/>
        <w:t>-0.35</w:t>
        <w:tab/>
        <w:t>N.S.</w:t>
        <w:tab/>
      </w:r>
    </w:p>
    <w:p>
      <w:pPr>
        <w:pStyle w:val="BodyText"/>
        <w:spacing w:before="10"/>
        <w:rPr>
          <w:rFonts w:ascii="Constantia"/>
          <w:sz w:val="15"/>
        </w:rPr>
      </w:pPr>
      <w:r>
        <w:rPr/>
        <w:pict>
          <v:group style="position:absolute;margin-left:86.529907pt;margin-top:11.616186pt;width:442.05pt;height:13.3pt;mso-position-horizontal-relative:page;mso-position-vertical-relative:paragraph;z-index:10336;mso-wrap-distance-left:0;mso-wrap-distance-right:0" coordorigin="1731,232" coordsize="8841,266">
            <v:rect style="position:absolute;left:1741;top:233;width:8830;height:265" filled="true" fillcolor="#b8cce3" stroked="false">
              <v:fill type="solid"/>
            </v:rect>
            <v:shape style="position:absolute;left:1736;top:238;width:8830;height:255" type="#_x0000_t202" filled="true" fillcolor="#b8cce3" stroked="true" strokeweight=".509812pt" strokecolor="#000000">
              <v:textbox inset="0,0,0,0">
                <w:txbxContent>
                  <w:p>
                    <w:pPr>
                      <w:spacing w:before="13"/>
                      <w:ind w:left="2021" w:right="0" w:firstLine="0"/>
                      <w:jc w:val="left"/>
                      <w:rPr>
                        <w:rFonts w:ascii="Constantia" w:hAnsi="Constantia"/>
                        <w:b/>
                        <w:sz w:val="19"/>
                      </w:rPr>
                    </w:pPr>
                    <w:r>
                      <w:rPr>
                        <w:rFonts w:ascii="Constantia" w:hAnsi="Constantia"/>
                        <w:b/>
                        <w:sz w:val="19"/>
                      </w:rPr>
                      <w:t>Correlación con el balance primario no gasífero/  PIB</w:t>
                    </w:r>
                  </w:p>
                </w:txbxContent>
              </v:textbox>
              <v:fill type="solid"/>
              <w10:wrap type="none"/>
            </v:shape>
            <w10:wrap type="topAndBottom"/>
          </v:group>
        </w:pict>
      </w:r>
    </w:p>
    <w:p>
      <w:pPr>
        <w:tabs>
          <w:tab w:pos="1284" w:val="left" w:leader="none"/>
          <w:tab w:pos="3407" w:val="left" w:leader="none"/>
          <w:tab w:pos="3520" w:val="left" w:leader="none"/>
          <w:tab w:pos="4203" w:val="left" w:leader="none"/>
          <w:tab w:pos="4336" w:val="left" w:leader="none"/>
          <w:tab w:pos="4826" w:val="left" w:leader="none"/>
          <w:tab w:pos="5888" w:val="left" w:leader="none"/>
          <w:tab w:pos="6112" w:val="left" w:leader="none"/>
          <w:tab w:pos="6265" w:val="left" w:leader="none"/>
          <w:tab w:pos="6378" w:val="left" w:leader="none"/>
          <w:tab w:pos="7031" w:val="left" w:leader="none"/>
          <w:tab w:pos="7164" w:val="left" w:leader="none"/>
          <w:tab w:pos="7878" w:val="left" w:leader="none"/>
          <w:tab w:pos="8971" w:val="left" w:leader="none"/>
        </w:tabs>
        <w:spacing w:line="264" w:lineRule="auto" w:before="0"/>
        <w:ind w:left="171" w:right="109" w:hanging="41"/>
        <w:jc w:val="left"/>
        <w:rPr>
          <w:rFonts w:ascii="Constantia" w:hAnsi="Constantia"/>
          <w:sz w:val="16"/>
        </w:rPr>
      </w:pPr>
      <w:r>
        <w:rPr>
          <w:rFonts w:ascii="Constantia" w:hAnsi="Constantia"/>
          <w:w w:val="102"/>
          <w:sz w:val="16"/>
          <w:u w:val="single"/>
        </w:rPr>
        <w:t> </w:t>
      </w:r>
      <w:r>
        <w:rPr>
          <w:rFonts w:ascii="Constantia" w:hAnsi="Constantia"/>
          <w:sz w:val="16"/>
          <w:u w:val="single"/>
        </w:rPr>
        <w:tab/>
        <w:t>Elementos</w:t>
        <w:tab/>
        <w:tab/>
        <w:t>HP</w:t>
        <w:tab/>
        <w:tab/>
      </w:r>
      <w:r>
        <w:rPr>
          <w:rFonts w:ascii="Constantia" w:hAnsi="Constantia"/>
          <w:spacing w:val="-3"/>
          <w:sz w:val="16"/>
          <w:u w:val="single"/>
        </w:rPr>
        <w:t>CF</w:t>
        <w:tab/>
      </w:r>
      <w:r>
        <w:rPr>
          <w:rFonts w:ascii="Constantia" w:hAnsi="Constantia"/>
          <w:sz w:val="16"/>
          <w:u w:val="single"/>
        </w:rPr>
        <w:t>Relación</w:t>
        <w:tab/>
      </w:r>
      <w:r>
        <w:rPr>
          <w:rFonts w:ascii="Constantia" w:hAnsi="Constantia"/>
          <w:sz w:val="16"/>
        </w:rPr>
        <w:tab/>
      </w:r>
      <w:r>
        <w:rPr>
          <w:rFonts w:ascii="Constantia" w:hAnsi="Constantia"/>
          <w:sz w:val="16"/>
          <w:u w:val="single"/>
        </w:rPr>
        <w:t> </w:t>
        <w:tab/>
        <w:tab/>
        <w:t>HP</w:t>
        <w:tab/>
        <w:tab/>
      </w:r>
      <w:r>
        <w:rPr>
          <w:rFonts w:ascii="Constantia" w:hAnsi="Constantia"/>
          <w:spacing w:val="-3"/>
          <w:sz w:val="16"/>
          <w:u w:val="single"/>
        </w:rPr>
        <w:t>CF</w:t>
        <w:tab/>
      </w:r>
      <w:r>
        <w:rPr>
          <w:rFonts w:ascii="Constantia" w:hAnsi="Constantia"/>
          <w:sz w:val="16"/>
          <w:u w:val="single"/>
        </w:rPr>
        <w:t>Relación</w:t>
        <w:tab/>
      </w:r>
      <w:r>
        <w:rPr>
          <w:rFonts w:ascii="Constantia" w:hAnsi="Constantia"/>
          <w:sz w:val="16"/>
        </w:rPr>
        <w:t> Balance</w:t>
      </w:r>
      <w:r>
        <w:rPr>
          <w:rFonts w:ascii="Constantia" w:hAnsi="Constantia"/>
          <w:spacing w:val="26"/>
          <w:sz w:val="16"/>
        </w:rPr>
        <w:t> </w:t>
      </w:r>
      <w:r>
        <w:rPr>
          <w:rFonts w:ascii="Constantia" w:hAnsi="Constantia"/>
          <w:sz w:val="16"/>
        </w:rPr>
        <w:t>primario/</w:t>
      </w:r>
      <w:r>
        <w:rPr>
          <w:rFonts w:ascii="Constantia" w:hAnsi="Constantia"/>
          <w:spacing w:val="16"/>
          <w:sz w:val="16"/>
        </w:rPr>
        <w:t> </w:t>
      </w:r>
      <w:r>
        <w:rPr>
          <w:rFonts w:ascii="Constantia" w:hAnsi="Constantia"/>
          <w:spacing w:val="-3"/>
          <w:sz w:val="16"/>
        </w:rPr>
        <w:t>PIB</w:t>
        <w:tab/>
      </w:r>
      <w:r>
        <w:rPr>
          <w:rFonts w:ascii="Constantia" w:hAnsi="Constantia"/>
          <w:sz w:val="16"/>
        </w:rPr>
        <w:t>0.70**</w:t>
        <w:tab/>
        <w:t>0.69**   </w:t>
      </w:r>
      <w:r>
        <w:rPr>
          <w:rFonts w:ascii="Constantia" w:hAnsi="Constantia"/>
          <w:spacing w:val="35"/>
          <w:sz w:val="16"/>
        </w:rPr>
        <w:t> </w:t>
      </w:r>
      <w:r>
        <w:rPr>
          <w:rFonts w:ascii="Constantia" w:hAnsi="Constantia"/>
          <w:sz w:val="16"/>
        </w:rPr>
        <w:t>Positiva</w:t>
        <w:tab/>
        <w:tab/>
        <w:tab/>
        <w:t>0.70**</w:t>
        <w:tab/>
        <w:t>0.64**</w:t>
        <w:tab/>
        <w:t>Positiva</w:t>
      </w:r>
    </w:p>
    <w:p>
      <w:pPr>
        <w:tabs>
          <w:tab w:pos="3417" w:val="left" w:leader="none"/>
          <w:tab w:pos="4224" w:val="left" w:leader="none"/>
          <w:tab w:pos="4826" w:val="left" w:leader="none"/>
          <w:tab w:pos="5878" w:val="left" w:leader="none"/>
          <w:tab w:pos="6122" w:val="left" w:leader="none"/>
          <w:tab w:pos="7072" w:val="left" w:leader="none"/>
          <w:tab w:pos="7878" w:val="left" w:leader="none"/>
          <w:tab w:pos="8960" w:val="left" w:leader="none"/>
        </w:tabs>
        <w:spacing w:line="288" w:lineRule="auto" w:before="0"/>
        <w:ind w:left="171" w:right="119" w:hanging="31"/>
        <w:jc w:val="left"/>
        <w:rPr>
          <w:rFonts w:ascii="Constantia" w:hAnsi="Constantia"/>
          <w:sz w:val="16"/>
        </w:rPr>
      </w:pPr>
      <w:r>
        <w:rPr>
          <w:rFonts w:ascii="Constantia" w:hAnsi="Constantia"/>
          <w:spacing w:val="-11"/>
          <w:w w:val="102"/>
          <w:sz w:val="16"/>
          <w:u w:val="thick"/>
        </w:rPr>
        <w:t> </w:t>
      </w:r>
      <w:r>
        <w:rPr>
          <w:rFonts w:ascii="Constantia" w:hAnsi="Constantia"/>
          <w:sz w:val="16"/>
          <w:u w:val="thick"/>
        </w:rPr>
        <w:t>Deuda</w:t>
      </w:r>
      <w:r>
        <w:rPr>
          <w:rFonts w:ascii="Constantia" w:hAnsi="Constantia"/>
          <w:spacing w:val="10"/>
          <w:sz w:val="16"/>
          <w:u w:val="thick"/>
        </w:rPr>
        <w:t> </w:t>
      </w:r>
      <w:r>
        <w:rPr>
          <w:rFonts w:ascii="Constantia" w:hAnsi="Constantia"/>
          <w:sz w:val="16"/>
          <w:u w:val="thick"/>
        </w:rPr>
        <w:t>pública/</w:t>
      </w:r>
      <w:r>
        <w:rPr>
          <w:rFonts w:ascii="Constantia" w:hAnsi="Constantia"/>
          <w:spacing w:val="2"/>
          <w:sz w:val="16"/>
          <w:u w:val="thick"/>
        </w:rPr>
        <w:t> </w:t>
      </w:r>
      <w:r>
        <w:rPr>
          <w:rFonts w:ascii="Constantia" w:hAnsi="Constantia"/>
          <w:spacing w:val="-3"/>
          <w:sz w:val="16"/>
          <w:u w:val="thick"/>
        </w:rPr>
        <w:t>PIB</w:t>
        <w:tab/>
      </w:r>
      <w:r>
        <w:rPr>
          <w:rFonts w:ascii="Constantia" w:hAnsi="Constantia"/>
          <w:sz w:val="16"/>
          <w:u w:val="thick"/>
        </w:rPr>
        <w:t>0.62*</w:t>
        <w:tab/>
        <w:t>0.83*</w:t>
        <w:tab/>
        <w:t>Positiva</w:t>
        <w:tab/>
      </w:r>
      <w:r>
        <w:rPr>
          <w:rFonts w:ascii="Constantia" w:hAnsi="Constantia"/>
          <w:sz w:val="16"/>
        </w:rPr>
        <w:tab/>
      </w:r>
      <w:r>
        <w:rPr>
          <w:rFonts w:ascii="Constantia" w:hAnsi="Constantia"/>
          <w:sz w:val="16"/>
          <w:u w:val="thick"/>
        </w:rPr>
        <w:t>0.38</w:t>
        <w:tab/>
        <w:t>0.27</w:t>
        <w:tab/>
        <w:t>N.S.</w:t>
        <w:tab/>
      </w:r>
      <w:r>
        <w:rPr>
          <w:rFonts w:ascii="Constantia" w:hAnsi="Constantia"/>
          <w:sz w:val="16"/>
        </w:rPr>
        <w:t> Significancia: ** al 1% y * al 5%  </w:t>
      </w:r>
      <w:r>
        <w:rPr>
          <w:rFonts w:ascii="Constantia" w:hAnsi="Constantia"/>
          <w:spacing w:val="9"/>
          <w:sz w:val="16"/>
        </w:rPr>
        <w:t> </w:t>
      </w:r>
      <w:r>
        <w:rPr>
          <w:rFonts w:ascii="Constantia" w:hAnsi="Constantia"/>
          <w:sz w:val="16"/>
        </w:rPr>
        <w:t>respectivamente</w:t>
      </w:r>
    </w:p>
    <w:p>
      <w:pPr>
        <w:spacing w:line="193" w:lineRule="exact" w:before="0"/>
        <w:ind w:left="102" w:right="115" w:firstLine="0"/>
        <w:jc w:val="left"/>
        <w:rPr>
          <w:sz w:val="20"/>
        </w:rPr>
      </w:pPr>
      <w:r>
        <w:rPr>
          <w:sz w:val="20"/>
        </w:rPr>
        <w:t>Fuente: Estimaciones propias con base en información del Banco Central de Bolivia (2012) y Yacimientos</w:t>
      </w:r>
    </w:p>
    <w:p>
      <w:pPr>
        <w:spacing w:before="0"/>
        <w:ind w:left="102" w:right="115" w:firstLine="0"/>
        <w:jc w:val="left"/>
        <w:rPr>
          <w:sz w:val="20"/>
        </w:rPr>
      </w:pPr>
      <w:r>
        <w:rPr>
          <w:sz w:val="20"/>
        </w:rPr>
        <w:t>Petrolíferos Fiscales Bolivianos (2012).</w:t>
      </w:r>
    </w:p>
    <w:p>
      <w:pPr>
        <w:pStyle w:val="BodyText"/>
        <w:spacing w:before="1"/>
      </w:pPr>
    </w:p>
    <w:p>
      <w:pPr>
        <w:pStyle w:val="BodyText"/>
        <w:spacing w:line="360" w:lineRule="auto"/>
        <w:ind w:left="102" w:right="136" w:firstLine="707"/>
        <w:jc w:val="both"/>
      </w:pPr>
      <w:r>
        <w:rPr/>
        <w:t>No se encontró evidencia para la primera condición sobre eficiencia fiscal, la cual sostenía que los mecanismos en la asignación de los ingresos fiscales al gasto público (gasífero y no gasífero) no afectaban al deterioro del balance primario. En consecuencia, el rol fiscal fue deficiente dado que la asignación de los ingresos gasíferos y no gasíferos se asoció, de forma significativa, con un deterioro del balance primario no gasífero.</w:t>
      </w:r>
    </w:p>
    <w:p>
      <w:pPr>
        <w:pStyle w:val="BodyText"/>
        <w:spacing w:line="360" w:lineRule="auto" w:before="4"/>
        <w:ind w:left="102" w:right="137" w:firstLine="707"/>
        <w:jc w:val="both"/>
      </w:pPr>
      <w:r>
        <w:rPr/>
        <w:t>El deterioro del balance primario no gasífero, se debió a una asociación positiva entre la asignación de los ingresos gasíferos y no gasíferos (cambios institucionales informales), mismos que surgieron de la nacionalización de los hidrocarburos (cambio formal).</w:t>
      </w:r>
    </w:p>
    <w:p>
      <w:pPr>
        <w:spacing w:after="0" w:line="360" w:lineRule="auto"/>
        <w:jc w:val="both"/>
        <w:sectPr>
          <w:pgSz w:w="12250" w:h="15850"/>
          <w:pgMar w:header="0" w:footer="1037" w:top="1360" w:bottom="1220" w:left="1600" w:right="1560"/>
        </w:sectPr>
      </w:pPr>
    </w:p>
    <w:p>
      <w:pPr>
        <w:pStyle w:val="Heading4"/>
        <w:numPr>
          <w:ilvl w:val="2"/>
          <w:numId w:val="13"/>
        </w:numPr>
        <w:tabs>
          <w:tab w:pos="1505" w:val="left" w:leader="none"/>
          <w:tab w:pos="1506" w:val="left" w:leader="none"/>
        </w:tabs>
        <w:spacing w:line="240" w:lineRule="auto" w:before="55" w:after="0"/>
        <w:ind w:left="1506" w:right="0" w:hanging="720"/>
        <w:jc w:val="left"/>
      </w:pPr>
      <w:bookmarkStart w:name="_bookmark95" w:id="133"/>
      <w:bookmarkEnd w:id="133"/>
      <w:r>
        <w:rPr>
          <w:b w:val="0"/>
        </w:rPr>
      </w:r>
      <w:bookmarkStart w:name="_bookmark95" w:id="134"/>
      <w:bookmarkEnd w:id="134"/>
      <w:r>
        <w:rPr/>
        <w:t>Bala</w:t>
      </w:r>
      <w:r>
        <w:rPr/>
        <w:t>nce cíclicamente ajustado</w:t>
      </w:r>
      <w:r>
        <w:rPr>
          <w:spacing w:val="-11"/>
        </w:rPr>
        <w:t> </w:t>
      </w:r>
      <w:r>
        <w:rPr/>
        <w:t>(estructural)</w:t>
      </w:r>
    </w:p>
    <w:p>
      <w:pPr>
        <w:pStyle w:val="BodyText"/>
        <w:rPr>
          <w:b/>
        </w:rPr>
      </w:pPr>
    </w:p>
    <w:p>
      <w:pPr>
        <w:pStyle w:val="BodyText"/>
        <w:spacing w:before="2"/>
        <w:rPr>
          <w:b/>
          <w:sz w:val="29"/>
        </w:rPr>
      </w:pPr>
    </w:p>
    <w:p>
      <w:pPr>
        <w:pStyle w:val="ListParagraph"/>
        <w:numPr>
          <w:ilvl w:val="3"/>
          <w:numId w:val="13"/>
        </w:numPr>
        <w:tabs>
          <w:tab w:pos="1530" w:val="left" w:leader="none"/>
        </w:tabs>
        <w:spacing w:line="240" w:lineRule="auto" w:before="0" w:after="0"/>
        <w:ind w:left="1530" w:right="0" w:hanging="360"/>
        <w:jc w:val="left"/>
        <w:rPr>
          <w:i/>
          <w:sz w:val="24"/>
        </w:rPr>
      </w:pPr>
      <w:r>
        <w:rPr>
          <w:i/>
          <w:sz w:val="24"/>
        </w:rPr>
        <w:t>Estimación de elasticidades de los ingresos fiscales (con y sin gas</w:t>
      </w:r>
      <w:r>
        <w:rPr>
          <w:i/>
          <w:spacing w:val="-9"/>
          <w:sz w:val="24"/>
        </w:rPr>
        <w:t> </w:t>
      </w:r>
      <w:r>
        <w:rPr>
          <w:i/>
          <w:sz w:val="24"/>
        </w:rPr>
        <w:t>natural)</w:t>
      </w:r>
    </w:p>
    <w:p>
      <w:pPr>
        <w:pStyle w:val="BodyText"/>
        <w:rPr>
          <w:i/>
        </w:rPr>
      </w:pPr>
    </w:p>
    <w:p>
      <w:pPr>
        <w:pStyle w:val="BodyText"/>
        <w:spacing w:before="10"/>
        <w:rPr>
          <w:i/>
          <w:sz w:val="20"/>
        </w:rPr>
      </w:pPr>
    </w:p>
    <w:p>
      <w:pPr>
        <w:pStyle w:val="BodyText"/>
        <w:spacing w:line="360" w:lineRule="auto"/>
        <w:ind w:left="102" w:right="118" w:firstLine="707"/>
        <w:jc w:val="both"/>
      </w:pPr>
      <w:r>
        <w:rPr/>
        <w:t>Se estimaron las elasticidades de los ingresos fiscales cíclicamente ajustados al comportamiento de los precios del gas natural y la actividad económica respectivamente (cuadro 11). El </w:t>
      </w:r>
      <w:r>
        <w:rPr>
          <w:i/>
        </w:rPr>
        <w:t>anexo 3.5 </w:t>
      </w:r>
      <w:r>
        <w:rPr/>
        <w:t>contiene los resultados de las estimaciones calculadas mediante modelos de regresión simple doble - log.</w:t>
      </w:r>
    </w:p>
    <w:p>
      <w:pPr>
        <w:pStyle w:val="BodyText"/>
        <w:spacing w:line="360" w:lineRule="auto" w:before="7"/>
        <w:ind w:left="102" w:right="116" w:firstLine="707"/>
        <w:jc w:val="both"/>
      </w:pPr>
      <w:r>
        <w:rPr/>
        <w:t>Se encontraron sensibilidades elásticas de los ingresos del gas natural comercializados en el mercado interno con relación al PIB real, al igual que la renta interna en función del producto. Estos resultados fueron congruentes con las estimaciones para economías en vías de desarrollo [Lozano &amp; Toro (2007)], por tanto, la venta doméstica del gas natural, al igual que la renta interna son sensibles a los cambios en la actividad económica interna.</w:t>
      </w:r>
    </w:p>
    <w:p>
      <w:pPr>
        <w:pStyle w:val="BodyText"/>
        <w:spacing w:line="360" w:lineRule="auto" w:before="6"/>
        <w:ind w:left="102" w:right="117" w:firstLine="707"/>
        <w:jc w:val="both"/>
      </w:pPr>
      <w:r>
        <w:rPr/>
        <w:t>Adicionalmente, se evidenció una elasticidad cercana a la unidad entre los ingresos fiscales gasíferos derivados de la venta externa (relación próxima a 1), lo cual concuerda con Marcel (2003) y frecuentemente tomado como supuesto en otros trabajos (Zambrano &amp; Aguilera, 2010). En consecuencia, existe un estabilizador automático de los ingresos del  gas natural comercializados en el exterior orignado por movimientos de los precios externos.</w:t>
      </w:r>
    </w:p>
    <w:p>
      <w:pPr>
        <w:pStyle w:val="BodyText"/>
        <w:spacing w:line="360" w:lineRule="auto" w:before="6"/>
        <w:ind w:left="102" w:right="118" w:firstLine="707"/>
        <w:jc w:val="both"/>
      </w:pPr>
      <w:r>
        <w:rPr/>
        <w:t>Para el caso de la elasticidad de la renta aduanera, se encontró una sensibilidad inelástica con relación a su propia base y entorno al PIB real, lo cual puede limitar la participación cíclica de este ingreso tributario sobre el balance cíclicamente ajustado.</w:t>
      </w:r>
    </w:p>
    <w:p>
      <w:pPr>
        <w:spacing w:after="0" w:line="360" w:lineRule="auto"/>
        <w:jc w:val="both"/>
        <w:sectPr>
          <w:pgSz w:w="12250" w:h="15850"/>
          <w:pgMar w:header="0" w:footer="1037" w:top="1360" w:bottom="1220" w:left="1600" w:right="1580"/>
        </w:sectPr>
      </w:pPr>
    </w:p>
    <w:p>
      <w:pPr>
        <w:pStyle w:val="BodyText"/>
        <w:spacing w:before="48"/>
        <w:ind w:left="1518"/>
      </w:pPr>
      <w:bookmarkStart w:name="_bookmark96" w:id="135"/>
      <w:bookmarkEnd w:id="135"/>
      <w:r>
        <w:rPr/>
      </w:r>
      <w:r>
        <w:rPr/>
        <w:t>Cuadro 3. 7: Elasticidades de los ingresos fiscales</w:t>
      </w:r>
    </w:p>
    <w:p>
      <w:pPr>
        <w:spacing w:line="143" w:lineRule="exact" w:before="33"/>
        <w:ind w:left="282" w:right="1890" w:firstLine="0"/>
        <w:jc w:val="center"/>
        <w:rPr>
          <w:b/>
          <w:sz w:val="19"/>
        </w:rPr>
      </w:pPr>
      <w:r>
        <w:rPr>
          <w:b/>
          <w:w w:val="95"/>
          <w:sz w:val="19"/>
        </w:rPr>
        <w:t>Base de</w:t>
      </w:r>
    </w:p>
    <w:p>
      <w:pPr>
        <w:spacing w:after="0" w:line="143" w:lineRule="exact"/>
        <w:jc w:val="center"/>
        <w:rPr>
          <w:sz w:val="19"/>
        </w:rPr>
        <w:sectPr>
          <w:pgSz w:w="12250" w:h="15850"/>
          <w:pgMar w:header="0" w:footer="1037" w:top="1360" w:bottom="1220" w:left="1600" w:right="1600"/>
        </w:sectPr>
      </w:pPr>
    </w:p>
    <w:p>
      <w:pPr>
        <w:spacing w:line="195" w:lineRule="exact" w:before="0"/>
        <w:ind w:left="0" w:right="0" w:firstLine="0"/>
        <w:jc w:val="right"/>
        <w:rPr>
          <w:b/>
          <w:sz w:val="19"/>
        </w:rPr>
      </w:pPr>
      <w:r>
        <w:rPr>
          <w:b/>
          <w:w w:val="85"/>
          <w:sz w:val="19"/>
        </w:rPr>
        <w:t>Componentes</w:t>
      </w:r>
    </w:p>
    <w:p>
      <w:pPr>
        <w:tabs>
          <w:tab w:pos="1444" w:val="left" w:leader="none"/>
          <w:tab w:pos="2409" w:val="left" w:leader="none"/>
        </w:tabs>
        <w:spacing w:line="327" w:lineRule="exact" w:before="0"/>
        <w:ind w:left="510" w:right="0" w:firstLine="0"/>
        <w:jc w:val="left"/>
        <w:rPr>
          <w:b/>
          <w:sz w:val="19"/>
        </w:rPr>
      </w:pPr>
      <w:r>
        <w:rPr/>
        <w:br w:type="column"/>
      </w:r>
      <w:r>
        <w:rPr>
          <w:b/>
          <w:spacing w:val="-4"/>
          <w:position w:val="-11"/>
          <w:sz w:val="19"/>
        </w:rPr>
        <w:t>impuesto</w:t>
        <w:tab/>
      </w:r>
      <w:r>
        <w:rPr>
          <w:b/>
          <w:spacing w:val="-4"/>
          <w:sz w:val="19"/>
        </w:rPr>
        <w:t>PIB</w:t>
      </w:r>
      <w:r>
        <w:rPr>
          <w:b/>
          <w:spacing w:val="-17"/>
          <w:sz w:val="19"/>
        </w:rPr>
        <w:t> </w:t>
      </w:r>
      <w:r>
        <w:rPr>
          <w:b/>
          <w:sz w:val="19"/>
        </w:rPr>
        <w:t>real</w:t>
        <w:tab/>
      </w:r>
      <w:r>
        <w:rPr>
          <w:b/>
          <w:spacing w:val="-3"/>
          <w:sz w:val="19"/>
        </w:rPr>
        <w:t>Total</w:t>
      </w:r>
    </w:p>
    <w:p>
      <w:pPr>
        <w:spacing w:after="0" w:line="327" w:lineRule="exact"/>
        <w:jc w:val="left"/>
        <w:rPr>
          <w:sz w:val="19"/>
        </w:rPr>
        <w:sectPr>
          <w:type w:val="continuous"/>
          <w:pgSz w:w="12250" w:h="15850"/>
          <w:pgMar w:top="1500" w:bottom="280" w:left="1600" w:right="1600"/>
          <w:cols w:num="2" w:equalWidth="0">
            <w:col w:w="2874" w:space="40"/>
            <w:col w:w="6136"/>
          </w:cols>
        </w:sectPr>
      </w:pPr>
    </w:p>
    <w:p>
      <w:pPr>
        <w:pStyle w:val="BodyText"/>
        <w:spacing w:line="36" w:lineRule="exact"/>
        <w:ind w:left="1551"/>
        <w:rPr>
          <w:sz w:val="3"/>
        </w:rPr>
      </w:pPr>
      <w:r>
        <w:rPr>
          <w:position w:val="0"/>
          <w:sz w:val="3"/>
        </w:rPr>
        <w:pict>
          <v:group style="width:219.2pt;height:1.85pt;mso-position-horizontal-relative:char;mso-position-vertical-relative:line" coordorigin="0,0" coordsize="4384,37">
            <v:line style="position:absolute" from="12,6" to="4371,6" stroked="true" strokeweight=".597934pt" strokecolor="#000000"/>
            <v:line style="position:absolute" from="6,6" to="4377,6" stroked="true" strokeweight=".617865pt" strokecolor="#000000"/>
            <v:line style="position:absolute" from="12,31" to="4371,31" stroked="true" strokeweight=".597934pt" strokecolor="#000000"/>
            <v:line style="position:absolute" from="6,31" to="4377,31" stroked="true" strokeweight=".597934pt" strokecolor="#000000"/>
          </v:group>
        </w:pict>
      </w:r>
      <w:r>
        <w:rPr>
          <w:position w:val="0"/>
          <w:sz w:val="3"/>
        </w:rPr>
      </w:r>
    </w:p>
    <w:p>
      <w:pPr>
        <w:spacing w:line="276" w:lineRule="auto" w:before="21"/>
        <w:ind w:left="1578" w:right="3773" w:firstLine="1262"/>
        <w:jc w:val="left"/>
        <w:rPr>
          <w:b/>
          <w:sz w:val="19"/>
        </w:rPr>
      </w:pPr>
      <w:r>
        <w:rPr/>
        <w:pict>
          <v:group style="position:absolute;margin-left:157.050003pt;margin-top:12.305861pt;width:220.2pt;height:.65pt;mso-position-horizontal-relative:page;mso-position-vertical-relative:paragraph;z-index:-561712" coordorigin="3141,246" coordsize="4404,13">
            <v:line style="position:absolute" from="3152,252" to="7533,252" stroked="true" strokeweight=".597934pt" strokecolor="#000000"/>
            <v:line style="position:absolute" from="3147,252" to="7538,252" stroked="true" strokeweight=".597934pt" strokecolor="#000000"/>
            <w10:wrap type="none"/>
          </v:group>
        </w:pict>
      </w:r>
      <w:r>
        <w:rPr>
          <w:b/>
          <w:w w:val="90"/>
          <w:sz w:val="19"/>
        </w:rPr>
        <w:t>Componentes de ingresos Ingresos fiscales gasíferos</w:t>
      </w:r>
    </w:p>
    <w:p>
      <w:pPr>
        <w:tabs>
          <w:tab w:pos="4474" w:val="left" w:leader="none"/>
          <w:tab w:pos="5619" w:val="right" w:leader="none"/>
        </w:tabs>
        <w:spacing w:before="1"/>
        <w:ind w:left="1578" w:right="0" w:firstLine="0"/>
        <w:jc w:val="left"/>
        <w:rPr>
          <w:b/>
          <w:sz w:val="19"/>
        </w:rPr>
      </w:pPr>
      <w:r>
        <w:rPr>
          <w:w w:val="95"/>
          <w:sz w:val="19"/>
        </w:rPr>
        <w:t>Mercado</w:t>
      </w:r>
      <w:r>
        <w:rPr>
          <w:spacing w:val="-26"/>
          <w:w w:val="95"/>
          <w:sz w:val="19"/>
        </w:rPr>
        <w:t> </w:t>
      </w:r>
      <w:r>
        <w:rPr>
          <w:spacing w:val="-6"/>
          <w:w w:val="95"/>
          <w:sz w:val="19"/>
        </w:rPr>
        <w:t>Interno</w:t>
        <w:tab/>
      </w:r>
      <w:r>
        <w:rPr>
          <w:sz w:val="19"/>
        </w:rPr>
        <w:t>1.62*</w:t>
      </w:r>
      <w:r>
        <w:rPr>
          <w:b/>
          <w:sz w:val="19"/>
        </w:rPr>
        <w:tab/>
        <w:t>1.62</w:t>
      </w:r>
    </w:p>
    <w:p>
      <w:pPr>
        <w:spacing w:before="33"/>
        <w:ind w:left="282" w:right="33" w:firstLine="0"/>
        <w:jc w:val="center"/>
        <w:rPr>
          <w:sz w:val="19"/>
        </w:rPr>
      </w:pPr>
      <w:r>
        <w:rPr>
          <w:sz w:val="19"/>
        </w:rPr>
        <w:t>(0.79)</w:t>
      </w:r>
    </w:p>
    <w:p>
      <w:pPr>
        <w:tabs>
          <w:tab w:pos="5280" w:val="left" w:leader="none"/>
        </w:tabs>
        <w:spacing w:before="33"/>
        <w:ind w:left="1578" w:right="0" w:firstLine="0"/>
        <w:jc w:val="left"/>
        <w:rPr>
          <w:b/>
          <w:sz w:val="19"/>
        </w:rPr>
      </w:pPr>
      <w:r>
        <w:rPr>
          <w:w w:val="95"/>
          <w:sz w:val="19"/>
        </w:rPr>
        <w:t>Mercado</w:t>
      </w:r>
      <w:r>
        <w:rPr>
          <w:spacing w:val="-27"/>
          <w:w w:val="95"/>
          <w:sz w:val="19"/>
        </w:rPr>
        <w:t> </w:t>
      </w:r>
      <w:r>
        <w:rPr>
          <w:spacing w:val="-6"/>
          <w:w w:val="95"/>
          <w:sz w:val="19"/>
        </w:rPr>
        <w:t>Externo</w:t>
        <w:tab/>
      </w:r>
      <w:r>
        <w:rPr>
          <w:b/>
          <w:sz w:val="19"/>
        </w:rPr>
        <w:t>1.07***</w:t>
      </w:r>
    </w:p>
    <w:p>
      <w:pPr>
        <w:spacing w:before="33"/>
        <w:ind w:left="2225" w:right="280" w:firstLine="0"/>
        <w:jc w:val="center"/>
        <w:rPr>
          <w:sz w:val="19"/>
        </w:rPr>
      </w:pPr>
      <w:r>
        <w:rPr>
          <w:sz w:val="19"/>
        </w:rPr>
        <w:t>(0.06)</w:t>
      </w:r>
    </w:p>
    <w:p>
      <w:pPr>
        <w:spacing w:before="33"/>
        <w:ind w:left="1578" w:right="0" w:firstLine="0"/>
        <w:jc w:val="left"/>
        <w:rPr>
          <w:b/>
          <w:sz w:val="19"/>
        </w:rPr>
      </w:pPr>
      <w:r>
        <w:rPr>
          <w:b/>
          <w:w w:val="90"/>
          <w:sz w:val="19"/>
        </w:rPr>
        <w:t>Ingresos tributarios</w:t>
      </w:r>
    </w:p>
    <w:p>
      <w:pPr>
        <w:tabs>
          <w:tab w:pos="3668" w:val="left" w:leader="none"/>
          <w:tab w:pos="4389" w:val="left" w:leader="none"/>
          <w:tab w:pos="5661" w:val="right" w:leader="none"/>
        </w:tabs>
        <w:spacing w:before="30"/>
        <w:ind w:left="1578" w:right="0" w:firstLine="0"/>
        <w:jc w:val="left"/>
        <w:rPr>
          <w:b/>
          <w:sz w:val="19"/>
        </w:rPr>
      </w:pPr>
      <w:r>
        <w:rPr>
          <w:spacing w:val="-5"/>
          <w:sz w:val="19"/>
        </w:rPr>
        <w:t>Renta</w:t>
      </w:r>
      <w:r>
        <w:rPr>
          <w:spacing w:val="-31"/>
          <w:sz w:val="19"/>
        </w:rPr>
        <w:t> </w:t>
      </w:r>
      <w:r>
        <w:rPr>
          <w:spacing w:val="-6"/>
          <w:sz w:val="19"/>
        </w:rPr>
        <w:t>Interna</w:t>
        <w:tab/>
      </w:r>
      <w:r>
        <w:rPr>
          <w:sz w:val="19"/>
        </w:rPr>
        <w:t>1</w:t>
      </w:r>
      <w:r>
        <w:rPr>
          <w:rFonts w:ascii="Cambria Math" w:hAnsi="Cambria Math"/>
          <w:sz w:val="19"/>
        </w:rPr>
        <w:t>₁</w:t>
        <w:tab/>
      </w:r>
      <w:r>
        <w:rPr>
          <w:sz w:val="19"/>
        </w:rPr>
        <w:t>1.22***</w:t>
      </w:r>
      <w:r>
        <w:rPr>
          <w:b/>
          <w:sz w:val="19"/>
        </w:rPr>
        <w:tab/>
        <w:t>1.22</w:t>
      </w:r>
    </w:p>
    <w:p>
      <w:pPr>
        <w:spacing w:before="32"/>
        <w:ind w:left="282" w:right="76" w:firstLine="0"/>
        <w:jc w:val="center"/>
        <w:rPr>
          <w:sz w:val="19"/>
        </w:rPr>
      </w:pPr>
      <w:r>
        <w:rPr>
          <w:sz w:val="19"/>
        </w:rPr>
        <w:t>(0.26)</w:t>
      </w:r>
    </w:p>
    <w:p>
      <w:pPr>
        <w:tabs>
          <w:tab w:pos="3466" w:val="left" w:leader="none"/>
          <w:tab w:pos="4453" w:val="left" w:leader="none"/>
          <w:tab w:pos="5661" w:val="right" w:leader="none"/>
        </w:tabs>
        <w:spacing w:before="33"/>
        <w:ind w:left="1578" w:right="0" w:firstLine="0"/>
        <w:jc w:val="left"/>
        <w:rPr>
          <w:b/>
          <w:sz w:val="19"/>
        </w:rPr>
      </w:pPr>
      <w:r>
        <w:rPr>
          <w:spacing w:val="-5"/>
          <w:w w:val="95"/>
          <w:sz w:val="19"/>
        </w:rPr>
        <w:t>Renta</w:t>
      </w:r>
      <w:r>
        <w:rPr>
          <w:spacing w:val="-22"/>
          <w:w w:val="95"/>
          <w:sz w:val="19"/>
        </w:rPr>
        <w:t> </w:t>
      </w:r>
      <w:r>
        <w:rPr>
          <w:spacing w:val="-5"/>
          <w:w w:val="95"/>
          <w:sz w:val="19"/>
        </w:rPr>
        <w:t>Aduanera</w:t>
        <w:tab/>
      </w:r>
      <w:r>
        <w:rPr>
          <w:sz w:val="19"/>
        </w:rPr>
        <w:t>0.72***</w:t>
        <w:tab/>
        <w:t>54†</w:t>
      </w:r>
      <w:r>
        <w:rPr>
          <w:b/>
          <w:sz w:val="19"/>
        </w:rPr>
        <w:tab/>
        <w:t>0.38</w:t>
      </w:r>
    </w:p>
    <w:p>
      <w:pPr>
        <w:tabs>
          <w:tab w:pos="965" w:val="left" w:leader="none"/>
        </w:tabs>
        <w:spacing w:before="33" w:after="7"/>
        <w:ind w:left="0" w:right="714" w:firstLine="0"/>
        <w:jc w:val="center"/>
        <w:rPr>
          <w:sz w:val="19"/>
        </w:rPr>
      </w:pPr>
      <w:r>
        <w:rPr>
          <w:sz w:val="19"/>
        </w:rPr>
        <w:t>(0.14)</w:t>
        <w:tab/>
        <w:t>(0.29)</w:t>
      </w:r>
    </w:p>
    <w:p>
      <w:pPr>
        <w:pStyle w:val="BodyText"/>
        <w:spacing w:line="35" w:lineRule="exact"/>
        <w:ind w:left="1551"/>
        <w:rPr>
          <w:sz w:val="3"/>
        </w:rPr>
      </w:pPr>
      <w:r>
        <w:rPr>
          <w:position w:val="0"/>
          <w:sz w:val="3"/>
        </w:rPr>
        <w:pict>
          <v:group style="width:219.15pt;height:1.8pt;mso-position-horizontal-relative:char;mso-position-vertical-relative:line" coordorigin="0,0" coordsize="4383,36">
            <v:line style="position:absolute" from="11,6" to="4371,6" stroked="true" strokeweight=".597934pt" strokecolor="#000000"/>
            <v:line style="position:absolute" from="6,6" to="4376,6" stroked="true" strokeweight=".597934pt" strokecolor="#000000"/>
            <v:line style="position:absolute" from="11,30" to="4371,30" stroked="true" strokeweight=".597934pt" strokecolor="#000000"/>
            <v:line style="position:absolute" from="6,30" to="4376,30" stroked="true" strokeweight=".597934pt" strokecolor="#000000"/>
          </v:group>
        </w:pict>
      </w:r>
      <w:r>
        <w:rPr>
          <w:position w:val="0"/>
          <w:sz w:val="3"/>
        </w:rPr>
      </w:r>
    </w:p>
    <w:p>
      <w:pPr>
        <w:spacing w:before="38"/>
        <w:ind w:left="1578" w:right="0" w:firstLine="0"/>
        <w:jc w:val="left"/>
        <w:rPr>
          <w:sz w:val="15"/>
        </w:rPr>
      </w:pPr>
      <w:r>
        <w:rPr>
          <w:w w:val="95"/>
          <w:sz w:val="15"/>
        </w:rPr>
        <w:t>Se indica el nivel de significancia: *** al 0.1%; * al 5%; </w:t>
      </w:r>
      <w:r>
        <w:rPr>
          <w:rFonts w:ascii="Calibri" w:hAnsi="Calibri"/>
          <w:w w:val="95"/>
          <w:sz w:val="15"/>
        </w:rPr>
        <w:t>† </w:t>
      </w:r>
      <w:r>
        <w:rPr>
          <w:w w:val="95"/>
          <w:sz w:val="15"/>
        </w:rPr>
        <w:t>al 10% respectivamente.</w:t>
      </w:r>
    </w:p>
    <w:p>
      <w:pPr>
        <w:spacing w:line="280" w:lineRule="auto" w:before="45"/>
        <w:ind w:left="1578" w:right="3773" w:firstLine="0"/>
        <w:jc w:val="left"/>
        <w:rPr>
          <w:sz w:val="15"/>
        </w:rPr>
      </w:pPr>
      <w:r>
        <w:rPr>
          <w:rFonts w:ascii="Cambria Math" w:hAnsi="Cambria Math"/>
          <w:w w:val="95"/>
          <w:sz w:val="15"/>
        </w:rPr>
        <w:t>₁</w:t>
      </w:r>
      <w:r>
        <w:rPr>
          <w:w w:val="95"/>
          <w:sz w:val="15"/>
        </w:rPr>
        <w:t>Se asume una elasticidad unitaria con relación a su propia base. Los errores estándares se encuentran entre paréntesis.</w:t>
      </w:r>
    </w:p>
    <w:p>
      <w:pPr>
        <w:spacing w:before="3"/>
        <w:ind w:left="1578" w:right="0" w:firstLine="0"/>
        <w:jc w:val="left"/>
        <w:rPr>
          <w:sz w:val="15"/>
        </w:rPr>
      </w:pPr>
      <w:r>
        <w:rPr>
          <w:w w:val="95"/>
          <w:sz w:val="15"/>
        </w:rPr>
        <w:t>Estimaciones con modelos doble-log.</w:t>
      </w:r>
    </w:p>
    <w:p>
      <w:pPr>
        <w:spacing w:before="31"/>
        <w:ind w:left="1578" w:right="0" w:firstLine="0"/>
        <w:jc w:val="left"/>
        <w:rPr>
          <w:sz w:val="15"/>
        </w:rPr>
      </w:pPr>
      <w:r>
        <w:rPr>
          <w:w w:val="95"/>
          <w:sz w:val="15"/>
        </w:rPr>
        <w:t>La base de impuesto para la renta aduanera fueron las importaciones.</w:t>
      </w:r>
    </w:p>
    <w:p>
      <w:pPr>
        <w:spacing w:before="11"/>
        <w:ind w:left="1518" w:right="191" w:firstLine="0"/>
        <w:jc w:val="left"/>
        <w:rPr>
          <w:sz w:val="20"/>
        </w:rPr>
      </w:pPr>
      <w:r>
        <w:rPr>
          <w:sz w:val="20"/>
        </w:rPr>
        <w:t>Fuente: Estimaciones propias con base en información del Banco Central de Bolivia (2012) y Yacimientos Petrolíferos Fiscales Bolivianos (2012).</w:t>
      </w:r>
    </w:p>
    <w:p>
      <w:pPr>
        <w:pStyle w:val="BodyText"/>
        <w:rPr>
          <w:sz w:val="20"/>
        </w:rPr>
      </w:pPr>
    </w:p>
    <w:p>
      <w:pPr>
        <w:pStyle w:val="BodyText"/>
        <w:rPr>
          <w:sz w:val="25"/>
        </w:rPr>
      </w:pPr>
    </w:p>
    <w:p>
      <w:pPr>
        <w:pStyle w:val="ListParagraph"/>
        <w:numPr>
          <w:ilvl w:val="3"/>
          <w:numId w:val="13"/>
        </w:numPr>
        <w:tabs>
          <w:tab w:pos="1530" w:val="left" w:leader="none"/>
        </w:tabs>
        <w:spacing w:line="240" w:lineRule="auto" w:before="0" w:after="0"/>
        <w:ind w:left="1530" w:right="0" w:hanging="360"/>
        <w:jc w:val="left"/>
        <w:rPr>
          <w:i/>
          <w:sz w:val="24"/>
        </w:rPr>
      </w:pPr>
      <w:r>
        <w:rPr>
          <w:i/>
          <w:sz w:val="24"/>
        </w:rPr>
        <w:t>Discrecionalidad de la política</w:t>
      </w:r>
      <w:r>
        <w:rPr>
          <w:i/>
          <w:spacing w:val="-5"/>
          <w:sz w:val="24"/>
        </w:rPr>
        <w:t> </w:t>
      </w:r>
      <w:r>
        <w:rPr>
          <w:i/>
          <w:sz w:val="24"/>
        </w:rPr>
        <w:t>fiscal</w:t>
      </w:r>
    </w:p>
    <w:p>
      <w:pPr>
        <w:pStyle w:val="BodyText"/>
        <w:spacing w:before="9"/>
        <w:rPr>
          <w:i/>
          <w:sz w:val="32"/>
        </w:rPr>
      </w:pPr>
    </w:p>
    <w:p>
      <w:pPr>
        <w:pStyle w:val="BodyText"/>
        <w:spacing w:line="360" w:lineRule="auto"/>
        <w:ind w:left="102" w:right="98" w:firstLine="707"/>
        <w:jc w:val="both"/>
      </w:pPr>
      <w:r>
        <w:rPr/>
        <w:t>Durante la fase de auge de los precios del gas natural (2004 – 2008), la política fiscal de Bolivia fue de tipo expansiva con relación a las variaciones del gasto público, especialmente para el período post-nacionalización. Durante la desaceleración económica internacional (2009) su rol fue neutral (</w:t>
      </w:r>
      <w:r>
        <w:rPr>
          <w:i/>
        </w:rPr>
        <w:t>figura</w:t>
      </w:r>
      <w:r>
        <w:rPr>
          <w:i/>
          <w:spacing w:val="-8"/>
        </w:rPr>
        <w:t> </w:t>
      </w:r>
      <w:r>
        <w:rPr>
          <w:i/>
        </w:rPr>
        <w:t>3.5</w:t>
      </w:r>
      <w:r>
        <w:rPr/>
        <w:t>).</w:t>
      </w:r>
    </w:p>
    <w:p>
      <w:pPr>
        <w:pStyle w:val="BodyText"/>
      </w:pPr>
    </w:p>
    <w:p>
      <w:pPr>
        <w:pStyle w:val="BodyText"/>
        <w:spacing w:before="140"/>
        <w:ind w:left="133" w:right="1595"/>
        <w:jc w:val="center"/>
      </w:pPr>
      <w:bookmarkStart w:name="_bookmark97" w:id="136"/>
      <w:bookmarkEnd w:id="136"/>
      <w:r>
        <w:rPr/>
      </w:r>
      <w:r>
        <w:rPr/>
        <w:t>Figura 3. 5: Discrecionalidad de la política fiscal, 2003 - 2011</w:t>
      </w:r>
    </w:p>
    <w:p>
      <w:pPr>
        <w:pStyle w:val="BodyText"/>
        <w:tabs>
          <w:tab w:pos="5803" w:val="left" w:leader="none"/>
        </w:tabs>
        <w:ind w:left="1952"/>
      </w:pPr>
      <w:r>
        <w:rPr/>
        <w:t>Impulso</w:t>
      </w:r>
      <w:r>
        <w:rPr>
          <w:spacing w:val="-2"/>
        </w:rPr>
        <w:t> </w:t>
      </w:r>
      <w:r>
        <w:rPr/>
        <w:t>fiscal</w:t>
      </w:r>
      <w:r>
        <w:rPr>
          <w:spacing w:val="-2"/>
        </w:rPr>
        <w:t> </w:t>
      </w:r>
      <w:r>
        <w:rPr/>
        <w:t>(a)</w:t>
        <w:tab/>
        <w:t>Orientación fiscal</w:t>
      </w:r>
      <w:r>
        <w:rPr>
          <w:spacing w:val="-6"/>
        </w:rPr>
        <w:t> </w:t>
      </w:r>
      <w:r>
        <w:rPr/>
        <w:t>(b)</w:t>
      </w:r>
    </w:p>
    <w:p>
      <w:pPr>
        <w:spacing w:line="173" w:lineRule="exact" w:before="94"/>
        <w:ind w:left="956" w:right="0" w:firstLine="0"/>
        <w:jc w:val="left"/>
        <w:rPr>
          <w:rFonts w:ascii="Constantia"/>
          <w:sz w:val="15"/>
        </w:rPr>
      </w:pPr>
      <w:r>
        <w:rPr/>
        <w:pict>
          <v:group style="position:absolute;margin-left:140.251709pt;margin-top:9.580106pt;width:164.15pt;height:143.450pt;mso-position-horizontal-relative:page;mso-position-vertical-relative:paragraph;z-index:-561640" coordorigin="2805,192" coordsize="3283,2869">
            <v:shape style="position:absolute;left:712;top:695;width:6286;height:4621" coordorigin="712,695" coordsize="6286,4621" path="m2849,3055l2849,197m2810,3055l2849,3055m2810,2647l2849,2647m2810,2239l2849,2239m2810,1830l2849,1830m2810,1422l2849,1422m2810,1013l2849,1013m2810,605l2849,605m2810,197l2849,197m2849,1830l6083,1830m2849,1830l2849,1867m3208,1830l3208,1867m3568,1830l3568,1867m3927,1830l3927,1867m4286,1830l4286,1867m4646,1830l4646,1867m5005,1830l5005,1867m5364,1830l5364,1867m5724,1830l5724,1867m6083,1830l6083,1867e" filled="false" stroked="true" strokeweight=".427322pt" strokecolor="#858585">
              <v:path arrowok="t"/>
            </v:shape>
            <v:shape style="position:absolute;left:3029;top:704;width:2875;height:2213" coordorigin="3029,704" coordsize="2875,2213" path="m3029,1750l3056,1663,3084,1566,3112,1462,3139,1353,3153,1298,3167,1243,3195,1136,3222,1033,3250,939,3278,857,3305,789,3347,721,3374,704,3388,704,3439,769,3465,834,3491,917,3516,1013,3542,1120,3568,1235,3581,1293,3593,1353,3606,1412,3619,1471,3645,1587,3670,1697,3696,1797,3722,1884,3747,1955,3773,2013,3824,2109,3876,2183,3927,2242,3978,2294,4004,2319,4030,2345,4081,2401,4131,2468,4179,2547,4227,2634,4250,2678,4274,2721,4322,2800,4370,2865,4418,2906,4466,2916,4489,2909,4556,2842,4601,2769,4646,2682,4691,2587,4713,2539,4735,2491,4780,2401,4825,2324,4881,2243,4936,2166,4991,2092,5019,2055,5046,2018,5102,1943,5157,1863,5205,1789,5244,1709,5284,1619,5324,1523,5344,1476,5384,1386,5424,1309,5464,1251,5524,1214,5544,1219,5593,1269,5626,1328,5658,1404,5691,1494,5724,1593,5756,1699,5789,1807,5805,1861,5838,1968,5871,2069,5887,2116,5903,2160e" filled="false" stroked="true" strokeweight="1.310176pt" strokecolor="#497dba">
              <v:path arrowok="t"/>
            </v:shape>
            <v:shape style="position:absolute;left:3665;top:992;width:348;height:314" type="#_x0000_t75" stroked="false">
              <v:imagedata r:id="rId214" o:title=""/>
            </v:shape>
            <v:shape style="position:absolute;left:4678;top:1186;width:527;height:299" coordorigin="4678,1186" coordsize="527,299" path="m5161,1460l5113,1466,5110,1470,5110,1475,5111,1481,5115,1484,5119,1484,5196,1474,5187,1474,5161,1460xm5176,1458l5161,1460,5187,1474,5188,1471,5184,1471,5176,1458xm5147,1385l5143,1388,5140,1391,5139,1397,5142,1401,5167,1443,5193,1457,5187,1474,5196,1474,5204,1473,5154,1390,5152,1386,5147,1385xm5189,1456l5176,1458,5184,1471,5189,1456xm5192,1456l5189,1456,5184,1471,5188,1471,5193,1457,5192,1456xm4684,1186l4678,1203,5161,1460,5176,1458,5167,1443,4684,1186xm5167,1443l5176,1458,5189,1456,5192,1456,5167,1443xe" filled="true" fillcolor="#ff0000" stroked="false">
              <v:path arrowok="t"/>
              <v:fill type="solid"/>
            </v:shape>
            <v:line style="position:absolute" from="4150,341" to="4134,2958" stroked="true" strokeweight=".78113pt" strokecolor="#ff0000">
              <v:stroke dashstyle="longDash"/>
            </v:line>
            <v:shape style="position:absolute;left:3675;top:2336;width:319;height:461" coordorigin="3675,2336" coordsize="319,461" path="m3974,2365l3959,2371,3675,2785,3687,2797,3971,2383,3974,2365xm3992,2344l3978,2344,3990,2356,3971,2383,3965,2434,3964,2439,3967,2444,3975,2445,3979,2442,3980,2437,3992,2344xm3993,2336l3909,2374,3907,2379,3909,2384,3910,2388,3915,2391,3959,2371,3978,2344,3992,2344,3993,2336xm3982,2349l3976,2349,3986,2359,3974,2365,3971,2383,3990,2356,3982,2349xm3978,2344l3959,2371,3974,2365,3976,2349,3982,2349,3978,2344xm3976,2349l3974,2365,3986,2359,3976,2349xe" filled="true" fillcolor="#ff0000" stroked="false">
              <v:path arrowok="t"/>
              <v:fill type="solid"/>
            </v:shape>
            <v:shape style="position:absolute;left:4129;top:796;width:809;height:382" type="#_x0000_t202" filled="false" stroked="false">
              <v:textbox inset="0,0,0,0">
                <w:txbxContent>
                  <w:p>
                    <w:pPr>
                      <w:spacing w:line="179" w:lineRule="exact" w:before="0"/>
                      <w:ind w:left="62" w:right="-1" w:hanging="63"/>
                      <w:jc w:val="left"/>
                      <w:rPr>
                        <w:sz w:val="17"/>
                      </w:rPr>
                    </w:pPr>
                    <w:r>
                      <w:rPr>
                        <w:w w:val="85"/>
                        <w:sz w:val="17"/>
                      </w:rPr>
                      <w:t>Política fiscal</w:t>
                    </w:r>
                  </w:p>
                  <w:p>
                    <w:pPr>
                      <w:spacing w:line="193" w:lineRule="exact" w:before="9"/>
                      <w:ind w:left="62" w:right="-1" w:firstLine="0"/>
                      <w:jc w:val="left"/>
                      <w:rPr>
                        <w:sz w:val="17"/>
                      </w:rPr>
                    </w:pPr>
                    <w:r>
                      <w:rPr>
                        <w:w w:val="95"/>
                        <w:sz w:val="17"/>
                      </w:rPr>
                      <w:t>contractiva</w:t>
                    </w:r>
                  </w:p>
                </w:txbxContent>
              </v:textbox>
              <w10:wrap type="none"/>
            </v:shape>
            <v:shape style="position:absolute;left:2881;top:1941;width:3162;height:963" type="#_x0000_t202" filled="false" stroked="false">
              <v:textbox inset="0,0,0,0">
                <w:txbxContent>
                  <w:p>
                    <w:pPr>
                      <w:spacing w:line="152" w:lineRule="exact" w:before="0"/>
                      <w:ind w:left="0" w:right="0" w:firstLine="0"/>
                      <w:jc w:val="left"/>
                      <w:rPr>
                        <w:sz w:val="15"/>
                      </w:rPr>
                    </w:pPr>
                    <w:r>
                      <w:rPr>
                        <w:w w:val="95"/>
                        <w:sz w:val="15"/>
                      </w:rPr>
                      <w:t>2,003</w:t>
                    </w:r>
                    <w:r>
                      <w:rPr>
                        <w:spacing w:val="-5"/>
                        <w:w w:val="95"/>
                        <w:sz w:val="15"/>
                      </w:rPr>
                      <w:t> </w:t>
                    </w:r>
                    <w:r>
                      <w:rPr>
                        <w:w w:val="95"/>
                        <w:sz w:val="15"/>
                      </w:rPr>
                      <w:t>2,004</w:t>
                    </w:r>
                    <w:r>
                      <w:rPr>
                        <w:spacing w:val="-5"/>
                        <w:w w:val="95"/>
                        <w:sz w:val="15"/>
                      </w:rPr>
                      <w:t> </w:t>
                    </w:r>
                    <w:r>
                      <w:rPr>
                        <w:w w:val="95"/>
                        <w:sz w:val="15"/>
                      </w:rPr>
                      <w:t>2,005</w:t>
                    </w:r>
                    <w:r>
                      <w:rPr>
                        <w:spacing w:val="-4"/>
                        <w:w w:val="95"/>
                        <w:sz w:val="15"/>
                      </w:rPr>
                      <w:t> </w:t>
                    </w:r>
                    <w:r>
                      <w:rPr>
                        <w:w w:val="95"/>
                        <w:sz w:val="15"/>
                      </w:rPr>
                      <w:t>2,006</w:t>
                    </w:r>
                    <w:r>
                      <w:rPr>
                        <w:spacing w:val="-4"/>
                        <w:w w:val="95"/>
                        <w:sz w:val="15"/>
                      </w:rPr>
                      <w:t> </w:t>
                    </w:r>
                    <w:r>
                      <w:rPr>
                        <w:w w:val="95"/>
                        <w:sz w:val="15"/>
                      </w:rPr>
                      <w:t>2,007</w:t>
                    </w:r>
                    <w:r>
                      <w:rPr>
                        <w:spacing w:val="-4"/>
                        <w:w w:val="95"/>
                        <w:sz w:val="15"/>
                      </w:rPr>
                      <w:t> </w:t>
                    </w:r>
                    <w:r>
                      <w:rPr>
                        <w:w w:val="95"/>
                        <w:sz w:val="15"/>
                      </w:rPr>
                      <w:t>2,008</w:t>
                    </w:r>
                    <w:r>
                      <w:rPr>
                        <w:spacing w:val="-4"/>
                        <w:w w:val="95"/>
                        <w:sz w:val="15"/>
                      </w:rPr>
                      <w:t> </w:t>
                    </w:r>
                    <w:r>
                      <w:rPr>
                        <w:w w:val="95"/>
                        <w:sz w:val="15"/>
                      </w:rPr>
                      <w:t>2,009</w:t>
                    </w:r>
                    <w:r>
                      <w:rPr>
                        <w:spacing w:val="-4"/>
                        <w:w w:val="95"/>
                        <w:sz w:val="15"/>
                      </w:rPr>
                      <w:t> </w:t>
                    </w:r>
                    <w:r>
                      <w:rPr>
                        <w:w w:val="95"/>
                        <w:sz w:val="15"/>
                      </w:rPr>
                      <w:t>2,010</w:t>
                    </w:r>
                    <w:r>
                      <w:rPr>
                        <w:spacing w:val="-2"/>
                        <w:w w:val="95"/>
                        <w:sz w:val="15"/>
                      </w:rPr>
                      <w:t> </w:t>
                    </w:r>
                    <w:r>
                      <w:rPr>
                        <w:w w:val="95"/>
                        <w:sz w:val="15"/>
                      </w:rPr>
                      <w:t>2,011</w:t>
                    </w:r>
                  </w:p>
                  <w:p>
                    <w:pPr>
                      <w:spacing w:line="240" w:lineRule="auto" w:before="8"/>
                      <w:rPr>
                        <w:sz w:val="18"/>
                      </w:rPr>
                    </w:pPr>
                  </w:p>
                  <w:p>
                    <w:pPr>
                      <w:spacing w:before="0"/>
                      <w:ind w:left="1242" w:right="0" w:firstLine="0"/>
                      <w:jc w:val="left"/>
                      <w:rPr>
                        <w:sz w:val="17"/>
                      </w:rPr>
                    </w:pPr>
                    <w:r>
                      <w:rPr>
                        <w:color w:val="FF0000"/>
                        <w:w w:val="85"/>
                        <w:sz w:val="17"/>
                      </w:rPr>
                      <w:t>Período post-nacionalización</w:t>
                    </w:r>
                  </w:p>
                  <w:p>
                    <w:pPr>
                      <w:spacing w:line="252" w:lineRule="auto" w:before="2"/>
                      <w:ind w:left="131" w:right="1580" w:firstLine="0"/>
                      <w:jc w:val="left"/>
                      <w:rPr>
                        <w:sz w:val="17"/>
                      </w:rPr>
                    </w:pPr>
                    <w:r>
                      <w:rPr>
                        <w:w w:val="85"/>
                        <w:sz w:val="17"/>
                      </w:rPr>
                      <w:t>Política fiscal </w:t>
                    </w:r>
                    <w:r>
                      <w:rPr>
                        <w:sz w:val="17"/>
                      </w:rPr>
                      <w:t>expansiva</w:t>
                    </w:r>
                  </w:p>
                </w:txbxContent>
              </v:textbox>
              <w10:wrap type="none"/>
            </v:shape>
            <w10:wrap type="none"/>
          </v:group>
        </w:pict>
      </w:r>
      <w:r>
        <w:rPr>
          <w:rFonts w:ascii="Constantia"/>
          <w:w w:val="95"/>
          <w:sz w:val="15"/>
        </w:rPr>
        <w:t>8%</w:t>
      </w:r>
    </w:p>
    <w:p>
      <w:pPr>
        <w:spacing w:line="161" w:lineRule="exact" w:before="0"/>
        <w:ind w:left="0" w:right="1969" w:firstLine="0"/>
        <w:jc w:val="right"/>
        <w:rPr>
          <w:rFonts w:ascii="Constantia"/>
          <w:sz w:val="14"/>
        </w:rPr>
      </w:pPr>
      <w:r>
        <w:rPr>
          <w:rFonts w:ascii="Constantia"/>
          <w:w w:val="75"/>
          <w:sz w:val="14"/>
        </w:rPr>
        <w:t>Impulso fiscal</w:t>
      </w:r>
    </w:p>
    <w:p>
      <w:pPr>
        <w:spacing w:after="0" w:line="161" w:lineRule="exact"/>
        <w:jc w:val="right"/>
        <w:rPr>
          <w:rFonts w:ascii="Constantia"/>
          <w:sz w:val="14"/>
        </w:rPr>
        <w:sectPr>
          <w:type w:val="continuous"/>
          <w:pgSz w:w="12250" w:h="15850"/>
          <w:pgMar w:top="1500" w:bottom="280" w:left="1600" w:right="1600"/>
        </w:sectPr>
      </w:pPr>
    </w:p>
    <w:p>
      <w:pPr>
        <w:spacing w:line="174" w:lineRule="exact" w:before="75"/>
        <w:ind w:left="956" w:right="0" w:firstLine="0"/>
        <w:jc w:val="left"/>
        <w:rPr>
          <w:rFonts w:ascii="Constantia"/>
          <w:sz w:val="15"/>
        </w:rPr>
      </w:pPr>
      <w:r>
        <w:rPr/>
        <w:pict>
          <v:group style="position:absolute;margin-left:367.97171pt;margin-top:7.28729pt;width:111.5pt;height:118.45pt;mso-position-horizontal-relative:page;mso-position-vertical-relative:paragraph;z-index:-561616" coordorigin="7359,146" coordsize="2230,2369">
            <v:shape style="position:absolute;left:1913;top:1512;width:4261;height:3240" coordorigin="1913,1512" coordsize="4261,3240" path="m8357,2509l8357,151m8318,2509l8357,2509m8318,2170l8357,2170m8318,1832l8357,1832m8318,1494l8357,1494m8318,1155l8357,1155m8318,817l8357,817m8318,490l8357,490m8318,151l8357,151m7365,1494l9583,1494m7365,1494l7365,1548m7615,1494l7615,1548m7857,1494l7857,1548m8107,1494l8107,1548m8357,1494l8357,1548m8599,1494l8599,1548m8849,1494l8849,1548m9091,1494l9091,1548m9341,1494l9341,1548m9583,1494l9583,1548e" filled="false" stroked="true" strokeweight=".46812pt" strokecolor="#858585">
              <v:path arrowok="t"/>
            </v:shape>
            <v:shape style="position:absolute;left:8310;top:1363;width:102;height:142" type="#_x0000_t75" stroked="false">
              <v:imagedata r:id="rId215" o:title=""/>
            </v:shape>
            <v:rect style="position:absolute;left:8310;top:1363;width:102;height:142" filled="false" stroked="true" strokeweight=".44355pt" strokecolor="#497dba"/>
            <v:shape style="position:absolute;left:8494;top:511;width:71;height:110" coordorigin="8494,511" coordsize="71,110" path="m8529,511l8494,566,8529,621,8564,566,8529,511xe" filled="true" fillcolor="#ff0000" stroked="false">
              <v:path arrowok="t"/>
              <v:fill type="solid"/>
            </v:shape>
            <v:shape style="position:absolute;left:8494;top:511;width:71;height:110" coordorigin="8494,511" coordsize="71,110" path="m8529,621l8494,566,8529,511,8564,566,8529,621e" filled="false" stroked="true" strokeweight=".436052pt" strokecolor="#497dba">
              <v:path arrowok="t"/>
            </v:shape>
            <v:shape style="position:absolute;left:8134;top:1548;width:71;height:110" coordorigin="8134,1548" coordsize="71,110" path="m8170,1548l8134,1603,8170,1657,8205,1603,8170,1548xe" filled="true" fillcolor="#ff0000" stroked="false">
              <v:path arrowok="t"/>
              <v:fill type="solid"/>
            </v:shape>
            <v:shape style="position:absolute;left:8134;top:1548;width:71;height:110" coordorigin="8134,1548" coordsize="71,110" path="m8170,1657l8134,1603,8170,1548,8205,1603,8170,1657e" filled="false" stroked="true" strokeweight=".436052pt" strokecolor="#497dba">
              <v:path arrowok="t"/>
            </v:shape>
            <v:shape style="position:absolute;left:9255;top:1930;width:102;height:142" type="#_x0000_t75" stroked="false">
              <v:imagedata r:id="rId216" o:title=""/>
            </v:shape>
            <v:shape style="position:absolute;left:9255;top:1930;width:102;height:142" coordorigin="9255,1930" coordsize="102,142" path="m9310,1930l9357,2072,9255,2072,9310,1930xe" filled="false" stroked="true" strokeweight=".44355pt" strokecolor="#497dba">
              <v:path arrowok="t"/>
            </v:shape>
            <v:shape style="position:absolute;left:8037;top:2350;width:79;height:99" coordorigin="8037,2350" coordsize="79,99" path="m8076,2350l8037,2399,8076,2449,8115,2399,8076,2350xe" filled="true" fillcolor="#ff0000" stroked="false">
              <v:path arrowok="t"/>
              <v:fill type="solid"/>
            </v:shape>
            <v:shape style="position:absolute;left:8037;top:2350;width:79;height:99" coordorigin="8037,2350" coordsize="79,99" path="m8076,2449l8037,2399,8076,2350,8115,2399,8076,2449e" filled="false" stroked="true" strokeweight=".450658pt" strokecolor="#497dba">
              <v:path arrowok="t"/>
            </v:shape>
            <v:shape style="position:absolute;left:8052;top:1854;width:79;height:110" coordorigin="8052,1854" coordsize="79,110" path="m8091,1854l8052,1908,8091,1963,8130,1908,8091,1854xe" filled="true" fillcolor="#ff0000" stroked="false">
              <v:path arrowok="t"/>
              <v:fill type="solid"/>
            </v:shape>
            <v:shape style="position:absolute;left:8052;top:1854;width:79;height:110" coordorigin="8052,1854" coordsize="79,110" path="m8091,1963l8052,1908,8091,1854,8130,1908,8091,1963e" filled="false" stroked="true" strokeweight=".443107pt" strokecolor="#497dba">
              <v:path arrowok="t"/>
            </v:shape>
            <v:shape style="position:absolute;left:7568;top:1428;width:102;height:142" type="#_x0000_t75" stroked="false">
              <v:imagedata r:id="rId217" o:title=""/>
            </v:shape>
            <v:rect style="position:absolute;left:7568;top:1428;width:102;height:142" filled="false" stroked="true" strokeweight=".443552pt" strokecolor="#497dba"/>
            <v:shape style="position:absolute;left:8794;top:937;width:79;height:110" coordorigin="8794,937" coordsize="79,110" path="m8834,937l8794,992,8834,1046,8873,992,8834,937xe" filled="true" fillcolor="#ff0000" stroked="false">
              <v:path arrowok="t"/>
              <v:fill type="solid"/>
            </v:shape>
            <v:shape style="position:absolute;left:8794;top:937;width:79;height:110" coordorigin="8794,937" coordsize="79,110" path="m8834,1046l8794,992,8834,937,8873,992,8834,1046e" filled="false" stroked="true" strokeweight=".443107pt" strokecolor="#497dba">
              <v:path arrowok="t"/>
            </v:shape>
            <v:shape style="position:absolute;left:8771;top:1695;width:102;height:153" type="#_x0000_t75" stroked="false">
              <v:imagedata r:id="rId218" o:title=""/>
            </v:shape>
            <v:shape style="position:absolute;left:8771;top:1695;width:102;height:153" coordorigin="8771,1695" coordsize="102,153" path="m8826,1695l8872,1848,8771,1848,8826,1695xe" filled="false" stroked="true" strokeweight=".438525pt" strokecolor="#497dba">
              <v:path arrowok="t"/>
            </v:shape>
            <w10:wrap type="none"/>
          </v:group>
        </w:pict>
      </w:r>
      <w:r>
        <w:rPr>
          <w:rFonts w:ascii="Constantia"/>
          <w:w w:val="95"/>
          <w:sz w:val="15"/>
        </w:rPr>
        <w:t>6%</w:t>
      </w:r>
    </w:p>
    <w:p>
      <w:pPr>
        <w:spacing w:line="199" w:lineRule="exact" w:before="0"/>
        <w:ind w:left="0" w:right="0" w:firstLine="0"/>
        <w:jc w:val="right"/>
        <w:rPr>
          <w:rFonts w:ascii="Constantia" w:hAnsi="Constantia"/>
          <w:b/>
          <w:sz w:val="17"/>
        </w:rPr>
      </w:pPr>
      <w:r>
        <w:rPr>
          <w:rFonts w:ascii="Constantia" w:hAnsi="Constantia"/>
          <w:b/>
          <w:color w:val="7E7E7E"/>
          <w:w w:val="75"/>
          <w:sz w:val="17"/>
        </w:rPr>
        <w:t>Política fiscal contra-</w:t>
      </w:r>
    </w:p>
    <w:p>
      <w:pPr>
        <w:tabs>
          <w:tab w:pos="4860" w:val="left" w:leader="none"/>
        </w:tabs>
        <w:spacing w:before="7"/>
        <w:ind w:left="957" w:right="0" w:firstLine="0"/>
        <w:jc w:val="left"/>
        <w:rPr>
          <w:rFonts w:ascii="Constantia" w:hAnsi="Constantia"/>
          <w:b/>
          <w:sz w:val="17"/>
        </w:rPr>
      </w:pPr>
      <w:r>
        <w:rPr>
          <w:rFonts w:ascii="Constantia" w:hAnsi="Constantia"/>
          <w:w w:val="85"/>
          <w:sz w:val="15"/>
        </w:rPr>
        <w:t>4%</w:t>
        <w:tab/>
      </w:r>
      <w:r>
        <w:rPr>
          <w:rFonts w:ascii="Constantia" w:hAnsi="Constantia"/>
          <w:b/>
          <w:color w:val="7E7E7E"/>
          <w:w w:val="85"/>
          <w:position w:val="1"/>
          <w:sz w:val="17"/>
        </w:rPr>
        <w:t>cíclica</w:t>
      </w:r>
    </w:p>
    <w:p>
      <w:pPr>
        <w:pStyle w:val="BodyText"/>
        <w:spacing w:before="6"/>
        <w:rPr>
          <w:rFonts w:ascii="Constantia"/>
          <w:b/>
          <w:sz w:val="18"/>
        </w:rPr>
      </w:pPr>
    </w:p>
    <w:p>
      <w:pPr>
        <w:spacing w:before="0"/>
        <w:ind w:left="967" w:right="0" w:firstLine="0"/>
        <w:jc w:val="left"/>
        <w:rPr>
          <w:rFonts w:ascii="Constantia"/>
          <w:sz w:val="15"/>
        </w:rPr>
      </w:pPr>
      <w:r>
        <w:rPr>
          <w:rFonts w:ascii="Constantia"/>
          <w:w w:val="95"/>
          <w:sz w:val="15"/>
        </w:rPr>
        <w:t>2%</w:t>
      </w:r>
    </w:p>
    <w:p>
      <w:pPr>
        <w:spacing w:before="16"/>
        <w:ind w:left="0" w:right="587" w:firstLine="0"/>
        <w:jc w:val="right"/>
        <w:rPr>
          <w:rFonts w:ascii="Constantia" w:hAnsi="Constantia"/>
          <w:sz w:val="14"/>
        </w:rPr>
      </w:pPr>
      <w:r>
        <w:rPr>
          <w:rFonts w:ascii="Constantia" w:hAnsi="Constantia"/>
          <w:w w:val="75"/>
          <w:sz w:val="14"/>
        </w:rPr>
        <w:t>∆ Brecha del</w:t>
      </w:r>
    </w:p>
    <w:p>
      <w:pPr>
        <w:tabs>
          <w:tab w:pos="5172" w:val="left" w:leader="none"/>
        </w:tabs>
        <w:spacing w:line="179" w:lineRule="exact" w:before="4"/>
        <w:ind w:left="956" w:right="0" w:firstLine="0"/>
        <w:jc w:val="left"/>
        <w:rPr>
          <w:rFonts w:ascii="Constantia"/>
          <w:sz w:val="14"/>
        </w:rPr>
      </w:pPr>
      <w:r>
        <w:rPr>
          <w:rFonts w:ascii="Constantia"/>
          <w:w w:val="90"/>
          <w:position w:val="-3"/>
          <w:sz w:val="15"/>
        </w:rPr>
        <w:t>0%</w:t>
        <w:tab/>
      </w:r>
      <w:r>
        <w:rPr>
          <w:rFonts w:ascii="Constantia"/>
          <w:w w:val="90"/>
          <w:sz w:val="14"/>
        </w:rPr>
        <w:t>PIB</w:t>
      </w:r>
    </w:p>
    <w:p>
      <w:pPr>
        <w:spacing w:line="161" w:lineRule="exact" w:before="0"/>
        <w:ind w:left="0" w:right="188" w:firstLine="0"/>
        <w:jc w:val="right"/>
        <w:rPr>
          <w:rFonts w:ascii="Calibri"/>
          <w:b/>
          <w:sz w:val="16"/>
        </w:rPr>
      </w:pPr>
      <w:r>
        <w:rPr>
          <w:rFonts w:ascii="Calibri"/>
          <w:b/>
          <w:color w:val="00AF50"/>
          <w:w w:val="70"/>
          <w:sz w:val="16"/>
        </w:rPr>
        <w:t>2009</w:t>
      </w:r>
    </w:p>
    <w:p>
      <w:pPr>
        <w:spacing w:before="61"/>
        <w:ind w:left="0" w:right="0" w:firstLine="0"/>
        <w:jc w:val="right"/>
        <w:rPr>
          <w:rFonts w:ascii="Calibri"/>
          <w:sz w:val="14"/>
        </w:rPr>
      </w:pPr>
      <w:r>
        <w:rPr/>
        <w:br w:type="column"/>
      </w:r>
      <w:r>
        <w:rPr>
          <w:rFonts w:ascii="Calibri"/>
          <w:w w:val="70"/>
          <w:sz w:val="14"/>
        </w:rPr>
        <w:t>8%</w:t>
      </w:r>
    </w:p>
    <w:p>
      <w:pPr>
        <w:pStyle w:val="BodyText"/>
        <w:spacing w:before="9"/>
        <w:rPr>
          <w:rFonts w:ascii="Calibri"/>
          <w:sz w:val="13"/>
        </w:rPr>
      </w:pPr>
    </w:p>
    <w:p>
      <w:pPr>
        <w:spacing w:before="0"/>
        <w:ind w:left="0" w:right="0" w:firstLine="0"/>
        <w:jc w:val="right"/>
        <w:rPr>
          <w:rFonts w:ascii="Calibri"/>
          <w:sz w:val="14"/>
        </w:rPr>
      </w:pPr>
      <w:r>
        <w:rPr>
          <w:rFonts w:ascii="Calibri"/>
          <w:w w:val="70"/>
          <w:sz w:val="14"/>
        </w:rPr>
        <w:t>6%</w:t>
      </w:r>
    </w:p>
    <w:p>
      <w:pPr>
        <w:pStyle w:val="BodyText"/>
        <w:spacing w:before="9"/>
        <w:rPr>
          <w:rFonts w:ascii="Calibri"/>
          <w:sz w:val="13"/>
        </w:rPr>
      </w:pPr>
    </w:p>
    <w:p>
      <w:pPr>
        <w:spacing w:before="0"/>
        <w:ind w:left="0" w:right="0" w:firstLine="0"/>
        <w:jc w:val="right"/>
        <w:rPr>
          <w:rFonts w:ascii="Calibri"/>
          <w:sz w:val="14"/>
        </w:rPr>
      </w:pPr>
      <w:r>
        <w:rPr>
          <w:rFonts w:ascii="Calibri"/>
          <w:w w:val="70"/>
          <w:sz w:val="14"/>
        </w:rPr>
        <w:t>4%</w:t>
      </w:r>
    </w:p>
    <w:p>
      <w:pPr>
        <w:pStyle w:val="BodyText"/>
        <w:spacing w:before="9"/>
        <w:rPr>
          <w:rFonts w:ascii="Calibri"/>
          <w:sz w:val="13"/>
        </w:rPr>
      </w:pPr>
    </w:p>
    <w:p>
      <w:pPr>
        <w:spacing w:before="0"/>
        <w:ind w:left="0" w:right="0" w:firstLine="0"/>
        <w:jc w:val="right"/>
        <w:rPr>
          <w:rFonts w:ascii="Calibri"/>
          <w:sz w:val="14"/>
        </w:rPr>
      </w:pPr>
      <w:r>
        <w:rPr>
          <w:rFonts w:ascii="Calibri"/>
          <w:w w:val="70"/>
          <w:sz w:val="14"/>
        </w:rPr>
        <w:t>2%</w:t>
      </w:r>
    </w:p>
    <w:p>
      <w:pPr>
        <w:pStyle w:val="BodyText"/>
        <w:spacing w:before="9"/>
        <w:rPr>
          <w:rFonts w:ascii="Calibri"/>
          <w:sz w:val="13"/>
        </w:rPr>
      </w:pPr>
    </w:p>
    <w:p>
      <w:pPr>
        <w:spacing w:line="136" w:lineRule="exact" w:before="0"/>
        <w:ind w:left="0" w:right="0" w:firstLine="0"/>
        <w:jc w:val="right"/>
        <w:rPr>
          <w:rFonts w:ascii="Calibri"/>
          <w:sz w:val="14"/>
        </w:rPr>
      </w:pPr>
      <w:r>
        <w:rPr>
          <w:rFonts w:ascii="Calibri"/>
          <w:w w:val="70"/>
          <w:sz w:val="14"/>
        </w:rPr>
        <w:t>0%</w:t>
      </w:r>
    </w:p>
    <w:p>
      <w:pPr>
        <w:spacing w:line="80" w:lineRule="exact" w:before="0"/>
        <w:ind w:left="127" w:right="0" w:firstLine="0"/>
        <w:jc w:val="left"/>
        <w:rPr>
          <w:rFonts w:ascii="Calibri"/>
          <w:sz w:val="16"/>
        </w:rPr>
      </w:pPr>
      <w:r>
        <w:rPr>
          <w:rFonts w:ascii="Calibri"/>
          <w:color w:val="FF0000"/>
          <w:w w:val="85"/>
          <w:sz w:val="16"/>
        </w:rPr>
        <w:t>2005</w:t>
      </w:r>
    </w:p>
    <w:p>
      <w:pPr>
        <w:spacing w:line="254" w:lineRule="auto" w:before="73"/>
        <w:ind w:left="227" w:right="609" w:firstLine="0"/>
        <w:jc w:val="left"/>
        <w:rPr>
          <w:rFonts w:ascii="Constantia" w:hAnsi="Constantia"/>
          <w:b/>
          <w:sz w:val="17"/>
        </w:rPr>
      </w:pPr>
      <w:r>
        <w:rPr/>
        <w:br w:type="column"/>
      </w:r>
      <w:r>
        <w:rPr>
          <w:rFonts w:ascii="Constantia" w:hAnsi="Constantia"/>
          <w:b/>
          <w:color w:val="FF0000"/>
          <w:w w:val="75"/>
          <w:sz w:val="17"/>
        </w:rPr>
        <w:t>Política fiscal pro- </w:t>
      </w:r>
      <w:r>
        <w:rPr>
          <w:rFonts w:ascii="Constantia" w:hAnsi="Constantia"/>
          <w:b/>
          <w:color w:val="FF0000"/>
          <w:w w:val="85"/>
          <w:sz w:val="17"/>
        </w:rPr>
        <w:t>cíclica</w:t>
      </w:r>
    </w:p>
    <w:p>
      <w:pPr>
        <w:spacing w:before="24"/>
        <w:ind w:left="292" w:right="609" w:firstLine="0"/>
        <w:jc w:val="left"/>
        <w:rPr>
          <w:rFonts w:ascii="Calibri"/>
          <w:sz w:val="16"/>
        </w:rPr>
      </w:pPr>
      <w:r>
        <w:rPr>
          <w:rFonts w:ascii="Calibri"/>
          <w:color w:val="FF0000"/>
          <w:w w:val="85"/>
          <w:sz w:val="16"/>
        </w:rPr>
        <w:t>2004</w:t>
      </w:r>
    </w:p>
    <w:p>
      <w:pPr>
        <w:pStyle w:val="BodyText"/>
        <w:spacing w:before="4"/>
        <w:rPr>
          <w:rFonts w:ascii="Calibri"/>
          <w:sz w:val="13"/>
        </w:rPr>
      </w:pPr>
    </w:p>
    <w:p>
      <w:pPr>
        <w:spacing w:before="0"/>
        <w:ind w:left="626" w:right="609" w:firstLine="0"/>
        <w:jc w:val="left"/>
        <w:rPr>
          <w:rFonts w:ascii="Calibri"/>
          <w:sz w:val="16"/>
        </w:rPr>
      </w:pPr>
      <w:r>
        <w:rPr>
          <w:rFonts w:ascii="Calibri"/>
          <w:color w:val="FF0000"/>
          <w:w w:val="85"/>
          <w:sz w:val="16"/>
        </w:rPr>
        <w:t>2010</w:t>
      </w:r>
    </w:p>
    <w:p>
      <w:pPr>
        <w:pStyle w:val="BodyText"/>
        <w:spacing w:before="3"/>
        <w:rPr>
          <w:rFonts w:ascii="Calibri"/>
          <w:sz w:val="15"/>
        </w:rPr>
      </w:pPr>
    </w:p>
    <w:p>
      <w:pPr>
        <w:spacing w:before="0"/>
        <w:ind w:left="135" w:right="609" w:firstLine="0"/>
        <w:jc w:val="left"/>
        <w:rPr>
          <w:rFonts w:ascii="Calibri"/>
          <w:b/>
          <w:sz w:val="16"/>
        </w:rPr>
      </w:pPr>
      <w:r>
        <w:rPr>
          <w:rFonts w:ascii="Calibri"/>
          <w:b/>
          <w:color w:val="00AF50"/>
          <w:w w:val="85"/>
          <w:sz w:val="16"/>
        </w:rPr>
        <w:t>2003</w:t>
      </w:r>
    </w:p>
    <w:p>
      <w:pPr>
        <w:spacing w:after="0"/>
        <w:jc w:val="left"/>
        <w:rPr>
          <w:rFonts w:ascii="Calibri"/>
          <w:sz w:val="16"/>
        </w:rPr>
        <w:sectPr>
          <w:type w:val="continuous"/>
          <w:pgSz w:w="12250" w:h="15850"/>
          <w:pgMar w:top="1500" w:bottom="280" w:left="1600" w:right="1600"/>
          <w:cols w:num="3" w:equalWidth="0">
            <w:col w:w="6118" w:space="40"/>
            <w:col w:w="508" w:space="40"/>
            <w:col w:w="2344"/>
          </w:cols>
        </w:sectPr>
      </w:pPr>
    </w:p>
    <w:p>
      <w:pPr>
        <w:spacing w:line="159" w:lineRule="exact" w:before="80"/>
        <w:ind w:left="0" w:right="0" w:firstLine="0"/>
        <w:jc w:val="right"/>
        <w:rPr>
          <w:rFonts w:ascii="Constantia"/>
          <w:sz w:val="15"/>
        </w:rPr>
      </w:pPr>
      <w:r>
        <w:rPr>
          <w:rFonts w:ascii="Constantia"/>
          <w:w w:val="80"/>
          <w:sz w:val="15"/>
        </w:rPr>
        <w:t>-2%</w:t>
      </w:r>
    </w:p>
    <w:p>
      <w:pPr>
        <w:spacing w:line="166" w:lineRule="exact" w:before="0"/>
        <w:ind w:left="921" w:right="0" w:firstLine="0"/>
        <w:jc w:val="left"/>
        <w:rPr>
          <w:rFonts w:ascii="Calibri"/>
          <w:sz w:val="14"/>
        </w:rPr>
      </w:pPr>
      <w:r>
        <w:rPr/>
        <w:br w:type="column"/>
      </w:r>
      <w:r>
        <w:rPr>
          <w:rFonts w:ascii="Calibri"/>
          <w:w w:val="85"/>
          <w:sz w:val="14"/>
        </w:rPr>
        <w:t>-8%  -6%  -4%  -2%   0%   2%   4%</w:t>
      </w:r>
      <w:r>
        <w:rPr>
          <w:rFonts w:ascii="Calibri"/>
          <w:b/>
          <w:color w:val="7E7E7E"/>
          <w:w w:val="85"/>
          <w:position w:val="-5"/>
          <w:sz w:val="16"/>
        </w:rPr>
        <w:t>201</w:t>
      </w:r>
      <w:r>
        <w:rPr>
          <w:rFonts w:ascii="Calibri"/>
          <w:w w:val="85"/>
          <w:sz w:val="14"/>
        </w:rPr>
        <w:t>6</w:t>
      </w:r>
      <w:r>
        <w:rPr>
          <w:rFonts w:ascii="Calibri"/>
          <w:b/>
          <w:color w:val="7E7E7E"/>
          <w:w w:val="85"/>
          <w:position w:val="-5"/>
          <w:sz w:val="16"/>
        </w:rPr>
        <w:t>1</w:t>
      </w:r>
      <w:r>
        <w:rPr>
          <w:rFonts w:ascii="Calibri"/>
          <w:w w:val="85"/>
          <w:sz w:val="14"/>
        </w:rPr>
        <w:t>%       8%  10%</w:t>
      </w:r>
    </w:p>
    <w:p>
      <w:pPr>
        <w:spacing w:line="73" w:lineRule="exact" w:before="0"/>
        <w:ind w:left="1709" w:right="2350" w:firstLine="0"/>
        <w:jc w:val="center"/>
        <w:rPr>
          <w:rFonts w:ascii="Calibri"/>
          <w:sz w:val="14"/>
        </w:rPr>
      </w:pPr>
      <w:r>
        <w:rPr>
          <w:rFonts w:ascii="Calibri"/>
          <w:w w:val="85"/>
          <w:sz w:val="14"/>
        </w:rPr>
        <w:t>-2%</w:t>
      </w:r>
    </w:p>
    <w:p>
      <w:pPr>
        <w:spacing w:after="0" w:line="73" w:lineRule="exact"/>
        <w:jc w:val="center"/>
        <w:rPr>
          <w:rFonts w:ascii="Calibri"/>
          <w:sz w:val="14"/>
        </w:rPr>
        <w:sectPr>
          <w:type w:val="continuous"/>
          <w:pgSz w:w="12250" w:h="15850"/>
          <w:pgMar w:top="1500" w:bottom="280" w:left="1600" w:right="1600"/>
          <w:cols w:num="2" w:equalWidth="0">
            <w:col w:w="1137" w:space="3632"/>
            <w:col w:w="4281"/>
          </w:cols>
        </w:sectPr>
      </w:pPr>
    </w:p>
    <w:p>
      <w:pPr>
        <w:pStyle w:val="BodyText"/>
        <w:spacing w:before="5"/>
        <w:rPr>
          <w:rFonts w:ascii="Calibri"/>
          <w:sz w:val="20"/>
        </w:rPr>
      </w:pPr>
    </w:p>
    <w:p>
      <w:pPr>
        <w:spacing w:before="0"/>
        <w:ind w:left="0" w:right="0" w:firstLine="0"/>
        <w:jc w:val="right"/>
        <w:rPr>
          <w:rFonts w:ascii="Constantia"/>
          <w:sz w:val="15"/>
        </w:rPr>
      </w:pPr>
      <w:r>
        <w:rPr>
          <w:rFonts w:ascii="Constantia"/>
          <w:w w:val="80"/>
          <w:sz w:val="15"/>
        </w:rPr>
        <w:t>-4%</w:t>
      </w:r>
    </w:p>
    <w:p>
      <w:pPr>
        <w:pStyle w:val="BodyText"/>
        <w:spacing w:before="6"/>
        <w:rPr>
          <w:rFonts w:ascii="Constantia"/>
          <w:sz w:val="18"/>
        </w:rPr>
      </w:pPr>
    </w:p>
    <w:p>
      <w:pPr>
        <w:spacing w:before="0"/>
        <w:ind w:left="0" w:right="1" w:firstLine="0"/>
        <w:jc w:val="right"/>
        <w:rPr>
          <w:rFonts w:ascii="Constantia"/>
          <w:sz w:val="15"/>
        </w:rPr>
      </w:pPr>
      <w:r>
        <w:rPr>
          <w:rFonts w:ascii="Constantia"/>
          <w:w w:val="85"/>
          <w:sz w:val="15"/>
        </w:rPr>
        <w:t>-6%</w:t>
      </w:r>
    </w:p>
    <w:p>
      <w:pPr>
        <w:spacing w:line="254" w:lineRule="auto" w:before="103"/>
        <w:ind w:left="910" w:right="-14" w:firstLine="0"/>
        <w:jc w:val="left"/>
        <w:rPr>
          <w:rFonts w:ascii="Constantia" w:hAnsi="Constantia"/>
          <w:b/>
          <w:sz w:val="17"/>
        </w:rPr>
      </w:pPr>
      <w:r>
        <w:rPr/>
        <w:br w:type="column"/>
      </w:r>
      <w:r>
        <w:rPr>
          <w:rFonts w:ascii="Constantia" w:hAnsi="Constantia"/>
          <w:b/>
          <w:color w:val="FF0000"/>
          <w:w w:val="75"/>
          <w:sz w:val="17"/>
        </w:rPr>
        <w:t>Política</w:t>
      </w:r>
      <w:r>
        <w:rPr>
          <w:rFonts w:ascii="Constantia" w:hAnsi="Constantia"/>
          <w:b/>
          <w:color w:val="FF0000"/>
          <w:spacing w:val="-14"/>
          <w:w w:val="75"/>
          <w:sz w:val="17"/>
        </w:rPr>
        <w:t> </w:t>
      </w:r>
      <w:r>
        <w:rPr>
          <w:rFonts w:ascii="Constantia" w:hAnsi="Constantia"/>
          <w:b/>
          <w:color w:val="FF0000"/>
          <w:w w:val="75"/>
          <w:sz w:val="17"/>
        </w:rPr>
        <w:t>fiscal</w:t>
      </w:r>
      <w:r>
        <w:rPr>
          <w:rFonts w:ascii="Constantia" w:hAnsi="Constantia"/>
          <w:b/>
          <w:color w:val="FF0000"/>
          <w:spacing w:val="-12"/>
          <w:w w:val="75"/>
          <w:sz w:val="17"/>
        </w:rPr>
        <w:t> </w:t>
      </w:r>
      <w:r>
        <w:rPr>
          <w:rFonts w:ascii="Constantia" w:hAnsi="Constantia"/>
          <w:b/>
          <w:color w:val="FF0000"/>
          <w:w w:val="75"/>
          <w:sz w:val="17"/>
        </w:rPr>
        <w:t>pro- </w:t>
      </w:r>
      <w:r>
        <w:rPr>
          <w:rFonts w:ascii="Constantia" w:hAnsi="Constantia"/>
          <w:b/>
          <w:color w:val="FF0000"/>
          <w:w w:val="85"/>
          <w:sz w:val="17"/>
        </w:rPr>
        <w:t>cíclica</w:t>
      </w:r>
    </w:p>
    <w:p>
      <w:pPr>
        <w:spacing w:line="166" w:lineRule="exact" w:before="0"/>
        <w:ind w:left="215" w:right="-8" w:firstLine="0"/>
        <w:jc w:val="left"/>
        <w:rPr>
          <w:rFonts w:ascii="Calibri"/>
          <w:sz w:val="16"/>
        </w:rPr>
      </w:pPr>
      <w:r>
        <w:rPr/>
        <w:br w:type="column"/>
      </w:r>
      <w:r>
        <w:rPr>
          <w:rFonts w:ascii="Calibri"/>
          <w:color w:val="FF0000"/>
          <w:spacing w:val="-5"/>
          <w:w w:val="80"/>
          <w:sz w:val="16"/>
        </w:rPr>
        <w:t>2008</w:t>
      </w:r>
    </w:p>
    <w:p>
      <w:pPr>
        <w:pStyle w:val="BodyText"/>
        <w:spacing w:before="9"/>
        <w:rPr>
          <w:rFonts w:ascii="Calibri"/>
          <w:sz w:val="19"/>
        </w:rPr>
      </w:pPr>
    </w:p>
    <w:p>
      <w:pPr>
        <w:spacing w:before="0"/>
        <w:ind w:left="247" w:right="-8" w:firstLine="0"/>
        <w:jc w:val="left"/>
        <w:rPr>
          <w:rFonts w:ascii="Calibri"/>
          <w:sz w:val="16"/>
        </w:rPr>
      </w:pPr>
      <w:r>
        <w:rPr>
          <w:rFonts w:ascii="Calibri"/>
          <w:color w:val="FF0000"/>
          <w:spacing w:val="-5"/>
          <w:w w:val="70"/>
          <w:sz w:val="16"/>
        </w:rPr>
        <w:t>2007</w:t>
      </w:r>
    </w:p>
    <w:p>
      <w:pPr>
        <w:pStyle w:val="BodyText"/>
        <w:spacing w:before="2"/>
        <w:rPr>
          <w:rFonts w:ascii="Calibri"/>
          <w:sz w:val="18"/>
        </w:rPr>
      </w:pPr>
      <w:r>
        <w:rPr/>
        <w:br w:type="column"/>
      </w:r>
      <w:r>
        <w:rPr>
          <w:rFonts w:ascii="Calibri"/>
          <w:sz w:val="18"/>
        </w:rPr>
      </w:r>
    </w:p>
    <w:p>
      <w:pPr>
        <w:spacing w:before="0"/>
        <w:ind w:left="28" w:right="-18" w:firstLine="0"/>
        <w:jc w:val="left"/>
        <w:rPr>
          <w:rFonts w:ascii="Calibri"/>
          <w:sz w:val="14"/>
        </w:rPr>
      </w:pPr>
      <w:r>
        <w:rPr>
          <w:rFonts w:ascii="Calibri"/>
          <w:w w:val="75"/>
          <w:sz w:val="14"/>
        </w:rPr>
        <w:t>-4%</w:t>
      </w:r>
    </w:p>
    <w:p>
      <w:pPr>
        <w:pStyle w:val="BodyText"/>
        <w:spacing w:before="9"/>
        <w:rPr>
          <w:rFonts w:ascii="Calibri"/>
          <w:sz w:val="13"/>
        </w:rPr>
      </w:pPr>
    </w:p>
    <w:p>
      <w:pPr>
        <w:spacing w:before="0"/>
        <w:ind w:left="28" w:right="-18" w:firstLine="0"/>
        <w:jc w:val="left"/>
        <w:rPr>
          <w:rFonts w:ascii="Calibri"/>
          <w:sz w:val="14"/>
        </w:rPr>
      </w:pPr>
      <w:r>
        <w:rPr>
          <w:rFonts w:ascii="Calibri"/>
          <w:w w:val="75"/>
          <w:sz w:val="14"/>
        </w:rPr>
        <w:t>-6%</w:t>
      </w:r>
    </w:p>
    <w:p>
      <w:pPr>
        <w:pStyle w:val="BodyText"/>
        <w:spacing w:before="1"/>
        <w:rPr>
          <w:rFonts w:ascii="Calibri"/>
          <w:sz w:val="19"/>
        </w:rPr>
      </w:pPr>
      <w:r>
        <w:rPr/>
        <w:br w:type="column"/>
      </w:r>
      <w:r>
        <w:rPr>
          <w:rFonts w:ascii="Calibri"/>
          <w:sz w:val="19"/>
        </w:rPr>
      </w:r>
    </w:p>
    <w:p>
      <w:pPr>
        <w:spacing w:line="254" w:lineRule="auto" w:before="0"/>
        <w:ind w:left="260" w:right="0" w:firstLine="0"/>
        <w:jc w:val="left"/>
        <w:rPr>
          <w:rFonts w:ascii="Constantia" w:hAnsi="Constantia"/>
          <w:b/>
          <w:sz w:val="17"/>
        </w:rPr>
      </w:pPr>
      <w:r>
        <w:rPr>
          <w:rFonts w:ascii="Constantia" w:hAnsi="Constantia"/>
          <w:b/>
          <w:color w:val="7E7E7E"/>
          <w:w w:val="75"/>
          <w:sz w:val="17"/>
        </w:rPr>
        <w:t>Política fiscal </w:t>
      </w:r>
      <w:r>
        <w:rPr>
          <w:rFonts w:ascii="Constantia" w:hAnsi="Constantia"/>
          <w:b/>
          <w:color w:val="7E7E7E"/>
          <w:w w:val="70"/>
          <w:sz w:val="17"/>
        </w:rPr>
        <w:t>contra-cíclica</w:t>
      </w:r>
    </w:p>
    <w:p>
      <w:pPr>
        <w:spacing w:before="52"/>
        <w:ind w:left="-32" w:right="0" w:firstLine="0"/>
        <w:jc w:val="left"/>
        <w:rPr>
          <w:rFonts w:ascii="Calibri"/>
          <w:b/>
          <w:sz w:val="16"/>
        </w:rPr>
      </w:pPr>
      <w:r>
        <w:rPr/>
        <w:br w:type="column"/>
      </w:r>
      <w:r>
        <w:rPr>
          <w:rFonts w:ascii="Calibri"/>
          <w:b/>
          <w:color w:val="7E7E7E"/>
          <w:w w:val="85"/>
          <w:sz w:val="16"/>
        </w:rPr>
        <w:t>2006</w:t>
      </w:r>
    </w:p>
    <w:p>
      <w:pPr>
        <w:spacing w:after="0"/>
        <w:jc w:val="left"/>
        <w:rPr>
          <w:rFonts w:ascii="Calibri"/>
          <w:sz w:val="16"/>
        </w:rPr>
        <w:sectPr>
          <w:type w:val="continuous"/>
          <w:pgSz w:w="12250" w:h="15850"/>
          <w:pgMar w:top="1500" w:bottom="280" w:left="1600" w:right="1600"/>
          <w:cols w:num="6" w:equalWidth="0">
            <w:col w:w="1135" w:space="2805"/>
            <w:col w:w="1988" w:space="40"/>
            <w:col w:w="467" w:space="40"/>
            <w:col w:w="191" w:space="40"/>
            <w:col w:w="1073" w:space="40"/>
            <w:col w:w="1231"/>
          </w:cols>
        </w:sectPr>
      </w:pPr>
    </w:p>
    <w:p>
      <w:pPr>
        <w:spacing w:before="27"/>
        <w:ind w:left="810" w:right="0" w:firstLine="0"/>
        <w:jc w:val="left"/>
        <w:rPr>
          <w:sz w:val="20"/>
        </w:rPr>
      </w:pPr>
      <w:r>
        <w:rPr>
          <w:sz w:val="20"/>
        </w:rPr>
        <w:t>Fuente: Estimaciones propias con base en información del Banco Central de Bolivia (2012).</w:t>
      </w:r>
    </w:p>
    <w:p>
      <w:pPr>
        <w:spacing w:after="0"/>
        <w:jc w:val="left"/>
        <w:rPr>
          <w:sz w:val="20"/>
        </w:rPr>
        <w:sectPr>
          <w:type w:val="continuous"/>
          <w:pgSz w:w="12250" w:h="15850"/>
          <w:pgMar w:top="1500" w:bottom="280" w:left="1600" w:right="1600"/>
        </w:sectPr>
      </w:pPr>
    </w:p>
    <w:p>
      <w:pPr>
        <w:pStyle w:val="BodyText"/>
        <w:spacing w:line="360" w:lineRule="auto" w:before="50"/>
        <w:ind w:left="102" w:right="119" w:firstLine="707"/>
        <w:jc w:val="both"/>
      </w:pPr>
      <w:r>
        <w:rPr/>
        <w:t>Durante el período 2007-2009 (post-nacionalización), se evidenció la mayor procíclicalidad de la política fiscal: el cociente impulso fiscal (FI)/ variación de la brecha fue lo más cercano a 1. Para el período 2010 – 2011 se observó una orientación menos procíclica con tendencia a la neutralidad (el coeficiente se aproximó a cero).</w:t>
      </w:r>
    </w:p>
    <w:p>
      <w:pPr>
        <w:pStyle w:val="BodyText"/>
      </w:pPr>
    </w:p>
    <w:p>
      <w:pPr>
        <w:pStyle w:val="BodyText"/>
        <w:spacing w:before="140" w:after="35"/>
        <w:ind w:right="70"/>
        <w:jc w:val="center"/>
      </w:pPr>
      <w:bookmarkStart w:name="_bookmark98" w:id="137"/>
      <w:bookmarkEnd w:id="137"/>
      <w:r>
        <w:rPr/>
      </w:r>
      <w:r>
        <w:rPr/>
        <w:t>Cuadro 3. 8: Procíclicalidad de la política fiscal (Promedio por períodos)</w:t>
      </w:r>
    </w:p>
    <w:tbl>
      <w:tblPr>
        <w:tblW w:w="0" w:type="auto"/>
        <w:jc w:val="left"/>
        <w:tblInd w:w="152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59"/>
        <w:gridCol w:w="1116"/>
        <w:gridCol w:w="1475"/>
        <w:gridCol w:w="999"/>
        <w:gridCol w:w="1579"/>
      </w:tblGrid>
      <w:tr>
        <w:trPr>
          <w:trHeight w:val="523" w:hRule="exact"/>
        </w:trPr>
        <w:tc>
          <w:tcPr>
            <w:tcW w:w="1259" w:type="dxa"/>
            <w:tcBorders>
              <w:bottom w:val="double" w:sz="4" w:space="0" w:color="000000"/>
            </w:tcBorders>
          </w:tcPr>
          <w:p>
            <w:pPr>
              <w:pStyle w:val="TableParagraph"/>
              <w:spacing w:before="6"/>
              <w:jc w:val="left"/>
              <w:rPr>
                <w:sz w:val="22"/>
              </w:rPr>
            </w:pPr>
          </w:p>
          <w:p>
            <w:pPr>
              <w:pStyle w:val="TableParagraph"/>
              <w:ind w:left="82" w:right="81"/>
              <w:rPr>
                <w:rFonts w:ascii="Constantia" w:hAnsi="Constantia"/>
                <w:sz w:val="21"/>
              </w:rPr>
            </w:pPr>
            <w:r>
              <w:rPr>
                <w:rFonts w:ascii="Constantia" w:hAnsi="Constantia"/>
                <w:w w:val="110"/>
                <w:sz w:val="21"/>
              </w:rPr>
              <w:t>Período</w:t>
            </w:r>
          </w:p>
        </w:tc>
        <w:tc>
          <w:tcPr>
            <w:tcW w:w="1116" w:type="dxa"/>
            <w:tcBorders>
              <w:bottom w:val="double" w:sz="4" w:space="0" w:color="000000"/>
            </w:tcBorders>
          </w:tcPr>
          <w:p>
            <w:pPr>
              <w:pStyle w:val="TableParagraph"/>
              <w:spacing w:line="240" w:lineRule="exact"/>
              <w:ind w:left="117" w:firstLine="60"/>
              <w:jc w:val="left"/>
              <w:rPr>
                <w:rFonts w:ascii="Constantia"/>
                <w:sz w:val="21"/>
              </w:rPr>
            </w:pPr>
            <w:r>
              <w:rPr>
                <w:rFonts w:ascii="Constantia"/>
                <w:w w:val="110"/>
                <w:sz w:val="21"/>
              </w:rPr>
              <w:t>Impulso</w:t>
            </w:r>
          </w:p>
          <w:p>
            <w:pPr>
              <w:pStyle w:val="TableParagraph"/>
              <w:spacing w:before="20"/>
              <w:ind w:left="117"/>
              <w:jc w:val="left"/>
              <w:rPr>
                <w:rFonts w:ascii="Constantia"/>
                <w:sz w:val="21"/>
              </w:rPr>
            </w:pPr>
            <w:r>
              <w:rPr>
                <w:rFonts w:ascii="Constantia"/>
                <w:w w:val="110"/>
                <w:sz w:val="21"/>
              </w:rPr>
              <w:t>fiscal (FI)</w:t>
            </w:r>
          </w:p>
        </w:tc>
        <w:tc>
          <w:tcPr>
            <w:tcW w:w="1475" w:type="dxa"/>
            <w:tcBorders>
              <w:bottom w:val="double" w:sz="4" w:space="0" w:color="000000"/>
            </w:tcBorders>
          </w:tcPr>
          <w:p>
            <w:pPr>
              <w:pStyle w:val="TableParagraph"/>
              <w:spacing w:line="240" w:lineRule="exact"/>
              <w:ind w:left="78"/>
              <w:jc w:val="left"/>
              <w:rPr>
                <w:rFonts w:ascii="Constantia" w:hAnsi="Constantia"/>
                <w:sz w:val="21"/>
              </w:rPr>
            </w:pPr>
            <w:r>
              <w:rPr>
                <w:rFonts w:ascii="Constantia" w:hAnsi="Constantia"/>
                <w:w w:val="110"/>
                <w:sz w:val="21"/>
              </w:rPr>
              <w:t>∆ Brecha del</w:t>
            </w:r>
          </w:p>
          <w:p>
            <w:pPr>
              <w:pStyle w:val="TableParagraph"/>
              <w:spacing w:before="20"/>
              <w:ind w:left="78"/>
              <w:jc w:val="left"/>
              <w:rPr>
                <w:rFonts w:ascii="Constantia"/>
                <w:sz w:val="21"/>
              </w:rPr>
            </w:pPr>
            <w:r>
              <w:rPr>
                <w:rFonts w:ascii="Constantia"/>
                <w:w w:val="110"/>
                <w:sz w:val="21"/>
              </w:rPr>
              <w:t>PIB (Brecha)</w:t>
            </w:r>
          </w:p>
        </w:tc>
        <w:tc>
          <w:tcPr>
            <w:tcW w:w="999" w:type="dxa"/>
            <w:tcBorders>
              <w:bottom w:val="double" w:sz="4" w:space="0" w:color="000000"/>
            </w:tcBorders>
          </w:tcPr>
          <w:p>
            <w:pPr>
              <w:pStyle w:val="TableParagraph"/>
              <w:spacing w:line="259" w:lineRule="auto"/>
              <w:ind w:left="159" w:firstLine="95"/>
              <w:jc w:val="left"/>
              <w:rPr>
                <w:rFonts w:ascii="Constantia" w:hAnsi="Constantia"/>
                <w:sz w:val="21"/>
              </w:rPr>
            </w:pPr>
            <w:r>
              <w:rPr>
                <w:rFonts w:ascii="Constantia" w:hAnsi="Constantia"/>
                <w:w w:val="110"/>
                <w:sz w:val="21"/>
              </w:rPr>
              <w:t>FI/ ∆ Brecha</w:t>
            </w:r>
          </w:p>
        </w:tc>
        <w:tc>
          <w:tcPr>
            <w:tcW w:w="1579" w:type="dxa"/>
            <w:tcBorders>
              <w:bottom w:val="double" w:sz="4" w:space="0" w:color="000000"/>
            </w:tcBorders>
          </w:tcPr>
          <w:p>
            <w:pPr>
              <w:pStyle w:val="TableParagraph"/>
              <w:spacing w:line="240" w:lineRule="exact"/>
              <w:ind w:left="224" w:right="105"/>
              <w:rPr>
                <w:rFonts w:ascii="Constantia" w:hAnsi="Constantia"/>
                <w:sz w:val="21"/>
              </w:rPr>
            </w:pPr>
            <w:r>
              <w:rPr>
                <w:rFonts w:ascii="Constantia" w:hAnsi="Constantia"/>
                <w:w w:val="110"/>
                <w:sz w:val="21"/>
              </w:rPr>
              <w:t>Orientación</w:t>
            </w:r>
          </w:p>
          <w:p>
            <w:pPr>
              <w:pStyle w:val="TableParagraph"/>
              <w:spacing w:before="20"/>
              <w:ind w:left="224" w:right="103"/>
              <w:rPr>
                <w:rFonts w:ascii="Constantia"/>
                <w:sz w:val="21"/>
              </w:rPr>
            </w:pPr>
            <w:r>
              <w:rPr>
                <w:rFonts w:ascii="Constantia"/>
                <w:w w:val="110"/>
                <w:sz w:val="21"/>
              </w:rPr>
              <w:t>fiscal</w:t>
            </w:r>
          </w:p>
        </w:tc>
      </w:tr>
      <w:tr>
        <w:trPr>
          <w:trHeight w:val="309" w:hRule="exact"/>
        </w:trPr>
        <w:tc>
          <w:tcPr>
            <w:tcW w:w="1259" w:type="dxa"/>
            <w:tcBorders>
              <w:top w:val="double" w:sz="4" w:space="0" w:color="000000"/>
            </w:tcBorders>
          </w:tcPr>
          <w:p>
            <w:pPr>
              <w:pStyle w:val="TableParagraph"/>
              <w:spacing w:before="10"/>
              <w:ind w:left="94" w:right="81"/>
              <w:rPr>
                <w:rFonts w:ascii="Constantia"/>
                <w:sz w:val="21"/>
              </w:rPr>
            </w:pPr>
            <w:r>
              <w:rPr>
                <w:rFonts w:ascii="Constantia"/>
                <w:w w:val="110"/>
                <w:sz w:val="21"/>
              </w:rPr>
              <w:t>2003-2006</w:t>
            </w:r>
          </w:p>
        </w:tc>
        <w:tc>
          <w:tcPr>
            <w:tcW w:w="1116" w:type="dxa"/>
            <w:tcBorders>
              <w:top w:val="double" w:sz="4" w:space="0" w:color="000000"/>
            </w:tcBorders>
          </w:tcPr>
          <w:p>
            <w:pPr>
              <w:pStyle w:val="TableParagraph"/>
              <w:spacing w:before="10"/>
              <w:ind w:left="372" w:right="324"/>
              <w:rPr>
                <w:rFonts w:ascii="Constantia"/>
                <w:sz w:val="21"/>
              </w:rPr>
            </w:pPr>
            <w:r>
              <w:rPr>
                <w:rFonts w:ascii="Constantia"/>
                <w:w w:val="110"/>
                <w:sz w:val="21"/>
              </w:rPr>
              <w:t>1%</w:t>
            </w:r>
          </w:p>
        </w:tc>
        <w:tc>
          <w:tcPr>
            <w:tcW w:w="1475" w:type="dxa"/>
            <w:tcBorders>
              <w:top w:val="double" w:sz="4" w:space="0" w:color="000000"/>
            </w:tcBorders>
          </w:tcPr>
          <w:p>
            <w:pPr>
              <w:pStyle w:val="TableParagraph"/>
              <w:spacing w:before="10"/>
              <w:ind w:left="545"/>
              <w:jc w:val="left"/>
              <w:rPr>
                <w:rFonts w:ascii="Constantia"/>
                <w:sz w:val="21"/>
              </w:rPr>
            </w:pPr>
            <w:r>
              <w:rPr>
                <w:rFonts w:ascii="Constantia"/>
                <w:w w:val="110"/>
                <w:sz w:val="21"/>
              </w:rPr>
              <w:t>3%</w:t>
            </w:r>
          </w:p>
        </w:tc>
        <w:tc>
          <w:tcPr>
            <w:tcW w:w="999" w:type="dxa"/>
            <w:tcBorders>
              <w:top w:val="double" w:sz="4" w:space="0" w:color="000000"/>
            </w:tcBorders>
          </w:tcPr>
          <w:p>
            <w:pPr>
              <w:pStyle w:val="TableParagraph"/>
              <w:spacing w:line="255" w:lineRule="exact"/>
              <w:ind w:left="255"/>
              <w:jc w:val="left"/>
              <w:rPr>
                <w:rFonts w:ascii="Constantia"/>
                <w:sz w:val="21"/>
              </w:rPr>
            </w:pPr>
            <w:r>
              <w:rPr>
                <w:rFonts w:ascii="Constantia"/>
                <w:w w:val="110"/>
                <w:sz w:val="21"/>
              </w:rPr>
              <w:t>0.24</w:t>
            </w:r>
          </w:p>
        </w:tc>
        <w:tc>
          <w:tcPr>
            <w:tcW w:w="1579" w:type="dxa"/>
            <w:tcBorders>
              <w:top w:val="double" w:sz="4" w:space="0" w:color="000000"/>
            </w:tcBorders>
          </w:tcPr>
          <w:p>
            <w:pPr>
              <w:pStyle w:val="TableParagraph"/>
              <w:spacing w:before="10"/>
              <w:ind w:left="166"/>
              <w:jc w:val="left"/>
              <w:rPr>
                <w:rFonts w:ascii="Constantia" w:hAnsi="Constantia"/>
                <w:sz w:val="21"/>
              </w:rPr>
            </w:pPr>
            <w:r>
              <w:rPr>
                <w:rFonts w:ascii="Constantia" w:hAnsi="Constantia"/>
                <w:w w:val="110"/>
                <w:sz w:val="21"/>
              </w:rPr>
              <w:t>Procíclica</w:t>
            </w:r>
          </w:p>
        </w:tc>
      </w:tr>
      <w:tr>
        <w:trPr>
          <w:trHeight w:val="276" w:hRule="exact"/>
        </w:trPr>
        <w:tc>
          <w:tcPr>
            <w:tcW w:w="1259" w:type="dxa"/>
          </w:tcPr>
          <w:p>
            <w:pPr>
              <w:pStyle w:val="TableParagraph"/>
              <w:spacing w:line="247" w:lineRule="exact"/>
              <w:ind w:left="95" w:right="81"/>
              <w:rPr>
                <w:rFonts w:ascii="Constantia"/>
                <w:sz w:val="21"/>
              </w:rPr>
            </w:pPr>
            <w:r>
              <w:rPr>
                <w:rFonts w:ascii="Constantia"/>
                <w:w w:val="110"/>
                <w:sz w:val="21"/>
              </w:rPr>
              <w:t>2007-2009</w:t>
            </w:r>
          </w:p>
        </w:tc>
        <w:tc>
          <w:tcPr>
            <w:tcW w:w="1116" w:type="dxa"/>
          </w:tcPr>
          <w:p>
            <w:pPr>
              <w:pStyle w:val="TableParagraph"/>
              <w:spacing w:line="247" w:lineRule="exact"/>
              <w:ind w:left="372" w:right="324"/>
              <w:rPr>
                <w:rFonts w:ascii="Constantia"/>
                <w:sz w:val="21"/>
              </w:rPr>
            </w:pPr>
            <w:r>
              <w:rPr>
                <w:rFonts w:ascii="Constantia"/>
                <w:w w:val="110"/>
                <w:sz w:val="21"/>
              </w:rPr>
              <w:t>-3%</w:t>
            </w:r>
          </w:p>
        </w:tc>
        <w:tc>
          <w:tcPr>
            <w:tcW w:w="1475" w:type="dxa"/>
          </w:tcPr>
          <w:p>
            <w:pPr>
              <w:pStyle w:val="TableParagraph"/>
              <w:spacing w:line="247" w:lineRule="exact"/>
              <w:ind w:left="509"/>
              <w:jc w:val="left"/>
              <w:rPr>
                <w:rFonts w:ascii="Constantia"/>
                <w:sz w:val="21"/>
              </w:rPr>
            </w:pPr>
            <w:r>
              <w:rPr>
                <w:rFonts w:ascii="Constantia"/>
                <w:w w:val="110"/>
                <w:sz w:val="21"/>
              </w:rPr>
              <w:t>-3%</w:t>
            </w:r>
          </w:p>
        </w:tc>
        <w:tc>
          <w:tcPr>
            <w:tcW w:w="999" w:type="dxa"/>
          </w:tcPr>
          <w:p>
            <w:pPr>
              <w:pStyle w:val="TableParagraph"/>
              <w:spacing w:line="247" w:lineRule="exact"/>
              <w:ind w:left="255"/>
              <w:jc w:val="left"/>
              <w:rPr>
                <w:rFonts w:ascii="Constantia"/>
                <w:sz w:val="21"/>
              </w:rPr>
            </w:pPr>
            <w:r>
              <w:rPr>
                <w:rFonts w:ascii="Constantia"/>
                <w:w w:val="110"/>
                <w:sz w:val="21"/>
              </w:rPr>
              <w:t>0.76</w:t>
            </w:r>
          </w:p>
        </w:tc>
        <w:tc>
          <w:tcPr>
            <w:tcW w:w="1579" w:type="dxa"/>
          </w:tcPr>
          <w:p>
            <w:pPr>
              <w:pStyle w:val="TableParagraph"/>
              <w:spacing w:line="247" w:lineRule="exact"/>
              <w:ind w:left="166"/>
              <w:jc w:val="left"/>
              <w:rPr>
                <w:rFonts w:ascii="Constantia" w:hAnsi="Constantia"/>
                <w:sz w:val="21"/>
              </w:rPr>
            </w:pPr>
            <w:r>
              <w:rPr>
                <w:rFonts w:ascii="Constantia" w:hAnsi="Constantia"/>
                <w:w w:val="110"/>
                <w:sz w:val="21"/>
              </w:rPr>
              <w:t>Procíclica</w:t>
            </w:r>
          </w:p>
        </w:tc>
      </w:tr>
      <w:tr>
        <w:trPr>
          <w:trHeight w:val="252" w:hRule="exact"/>
        </w:trPr>
        <w:tc>
          <w:tcPr>
            <w:tcW w:w="1259" w:type="dxa"/>
            <w:tcBorders>
              <w:bottom w:val="single" w:sz="4" w:space="0" w:color="000000"/>
            </w:tcBorders>
          </w:tcPr>
          <w:p>
            <w:pPr>
              <w:pStyle w:val="TableParagraph"/>
              <w:spacing w:line="247" w:lineRule="exact"/>
              <w:ind w:left="80" w:right="81"/>
              <w:rPr>
                <w:rFonts w:ascii="Constantia"/>
                <w:sz w:val="21"/>
              </w:rPr>
            </w:pPr>
            <w:r>
              <w:rPr>
                <w:rFonts w:ascii="Constantia"/>
                <w:w w:val="110"/>
                <w:sz w:val="21"/>
              </w:rPr>
              <w:t>2010-2011</w:t>
            </w:r>
          </w:p>
        </w:tc>
        <w:tc>
          <w:tcPr>
            <w:tcW w:w="1116" w:type="dxa"/>
            <w:tcBorders>
              <w:bottom w:val="single" w:sz="4" w:space="0" w:color="000000"/>
            </w:tcBorders>
          </w:tcPr>
          <w:p>
            <w:pPr>
              <w:pStyle w:val="TableParagraph"/>
              <w:spacing w:line="247" w:lineRule="exact"/>
              <w:ind w:left="372" w:right="324"/>
              <w:rPr>
                <w:rFonts w:ascii="Constantia"/>
                <w:sz w:val="21"/>
              </w:rPr>
            </w:pPr>
            <w:r>
              <w:rPr>
                <w:rFonts w:ascii="Constantia"/>
                <w:w w:val="110"/>
                <w:sz w:val="21"/>
              </w:rPr>
              <w:t>1%</w:t>
            </w:r>
          </w:p>
        </w:tc>
        <w:tc>
          <w:tcPr>
            <w:tcW w:w="1475" w:type="dxa"/>
            <w:tcBorders>
              <w:bottom w:val="single" w:sz="4" w:space="0" w:color="000000"/>
            </w:tcBorders>
          </w:tcPr>
          <w:p>
            <w:pPr>
              <w:pStyle w:val="TableParagraph"/>
              <w:spacing w:line="247" w:lineRule="exact"/>
              <w:ind w:left="545"/>
              <w:jc w:val="left"/>
              <w:rPr>
                <w:rFonts w:ascii="Constantia"/>
                <w:sz w:val="21"/>
              </w:rPr>
            </w:pPr>
            <w:r>
              <w:rPr>
                <w:rFonts w:ascii="Constantia"/>
                <w:w w:val="110"/>
                <w:sz w:val="21"/>
              </w:rPr>
              <w:t>4%</w:t>
            </w:r>
          </w:p>
        </w:tc>
        <w:tc>
          <w:tcPr>
            <w:tcW w:w="999" w:type="dxa"/>
            <w:tcBorders>
              <w:bottom w:val="single" w:sz="4" w:space="0" w:color="000000"/>
            </w:tcBorders>
          </w:tcPr>
          <w:p>
            <w:pPr>
              <w:pStyle w:val="TableParagraph"/>
              <w:spacing w:line="247" w:lineRule="exact"/>
              <w:ind w:left="279"/>
              <w:jc w:val="left"/>
              <w:rPr>
                <w:rFonts w:ascii="Constantia"/>
                <w:sz w:val="21"/>
              </w:rPr>
            </w:pPr>
            <w:r>
              <w:rPr>
                <w:rFonts w:ascii="Constantia"/>
                <w:w w:val="110"/>
                <w:sz w:val="21"/>
              </w:rPr>
              <w:t>0.17</w:t>
            </w:r>
          </w:p>
        </w:tc>
        <w:tc>
          <w:tcPr>
            <w:tcW w:w="1579" w:type="dxa"/>
            <w:tcBorders>
              <w:bottom w:val="single" w:sz="4" w:space="0" w:color="000000"/>
            </w:tcBorders>
          </w:tcPr>
          <w:p>
            <w:pPr>
              <w:pStyle w:val="TableParagraph"/>
              <w:spacing w:line="247" w:lineRule="exact"/>
              <w:ind w:left="166"/>
              <w:jc w:val="left"/>
              <w:rPr>
                <w:rFonts w:ascii="Constantia" w:hAnsi="Constantia"/>
                <w:sz w:val="21"/>
              </w:rPr>
            </w:pPr>
            <w:r>
              <w:rPr>
                <w:rFonts w:ascii="Constantia" w:hAnsi="Constantia"/>
                <w:w w:val="110"/>
                <w:sz w:val="21"/>
              </w:rPr>
              <w:t>Procíclica</w:t>
            </w:r>
          </w:p>
        </w:tc>
      </w:tr>
    </w:tbl>
    <w:p>
      <w:pPr>
        <w:spacing w:before="7"/>
        <w:ind w:left="0" w:right="70" w:firstLine="0"/>
        <w:jc w:val="center"/>
        <w:rPr>
          <w:sz w:val="20"/>
        </w:rPr>
      </w:pPr>
      <w:r>
        <w:rPr>
          <w:sz w:val="20"/>
        </w:rPr>
        <w:t>Fuente: Estimaciones propias con base en información del Banco Central de Bolivia (2012).</w:t>
      </w:r>
    </w:p>
    <w:p>
      <w:pPr>
        <w:pStyle w:val="BodyText"/>
        <w:rPr>
          <w:sz w:val="20"/>
        </w:rPr>
      </w:pPr>
    </w:p>
    <w:p>
      <w:pPr>
        <w:pStyle w:val="BodyText"/>
        <w:rPr>
          <w:sz w:val="25"/>
        </w:rPr>
      </w:pPr>
    </w:p>
    <w:p>
      <w:pPr>
        <w:pStyle w:val="ListParagraph"/>
        <w:numPr>
          <w:ilvl w:val="3"/>
          <w:numId w:val="13"/>
        </w:numPr>
        <w:tabs>
          <w:tab w:pos="1530" w:val="left" w:leader="none"/>
        </w:tabs>
        <w:spacing w:line="240" w:lineRule="auto" w:before="0" w:after="0"/>
        <w:ind w:left="1530" w:right="0" w:hanging="360"/>
        <w:jc w:val="left"/>
        <w:rPr>
          <w:i/>
          <w:sz w:val="24"/>
        </w:rPr>
      </w:pPr>
      <w:r>
        <w:rPr>
          <w:i/>
          <w:sz w:val="24"/>
        </w:rPr>
        <w:t>Balance global efectivo versus balance fiscal cíclicamente</w:t>
      </w:r>
      <w:r>
        <w:rPr>
          <w:i/>
          <w:spacing w:val="-9"/>
          <w:sz w:val="24"/>
        </w:rPr>
        <w:t> </w:t>
      </w:r>
      <w:r>
        <w:rPr>
          <w:i/>
          <w:sz w:val="24"/>
        </w:rPr>
        <w:t>ajustado</w:t>
      </w:r>
    </w:p>
    <w:p>
      <w:pPr>
        <w:pStyle w:val="BodyText"/>
        <w:spacing w:before="8"/>
        <w:rPr>
          <w:i/>
          <w:sz w:val="32"/>
        </w:rPr>
      </w:pPr>
    </w:p>
    <w:p>
      <w:pPr>
        <w:pStyle w:val="BodyText"/>
        <w:spacing w:line="360" w:lineRule="auto" w:before="1"/>
        <w:ind w:left="102" w:right="118" w:firstLine="707"/>
        <w:jc w:val="both"/>
      </w:pPr>
      <w:r>
        <w:rPr/>
        <w:t>De acuerdo con la </w:t>
      </w:r>
      <w:r>
        <w:rPr>
          <w:i/>
        </w:rPr>
        <w:t>figura 3.6</w:t>
      </w:r>
      <w:r>
        <w:rPr/>
        <w:t>, se puede apreciar que antes de la nacionalización (2003-2005) no existían diferencias entre el balance global efectivo (el observado) y el balance cíclicamente ajustado, sugiriéndose dos aspectos: (i) la actividad gasífera generaba menor dependencia sobre la posición fiscal; (ii) la actividad económica y los precios externos giraban próximos a su equilibrio potencial. Los cambios substantivos se  apreciaron después de la</w:t>
      </w:r>
      <w:r>
        <w:rPr>
          <w:spacing w:val="-7"/>
        </w:rPr>
        <w:t> </w:t>
      </w:r>
      <w:r>
        <w:rPr/>
        <w:t>nacionalización.</w:t>
      </w:r>
    </w:p>
    <w:p>
      <w:pPr>
        <w:pStyle w:val="BodyText"/>
        <w:spacing w:line="360" w:lineRule="auto" w:before="6"/>
        <w:ind w:left="102" w:right="115" w:firstLine="707"/>
        <w:jc w:val="both"/>
      </w:pPr>
      <w:r>
        <w:rPr/>
        <w:t>La diferencia entre el balance cíclicamente ajustado y el balance observado se explica por tres fases: i) contexto externo favorable (2006 – 2008), la actividad económica  y los precios del gas natural estuvieron por encima de su nivel de equilibrio, por tanto, el resultado observado fue mayor que el balance cíclicamente ajustado; ii) recesión internacional (2009), inclusive para el 2010, los precios del gas natural y la actividad económica mostraron resultados por debajo de su equilibrio potencial: el balance cíclicamente ajustado fue mayor que el balance efectivo; iii) recuperación económica (2011), lo cual reflejó un balance efectivo mayor con relación al balance cíclico. Los resultados del balance cíclicamente ajustado para Bolivia, durante el período 2005 – 2009, fueron consistentes con los hallazgos de  Zambrano &amp; Aguilera</w:t>
      </w:r>
      <w:r>
        <w:rPr>
          <w:spacing w:val="-14"/>
        </w:rPr>
        <w:t> </w:t>
      </w:r>
      <w:r>
        <w:rPr/>
        <w:t>(2010).</w:t>
      </w:r>
    </w:p>
    <w:p>
      <w:pPr>
        <w:spacing w:after="0" w:line="360" w:lineRule="auto"/>
        <w:jc w:val="both"/>
        <w:sectPr>
          <w:pgSz w:w="12250" w:h="15850"/>
          <w:pgMar w:header="0" w:footer="1037" w:top="1360" w:bottom="1220" w:left="1600" w:right="1580"/>
        </w:sectPr>
      </w:pPr>
    </w:p>
    <w:p>
      <w:pPr>
        <w:pStyle w:val="BodyText"/>
        <w:spacing w:before="138"/>
        <w:ind w:left="154"/>
      </w:pPr>
      <w:bookmarkStart w:name="_bookmark99" w:id="138"/>
      <w:bookmarkEnd w:id="138"/>
      <w:r>
        <w:rPr/>
      </w:r>
      <w:r>
        <w:rPr/>
        <w:t>Figura 3. 6: Balance global efectivo  Vs. Balance global cíclicamente ajustado, 2003- 2011</w:t>
      </w:r>
    </w:p>
    <w:p>
      <w:pPr>
        <w:spacing w:before="73"/>
        <w:ind w:left="2331" w:right="0" w:firstLine="0"/>
        <w:jc w:val="left"/>
        <w:rPr>
          <w:rFonts w:ascii="Constantia"/>
          <w:sz w:val="16"/>
        </w:rPr>
      </w:pPr>
      <w:r>
        <w:rPr/>
        <w:pict>
          <v:group style="position:absolute;margin-left:221.841583pt;margin-top:8.678074pt;width:230.9pt;height:143.550pt;mso-position-horizontal-relative:page;mso-position-vertical-relative:paragraph;z-index:10552" coordorigin="4437,174" coordsize="4618,2871">
            <v:shape style="position:absolute;left:975;top:8945;width:6023;height:4238" coordorigin="975,8945" coordsize="6023,4238" path="m4499,3038l9048,3038m4493,2679l9042,2679m4493,2325l9042,2325m4493,1970l9042,1970m4493,1252l9042,1252m4493,898l9042,898m4493,533l9042,533m4493,179l9042,179e" filled="false" stroked="true" strokeweight=".536608pt" strokecolor="#858585">
              <v:path arrowok="t"/>
              <v:stroke dashstyle="dash"/>
            </v:shape>
            <v:shape style="position:absolute;left:908;top:8953;width:6091;height:4230" coordorigin="908,8953" coordsize="6091,4230" path="m4499,3038l4499,184m4442,3038l4499,3038m4442,2684l4499,2684m4442,2319l4499,2319m4442,1965l4499,1965m4442,1611l4499,1611m4442,1257l4499,1257m4442,893l4499,893m4442,538l4499,538m4442,184l4499,184m4499,1611l9048,1611m4499,1611l4499,1662m4998,1611l4998,1662m5509,1611l5509,1662m6008,1611l6008,1662m6518,1611l6518,1662m7018,1611l7018,1662m7528,1611l7528,1662m8039,1611l8039,1662m8538,1611l8538,1662m9048,1611l9048,1662e" filled="false" stroked="true" strokeweight=".536608pt" strokecolor="#858585">
              <v:path arrowok="t"/>
            </v:shape>
            <v:shape style="position:absolute;left:4729;top:616;width:4093;height:2307" type="#_x0000_t75" stroked="false">
              <v:imagedata r:id="rId219" o:title=""/>
            </v:shape>
            <v:shape style="position:absolute;left:4749;top:811;width:4039;height:2177" coordorigin="4749,811" coordsize="4039,2177" path="m4749,2987l4795,2951,4840,2915,4886,2880,4932,2845,4978,2810,5070,2738,5162,2661,5208,2620,5253,2577,5289,2542,5326,2509,5398,2443,5470,2374,5542,2300,5614,2217,5686,2119,5722,2064,5758,2004,5800,1922,5842,1824,5885,1713,5906,1655,5927,1595,5948,1534,5969,1472,5990,1410,6011,1349,6032,1289,6053,1230,6074,1172,6116,1066,6158,973,6200,898,6242,844,6322,811,6352,822,6412,870,6471,945,6530,1035,6560,1082,6590,1129,6649,1214,6709,1279,6768,1312,6807,1313,6846,1303,6923,1257,7001,1190,7040,1155,7079,1120,7117,1089,7156,1063,7195,1045,7234,1037,7273,1041,7340,1080,7407,1151,7475,1242,7542,1342,7576,1391,7643,1482,7710,1553,7778,1591,7820,1596,7862,1589,7946,1546,8030,1481,8072,1445,8114,1410,8198,1350,8282,1319,8338,1317,8395,1323,8451,1336,8507,1354,8563,1375,8619,1398,8675,1421,8731,1443,8787,1461e" filled="false" stroked="true" strokeweight="1.55932pt" strokecolor="#000000">
              <v:path arrowok="t"/>
              <v:stroke dashstyle="longDash"/>
            </v:shape>
            <v:line style="position:absolute" from="6252,189" to="6286,3003" stroked="true" strokeweight="1.134415pt" strokecolor="#ff0000">
              <v:stroke dashstyle="longDash"/>
            </v:line>
            <v:shape style="position:absolute;left:4437;top:174;width:4617;height:2870" type="#_x0000_t202" filled="false" stroked="false">
              <v:textbox inset="0,0,0,0">
                <w:txbxContent>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1"/>
                      <w:rPr>
                        <w:sz w:val="22"/>
                      </w:rPr>
                    </w:pPr>
                  </w:p>
                  <w:p>
                    <w:pPr>
                      <w:spacing w:before="1"/>
                      <w:ind w:left="105" w:right="0" w:firstLine="0"/>
                      <w:jc w:val="left"/>
                      <w:rPr>
                        <w:rFonts w:ascii="Constantia"/>
                        <w:sz w:val="16"/>
                      </w:rPr>
                    </w:pPr>
                    <w:r>
                      <w:rPr>
                        <w:rFonts w:ascii="Constantia"/>
                        <w:w w:val="115"/>
                        <w:sz w:val="16"/>
                      </w:rPr>
                      <w:t>2,003  2,004 2,005  2,006 2,007  2,008 2,009  2,010   2,011</w:t>
                    </w:r>
                  </w:p>
                  <w:p>
                    <w:pPr>
                      <w:spacing w:line="240" w:lineRule="auto" w:before="0"/>
                      <w:rPr>
                        <w:sz w:val="16"/>
                      </w:rPr>
                    </w:pPr>
                  </w:p>
                  <w:p>
                    <w:pPr>
                      <w:spacing w:line="240" w:lineRule="auto" w:before="1"/>
                      <w:rPr>
                        <w:sz w:val="14"/>
                      </w:rPr>
                    </w:pPr>
                  </w:p>
                  <w:p>
                    <w:pPr>
                      <w:spacing w:before="0"/>
                      <w:ind w:left="1885" w:right="0" w:firstLine="0"/>
                      <w:jc w:val="left"/>
                      <w:rPr>
                        <w:sz w:val="19"/>
                      </w:rPr>
                    </w:pPr>
                    <w:r>
                      <w:rPr>
                        <w:color w:val="FF0000"/>
                        <w:w w:val="110"/>
                        <w:sz w:val="19"/>
                      </w:rPr>
                      <w:t>Período  post-nacionalización</w:t>
                    </w:r>
                  </w:p>
                </w:txbxContent>
              </v:textbox>
              <w10:wrap type="none"/>
            </v:shape>
            <w10:wrap type="none"/>
          </v:group>
        </w:pict>
      </w:r>
      <w:r>
        <w:rPr>
          <w:rFonts w:ascii="Constantia"/>
          <w:w w:val="115"/>
          <w:sz w:val="16"/>
        </w:rPr>
        <w:t>8.0%</w:t>
      </w:r>
    </w:p>
    <w:p>
      <w:pPr>
        <w:pStyle w:val="BodyText"/>
        <w:spacing w:before="4"/>
        <w:rPr>
          <w:rFonts w:ascii="Constantia"/>
          <w:sz w:val="13"/>
        </w:rPr>
      </w:pPr>
    </w:p>
    <w:p>
      <w:pPr>
        <w:spacing w:before="0"/>
        <w:ind w:left="2331" w:right="0" w:firstLine="0"/>
        <w:jc w:val="left"/>
        <w:rPr>
          <w:rFonts w:ascii="Constantia"/>
          <w:sz w:val="16"/>
        </w:rPr>
      </w:pPr>
      <w:r>
        <w:rPr>
          <w:rFonts w:ascii="Constantia"/>
          <w:w w:val="115"/>
          <w:sz w:val="16"/>
        </w:rPr>
        <w:t>6.0%</w:t>
      </w:r>
    </w:p>
    <w:p>
      <w:pPr>
        <w:pStyle w:val="BodyText"/>
        <w:spacing w:before="3"/>
        <w:rPr>
          <w:rFonts w:ascii="Constantia"/>
          <w:sz w:val="13"/>
        </w:rPr>
      </w:pPr>
    </w:p>
    <w:p>
      <w:pPr>
        <w:spacing w:before="1"/>
        <w:ind w:left="2332" w:right="0" w:firstLine="0"/>
        <w:jc w:val="left"/>
        <w:rPr>
          <w:rFonts w:ascii="Constantia"/>
          <w:sz w:val="16"/>
        </w:rPr>
      </w:pPr>
      <w:r>
        <w:rPr>
          <w:rFonts w:ascii="Constantia"/>
          <w:w w:val="115"/>
          <w:sz w:val="16"/>
        </w:rPr>
        <w:t>4.0%</w:t>
      </w:r>
    </w:p>
    <w:p>
      <w:pPr>
        <w:pStyle w:val="BodyText"/>
        <w:spacing w:before="4"/>
        <w:rPr>
          <w:rFonts w:ascii="Constantia"/>
          <w:sz w:val="13"/>
        </w:rPr>
      </w:pPr>
    </w:p>
    <w:p>
      <w:pPr>
        <w:spacing w:before="0"/>
        <w:ind w:left="2336" w:right="0" w:firstLine="0"/>
        <w:jc w:val="left"/>
        <w:rPr>
          <w:rFonts w:ascii="Constantia"/>
          <w:sz w:val="16"/>
        </w:rPr>
      </w:pPr>
      <w:r>
        <w:rPr>
          <w:rFonts w:ascii="Constantia"/>
          <w:w w:val="115"/>
          <w:sz w:val="16"/>
        </w:rPr>
        <w:t>2.0%</w:t>
      </w:r>
    </w:p>
    <w:p>
      <w:pPr>
        <w:pStyle w:val="BodyText"/>
        <w:spacing w:before="4"/>
        <w:rPr>
          <w:rFonts w:ascii="Constantia"/>
          <w:sz w:val="13"/>
        </w:rPr>
      </w:pPr>
    </w:p>
    <w:p>
      <w:pPr>
        <w:spacing w:before="0"/>
        <w:ind w:left="2331" w:right="0" w:firstLine="0"/>
        <w:jc w:val="left"/>
        <w:rPr>
          <w:rFonts w:ascii="Constantia"/>
          <w:sz w:val="16"/>
        </w:rPr>
      </w:pPr>
      <w:r>
        <w:rPr>
          <w:rFonts w:ascii="Constantia"/>
          <w:w w:val="115"/>
          <w:sz w:val="16"/>
        </w:rPr>
        <w:t>0.0%</w:t>
      </w:r>
    </w:p>
    <w:p>
      <w:pPr>
        <w:pStyle w:val="BodyText"/>
        <w:spacing w:before="3"/>
        <w:rPr>
          <w:rFonts w:ascii="Constantia"/>
          <w:sz w:val="13"/>
        </w:rPr>
      </w:pPr>
    </w:p>
    <w:p>
      <w:pPr>
        <w:spacing w:before="1"/>
        <w:ind w:left="2269" w:right="0" w:firstLine="0"/>
        <w:jc w:val="left"/>
        <w:rPr>
          <w:rFonts w:ascii="Constantia"/>
          <w:sz w:val="16"/>
        </w:rPr>
      </w:pPr>
      <w:r>
        <w:rPr>
          <w:rFonts w:ascii="Constantia"/>
          <w:w w:val="115"/>
          <w:sz w:val="16"/>
        </w:rPr>
        <w:t>-2.0%</w:t>
      </w:r>
    </w:p>
    <w:p>
      <w:pPr>
        <w:pStyle w:val="BodyText"/>
        <w:spacing w:before="4"/>
        <w:rPr>
          <w:rFonts w:ascii="Constantia"/>
          <w:sz w:val="13"/>
        </w:rPr>
      </w:pPr>
    </w:p>
    <w:p>
      <w:pPr>
        <w:spacing w:before="0"/>
        <w:ind w:left="2265" w:right="0" w:firstLine="0"/>
        <w:jc w:val="left"/>
        <w:rPr>
          <w:rFonts w:ascii="Constantia"/>
          <w:sz w:val="16"/>
        </w:rPr>
      </w:pPr>
      <w:r>
        <w:rPr>
          <w:rFonts w:ascii="Constantia"/>
          <w:w w:val="115"/>
          <w:sz w:val="16"/>
        </w:rPr>
        <w:t>-4.0%</w:t>
      </w:r>
    </w:p>
    <w:p>
      <w:pPr>
        <w:pStyle w:val="BodyText"/>
        <w:spacing w:before="4"/>
        <w:rPr>
          <w:rFonts w:ascii="Constantia"/>
          <w:sz w:val="13"/>
        </w:rPr>
      </w:pPr>
    </w:p>
    <w:p>
      <w:pPr>
        <w:spacing w:before="0"/>
        <w:ind w:left="2264" w:right="0" w:firstLine="0"/>
        <w:jc w:val="left"/>
        <w:rPr>
          <w:rFonts w:ascii="Constantia"/>
          <w:sz w:val="16"/>
        </w:rPr>
      </w:pPr>
      <w:r>
        <w:rPr>
          <w:rFonts w:ascii="Constantia"/>
          <w:w w:val="115"/>
          <w:sz w:val="16"/>
        </w:rPr>
        <w:t>-6.0%</w:t>
      </w:r>
    </w:p>
    <w:p>
      <w:pPr>
        <w:pStyle w:val="BodyText"/>
        <w:spacing w:before="3"/>
        <w:rPr>
          <w:rFonts w:ascii="Constantia"/>
          <w:sz w:val="13"/>
        </w:rPr>
      </w:pPr>
    </w:p>
    <w:p>
      <w:pPr>
        <w:spacing w:before="1"/>
        <w:ind w:left="2264" w:right="0" w:firstLine="0"/>
        <w:jc w:val="left"/>
        <w:rPr>
          <w:rFonts w:ascii="Constantia"/>
          <w:sz w:val="16"/>
        </w:rPr>
      </w:pPr>
      <w:r>
        <w:rPr>
          <w:rFonts w:ascii="Constantia"/>
          <w:w w:val="115"/>
          <w:sz w:val="16"/>
        </w:rPr>
        <w:t>-8.0%</w:t>
      </w:r>
    </w:p>
    <w:p>
      <w:pPr>
        <w:pStyle w:val="BodyText"/>
        <w:spacing w:before="10"/>
        <w:rPr>
          <w:rFonts w:ascii="Constantia"/>
          <w:sz w:val="9"/>
        </w:rPr>
      </w:pPr>
    </w:p>
    <w:p>
      <w:pPr>
        <w:tabs>
          <w:tab w:pos="5678" w:val="left" w:leader="none"/>
          <w:tab w:pos="6110" w:val="left" w:leader="none"/>
        </w:tabs>
        <w:spacing w:before="0"/>
        <w:ind w:left="3213" w:right="0" w:firstLine="0"/>
        <w:jc w:val="left"/>
        <w:rPr>
          <w:rFonts w:ascii="Constantia"/>
          <w:sz w:val="13"/>
        </w:rPr>
      </w:pPr>
      <w:r>
        <w:rPr/>
        <w:drawing>
          <wp:anchor distT="0" distB="0" distL="0" distR="0" allowOverlap="1" layoutInCell="1" locked="0" behindDoc="0" simplePos="0" relativeHeight="10576">
            <wp:simplePos x="0" y="0"/>
            <wp:positionH relativeFrom="page">
              <wp:posOffset>2781250</wp:posOffset>
            </wp:positionH>
            <wp:positionV relativeFrom="paragraph">
              <wp:posOffset>39828</wp:posOffset>
            </wp:positionV>
            <wp:extent cx="259321" cy="19278"/>
            <wp:effectExtent l="0" t="0" r="0" b="0"/>
            <wp:wrapNone/>
            <wp:docPr id="49" name="image204.png" descr=""/>
            <wp:cNvGraphicFramePr>
              <a:graphicFrameLocks noChangeAspect="1"/>
            </wp:cNvGraphicFramePr>
            <a:graphic>
              <a:graphicData uri="http://schemas.openxmlformats.org/drawingml/2006/picture">
                <pic:pic>
                  <pic:nvPicPr>
                    <pic:cNvPr id="50" name="image204.png"/>
                    <pic:cNvPicPr/>
                  </pic:nvPicPr>
                  <pic:blipFill>
                    <a:blip r:embed="rId220" cstate="print"/>
                    <a:stretch>
                      <a:fillRect/>
                    </a:stretch>
                  </pic:blipFill>
                  <pic:spPr>
                    <a:xfrm>
                      <a:off x="0" y="0"/>
                      <a:ext cx="259321" cy="19278"/>
                    </a:xfrm>
                    <a:prstGeom prst="rect">
                      <a:avLst/>
                    </a:prstGeom>
                  </pic:spPr>
                </pic:pic>
              </a:graphicData>
            </a:graphic>
          </wp:anchor>
        </w:drawing>
      </w:r>
      <w:r>
        <w:rPr/>
        <w:pict>
          <v:line style="position:absolute;mso-position-horizontal-relative:page;mso-position-vertical-relative:paragraph;z-index:-561520" from="363.924408pt,3.389103pt" to="383.209759pt,3.389103pt" stroked="true" strokeweight="1.518001pt" strokecolor="#000000">
            <v:stroke dashstyle="longDash"/>
            <w10:wrap type="none"/>
          </v:line>
        </w:pict>
      </w:r>
      <w:r>
        <w:rPr>
          <w:rFonts w:ascii="Constantia"/>
          <w:w w:val="115"/>
          <w:sz w:val="13"/>
        </w:rPr>
        <w:t>BG</w:t>
      </w:r>
      <w:r>
        <w:rPr>
          <w:rFonts w:ascii="Constantia"/>
          <w:spacing w:val="-6"/>
          <w:w w:val="115"/>
          <w:sz w:val="13"/>
        </w:rPr>
        <w:t> </w:t>
      </w:r>
      <w:r>
        <w:rPr>
          <w:rFonts w:ascii="Constantia"/>
          <w:w w:val="115"/>
          <w:sz w:val="13"/>
        </w:rPr>
        <w:t>CICLICAMENTE AJUSTADO</w:t>
        <w:tab/>
        <w:tab/>
        <w:t>BG</w:t>
      </w:r>
      <w:r>
        <w:rPr>
          <w:rFonts w:ascii="Constantia"/>
          <w:spacing w:val="-3"/>
          <w:w w:val="115"/>
          <w:sz w:val="13"/>
        </w:rPr>
        <w:t> </w:t>
      </w:r>
      <w:r>
        <w:rPr>
          <w:rFonts w:ascii="Constantia"/>
          <w:w w:val="115"/>
          <w:sz w:val="13"/>
        </w:rPr>
        <w:t>EFECTIVO</w:t>
      </w:r>
    </w:p>
    <w:p>
      <w:pPr>
        <w:spacing w:before="120"/>
        <w:ind w:left="230" w:right="280" w:firstLine="0"/>
        <w:jc w:val="center"/>
        <w:rPr>
          <w:sz w:val="20"/>
        </w:rPr>
      </w:pPr>
      <w:r>
        <w:rPr>
          <w:sz w:val="20"/>
        </w:rPr>
        <w:t>Fuente: Estimaciones propias con base en información del Banco Central de Bolivia (2012).</w:t>
      </w:r>
    </w:p>
    <w:p>
      <w:pPr>
        <w:pStyle w:val="BodyText"/>
        <w:spacing w:before="1"/>
      </w:pPr>
    </w:p>
    <w:p>
      <w:pPr>
        <w:pStyle w:val="BodyText"/>
        <w:spacing w:line="360" w:lineRule="auto"/>
        <w:ind w:left="102" w:right="98" w:firstLine="707"/>
        <w:jc w:val="both"/>
      </w:pPr>
      <w:r>
        <w:rPr/>
        <w:t>Los resultados previos concuerdan con la descomposición del balance fiscal global en sus componentes estructural y cíclico (</w:t>
      </w:r>
      <w:r>
        <w:rPr>
          <w:i/>
        </w:rPr>
        <w:t>figura 3.7</w:t>
      </w:r>
      <w:r>
        <w:rPr/>
        <w:t>). Durante el periodo previo a la nacionalización el balance global estuvo básicamente compuesto por su componente estructural. Durante el período post-nacionalización, se aprecia el efecto positivo del cíclico económico y los precios externos del gas natural para el período 2006-2008, y su efecto negativo para el 2009 y en cierta medida para el 2010.</w:t>
      </w:r>
    </w:p>
    <w:p>
      <w:pPr>
        <w:pStyle w:val="BodyText"/>
      </w:pPr>
    </w:p>
    <w:p>
      <w:pPr>
        <w:pStyle w:val="BodyText"/>
        <w:spacing w:before="140"/>
        <w:ind w:left="280" w:right="280"/>
        <w:jc w:val="center"/>
      </w:pPr>
      <w:bookmarkStart w:name="_bookmark100" w:id="139"/>
      <w:bookmarkEnd w:id="139"/>
      <w:r>
        <w:rPr/>
      </w:r>
      <w:r>
        <w:rPr/>
        <w:t>Figura 3. 7: Descomposición del balance global: cíclico y estructural, 2003 - 2011</w:t>
      </w:r>
    </w:p>
    <w:p>
      <w:pPr>
        <w:spacing w:before="72"/>
        <w:ind w:left="2153" w:right="0" w:firstLine="0"/>
        <w:jc w:val="left"/>
        <w:rPr>
          <w:rFonts w:ascii="Constantia"/>
          <w:sz w:val="20"/>
        </w:rPr>
      </w:pPr>
      <w:r>
        <w:rPr/>
        <w:pict>
          <v:group style="position:absolute;margin-left:213.234482pt;margin-top:9.849826pt;width:242.25pt;height:139.7pt;mso-position-horizontal-relative:page;mso-position-vertical-relative:paragraph;z-index:-561376" coordorigin="4265,197" coordsize="4845,2794">
            <v:shape style="position:absolute;left:885;top:4582;width:6045;height:1403" coordorigin="885,4582" coordsize="6045,1403" path="m4330,2984l9097,2984m4325,2580l9103,2580m4325,2183l9103,2183m4325,1786l9103,1786e" filled="false" stroked="true" strokeweight=".616705pt" strokecolor="#858585">
              <v:path arrowok="t"/>
              <v:stroke dashstyle="dash"/>
            </v:shape>
            <v:shape style="position:absolute;left:4491;top:1594;width:213;height:922" type="#_x0000_t75" stroked="false">
              <v:imagedata r:id="rId221" o:title=""/>
            </v:shape>
            <v:shape style="position:absolute;left:5024;top:1594;width:213;height:512" type="#_x0000_t75" stroked="false">
              <v:imagedata r:id="rId222" o:title=""/>
            </v:shape>
            <v:line style="position:absolute" from="4325,1388" to="9103,1388" stroked="true" strokeweight=".640575pt" strokecolor="#858585">
              <v:stroke dashstyle="dash"/>
            </v:line>
            <v:shape style="position:absolute;left:5546;top:1388;width:213;height:205" type="#_x0000_t75" stroked="false">
              <v:imagedata r:id="rId223" o:title=""/>
            </v:shape>
            <v:shape style="position:absolute;left:885;top:3202;width:6045;height:450" coordorigin="885,3202" coordsize="6045,450" path="m4325,991l9103,991m4325,607l9103,607e" filled="false" stroked="true" strokeweight=".616705pt" strokecolor="#858585">
              <v:path arrowok="t"/>
              <v:stroke dashstyle="dash"/>
            </v:shape>
            <v:shape style="position:absolute;left:6079;top:620;width:213;height:974" type="#_x0000_t75" stroked="false">
              <v:imagedata r:id="rId224" o:title=""/>
            </v:shape>
            <v:shape style="position:absolute;left:6613;top:1158;width:213;height:436" type="#_x0000_t75" stroked="false">
              <v:imagedata r:id="rId225" o:title=""/>
            </v:shape>
            <v:shape style="position:absolute;left:7146;top:1593;width:202;height:38" type="#_x0000_t75" stroked="false">
              <v:imagedata r:id="rId226" o:title=""/>
            </v:shape>
            <v:line style="position:absolute" from="4325,210" to="9103,210" stroked="true" strokeweight=".640575pt" strokecolor="#858585">
              <v:stroke dashstyle="dash"/>
            </v:line>
            <v:shape style="position:absolute;left:7668;top:206;width:213;height:1388" type="#_x0000_t75" stroked="false">
              <v:imagedata r:id="rId227" o:title=""/>
            </v:shape>
            <v:shape style="position:absolute;left:8202;top:658;width:213;height:935" type="#_x0000_t75" stroked="false">
              <v:imagedata r:id="rId228" o:title=""/>
            </v:shape>
            <v:shape style="position:absolute;left:8735;top:1427;width:213;height:167" type="#_x0000_t75" stroked="false">
              <v:imagedata r:id="rId229" o:title=""/>
            </v:shape>
            <v:shape style="position:absolute;left:4491;top:2516;width:213;height:90" type="#_x0000_t75" stroked="false">
              <v:imagedata r:id="rId230" o:title=""/>
            </v:shape>
            <v:shape style="position:absolute;left:5024;top:2106;width:213;height:51" type="#_x0000_t75" stroked="false">
              <v:imagedata r:id="rId231" o:title=""/>
            </v:shape>
            <v:shape style="position:absolute;left:5546;top:1593;width:213;height:115" type="#_x0000_t75" stroked="false">
              <v:imagedata r:id="rId232" o:title=""/>
            </v:shape>
            <v:shape style="position:absolute;left:6079;top:376;width:213;height:243" type="#_x0000_t75" stroked="false">
              <v:imagedata r:id="rId233" o:title=""/>
            </v:shape>
            <v:shape style="position:absolute;left:6613;top:1017;width:213;height:141" type="#_x0000_t75" stroked="false">
              <v:imagedata r:id="rId234" o:title=""/>
            </v:shape>
            <v:shape style="position:absolute;left:7146;top:761;width:202;height:833" type="#_x0000_t75" stroked="false">
              <v:imagedata r:id="rId235" o:title=""/>
            </v:shape>
            <v:shape style="position:absolute;left:7668;top:1594;width:213;height:1063" type="#_x0000_t75" stroked="false">
              <v:imagedata r:id="rId236" o:title=""/>
            </v:shape>
            <v:shape style="position:absolute;left:8202;top:1594;width:213;height:307" type="#_x0000_t75" stroked="false">
              <v:imagedata r:id="rId237" o:title=""/>
            </v:shape>
            <v:shape style="position:absolute;left:8735;top:1196;width:213;height:231" type="#_x0000_t75" stroked="false">
              <v:imagedata r:id="rId238" o:title=""/>
            </v:shape>
            <v:shape style="position:absolute;left:818;top:2729;width:6106;height:3255" coordorigin="818,2729" coordsize="6106,3255" path="m4330,2984l4330,203m4271,2984l4330,2984m4271,2586l4330,2586m4271,2189l4330,2189m4271,1792l4330,1792m4271,1395l4330,1395m4271,998l4330,998m4271,601l4330,601m4271,203l4330,203m4330,1587l9097,1587m4330,1587l4330,1651m4864,1587l4864,1651m5386,1587l5386,1651m5919,1587l5919,1651m6453,1587l6453,1651m6986,1587l6986,1651m7508,1587l7508,1651m8042,1587l8042,1651m8575,1587l8575,1651m9097,1587l9097,1651e" filled="false" stroked="true" strokeweight=".616705pt" strokecolor="#858585">
              <v:path arrowok="t"/>
            </v:shape>
            <v:shape style="position:absolute;left:4583;top:362;width:4283;height:2272" type="#_x0000_t75" stroked="false">
              <v:imagedata r:id="rId239" o:title=""/>
            </v:shape>
            <v:shape style="position:absolute;left:6411;top:2452;width:2443;height:423" coordorigin="6411,2452" coordsize="2443,423" path="m8854,2452l8851,2534,8844,2601,8834,2647,8821,2663,7665,2663,7652,2680,7642,2725,7635,2792,7633,2875,7630,2792,7623,2725,7613,2680,7600,2663,6444,2663,6431,2647,6421,2601,6414,2534,6411,2452e" filled="false" stroked="true" strokeweight="1.278372pt" strokecolor="#ff0000">
              <v:path arrowok="t"/>
              <v:stroke dashstyle="longDash"/>
            </v:shape>
            <v:shape style="position:absolute;left:4393;top:1766;width:396;height:206" type="#_x0000_t202" filled="false" stroked="false">
              <v:textbox inset="0,0,0,0">
                <w:txbxContent>
                  <w:p>
                    <w:pPr>
                      <w:spacing w:line="205" w:lineRule="exact" w:before="0"/>
                      <w:ind w:left="0" w:right="-8" w:firstLine="0"/>
                      <w:jc w:val="left"/>
                      <w:rPr>
                        <w:rFonts w:ascii="Constantia"/>
                        <w:sz w:val="20"/>
                      </w:rPr>
                    </w:pPr>
                    <w:r>
                      <w:rPr>
                        <w:rFonts w:ascii="Constantia"/>
                        <w:w w:val="95"/>
                        <w:sz w:val="20"/>
                      </w:rPr>
                      <w:t>2003</w:t>
                    </w:r>
                  </w:p>
                </w:txbxContent>
              </v:textbox>
              <w10:wrap type="none"/>
            </v:shape>
            <v:shape style="position:absolute;left:5455;top:1766;width:398;height:206" type="#_x0000_t202" filled="false" stroked="false">
              <v:textbox inset="0,0,0,0">
                <w:txbxContent>
                  <w:p>
                    <w:pPr>
                      <w:spacing w:line="205" w:lineRule="exact" w:before="0"/>
                      <w:ind w:left="0" w:right="-10" w:firstLine="0"/>
                      <w:jc w:val="left"/>
                      <w:rPr>
                        <w:rFonts w:ascii="Constantia"/>
                        <w:sz w:val="20"/>
                      </w:rPr>
                    </w:pPr>
                    <w:r>
                      <w:rPr>
                        <w:rFonts w:ascii="Constantia"/>
                        <w:w w:val="95"/>
                        <w:sz w:val="20"/>
                      </w:rPr>
                      <w:t>2005</w:t>
                    </w:r>
                  </w:p>
                </w:txbxContent>
              </v:textbox>
              <w10:wrap type="none"/>
            </v:shape>
            <v:shape style="position:absolute;left:6518;top:1766;width:400;height:206" type="#_x0000_t202" filled="false" stroked="false">
              <v:textbox inset="0,0,0,0">
                <w:txbxContent>
                  <w:p>
                    <w:pPr>
                      <w:spacing w:line="205" w:lineRule="exact" w:before="0"/>
                      <w:ind w:left="0" w:right="-9" w:firstLine="0"/>
                      <w:jc w:val="left"/>
                      <w:rPr>
                        <w:rFonts w:ascii="Constantia"/>
                        <w:sz w:val="20"/>
                      </w:rPr>
                    </w:pPr>
                    <w:r>
                      <w:rPr>
                        <w:rFonts w:ascii="Constantia"/>
                        <w:w w:val="95"/>
                        <w:sz w:val="20"/>
                      </w:rPr>
                      <w:t>2007</w:t>
                    </w:r>
                  </w:p>
                </w:txbxContent>
              </v:textbox>
              <w10:wrap type="none"/>
            </v:shape>
            <v:shape style="position:absolute;left:7569;top:1766;width:412;height:206" type="#_x0000_t202" filled="false" stroked="false">
              <v:textbox inset="0,0,0,0">
                <w:txbxContent>
                  <w:p>
                    <w:pPr>
                      <w:spacing w:line="205" w:lineRule="exact" w:before="0"/>
                      <w:ind w:left="0" w:right="-9" w:firstLine="0"/>
                      <w:jc w:val="left"/>
                      <w:rPr>
                        <w:rFonts w:ascii="Constantia"/>
                        <w:sz w:val="20"/>
                      </w:rPr>
                    </w:pPr>
                    <w:r>
                      <w:rPr>
                        <w:rFonts w:ascii="Constantia"/>
                        <w:w w:val="95"/>
                        <w:sz w:val="20"/>
                      </w:rPr>
                      <w:t>2009</w:t>
                    </w:r>
                  </w:p>
                </w:txbxContent>
              </v:textbox>
              <w10:wrap type="none"/>
            </v:shape>
            <v:shape style="position:absolute;left:8679;top:1766;width:321;height:206" type="#_x0000_t202" filled="false" stroked="false">
              <v:textbox inset="0,0,0,0">
                <w:txbxContent>
                  <w:p>
                    <w:pPr>
                      <w:spacing w:line="205" w:lineRule="exact" w:before="0"/>
                      <w:ind w:left="0" w:right="-13" w:firstLine="0"/>
                      <w:jc w:val="left"/>
                      <w:rPr>
                        <w:rFonts w:ascii="Constantia"/>
                        <w:sz w:val="20"/>
                      </w:rPr>
                    </w:pPr>
                    <w:r>
                      <w:rPr>
                        <w:rFonts w:ascii="Constantia"/>
                        <w:w w:val="95"/>
                        <w:sz w:val="20"/>
                      </w:rPr>
                      <w:t>2011</w:t>
                    </w:r>
                  </w:p>
                </w:txbxContent>
              </v:textbox>
              <w10:wrap type="none"/>
            </v:shape>
            <w10:wrap type="none"/>
          </v:group>
        </w:pict>
      </w:r>
      <w:r>
        <w:rPr>
          <w:rFonts w:ascii="Constantia"/>
          <w:sz w:val="20"/>
        </w:rPr>
        <w:t>7.0%</w:t>
      </w:r>
    </w:p>
    <w:p>
      <w:pPr>
        <w:spacing w:before="153"/>
        <w:ind w:left="2154" w:right="0" w:firstLine="0"/>
        <w:jc w:val="left"/>
        <w:rPr>
          <w:rFonts w:ascii="Constantia"/>
          <w:sz w:val="20"/>
        </w:rPr>
      </w:pPr>
      <w:r>
        <w:rPr>
          <w:rFonts w:ascii="Constantia"/>
          <w:sz w:val="20"/>
        </w:rPr>
        <w:t>5.0%</w:t>
      </w:r>
    </w:p>
    <w:p>
      <w:pPr>
        <w:spacing w:before="153"/>
        <w:ind w:left="2156" w:right="0" w:firstLine="0"/>
        <w:jc w:val="left"/>
        <w:rPr>
          <w:rFonts w:ascii="Constantia"/>
          <w:sz w:val="20"/>
        </w:rPr>
      </w:pPr>
      <w:r>
        <w:rPr>
          <w:rFonts w:ascii="Constantia"/>
          <w:sz w:val="20"/>
        </w:rPr>
        <w:t>3.0%</w:t>
      </w:r>
    </w:p>
    <w:p>
      <w:pPr>
        <w:spacing w:before="153"/>
        <w:ind w:left="2181" w:right="0" w:firstLine="0"/>
        <w:jc w:val="left"/>
        <w:rPr>
          <w:rFonts w:ascii="Constantia"/>
          <w:sz w:val="20"/>
        </w:rPr>
      </w:pPr>
      <w:r>
        <w:rPr>
          <w:rFonts w:ascii="Constantia"/>
          <w:sz w:val="20"/>
        </w:rPr>
        <w:t>1.0%</w:t>
      </w:r>
    </w:p>
    <w:p>
      <w:pPr>
        <w:spacing w:before="153"/>
        <w:ind w:left="2112" w:right="0" w:firstLine="0"/>
        <w:jc w:val="left"/>
        <w:rPr>
          <w:rFonts w:ascii="Constantia"/>
          <w:sz w:val="20"/>
        </w:rPr>
      </w:pPr>
      <w:r>
        <w:rPr>
          <w:rFonts w:ascii="Constantia"/>
          <w:sz w:val="20"/>
        </w:rPr>
        <w:t>-1.0%</w:t>
      </w:r>
    </w:p>
    <w:p>
      <w:pPr>
        <w:spacing w:before="153"/>
        <w:ind w:left="2086" w:right="0" w:firstLine="0"/>
        <w:jc w:val="left"/>
        <w:rPr>
          <w:rFonts w:ascii="Constantia"/>
          <w:sz w:val="20"/>
        </w:rPr>
      </w:pPr>
      <w:r>
        <w:rPr>
          <w:rFonts w:ascii="Constantia"/>
          <w:sz w:val="20"/>
        </w:rPr>
        <w:t>-3.0%</w:t>
      </w:r>
    </w:p>
    <w:p>
      <w:pPr>
        <w:spacing w:before="153"/>
        <w:ind w:left="2084" w:right="0" w:firstLine="0"/>
        <w:jc w:val="left"/>
        <w:rPr>
          <w:rFonts w:ascii="Constantia"/>
          <w:sz w:val="20"/>
        </w:rPr>
      </w:pPr>
      <w:r>
        <w:rPr>
          <w:rFonts w:ascii="Constantia"/>
          <w:sz w:val="20"/>
        </w:rPr>
        <w:t>-5.0%</w:t>
      </w:r>
    </w:p>
    <w:p>
      <w:pPr>
        <w:spacing w:after="0"/>
        <w:jc w:val="left"/>
        <w:rPr>
          <w:rFonts w:ascii="Constantia"/>
          <w:sz w:val="20"/>
        </w:rPr>
        <w:sectPr>
          <w:pgSz w:w="12250" w:h="15850"/>
          <w:pgMar w:header="0" w:footer="1037" w:top="1500" w:bottom="1220" w:left="1600" w:right="1600"/>
        </w:sectPr>
      </w:pPr>
    </w:p>
    <w:p>
      <w:pPr>
        <w:spacing w:before="153"/>
        <w:ind w:left="0" w:right="0" w:firstLine="0"/>
        <w:jc w:val="right"/>
        <w:rPr>
          <w:rFonts w:ascii="Constantia"/>
          <w:sz w:val="20"/>
        </w:rPr>
      </w:pPr>
      <w:r>
        <w:rPr>
          <w:rFonts w:ascii="Constantia"/>
          <w:w w:val="95"/>
          <w:sz w:val="20"/>
        </w:rPr>
        <w:t>-7.0%</w:t>
      </w:r>
    </w:p>
    <w:p>
      <w:pPr>
        <w:pStyle w:val="BodyText"/>
        <w:spacing w:before="4"/>
        <w:rPr>
          <w:rFonts w:ascii="Constantia"/>
          <w:sz w:val="17"/>
        </w:rPr>
      </w:pPr>
      <w:r>
        <w:rPr/>
        <w:br w:type="column"/>
      </w:r>
      <w:r>
        <w:rPr>
          <w:rFonts w:ascii="Constantia"/>
          <w:sz w:val="17"/>
        </w:rPr>
      </w:r>
    </w:p>
    <w:p>
      <w:pPr>
        <w:spacing w:before="0"/>
        <w:ind w:left="2303" w:right="0" w:firstLine="0"/>
        <w:jc w:val="left"/>
        <w:rPr>
          <w:sz w:val="20"/>
        </w:rPr>
      </w:pPr>
      <w:r>
        <w:rPr>
          <w:color w:val="FF0000"/>
          <w:w w:val="95"/>
          <w:sz w:val="20"/>
        </w:rPr>
        <w:t>Período post-nacionalización</w:t>
      </w:r>
    </w:p>
    <w:p>
      <w:pPr>
        <w:tabs>
          <w:tab w:pos="2088" w:val="left" w:leader="none"/>
          <w:tab w:pos="3750" w:val="left" w:leader="none"/>
        </w:tabs>
        <w:spacing w:before="104"/>
        <w:ind w:left="117" w:right="0" w:firstLine="0"/>
        <w:jc w:val="left"/>
        <w:rPr>
          <w:rFonts w:ascii="Calibri" w:hAnsi="Calibri"/>
          <w:sz w:val="16"/>
        </w:rPr>
      </w:pPr>
      <w:r>
        <w:rPr/>
        <w:drawing>
          <wp:anchor distT="0" distB="0" distL="0" distR="0" allowOverlap="1" layoutInCell="1" locked="0" behindDoc="0" simplePos="0" relativeHeight="10768">
            <wp:simplePos x="0" y="0"/>
            <wp:positionH relativeFrom="page">
              <wp:posOffset>2527744</wp:posOffset>
            </wp:positionH>
            <wp:positionV relativeFrom="paragraph">
              <wp:posOffset>90102</wp:posOffset>
            </wp:positionV>
            <wp:extent cx="195753" cy="65082"/>
            <wp:effectExtent l="0" t="0" r="0" b="0"/>
            <wp:wrapNone/>
            <wp:docPr id="51" name="image224.png" descr=""/>
            <wp:cNvGraphicFramePr>
              <a:graphicFrameLocks noChangeAspect="1"/>
            </wp:cNvGraphicFramePr>
            <a:graphic>
              <a:graphicData uri="http://schemas.openxmlformats.org/drawingml/2006/picture">
                <pic:pic>
                  <pic:nvPicPr>
                    <pic:cNvPr id="52" name="image224.png"/>
                    <pic:cNvPicPr/>
                  </pic:nvPicPr>
                  <pic:blipFill>
                    <a:blip r:embed="rId240" cstate="print"/>
                    <a:stretch>
                      <a:fillRect/>
                    </a:stretch>
                  </pic:blipFill>
                  <pic:spPr>
                    <a:xfrm>
                      <a:off x="0" y="0"/>
                      <a:ext cx="195753" cy="65082"/>
                    </a:xfrm>
                    <a:prstGeom prst="rect">
                      <a:avLst/>
                    </a:prstGeom>
                  </pic:spPr>
                </pic:pic>
              </a:graphicData>
            </a:graphic>
          </wp:anchor>
        </w:drawing>
      </w:r>
      <w:r>
        <w:rPr/>
        <w:drawing>
          <wp:anchor distT="0" distB="0" distL="0" distR="0" allowOverlap="1" layoutInCell="1" locked="0" behindDoc="1" simplePos="0" relativeHeight="267874127">
            <wp:simplePos x="0" y="0"/>
            <wp:positionH relativeFrom="page">
              <wp:posOffset>3777558</wp:posOffset>
            </wp:positionH>
            <wp:positionV relativeFrom="paragraph">
              <wp:posOffset>90102</wp:posOffset>
            </wp:positionV>
            <wp:extent cx="195753" cy="65082"/>
            <wp:effectExtent l="0" t="0" r="0" b="0"/>
            <wp:wrapNone/>
            <wp:docPr id="53" name="image225.png" descr=""/>
            <wp:cNvGraphicFramePr>
              <a:graphicFrameLocks noChangeAspect="1"/>
            </wp:cNvGraphicFramePr>
            <a:graphic>
              <a:graphicData uri="http://schemas.openxmlformats.org/drawingml/2006/picture">
                <pic:pic>
                  <pic:nvPicPr>
                    <pic:cNvPr id="54" name="image225.png"/>
                    <pic:cNvPicPr/>
                  </pic:nvPicPr>
                  <pic:blipFill>
                    <a:blip r:embed="rId241" cstate="print"/>
                    <a:stretch>
                      <a:fillRect/>
                    </a:stretch>
                  </pic:blipFill>
                  <pic:spPr>
                    <a:xfrm>
                      <a:off x="0" y="0"/>
                      <a:ext cx="195753" cy="65082"/>
                    </a:xfrm>
                    <a:prstGeom prst="rect">
                      <a:avLst/>
                    </a:prstGeom>
                  </pic:spPr>
                </pic:pic>
              </a:graphicData>
            </a:graphic>
          </wp:anchor>
        </w:drawing>
      </w:r>
      <w:r>
        <w:rPr/>
        <w:drawing>
          <wp:anchor distT="0" distB="0" distL="0" distR="0" allowOverlap="1" layoutInCell="1" locked="0" behindDoc="1" simplePos="0" relativeHeight="267874151">
            <wp:simplePos x="0" y="0"/>
            <wp:positionH relativeFrom="page">
              <wp:posOffset>4824089</wp:posOffset>
            </wp:positionH>
            <wp:positionV relativeFrom="paragraph">
              <wp:posOffset>114508</wp:posOffset>
            </wp:positionV>
            <wp:extent cx="210811" cy="24405"/>
            <wp:effectExtent l="0" t="0" r="0" b="0"/>
            <wp:wrapNone/>
            <wp:docPr id="55" name="image226.png" descr=""/>
            <wp:cNvGraphicFramePr>
              <a:graphicFrameLocks noChangeAspect="1"/>
            </wp:cNvGraphicFramePr>
            <a:graphic>
              <a:graphicData uri="http://schemas.openxmlformats.org/drawingml/2006/picture">
                <pic:pic>
                  <pic:nvPicPr>
                    <pic:cNvPr id="56" name="image226.png"/>
                    <pic:cNvPicPr/>
                  </pic:nvPicPr>
                  <pic:blipFill>
                    <a:blip r:embed="rId242" cstate="print"/>
                    <a:stretch>
                      <a:fillRect/>
                    </a:stretch>
                  </pic:blipFill>
                  <pic:spPr>
                    <a:xfrm>
                      <a:off x="0" y="0"/>
                      <a:ext cx="210811" cy="24405"/>
                    </a:xfrm>
                    <a:prstGeom prst="rect">
                      <a:avLst/>
                    </a:prstGeom>
                  </pic:spPr>
                </pic:pic>
              </a:graphicData>
            </a:graphic>
          </wp:anchor>
        </w:drawing>
      </w:r>
      <w:r>
        <w:rPr>
          <w:rFonts w:ascii="Calibri" w:hAnsi="Calibri"/>
          <w:sz w:val="16"/>
        </w:rPr>
        <w:t>Componente</w:t>
      </w:r>
      <w:r>
        <w:rPr>
          <w:rFonts w:ascii="Calibri" w:hAnsi="Calibri"/>
          <w:spacing w:val="-9"/>
          <w:sz w:val="16"/>
        </w:rPr>
        <w:t> </w:t>
      </w:r>
      <w:r>
        <w:rPr>
          <w:rFonts w:ascii="Calibri" w:hAnsi="Calibri"/>
          <w:sz w:val="16"/>
        </w:rPr>
        <w:t>estructural</w:t>
        <w:tab/>
        <w:t>Componente</w:t>
      </w:r>
      <w:r>
        <w:rPr>
          <w:rFonts w:ascii="Calibri" w:hAnsi="Calibri"/>
          <w:spacing w:val="-8"/>
          <w:sz w:val="16"/>
        </w:rPr>
        <w:t> </w:t>
      </w:r>
      <w:r>
        <w:rPr>
          <w:rFonts w:ascii="Calibri" w:hAnsi="Calibri"/>
          <w:spacing w:val="2"/>
          <w:sz w:val="16"/>
        </w:rPr>
        <w:t>cíclico</w:t>
        <w:tab/>
      </w:r>
      <w:r>
        <w:rPr>
          <w:rFonts w:ascii="Calibri" w:hAnsi="Calibri"/>
          <w:w w:val="95"/>
          <w:sz w:val="16"/>
        </w:rPr>
        <w:t>Balance</w:t>
      </w:r>
      <w:r>
        <w:rPr>
          <w:rFonts w:ascii="Calibri" w:hAnsi="Calibri"/>
          <w:spacing w:val="15"/>
          <w:w w:val="95"/>
          <w:sz w:val="16"/>
        </w:rPr>
        <w:t> </w:t>
      </w:r>
      <w:r>
        <w:rPr>
          <w:rFonts w:ascii="Calibri" w:hAnsi="Calibri"/>
          <w:w w:val="95"/>
          <w:sz w:val="16"/>
        </w:rPr>
        <w:t>primario</w:t>
      </w:r>
    </w:p>
    <w:p>
      <w:pPr>
        <w:spacing w:after="0"/>
        <w:jc w:val="left"/>
        <w:rPr>
          <w:rFonts w:ascii="Calibri" w:hAnsi="Calibri"/>
          <w:sz w:val="16"/>
        </w:rPr>
        <w:sectPr>
          <w:type w:val="continuous"/>
          <w:pgSz w:w="12250" w:h="15850"/>
          <w:pgMar w:top="1500" w:bottom="280" w:left="1600" w:right="1600"/>
          <w:cols w:num="2" w:equalWidth="0">
            <w:col w:w="2561" w:space="40"/>
            <w:col w:w="6449"/>
          </w:cols>
        </w:sectPr>
      </w:pPr>
    </w:p>
    <w:p>
      <w:pPr>
        <w:spacing w:before="159"/>
        <w:ind w:left="810" w:right="0" w:firstLine="0"/>
        <w:jc w:val="left"/>
        <w:rPr>
          <w:sz w:val="20"/>
        </w:rPr>
      </w:pPr>
      <w:r>
        <w:rPr>
          <w:sz w:val="20"/>
        </w:rPr>
        <w:t>Fuente: Estimaciones propias con base en información del Banco Central de Bolivia (2012).</w:t>
      </w:r>
    </w:p>
    <w:p>
      <w:pPr>
        <w:spacing w:after="0"/>
        <w:jc w:val="left"/>
        <w:rPr>
          <w:sz w:val="20"/>
        </w:rPr>
        <w:sectPr>
          <w:type w:val="continuous"/>
          <w:pgSz w:w="12250" w:h="15850"/>
          <w:pgMar w:top="1500" w:bottom="280" w:left="1600" w:right="1600"/>
        </w:sectPr>
      </w:pPr>
    </w:p>
    <w:p>
      <w:pPr>
        <w:spacing w:before="50"/>
        <w:ind w:left="1170" w:right="0" w:firstLine="0"/>
        <w:jc w:val="left"/>
        <w:rPr>
          <w:i/>
          <w:sz w:val="24"/>
        </w:rPr>
      </w:pPr>
      <w:r>
        <w:rPr>
          <w:i/>
          <w:sz w:val="24"/>
        </w:rPr>
        <w:t>a)   Transición de los componentes cíclicos del  balance fiscal global</w:t>
      </w:r>
    </w:p>
    <w:p>
      <w:pPr>
        <w:pStyle w:val="BodyText"/>
        <w:spacing w:before="8"/>
        <w:rPr>
          <w:i/>
          <w:sz w:val="32"/>
        </w:rPr>
      </w:pPr>
    </w:p>
    <w:p>
      <w:pPr>
        <w:pStyle w:val="BodyText"/>
        <w:spacing w:line="360" w:lineRule="auto" w:before="1"/>
        <w:ind w:left="102" w:right="99" w:firstLine="707"/>
        <w:jc w:val="both"/>
      </w:pPr>
      <w:r>
        <w:rPr/>
        <w:t>Finalmente, se consideró la transición de cambio sobre los componentes cíclicos del balance fiscal global (</w:t>
      </w:r>
      <w:r>
        <w:rPr>
          <w:i/>
        </w:rPr>
        <w:t>figura 3.8</w:t>
      </w:r>
      <w:r>
        <w:rPr/>
        <w:t>), donde se aprecian tres momentos relevantes: i) un descenso  substantivo en la dependencia interna de la actividad económica  representado  por la renta interna (disminución del 98 a cerca del 20% de los movimientos cíclicos); ii) mayor participación de la venta de gas en el mercado interno, especialmente para el 2007 (más 50% de los movimientos cíclicos); iii) se consolida la dependencia cíclica de la venta de gas natural a los mercados externos (la más fuerte fue en el año 2008: más del 80%</w:t>
      </w:r>
      <w:r>
        <w:rPr>
          <w:spacing w:val="-14"/>
        </w:rPr>
        <w:t> </w:t>
      </w:r>
      <w:r>
        <w:rPr/>
        <w:t>).</w:t>
      </w:r>
    </w:p>
    <w:p>
      <w:pPr>
        <w:pStyle w:val="BodyText"/>
        <w:spacing w:before="1"/>
      </w:pPr>
    </w:p>
    <w:p>
      <w:pPr>
        <w:pStyle w:val="BodyText"/>
        <w:ind w:left="505"/>
      </w:pPr>
      <w:bookmarkStart w:name="_bookmark101" w:id="140"/>
      <w:bookmarkEnd w:id="140"/>
      <w:r>
        <w:rPr/>
      </w:r>
      <w:r>
        <w:rPr/>
        <w:t>Figura 3. 8:   Transición de cambio para los componentes cíclicos del balance fiscal</w:t>
      </w:r>
    </w:p>
    <w:p>
      <w:pPr>
        <w:pStyle w:val="BodyText"/>
        <w:ind w:left="3340"/>
      </w:pPr>
      <w:r>
        <w:rPr/>
        <w:t>(Participación porcentual, 2003 - 2011)</w:t>
      </w:r>
    </w:p>
    <w:p>
      <w:pPr>
        <w:spacing w:after="0"/>
        <w:sectPr>
          <w:pgSz w:w="12250" w:h="15850"/>
          <w:pgMar w:header="0" w:footer="1037" w:top="1360" w:bottom="1220" w:left="1600" w:right="1600"/>
        </w:sectPr>
      </w:pPr>
    </w:p>
    <w:p>
      <w:pPr>
        <w:spacing w:before="107"/>
        <w:ind w:left="0" w:right="3" w:firstLine="0"/>
        <w:jc w:val="right"/>
        <w:rPr>
          <w:rFonts w:ascii="Constantia"/>
          <w:sz w:val="21"/>
        </w:rPr>
      </w:pPr>
      <w:r>
        <w:rPr>
          <w:rFonts w:ascii="Constantia"/>
          <w:sz w:val="21"/>
        </w:rPr>
        <w:t>140%</w:t>
      </w:r>
    </w:p>
    <w:p>
      <w:pPr>
        <w:spacing w:before="145"/>
        <w:ind w:left="0" w:right="0" w:firstLine="0"/>
        <w:jc w:val="right"/>
        <w:rPr>
          <w:rFonts w:ascii="Constantia"/>
          <w:sz w:val="21"/>
        </w:rPr>
      </w:pPr>
      <w:r>
        <w:rPr>
          <w:rFonts w:ascii="Constantia"/>
          <w:sz w:val="21"/>
        </w:rPr>
        <w:t>120%</w:t>
      </w:r>
    </w:p>
    <w:p>
      <w:pPr>
        <w:spacing w:line="192" w:lineRule="exact" w:before="146"/>
        <w:ind w:left="0" w:right="3" w:firstLine="0"/>
        <w:jc w:val="right"/>
        <w:rPr>
          <w:rFonts w:ascii="Constantia"/>
          <w:sz w:val="21"/>
        </w:rPr>
      </w:pPr>
      <w:r>
        <w:rPr>
          <w:rFonts w:ascii="Constantia"/>
          <w:sz w:val="21"/>
        </w:rPr>
        <w:t>100%</w:t>
      </w:r>
    </w:p>
    <w:p>
      <w:pPr>
        <w:pStyle w:val="BodyText"/>
        <w:spacing w:before="11"/>
        <w:rPr>
          <w:rFonts w:ascii="Constantia"/>
          <w:sz w:val="20"/>
        </w:rPr>
      </w:pPr>
      <w:r>
        <w:rPr/>
        <w:br w:type="column"/>
      </w:r>
      <w:r>
        <w:rPr>
          <w:rFonts w:ascii="Constantia"/>
          <w:sz w:val="20"/>
        </w:rPr>
      </w:r>
    </w:p>
    <w:p>
      <w:pPr>
        <w:spacing w:before="0"/>
        <w:ind w:left="968" w:right="0" w:firstLine="0"/>
        <w:jc w:val="left"/>
        <w:rPr>
          <w:sz w:val="22"/>
        </w:rPr>
      </w:pPr>
      <w:r>
        <w:rPr>
          <w:color w:val="FF0000"/>
          <w:w w:val="105"/>
          <w:sz w:val="22"/>
        </w:rPr>
        <w:t>Período post-nacionalización</w:t>
      </w:r>
    </w:p>
    <w:p>
      <w:pPr>
        <w:pStyle w:val="BodyText"/>
        <w:spacing w:before="7"/>
        <w:rPr>
          <w:sz w:val="23"/>
        </w:rPr>
      </w:pPr>
    </w:p>
    <w:p>
      <w:pPr>
        <w:spacing w:before="0"/>
        <w:ind w:left="3534" w:right="0" w:firstLine="0"/>
        <w:jc w:val="left"/>
        <w:rPr>
          <w:rFonts w:ascii="Constantia"/>
          <w:sz w:val="22"/>
        </w:rPr>
      </w:pPr>
      <w:r>
        <w:rPr/>
        <w:pict>
          <v:group style="position:absolute;margin-left:158.256348pt;margin-top:-27.345522pt;width:188.1pt;height:181.2pt;mso-position-horizontal-relative:page;mso-position-vertical-relative:paragraph;z-index:-561280" coordorigin="3165,-547" coordsize="3762,3624">
            <v:shape style="position:absolute;left:3365;top:440;width:157;height:1832" type="#_x0000_t75" stroked="false">
              <v:imagedata r:id="rId243" o:title=""/>
            </v:shape>
            <v:rect style="position:absolute;left:3365;top:398;width:157;height:42" filled="true" fillcolor="#c0504d" stroked="false">
              <v:fill type="solid"/>
            </v:rect>
            <v:shape style="position:absolute;left:3365;top:327;width:157;height:70" type="#_x0000_t75" stroked="false">
              <v:imagedata r:id="rId244" o:title=""/>
            </v:shape>
            <v:shape style="position:absolute;left:3365;top:271;width:157;height:56" type="#_x0000_t75" stroked="false">
              <v:imagedata r:id="rId245" o:title=""/>
            </v:shape>
            <v:shape style="position:absolute;left:3764;top:299;width:171;height:1973" type="#_x0000_t75" stroked="false">
              <v:imagedata r:id="rId246" o:title=""/>
            </v:shape>
            <v:rect style="position:absolute;left:3764;top:271;width:171;height:28" filled="true" fillcolor="#c0504d" stroked="false">
              <v:fill type="solid"/>
            </v:rect>
            <v:shape style="position:absolute;left:3764;top:2272;width:171;height:14" type="#_x0000_t75" stroked="false">
              <v:imagedata r:id="rId247" o:title=""/>
            </v:shape>
            <v:shape style="position:absolute;left:4177;top:454;width:171;height:1818" type="#_x0000_t75" stroked="false">
              <v:imagedata r:id="rId248" o:title=""/>
            </v:shape>
            <v:rect style="position:absolute;left:4177;top:412;width:171;height:42" filled="true" fillcolor="#c0504d" stroked="false">
              <v:fill type="solid"/>
            </v:rect>
            <v:shape style="position:absolute;left:4177;top:271;width:171;height:141" type="#_x0000_t75" stroked="false">
              <v:imagedata r:id="rId249" o:title=""/>
            </v:shape>
            <v:shape style="position:absolute;left:4590;top:877;width:157;height:1395" type="#_x0000_t75" stroked="false">
              <v:imagedata r:id="rId250" o:title=""/>
            </v:shape>
            <v:rect style="position:absolute;left:4590;top:849;width:157;height:28" filled="true" fillcolor="#c0504d" stroked="false">
              <v:fill type="solid"/>
            </v:rect>
            <v:shape style="position:absolute;left:4590;top:271;width:157;height:578" type="#_x0000_t75" stroked="false">
              <v:imagedata r:id="rId251" o:title=""/>
            </v:shape>
            <v:shape style="position:absolute;left:5003;top:1088;width:157;height:1184" type="#_x0000_t75" stroked="false">
              <v:imagedata r:id="rId252" o:title=""/>
            </v:shape>
            <v:rect style="position:absolute;left:5003;top:1060;width:157;height:28" filled="true" fillcolor="#c0504d" stroked="false">
              <v:fill type="solid"/>
            </v:rect>
            <v:shape style="position:absolute;left:5003;top:-11;width:157;height:1071" type="#_x0000_t75" stroked="false">
              <v:imagedata r:id="rId253" o:title=""/>
            </v:shape>
            <v:shape style="position:absolute;left:5003;top:2272;width:157;height:268" type="#_x0000_t75" stroked="false">
              <v:imagedata r:id="rId254" o:title=""/>
            </v:shape>
            <v:shape style="position:absolute;left:5402;top:2216;width:171;height:56" type="#_x0000_t75" stroked="false">
              <v:imagedata r:id="rId255" o:title=""/>
            </v:shape>
            <v:line style="position:absolute" from="5402,2209" to="5573,2209" stroked="true" strokeweight=".704721pt" strokecolor="#c0504d"/>
            <v:shape style="position:absolute;left:5402;top:1934;width:171;height:282" type="#_x0000_t75" stroked="false">
              <v:imagedata r:id="rId256" o:title=""/>
            </v:shape>
            <v:shape style="position:absolute;left:5402;top:271;width:171;height:1663" type="#_x0000_t75" stroked="false">
              <v:imagedata r:id="rId257" o:title=""/>
            </v:shape>
            <v:shape style="position:absolute;left:5815;top:1878;width:171;height:395" type="#_x0000_t75" stroked="false">
              <v:imagedata r:id="rId258" o:title=""/>
            </v:shape>
            <v:line style="position:absolute" from="5815,1871" to="5986,1871" stroked="true" strokeweight=".704721pt" strokecolor="#c0504d"/>
            <v:shape style="position:absolute;left:5815;top:1427;width:171;height:451" type="#_x0000_t75" stroked="false">
              <v:imagedata r:id="rId259" o:title=""/>
            </v:shape>
            <v:shape style="position:absolute;left:5815;top:271;width:171;height:1156" type="#_x0000_t75" stroked="false">
              <v:imagedata r:id="rId260" o:title=""/>
            </v:shape>
            <v:shape style="position:absolute;left:6228;top:1920;width:157;height:352" type="#_x0000_t75" stroked="false">
              <v:imagedata r:id="rId261" o:title=""/>
            </v:shape>
            <v:shape style="position:absolute;left:6228;top:1427;width:157;height:493" type="#_x0000_t75" stroked="false">
              <v:imagedata r:id="rId262" o:title=""/>
            </v:shape>
            <v:shape style="position:absolute;left:6228;top:271;width:157;height:1156" type="#_x0000_t75" stroked="false">
              <v:imagedata r:id="rId263" o:title=""/>
            </v:shape>
            <v:shape style="position:absolute;left:6641;top:1525;width:157;height:747" type="#_x0000_t75" stroked="false">
              <v:imagedata r:id="rId264" o:title=""/>
            </v:shape>
            <v:shape style="position:absolute;left:6641;top:1046;width:157;height:465" type="#_x0000_t75" stroked="false">
              <v:imagedata r:id="rId265" o:title=""/>
            </v:shape>
            <v:shape style="position:absolute;left:6641;top:271;width:157;height:775" type="#_x0000_t75" stroked="false">
              <v:imagedata r:id="rId266" o:title=""/>
            </v:shape>
            <v:shape style="position:absolute;left:773;top:5186;width:3946;height:3840" coordorigin="773,5186" coordsize="3946,3840" path="m3230,3069l3230,-539m3173,3069l3230,3069m3173,2674l3230,2674m3173,2265l3230,2265m3173,1871l3230,1871m3173,1462l3230,1462m3173,1067l3230,1067m3173,673l3230,673m3173,264l3230,264m3173,-131l3230,-131m3173,-539l3230,-539m3230,2265l6919,2265m3230,2265l3230,2336m3643,2265l3643,2336m4056,2265l4056,2336m4469,2265l4469,2336m4868,2265l4868,2336m5281,2265l5281,2336m5694,2265l5694,2336m6107,2265l6107,2336m6520,2265l6520,2336m6919,2265l6919,2336e" filled="false" stroked="true" strokeweight=".70849pt" strokecolor="#858585">
              <v:path arrowok="t"/>
            </v:shape>
            <v:shape style="position:absolute;left:3662;top:1221;width:1257;height:911" coordorigin="3662,1221" coordsize="1257,911" path="m3695,1221l3662,1266,3846,1398,3880,1353,3695,1221xm4018,1452l3985,1498,4169,1630,4203,1584,4018,1452xm4341,1684l4308,1729,4492,1861,4526,1816,4341,1684xm4678,2051l4667,2052,4657,2058,4650,2066,4647,2077,4648,2088,4653,2097,4661,2104,4672,2107,4918,2131,4908,2110,4846,2110,4838,2093,4815,2093,4770,2060,4678,2051xm4835,2067l4830,2073,4846,2110,4875,2071,4835,2067xm4791,1891l4780,1894,4771,1900,4765,1909,4763,1920,4766,1931,4803,2015,4849,2047,4835,2067,4875,2071,4846,2110,4908,2110,4818,1908,4811,1899,4802,1893,4791,1891xm4770,2060l4815,2093,4830,2073,4826,2066,4770,2060xm4830,2073l4815,2093,4838,2093,4830,2073xm4826,2066l4830,2073,4835,2067,4826,2066xm4803,2015l4826,2066,4835,2067,4849,2047,4803,2015xm4664,1915l4631,1961,4770,2060,4826,2066,4803,2015,4664,1915xe" filled="true" fillcolor="#7e7e7e" stroked="false">
              <v:path arrowok="t"/>
              <v:fill type="solid"/>
            </v:shape>
            <v:shape style="position:absolute;left:5153;top:764;width:1589;height:1795" coordorigin="5153,764" coordsize="1589,1795" path="m5302,2352l5153,2522,5196,2559,5345,2389,5302,2352xm5565,2054l5415,2224,5458,2261,5608,2091,5565,2054xm5827,1757l5677,1927,5720,1964,5870,1794,5827,1757xm6089,1460l5940,1630,5982,1667,6132,1497,6089,1460xm6352,1163l6202,1333,6245,1370,6395,1200,6352,1163xm6615,866l6613,866,6464,1035,6507,1072,6656,903,6656,902,6615,866xm6734,801l6676,801,6713,833,6667,848,6656,902,6657,902,6656,903,6639,993,6639,1004,6643,1014,6651,1022,6661,1026,6673,1026,6683,1022,6690,1014,6695,1004,6734,801xm6656,902l6656,903,6657,902,6656,902xm6741,764l6507,842,6497,848,6491,856,6488,867,6489,878,6495,887,6504,894,6514,897,6525,896,6613,866,6614,865,6616,865,6667,848,6676,801,6734,801,6741,764xm6614,865l6613,866,6615,866,6614,865xm6616,865l6614,865,6615,866,6616,865xm6676,801l6667,848,6713,833,6676,801xe" filled="true" fillcolor="#001f5f" stroked="false">
              <v:path arrowok="t"/>
              <v:fill type="solid"/>
            </v:shape>
            <v:line style="position:absolute" from="4675,-420" to="4675,2667" stroked="true" strokeweight="1.424518pt" strokecolor="#ff0000">
              <v:stroke dashstyle="longDash"/>
            </v:line>
            <w10:wrap type="none"/>
          </v:group>
        </w:pict>
      </w:r>
      <w:r>
        <w:rPr/>
        <w:drawing>
          <wp:anchor distT="0" distB="0" distL="0" distR="0" allowOverlap="1" layoutInCell="1" locked="0" behindDoc="0" simplePos="0" relativeHeight="10864">
            <wp:simplePos x="0" y="0"/>
            <wp:positionH relativeFrom="page">
              <wp:posOffset>4597162</wp:posOffset>
            </wp:positionH>
            <wp:positionV relativeFrom="paragraph">
              <wp:posOffset>55687</wp:posOffset>
            </wp:positionV>
            <wp:extent cx="81413" cy="71599"/>
            <wp:effectExtent l="0" t="0" r="0" b="0"/>
            <wp:wrapNone/>
            <wp:docPr id="57" name="image251.png" descr=""/>
            <wp:cNvGraphicFramePr>
              <a:graphicFrameLocks noChangeAspect="1"/>
            </wp:cNvGraphicFramePr>
            <a:graphic>
              <a:graphicData uri="http://schemas.openxmlformats.org/drawingml/2006/picture">
                <pic:pic>
                  <pic:nvPicPr>
                    <pic:cNvPr id="58" name="image251.png"/>
                    <pic:cNvPicPr/>
                  </pic:nvPicPr>
                  <pic:blipFill>
                    <a:blip r:embed="rId267" cstate="print"/>
                    <a:stretch>
                      <a:fillRect/>
                    </a:stretch>
                  </pic:blipFill>
                  <pic:spPr>
                    <a:xfrm>
                      <a:off x="0" y="0"/>
                      <a:ext cx="81413" cy="71599"/>
                    </a:xfrm>
                    <a:prstGeom prst="rect">
                      <a:avLst/>
                    </a:prstGeom>
                  </pic:spPr>
                </pic:pic>
              </a:graphicData>
            </a:graphic>
          </wp:anchor>
        </w:drawing>
      </w:r>
      <w:r>
        <w:rPr>
          <w:rFonts w:ascii="Constantia"/>
          <w:w w:val="105"/>
          <w:sz w:val="22"/>
        </w:rPr>
        <w:t>venta externa de gas</w:t>
      </w:r>
    </w:p>
    <w:p>
      <w:pPr>
        <w:spacing w:after="0"/>
        <w:jc w:val="left"/>
        <w:rPr>
          <w:rFonts w:ascii="Constantia"/>
          <w:sz w:val="22"/>
        </w:rPr>
        <w:sectPr>
          <w:type w:val="continuous"/>
          <w:pgSz w:w="12250" w:h="15850"/>
          <w:pgMar w:top="1500" w:bottom="280" w:left="1600" w:right="1600"/>
          <w:cols w:num="2" w:equalWidth="0">
            <w:col w:w="1451" w:space="843"/>
            <w:col w:w="6756"/>
          </w:cols>
        </w:sectPr>
      </w:pPr>
    </w:p>
    <w:p>
      <w:pPr>
        <w:pStyle w:val="BodyText"/>
        <w:spacing w:before="2"/>
        <w:rPr>
          <w:rFonts w:ascii="Constantia"/>
          <w:sz w:val="17"/>
        </w:rPr>
      </w:pPr>
    </w:p>
    <w:p>
      <w:pPr>
        <w:spacing w:before="0"/>
        <w:ind w:left="0" w:right="0" w:firstLine="0"/>
        <w:jc w:val="right"/>
        <w:rPr>
          <w:rFonts w:ascii="Constantia"/>
          <w:sz w:val="21"/>
        </w:rPr>
      </w:pPr>
      <w:r>
        <w:rPr>
          <w:rFonts w:ascii="Constantia"/>
          <w:sz w:val="21"/>
        </w:rPr>
        <w:t>80%</w:t>
      </w:r>
    </w:p>
    <w:p>
      <w:pPr>
        <w:spacing w:before="145"/>
        <w:ind w:left="0" w:right="0" w:firstLine="0"/>
        <w:jc w:val="right"/>
        <w:rPr>
          <w:rFonts w:ascii="Constantia"/>
          <w:sz w:val="21"/>
        </w:rPr>
      </w:pPr>
      <w:r>
        <w:rPr>
          <w:rFonts w:ascii="Constantia"/>
          <w:sz w:val="21"/>
        </w:rPr>
        <w:t>60%</w:t>
      </w:r>
    </w:p>
    <w:p>
      <w:pPr>
        <w:spacing w:before="145"/>
        <w:ind w:left="0" w:right="0" w:firstLine="0"/>
        <w:jc w:val="right"/>
        <w:rPr>
          <w:rFonts w:ascii="Constantia"/>
          <w:sz w:val="21"/>
        </w:rPr>
      </w:pPr>
      <w:r>
        <w:rPr>
          <w:rFonts w:ascii="Constantia"/>
          <w:sz w:val="21"/>
        </w:rPr>
        <w:t>40%</w:t>
      </w:r>
    </w:p>
    <w:p>
      <w:pPr>
        <w:pStyle w:val="BodyText"/>
        <w:spacing w:before="6"/>
        <w:rPr>
          <w:rFonts w:ascii="Constantia"/>
          <w:sz w:val="27"/>
        </w:rPr>
      </w:pPr>
      <w:r>
        <w:rPr/>
        <w:br w:type="column"/>
      </w:r>
      <w:r>
        <w:rPr>
          <w:rFonts w:ascii="Constantia"/>
          <w:sz w:val="27"/>
        </w:rPr>
      </w:r>
    </w:p>
    <w:p>
      <w:pPr>
        <w:spacing w:before="0"/>
        <w:ind w:left="564" w:right="0" w:firstLine="0"/>
        <w:jc w:val="left"/>
        <w:rPr>
          <w:rFonts w:ascii="Constantia"/>
          <w:sz w:val="21"/>
        </w:rPr>
      </w:pPr>
      <w:r>
        <w:rPr>
          <w:rFonts w:ascii="Constantia"/>
          <w:sz w:val="21"/>
        </w:rPr>
        <w:t>98%</w:t>
      </w:r>
    </w:p>
    <w:p>
      <w:pPr>
        <w:spacing w:before="116"/>
        <w:ind w:left="0" w:right="0" w:firstLine="0"/>
        <w:jc w:val="right"/>
        <w:rPr>
          <w:rFonts w:ascii="Constantia"/>
          <w:sz w:val="21"/>
        </w:rPr>
      </w:pPr>
      <w:r>
        <w:rPr>
          <w:rFonts w:ascii="Constantia"/>
          <w:sz w:val="21"/>
        </w:rPr>
        <w:t>91%</w:t>
      </w:r>
    </w:p>
    <w:p>
      <w:pPr>
        <w:pStyle w:val="BodyText"/>
        <w:rPr>
          <w:rFonts w:ascii="Constantia"/>
          <w:sz w:val="20"/>
        </w:rPr>
      </w:pPr>
      <w:r>
        <w:rPr/>
        <w:br w:type="column"/>
      </w:r>
      <w:r>
        <w:rPr>
          <w:rFonts w:ascii="Constantia"/>
          <w:sz w:val="20"/>
        </w:rPr>
      </w:r>
    </w:p>
    <w:p>
      <w:pPr>
        <w:pStyle w:val="BodyText"/>
        <w:rPr>
          <w:rFonts w:ascii="Constantia"/>
          <w:sz w:val="20"/>
        </w:rPr>
      </w:pPr>
    </w:p>
    <w:p>
      <w:pPr>
        <w:pStyle w:val="BodyText"/>
        <w:rPr>
          <w:rFonts w:ascii="Constantia"/>
          <w:sz w:val="20"/>
        </w:rPr>
      </w:pPr>
    </w:p>
    <w:p>
      <w:pPr>
        <w:pStyle w:val="BodyText"/>
        <w:rPr>
          <w:rFonts w:ascii="Constantia"/>
          <w:sz w:val="25"/>
        </w:rPr>
      </w:pPr>
    </w:p>
    <w:p>
      <w:pPr>
        <w:spacing w:line="233" w:lineRule="exact" w:before="0"/>
        <w:ind w:left="14" w:right="-16" w:firstLine="0"/>
        <w:jc w:val="left"/>
        <w:rPr>
          <w:rFonts w:ascii="Constantia"/>
          <w:sz w:val="21"/>
        </w:rPr>
      </w:pPr>
      <w:r>
        <w:rPr/>
        <w:drawing>
          <wp:anchor distT="0" distB="0" distL="0" distR="0" allowOverlap="1" layoutInCell="1" locked="0" behindDoc="0" simplePos="0" relativeHeight="10936">
            <wp:simplePos x="0" y="0"/>
            <wp:positionH relativeFrom="page">
              <wp:posOffset>4597162</wp:posOffset>
            </wp:positionH>
            <wp:positionV relativeFrom="paragraph">
              <wp:posOffset>444692</wp:posOffset>
            </wp:positionV>
            <wp:extent cx="81413" cy="71599"/>
            <wp:effectExtent l="0" t="0" r="0" b="0"/>
            <wp:wrapNone/>
            <wp:docPr id="59" name="image252.png" descr=""/>
            <wp:cNvGraphicFramePr>
              <a:graphicFrameLocks noChangeAspect="1"/>
            </wp:cNvGraphicFramePr>
            <a:graphic>
              <a:graphicData uri="http://schemas.openxmlformats.org/drawingml/2006/picture">
                <pic:pic>
                  <pic:nvPicPr>
                    <pic:cNvPr id="60" name="image252.png"/>
                    <pic:cNvPicPr/>
                  </pic:nvPicPr>
                  <pic:blipFill>
                    <a:blip r:embed="rId268" cstate="print"/>
                    <a:stretch>
                      <a:fillRect/>
                    </a:stretch>
                  </pic:blipFill>
                  <pic:spPr>
                    <a:xfrm>
                      <a:off x="0" y="0"/>
                      <a:ext cx="81413" cy="71599"/>
                    </a:xfrm>
                    <a:prstGeom prst="rect">
                      <a:avLst/>
                    </a:prstGeom>
                  </pic:spPr>
                </pic:pic>
              </a:graphicData>
            </a:graphic>
          </wp:anchor>
        </w:drawing>
      </w:r>
      <w:r>
        <w:rPr>
          <w:rFonts w:ascii="Constantia"/>
          <w:sz w:val="21"/>
        </w:rPr>
        <w:t>69%</w:t>
      </w:r>
    </w:p>
    <w:p>
      <w:pPr>
        <w:spacing w:before="79"/>
        <w:ind w:left="0" w:right="-12" w:firstLine="0"/>
        <w:jc w:val="left"/>
        <w:rPr>
          <w:rFonts w:ascii="Constantia"/>
          <w:sz w:val="21"/>
        </w:rPr>
      </w:pPr>
      <w:r>
        <w:rPr/>
        <w:br w:type="column"/>
      </w:r>
      <w:r>
        <w:rPr>
          <w:rFonts w:ascii="Constantia"/>
          <w:sz w:val="21"/>
        </w:rPr>
        <w:t>53%</w:t>
      </w:r>
    </w:p>
    <w:p>
      <w:pPr>
        <w:pStyle w:val="BodyText"/>
        <w:rPr>
          <w:rFonts w:ascii="Constantia"/>
          <w:sz w:val="20"/>
        </w:rPr>
      </w:pPr>
      <w:r>
        <w:rPr/>
        <w:br w:type="column"/>
      </w:r>
      <w:r>
        <w:rPr>
          <w:rFonts w:ascii="Constantia"/>
          <w:sz w:val="20"/>
        </w:rPr>
      </w:r>
    </w:p>
    <w:p>
      <w:pPr>
        <w:pStyle w:val="BodyText"/>
        <w:rPr>
          <w:rFonts w:ascii="Constantia"/>
          <w:sz w:val="20"/>
        </w:rPr>
      </w:pPr>
    </w:p>
    <w:p>
      <w:pPr>
        <w:pStyle w:val="BodyText"/>
        <w:spacing w:before="1"/>
        <w:rPr>
          <w:rFonts w:ascii="Constantia"/>
          <w:sz w:val="18"/>
        </w:rPr>
      </w:pPr>
    </w:p>
    <w:p>
      <w:pPr>
        <w:spacing w:before="0"/>
        <w:ind w:left="0" w:right="-12" w:firstLine="0"/>
        <w:jc w:val="left"/>
        <w:rPr>
          <w:rFonts w:ascii="Constantia"/>
          <w:sz w:val="21"/>
        </w:rPr>
      </w:pPr>
      <w:r>
        <w:rPr>
          <w:rFonts w:ascii="Constantia"/>
          <w:sz w:val="21"/>
        </w:rPr>
        <w:t>83%</w:t>
      </w:r>
    </w:p>
    <w:p>
      <w:pPr>
        <w:pStyle w:val="BodyText"/>
        <w:spacing w:before="8"/>
        <w:rPr>
          <w:rFonts w:ascii="Constantia"/>
          <w:sz w:val="20"/>
        </w:rPr>
      </w:pPr>
      <w:r>
        <w:rPr/>
        <w:br w:type="column"/>
      </w:r>
      <w:r>
        <w:rPr>
          <w:rFonts w:ascii="Constantia"/>
          <w:sz w:val="20"/>
        </w:rPr>
      </w:r>
    </w:p>
    <w:p>
      <w:pPr>
        <w:spacing w:before="1"/>
        <w:ind w:left="-20" w:right="-14" w:firstLine="0"/>
        <w:jc w:val="left"/>
        <w:rPr>
          <w:rFonts w:ascii="Constantia"/>
          <w:sz w:val="21"/>
        </w:rPr>
      </w:pPr>
      <w:r>
        <w:rPr>
          <w:rFonts w:ascii="Constantia"/>
          <w:sz w:val="21"/>
        </w:rPr>
        <w:t>58%</w:t>
      </w:r>
    </w:p>
    <w:p>
      <w:pPr>
        <w:pStyle w:val="BodyText"/>
        <w:spacing w:before="12"/>
        <w:rPr>
          <w:rFonts w:ascii="Constantia"/>
          <w:sz w:val="16"/>
        </w:rPr>
      </w:pPr>
      <w:r>
        <w:rPr/>
        <w:br w:type="column"/>
      </w:r>
      <w:r>
        <w:rPr>
          <w:rFonts w:ascii="Constantia"/>
          <w:sz w:val="16"/>
        </w:rPr>
      </w:r>
    </w:p>
    <w:p>
      <w:pPr>
        <w:spacing w:line="251" w:lineRule="exact" w:before="0"/>
        <w:ind w:left="370" w:right="0" w:firstLine="0"/>
        <w:jc w:val="center"/>
        <w:rPr>
          <w:rFonts w:ascii="Constantia"/>
          <w:sz w:val="21"/>
        </w:rPr>
      </w:pPr>
      <w:r>
        <w:rPr>
          <w:rFonts w:ascii="Constantia"/>
          <w:sz w:val="21"/>
        </w:rPr>
        <w:t>39%</w:t>
      </w:r>
    </w:p>
    <w:p>
      <w:pPr>
        <w:spacing w:line="251" w:lineRule="exact" w:before="0"/>
        <w:ind w:left="1" w:right="0" w:firstLine="0"/>
        <w:jc w:val="left"/>
        <w:rPr>
          <w:rFonts w:ascii="Constantia"/>
          <w:sz w:val="21"/>
        </w:rPr>
      </w:pPr>
      <w:r>
        <w:rPr>
          <w:rFonts w:ascii="Constantia"/>
          <w:sz w:val="21"/>
        </w:rPr>
        <w:t>58%</w:t>
      </w:r>
    </w:p>
    <w:p>
      <w:pPr>
        <w:pStyle w:val="BodyText"/>
        <w:spacing w:before="7"/>
        <w:rPr>
          <w:rFonts w:ascii="Constantia"/>
          <w:sz w:val="23"/>
        </w:rPr>
      </w:pPr>
    </w:p>
    <w:p>
      <w:pPr>
        <w:spacing w:before="0"/>
        <w:ind w:left="418" w:right="0" w:firstLine="0"/>
        <w:jc w:val="center"/>
        <w:rPr>
          <w:rFonts w:ascii="Constantia"/>
          <w:sz w:val="22"/>
        </w:rPr>
      </w:pPr>
      <w:r>
        <w:rPr>
          <w:rFonts w:ascii="Constantia"/>
          <w:w w:val="104"/>
          <w:sz w:val="22"/>
          <w:u w:val="single" w:color="C0504D"/>
        </w:rPr>
        <w:t> </w:t>
      </w:r>
      <w:r>
        <w:rPr>
          <w:rFonts w:ascii="Constantia"/>
          <w:spacing w:val="-14"/>
          <w:sz w:val="22"/>
          <w:u w:val="single" w:color="C0504D"/>
        </w:rPr>
        <w:t> </w:t>
      </w:r>
    </w:p>
    <w:p>
      <w:pPr>
        <w:spacing w:line="229" w:lineRule="exact" w:before="0"/>
        <w:ind w:left="470" w:right="943" w:firstLine="0"/>
        <w:jc w:val="left"/>
        <w:rPr>
          <w:rFonts w:ascii="Constantia"/>
          <w:sz w:val="22"/>
        </w:rPr>
      </w:pPr>
      <w:r>
        <w:rPr/>
        <w:br w:type="column"/>
      </w:r>
      <w:r>
        <w:rPr>
          <w:rFonts w:ascii="Constantia"/>
          <w:w w:val="105"/>
          <w:sz w:val="22"/>
        </w:rPr>
        <w:t>natural</w:t>
      </w:r>
    </w:p>
    <w:p>
      <w:pPr>
        <w:spacing w:line="252" w:lineRule="auto" w:before="108"/>
        <w:ind w:left="470" w:right="943" w:firstLine="0"/>
        <w:jc w:val="left"/>
        <w:rPr>
          <w:rFonts w:ascii="Constantia" w:hAnsi="Constantia"/>
          <w:sz w:val="22"/>
        </w:rPr>
      </w:pPr>
      <w:r>
        <w:rPr/>
        <w:drawing>
          <wp:anchor distT="0" distB="0" distL="0" distR="0" allowOverlap="1" layoutInCell="1" locked="0" behindDoc="0" simplePos="0" relativeHeight="10888">
            <wp:simplePos x="0" y="0"/>
            <wp:positionH relativeFrom="page">
              <wp:posOffset>4597162</wp:posOffset>
            </wp:positionH>
            <wp:positionV relativeFrom="paragraph">
              <wp:posOffset>116868</wp:posOffset>
            </wp:positionV>
            <wp:extent cx="81413" cy="80549"/>
            <wp:effectExtent l="0" t="0" r="0" b="0"/>
            <wp:wrapNone/>
            <wp:docPr id="61" name="image253.png" descr=""/>
            <wp:cNvGraphicFramePr>
              <a:graphicFrameLocks noChangeAspect="1"/>
            </wp:cNvGraphicFramePr>
            <a:graphic>
              <a:graphicData uri="http://schemas.openxmlformats.org/drawingml/2006/picture">
                <pic:pic>
                  <pic:nvPicPr>
                    <pic:cNvPr id="62" name="image253.png"/>
                    <pic:cNvPicPr/>
                  </pic:nvPicPr>
                  <pic:blipFill>
                    <a:blip r:embed="rId269" cstate="print"/>
                    <a:stretch>
                      <a:fillRect/>
                    </a:stretch>
                  </pic:blipFill>
                  <pic:spPr>
                    <a:xfrm>
                      <a:off x="0" y="0"/>
                      <a:ext cx="81413" cy="80549"/>
                    </a:xfrm>
                    <a:prstGeom prst="rect">
                      <a:avLst/>
                    </a:prstGeom>
                  </pic:spPr>
                </pic:pic>
              </a:graphicData>
            </a:graphic>
          </wp:anchor>
        </w:drawing>
      </w:r>
      <w:r>
        <w:rPr>
          <w:rFonts w:ascii="Constantia" w:hAnsi="Constantia"/>
          <w:w w:val="105"/>
          <w:sz w:val="22"/>
        </w:rPr>
        <w:t>Venta doméstica de gas natural</w:t>
      </w:r>
    </w:p>
    <w:p>
      <w:pPr>
        <w:spacing w:before="95"/>
        <w:ind w:left="470" w:right="943" w:firstLine="0"/>
        <w:jc w:val="left"/>
        <w:rPr>
          <w:rFonts w:ascii="Constantia"/>
          <w:sz w:val="22"/>
        </w:rPr>
      </w:pPr>
      <w:r>
        <w:rPr/>
        <w:pict>
          <v:rect style="position:absolute;margin-left:361.981293pt;margin-top:8.646255pt;width:7.12259pt;height:7.047207pt;mso-position-horizontal-relative:page;mso-position-vertical-relative:paragraph;z-index:10912" filled="true" fillcolor="#c0504d" stroked="false">
            <v:fill type="solid"/>
            <w10:wrap type="none"/>
          </v:rect>
        </w:pict>
      </w:r>
      <w:r>
        <w:rPr>
          <w:rFonts w:ascii="Constantia"/>
          <w:w w:val="105"/>
          <w:sz w:val="22"/>
        </w:rPr>
        <w:t>Renta aduanera</w:t>
      </w:r>
    </w:p>
    <w:p>
      <w:pPr>
        <w:spacing w:after="0"/>
        <w:jc w:val="left"/>
        <w:rPr>
          <w:rFonts w:ascii="Constantia"/>
          <w:sz w:val="22"/>
        </w:rPr>
        <w:sectPr>
          <w:type w:val="continuous"/>
          <w:pgSz w:w="12250" w:h="15850"/>
          <w:pgMar w:top="1500" w:bottom="280" w:left="1600" w:right="1600"/>
          <w:cols w:num="8" w:equalWidth="0">
            <w:col w:w="1449" w:space="40"/>
            <w:col w:w="1312" w:space="40"/>
            <w:col w:w="419" w:space="40"/>
            <w:col w:w="377" w:space="40"/>
            <w:col w:w="390" w:space="40"/>
            <w:col w:w="372" w:space="40"/>
            <w:col w:w="761" w:space="40"/>
            <w:col w:w="3690"/>
          </w:cols>
        </w:sectPr>
      </w:pPr>
    </w:p>
    <w:p>
      <w:pPr>
        <w:spacing w:before="144"/>
        <w:ind w:left="0" w:right="4" w:firstLine="0"/>
        <w:jc w:val="right"/>
        <w:rPr>
          <w:rFonts w:ascii="Constantia"/>
          <w:sz w:val="21"/>
        </w:rPr>
      </w:pPr>
      <w:r>
        <w:rPr>
          <w:rFonts w:ascii="Constantia"/>
          <w:sz w:val="21"/>
        </w:rPr>
        <w:t>20%</w:t>
      </w:r>
    </w:p>
    <w:p>
      <w:pPr>
        <w:spacing w:before="146"/>
        <w:ind w:left="0" w:right="0" w:firstLine="0"/>
        <w:jc w:val="right"/>
        <w:rPr>
          <w:rFonts w:ascii="Constantia"/>
          <w:sz w:val="21"/>
        </w:rPr>
      </w:pPr>
      <w:r>
        <w:rPr>
          <w:rFonts w:ascii="Constantia"/>
          <w:sz w:val="21"/>
        </w:rPr>
        <w:t>0%</w:t>
      </w:r>
    </w:p>
    <w:p>
      <w:pPr>
        <w:spacing w:before="145"/>
        <w:ind w:left="0" w:right="0" w:firstLine="0"/>
        <w:jc w:val="right"/>
        <w:rPr>
          <w:rFonts w:ascii="Constantia"/>
          <w:sz w:val="21"/>
        </w:rPr>
      </w:pPr>
      <w:r>
        <w:rPr>
          <w:rFonts w:ascii="Constantia"/>
          <w:sz w:val="21"/>
        </w:rPr>
        <w:t>-20%</w:t>
      </w:r>
    </w:p>
    <w:p>
      <w:pPr>
        <w:spacing w:before="145"/>
        <w:ind w:left="0" w:right="5" w:firstLine="0"/>
        <w:jc w:val="right"/>
        <w:rPr>
          <w:rFonts w:ascii="Constantia"/>
          <w:sz w:val="21"/>
        </w:rPr>
      </w:pPr>
      <w:r>
        <w:rPr>
          <w:rFonts w:ascii="Constantia"/>
          <w:sz w:val="21"/>
        </w:rPr>
        <w:t>-40%</w:t>
      </w:r>
    </w:p>
    <w:p>
      <w:pPr>
        <w:spacing w:line="174" w:lineRule="exact" w:before="0"/>
        <w:ind w:left="0" w:right="386" w:firstLine="0"/>
        <w:jc w:val="right"/>
        <w:rPr>
          <w:rFonts w:ascii="Constantia"/>
          <w:sz w:val="21"/>
        </w:rPr>
      </w:pPr>
      <w:r>
        <w:rPr/>
        <w:br w:type="column"/>
      </w:r>
      <w:r>
        <w:rPr>
          <w:rFonts w:ascii="Constantia"/>
          <w:sz w:val="21"/>
        </w:rPr>
        <w:t>24%</w:t>
      </w:r>
    </w:p>
    <w:p>
      <w:pPr>
        <w:tabs>
          <w:tab w:pos="1303" w:val="left" w:leader="none"/>
        </w:tabs>
        <w:spacing w:line="202" w:lineRule="exact" w:before="0"/>
        <w:ind w:left="0" w:right="459" w:firstLine="0"/>
        <w:jc w:val="right"/>
        <w:rPr>
          <w:rFonts w:ascii="Constantia"/>
          <w:sz w:val="21"/>
        </w:rPr>
      </w:pPr>
      <w:r>
        <w:rPr>
          <w:rFonts w:ascii="Constantia"/>
          <w:spacing w:val="-3"/>
          <w:sz w:val="21"/>
        </w:rPr>
        <w:t>59%</w:t>
        <w:tab/>
      </w:r>
      <w:r>
        <w:rPr>
          <w:rFonts w:ascii="Constantia"/>
          <w:spacing w:val="-3"/>
          <w:w w:val="101"/>
          <w:sz w:val="21"/>
          <w:u w:val="single" w:color="C0504D"/>
        </w:rPr>
        <w:t> </w:t>
      </w:r>
      <w:r>
        <w:rPr>
          <w:rFonts w:ascii="Constantia"/>
          <w:spacing w:val="-7"/>
          <w:sz w:val="21"/>
          <w:u w:val="single" w:color="C0504D"/>
        </w:rPr>
        <w:t> </w:t>
      </w:r>
    </w:p>
    <w:p>
      <w:pPr>
        <w:spacing w:line="243" w:lineRule="exact" w:before="0"/>
        <w:ind w:left="0" w:right="811" w:firstLine="0"/>
        <w:jc w:val="right"/>
        <w:rPr>
          <w:rFonts w:ascii="Constantia"/>
          <w:sz w:val="21"/>
        </w:rPr>
      </w:pPr>
      <w:r>
        <w:rPr>
          <w:rFonts w:ascii="Constantia"/>
          <w:sz w:val="21"/>
        </w:rPr>
        <w:t>19%</w:t>
      </w:r>
    </w:p>
    <w:p>
      <w:pPr>
        <w:pStyle w:val="BodyText"/>
        <w:spacing w:before="1"/>
        <w:rPr>
          <w:rFonts w:ascii="Constantia"/>
          <w:sz w:val="16"/>
        </w:rPr>
      </w:pPr>
    </w:p>
    <w:p>
      <w:pPr>
        <w:tabs>
          <w:tab w:pos="964" w:val="left" w:leader="none"/>
          <w:tab w:pos="1785" w:val="left" w:leader="none"/>
          <w:tab w:pos="2592" w:val="left" w:leader="none"/>
          <w:tab w:pos="3456" w:val="left" w:leader="none"/>
        </w:tabs>
        <w:spacing w:before="0"/>
        <w:ind w:left="142" w:right="0" w:firstLine="0"/>
        <w:jc w:val="left"/>
        <w:rPr>
          <w:rFonts w:ascii="Constantia"/>
          <w:sz w:val="21"/>
        </w:rPr>
      </w:pPr>
      <w:r>
        <w:rPr>
          <w:rFonts w:ascii="Constantia"/>
          <w:sz w:val="21"/>
        </w:rPr>
        <w:t>2003</w:t>
        <w:tab/>
        <w:t>2005</w:t>
        <w:tab/>
        <w:t>2007</w:t>
        <w:tab/>
        <w:t>2009</w:t>
        <w:tab/>
      </w:r>
      <w:r>
        <w:rPr>
          <w:rFonts w:ascii="Constantia"/>
          <w:spacing w:val="-1"/>
          <w:sz w:val="21"/>
        </w:rPr>
        <w:t>2011</w:t>
      </w:r>
    </w:p>
    <w:p>
      <w:pPr>
        <w:pStyle w:val="BodyText"/>
        <w:spacing w:before="9"/>
        <w:rPr>
          <w:rFonts w:ascii="Constantia"/>
          <w:sz w:val="31"/>
        </w:rPr>
      </w:pPr>
      <w:r>
        <w:rPr/>
        <w:br w:type="column"/>
      </w:r>
      <w:r>
        <w:rPr>
          <w:rFonts w:ascii="Constantia"/>
          <w:sz w:val="31"/>
        </w:rPr>
      </w:r>
    </w:p>
    <w:p>
      <w:pPr>
        <w:spacing w:before="0"/>
        <w:ind w:left="492" w:right="0" w:firstLine="0"/>
        <w:jc w:val="left"/>
        <w:rPr>
          <w:rFonts w:ascii="Constantia"/>
          <w:sz w:val="22"/>
        </w:rPr>
      </w:pPr>
      <w:r>
        <w:rPr>
          <w:rFonts w:ascii="Constantia"/>
          <w:w w:val="105"/>
          <w:sz w:val="22"/>
        </w:rPr>
        <w:t>Renta interna</w:t>
      </w:r>
    </w:p>
    <w:p>
      <w:pPr>
        <w:spacing w:after="0"/>
        <w:jc w:val="left"/>
        <w:rPr>
          <w:rFonts w:ascii="Constantia"/>
          <w:sz w:val="22"/>
        </w:rPr>
        <w:sectPr>
          <w:type w:val="continuous"/>
          <w:pgSz w:w="12250" w:h="15850"/>
          <w:pgMar w:top="1500" w:bottom="280" w:left="1600" w:right="1600"/>
          <w:cols w:num="3" w:equalWidth="0">
            <w:col w:w="1448" w:space="40"/>
            <w:col w:w="3809" w:space="40"/>
            <w:col w:w="3713"/>
          </w:cols>
        </w:sectPr>
      </w:pPr>
    </w:p>
    <w:p>
      <w:pPr>
        <w:spacing w:before="97"/>
        <w:ind w:left="810" w:right="0" w:firstLine="0"/>
        <w:jc w:val="left"/>
        <w:rPr>
          <w:sz w:val="20"/>
        </w:rPr>
      </w:pPr>
      <w:r>
        <w:rPr>
          <w:sz w:val="20"/>
        </w:rPr>
        <w:t>Fuente: Estimaciones propias con base en información del Banco Central de Bolivia (2012).</w:t>
      </w:r>
    </w:p>
    <w:p>
      <w:pPr>
        <w:pStyle w:val="BodyText"/>
        <w:spacing w:before="10"/>
        <w:rPr>
          <w:sz w:val="23"/>
        </w:rPr>
      </w:pPr>
    </w:p>
    <w:p>
      <w:pPr>
        <w:pStyle w:val="BodyText"/>
        <w:spacing w:line="360" w:lineRule="auto"/>
        <w:ind w:left="102" w:right="102" w:firstLine="707"/>
        <w:jc w:val="both"/>
      </w:pPr>
      <w:r>
        <w:rPr/>
        <w:t>Los hallazgos anteriores sugieren un rol fiscal deficiente basado en una  participación progresiva de la venta de gas natural en el componente cíclico del balance fiscal</w:t>
      </w:r>
      <w:r>
        <w:rPr>
          <w:spacing w:val="-4"/>
        </w:rPr>
        <w:t> </w:t>
      </w:r>
      <w:r>
        <w:rPr/>
        <w:t>global.</w:t>
      </w:r>
    </w:p>
    <w:p>
      <w:pPr>
        <w:pStyle w:val="BodyText"/>
        <w:spacing w:before="9"/>
        <w:rPr>
          <w:sz w:val="21"/>
        </w:rPr>
      </w:pPr>
    </w:p>
    <w:p>
      <w:pPr>
        <w:pStyle w:val="Heading4"/>
        <w:numPr>
          <w:ilvl w:val="2"/>
          <w:numId w:val="13"/>
        </w:numPr>
        <w:tabs>
          <w:tab w:pos="1505" w:val="left" w:leader="none"/>
          <w:tab w:pos="1506" w:val="left" w:leader="none"/>
        </w:tabs>
        <w:spacing w:line="240" w:lineRule="auto" w:before="0" w:after="0"/>
        <w:ind w:left="1506" w:right="0" w:hanging="720"/>
        <w:jc w:val="left"/>
      </w:pPr>
      <w:bookmarkStart w:name="_bookmark102" w:id="141"/>
      <w:bookmarkEnd w:id="141"/>
      <w:r>
        <w:rPr>
          <w:b w:val="0"/>
        </w:rPr>
      </w:r>
      <w:bookmarkStart w:name="_bookmark102" w:id="142"/>
      <w:bookmarkEnd w:id="142"/>
      <w:r>
        <w:rPr/>
        <w:t>Eval</w:t>
      </w:r>
      <w:r>
        <w:rPr/>
        <w:t>uación de la posición fiscal sostenible (PFS)  para</w:t>
      </w:r>
      <w:r>
        <w:rPr>
          <w:spacing w:val="-12"/>
        </w:rPr>
        <w:t> </w:t>
      </w:r>
      <w:r>
        <w:rPr/>
        <w:t>Bolivia</w:t>
      </w:r>
    </w:p>
    <w:p>
      <w:pPr>
        <w:pStyle w:val="BodyText"/>
        <w:spacing w:before="4"/>
        <w:rPr>
          <w:b/>
          <w:sz w:val="32"/>
        </w:rPr>
      </w:pPr>
    </w:p>
    <w:p>
      <w:pPr>
        <w:pStyle w:val="BodyText"/>
        <w:spacing w:line="360" w:lineRule="auto"/>
        <w:ind w:left="102" w:right="102" w:firstLine="707"/>
        <w:jc w:val="both"/>
      </w:pPr>
      <w:r>
        <w:rPr/>
        <w:t>En la sección anterior se evaluó la orientación de la política fiscal relacionada a la actividad económica y los precios del gas natural, así como el mecanismo de transición en los cambios cíclicos del balance fiscal global. En este apartado, el propósito es evaluar si</w:t>
      </w:r>
      <w:r>
        <w:rPr>
          <w:spacing w:val="59"/>
        </w:rPr>
        <w:t> </w:t>
      </w:r>
      <w:r>
        <w:rPr/>
        <w:t>el</w:t>
      </w:r>
    </w:p>
    <w:p>
      <w:pPr>
        <w:spacing w:after="0" w:line="360" w:lineRule="auto"/>
        <w:jc w:val="both"/>
        <w:sectPr>
          <w:type w:val="continuous"/>
          <w:pgSz w:w="12250" w:h="15850"/>
          <w:pgMar w:top="1500" w:bottom="280" w:left="1600" w:right="1600"/>
        </w:sectPr>
      </w:pPr>
    </w:p>
    <w:p>
      <w:pPr>
        <w:pStyle w:val="BodyText"/>
        <w:spacing w:line="360" w:lineRule="auto" w:before="50"/>
        <w:ind w:left="102" w:right="115"/>
      </w:pPr>
      <w:r>
        <w:rPr/>
        <w:t>resultado fiscal medido por el balance primario (con y sin petróleo) fue sostenible o no con base en el algoritmo propuesto por  Croce &amp; Hugo (2003).</w:t>
      </w:r>
    </w:p>
    <w:p>
      <w:pPr>
        <w:pStyle w:val="BodyText"/>
        <w:spacing w:line="360" w:lineRule="auto" w:before="6"/>
        <w:ind w:left="102" w:right="137" w:firstLine="707"/>
        <w:jc w:val="both"/>
      </w:pPr>
      <w:r>
        <w:rPr/>
        <w:t>De las dos alternativas propuestas, se estimaron dos balances primarios metas: un escenario en función del pasado reciente (base) y otro de mayor volatilidad e incertidumbre económica interna y externa (volátil). En consecuencia el escenario volátil exigió un mayor balance primario meta en comparación con el contexto de tranquilidad, por tanto, la alternativa de incertidumbre es más prudente y cautelosa (</w:t>
      </w:r>
      <w:r>
        <w:rPr>
          <w:i/>
        </w:rPr>
        <w:t>cuadro 3.9</w:t>
      </w:r>
      <w:r>
        <w:rPr/>
        <w:t>).</w:t>
      </w:r>
    </w:p>
    <w:p>
      <w:pPr>
        <w:pStyle w:val="BodyText"/>
      </w:pPr>
    </w:p>
    <w:p>
      <w:pPr>
        <w:pStyle w:val="BodyText"/>
        <w:spacing w:before="141"/>
        <w:ind w:left="714" w:right="115"/>
      </w:pPr>
      <w:bookmarkStart w:name="_bookmark103" w:id="143"/>
      <w:bookmarkEnd w:id="143"/>
      <w:r>
        <w:rPr/>
      </w:r>
      <w:r>
        <w:rPr/>
        <w:t>Cuadro 3. 9: Dos reglas alternativas para el balance primario meta (2003-2011)</w:t>
      </w:r>
    </w:p>
    <w:p>
      <w:pPr>
        <w:tabs>
          <w:tab w:pos="6779" w:val="left" w:leader="none"/>
        </w:tabs>
        <w:spacing w:before="32"/>
        <w:ind w:left="4480" w:right="115" w:firstLine="0"/>
        <w:jc w:val="left"/>
        <w:rPr>
          <w:rFonts w:ascii="Constantia" w:hAnsi="Constantia"/>
          <w:sz w:val="23"/>
        </w:rPr>
      </w:pPr>
      <w:r>
        <w:rPr>
          <w:rFonts w:ascii="Constantia" w:hAnsi="Constantia"/>
          <w:spacing w:val="-3"/>
          <w:sz w:val="23"/>
        </w:rPr>
        <w:t>Escenario</w:t>
      </w:r>
      <w:r>
        <w:rPr>
          <w:rFonts w:ascii="Constantia" w:hAnsi="Constantia"/>
          <w:spacing w:val="3"/>
          <w:sz w:val="23"/>
        </w:rPr>
        <w:t> </w:t>
      </w:r>
      <w:r>
        <w:rPr>
          <w:rFonts w:ascii="Constantia" w:hAnsi="Constantia"/>
          <w:sz w:val="23"/>
        </w:rPr>
        <w:t>base</w:t>
        <w:tab/>
      </w:r>
      <w:r>
        <w:rPr>
          <w:rFonts w:ascii="Constantia" w:hAnsi="Constantia"/>
          <w:spacing w:val="-3"/>
          <w:sz w:val="23"/>
        </w:rPr>
        <w:t>Escenario</w:t>
      </w:r>
      <w:r>
        <w:rPr>
          <w:rFonts w:ascii="Constantia" w:hAnsi="Constantia"/>
          <w:spacing w:val="18"/>
          <w:sz w:val="23"/>
        </w:rPr>
        <w:t> </w:t>
      </w:r>
      <w:r>
        <w:rPr>
          <w:rFonts w:ascii="Constantia" w:hAnsi="Constantia"/>
          <w:spacing w:val="-3"/>
          <w:sz w:val="23"/>
        </w:rPr>
        <w:t>vólatil</w:t>
      </w:r>
    </w:p>
    <w:p>
      <w:pPr>
        <w:spacing w:after="0"/>
        <w:jc w:val="left"/>
        <w:rPr>
          <w:rFonts w:ascii="Constantia" w:hAnsi="Constantia"/>
          <w:sz w:val="23"/>
        </w:rPr>
        <w:sectPr>
          <w:pgSz w:w="12250" w:h="15850"/>
          <w:pgMar w:header="0" w:footer="1037" w:top="1360" w:bottom="1220" w:left="1600" w:right="1560"/>
        </w:sectPr>
      </w:pPr>
    </w:p>
    <w:p>
      <w:pPr>
        <w:pStyle w:val="BodyText"/>
        <w:spacing w:before="3"/>
        <w:rPr>
          <w:rFonts w:ascii="Constantia"/>
          <w:sz w:val="32"/>
        </w:rPr>
      </w:pPr>
    </w:p>
    <w:p>
      <w:pPr>
        <w:spacing w:before="0"/>
        <w:ind w:left="524" w:right="0" w:firstLine="0"/>
        <w:jc w:val="left"/>
        <w:rPr>
          <w:rFonts w:ascii="Constantia"/>
          <w:sz w:val="23"/>
        </w:rPr>
      </w:pPr>
      <w:r>
        <w:rPr>
          <w:rFonts w:ascii="Constantia"/>
          <w:spacing w:val="-3"/>
          <w:sz w:val="23"/>
        </w:rPr>
        <w:t>Balance </w:t>
      </w:r>
      <w:r>
        <w:rPr>
          <w:rFonts w:ascii="Constantia"/>
          <w:spacing w:val="-4"/>
          <w:sz w:val="23"/>
        </w:rPr>
        <w:t>primario </w:t>
      </w:r>
      <w:r>
        <w:rPr>
          <w:rFonts w:ascii="Constantia"/>
          <w:spacing w:val="-3"/>
          <w:sz w:val="23"/>
        </w:rPr>
        <w:t>meta/ PIB real</w:t>
      </w:r>
    </w:p>
    <w:p>
      <w:pPr>
        <w:tabs>
          <w:tab w:pos="1037" w:val="left" w:leader="none"/>
          <w:tab w:pos="3469" w:val="left" w:leader="none"/>
          <w:tab w:pos="5187" w:val="left" w:leader="none"/>
        </w:tabs>
        <w:spacing w:before="26"/>
        <w:ind w:left="384" w:right="0" w:firstLine="0"/>
        <w:jc w:val="left"/>
        <w:rPr>
          <w:rFonts w:ascii="Constantia" w:hAnsi="Constantia"/>
          <w:sz w:val="23"/>
        </w:rPr>
      </w:pPr>
      <w:r>
        <w:rPr/>
        <w:br w:type="column"/>
      </w:r>
      <w:r>
        <w:rPr>
          <w:w w:val="100"/>
          <w:sz w:val="23"/>
          <w:u w:val="thick"/>
        </w:rPr>
        <w:t> </w:t>
      </w:r>
      <w:r>
        <w:rPr>
          <w:sz w:val="23"/>
          <w:u w:val="thick"/>
        </w:rPr>
        <w:tab/>
      </w:r>
      <w:r>
        <w:rPr>
          <w:rFonts w:ascii="Calibri" w:hAnsi="Calibri"/>
          <w:sz w:val="23"/>
          <w:u w:val="thick"/>
        </w:rPr>
        <w:t>β</w:t>
      </w:r>
      <w:r>
        <w:rPr>
          <w:rFonts w:ascii="Constantia" w:hAnsi="Constantia"/>
          <w:sz w:val="23"/>
          <w:u w:val="thick"/>
        </w:rPr>
        <w:t>*</w:t>
      </w:r>
      <w:r>
        <w:rPr>
          <w:rFonts w:ascii="Constantia" w:hAnsi="Constantia"/>
          <w:spacing w:val="-1"/>
          <w:sz w:val="23"/>
          <w:u w:val="thick"/>
        </w:rPr>
        <w:t> </w:t>
      </w:r>
      <w:r>
        <w:rPr>
          <w:rFonts w:ascii="Constantia" w:hAnsi="Constantia"/>
          <w:sz w:val="23"/>
          <w:u w:val="thick"/>
        </w:rPr>
        <w:t>=</w:t>
      </w:r>
      <w:r>
        <w:rPr>
          <w:rFonts w:ascii="Constantia" w:hAnsi="Constantia"/>
          <w:spacing w:val="-5"/>
          <w:sz w:val="23"/>
          <w:u w:val="thick"/>
        </w:rPr>
        <w:t> </w:t>
      </w:r>
      <w:r>
        <w:rPr>
          <w:rFonts w:ascii="Constantia" w:hAnsi="Constantia"/>
          <w:spacing w:val="-3"/>
          <w:sz w:val="23"/>
          <w:u w:val="thick"/>
        </w:rPr>
        <w:t>0.92</w:t>
        <w:tab/>
      </w:r>
      <w:r>
        <w:rPr>
          <w:rFonts w:ascii="Calibri" w:hAnsi="Calibri"/>
          <w:sz w:val="23"/>
          <w:u w:val="thick"/>
        </w:rPr>
        <w:t>β</w:t>
      </w:r>
      <w:r>
        <w:rPr>
          <w:rFonts w:ascii="Constantia" w:hAnsi="Constantia"/>
          <w:sz w:val="23"/>
          <w:u w:val="thick"/>
        </w:rPr>
        <w:t>* =</w:t>
      </w:r>
      <w:r>
        <w:rPr>
          <w:rFonts w:ascii="Constantia" w:hAnsi="Constantia"/>
          <w:spacing w:val="-9"/>
          <w:sz w:val="23"/>
          <w:u w:val="thick"/>
        </w:rPr>
        <w:t> </w:t>
      </w:r>
      <w:r>
        <w:rPr>
          <w:rFonts w:ascii="Constantia" w:hAnsi="Constantia"/>
          <w:sz w:val="23"/>
          <w:u w:val="thick"/>
        </w:rPr>
        <w:t>1.06</w:t>
        <w:tab/>
      </w:r>
    </w:p>
    <w:p>
      <w:pPr>
        <w:tabs>
          <w:tab w:pos="3650" w:val="left" w:leader="none"/>
        </w:tabs>
        <w:spacing w:before="68"/>
        <w:ind w:left="1182" w:right="0" w:firstLine="0"/>
        <w:jc w:val="left"/>
        <w:rPr>
          <w:rFonts w:ascii="Constantia"/>
          <w:sz w:val="25"/>
        </w:rPr>
      </w:pPr>
      <w:r>
        <w:rPr>
          <w:rFonts w:ascii="Constantia"/>
          <w:sz w:val="25"/>
        </w:rPr>
        <w:t>-2.2%</w:t>
        <w:tab/>
        <w:t>1.7%</w:t>
      </w:r>
    </w:p>
    <w:p>
      <w:pPr>
        <w:spacing w:after="0"/>
        <w:jc w:val="left"/>
        <w:rPr>
          <w:rFonts w:ascii="Constantia"/>
          <w:sz w:val="25"/>
        </w:rPr>
        <w:sectPr>
          <w:type w:val="continuous"/>
          <w:pgSz w:w="12250" w:h="15850"/>
          <w:pgMar w:top="1500" w:bottom="280" w:left="1600" w:right="1560"/>
          <w:cols w:num="2" w:equalWidth="0">
            <w:col w:w="3670" w:space="40"/>
            <w:col w:w="5380"/>
          </w:cols>
        </w:sectPr>
      </w:pPr>
    </w:p>
    <w:p>
      <w:pPr>
        <w:pStyle w:val="BodyText"/>
        <w:spacing w:line="37" w:lineRule="exact"/>
        <w:ind w:left="106"/>
        <w:rPr>
          <w:rFonts w:ascii="Constantia"/>
          <w:sz w:val="3"/>
        </w:rPr>
      </w:pPr>
      <w:r>
        <w:rPr>
          <w:rFonts w:ascii="Constantia"/>
          <w:position w:val="0"/>
          <w:sz w:val="3"/>
        </w:rPr>
        <w:pict>
          <v:group style="width:439.9pt;height:1.9pt;mso-position-horizontal-relative:char;mso-position-vertical-relative:line" coordorigin="0,0" coordsize="8798,38">
            <v:line style="position:absolute" from="13,6" to="8785,6" stroked="true" strokeweight=".607126pt" strokecolor="#000000"/>
            <v:line style="position:absolute" from="6,6" to="8791,6" stroked="true" strokeweight=".607126pt" strokecolor="#000000"/>
            <v:line style="position:absolute" from="13,31" to="8785,31" stroked="true" strokeweight=".607126pt" strokecolor="#000000"/>
            <v:line style="position:absolute" from="6,31" to="8791,31" stroked="true" strokeweight=".607126pt" strokecolor="#000000"/>
          </v:group>
        </w:pict>
      </w:r>
      <w:r>
        <w:rPr>
          <w:rFonts w:ascii="Constantia"/>
          <w:position w:val="0"/>
          <w:sz w:val="3"/>
        </w:rPr>
      </w:r>
    </w:p>
    <w:p>
      <w:pPr>
        <w:pStyle w:val="BodyText"/>
        <w:spacing w:before="2"/>
        <w:rPr>
          <w:rFonts w:ascii="Constantia"/>
          <w:sz w:val="6"/>
        </w:rPr>
      </w:pPr>
    </w:p>
    <w:p>
      <w:pPr>
        <w:spacing w:before="74"/>
        <w:ind w:left="102" w:right="115" w:firstLine="0"/>
        <w:jc w:val="left"/>
        <w:rPr>
          <w:sz w:val="20"/>
        </w:rPr>
      </w:pPr>
      <w:r>
        <w:rPr>
          <w:sz w:val="20"/>
        </w:rPr>
        <w:t>Fuente: Estimaciones propias con base en información del Banco Central de Bolivia (2012).</w:t>
      </w:r>
    </w:p>
    <w:p>
      <w:pPr>
        <w:pStyle w:val="BodyText"/>
        <w:rPr>
          <w:sz w:val="20"/>
        </w:rPr>
      </w:pPr>
    </w:p>
    <w:p>
      <w:pPr>
        <w:pStyle w:val="BodyText"/>
        <w:rPr>
          <w:sz w:val="16"/>
        </w:rPr>
      </w:pPr>
    </w:p>
    <w:p>
      <w:pPr>
        <w:pStyle w:val="BodyText"/>
        <w:spacing w:line="360" w:lineRule="auto"/>
        <w:ind w:left="102" w:right="139" w:firstLine="707"/>
        <w:jc w:val="both"/>
      </w:pPr>
      <w:r>
        <w:rPr/>
        <w:t>La posición fiscal de Bolivia fue sostenible para el escenario base; inconcluyente (sostenibilidad débil) para un escenario volátil. Sin embargo, cuando se evaluó el balance primario no gasífero se reflejó una posición fiscal insostenible para ambos contextos de evaluación (</w:t>
      </w:r>
      <w:r>
        <w:rPr>
          <w:i/>
        </w:rPr>
        <w:t>cuadro 3.10</w:t>
      </w:r>
      <w:r>
        <w:rPr/>
        <w:t>).</w:t>
      </w:r>
    </w:p>
    <w:p>
      <w:pPr>
        <w:pStyle w:val="BodyText"/>
      </w:pPr>
    </w:p>
    <w:p>
      <w:pPr>
        <w:pStyle w:val="BodyText"/>
        <w:spacing w:before="140" w:after="20"/>
        <w:ind w:left="1026" w:right="115"/>
      </w:pPr>
      <w:bookmarkStart w:name="_bookmark104" w:id="144"/>
      <w:bookmarkEnd w:id="144"/>
      <w:r>
        <w:rPr/>
      </w:r>
      <w:r>
        <w:rPr/>
        <w:t>Cuadro 3. 10: Grado de sostenibilidad fiscal para el período 2003 – 2011</w:t>
      </w:r>
    </w:p>
    <w:tbl>
      <w:tblPr>
        <w:tblW w:w="0" w:type="auto"/>
        <w:jc w:val="left"/>
        <w:tblInd w:w="13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687"/>
        <w:gridCol w:w="464"/>
        <w:gridCol w:w="665"/>
        <w:gridCol w:w="245"/>
        <w:gridCol w:w="529"/>
        <w:gridCol w:w="245"/>
        <w:gridCol w:w="533"/>
        <w:gridCol w:w="1459"/>
      </w:tblGrid>
      <w:tr>
        <w:trPr>
          <w:trHeight w:val="325" w:hRule="exact"/>
        </w:trPr>
        <w:tc>
          <w:tcPr>
            <w:tcW w:w="4687" w:type="dxa"/>
            <w:tcBorders>
              <w:bottom w:val="double" w:sz="5" w:space="0" w:color="000000"/>
            </w:tcBorders>
          </w:tcPr>
          <w:p>
            <w:pPr>
              <w:pStyle w:val="TableParagraph"/>
              <w:spacing w:before="13"/>
              <w:ind w:left="1481"/>
              <w:jc w:val="left"/>
              <w:rPr>
                <w:rFonts w:ascii="Constantia" w:hAnsi="Constantia"/>
                <w:sz w:val="24"/>
              </w:rPr>
            </w:pPr>
            <w:r>
              <w:rPr>
                <w:rFonts w:ascii="Constantia" w:hAnsi="Constantia"/>
                <w:w w:val="75"/>
                <w:sz w:val="24"/>
              </w:rPr>
              <w:t>Posición fiscal sostenible</w:t>
            </w:r>
          </w:p>
        </w:tc>
        <w:tc>
          <w:tcPr>
            <w:tcW w:w="464" w:type="dxa"/>
            <w:tcBorders>
              <w:bottom w:val="double" w:sz="5" w:space="0" w:color="000000"/>
            </w:tcBorders>
          </w:tcPr>
          <w:p>
            <w:pPr>
              <w:pStyle w:val="TableParagraph"/>
              <w:spacing w:before="13"/>
              <w:ind w:left="300" w:right="-4"/>
              <w:jc w:val="left"/>
              <w:rPr>
                <w:rFonts w:ascii="Constantia" w:hAnsi="Constantia"/>
                <w:sz w:val="14"/>
              </w:rPr>
            </w:pPr>
            <w:r>
              <w:rPr>
                <w:rFonts w:ascii="Constantia" w:hAnsi="Constantia"/>
                <w:w w:val="80"/>
                <w:sz w:val="24"/>
              </w:rPr>
              <w:t>β</w:t>
            </w:r>
            <w:r>
              <w:rPr>
                <w:rFonts w:ascii="Constantia" w:hAnsi="Constantia"/>
                <w:w w:val="80"/>
                <w:sz w:val="14"/>
              </w:rPr>
              <w:t>t</w:t>
            </w:r>
          </w:p>
        </w:tc>
        <w:tc>
          <w:tcPr>
            <w:tcW w:w="665" w:type="dxa"/>
            <w:tcBorders>
              <w:bottom w:val="double" w:sz="5" w:space="0" w:color="000000"/>
            </w:tcBorders>
          </w:tcPr>
          <w:p>
            <w:pPr>
              <w:pStyle w:val="TableParagraph"/>
              <w:spacing w:before="13"/>
              <w:ind w:left="23"/>
              <w:jc w:val="left"/>
              <w:rPr>
                <w:rFonts w:ascii="Constantia" w:hAnsi="Constantia"/>
                <w:sz w:val="24"/>
              </w:rPr>
            </w:pPr>
            <w:r>
              <w:rPr>
                <w:rFonts w:ascii="Constantia" w:hAnsi="Constantia"/>
                <w:w w:val="85"/>
                <w:sz w:val="24"/>
              </w:rPr>
              <w:t>- λ</w:t>
            </w:r>
            <w:r>
              <w:rPr>
                <w:rFonts w:ascii="Constantia" w:hAnsi="Constantia"/>
                <w:w w:val="85"/>
                <w:sz w:val="14"/>
              </w:rPr>
              <w:t>t </w:t>
            </w:r>
            <w:r>
              <w:rPr>
                <w:rFonts w:ascii="Constantia" w:hAnsi="Constantia"/>
                <w:w w:val="85"/>
                <w:sz w:val="24"/>
              </w:rPr>
              <w:t>&gt; 1</w:t>
            </w:r>
          </w:p>
        </w:tc>
        <w:tc>
          <w:tcPr>
            <w:tcW w:w="245" w:type="dxa"/>
            <w:tcBorders>
              <w:bottom w:val="double" w:sz="5" w:space="0" w:color="000000"/>
            </w:tcBorders>
          </w:tcPr>
          <w:p>
            <w:pPr>
              <w:pStyle w:val="TableParagraph"/>
              <w:spacing w:before="13"/>
              <w:ind w:left="81" w:right="-4"/>
              <w:jc w:val="left"/>
              <w:rPr>
                <w:rFonts w:ascii="Constantia" w:hAnsi="Constantia"/>
                <w:sz w:val="14"/>
              </w:rPr>
            </w:pPr>
            <w:r>
              <w:rPr>
                <w:rFonts w:ascii="Constantia" w:hAnsi="Constantia"/>
                <w:w w:val="80"/>
                <w:sz w:val="24"/>
              </w:rPr>
              <w:t>β</w:t>
            </w:r>
            <w:r>
              <w:rPr>
                <w:rFonts w:ascii="Constantia" w:hAnsi="Constantia"/>
                <w:w w:val="80"/>
                <w:sz w:val="14"/>
              </w:rPr>
              <w:t>t</w:t>
            </w:r>
          </w:p>
        </w:tc>
        <w:tc>
          <w:tcPr>
            <w:tcW w:w="529" w:type="dxa"/>
            <w:tcBorders>
              <w:bottom w:val="double" w:sz="5" w:space="0" w:color="000000"/>
            </w:tcBorders>
          </w:tcPr>
          <w:p>
            <w:pPr>
              <w:pStyle w:val="TableParagraph"/>
              <w:spacing w:before="13"/>
              <w:ind w:left="23"/>
              <w:jc w:val="left"/>
              <w:rPr>
                <w:rFonts w:ascii="Constantia" w:hAnsi="Constantia"/>
                <w:sz w:val="24"/>
              </w:rPr>
            </w:pPr>
            <w:r>
              <w:rPr>
                <w:rFonts w:ascii="Constantia" w:hAnsi="Constantia"/>
                <w:w w:val="80"/>
                <w:sz w:val="24"/>
              </w:rPr>
              <w:t>&gt; β*</w:t>
            </w:r>
          </w:p>
        </w:tc>
        <w:tc>
          <w:tcPr>
            <w:tcW w:w="245" w:type="dxa"/>
            <w:tcBorders>
              <w:bottom w:val="double" w:sz="5" w:space="0" w:color="000000"/>
            </w:tcBorders>
          </w:tcPr>
          <w:p>
            <w:pPr>
              <w:pStyle w:val="TableParagraph"/>
              <w:spacing w:before="13"/>
              <w:ind w:left="104" w:right="-14"/>
              <w:jc w:val="left"/>
              <w:rPr>
                <w:rFonts w:ascii="Constantia" w:hAnsi="Constantia"/>
                <w:sz w:val="14"/>
              </w:rPr>
            </w:pPr>
            <w:r>
              <w:rPr>
                <w:rFonts w:ascii="Constantia" w:hAnsi="Constantia"/>
                <w:w w:val="75"/>
                <w:sz w:val="24"/>
              </w:rPr>
              <w:t>λ</w:t>
            </w:r>
            <w:r>
              <w:rPr>
                <w:rFonts w:ascii="Constantia" w:hAnsi="Constantia"/>
                <w:w w:val="75"/>
                <w:sz w:val="14"/>
              </w:rPr>
              <w:t>t</w:t>
            </w:r>
          </w:p>
        </w:tc>
        <w:tc>
          <w:tcPr>
            <w:tcW w:w="533" w:type="dxa"/>
            <w:tcBorders>
              <w:bottom w:val="double" w:sz="5" w:space="0" w:color="000000"/>
            </w:tcBorders>
          </w:tcPr>
          <w:p>
            <w:pPr>
              <w:pStyle w:val="TableParagraph"/>
              <w:spacing w:before="13"/>
              <w:ind w:left="37"/>
              <w:jc w:val="left"/>
              <w:rPr>
                <w:rFonts w:ascii="Constantia"/>
                <w:sz w:val="24"/>
              </w:rPr>
            </w:pPr>
            <w:r>
              <w:rPr>
                <w:rFonts w:ascii="Constantia"/>
                <w:w w:val="85"/>
                <w:sz w:val="24"/>
              </w:rPr>
              <w:t>&lt; 0</w:t>
            </w:r>
          </w:p>
        </w:tc>
        <w:tc>
          <w:tcPr>
            <w:tcW w:w="1459" w:type="dxa"/>
            <w:tcBorders>
              <w:bottom w:val="double" w:sz="5" w:space="0" w:color="000000"/>
              <w:right w:val="single" w:sz="4" w:space="0" w:color="EAF0DD"/>
            </w:tcBorders>
          </w:tcPr>
          <w:p>
            <w:pPr>
              <w:pStyle w:val="TableParagraph"/>
              <w:spacing w:before="13"/>
              <w:ind w:left="97" w:right="195"/>
              <w:rPr>
                <w:rFonts w:ascii="Constantia" w:hAnsi="Constantia"/>
                <w:sz w:val="24"/>
              </w:rPr>
            </w:pPr>
            <w:r>
              <w:rPr>
                <w:rFonts w:ascii="Constantia" w:hAnsi="Constantia"/>
                <w:w w:val="75"/>
                <w:sz w:val="24"/>
              </w:rPr>
              <w:t>Posición fiscal</w:t>
            </w:r>
          </w:p>
        </w:tc>
      </w:tr>
      <w:tr>
        <w:trPr>
          <w:trHeight w:val="360" w:hRule="exact"/>
        </w:trPr>
        <w:tc>
          <w:tcPr>
            <w:tcW w:w="4687" w:type="dxa"/>
            <w:tcBorders>
              <w:top w:val="double" w:sz="5" w:space="0" w:color="000000"/>
            </w:tcBorders>
          </w:tcPr>
          <w:p>
            <w:pPr>
              <w:pStyle w:val="TableParagraph"/>
              <w:spacing w:before="13"/>
              <w:ind w:left="28"/>
              <w:jc w:val="left"/>
              <w:rPr>
                <w:rFonts w:ascii="Constantia" w:hAnsi="Constantia"/>
                <w:sz w:val="24"/>
              </w:rPr>
            </w:pPr>
            <w:r>
              <w:rPr>
                <w:rFonts w:ascii="Constantia" w:hAnsi="Constantia"/>
                <w:w w:val="75"/>
                <w:sz w:val="24"/>
              </w:rPr>
              <w:t>Balance primario (Escenario base </w:t>
            </w:r>
            <w:r>
              <w:rPr>
                <w:rFonts w:ascii="Calibri" w:hAnsi="Calibri"/>
                <w:w w:val="75"/>
                <w:sz w:val="24"/>
              </w:rPr>
              <w:t>β</w:t>
            </w:r>
            <w:r>
              <w:rPr>
                <w:rFonts w:ascii="Constantia" w:hAnsi="Constantia"/>
                <w:w w:val="75"/>
                <w:sz w:val="24"/>
              </w:rPr>
              <w:t>* = 0.92)</w:t>
            </w:r>
          </w:p>
        </w:tc>
        <w:tc>
          <w:tcPr>
            <w:tcW w:w="1129" w:type="dxa"/>
            <w:gridSpan w:val="2"/>
            <w:tcBorders>
              <w:top w:val="double" w:sz="5" w:space="0" w:color="000000"/>
            </w:tcBorders>
          </w:tcPr>
          <w:p>
            <w:pPr>
              <w:pStyle w:val="TableParagraph"/>
              <w:spacing w:before="13"/>
              <w:ind w:right="78"/>
              <w:jc w:val="right"/>
              <w:rPr>
                <w:rFonts w:ascii="Constantia"/>
                <w:sz w:val="24"/>
              </w:rPr>
            </w:pPr>
            <w:r>
              <w:rPr>
                <w:rFonts w:ascii="Constantia"/>
                <w:w w:val="70"/>
                <w:sz w:val="24"/>
              </w:rPr>
              <w:t>11%</w:t>
            </w:r>
          </w:p>
        </w:tc>
        <w:tc>
          <w:tcPr>
            <w:tcW w:w="773" w:type="dxa"/>
            <w:gridSpan w:val="2"/>
            <w:tcBorders>
              <w:top w:val="double" w:sz="5" w:space="0" w:color="000000"/>
            </w:tcBorders>
          </w:tcPr>
          <w:p>
            <w:pPr>
              <w:pStyle w:val="TableParagraph"/>
              <w:spacing w:before="13"/>
              <w:ind w:left="334"/>
              <w:jc w:val="left"/>
              <w:rPr>
                <w:rFonts w:ascii="Constantia"/>
                <w:sz w:val="24"/>
              </w:rPr>
            </w:pPr>
            <w:r>
              <w:rPr>
                <w:rFonts w:ascii="Constantia"/>
                <w:w w:val="85"/>
                <w:sz w:val="24"/>
              </w:rPr>
              <w:t>44%</w:t>
            </w:r>
          </w:p>
        </w:tc>
        <w:tc>
          <w:tcPr>
            <w:tcW w:w="778" w:type="dxa"/>
            <w:gridSpan w:val="2"/>
            <w:tcBorders>
              <w:top w:val="double" w:sz="5" w:space="0" w:color="000000"/>
            </w:tcBorders>
          </w:tcPr>
          <w:p>
            <w:pPr>
              <w:pStyle w:val="TableParagraph"/>
              <w:spacing w:before="13"/>
              <w:ind w:left="329"/>
              <w:jc w:val="left"/>
              <w:rPr>
                <w:rFonts w:ascii="Constantia"/>
                <w:sz w:val="24"/>
              </w:rPr>
            </w:pPr>
            <w:r>
              <w:rPr>
                <w:rFonts w:ascii="Constantia"/>
                <w:w w:val="85"/>
                <w:sz w:val="24"/>
              </w:rPr>
              <w:t>22%</w:t>
            </w:r>
          </w:p>
        </w:tc>
        <w:tc>
          <w:tcPr>
            <w:tcW w:w="1459" w:type="dxa"/>
            <w:tcBorders>
              <w:top w:val="double" w:sz="5" w:space="0" w:color="000000"/>
              <w:right w:val="single" w:sz="4" w:space="0" w:color="EAF0DD"/>
            </w:tcBorders>
          </w:tcPr>
          <w:p>
            <w:pPr>
              <w:pStyle w:val="TableParagraph"/>
              <w:spacing w:before="13"/>
              <w:ind w:left="104" w:right="194"/>
              <w:rPr>
                <w:rFonts w:ascii="Constantia"/>
                <w:sz w:val="24"/>
              </w:rPr>
            </w:pPr>
            <w:r>
              <w:rPr>
                <w:rFonts w:ascii="Constantia"/>
                <w:w w:val="85"/>
                <w:sz w:val="24"/>
              </w:rPr>
              <w:t>Sostenible</w:t>
            </w:r>
          </w:p>
        </w:tc>
      </w:tr>
      <w:tr>
        <w:trPr>
          <w:trHeight w:val="318" w:hRule="exact"/>
        </w:trPr>
        <w:tc>
          <w:tcPr>
            <w:tcW w:w="4687" w:type="dxa"/>
          </w:tcPr>
          <w:p>
            <w:pPr>
              <w:pStyle w:val="TableParagraph"/>
              <w:spacing w:line="284" w:lineRule="exact"/>
              <w:ind w:left="28"/>
              <w:jc w:val="left"/>
              <w:rPr>
                <w:rFonts w:ascii="Constantia" w:hAnsi="Constantia"/>
                <w:sz w:val="24"/>
              </w:rPr>
            </w:pPr>
            <w:r>
              <w:rPr>
                <w:rFonts w:ascii="Constantia" w:hAnsi="Constantia"/>
                <w:w w:val="75"/>
                <w:sz w:val="24"/>
              </w:rPr>
              <w:t>Balance primario (Escenario volátil </w:t>
            </w:r>
            <w:r>
              <w:rPr>
                <w:rFonts w:ascii="Calibri" w:hAnsi="Calibri"/>
                <w:w w:val="75"/>
                <w:sz w:val="24"/>
              </w:rPr>
              <w:t>β</w:t>
            </w:r>
            <w:r>
              <w:rPr>
                <w:rFonts w:ascii="Constantia" w:hAnsi="Constantia"/>
                <w:w w:val="75"/>
                <w:sz w:val="24"/>
              </w:rPr>
              <w:t>* = 1.06)</w:t>
            </w:r>
          </w:p>
        </w:tc>
        <w:tc>
          <w:tcPr>
            <w:tcW w:w="1129" w:type="dxa"/>
            <w:gridSpan w:val="2"/>
          </w:tcPr>
          <w:p>
            <w:pPr>
              <w:pStyle w:val="TableParagraph"/>
              <w:spacing w:line="284" w:lineRule="exact"/>
              <w:ind w:left="731"/>
              <w:jc w:val="left"/>
              <w:rPr>
                <w:rFonts w:ascii="Constantia"/>
                <w:sz w:val="24"/>
              </w:rPr>
            </w:pPr>
            <w:r>
              <w:rPr>
                <w:rFonts w:ascii="Constantia"/>
                <w:w w:val="85"/>
                <w:sz w:val="24"/>
              </w:rPr>
              <w:t>33%</w:t>
            </w:r>
          </w:p>
        </w:tc>
        <w:tc>
          <w:tcPr>
            <w:tcW w:w="773" w:type="dxa"/>
            <w:gridSpan w:val="2"/>
          </w:tcPr>
          <w:p>
            <w:pPr>
              <w:pStyle w:val="TableParagraph"/>
              <w:spacing w:line="284" w:lineRule="exact"/>
              <w:ind w:left="427"/>
              <w:jc w:val="left"/>
              <w:rPr>
                <w:rFonts w:ascii="Constantia"/>
                <w:sz w:val="24"/>
              </w:rPr>
            </w:pPr>
            <w:r>
              <w:rPr>
                <w:rFonts w:ascii="Constantia"/>
                <w:w w:val="85"/>
                <w:sz w:val="24"/>
              </w:rPr>
              <w:t>0%</w:t>
            </w:r>
          </w:p>
        </w:tc>
        <w:tc>
          <w:tcPr>
            <w:tcW w:w="778" w:type="dxa"/>
            <w:gridSpan w:val="2"/>
          </w:tcPr>
          <w:p>
            <w:pPr>
              <w:pStyle w:val="TableParagraph"/>
              <w:spacing w:line="284" w:lineRule="exact"/>
              <w:ind w:left="311"/>
              <w:jc w:val="left"/>
              <w:rPr>
                <w:rFonts w:ascii="Constantia"/>
                <w:sz w:val="24"/>
              </w:rPr>
            </w:pPr>
            <w:r>
              <w:rPr>
                <w:rFonts w:ascii="Constantia"/>
                <w:w w:val="85"/>
                <w:sz w:val="24"/>
              </w:rPr>
              <w:t>44%</w:t>
            </w:r>
          </w:p>
        </w:tc>
        <w:tc>
          <w:tcPr>
            <w:tcW w:w="1459" w:type="dxa"/>
            <w:tcBorders>
              <w:right w:val="single" w:sz="4" w:space="0" w:color="EAF0DD"/>
            </w:tcBorders>
          </w:tcPr>
          <w:p>
            <w:pPr>
              <w:pStyle w:val="TableParagraph"/>
              <w:spacing w:line="284" w:lineRule="exact"/>
              <w:ind w:left="104" w:right="194"/>
              <w:rPr>
                <w:rFonts w:ascii="Constantia"/>
                <w:sz w:val="24"/>
              </w:rPr>
            </w:pPr>
            <w:r>
              <w:rPr>
                <w:rFonts w:ascii="Constantia"/>
                <w:w w:val="75"/>
                <w:sz w:val="24"/>
              </w:rPr>
              <w:t>Inconcluyente</w:t>
            </w:r>
          </w:p>
        </w:tc>
      </w:tr>
      <w:tr>
        <w:trPr>
          <w:trHeight w:val="312" w:hRule="exact"/>
        </w:trPr>
        <w:tc>
          <w:tcPr>
            <w:tcW w:w="4687" w:type="dxa"/>
          </w:tcPr>
          <w:p>
            <w:pPr>
              <w:pStyle w:val="TableParagraph"/>
              <w:spacing w:line="284" w:lineRule="exact"/>
              <w:ind w:left="28"/>
              <w:jc w:val="left"/>
              <w:rPr>
                <w:rFonts w:ascii="Constantia" w:hAnsi="Constantia"/>
                <w:sz w:val="24"/>
              </w:rPr>
            </w:pPr>
            <w:r>
              <w:rPr>
                <w:rFonts w:ascii="Constantia" w:hAnsi="Constantia"/>
                <w:w w:val="75"/>
                <w:sz w:val="24"/>
              </w:rPr>
              <w:t>Balance primario no gasífero (Escenario base </w:t>
            </w:r>
            <w:r>
              <w:rPr>
                <w:rFonts w:ascii="Calibri" w:hAnsi="Calibri"/>
                <w:w w:val="75"/>
                <w:sz w:val="24"/>
              </w:rPr>
              <w:t>β</w:t>
            </w:r>
            <w:r>
              <w:rPr>
                <w:rFonts w:ascii="Constantia" w:hAnsi="Constantia"/>
                <w:w w:val="75"/>
                <w:sz w:val="24"/>
              </w:rPr>
              <w:t>* = 0.92)</w:t>
            </w:r>
          </w:p>
        </w:tc>
        <w:tc>
          <w:tcPr>
            <w:tcW w:w="1129" w:type="dxa"/>
            <w:gridSpan w:val="2"/>
          </w:tcPr>
          <w:p>
            <w:pPr>
              <w:pStyle w:val="TableParagraph"/>
              <w:spacing w:line="284" w:lineRule="exact"/>
              <w:ind w:left="656"/>
              <w:jc w:val="left"/>
              <w:rPr>
                <w:rFonts w:ascii="Constantia"/>
                <w:sz w:val="24"/>
              </w:rPr>
            </w:pPr>
            <w:r>
              <w:rPr>
                <w:rFonts w:ascii="Constantia"/>
                <w:w w:val="80"/>
                <w:sz w:val="24"/>
              </w:rPr>
              <w:t>100%</w:t>
            </w:r>
          </w:p>
        </w:tc>
        <w:tc>
          <w:tcPr>
            <w:tcW w:w="773" w:type="dxa"/>
            <w:gridSpan w:val="2"/>
          </w:tcPr>
          <w:p>
            <w:pPr>
              <w:pStyle w:val="TableParagraph"/>
              <w:spacing w:line="284" w:lineRule="exact"/>
              <w:ind w:left="334"/>
              <w:jc w:val="left"/>
              <w:rPr>
                <w:rFonts w:ascii="Constantia"/>
                <w:sz w:val="24"/>
              </w:rPr>
            </w:pPr>
            <w:r>
              <w:rPr>
                <w:rFonts w:ascii="Constantia"/>
                <w:w w:val="85"/>
                <w:sz w:val="24"/>
              </w:rPr>
              <w:t>44%</w:t>
            </w:r>
          </w:p>
        </w:tc>
        <w:tc>
          <w:tcPr>
            <w:tcW w:w="778" w:type="dxa"/>
            <w:gridSpan w:val="2"/>
          </w:tcPr>
          <w:p>
            <w:pPr>
              <w:pStyle w:val="TableParagraph"/>
              <w:spacing w:line="284" w:lineRule="exact"/>
              <w:ind w:left="254"/>
              <w:jc w:val="left"/>
              <w:rPr>
                <w:rFonts w:ascii="Constantia"/>
                <w:sz w:val="24"/>
              </w:rPr>
            </w:pPr>
            <w:r>
              <w:rPr>
                <w:rFonts w:ascii="Constantia"/>
                <w:w w:val="85"/>
                <w:sz w:val="24"/>
              </w:rPr>
              <w:t>100%</w:t>
            </w:r>
          </w:p>
        </w:tc>
        <w:tc>
          <w:tcPr>
            <w:tcW w:w="1459" w:type="dxa"/>
            <w:tcBorders>
              <w:right w:val="single" w:sz="4" w:space="0" w:color="EAF0DD"/>
            </w:tcBorders>
          </w:tcPr>
          <w:p>
            <w:pPr>
              <w:pStyle w:val="TableParagraph"/>
              <w:spacing w:line="284" w:lineRule="exact"/>
              <w:ind w:left="104" w:right="185"/>
              <w:rPr>
                <w:rFonts w:ascii="Constantia"/>
                <w:sz w:val="24"/>
              </w:rPr>
            </w:pPr>
            <w:r>
              <w:rPr>
                <w:rFonts w:ascii="Constantia"/>
                <w:w w:val="85"/>
                <w:sz w:val="24"/>
              </w:rPr>
              <w:t>Insostenible</w:t>
            </w:r>
          </w:p>
        </w:tc>
      </w:tr>
      <w:tr>
        <w:trPr>
          <w:trHeight w:val="302" w:hRule="exact"/>
        </w:trPr>
        <w:tc>
          <w:tcPr>
            <w:tcW w:w="4687" w:type="dxa"/>
            <w:tcBorders>
              <w:bottom w:val="single" w:sz="5" w:space="0" w:color="000000"/>
            </w:tcBorders>
          </w:tcPr>
          <w:p>
            <w:pPr>
              <w:pStyle w:val="TableParagraph"/>
              <w:spacing w:line="278" w:lineRule="exact"/>
              <w:ind w:left="28"/>
              <w:jc w:val="left"/>
              <w:rPr>
                <w:rFonts w:ascii="Constantia" w:hAnsi="Constantia"/>
                <w:sz w:val="24"/>
              </w:rPr>
            </w:pPr>
            <w:r>
              <w:rPr>
                <w:rFonts w:ascii="Constantia" w:hAnsi="Constantia"/>
                <w:w w:val="75"/>
                <w:sz w:val="24"/>
              </w:rPr>
              <w:t>Balance primario no gasífero (Escenario volátil </w:t>
            </w:r>
            <w:r>
              <w:rPr>
                <w:rFonts w:ascii="Calibri" w:hAnsi="Calibri"/>
                <w:w w:val="75"/>
                <w:sz w:val="24"/>
              </w:rPr>
              <w:t>β</w:t>
            </w:r>
            <w:r>
              <w:rPr>
                <w:rFonts w:ascii="Constantia" w:hAnsi="Constantia"/>
                <w:w w:val="75"/>
                <w:sz w:val="24"/>
              </w:rPr>
              <w:t>* = 1.06)</w:t>
            </w:r>
          </w:p>
        </w:tc>
        <w:tc>
          <w:tcPr>
            <w:tcW w:w="1129" w:type="dxa"/>
            <w:gridSpan w:val="2"/>
            <w:tcBorders>
              <w:bottom w:val="single" w:sz="5" w:space="0" w:color="000000"/>
            </w:tcBorders>
          </w:tcPr>
          <w:p>
            <w:pPr>
              <w:pStyle w:val="TableParagraph"/>
              <w:spacing w:line="290" w:lineRule="exact"/>
              <w:ind w:left="656"/>
              <w:jc w:val="left"/>
              <w:rPr>
                <w:rFonts w:ascii="Constantia"/>
                <w:sz w:val="24"/>
              </w:rPr>
            </w:pPr>
            <w:r>
              <w:rPr>
                <w:rFonts w:ascii="Constantia"/>
                <w:w w:val="80"/>
                <w:sz w:val="24"/>
              </w:rPr>
              <w:t>100%</w:t>
            </w:r>
          </w:p>
        </w:tc>
        <w:tc>
          <w:tcPr>
            <w:tcW w:w="773" w:type="dxa"/>
            <w:gridSpan w:val="2"/>
            <w:tcBorders>
              <w:bottom w:val="single" w:sz="5" w:space="0" w:color="000000"/>
            </w:tcBorders>
          </w:tcPr>
          <w:p>
            <w:pPr>
              <w:pStyle w:val="TableParagraph"/>
              <w:spacing w:line="290" w:lineRule="exact"/>
              <w:ind w:left="427"/>
              <w:jc w:val="left"/>
              <w:rPr>
                <w:rFonts w:ascii="Constantia"/>
                <w:sz w:val="24"/>
              </w:rPr>
            </w:pPr>
            <w:r>
              <w:rPr>
                <w:rFonts w:ascii="Constantia"/>
                <w:w w:val="85"/>
                <w:sz w:val="24"/>
              </w:rPr>
              <w:t>0%</w:t>
            </w:r>
          </w:p>
        </w:tc>
        <w:tc>
          <w:tcPr>
            <w:tcW w:w="778" w:type="dxa"/>
            <w:gridSpan w:val="2"/>
            <w:tcBorders>
              <w:bottom w:val="single" w:sz="5" w:space="0" w:color="000000"/>
            </w:tcBorders>
          </w:tcPr>
          <w:p>
            <w:pPr>
              <w:pStyle w:val="TableParagraph"/>
              <w:spacing w:line="290" w:lineRule="exact"/>
              <w:ind w:left="254"/>
              <w:jc w:val="left"/>
              <w:rPr>
                <w:rFonts w:ascii="Constantia"/>
                <w:sz w:val="24"/>
              </w:rPr>
            </w:pPr>
            <w:r>
              <w:rPr>
                <w:rFonts w:ascii="Constantia"/>
                <w:w w:val="85"/>
                <w:sz w:val="24"/>
              </w:rPr>
              <w:t>100%</w:t>
            </w:r>
          </w:p>
        </w:tc>
        <w:tc>
          <w:tcPr>
            <w:tcW w:w="1459" w:type="dxa"/>
            <w:tcBorders>
              <w:bottom w:val="single" w:sz="5" w:space="0" w:color="000000"/>
              <w:right w:val="single" w:sz="4" w:space="0" w:color="EAF0DD"/>
            </w:tcBorders>
          </w:tcPr>
          <w:p>
            <w:pPr>
              <w:pStyle w:val="TableParagraph"/>
              <w:spacing w:line="290" w:lineRule="exact"/>
              <w:ind w:left="104" w:right="185"/>
              <w:rPr>
                <w:rFonts w:ascii="Constantia"/>
                <w:sz w:val="24"/>
              </w:rPr>
            </w:pPr>
            <w:r>
              <w:rPr>
                <w:rFonts w:ascii="Constantia"/>
                <w:w w:val="85"/>
                <w:sz w:val="24"/>
              </w:rPr>
              <w:t>Insostenible</w:t>
            </w:r>
          </w:p>
        </w:tc>
      </w:tr>
    </w:tbl>
    <w:p>
      <w:pPr>
        <w:spacing w:before="2"/>
        <w:ind w:left="102" w:right="115" w:firstLine="0"/>
        <w:jc w:val="left"/>
        <w:rPr>
          <w:sz w:val="20"/>
        </w:rPr>
      </w:pPr>
      <w:r>
        <w:rPr>
          <w:sz w:val="20"/>
        </w:rPr>
        <w:t>Fuente: Estimaciones propias con base en información del Banco Central de Bolivia (2012).</w:t>
      </w:r>
    </w:p>
    <w:p>
      <w:pPr>
        <w:pStyle w:val="BodyText"/>
        <w:spacing w:before="1"/>
      </w:pPr>
    </w:p>
    <w:p>
      <w:pPr>
        <w:pStyle w:val="BodyText"/>
        <w:spacing w:line="360" w:lineRule="auto"/>
        <w:ind w:left="102" w:right="136" w:firstLine="707"/>
        <w:jc w:val="both"/>
      </w:pPr>
      <w:r>
        <w:rPr/>
        <w:t>Los resultados anteriores, pueden ser evaluados desde un contexto dinámico al considerar cada año de estudio con el propósito de enfatizar el comportamiento post- nacionalización.</w:t>
      </w:r>
    </w:p>
    <w:p>
      <w:pPr>
        <w:pStyle w:val="BodyText"/>
        <w:spacing w:line="360" w:lineRule="auto" w:before="4"/>
        <w:ind w:left="102" w:right="135" w:firstLine="707"/>
        <w:jc w:val="both"/>
      </w:pPr>
      <w:r>
        <w:rPr/>
        <w:t>El criterio básico de evaluación señala que no se debe pasar del umbral de 1 para evidenciar una posición fiscal sostenible: mientras sea menor que 1 es mejor. En la </w:t>
      </w:r>
      <w:r>
        <w:rPr>
          <w:i/>
        </w:rPr>
        <w:t>figura </w:t>
      </w:r>
      <w:r>
        <w:rPr>
          <w:i/>
        </w:rPr>
        <w:t>3.9</w:t>
      </w:r>
      <w:r>
        <w:rPr/>
        <w:t>, se aprecia que el balance primario mejoró considerablemente después de la nacionalización.  Contrariamente, cuando  se consideró  el  balance primario no  gasífero  la</w:t>
      </w:r>
    </w:p>
    <w:p>
      <w:pPr>
        <w:spacing w:after="0" w:line="360" w:lineRule="auto"/>
        <w:jc w:val="both"/>
        <w:sectPr>
          <w:type w:val="continuous"/>
          <w:pgSz w:w="12250" w:h="15850"/>
          <w:pgMar w:top="1500" w:bottom="280" w:left="1600" w:right="1560"/>
        </w:sectPr>
      </w:pPr>
    </w:p>
    <w:p>
      <w:pPr>
        <w:pStyle w:val="BodyText"/>
        <w:spacing w:line="360" w:lineRule="auto" w:before="50"/>
        <w:ind w:left="102" w:right="127"/>
      </w:pPr>
      <w:r>
        <w:rPr/>
        <w:t>posición fiscal fue insostenible progresivamente muy por encima del parámetro señalado (</w:t>
      </w:r>
      <w:r>
        <w:rPr>
          <w:i/>
        </w:rPr>
        <w:t>figura 3.10</w:t>
      </w:r>
      <w:r>
        <w:rPr/>
        <w:t>).</w:t>
      </w:r>
    </w:p>
    <w:p>
      <w:pPr>
        <w:pStyle w:val="BodyText"/>
      </w:pPr>
    </w:p>
    <w:p>
      <w:pPr>
        <w:pStyle w:val="BodyText"/>
        <w:spacing w:before="140"/>
        <w:ind w:left="100" w:right="119"/>
        <w:jc w:val="center"/>
      </w:pPr>
      <w:bookmarkStart w:name="_bookmark105" w:id="145"/>
      <w:bookmarkEnd w:id="145"/>
      <w:r>
        <w:rPr/>
      </w:r>
      <w:r>
        <w:rPr/>
        <w:t>Figura 3. 9: Posición fiscal sostenible para el balance primario y la deuda pública en términos del PIB real</w:t>
      </w:r>
    </w:p>
    <w:p>
      <w:pPr>
        <w:pStyle w:val="BodyText"/>
        <w:tabs>
          <w:tab w:pos="4300" w:val="left" w:leader="none"/>
        </w:tabs>
        <w:ind w:left="140"/>
        <w:jc w:val="center"/>
      </w:pPr>
      <w:r>
        <w:rPr/>
        <w:t>Escenario</w:t>
      </w:r>
      <w:r>
        <w:rPr>
          <w:spacing w:val="-1"/>
        </w:rPr>
        <w:t> </w:t>
      </w:r>
      <w:r>
        <w:rPr/>
        <w:t>base</w:t>
      </w:r>
      <w:r>
        <w:rPr>
          <w:spacing w:val="-2"/>
        </w:rPr>
        <w:t> </w:t>
      </w:r>
      <w:r>
        <w:rPr/>
        <w:t>(a)</w:t>
        <w:tab/>
        <w:t>Escenario volátil</w:t>
      </w:r>
      <w:r>
        <w:rPr>
          <w:spacing w:val="-3"/>
        </w:rPr>
        <w:t> </w:t>
      </w:r>
      <w:r>
        <w:rPr/>
        <w:t>(b)</w:t>
      </w:r>
    </w:p>
    <w:p>
      <w:pPr>
        <w:pStyle w:val="BodyText"/>
        <w:spacing w:before="3"/>
        <w:rPr>
          <w:sz w:val="10"/>
        </w:rPr>
      </w:pPr>
    </w:p>
    <w:p>
      <w:pPr>
        <w:spacing w:after="0"/>
        <w:rPr>
          <w:sz w:val="10"/>
        </w:rPr>
        <w:sectPr>
          <w:pgSz w:w="12250" w:h="15850"/>
          <w:pgMar w:header="0" w:footer="1037" w:top="1360" w:bottom="1220" w:left="1600" w:right="1580"/>
        </w:sectPr>
      </w:pPr>
    </w:p>
    <w:p>
      <w:pPr>
        <w:pStyle w:val="BodyText"/>
        <w:rPr>
          <w:sz w:val="20"/>
        </w:rPr>
      </w:pPr>
    </w:p>
    <w:p>
      <w:pPr>
        <w:pStyle w:val="BodyText"/>
        <w:rPr>
          <w:sz w:val="20"/>
        </w:rPr>
      </w:pPr>
    </w:p>
    <w:p>
      <w:pPr>
        <w:pStyle w:val="BodyText"/>
        <w:rPr>
          <w:sz w:val="20"/>
        </w:rPr>
      </w:pPr>
    </w:p>
    <w:p>
      <w:pPr>
        <w:pStyle w:val="BodyText"/>
        <w:spacing w:before="9"/>
        <w:rPr>
          <w:sz w:val="16"/>
        </w:rPr>
      </w:pPr>
    </w:p>
    <w:p>
      <w:pPr>
        <w:spacing w:line="217" w:lineRule="exact" w:before="1"/>
        <w:ind w:left="567" w:right="0" w:firstLine="0"/>
        <w:jc w:val="center"/>
        <w:rPr>
          <w:sz w:val="19"/>
        </w:rPr>
      </w:pPr>
      <w:r>
        <w:rPr>
          <w:sz w:val="19"/>
        </w:rPr>
        <w:t>1.00</w:t>
      </w:r>
    </w:p>
    <w:p>
      <w:pPr>
        <w:spacing w:line="216" w:lineRule="exact" w:before="0"/>
        <w:ind w:left="567" w:right="0" w:firstLine="0"/>
        <w:jc w:val="center"/>
        <w:rPr>
          <w:sz w:val="19"/>
        </w:rPr>
      </w:pPr>
      <w:r>
        <w:rPr>
          <w:sz w:val="19"/>
        </w:rPr>
        <w:t>0.80</w:t>
      </w:r>
    </w:p>
    <w:p>
      <w:pPr>
        <w:spacing w:line="216" w:lineRule="exact" w:before="0"/>
        <w:ind w:left="567" w:right="0" w:firstLine="0"/>
        <w:jc w:val="center"/>
        <w:rPr>
          <w:sz w:val="19"/>
        </w:rPr>
      </w:pPr>
      <w:r>
        <w:rPr>
          <w:sz w:val="19"/>
        </w:rPr>
        <w:t>0.60</w:t>
      </w:r>
    </w:p>
    <w:p>
      <w:pPr>
        <w:spacing w:line="216" w:lineRule="exact" w:before="0"/>
        <w:ind w:left="567" w:right="0" w:firstLine="0"/>
        <w:jc w:val="center"/>
        <w:rPr>
          <w:sz w:val="19"/>
        </w:rPr>
      </w:pPr>
      <w:r>
        <w:rPr>
          <w:sz w:val="19"/>
        </w:rPr>
        <w:t>0.40</w:t>
      </w:r>
    </w:p>
    <w:p>
      <w:pPr>
        <w:spacing w:line="216" w:lineRule="exact" w:before="0"/>
        <w:ind w:left="567" w:right="0" w:firstLine="0"/>
        <w:jc w:val="center"/>
        <w:rPr>
          <w:sz w:val="19"/>
        </w:rPr>
      </w:pPr>
      <w:r>
        <w:rPr>
          <w:sz w:val="19"/>
        </w:rPr>
        <w:t>0.20</w:t>
      </w:r>
    </w:p>
    <w:p>
      <w:pPr>
        <w:spacing w:line="217" w:lineRule="exact" w:before="0"/>
        <w:ind w:left="0" w:right="98" w:firstLine="0"/>
        <w:jc w:val="right"/>
        <w:rPr>
          <w:sz w:val="19"/>
        </w:rPr>
      </w:pPr>
      <w:r>
        <w:rPr>
          <w:w w:val="97"/>
          <w:sz w:val="19"/>
        </w:rPr>
        <w:t>-</w:t>
      </w:r>
    </w:p>
    <w:p>
      <w:pPr>
        <w:pStyle w:val="Heading4"/>
        <w:spacing w:line="247" w:lineRule="auto" w:before="52"/>
        <w:ind w:left="488" w:right="-5" w:hanging="329"/>
        <w:rPr>
          <w:rFonts w:ascii="Constantia" w:hAnsi="Constantia"/>
        </w:rPr>
      </w:pPr>
      <w:r>
        <w:rPr>
          <w:b w:val="0"/>
        </w:rPr>
        <w:br w:type="column"/>
      </w:r>
      <w:r>
        <w:rPr>
          <w:rFonts w:ascii="Constantia" w:hAnsi="Constantia"/>
          <w:w w:val="95"/>
        </w:rPr>
        <w:t>Indicador PFS para</w:t>
      </w:r>
      <w:r>
        <w:rPr>
          <w:rFonts w:ascii="Constantia" w:hAnsi="Constantia"/>
          <w:spacing w:val="-37"/>
          <w:w w:val="95"/>
        </w:rPr>
        <w:t> </w:t>
      </w:r>
      <w:r>
        <w:rPr>
          <w:rFonts w:ascii="Constantia" w:hAnsi="Constantia"/>
          <w:w w:val="95"/>
        </w:rPr>
        <w:t>Bolivia </w:t>
      </w:r>
      <w:r>
        <w:rPr>
          <w:rFonts w:ascii="Constantia" w:hAnsi="Constantia"/>
        </w:rPr>
        <w:t>(</w:t>
      </w:r>
      <w:r>
        <w:rPr>
          <w:rFonts w:ascii="Constantia" w:hAnsi="Constantia"/>
          <w:spacing w:val="-27"/>
        </w:rPr>
        <w:t> </w:t>
      </w:r>
      <w:r>
        <w:rPr>
          <w:rFonts w:ascii="Constantia" w:hAnsi="Constantia"/>
        </w:rPr>
        <w:t>d*</w:t>
      </w:r>
      <w:r>
        <w:rPr>
          <w:rFonts w:ascii="Constantia" w:hAnsi="Constantia"/>
          <w:spacing w:val="-25"/>
        </w:rPr>
        <w:t> </w:t>
      </w:r>
      <w:r>
        <w:rPr>
          <w:rFonts w:ascii="Constantia" w:hAnsi="Constantia"/>
        </w:rPr>
        <w:t>=</w:t>
      </w:r>
      <w:r>
        <w:rPr>
          <w:rFonts w:ascii="Constantia" w:hAnsi="Constantia"/>
          <w:spacing w:val="-13"/>
        </w:rPr>
        <w:t> </w:t>
      </w:r>
      <w:r>
        <w:rPr>
          <w:rFonts w:ascii="Constantia" w:hAnsi="Constantia"/>
        </w:rPr>
        <w:t>0.28,</w:t>
      </w:r>
      <w:r>
        <w:rPr>
          <w:rFonts w:ascii="Constantia" w:hAnsi="Constantia"/>
          <w:spacing w:val="-22"/>
        </w:rPr>
        <w:t> </w:t>
      </w:r>
      <w:r>
        <w:rPr>
          <w:rFonts w:ascii="Constantia" w:hAnsi="Constantia"/>
        </w:rPr>
        <w:t>β*</w:t>
      </w:r>
      <w:r>
        <w:rPr>
          <w:rFonts w:ascii="Constantia" w:hAnsi="Constantia"/>
          <w:spacing w:val="-25"/>
        </w:rPr>
        <w:t> </w:t>
      </w:r>
      <w:r>
        <w:rPr>
          <w:rFonts w:ascii="Constantia" w:hAnsi="Constantia"/>
        </w:rPr>
        <w:t>=</w:t>
      </w:r>
      <w:r>
        <w:rPr>
          <w:rFonts w:ascii="Constantia" w:hAnsi="Constantia"/>
          <w:spacing w:val="-13"/>
        </w:rPr>
        <w:t> </w:t>
      </w:r>
      <w:r>
        <w:rPr>
          <w:rFonts w:ascii="Constantia" w:hAnsi="Constantia"/>
        </w:rPr>
        <w:t>0,92</w:t>
      </w:r>
      <w:r>
        <w:rPr>
          <w:rFonts w:ascii="Constantia" w:hAnsi="Constantia"/>
          <w:spacing w:val="-23"/>
        </w:rPr>
        <w:t> </w:t>
      </w:r>
      <w:r>
        <w:rPr>
          <w:rFonts w:ascii="Constantia" w:hAnsi="Constantia"/>
        </w:rPr>
        <w:t>)</w:t>
      </w:r>
    </w:p>
    <w:p>
      <w:pPr>
        <w:pStyle w:val="BodyText"/>
        <w:rPr>
          <w:rFonts w:ascii="Constantia"/>
          <w:b/>
          <w:sz w:val="18"/>
        </w:rPr>
      </w:pPr>
      <w:r>
        <w:rPr/>
        <w:br w:type="column"/>
      </w:r>
      <w:r>
        <w:rPr>
          <w:rFonts w:ascii="Constantia"/>
          <w:b/>
          <w:sz w:val="18"/>
        </w:rPr>
      </w:r>
    </w:p>
    <w:p>
      <w:pPr>
        <w:pStyle w:val="BodyText"/>
        <w:rPr>
          <w:rFonts w:ascii="Constantia"/>
          <w:b/>
          <w:sz w:val="18"/>
        </w:rPr>
      </w:pPr>
    </w:p>
    <w:p>
      <w:pPr>
        <w:pStyle w:val="BodyText"/>
        <w:rPr>
          <w:rFonts w:ascii="Constantia"/>
          <w:b/>
          <w:sz w:val="18"/>
        </w:rPr>
      </w:pPr>
    </w:p>
    <w:p>
      <w:pPr>
        <w:pStyle w:val="BodyText"/>
        <w:spacing w:before="3"/>
        <w:rPr>
          <w:rFonts w:ascii="Constantia"/>
          <w:b/>
          <w:sz w:val="17"/>
        </w:rPr>
      </w:pPr>
    </w:p>
    <w:p>
      <w:pPr>
        <w:spacing w:line="199" w:lineRule="exact" w:before="0"/>
        <w:ind w:left="567" w:right="-19" w:firstLine="0"/>
        <w:jc w:val="left"/>
        <w:rPr>
          <w:sz w:val="18"/>
        </w:rPr>
      </w:pPr>
      <w:r>
        <w:rPr>
          <w:sz w:val="18"/>
        </w:rPr>
        <w:t>1.10</w:t>
      </w:r>
    </w:p>
    <w:p>
      <w:pPr>
        <w:spacing w:line="192" w:lineRule="exact" w:before="0"/>
        <w:ind w:left="567" w:right="-4" w:firstLine="0"/>
        <w:jc w:val="left"/>
        <w:rPr>
          <w:sz w:val="18"/>
        </w:rPr>
      </w:pPr>
      <w:r>
        <w:rPr>
          <w:w w:val="95"/>
          <w:sz w:val="18"/>
        </w:rPr>
        <w:t>1.00</w:t>
      </w:r>
    </w:p>
    <w:p>
      <w:pPr>
        <w:spacing w:line="192" w:lineRule="exact" w:before="0"/>
        <w:ind w:left="567" w:right="-19" w:firstLine="0"/>
        <w:jc w:val="left"/>
        <w:rPr>
          <w:sz w:val="18"/>
        </w:rPr>
      </w:pPr>
      <w:r>
        <w:rPr>
          <w:sz w:val="18"/>
        </w:rPr>
        <w:t>0.90</w:t>
      </w:r>
    </w:p>
    <w:p>
      <w:pPr>
        <w:spacing w:line="192" w:lineRule="exact" w:before="0"/>
        <w:ind w:left="567" w:right="-19" w:firstLine="0"/>
        <w:jc w:val="left"/>
        <w:rPr>
          <w:sz w:val="18"/>
        </w:rPr>
      </w:pPr>
      <w:r>
        <w:rPr>
          <w:sz w:val="18"/>
        </w:rPr>
        <w:t>0.80</w:t>
      </w:r>
    </w:p>
    <w:p>
      <w:pPr>
        <w:spacing w:line="192" w:lineRule="exact" w:before="0"/>
        <w:ind w:left="567" w:right="-19" w:firstLine="0"/>
        <w:jc w:val="left"/>
        <w:rPr>
          <w:sz w:val="18"/>
        </w:rPr>
      </w:pPr>
      <w:r>
        <w:rPr>
          <w:sz w:val="18"/>
        </w:rPr>
        <w:t>0.70</w:t>
      </w:r>
    </w:p>
    <w:p>
      <w:pPr>
        <w:spacing w:line="192" w:lineRule="exact" w:before="0"/>
        <w:ind w:left="567" w:right="-19" w:firstLine="0"/>
        <w:jc w:val="left"/>
        <w:rPr>
          <w:sz w:val="18"/>
        </w:rPr>
      </w:pPr>
      <w:r>
        <w:rPr>
          <w:sz w:val="18"/>
        </w:rPr>
        <w:t>0.60</w:t>
      </w:r>
    </w:p>
    <w:p>
      <w:pPr>
        <w:spacing w:line="199" w:lineRule="exact" w:before="0"/>
        <w:ind w:left="567" w:right="-19" w:firstLine="0"/>
        <w:jc w:val="left"/>
        <w:rPr>
          <w:sz w:val="18"/>
        </w:rPr>
      </w:pPr>
      <w:r>
        <w:rPr>
          <w:sz w:val="18"/>
        </w:rPr>
        <w:t>0.50</w:t>
      </w:r>
    </w:p>
    <w:p>
      <w:pPr>
        <w:pStyle w:val="BodyText"/>
        <w:spacing w:before="5"/>
        <w:rPr>
          <w:sz w:val="17"/>
        </w:rPr>
      </w:pPr>
      <w:r>
        <w:rPr/>
        <w:br w:type="column"/>
      </w:r>
      <w:r>
        <w:rPr>
          <w:sz w:val="17"/>
        </w:rPr>
      </w:r>
    </w:p>
    <w:p>
      <w:pPr>
        <w:spacing w:line="252" w:lineRule="auto" w:before="0"/>
        <w:ind w:left="510" w:right="982" w:hanging="362"/>
        <w:jc w:val="left"/>
        <w:rPr>
          <w:rFonts w:ascii="Constantia" w:hAnsi="Constantia"/>
          <w:b/>
          <w:sz w:val="22"/>
        </w:rPr>
      </w:pPr>
      <w:r>
        <w:rPr/>
        <w:pict>
          <v:group style="position:absolute;margin-left:132.503433pt;margin-top:28.612314pt;width:161.450pt;height:68.05pt;mso-position-horizontal-relative:page;mso-position-vertical-relative:paragraph;z-index:11104" coordorigin="2650,572" coordsize="3229,1361">
            <v:shape style="position:absolute;left:2722;top:721;width:3143;height:1152" type="#_x0000_t75" stroked="false">
              <v:imagedata r:id="rId270" o:title=""/>
            </v:shape>
            <v:shape style="position:absolute;left:2722;top:796;width:3143;height:1078" coordorigin="2722,796" coordsize="3143,1078" path="m2722,796l2722,1873,5864,1873,5864,1804,4686,1804,4293,1184,3900,1148,3507,909,3114,850,2722,796xm5079,1233l4686,1804,5864,1804,5864,1616,5471,1611,5079,1233xe" filled="true" fillcolor="#ffffff" stroked="false">
              <v:path arrowok="t"/>
              <v:fill type="solid"/>
            </v:shape>
            <v:shape style="position:absolute;left:698;top:10041;width:3391;height:1245" coordorigin="698,10041" coordsize="3391,1245" path="m2714,1866l2714,684m2658,1866l2714,1866m2658,1656l2714,1656m2658,1432l2714,1432m2658,1222l2714,1222m2658,1013l2714,1013m2658,789l2714,789m2714,1866l5872,1866m2714,1866l2714,1926m3113,1866l3113,1926m3511,1866l3511,1926m3895,1866l3895,1926m4293,1866l4293,1926m4691,1866l4691,1926m5075,1866l5075,1926m5473,1866l5473,1926m5872,1866l5872,1926e" filled="false" stroked="true" strokeweight=".729489pt" strokecolor="#858585">
              <v:path arrowok="t"/>
            </v:shape>
            <v:line style="position:absolute" from="3916,1843" to="3916,587" stroked="true" strokeweight="1.422083pt" strokecolor="#ff0000">
              <v:stroke dashstyle="longDash"/>
            </v:line>
            <v:shape style="position:absolute;left:2650;top:573;width:3229;height:1361" type="#_x0000_t202" filled="false" stroked="false">
              <v:textbox inset="0,0,0,0">
                <w:txbxContent>
                  <w:p>
                    <w:pPr>
                      <w:spacing w:line="240" w:lineRule="auto" w:before="0"/>
                      <w:rPr>
                        <w:sz w:val="24"/>
                      </w:rPr>
                    </w:pPr>
                  </w:p>
                  <w:p>
                    <w:pPr>
                      <w:spacing w:line="240" w:lineRule="auto" w:before="0"/>
                      <w:rPr>
                        <w:sz w:val="24"/>
                      </w:rPr>
                    </w:pPr>
                  </w:p>
                  <w:p>
                    <w:pPr>
                      <w:spacing w:line="240" w:lineRule="auto" w:before="0"/>
                      <w:rPr>
                        <w:sz w:val="24"/>
                      </w:rPr>
                    </w:pPr>
                  </w:p>
                  <w:p>
                    <w:pPr>
                      <w:spacing w:before="166"/>
                      <w:ind w:left="1350" w:right="0" w:firstLine="0"/>
                      <w:jc w:val="left"/>
                      <w:rPr>
                        <w:sz w:val="24"/>
                      </w:rPr>
                    </w:pPr>
                    <w:r>
                      <w:rPr>
                        <w:color w:val="FF0000"/>
                        <w:spacing w:val="-3"/>
                        <w:w w:val="95"/>
                        <w:sz w:val="24"/>
                      </w:rPr>
                      <w:t>post-nacionalización</w:t>
                    </w:r>
                  </w:p>
                </w:txbxContent>
              </v:textbox>
              <w10:wrap type="none"/>
            </v:shape>
            <w10:wrap type="none"/>
          </v:group>
        </w:pict>
      </w:r>
      <w:r>
        <w:rPr/>
        <w:pict>
          <v:group style="position:absolute;margin-left:347.955536pt;margin-top:38.324974pt;width:151.5pt;height:60.8pt;mso-position-horizontal-relative:page;mso-position-vertical-relative:paragraph;z-index:11152" coordorigin="6959,766" coordsize="3030,1216">
            <v:shape style="position:absolute;left:7026;top:777;width:2949;height:1150" type="#_x0000_t75" stroked="false">
              <v:imagedata r:id="rId271" o:title=""/>
            </v:shape>
            <v:shape style="position:absolute;left:7026;top:962;width:2950;height:965" coordorigin="7026,962" coordsize="2950,965" path="m7395,962l7026,962,7026,1926,9975,1926,9975,1882,8869,1882,8580,1422,8132,1422,7763,1016,7395,962xm9238,962l8869,1882,9975,1882,9975,1757,9607,1757,9238,962xm9975,1331l9607,1757,9975,1757,9975,1331xm8501,1296l8132,1422,8580,1422,8501,1296xe" filled="true" fillcolor="#ffffff" stroked="false">
              <v:path arrowok="t"/>
              <v:fill type="solid"/>
            </v:shape>
            <v:shape style="position:absolute;left:698;top:9996;width:3391;height:1291" coordorigin="698,9996" coordsize="3391,1291" path="m7019,1919l7019,773m6966,1919l7019,1919m6966,1724l7019,1724m6966,1542l7019,1542m6966,1347l7019,1347m6966,1165l7019,1165m6966,969l7019,969m6966,773l7019,773m7019,1919l9982,1919m7019,1919l7019,1975m7393,1919l7393,1975m7767,1919l7767,1975m8127,1919l8127,1975m8501,1919l8501,1975m8874,1919l8874,1975m9235,1919l9235,1975m9608,1919l9608,1975m9982,1919l9982,1975e" filled="false" stroked="true" strokeweight=".68298pt" strokecolor="#858585">
              <v:path arrowok="t"/>
            </v:shape>
            <v:line style="position:absolute" from="8147,1912" to="8134,836" stroked="true" strokeweight="1.334441pt" strokecolor="#ff0000">
              <v:stroke dashstyle="longDash"/>
            </v:line>
            <v:shape style="position:absolute;left:6959;top:767;width:3030;height:1216" type="#_x0000_t202" filled="false" stroked="false">
              <v:textbox inset="0,0,0,0">
                <w:txbxContent>
                  <w:p>
                    <w:pPr>
                      <w:spacing w:line="240" w:lineRule="auto" w:before="0"/>
                      <w:rPr>
                        <w:sz w:val="22"/>
                      </w:rPr>
                    </w:pPr>
                  </w:p>
                  <w:p>
                    <w:pPr>
                      <w:spacing w:line="240" w:lineRule="auto" w:before="0"/>
                      <w:rPr>
                        <w:sz w:val="22"/>
                      </w:rPr>
                    </w:pPr>
                  </w:p>
                  <w:p>
                    <w:pPr>
                      <w:spacing w:line="240" w:lineRule="auto" w:before="3"/>
                      <w:rPr>
                        <w:sz w:val="32"/>
                      </w:rPr>
                    </w:pPr>
                  </w:p>
                  <w:p>
                    <w:pPr>
                      <w:spacing w:before="0"/>
                      <w:ind w:left="1280" w:right="0" w:firstLine="0"/>
                      <w:jc w:val="left"/>
                      <w:rPr>
                        <w:sz w:val="22"/>
                      </w:rPr>
                    </w:pPr>
                    <w:r>
                      <w:rPr>
                        <w:color w:val="FF0000"/>
                        <w:w w:val="95"/>
                        <w:sz w:val="22"/>
                      </w:rPr>
                      <w:t>post-nacionalización</w:t>
                    </w:r>
                  </w:p>
                </w:txbxContent>
              </v:textbox>
              <w10:wrap type="none"/>
            </v:shape>
            <w10:wrap type="none"/>
          </v:group>
        </w:pict>
      </w:r>
      <w:r>
        <w:rPr>
          <w:rFonts w:ascii="Constantia" w:hAnsi="Constantia"/>
          <w:b/>
          <w:sz w:val="22"/>
        </w:rPr>
        <w:t>Indicador</w:t>
      </w:r>
      <w:r>
        <w:rPr>
          <w:rFonts w:ascii="Constantia" w:hAnsi="Constantia"/>
          <w:b/>
          <w:spacing w:val="-39"/>
          <w:sz w:val="22"/>
        </w:rPr>
        <w:t> </w:t>
      </w:r>
      <w:r>
        <w:rPr>
          <w:rFonts w:ascii="Constantia" w:hAnsi="Constantia"/>
          <w:b/>
          <w:sz w:val="22"/>
        </w:rPr>
        <w:t>PFS</w:t>
      </w:r>
      <w:r>
        <w:rPr>
          <w:rFonts w:ascii="Constantia" w:hAnsi="Constantia"/>
          <w:b/>
          <w:spacing w:val="-30"/>
          <w:sz w:val="22"/>
        </w:rPr>
        <w:t> </w:t>
      </w:r>
      <w:r>
        <w:rPr>
          <w:rFonts w:ascii="Constantia" w:hAnsi="Constantia"/>
          <w:b/>
          <w:sz w:val="22"/>
        </w:rPr>
        <w:t>para</w:t>
      </w:r>
      <w:r>
        <w:rPr>
          <w:rFonts w:ascii="Constantia" w:hAnsi="Constantia"/>
          <w:b/>
          <w:spacing w:val="-30"/>
          <w:sz w:val="22"/>
        </w:rPr>
        <w:t> </w:t>
      </w:r>
      <w:r>
        <w:rPr>
          <w:rFonts w:ascii="Constantia" w:hAnsi="Constantia"/>
          <w:b/>
          <w:sz w:val="22"/>
        </w:rPr>
        <w:t>Bolivia (d*</w:t>
      </w:r>
      <w:r>
        <w:rPr>
          <w:rFonts w:ascii="Constantia" w:hAnsi="Constantia"/>
          <w:b/>
          <w:spacing w:val="-20"/>
          <w:sz w:val="22"/>
        </w:rPr>
        <w:t> </w:t>
      </w:r>
      <w:r>
        <w:rPr>
          <w:rFonts w:ascii="Constantia" w:hAnsi="Constantia"/>
          <w:b/>
          <w:sz w:val="22"/>
        </w:rPr>
        <w:t>=</w:t>
      </w:r>
      <w:r>
        <w:rPr>
          <w:rFonts w:ascii="Constantia" w:hAnsi="Constantia"/>
          <w:b/>
          <w:spacing w:val="-7"/>
          <w:sz w:val="22"/>
        </w:rPr>
        <w:t> </w:t>
      </w:r>
      <w:r>
        <w:rPr>
          <w:rFonts w:ascii="Constantia" w:hAnsi="Constantia"/>
          <w:b/>
          <w:sz w:val="22"/>
        </w:rPr>
        <w:t>0.28,</w:t>
      </w:r>
      <w:r>
        <w:rPr>
          <w:rFonts w:ascii="Constantia" w:hAnsi="Constantia"/>
          <w:b/>
          <w:spacing w:val="-15"/>
          <w:sz w:val="22"/>
        </w:rPr>
        <w:t> </w:t>
      </w:r>
      <w:r>
        <w:rPr>
          <w:rFonts w:ascii="Constantia" w:hAnsi="Constantia"/>
          <w:b/>
          <w:sz w:val="22"/>
        </w:rPr>
        <w:t>β*</w:t>
      </w:r>
      <w:r>
        <w:rPr>
          <w:rFonts w:ascii="Constantia" w:hAnsi="Constantia"/>
          <w:b/>
          <w:spacing w:val="-20"/>
          <w:sz w:val="22"/>
        </w:rPr>
        <w:t> </w:t>
      </w:r>
      <w:r>
        <w:rPr>
          <w:rFonts w:ascii="Constantia" w:hAnsi="Constantia"/>
          <w:b/>
          <w:sz w:val="22"/>
        </w:rPr>
        <w:t>=</w:t>
      </w:r>
      <w:r>
        <w:rPr>
          <w:rFonts w:ascii="Constantia" w:hAnsi="Constantia"/>
          <w:b/>
          <w:spacing w:val="-18"/>
          <w:sz w:val="22"/>
        </w:rPr>
        <w:t> </w:t>
      </w:r>
      <w:r>
        <w:rPr>
          <w:rFonts w:ascii="Constantia" w:hAnsi="Constantia"/>
          <w:b/>
          <w:sz w:val="22"/>
        </w:rPr>
        <w:t>1.06)</w:t>
      </w:r>
    </w:p>
    <w:p>
      <w:pPr>
        <w:spacing w:after="0" w:line="252" w:lineRule="auto"/>
        <w:jc w:val="left"/>
        <w:rPr>
          <w:rFonts w:ascii="Constantia" w:hAnsi="Constantia"/>
          <w:sz w:val="22"/>
        </w:rPr>
        <w:sectPr>
          <w:type w:val="continuous"/>
          <w:pgSz w:w="12250" w:h="15850"/>
          <w:pgMar w:top="1500" w:bottom="280" w:left="1600" w:right="1580"/>
          <w:cols w:num="4" w:equalWidth="0">
            <w:col w:w="904" w:space="40"/>
            <w:col w:w="2994" w:space="402"/>
            <w:col w:w="883" w:space="40"/>
            <w:col w:w="3807"/>
          </w:cols>
        </w:sectPr>
      </w:pPr>
    </w:p>
    <w:p>
      <w:pPr>
        <w:pStyle w:val="BodyText"/>
        <w:spacing w:before="2"/>
        <w:rPr>
          <w:rFonts w:ascii="Constantia"/>
          <w:b/>
          <w:sz w:val="4"/>
        </w:rPr>
      </w:pPr>
    </w:p>
    <w:p>
      <w:pPr>
        <w:tabs>
          <w:tab w:pos="5068" w:val="left" w:leader="none"/>
        </w:tabs>
        <w:spacing w:line="240" w:lineRule="auto"/>
        <w:ind w:left="740" w:right="0" w:firstLine="0"/>
        <w:rPr>
          <w:rFonts w:ascii="Constantia"/>
          <w:sz w:val="20"/>
        </w:rPr>
      </w:pPr>
      <w:r>
        <w:rPr>
          <w:rFonts w:ascii="Constantia"/>
          <w:position w:val="1"/>
          <w:sz w:val="20"/>
        </w:rPr>
        <w:pict>
          <v:group style="width:175.5pt;height:20.25pt;mso-position-horizontal-relative:char;mso-position-vertical-relative:line" coordorigin="0,0" coordsize="3510,405">
            <v:shape style="position:absolute;left:0;top:20;width:348;height:385" type="#_x0000_t75" stroked="false">
              <v:imagedata r:id="rId272" o:title=""/>
            </v:shape>
            <v:shape style="position:absolute;left:394;top:9;width:359;height:396" type="#_x0000_t75" stroked="false">
              <v:imagedata r:id="rId273" o:title=""/>
            </v:shape>
            <v:shape style="position:absolute;left:787;top:0;width:1130;height:405" type="#_x0000_t75" stroked="false">
              <v:imagedata r:id="rId274" o:title=""/>
            </v:shape>
            <v:shape style="position:absolute;left:1968;top:16;width:356;height:389" type="#_x0000_t75" stroked="false">
              <v:imagedata r:id="rId275" o:title=""/>
            </v:shape>
            <v:shape style="position:absolute;left:2362;top:18;width:340;height:387" type="#_x0000_t75" stroked="false">
              <v:imagedata r:id="rId276" o:title=""/>
            </v:shape>
            <v:shape style="position:absolute;left:2756;top:17;width:353;height:388" type="#_x0000_t75" stroked="false">
              <v:imagedata r:id="rId277" o:title=""/>
            </v:shape>
            <v:shape style="position:absolute;left:3150;top:21;width:359;height:384" type="#_x0000_t75" stroked="false">
              <v:imagedata r:id="rId278" o:title=""/>
            </v:shape>
          </v:group>
        </w:pict>
      </w:r>
      <w:r>
        <w:rPr>
          <w:rFonts w:ascii="Constantia"/>
          <w:position w:val="1"/>
          <w:sz w:val="20"/>
        </w:rPr>
      </w:r>
      <w:r>
        <w:rPr>
          <w:rFonts w:ascii="Constantia"/>
          <w:position w:val="1"/>
          <w:sz w:val="20"/>
        </w:rPr>
        <w:tab/>
      </w:r>
      <w:r>
        <w:rPr>
          <w:rFonts w:ascii="Constantia"/>
          <w:sz w:val="20"/>
        </w:rPr>
        <w:pict>
          <v:group style="width:164.65pt;height:18.95pt;mso-position-horizontal-relative:char;mso-position-vertical-relative:line" coordorigin="0,0" coordsize="3293,379">
            <v:shape style="position:absolute;left:0;top:19;width:326;height:360" type="#_x0000_t75" stroked="false">
              <v:imagedata r:id="rId279" o:title=""/>
            </v:shape>
            <v:shape style="position:absolute;left:369;top:9;width:337;height:370" type="#_x0000_t75" stroked="false">
              <v:imagedata r:id="rId280" o:title=""/>
            </v:shape>
            <v:shape style="position:absolute;left:739;top:4;width:326;height:375" type="#_x0000_t75" stroked="false">
              <v:imagedata r:id="rId281" o:title=""/>
            </v:shape>
            <v:shape style="position:absolute;left:1108;top:0;width:334;height:379" type="#_x0000_t75" stroked="false">
              <v:imagedata r:id="rId282" o:title=""/>
            </v:shape>
            <v:shape style="position:absolute;left:1478;top:1;width:322;height:378" type="#_x0000_t75" stroked="false">
              <v:imagedata r:id="rId283" o:title=""/>
            </v:shape>
            <v:shape style="position:absolute;left:1847;top:15;width:334;height:363" type="#_x0000_t75" stroked="false">
              <v:imagedata r:id="rId284" o:title=""/>
            </v:shape>
            <v:shape style="position:absolute;left:2217;top:17;width:319;height:361" type="#_x0000_t75" stroked="false">
              <v:imagedata r:id="rId285" o:title=""/>
            </v:shape>
            <v:shape style="position:absolute;left:2586;top:16;width:331;height:363" type="#_x0000_t75" stroked="false">
              <v:imagedata r:id="rId286" o:title=""/>
            </v:shape>
            <v:shape style="position:absolute;left:2956;top:20;width:337;height:359" type="#_x0000_t75" stroked="false">
              <v:imagedata r:id="rId287" o:title=""/>
            </v:shape>
          </v:group>
        </w:pict>
      </w:r>
      <w:r>
        <w:rPr>
          <w:rFonts w:ascii="Constantia"/>
          <w:sz w:val="20"/>
        </w:rPr>
      </w:r>
    </w:p>
    <w:p>
      <w:pPr>
        <w:pStyle w:val="BodyText"/>
        <w:spacing w:before="10"/>
        <w:rPr>
          <w:rFonts w:ascii="Constantia"/>
          <w:b/>
          <w:sz w:val="7"/>
        </w:rPr>
      </w:pPr>
    </w:p>
    <w:p>
      <w:pPr>
        <w:spacing w:before="74"/>
        <w:ind w:left="0" w:right="70" w:firstLine="0"/>
        <w:jc w:val="center"/>
        <w:rPr>
          <w:sz w:val="20"/>
        </w:rPr>
      </w:pPr>
      <w:r>
        <w:rPr>
          <w:sz w:val="20"/>
        </w:rPr>
        <w:t>Fuente: Estimaciones propias con base en información del Banco Central de Bolivia (2012).</w:t>
      </w:r>
    </w:p>
    <w:p>
      <w:pPr>
        <w:pStyle w:val="BodyText"/>
        <w:rPr>
          <w:sz w:val="20"/>
        </w:rPr>
      </w:pPr>
    </w:p>
    <w:p>
      <w:pPr>
        <w:pStyle w:val="BodyText"/>
        <w:spacing w:before="10"/>
        <w:rPr>
          <w:sz w:val="27"/>
        </w:rPr>
      </w:pPr>
    </w:p>
    <w:p>
      <w:pPr>
        <w:pStyle w:val="BodyText"/>
        <w:ind w:left="100" w:right="115"/>
        <w:jc w:val="center"/>
      </w:pPr>
      <w:bookmarkStart w:name="_bookmark106" w:id="146"/>
      <w:bookmarkEnd w:id="146"/>
      <w:r>
        <w:rPr/>
      </w:r>
      <w:r>
        <w:rPr/>
        <w:t>Figura 3. 10: Posición fiscal sostenible para el balance primario no gasífero y la deuda pública en términos del PIB real</w:t>
      </w:r>
    </w:p>
    <w:p>
      <w:pPr>
        <w:pStyle w:val="BodyText"/>
        <w:tabs>
          <w:tab w:pos="4300" w:val="left" w:leader="none"/>
        </w:tabs>
        <w:ind w:left="140"/>
        <w:jc w:val="center"/>
      </w:pPr>
      <w:r>
        <w:rPr/>
        <w:t>Escenario</w:t>
      </w:r>
      <w:r>
        <w:rPr>
          <w:spacing w:val="-1"/>
        </w:rPr>
        <w:t> </w:t>
      </w:r>
      <w:r>
        <w:rPr/>
        <w:t>base</w:t>
      </w:r>
      <w:r>
        <w:rPr>
          <w:spacing w:val="-2"/>
        </w:rPr>
        <w:t> </w:t>
      </w:r>
      <w:r>
        <w:rPr/>
        <w:t>(a)</w:t>
        <w:tab/>
        <w:t>Escenario volátil</w:t>
      </w:r>
      <w:r>
        <w:rPr>
          <w:spacing w:val="-3"/>
        </w:rPr>
        <w:t> </w:t>
      </w:r>
      <w:r>
        <w:rPr/>
        <w:t>(b)</w:t>
      </w:r>
    </w:p>
    <w:p>
      <w:pPr>
        <w:pStyle w:val="BodyText"/>
        <w:spacing w:before="7"/>
        <w:rPr>
          <w:sz w:val="10"/>
        </w:rPr>
      </w:pPr>
    </w:p>
    <w:p>
      <w:pPr>
        <w:spacing w:after="0"/>
        <w:rPr>
          <w:sz w:val="10"/>
        </w:rPr>
        <w:sectPr>
          <w:type w:val="continuous"/>
          <w:pgSz w:w="12250" w:h="15850"/>
          <w:pgMar w:top="1500" w:bottom="280" w:left="1600" w:right="1580"/>
        </w:sectPr>
      </w:pPr>
    </w:p>
    <w:p>
      <w:pPr>
        <w:pStyle w:val="BodyText"/>
        <w:rPr>
          <w:sz w:val="20"/>
        </w:rPr>
      </w:pPr>
    </w:p>
    <w:p>
      <w:pPr>
        <w:pStyle w:val="BodyText"/>
        <w:rPr>
          <w:sz w:val="20"/>
        </w:rPr>
      </w:pPr>
    </w:p>
    <w:p>
      <w:pPr>
        <w:pStyle w:val="BodyText"/>
        <w:spacing w:before="3"/>
        <w:rPr>
          <w:sz w:val="27"/>
        </w:rPr>
      </w:pPr>
    </w:p>
    <w:p>
      <w:pPr>
        <w:spacing w:before="1"/>
        <w:ind w:left="407" w:right="0" w:firstLine="0"/>
        <w:jc w:val="center"/>
        <w:rPr>
          <w:sz w:val="19"/>
        </w:rPr>
      </w:pPr>
      <w:r>
        <w:rPr/>
        <w:pict>
          <v:group style="position:absolute;margin-left:130.211853pt;margin-top:1.100017pt;width:156.5pt;height:67.2pt;mso-position-horizontal-relative:page;mso-position-vertical-relative:paragraph;z-index:11200" coordorigin="2604,22" coordsize="3130,1344">
            <v:shape style="position:absolute;left:2676;top:246;width:3043;height:1045" type="#_x0000_t75" stroked="false">
              <v:imagedata r:id="rId288" o:title=""/>
            </v:shape>
            <v:rect style="position:absolute;left:2676;top:1172;width:3043;height:119" filled="true" fillcolor="#ffffff" stroked="false">
              <v:fill type="solid"/>
            </v:rect>
            <v:shape style="position:absolute;left:802;top:4876;width:3286;height:1245" coordorigin="802,4876" coordsize="3286,1245" path="m2669,1299l2669,119m2612,1299l2669,1299m2612,1060l2669,1060m2612,821l2669,821m2612,582l2669,582m2612,343l2669,343m2612,119l2669,119m2669,1299l5726,1299m2669,1299l2669,1358m3053,1299l3053,1358m3436,1299l3436,1358m3820,1299l3820,1358m4190,1299l4190,1358m4574,1299l4574,1358m4958,1299l4958,1358m5342,1299l5342,1358m5726,1299l5726,1358e" filled="false" stroked="true" strokeweight=".728859pt" strokecolor="#858585">
              <v:path arrowok="t"/>
            </v:shape>
            <v:line style="position:absolute" from="3756,1291" to="3785,37" stroked="true" strokeweight="1.421975pt" strokecolor="#ff0000">
              <v:stroke dashstyle="longDash"/>
            </v:line>
            <v:shape style="position:absolute;left:2604;top:22;width:3130;height:1344" type="#_x0000_t202" filled="false" stroked="false">
              <v:textbox inset="0,0,0,0">
                <w:txbxContent>
                  <w:p>
                    <w:pPr>
                      <w:spacing w:line="269" w:lineRule="exact" w:before="0"/>
                      <w:ind w:left="1206" w:right="0" w:firstLine="0"/>
                      <w:jc w:val="left"/>
                      <w:rPr>
                        <w:sz w:val="24"/>
                      </w:rPr>
                    </w:pPr>
                    <w:r>
                      <w:rPr>
                        <w:color w:val="FF0000"/>
                        <w:w w:val="95"/>
                        <w:sz w:val="24"/>
                      </w:rPr>
                      <w:t>post-nacionalización</w:t>
                    </w:r>
                  </w:p>
                </w:txbxContent>
              </v:textbox>
              <w10:wrap type="none"/>
            </v:shape>
            <w10:wrap type="none"/>
          </v:group>
        </w:pict>
      </w:r>
      <w:r>
        <w:rPr>
          <w:w w:val="95"/>
          <w:sz w:val="19"/>
        </w:rPr>
        <w:t>10.00</w:t>
      </w:r>
    </w:p>
    <w:p>
      <w:pPr>
        <w:spacing w:before="18"/>
        <w:ind w:left="517" w:right="0" w:firstLine="0"/>
        <w:jc w:val="center"/>
        <w:rPr>
          <w:sz w:val="19"/>
        </w:rPr>
      </w:pPr>
      <w:r>
        <w:rPr>
          <w:sz w:val="19"/>
        </w:rPr>
        <w:t>8.00</w:t>
      </w:r>
    </w:p>
    <w:p>
      <w:pPr>
        <w:spacing w:before="18"/>
        <w:ind w:left="517" w:right="0" w:firstLine="0"/>
        <w:jc w:val="center"/>
        <w:rPr>
          <w:sz w:val="19"/>
        </w:rPr>
      </w:pPr>
      <w:r>
        <w:rPr>
          <w:sz w:val="19"/>
        </w:rPr>
        <w:t>6.00</w:t>
      </w:r>
    </w:p>
    <w:p>
      <w:pPr>
        <w:spacing w:before="18"/>
        <w:ind w:left="517" w:right="0" w:firstLine="0"/>
        <w:jc w:val="center"/>
        <w:rPr>
          <w:sz w:val="19"/>
        </w:rPr>
      </w:pPr>
      <w:r>
        <w:rPr>
          <w:sz w:val="19"/>
        </w:rPr>
        <w:t>4.00</w:t>
      </w:r>
    </w:p>
    <w:p>
      <w:pPr>
        <w:spacing w:before="18"/>
        <w:ind w:left="517" w:right="0" w:firstLine="0"/>
        <w:jc w:val="center"/>
        <w:rPr>
          <w:sz w:val="19"/>
        </w:rPr>
      </w:pPr>
      <w:r>
        <w:rPr>
          <w:sz w:val="19"/>
        </w:rPr>
        <w:t>2.00</w:t>
      </w:r>
    </w:p>
    <w:p>
      <w:pPr>
        <w:spacing w:before="18"/>
        <w:ind w:left="0" w:right="98" w:firstLine="0"/>
        <w:jc w:val="right"/>
        <w:rPr>
          <w:sz w:val="19"/>
        </w:rPr>
      </w:pPr>
      <w:r>
        <w:rPr>
          <w:w w:val="97"/>
          <w:sz w:val="19"/>
        </w:rPr>
        <w:t>-</w:t>
      </w:r>
    </w:p>
    <w:p>
      <w:pPr>
        <w:pStyle w:val="Heading4"/>
        <w:spacing w:line="244" w:lineRule="auto" w:before="52"/>
        <w:ind w:left="393" w:right="-7" w:hanging="328"/>
        <w:rPr>
          <w:rFonts w:ascii="Constantia" w:hAnsi="Constantia"/>
        </w:rPr>
      </w:pPr>
      <w:r>
        <w:rPr>
          <w:b w:val="0"/>
        </w:rPr>
        <w:br w:type="column"/>
      </w:r>
      <w:r>
        <w:rPr>
          <w:rFonts w:ascii="Constantia" w:hAnsi="Constantia"/>
          <w:w w:val="95"/>
        </w:rPr>
        <w:t>Indicador PFS para</w:t>
      </w:r>
      <w:r>
        <w:rPr>
          <w:rFonts w:ascii="Constantia" w:hAnsi="Constantia"/>
          <w:spacing w:val="-37"/>
          <w:w w:val="95"/>
        </w:rPr>
        <w:t> </w:t>
      </w:r>
      <w:r>
        <w:rPr>
          <w:rFonts w:ascii="Constantia" w:hAnsi="Constantia"/>
          <w:w w:val="95"/>
        </w:rPr>
        <w:t>Bolivia </w:t>
      </w:r>
      <w:r>
        <w:rPr>
          <w:rFonts w:ascii="Constantia" w:hAnsi="Constantia"/>
        </w:rPr>
        <w:t>(</w:t>
      </w:r>
      <w:r>
        <w:rPr>
          <w:rFonts w:ascii="Constantia" w:hAnsi="Constantia"/>
          <w:spacing w:val="-27"/>
        </w:rPr>
        <w:t> </w:t>
      </w:r>
      <w:r>
        <w:rPr>
          <w:rFonts w:ascii="Constantia" w:hAnsi="Constantia"/>
        </w:rPr>
        <w:t>d*</w:t>
      </w:r>
      <w:r>
        <w:rPr>
          <w:rFonts w:ascii="Constantia" w:hAnsi="Constantia"/>
          <w:spacing w:val="-25"/>
        </w:rPr>
        <w:t> </w:t>
      </w:r>
      <w:r>
        <w:rPr>
          <w:rFonts w:ascii="Constantia" w:hAnsi="Constantia"/>
        </w:rPr>
        <w:t>=</w:t>
      </w:r>
      <w:r>
        <w:rPr>
          <w:rFonts w:ascii="Constantia" w:hAnsi="Constantia"/>
          <w:spacing w:val="-13"/>
        </w:rPr>
        <w:t> </w:t>
      </w:r>
      <w:r>
        <w:rPr>
          <w:rFonts w:ascii="Constantia" w:hAnsi="Constantia"/>
        </w:rPr>
        <w:t>0.28,</w:t>
      </w:r>
      <w:r>
        <w:rPr>
          <w:rFonts w:ascii="Constantia" w:hAnsi="Constantia"/>
          <w:spacing w:val="-22"/>
        </w:rPr>
        <w:t> </w:t>
      </w:r>
      <w:r>
        <w:rPr>
          <w:rFonts w:ascii="Constantia" w:hAnsi="Constantia"/>
        </w:rPr>
        <w:t>β*</w:t>
      </w:r>
      <w:r>
        <w:rPr>
          <w:rFonts w:ascii="Constantia" w:hAnsi="Constantia"/>
          <w:spacing w:val="-25"/>
        </w:rPr>
        <w:t> </w:t>
      </w:r>
      <w:r>
        <w:rPr>
          <w:rFonts w:ascii="Constantia" w:hAnsi="Constantia"/>
        </w:rPr>
        <w:t>=</w:t>
      </w:r>
      <w:r>
        <w:rPr>
          <w:rFonts w:ascii="Constantia" w:hAnsi="Constantia"/>
          <w:spacing w:val="-13"/>
        </w:rPr>
        <w:t> </w:t>
      </w:r>
      <w:r>
        <w:rPr>
          <w:rFonts w:ascii="Constantia" w:hAnsi="Constantia"/>
        </w:rPr>
        <w:t>0,92</w:t>
      </w:r>
      <w:r>
        <w:rPr>
          <w:rFonts w:ascii="Constantia" w:hAnsi="Constantia"/>
          <w:spacing w:val="-23"/>
        </w:rPr>
        <w:t> </w:t>
      </w:r>
      <w:r>
        <w:rPr>
          <w:rFonts w:ascii="Constantia" w:hAnsi="Constantia"/>
        </w:rPr>
        <w:t>)</w:t>
      </w:r>
    </w:p>
    <w:p>
      <w:pPr>
        <w:pStyle w:val="BodyText"/>
        <w:rPr>
          <w:rFonts w:ascii="Constantia"/>
          <w:b/>
          <w:sz w:val="18"/>
        </w:rPr>
      </w:pPr>
      <w:r>
        <w:rPr/>
        <w:br w:type="column"/>
      </w:r>
      <w:r>
        <w:rPr>
          <w:rFonts w:ascii="Constantia"/>
          <w:b/>
          <w:sz w:val="18"/>
        </w:rPr>
      </w:r>
    </w:p>
    <w:p>
      <w:pPr>
        <w:pStyle w:val="BodyText"/>
        <w:rPr>
          <w:rFonts w:ascii="Constantia"/>
          <w:b/>
          <w:sz w:val="18"/>
        </w:rPr>
      </w:pPr>
    </w:p>
    <w:p>
      <w:pPr>
        <w:pStyle w:val="BodyText"/>
        <w:rPr>
          <w:rFonts w:ascii="Constantia"/>
          <w:b/>
          <w:sz w:val="18"/>
        </w:rPr>
      </w:pPr>
    </w:p>
    <w:p>
      <w:pPr>
        <w:spacing w:line="205" w:lineRule="exact" w:before="147"/>
        <w:ind w:left="407" w:right="0" w:firstLine="0"/>
        <w:jc w:val="center"/>
        <w:rPr>
          <w:sz w:val="19"/>
        </w:rPr>
      </w:pPr>
      <w:r>
        <w:rPr>
          <w:w w:val="95"/>
          <w:sz w:val="19"/>
        </w:rPr>
        <w:t>12.00</w:t>
      </w:r>
    </w:p>
    <w:p>
      <w:pPr>
        <w:spacing w:line="192" w:lineRule="exact" w:before="0"/>
        <w:ind w:left="407" w:right="0" w:firstLine="0"/>
        <w:jc w:val="center"/>
        <w:rPr>
          <w:sz w:val="19"/>
        </w:rPr>
      </w:pPr>
      <w:r>
        <w:rPr>
          <w:w w:val="95"/>
          <w:sz w:val="19"/>
        </w:rPr>
        <w:t>10.00</w:t>
      </w:r>
    </w:p>
    <w:p>
      <w:pPr>
        <w:spacing w:line="192" w:lineRule="exact" w:before="0"/>
        <w:ind w:left="517" w:right="0" w:firstLine="0"/>
        <w:jc w:val="center"/>
        <w:rPr>
          <w:sz w:val="19"/>
        </w:rPr>
      </w:pPr>
      <w:r>
        <w:rPr>
          <w:sz w:val="19"/>
        </w:rPr>
        <w:t>8.00</w:t>
      </w:r>
    </w:p>
    <w:p>
      <w:pPr>
        <w:spacing w:line="192" w:lineRule="exact" w:before="0"/>
        <w:ind w:left="517" w:right="0" w:firstLine="0"/>
        <w:jc w:val="center"/>
        <w:rPr>
          <w:sz w:val="19"/>
        </w:rPr>
      </w:pPr>
      <w:r>
        <w:rPr>
          <w:sz w:val="19"/>
        </w:rPr>
        <w:t>6.00</w:t>
      </w:r>
    </w:p>
    <w:p>
      <w:pPr>
        <w:spacing w:line="192" w:lineRule="exact" w:before="0"/>
        <w:ind w:left="517" w:right="0" w:firstLine="0"/>
        <w:jc w:val="center"/>
        <w:rPr>
          <w:sz w:val="19"/>
        </w:rPr>
      </w:pPr>
      <w:r>
        <w:rPr>
          <w:sz w:val="19"/>
        </w:rPr>
        <w:t>4.00</w:t>
      </w:r>
    </w:p>
    <w:p>
      <w:pPr>
        <w:spacing w:line="192" w:lineRule="exact" w:before="0"/>
        <w:ind w:left="517" w:right="0" w:firstLine="0"/>
        <w:jc w:val="center"/>
        <w:rPr>
          <w:sz w:val="19"/>
        </w:rPr>
      </w:pPr>
      <w:r>
        <w:rPr>
          <w:sz w:val="19"/>
        </w:rPr>
        <w:t>2.00</w:t>
      </w:r>
    </w:p>
    <w:p>
      <w:pPr>
        <w:spacing w:line="205" w:lineRule="exact" w:before="0"/>
        <w:ind w:left="0" w:right="98" w:firstLine="0"/>
        <w:jc w:val="right"/>
        <w:rPr>
          <w:sz w:val="19"/>
        </w:rPr>
      </w:pPr>
      <w:r>
        <w:rPr>
          <w:w w:val="97"/>
          <w:sz w:val="19"/>
        </w:rPr>
        <w:t>-</w:t>
      </w:r>
    </w:p>
    <w:p>
      <w:pPr>
        <w:pStyle w:val="Heading4"/>
        <w:spacing w:line="244" w:lineRule="auto" w:before="84"/>
        <w:ind w:left="448" w:right="581" w:hanging="384"/>
        <w:rPr>
          <w:rFonts w:ascii="Constantia" w:hAnsi="Constantia"/>
        </w:rPr>
      </w:pPr>
      <w:r>
        <w:rPr>
          <w:b w:val="0"/>
        </w:rPr>
        <w:br w:type="column"/>
      </w:r>
      <w:r>
        <w:rPr>
          <w:rFonts w:ascii="Constantia" w:hAnsi="Constantia"/>
          <w:w w:val="95"/>
        </w:rPr>
        <w:t>Indicador PFS para Bolivia </w:t>
      </w:r>
      <w:r>
        <w:rPr>
          <w:rFonts w:ascii="Constantia" w:hAnsi="Constantia"/>
        </w:rPr>
        <w:t>(d* = 0.28, β* = 1.06)</w:t>
      </w:r>
    </w:p>
    <w:p>
      <w:pPr>
        <w:spacing w:after="0" w:line="244" w:lineRule="auto"/>
        <w:rPr>
          <w:rFonts w:ascii="Constantia" w:hAnsi="Constantia"/>
        </w:rPr>
        <w:sectPr>
          <w:type w:val="continuous"/>
          <w:pgSz w:w="12250" w:h="15850"/>
          <w:pgMar w:top="1500" w:bottom="280" w:left="1600" w:right="1580"/>
          <w:cols w:num="4" w:equalWidth="0">
            <w:col w:w="854" w:space="40"/>
            <w:col w:w="2898" w:space="557"/>
            <w:col w:w="852" w:space="40"/>
            <w:col w:w="3829"/>
          </w:cols>
        </w:sectPr>
      </w:pPr>
    </w:p>
    <w:p>
      <w:pPr>
        <w:pStyle w:val="BodyText"/>
        <w:spacing w:before="4"/>
        <w:rPr>
          <w:rFonts w:ascii="Constantia"/>
          <w:b/>
          <w:sz w:val="7"/>
        </w:rPr>
      </w:pPr>
    </w:p>
    <w:p>
      <w:pPr>
        <w:tabs>
          <w:tab w:pos="5044" w:val="left" w:leader="none"/>
        </w:tabs>
        <w:spacing w:line="240" w:lineRule="auto"/>
        <w:ind w:left="690" w:right="0" w:firstLine="0"/>
        <w:rPr>
          <w:rFonts w:ascii="Constantia"/>
          <w:sz w:val="20"/>
        </w:rPr>
      </w:pPr>
      <w:r>
        <w:rPr>
          <w:rFonts w:ascii="Constantia"/>
          <w:sz w:val="20"/>
        </w:rPr>
        <w:pict>
          <v:group style="width:170.7pt;height:20.25pt;mso-position-horizontal-relative:char;mso-position-vertical-relative:line" coordorigin="0,0" coordsize="3414,405">
            <v:shape style="position:absolute;left:0;top:20;width:348;height:384" type="#_x0000_t75" stroked="false">
              <v:imagedata r:id="rId289" o:title=""/>
            </v:shape>
            <v:shape style="position:absolute;left:382;top:9;width:359;height:395" type="#_x0000_t75" stroked="false">
              <v:imagedata r:id="rId290" o:title=""/>
            </v:shape>
            <v:shape style="position:absolute;left:764;top:0;width:1106;height:404" type="#_x0000_t75" stroked="false">
              <v:imagedata r:id="rId291" o:title=""/>
            </v:shape>
            <v:shape style="position:absolute;left:1909;top:16;width:722;height:388" type="#_x0000_t75" stroked="false">
              <v:imagedata r:id="rId292" o:title=""/>
            </v:shape>
            <v:shape style="position:absolute;left:2673;top:17;width:741;height:388" type="#_x0000_t75" stroked="false">
              <v:imagedata r:id="rId293" o:title=""/>
            </v:shape>
          </v:group>
        </w:pict>
      </w:r>
      <w:r>
        <w:rPr>
          <w:rFonts w:ascii="Constantia"/>
          <w:sz w:val="20"/>
        </w:rPr>
      </w:r>
      <w:r>
        <w:rPr>
          <w:rFonts w:ascii="Constantia"/>
          <w:sz w:val="20"/>
        </w:rPr>
        <w:tab/>
      </w:r>
      <w:r>
        <w:rPr>
          <w:rFonts w:ascii="Constantia"/>
          <w:position w:val="1"/>
          <w:sz w:val="20"/>
        </w:rPr>
        <w:pict>
          <v:group style="width:169.95pt;height:20.2pt;mso-position-horizontal-relative:char;mso-position-vertical-relative:line" coordorigin="0,0" coordsize="3399,404">
            <v:shape style="position:absolute;left:0;top:20;width:346;height:384" type="#_x0000_t75" stroked="false">
              <v:imagedata r:id="rId294" o:title=""/>
            </v:shape>
            <v:shape style="position:absolute;left:380;top:9;width:358;height:395" type="#_x0000_t75" stroked="false">
              <v:imagedata r:id="rId295" o:title=""/>
            </v:shape>
            <v:shape style="position:absolute;left:760;top:0;width:1101;height:404" type="#_x0000_t75" stroked="false">
              <v:imagedata r:id="rId296" o:title=""/>
            </v:shape>
            <v:shape style="position:absolute;left:1901;top:16;width:718;height:388" type="#_x0000_t75" stroked="false">
              <v:imagedata r:id="rId297" o:title=""/>
            </v:shape>
            <v:shape style="position:absolute;left:2661;top:17;width:738;height:387" type="#_x0000_t75" stroked="false">
              <v:imagedata r:id="rId298" o:title=""/>
            </v:shape>
          </v:group>
        </w:pict>
      </w:r>
      <w:r>
        <w:rPr>
          <w:rFonts w:ascii="Constantia"/>
          <w:position w:val="1"/>
          <w:sz w:val="20"/>
        </w:rPr>
      </w:r>
    </w:p>
    <w:p>
      <w:pPr>
        <w:pStyle w:val="BodyText"/>
        <w:spacing w:before="5"/>
        <w:rPr>
          <w:rFonts w:ascii="Constantia"/>
          <w:b/>
          <w:sz w:val="8"/>
        </w:rPr>
      </w:pPr>
    </w:p>
    <w:p>
      <w:pPr>
        <w:spacing w:before="74"/>
        <w:ind w:left="102" w:right="127" w:firstLine="0"/>
        <w:jc w:val="left"/>
        <w:rPr>
          <w:sz w:val="20"/>
        </w:rPr>
      </w:pPr>
      <w:r>
        <w:rPr/>
        <w:pict>
          <v:group style="position:absolute;margin-left:347.513092pt;margin-top:-97.001762pt;width:157.3pt;height:64.45pt;mso-position-horizontal-relative:page;mso-position-vertical-relative:paragraph;z-index:11248" coordorigin="6950,-1940" coordsize="3146,1289">
            <v:shape style="position:absolute;left:7021;top:-1726;width:3029;height:1000" type="#_x0000_t75" stroked="false">
              <v:imagedata r:id="rId299" o:title=""/>
            </v:shape>
            <v:line style="position:absolute" from="7021,-771" to="10051,-771" stroked="true" strokeweight="4.476073pt" strokecolor="#ffffff"/>
            <v:shape style="position:absolute;left:803;top:2888;width:3286;height:1215" coordorigin="803,2888" coordsize="3286,1215" path="m7014,-719l7014,-1868m6958,-719l7014,-719m6958,-913l7014,-913m6958,-1107l7014,-1107m6958,-1301l7014,-1301m6958,-1495l7014,-1495m6958,-1689l7014,-1689m6958,-1868l7014,-1868m7014,-719l10058,-719m7014,-719l7014,-659m7397,-719l7397,-659m7779,-719l7779,-659m8161,-719l8161,-659m8529,-719l8529,-659m8911,-719l8911,-659m9294,-719l9294,-659m9676,-719l9676,-659m10058,-719l10058,-659e" filled="false" stroked="true" strokeweight=".726913pt" strokecolor="#858585">
              <v:path arrowok="t"/>
            </v:shape>
            <v:line style="position:absolute" from="8112,-726" to="8112,-1890" stroked="true" strokeweight="1.41563pt" strokecolor="#ff0000">
              <v:stroke dashstyle="longDash"/>
            </v:line>
            <v:shape style="position:absolute;left:6950;top:-1940;width:3146;height:1289" type="#_x0000_t202" filled="false" stroked="false">
              <v:textbox inset="0,0,0,0">
                <w:txbxContent>
                  <w:p>
                    <w:pPr>
                      <w:spacing w:line="245" w:lineRule="exact" w:before="0"/>
                      <w:ind w:left="1174" w:right="0" w:firstLine="0"/>
                      <w:jc w:val="left"/>
                      <w:rPr>
                        <w:sz w:val="24"/>
                      </w:rPr>
                    </w:pPr>
                    <w:r>
                      <w:rPr>
                        <w:color w:val="FF0000"/>
                        <w:spacing w:val="-3"/>
                        <w:sz w:val="24"/>
                      </w:rPr>
                      <w:t>post-nacionalización</w:t>
                    </w:r>
                  </w:p>
                </w:txbxContent>
              </v:textbox>
              <w10:wrap type="none"/>
            </v:shape>
            <w10:wrap type="none"/>
          </v:group>
        </w:pict>
      </w:r>
      <w:r>
        <w:rPr>
          <w:sz w:val="20"/>
        </w:rPr>
        <w:t>Fuente: Estimaciones propias con base en información del Banco Central de Bolivia (2012).</w:t>
      </w:r>
    </w:p>
    <w:p>
      <w:pPr>
        <w:pStyle w:val="BodyText"/>
        <w:spacing w:before="1"/>
      </w:pPr>
    </w:p>
    <w:p>
      <w:pPr>
        <w:pStyle w:val="BodyText"/>
        <w:spacing w:line="360" w:lineRule="auto"/>
        <w:ind w:left="102" w:right="116" w:firstLine="707"/>
        <w:jc w:val="both"/>
      </w:pPr>
      <w:r>
        <w:rPr/>
        <w:t>En resumen, la posición fiscal de Bolivia para el lapso 2003-2011 fue insostenible  de forma exponencial, con mayor énfasis en el período post-nacionalización bajo el argumento que el balance primario no gasífero (no petrolero) es el principal indicador fiscal para países ricos en petróleo o en algún recurso natural, por ende el rol fiscal fue</w:t>
      </w:r>
      <w:r>
        <w:rPr>
          <w:spacing w:val="-15"/>
        </w:rPr>
        <w:t> </w:t>
      </w:r>
      <w:r>
        <w:rPr/>
        <w:t>deficiente.</w:t>
      </w:r>
    </w:p>
    <w:p>
      <w:pPr>
        <w:spacing w:after="0" w:line="360" w:lineRule="auto"/>
        <w:jc w:val="both"/>
        <w:sectPr>
          <w:type w:val="continuous"/>
          <w:pgSz w:w="12250" w:h="15850"/>
          <w:pgMar w:top="1500" w:bottom="280" w:left="1600" w:right="1580"/>
        </w:sectPr>
      </w:pPr>
    </w:p>
    <w:p>
      <w:pPr>
        <w:pStyle w:val="Heading4"/>
        <w:numPr>
          <w:ilvl w:val="1"/>
          <w:numId w:val="13"/>
        </w:numPr>
        <w:tabs>
          <w:tab w:pos="821" w:val="left" w:leader="none"/>
          <w:tab w:pos="822" w:val="left" w:leader="none"/>
        </w:tabs>
        <w:spacing w:line="240" w:lineRule="auto" w:before="55" w:after="0"/>
        <w:ind w:left="822" w:right="0" w:hanging="576"/>
        <w:jc w:val="left"/>
      </w:pPr>
      <w:bookmarkStart w:name="_bookmark107" w:id="147"/>
      <w:bookmarkEnd w:id="147"/>
      <w:r>
        <w:rPr>
          <w:b w:val="0"/>
        </w:rPr>
      </w:r>
      <w:bookmarkStart w:name="_bookmark107" w:id="148"/>
      <w:bookmarkEnd w:id="148"/>
      <w:r>
        <w:rPr/>
        <w:t>Discusión</w:t>
      </w:r>
    </w:p>
    <w:p>
      <w:pPr>
        <w:pStyle w:val="BodyText"/>
        <w:rPr>
          <w:b/>
        </w:rPr>
      </w:pPr>
    </w:p>
    <w:p>
      <w:pPr>
        <w:pStyle w:val="BodyText"/>
        <w:spacing w:before="5"/>
        <w:rPr>
          <w:b/>
          <w:sz w:val="20"/>
        </w:rPr>
      </w:pPr>
    </w:p>
    <w:p>
      <w:pPr>
        <w:pStyle w:val="BodyText"/>
        <w:spacing w:line="360" w:lineRule="auto"/>
        <w:ind w:left="102" w:right="122" w:firstLine="707"/>
        <w:jc w:val="both"/>
      </w:pPr>
      <w:r>
        <w:rPr/>
        <w:t>Las instituciones pueden ser percibidas de manera endógena e interpretarse como una causa y no un efecto, aunque esto, para los econometristas se constituya en un inconveniente fundamentado en el argumento de evidenciar variables exógenas para su modelación  o inclusive llamarlo como problema de endogeneidad (Frankel, 2010, p. 15).</w:t>
      </w:r>
    </w:p>
    <w:p>
      <w:pPr>
        <w:pStyle w:val="BodyText"/>
        <w:spacing w:line="360" w:lineRule="auto" w:before="4"/>
        <w:ind w:left="102" w:right="117" w:firstLine="707"/>
        <w:jc w:val="both"/>
      </w:pPr>
      <w:r>
        <w:rPr/>
        <w:t>En este capítulo, los resultados mostraron que un  cambio  institucional  formal derivó en nuevos mecanismos para la asignación de los ingresos fiscales con y sin gas natural al gasto público. Ante la ausencia de normas que regulen las nuevas directrices informales se pueden obtener resultados fiscales indeseados.</w:t>
      </w:r>
    </w:p>
    <w:p>
      <w:pPr>
        <w:pStyle w:val="BodyText"/>
        <w:spacing w:line="360" w:lineRule="auto" w:before="4"/>
        <w:ind w:left="102" w:right="120" w:firstLine="707"/>
        <w:jc w:val="both"/>
      </w:pPr>
      <w:r>
        <w:rPr/>
        <w:t>De acuerdo con el nuevo institucionalismo económico, las instituciones son más eficientes, si mejora un resultado final dada la organización económica del Estado. Aplicando la definición anterior a la posición fiscal, para el caso de Bolivia, el manejo de la deuda pública fue adecuado, lo cual concuerda con el argumento que un buen rol fiscal es reducir la deuda pública durante períodos de auge económico (Smidova, 2011).</w:t>
      </w:r>
    </w:p>
    <w:p>
      <w:pPr>
        <w:pStyle w:val="BodyText"/>
        <w:spacing w:line="360" w:lineRule="auto" w:before="6"/>
        <w:ind w:left="102" w:right="125" w:firstLine="707"/>
        <w:jc w:val="both"/>
      </w:pPr>
      <w:r>
        <w:rPr/>
        <w:t>La justificación de mantener bajos niveles de endeudamiento público en torno al  PIB se centra en la posibilidad de mayor margen de acción para la política fiscal cuando ocurre alguna desaceleración económica  (Mates,</w:t>
      </w:r>
      <w:r>
        <w:rPr>
          <w:spacing w:val="-11"/>
        </w:rPr>
        <w:t> </w:t>
      </w:r>
      <w:r>
        <w:rPr/>
        <w:t>2011).</w:t>
      </w:r>
    </w:p>
    <w:p>
      <w:pPr>
        <w:pStyle w:val="BodyText"/>
        <w:spacing w:line="360" w:lineRule="auto" w:before="4"/>
        <w:ind w:left="102" w:right="115" w:firstLine="707"/>
        <w:jc w:val="both"/>
      </w:pPr>
      <w:r>
        <w:rPr/>
        <w:t>Pese al buen manejo de la deuda pública, el balance primario no gasífero fue insostenible, lo anterior coincidió con las conclusiones de Zambrano &amp; Aguilera (2010)  con relación a la sostenibilidad fiscal de</w:t>
      </w:r>
      <w:r>
        <w:rPr>
          <w:spacing w:val="-11"/>
        </w:rPr>
        <w:t> </w:t>
      </w:r>
      <w:r>
        <w:rPr/>
        <w:t>Bolivia.</w:t>
      </w:r>
    </w:p>
    <w:p>
      <w:pPr>
        <w:pStyle w:val="BodyText"/>
        <w:spacing w:line="360" w:lineRule="auto" w:before="6"/>
        <w:ind w:left="102" w:right="120" w:firstLine="707"/>
        <w:jc w:val="both"/>
      </w:pPr>
      <w:r>
        <w:rPr/>
        <w:t>El progresivo déficit no gasífero puede conllevar a fuertes ajustes estructurales en la política fiscal, y por ende en la prospectiva macroeconómica de no revertirse este comportamiento para el futuro. Hart (2009) definió como manejo irresponsable de los déficits fiscales cuando no se atribuyen a las circunstancias económicas.</w:t>
      </w:r>
    </w:p>
    <w:p>
      <w:pPr>
        <w:pStyle w:val="BodyText"/>
        <w:spacing w:line="360" w:lineRule="auto" w:before="6"/>
        <w:ind w:left="102" w:right="117" w:firstLine="707"/>
        <w:jc w:val="both"/>
      </w:pPr>
      <w:r>
        <w:rPr/>
        <w:t>Previa a la nacionalización de los hidrocarburos existía una relación inversa entre la asignación de los ingresos fiscales gasíferos y no gasíferos (ajuste entre gasto de capital y gasto corriente). Después la asociación fue positiva, ante ello, se incremento el gasto de capital y el gasto corriente.</w:t>
      </w:r>
    </w:p>
    <w:p>
      <w:pPr>
        <w:pStyle w:val="BodyText"/>
        <w:spacing w:line="360" w:lineRule="auto" w:before="6"/>
        <w:ind w:left="102" w:right="118" w:firstLine="707"/>
        <w:jc w:val="both"/>
      </w:pPr>
      <w:r>
        <w:rPr/>
        <w:t>Por ende, la insostenibilidad del balance primario no gasífero no se debió a la nacionalización  (cambio  institucional  formal)  sino  a  la  forma  de  asignar  los </w:t>
      </w:r>
      <w:r>
        <w:rPr>
          <w:spacing w:val="56"/>
        </w:rPr>
        <w:t> </w:t>
      </w:r>
      <w:r>
        <w:rPr/>
        <w:t>ingresos</w:t>
      </w:r>
    </w:p>
    <w:p>
      <w:pPr>
        <w:spacing w:after="0" w:line="360" w:lineRule="auto"/>
        <w:jc w:val="both"/>
        <w:sectPr>
          <w:pgSz w:w="12250" w:h="15850"/>
          <w:pgMar w:header="0" w:footer="1037" w:top="1360" w:bottom="1220" w:left="1600" w:right="1580"/>
        </w:sectPr>
      </w:pPr>
    </w:p>
    <w:p>
      <w:pPr>
        <w:pStyle w:val="BodyText"/>
        <w:spacing w:line="360" w:lineRule="auto" w:before="50"/>
        <w:ind w:left="102" w:right="127"/>
      </w:pPr>
      <w:r>
        <w:rPr/>
        <w:t>fiscales gasíferos y no gasíferos (cambios institucionales informales) al gasto público, aspectos que no se encuentran formalmente regulados.</w:t>
      </w:r>
    </w:p>
    <w:p>
      <w:pPr>
        <w:pStyle w:val="BodyText"/>
        <w:spacing w:line="360" w:lineRule="auto" w:before="6"/>
        <w:ind w:left="102" w:right="118" w:firstLine="707"/>
        <w:jc w:val="both"/>
      </w:pPr>
      <w:r>
        <w:rPr/>
        <w:t>Una mayor participación cíclica de los precios del gas natural se puede explicar por la no diversificación de los ingresos tributarios (ajenos a los ingresos fiscales del gas natural), asumiéndose una relación inversa entre la recaudación de impuestos y la eficiencia del rol fiscal (Devarajan, et al., 2010). Adicionalmente, no existió un rol fiscal basado en la generación de ahorro petrolero que permitierá amortigar el impacto de los choques de precios sobre el balance fiscal cíclicamente ajustado.</w:t>
      </w:r>
    </w:p>
    <w:p>
      <w:pPr>
        <w:pStyle w:val="BodyText"/>
        <w:spacing w:line="360" w:lineRule="auto" w:before="7"/>
        <w:ind w:left="102" w:right="117" w:firstLine="707"/>
        <w:jc w:val="both"/>
      </w:pPr>
      <w:r>
        <w:rPr/>
        <w:t>Los hallazgos revelaron una orientación procíclica a los movimientos de la actividad económica al aplicarse la metodología de balance fiscal cíclicamente ajustado. Estos resultados concuerdan con la evidencia que países en vías de desarrollo mantienen políticas procíclicas (Strawczynski &amp; Zeira, 2011; Daude, et al., 2010; Ilzetzki &amp; Végh, 2008), especialmente para países que dependen de alguna materia prima (Kaminsky, 2009).</w:t>
      </w:r>
    </w:p>
    <w:p>
      <w:pPr>
        <w:pStyle w:val="BodyText"/>
        <w:spacing w:line="360" w:lineRule="auto" w:before="4"/>
        <w:ind w:left="102" w:right="119" w:firstLine="767"/>
        <w:jc w:val="both"/>
      </w:pPr>
      <w:r>
        <w:rPr/>
        <w:t>De acuerdo con la postura Keynesiana se esperaría una respuesta fiscal contracíclica para épocas de recesión, cuya orientación de la política fiscal es estimular la demanda</w:t>
      </w:r>
      <w:r>
        <w:rPr>
          <w:spacing w:val="-5"/>
        </w:rPr>
        <w:t> </w:t>
      </w:r>
      <w:r>
        <w:rPr/>
        <w:t>agregada.</w:t>
      </w:r>
    </w:p>
    <w:p>
      <w:pPr>
        <w:pStyle w:val="BodyText"/>
        <w:spacing w:line="360" w:lineRule="auto" w:before="6"/>
        <w:ind w:left="102" w:right="116" w:firstLine="707"/>
        <w:jc w:val="both"/>
      </w:pPr>
      <w:r>
        <w:rPr/>
        <w:t>La postura neoclásica sugiere una orientación neutral de forma general; no obstante, para un alto grado de sustitución entre la inversión pública y la inversión privada, la orientación fiscal debe ser contracíclica (Hathroubi &amp; Rezgui, 2011). De forma global, no  se evidenció ninguna de las posturas mencionadas a pesar de no haberse evaluado el grado de</w:t>
      </w:r>
      <w:r>
        <w:rPr>
          <w:spacing w:val="-3"/>
        </w:rPr>
        <w:t> </w:t>
      </w:r>
      <w:r>
        <w:rPr/>
        <w:t>sustitución.</w:t>
      </w:r>
    </w:p>
    <w:p>
      <w:pPr>
        <w:pStyle w:val="BodyText"/>
        <w:spacing w:line="360" w:lineRule="auto" w:before="4"/>
        <w:ind w:left="102" w:right="117" w:firstLine="707"/>
        <w:jc w:val="right"/>
      </w:pPr>
      <w:r>
        <w:rPr/>
        <w:t>La inexistencia de regulaciones formales sobre la asignación de los ingresos fiscales</w:t>
      </w:r>
      <w:r>
        <w:rPr>
          <w:w w:val="99"/>
        </w:rPr>
        <w:t> </w:t>
      </w:r>
      <w:r>
        <w:rPr/>
        <w:t>con</w:t>
      </w:r>
      <w:r>
        <w:rPr>
          <w:spacing w:val="55"/>
        </w:rPr>
        <w:t> </w:t>
      </w:r>
      <w:r>
        <w:rPr/>
        <w:t>y sin</w:t>
      </w:r>
      <w:r>
        <w:rPr>
          <w:spacing w:val="56"/>
        </w:rPr>
        <w:t> </w:t>
      </w:r>
      <w:r>
        <w:rPr/>
        <w:t>gas</w:t>
      </w:r>
      <w:r>
        <w:rPr>
          <w:spacing w:val="53"/>
        </w:rPr>
        <w:t> </w:t>
      </w:r>
      <w:r>
        <w:rPr/>
        <w:t>natural</w:t>
      </w:r>
      <w:r>
        <w:rPr>
          <w:spacing w:val="54"/>
        </w:rPr>
        <w:t> </w:t>
      </w:r>
      <w:r>
        <w:rPr/>
        <w:t>al</w:t>
      </w:r>
      <w:r>
        <w:rPr>
          <w:spacing w:val="53"/>
        </w:rPr>
        <w:t> </w:t>
      </w:r>
      <w:r>
        <w:rPr/>
        <w:t>gasto</w:t>
      </w:r>
      <w:r>
        <w:rPr>
          <w:spacing w:val="53"/>
        </w:rPr>
        <w:t> </w:t>
      </w:r>
      <w:r>
        <w:rPr/>
        <w:t>público</w:t>
      </w:r>
      <w:r>
        <w:rPr>
          <w:spacing w:val="54"/>
        </w:rPr>
        <w:t> </w:t>
      </w:r>
      <w:r>
        <w:rPr/>
        <w:t>conlleva</w:t>
      </w:r>
      <w:r>
        <w:rPr>
          <w:spacing w:val="54"/>
        </w:rPr>
        <w:t> </w:t>
      </w:r>
      <w:r>
        <w:rPr/>
        <w:t>a</w:t>
      </w:r>
      <w:r>
        <w:rPr>
          <w:spacing w:val="52"/>
        </w:rPr>
        <w:t> </w:t>
      </w:r>
      <w:r>
        <w:rPr/>
        <w:t>un</w:t>
      </w:r>
      <w:r>
        <w:rPr>
          <w:spacing w:val="52"/>
        </w:rPr>
        <w:t> </w:t>
      </w:r>
      <w:r>
        <w:rPr/>
        <w:t>deterioro</w:t>
      </w:r>
      <w:r>
        <w:rPr>
          <w:spacing w:val="52"/>
        </w:rPr>
        <w:t> </w:t>
      </w:r>
      <w:r>
        <w:rPr/>
        <w:t>en</w:t>
      </w:r>
      <w:r>
        <w:rPr>
          <w:spacing w:val="52"/>
        </w:rPr>
        <w:t> </w:t>
      </w:r>
      <w:r>
        <w:rPr/>
        <w:t>el</w:t>
      </w:r>
      <w:r>
        <w:rPr>
          <w:spacing w:val="53"/>
        </w:rPr>
        <w:t> </w:t>
      </w:r>
      <w:r>
        <w:rPr/>
        <w:t>balance</w:t>
      </w:r>
      <w:r>
        <w:rPr>
          <w:spacing w:val="52"/>
        </w:rPr>
        <w:t> </w:t>
      </w:r>
      <w:r>
        <w:rPr/>
        <w:t>primario primario no gasífero. ¿Por qué los gobiernos no implementan restricciones en</w:t>
      </w:r>
      <w:r>
        <w:rPr>
          <w:spacing w:val="53"/>
        </w:rPr>
        <w:t> </w:t>
      </w:r>
      <w:r>
        <w:rPr/>
        <w:t>la dirección fiscal?, ¿por qué no se específica la discrecionalidad sobre la asignación de los ingresos</w:t>
      </w:r>
      <w:r>
        <w:rPr>
          <w:w w:val="99"/>
        </w:rPr>
        <w:t> </w:t>
      </w:r>
      <w:r>
        <w:rPr/>
        <w:t>petroleros y no petroleros al gasto público?. </w:t>
      </w:r>
      <w:r>
        <w:rPr>
          <w:spacing w:val="-3"/>
        </w:rPr>
        <w:t>La </w:t>
      </w:r>
      <w:r>
        <w:rPr/>
        <w:t>respuesta se relaciona con la maximización de intereses propios (Cabrales &amp; Hauk, 2011), lo cual produce instituciones ineficientes. Desde el enfoque de agentes y principales, el gobierno actúa como un agente oportunista a la libre discrecionalidad de la política fiscal. En consecuencia, la sociedad (principales) no  ejerce  ningún  control sobre el  manejo de los ingresos  provenientes     de</w:t>
      </w:r>
    </w:p>
    <w:p>
      <w:pPr>
        <w:pStyle w:val="BodyText"/>
        <w:spacing w:before="4"/>
        <w:ind w:left="102" w:right="127"/>
      </w:pPr>
      <w:r>
        <w:rPr/>
        <w:t>recursos naturales.</w:t>
      </w:r>
    </w:p>
    <w:p>
      <w:pPr>
        <w:spacing w:after="0"/>
        <w:sectPr>
          <w:pgSz w:w="12250" w:h="15850"/>
          <w:pgMar w:header="0" w:footer="1037" w:top="1360" w:bottom="1220" w:left="1600" w:right="1580"/>
        </w:sectPr>
      </w:pPr>
    </w:p>
    <w:p>
      <w:pPr>
        <w:pStyle w:val="BodyText"/>
        <w:spacing w:line="360" w:lineRule="auto" w:before="50"/>
        <w:ind w:left="102" w:right="118" w:firstLine="707"/>
        <w:jc w:val="both"/>
      </w:pPr>
      <w:r>
        <w:rPr/>
        <w:t>El análisis de la posición fiscal sostenible (PFS) mediante la propuesta de Croce &amp; Hugo (2003) no permitió captar la reacción fiscal frente a los choques de precios de un recurso natural y la forma en que son asignados los ingresos fiscales al gasto público. Por lo tanto, se hace necesario una especificación metodológica que posibilite medir las respuestas de la posición fiscal, así como sus diversos grados de sostenibilidad: a) fuerte, b) débil (inconcluyente) e c) insostenible.</w:t>
      </w:r>
    </w:p>
    <w:p>
      <w:pPr>
        <w:pStyle w:val="BodyText"/>
        <w:spacing w:line="360" w:lineRule="auto" w:before="6"/>
        <w:ind w:left="102" w:right="117" w:firstLine="707"/>
        <w:jc w:val="both"/>
      </w:pPr>
      <w:r>
        <w:rPr/>
        <w:t>Finalmente, la orientación de la política fiscal y sus factores asociados pueden reaccionar de una forma no lineal  (Égert, 2010), lo cual no fue abordado en este capítulo.</w:t>
      </w:r>
    </w:p>
    <w:p>
      <w:pPr>
        <w:pStyle w:val="BodyText"/>
        <w:spacing w:before="7"/>
        <w:rPr>
          <w:sz w:val="21"/>
        </w:rPr>
      </w:pPr>
    </w:p>
    <w:p>
      <w:pPr>
        <w:pStyle w:val="Heading5"/>
        <w:ind w:left="678"/>
        <w:rPr>
          <w:i/>
        </w:rPr>
      </w:pPr>
      <w:bookmarkStart w:name="_bookmark108" w:id="149"/>
      <w:bookmarkEnd w:id="149"/>
      <w:r>
        <w:rPr>
          <w:b w:val="0"/>
          <w:i w:val="0"/>
        </w:rPr>
      </w:r>
      <w:r>
        <w:rPr>
          <w:i/>
        </w:rPr>
        <w:t>Síntesis</w:t>
      </w:r>
    </w:p>
    <w:p>
      <w:pPr>
        <w:pStyle w:val="BodyText"/>
        <w:rPr>
          <w:b/>
          <w:i/>
          <w:sz w:val="29"/>
        </w:rPr>
      </w:pPr>
    </w:p>
    <w:p>
      <w:pPr>
        <w:pStyle w:val="BodyText"/>
        <w:spacing w:line="360" w:lineRule="auto"/>
        <w:ind w:left="102" w:right="114" w:firstLine="707"/>
        <w:jc w:val="both"/>
      </w:pPr>
      <w:r>
        <w:rPr/>
        <w:t>El propósito de este capítulo fue evaluar el rol fiscal a partir de la nacionalización de los hidrocarburos en Bolivia (cambio institucional formal) y la asignación de los ingresos fiscales con y sin gas natural al gasto público (cambios institucionales informales) como factores asociados a la posición fiscal. Para evaluar esta eficiencia se consideró la perspectiva del nuevo institucionalismo económico, considerándose el costo de la organización económica, es decir, el mecanismo de asignar los ingresos fiscales gasíferos y no gasíferos en relación con el gasto de capital y el gasto corriente; y el producto final que fue la posición fiscal   [balance primario (con y sin gas natural) y la deuda pública].</w:t>
      </w:r>
    </w:p>
    <w:p>
      <w:pPr>
        <w:pStyle w:val="BodyText"/>
        <w:spacing w:line="360" w:lineRule="auto" w:before="6"/>
        <w:ind w:left="102" w:right="118" w:firstLine="707"/>
        <w:jc w:val="both"/>
      </w:pPr>
      <w:r>
        <w:rPr/>
        <w:t>El resultado fue un rol fiscal deficiente dado que la asignación de los ingresos fiscales con y sin gas natural (gasífero y no gasífero) se asoció de forma negativa sobre el balance primario no gasífero, aunque la deuda pública fue direccionada de manera contracíclica.  Ésta deficiencia fiscal se fundamentó en cuatro puntos centrales.</w:t>
      </w:r>
    </w:p>
    <w:p>
      <w:pPr>
        <w:pStyle w:val="BodyText"/>
        <w:spacing w:line="360" w:lineRule="auto" w:before="6"/>
        <w:ind w:left="102" w:right="114" w:firstLine="707"/>
        <w:jc w:val="both"/>
      </w:pPr>
      <w:r>
        <w:rPr/>
        <w:t>El primero, existió un deterioro del balance primario no gasífero explicado por una relación positiva entre la asignación de los ingresos fiscales gasíferos y no gasíferos: mayor gasto de capital y mayor gasto corriente, la sugerencia es que la relación entre las fluctuaciones de precios y el balance primario no gasífero no es de forma directa sino por la asignación de los ingresos fiscales al gasto público posibles canales de transmisión . Una asignación ideal de ingresos fiscales al gasto público no hubiera deteriorado el balance primario no gasífero. A pesar de ello, se destaca el manejo contracíclico de la deuda pública al comportamiento de los precios del gas natural y el ciclo económico (aspecto positivo).</w:t>
      </w:r>
    </w:p>
    <w:p>
      <w:pPr>
        <w:spacing w:after="0" w:line="360" w:lineRule="auto"/>
        <w:jc w:val="both"/>
        <w:sectPr>
          <w:pgSz w:w="12250" w:h="15850"/>
          <w:pgMar w:header="0" w:footer="1037" w:top="1360" w:bottom="1220" w:left="1600" w:right="1580"/>
        </w:sectPr>
      </w:pPr>
    </w:p>
    <w:p>
      <w:pPr>
        <w:pStyle w:val="BodyText"/>
        <w:spacing w:line="360" w:lineRule="auto" w:before="50"/>
        <w:ind w:left="102" w:right="118" w:firstLine="707"/>
        <w:jc w:val="both"/>
      </w:pPr>
      <w:r>
        <w:rPr/>
        <w:t>Un segundo factor de deficiencia fue la orientación procíclica de la política fiscal a la actividad económica, mediante la metodología de balance cíclicamente ajustado. La explicación se basó en su orientación expansiva al presentar un balance primario no  gasífero con deterioro. Dos perspectivas teóricas sugerirían orientaciones distintas: contracíclica en períodos recesivos (postura Keynesiana) y neutral en cada período de análisis (postura</w:t>
      </w:r>
      <w:r>
        <w:rPr>
          <w:spacing w:val="-9"/>
        </w:rPr>
        <w:t> </w:t>
      </w:r>
      <w:r>
        <w:rPr/>
        <w:t>neoclásica).</w:t>
      </w:r>
    </w:p>
    <w:p>
      <w:pPr>
        <w:pStyle w:val="BodyText"/>
        <w:spacing w:line="360" w:lineRule="auto" w:before="6"/>
        <w:ind w:left="102" w:right="115" w:firstLine="707"/>
        <w:jc w:val="both"/>
      </w:pPr>
      <w:r>
        <w:rPr/>
        <w:t>El tercer elemento de deficiencia fiscal se vinculó con un incremento progresivo en la participación cíclica de las fluctuaciones de precios del gas natural sobre el balance global cíclicamente ajustado. El eje central nuevamente se puede explicar por la asignación de los ingresos fiscales derivados del recurso natural: menor ahorro y mayor uso  de recursos monetarios del gas natural, lo cual implicó que el balance global fue más vulnerable a las fluctuaciones de precios del gas natural. La transición de los movimientos cíclicos implicó una menor dependencia porcentual de la renta interna (ingresos tributarios) hacia una mayor participación de los ingresos fiscales proveniente de los mercados externos del gas: una explicación alternativa pudo basarse en menor eficiencia tributaria con disminución en la participación de los ingresos tributarios</w:t>
      </w:r>
      <w:r>
        <w:rPr>
          <w:spacing w:val="-11"/>
        </w:rPr>
        <w:t> </w:t>
      </w:r>
      <w:r>
        <w:rPr/>
        <w:t>domésticos.</w:t>
      </w:r>
    </w:p>
    <w:p>
      <w:pPr>
        <w:pStyle w:val="BodyText"/>
        <w:spacing w:line="360" w:lineRule="auto" w:before="6"/>
        <w:ind w:left="102" w:right="118" w:firstLine="707"/>
        <w:jc w:val="both"/>
      </w:pPr>
      <w:r>
        <w:rPr/>
        <w:t>El cuarto factor se basó en la insostenibilidad el balance primario no gasífero, en espacial después de la nacionalización de los hidrocarburos. Un criterio argumentativo sobre una posición fiscal sostenible se haya presentado ante un balance primario no  gasífero constante (sin deterioro), y por tanto, la sostenibilidad se presentaría con y sin ingresos del recurso</w:t>
      </w:r>
      <w:r>
        <w:rPr>
          <w:spacing w:val="-6"/>
        </w:rPr>
        <w:t> </w:t>
      </w:r>
      <w:r>
        <w:rPr/>
        <w:t>natural.</w:t>
      </w:r>
    </w:p>
    <w:p>
      <w:pPr>
        <w:spacing w:after="0" w:line="360" w:lineRule="auto"/>
        <w:jc w:val="both"/>
        <w:sectPr>
          <w:pgSz w:w="12250" w:h="15850"/>
          <w:pgMar w:header="0" w:footer="1037" w:top="1360" w:bottom="1220" w:left="1600" w:right="1580"/>
        </w:sectPr>
      </w:pPr>
    </w:p>
    <w:p>
      <w:pPr>
        <w:spacing w:before="54"/>
        <w:ind w:left="102" w:right="0" w:firstLine="0"/>
        <w:jc w:val="left"/>
        <w:rPr>
          <w:b/>
          <w:sz w:val="22"/>
        </w:rPr>
      </w:pPr>
      <w:bookmarkStart w:name="_bookmark109" w:id="150"/>
      <w:bookmarkEnd w:id="150"/>
      <w:r>
        <w:rPr/>
      </w:r>
      <w:r>
        <w:rPr>
          <w:b/>
          <w:sz w:val="28"/>
        </w:rPr>
        <w:t>C</w:t>
      </w:r>
      <w:r>
        <w:rPr>
          <w:b/>
          <w:sz w:val="22"/>
        </w:rPr>
        <w:t>APÍTULO   </w:t>
      </w:r>
      <w:r>
        <w:rPr>
          <w:b/>
          <w:sz w:val="28"/>
        </w:rPr>
        <w:t>IV:  C</w:t>
      </w:r>
      <w:r>
        <w:rPr>
          <w:b/>
          <w:sz w:val="22"/>
        </w:rPr>
        <w:t>HOQUES   QUE   INFLUYEN   SOBRE   LA  POSICIÓN  FISCAL DE</w:t>
      </w:r>
    </w:p>
    <w:p>
      <w:pPr>
        <w:spacing w:before="160"/>
        <w:ind w:left="102" w:right="127" w:firstLine="0"/>
        <w:jc w:val="left"/>
        <w:rPr>
          <w:b/>
          <w:sz w:val="22"/>
        </w:rPr>
      </w:pPr>
      <w:r>
        <w:rPr>
          <w:b/>
          <w:sz w:val="28"/>
        </w:rPr>
        <w:t>B</w:t>
      </w:r>
      <w:r>
        <w:rPr>
          <w:b/>
          <w:sz w:val="22"/>
        </w:rPr>
        <w:t>OLIVIA Y ESCENARIOS DE REGLAS FISCALES</w:t>
      </w:r>
    </w:p>
    <w:p>
      <w:pPr>
        <w:pStyle w:val="BodyText"/>
        <w:rPr>
          <w:b/>
          <w:sz w:val="28"/>
        </w:rPr>
      </w:pPr>
    </w:p>
    <w:p>
      <w:pPr>
        <w:pStyle w:val="BodyText"/>
        <w:spacing w:before="3"/>
        <w:rPr>
          <w:b/>
          <w:sz w:val="25"/>
        </w:rPr>
      </w:pPr>
    </w:p>
    <w:p>
      <w:pPr>
        <w:pStyle w:val="BodyText"/>
        <w:spacing w:line="360" w:lineRule="auto"/>
        <w:ind w:left="102" w:right="116" w:firstLine="707"/>
        <w:jc w:val="both"/>
      </w:pPr>
      <w:r>
        <w:rPr/>
        <w:t>En la sección anterior, mediante la evaluación de la posición fiscal sostenible (PFS de Croce &amp; Hugo, 2003), se pudo revelar el grado de sostenibilidad de la posición fiscal de Bolivia en tres tipos: sostenible e inconcluyente (con ingresos del gas natural), y finalmente de grado insostenible (sin el gas natural). Sin embargo, no se captó la reacción del balance primario no gasífero y la deuda pública frente a los choques de precios del gas natural y la asignación de los ingresos f                                                                          .   En tal    sentido, este capítulo contribuye a los dos últimos objetivos particulares de la</w:t>
      </w:r>
      <w:r>
        <w:rPr>
          <w:spacing w:val="-13"/>
        </w:rPr>
        <w:t> </w:t>
      </w:r>
      <w:r>
        <w:rPr/>
        <w:t>tesis:</w:t>
      </w:r>
    </w:p>
    <w:p>
      <w:pPr>
        <w:pStyle w:val="ListParagraph"/>
        <w:numPr>
          <w:ilvl w:val="0"/>
          <w:numId w:val="14"/>
        </w:numPr>
        <w:tabs>
          <w:tab w:pos="1542" w:val="left" w:leader="none"/>
        </w:tabs>
        <w:spacing w:line="360" w:lineRule="auto" w:before="6" w:after="0"/>
        <w:ind w:left="1542" w:right="119" w:hanging="360"/>
        <w:jc w:val="both"/>
        <w:rPr>
          <w:sz w:val="24"/>
        </w:rPr>
      </w:pPr>
      <w:r>
        <w:rPr>
          <w:sz w:val="24"/>
        </w:rPr>
        <w:t>Analizar el efecto contemporáneo y dinámico que ejercen los choques de precios del gas natural y la asignación de</w:t>
      </w:r>
      <w:r>
        <w:rPr>
          <w:spacing w:val="56"/>
          <w:sz w:val="24"/>
        </w:rPr>
        <w:t> </w:t>
      </w:r>
      <w:r>
        <w:rPr>
          <w:sz w:val="24"/>
        </w:rPr>
        <w:t>los</w:t>
      </w:r>
      <w:r>
        <w:rPr>
          <w:spacing w:val="7"/>
          <w:sz w:val="24"/>
        </w:rPr>
        <w:t> </w:t>
      </w:r>
      <w:r>
        <w:rPr>
          <w:w w:val="161"/>
          <w:sz w:val="24"/>
        </w:rPr>
        <w:t>   </w:t>
      </w:r>
      <w:r>
        <w:rPr>
          <w:spacing w:val="1"/>
          <w:w w:val="161"/>
          <w:sz w:val="24"/>
        </w:rPr>
        <w:t> </w:t>
      </w:r>
      <w:r>
        <w:rPr>
          <w:spacing w:val="-1"/>
          <w:w w:val="177"/>
          <w:sz w:val="24"/>
        </w:rPr>
        <w:t> </w:t>
      </w:r>
      <w:r>
        <w:rPr>
          <w:w w:val="170"/>
          <w:sz w:val="24"/>
        </w:rPr>
        <w:t>   </w:t>
      </w:r>
      <w:r>
        <w:rPr>
          <w:spacing w:val="7"/>
          <w:sz w:val="24"/>
        </w:rPr>
        <w:t> </w:t>
      </w:r>
      <w:r>
        <w:rPr>
          <w:w w:val="144"/>
          <w:sz w:val="24"/>
        </w:rPr>
        <w:t>   </w:t>
      </w:r>
      <w:r>
        <w:rPr>
          <w:spacing w:val="-1"/>
          <w:w w:val="144"/>
          <w:sz w:val="24"/>
        </w:rPr>
        <w:t> </w:t>
      </w:r>
      <w:r>
        <w:rPr>
          <w:spacing w:val="-1"/>
          <w:w w:val="177"/>
          <w:sz w:val="24"/>
        </w:rPr>
        <w:t> </w:t>
      </w:r>
      <w:r>
        <w:rPr>
          <w:spacing w:val="2"/>
          <w:w w:val="111"/>
          <w:sz w:val="24"/>
        </w:rPr>
        <w:t> </w:t>
      </w:r>
      <w:r>
        <w:rPr>
          <w:spacing w:val="-1"/>
          <w:w w:val="177"/>
          <w:sz w:val="24"/>
        </w:rPr>
        <w:t> </w:t>
      </w:r>
      <w:r>
        <w:rPr>
          <w:w w:val="155"/>
          <w:sz w:val="24"/>
        </w:rPr>
        <w:t> </w:t>
      </w:r>
      <w:r>
        <w:rPr>
          <w:sz w:val="24"/>
        </w:rPr>
        <w:t> </w:t>
      </w:r>
      <w:r>
        <w:rPr>
          <w:w w:val="1"/>
          <w:sz w:val="24"/>
        </w:rPr>
        <w:t> </w:t>
      </w:r>
      <w:r>
        <w:rPr>
          <w:spacing w:val="8"/>
          <w:sz w:val="24"/>
        </w:rPr>
        <w:t> </w:t>
      </w:r>
      <w:r>
        <w:rPr>
          <w:spacing w:val="-1"/>
          <w:w w:val="177"/>
          <w:sz w:val="24"/>
        </w:rPr>
        <w:t> </w:t>
      </w:r>
      <w:r>
        <w:rPr>
          <w:w w:val="200"/>
          <w:sz w:val="24"/>
        </w:rPr>
        <w:t>  </w:t>
      </w:r>
      <w:r>
        <w:rPr>
          <w:spacing w:val="13"/>
          <w:sz w:val="24"/>
        </w:rPr>
        <w:t> </w:t>
      </w:r>
      <w:r>
        <w:rPr>
          <w:w w:val="200"/>
          <w:sz w:val="24"/>
        </w:rPr>
        <w:t> </w:t>
      </w:r>
      <w:r>
        <w:rPr>
          <w:spacing w:val="2"/>
          <w:sz w:val="24"/>
        </w:rPr>
        <w:t> </w:t>
      </w:r>
      <w:r>
        <w:rPr>
          <w:w w:val="155"/>
          <w:sz w:val="24"/>
        </w:rPr>
        <w:t>   </w:t>
      </w:r>
      <w:r>
        <w:rPr>
          <w:spacing w:val="10"/>
          <w:sz w:val="24"/>
        </w:rPr>
        <w:t> </w:t>
      </w:r>
      <w:r>
        <w:rPr>
          <w:w w:val="188"/>
          <w:sz w:val="24"/>
        </w:rPr>
        <w:t> </w:t>
      </w:r>
      <w:r>
        <w:rPr>
          <w:spacing w:val="-1"/>
          <w:w w:val="188"/>
          <w:sz w:val="24"/>
        </w:rPr>
        <w:t> </w:t>
      </w:r>
      <w:r>
        <w:rPr>
          <w:w w:val="155"/>
          <w:sz w:val="24"/>
        </w:rPr>
        <w:t> </w:t>
      </w:r>
    </w:p>
    <w:p>
      <w:pPr>
        <w:pStyle w:val="BodyText"/>
        <w:spacing w:before="6"/>
        <w:ind w:left="1542" w:right="127"/>
      </w:pPr>
      <w:r>
        <w:rPr>
          <w:w w:val="188"/>
        </w:rPr>
        <w:t>  </w:t>
      </w:r>
      <w:r>
        <w:rPr>
          <w:w w:val="155"/>
        </w:rPr>
        <w:t>    </w:t>
      </w:r>
      <w:r>
        <w:rPr>
          <w:w w:val="111"/>
        </w:rPr>
        <w:t> </w:t>
      </w:r>
      <w:r>
        <w:rPr/>
        <w:t> </w:t>
      </w:r>
      <w:r>
        <w:rPr>
          <w:w w:val="1"/>
        </w:rPr>
        <w:t> </w:t>
      </w:r>
      <w:r>
        <w:rPr/>
        <w:t>  en  la posición fiscal de Bolivia (2003 -2011).</w:t>
      </w:r>
    </w:p>
    <w:p>
      <w:pPr>
        <w:pStyle w:val="BodyText"/>
        <w:spacing w:before="2"/>
        <w:rPr>
          <w:sz w:val="29"/>
        </w:rPr>
      </w:pPr>
    </w:p>
    <w:p>
      <w:pPr>
        <w:pStyle w:val="ListParagraph"/>
        <w:numPr>
          <w:ilvl w:val="0"/>
          <w:numId w:val="14"/>
        </w:numPr>
        <w:tabs>
          <w:tab w:pos="1542" w:val="left" w:leader="none"/>
        </w:tabs>
        <w:spacing w:line="360" w:lineRule="auto" w:before="0" w:after="0"/>
        <w:ind w:left="1542" w:right="118" w:hanging="360"/>
        <w:jc w:val="both"/>
        <w:rPr>
          <w:sz w:val="24"/>
        </w:rPr>
      </w:pPr>
      <w:r>
        <w:rPr>
          <w:sz w:val="24"/>
        </w:rPr>
        <w:t>Evaluar escenarios de reglas fiscales que mejoren el prospecto de la deuda pública probabilística en el corto y mediano plazo (2012 – 2016) en comparación con un escenario base (sin regla</w:t>
      </w:r>
      <w:r>
        <w:rPr>
          <w:spacing w:val="-12"/>
          <w:sz w:val="24"/>
        </w:rPr>
        <w:t> </w:t>
      </w:r>
      <w:r>
        <w:rPr>
          <w:sz w:val="24"/>
        </w:rPr>
        <w:t>fiscal).</w:t>
      </w:r>
    </w:p>
    <w:p>
      <w:pPr>
        <w:pStyle w:val="BodyText"/>
        <w:spacing w:line="360" w:lineRule="auto" w:before="205"/>
        <w:ind w:left="102" w:right="116" w:firstLine="707"/>
        <w:jc w:val="both"/>
      </w:pPr>
      <w:r>
        <w:rPr/>
        <w:t>Para el primer objetivo del capítulo, se evalúa el rol y el grado de significancia que los choques estructurales influyen sobre cada elemento de la posición fiscal (balance fiscal  y deuda pública) de forma contemporánea y</w:t>
      </w:r>
      <w:r>
        <w:rPr>
          <w:spacing w:val="-11"/>
        </w:rPr>
        <w:t> </w:t>
      </w:r>
      <w:r>
        <w:rPr/>
        <w:t>dinámica.</w:t>
      </w:r>
    </w:p>
    <w:p>
      <w:pPr>
        <w:pStyle w:val="BodyText"/>
        <w:spacing w:line="360" w:lineRule="auto" w:before="6"/>
        <w:ind w:left="102" w:right="120" w:firstLine="707"/>
        <w:jc w:val="both"/>
      </w:pPr>
      <w:r>
        <w:rPr/>
        <w:t>Para el segundo objetivo, se establecen escenarios en la asignación de ingresos fiscales al gasto público (de capital y gasto corriente) que permitan el mejor prospecto de la deuda pública en el corto y mediano plazo (relacionado con la  hipótesis 2).</w:t>
      </w:r>
    </w:p>
    <w:p>
      <w:pPr>
        <w:pStyle w:val="BodyText"/>
        <w:spacing w:line="360" w:lineRule="auto" w:before="4"/>
        <w:ind w:left="102" w:right="119" w:firstLine="767"/>
        <w:jc w:val="both"/>
      </w:pPr>
      <w:r>
        <w:rPr/>
        <w:t>Por ello, el capítulo está estructurado en tres secciones: i) la revisión de la literatura metodológica, ii) los datos y la metodología;  iii) los resultados y hallazgos.</w:t>
      </w:r>
    </w:p>
    <w:p>
      <w:pPr>
        <w:pStyle w:val="BodyText"/>
        <w:spacing w:line="360" w:lineRule="auto" w:before="4"/>
        <w:ind w:left="102" w:right="125" w:firstLine="707"/>
        <w:jc w:val="both"/>
      </w:pPr>
      <w:r>
        <w:rPr/>
        <w:t>En la primera sección, el propósito es fundamentar el por qué la modelación abordada se considera adecuada, se mencionan las fortalezas y debilidades metodológicas.</w:t>
      </w:r>
    </w:p>
    <w:p>
      <w:pPr>
        <w:pStyle w:val="BodyText"/>
        <w:spacing w:line="360" w:lineRule="auto" w:before="4"/>
        <w:ind w:left="102" w:right="118" w:firstLine="707"/>
        <w:jc w:val="both"/>
      </w:pPr>
      <w:r>
        <w:rPr/>
        <w:t>En la segunda parte se describen las variables incluidas, las restricciones  económicas y los supuestos de simulación para las reglas</w:t>
      </w:r>
      <w:r>
        <w:rPr>
          <w:spacing w:val="-15"/>
        </w:rPr>
        <w:t> </w:t>
      </w:r>
      <w:r>
        <w:rPr/>
        <w:t>fiscales.</w:t>
      </w:r>
    </w:p>
    <w:p>
      <w:pPr>
        <w:spacing w:after="0" w:line="360" w:lineRule="auto"/>
        <w:jc w:val="both"/>
        <w:sectPr>
          <w:pgSz w:w="12250" w:h="15850"/>
          <w:pgMar w:header="0" w:footer="1037" w:top="1360" w:bottom="1220" w:left="1600" w:right="1580"/>
        </w:sectPr>
      </w:pPr>
    </w:p>
    <w:p>
      <w:pPr>
        <w:pStyle w:val="BodyText"/>
        <w:spacing w:line="360" w:lineRule="auto" w:before="50"/>
        <w:ind w:left="102" w:right="115" w:firstLine="707"/>
        <w:jc w:val="both"/>
      </w:pPr>
      <w:r>
        <w:rPr/>
        <w:t>Finalmente, en la tercera sección se ofrecen los resultados de la investigación, respondiéndose, de forma principal, a las dos hipótesis planteadas y a los dos últimos objetivos particulares de la tesis.</w:t>
      </w:r>
    </w:p>
    <w:p>
      <w:pPr>
        <w:pStyle w:val="BodyText"/>
        <w:spacing w:before="4"/>
        <w:rPr>
          <w:sz w:val="21"/>
        </w:rPr>
      </w:pPr>
    </w:p>
    <w:p>
      <w:pPr>
        <w:pStyle w:val="Heading4"/>
        <w:numPr>
          <w:ilvl w:val="1"/>
          <w:numId w:val="15"/>
        </w:numPr>
        <w:tabs>
          <w:tab w:pos="737" w:val="left" w:leader="none"/>
          <w:tab w:pos="738" w:val="left" w:leader="none"/>
        </w:tabs>
        <w:spacing w:line="240" w:lineRule="auto" w:before="1" w:after="0"/>
        <w:ind w:left="738" w:right="0" w:hanging="636"/>
        <w:jc w:val="left"/>
      </w:pPr>
      <w:bookmarkStart w:name="_bookmark110" w:id="151"/>
      <w:bookmarkEnd w:id="151"/>
      <w:r>
        <w:rPr/>
        <w:t>R</w:t>
      </w:r>
      <w:r>
        <w:rPr/>
        <w:t>evisión de la literatura</w:t>
      </w:r>
      <w:r>
        <w:rPr>
          <w:spacing w:val="-10"/>
        </w:rPr>
        <w:t> </w:t>
      </w:r>
      <w:r>
        <w:rPr/>
        <w:t>metodológica</w:t>
      </w:r>
    </w:p>
    <w:p>
      <w:pPr>
        <w:pStyle w:val="BodyText"/>
        <w:rPr>
          <w:b/>
          <w:sz w:val="29"/>
        </w:rPr>
      </w:pPr>
    </w:p>
    <w:p>
      <w:pPr>
        <w:pStyle w:val="BodyText"/>
        <w:spacing w:line="360" w:lineRule="auto"/>
        <w:ind w:left="102" w:right="117" w:firstLine="707"/>
        <w:jc w:val="both"/>
      </w:pPr>
      <w:r>
        <w:rPr/>
        <w:t>La modelación mediante vectores autoregresivos (VAR) consiste en la inclusión de un determinado número de variables que expliquen la interdependencia multivariada en función de sus valores pasados. Desde el documento seminal propuesto por Sims (1980), esta metodología ha sido muy empleada; sin embargo, la crítica principal sobre esta metodología se ha centrado en constituirse en un modelo ateórico.</w:t>
      </w:r>
    </w:p>
    <w:p>
      <w:pPr>
        <w:pStyle w:val="BodyText"/>
        <w:spacing w:line="360" w:lineRule="auto" w:before="6"/>
        <w:ind w:left="102" w:right="118" w:firstLine="707"/>
        <w:jc w:val="both"/>
      </w:pPr>
      <w:r>
        <w:rPr/>
        <w:t>Tres elementos surgen a partir de la crítica de los modelos VAR: 1) inclusión de teórica económica en un modelo ateórico; 2) analizar las respuestas de las variables económicas frente a choques de interés; 3) realizar proyecciones </w:t>
      </w:r>
      <w:r>
        <w:rPr>
          <w:spacing w:val="4"/>
        </w:rPr>
        <w:t>de </w:t>
      </w:r>
      <w:r>
        <w:rPr/>
        <w:t>corto plazo. Para 1) y 2), la imposición de restricciones económicas permite obtener funciones de impulso- respuesta empleándose choques estructurales que posibiliten modelar las innovaciones con base en el análisis económico. En el caso de 3) los componentes de error no son  importantes (Enders, 2003, pp.</w:t>
      </w:r>
      <w:r>
        <w:rPr>
          <w:spacing w:val="-6"/>
        </w:rPr>
        <w:t> </w:t>
      </w:r>
      <w:r>
        <w:rPr/>
        <w:t>291-292).</w:t>
      </w:r>
    </w:p>
    <w:p>
      <w:pPr>
        <w:pStyle w:val="BodyText"/>
        <w:spacing w:line="360" w:lineRule="auto" w:before="4"/>
        <w:ind w:left="102" w:right="117" w:firstLine="707"/>
        <w:jc w:val="both"/>
      </w:pPr>
      <w:r>
        <w:rPr/>
        <w:t>La versión de vectores autoregresivos estructurales (SVAR) corresponde a la inclusión de restricciones económicas en la influencia de los choques económicos y, por tanto, sobre la ordenación de las variables en modelos VAR. En consecuencia, la teoría económica sugiere los tipos de restricciones más convenientes (corto o largo plazo).</w:t>
      </w:r>
    </w:p>
    <w:p>
      <w:pPr>
        <w:pStyle w:val="BodyText"/>
        <w:spacing w:line="360" w:lineRule="auto" w:before="4"/>
        <w:ind w:left="102" w:right="118" w:firstLine="707"/>
        <w:jc w:val="both"/>
      </w:pPr>
      <w:r>
        <w:rPr/>
        <w:t>De forma alternativa, Blanchard &amp; Quah (1989) ofrecieron una especificación alternativa para modelos SVAR, al considerar un diseño de largo plazo. Para ello, se desglosan los componentes estacionarios y permanentes de una serie {</w:t>
      </w:r>
      <w:r>
        <w:rPr>
          <w:i/>
        </w:rPr>
        <w:t>y</w:t>
      </w:r>
      <w:r>
        <w:rPr>
          <w:i/>
          <w:sz w:val="16"/>
        </w:rPr>
        <w:t>t</w:t>
      </w:r>
      <w:r>
        <w:rPr/>
        <w:t>}. La inclusión de restricciones de largo plazo asume el ordenamiento de las variables, así como su respuesta.</w:t>
      </w:r>
    </w:p>
    <w:p>
      <w:pPr>
        <w:pStyle w:val="BodyText"/>
        <w:spacing w:line="360" w:lineRule="auto" w:before="6"/>
        <w:ind w:left="102" w:right="118" w:firstLine="707"/>
        <w:jc w:val="both"/>
      </w:pPr>
      <w:r>
        <w:rPr/>
        <w:t>Para la perspectiva fiscal, Kumah &amp; Matovu (2005) asumieron restricciones instantáneas y otras decisiones que no responden de forma contemporánea ante los choques incorporados. En consecuencia, los precios del petróleo fueron tratados como exógenos y el diseño de la política fiscal como un canal de transición entre los precios externos y el crecimiento del producto.</w:t>
      </w:r>
    </w:p>
    <w:p>
      <w:pPr>
        <w:spacing w:after="0" w:line="360" w:lineRule="auto"/>
        <w:jc w:val="both"/>
        <w:sectPr>
          <w:pgSz w:w="12250" w:h="15850"/>
          <w:pgMar w:header="0" w:footer="1037" w:top="1360" w:bottom="1220" w:left="1600" w:right="1580"/>
        </w:sectPr>
      </w:pPr>
    </w:p>
    <w:p>
      <w:pPr>
        <w:pStyle w:val="BodyText"/>
        <w:spacing w:line="360" w:lineRule="auto" w:before="50"/>
        <w:ind w:left="122" w:right="116" w:firstLine="707"/>
        <w:jc w:val="both"/>
      </w:pPr>
      <w:r>
        <w:rPr/>
        <w:t>Existen diversas pruebas econométricas diseñadas para la medición y la evaluación de relaciones de largo plazo entre las finanzas públicas (cointegración), en lo cual se ha centrado el análisis tradicional de la sostenibilidad fiscal. Sin embargo, se ha elogiado el poder predictivo de modelos de vectores autoregresivos (VAR/SVAR) para la medición de la posición fiscal (Polito &amp; Wickens, 2012; Clements &amp; Hendry, 2006; Hendry, 2006) dada la capacidad para el pronóstico de corto plazo.</w:t>
      </w:r>
    </w:p>
    <w:p>
      <w:pPr>
        <w:pStyle w:val="BodyText"/>
        <w:spacing w:line="360" w:lineRule="auto" w:before="6"/>
        <w:ind w:left="122" w:right="118" w:firstLine="707"/>
        <w:jc w:val="both"/>
      </w:pPr>
      <w:r>
        <w:rPr/>
        <w:t>Asimismo, la utilización de pronósticos basados en modelos VAR/SVAR ha permitido la estimación de un escenario base para evaluar la trayectoria de la deuda pública en el corto y mediano plazo (Hostland &amp; Karam, 2006; Wijnbergen &amp; Budina, 2011; Wyplosz, 2011).</w:t>
      </w:r>
    </w:p>
    <w:p>
      <w:pPr>
        <w:pStyle w:val="BodyText"/>
        <w:spacing w:line="360" w:lineRule="auto" w:before="6"/>
        <w:ind w:left="122" w:right="117" w:firstLine="707"/>
        <w:jc w:val="both"/>
      </w:pPr>
      <w:r>
        <w:rPr/>
        <w:t>En consecuencia, el escenario base de la deuda pública probabílistica se compara con el diseño de reglas fiscales; así por ejemplo, se mencionan algunos ejemplos de reglas fiscales con relación a la canalización de los ingresos petroleros en inversión pública (Collier, et al., 2009; Cherif &amp; Hasanov, 2011; Venables, 2010) e imposición de límites definidos sobre el balance fiscal cíclicamente ajustado (Zambrano &amp; Aguilera, 2010; Marcel,</w:t>
      </w:r>
      <w:r>
        <w:rPr>
          <w:spacing w:val="-3"/>
        </w:rPr>
        <w:t> </w:t>
      </w:r>
      <w:r>
        <w:rPr/>
        <w:t>2003).</w:t>
      </w:r>
    </w:p>
    <w:p>
      <w:pPr>
        <w:pStyle w:val="BodyText"/>
        <w:spacing w:before="9"/>
        <w:rPr>
          <w:sz w:val="21"/>
        </w:rPr>
      </w:pPr>
    </w:p>
    <w:p>
      <w:pPr>
        <w:pStyle w:val="Heading4"/>
        <w:numPr>
          <w:ilvl w:val="1"/>
          <w:numId w:val="15"/>
        </w:numPr>
        <w:tabs>
          <w:tab w:pos="697" w:val="left" w:leader="none"/>
          <w:tab w:pos="698" w:val="left" w:leader="none"/>
        </w:tabs>
        <w:spacing w:line="240" w:lineRule="auto" w:before="0" w:after="0"/>
        <w:ind w:left="698" w:right="0" w:hanging="576"/>
        <w:jc w:val="left"/>
      </w:pPr>
      <w:bookmarkStart w:name="_bookmark111" w:id="152"/>
      <w:bookmarkEnd w:id="152"/>
      <w:r>
        <w:rPr>
          <w:b w:val="0"/>
        </w:rPr>
      </w:r>
      <w:bookmarkStart w:name="_bookmark111" w:id="153"/>
      <w:bookmarkEnd w:id="153"/>
      <w:r>
        <w:rPr/>
        <w:t>Da</w:t>
      </w:r>
      <w:r>
        <w:rPr/>
        <w:t>tos y</w:t>
      </w:r>
      <w:r>
        <w:rPr>
          <w:spacing w:val="-6"/>
        </w:rPr>
        <w:t> </w:t>
      </w:r>
      <w:r>
        <w:rPr/>
        <w:t>metodología</w:t>
      </w:r>
    </w:p>
    <w:p>
      <w:pPr>
        <w:pStyle w:val="BodyText"/>
        <w:spacing w:before="4"/>
        <w:rPr>
          <w:b/>
          <w:sz w:val="32"/>
        </w:rPr>
      </w:pPr>
    </w:p>
    <w:p>
      <w:pPr>
        <w:pStyle w:val="BodyText"/>
        <w:spacing w:line="360" w:lineRule="auto"/>
        <w:ind w:left="122" w:right="121" w:firstLine="707"/>
        <w:jc w:val="both"/>
      </w:pPr>
      <w:r>
        <w:rPr/>
        <w:t>Esta sección está conformada por cuatro partes: i) los datos empleados; ii) la especificación metodológica y las restricciones económicas incorporadas; iii) el análisis probabilístico de la deuda pública; iv) los supuestos exógenos para la proyección de la deuda pública.</w:t>
      </w:r>
    </w:p>
    <w:p>
      <w:pPr>
        <w:pStyle w:val="BodyText"/>
        <w:spacing w:before="10"/>
        <w:rPr>
          <w:sz w:val="21"/>
        </w:rPr>
      </w:pPr>
    </w:p>
    <w:p>
      <w:pPr>
        <w:pStyle w:val="Heading4"/>
        <w:numPr>
          <w:ilvl w:val="2"/>
          <w:numId w:val="15"/>
        </w:numPr>
        <w:tabs>
          <w:tab w:pos="983" w:val="left" w:leader="none"/>
          <w:tab w:pos="984" w:val="left" w:leader="none"/>
        </w:tabs>
        <w:spacing w:line="240" w:lineRule="auto" w:before="0" w:after="0"/>
        <w:ind w:left="983" w:right="0" w:hanging="720"/>
        <w:jc w:val="left"/>
      </w:pPr>
      <w:bookmarkStart w:name="_bookmark112" w:id="154"/>
      <w:bookmarkEnd w:id="154"/>
      <w:r>
        <w:rPr>
          <w:b w:val="0"/>
        </w:rPr>
      </w:r>
      <w:bookmarkStart w:name="_bookmark112" w:id="155"/>
      <w:bookmarkEnd w:id="155"/>
      <w:r>
        <w:rPr/>
        <w:t>Da</w:t>
      </w:r>
      <w:r>
        <w:rPr/>
        <w:t>tos</w:t>
      </w:r>
      <w:r>
        <w:rPr>
          <w:spacing w:val="-6"/>
        </w:rPr>
        <w:t> </w:t>
      </w:r>
      <w:r>
        <w:rPr/>
        <w:t>empleados</w:t>
      </w:r>
    </w:p>
    <w:p>
      <w:pPr>
        <w:pStyle w:val="BodyText"/>
        <w:spacing w:before="3"/>
        <w:rPr>
          <w:b/>
          <w:sz w:val="29"/>
        </w:rPr>
      </w:pPr>
    </w:p>
    <w:p>
      <w:pPr>
        <w:pStyle w:val="BodyText"/>
        <w:spacing w:line="360" w:lineRule="auto"/>
        <w:ind w:left="263" w:right="117" w:firstLine="566"/>
        <w:jc w:val="both"/>
      </w:pPr>
      <w:r>
        <w:rPr/>
        <w:t>Los datos fueron obtenidos de fuentes oficiales de Bolivia</w:t>
      </w:r>
      <w:r>
        <w:rPr>
          <w:position w:val="11"/>
          <w:sz w:val="16"/>
        </w:rPr>
        <w:t>59 </w:t>
      </w:r>
      <w:r>
        <w:rPr/>
        <w:t>y corresponden a los utilizados en el capítulo III, con frecuencia trimestral que abarca del período 2003 (T1) al 2011 (T4), las observaciones del 2012 fueron tomadas para análisis fuera de muestra (al cuarto trimestre).  Se emplearon cinco variables en el vector</w:t>
      </w:r>
      <w:r>
        <w:rPr>
          <w:spacing w:val="-8"/>
        </w:rPr>
        <w:t> </w:t>
      </w:r>
      <w:r>
        <w:rPr>
          <w:spacing w:val="1"/>
          <w:position w:val="-10"/>
        </w:rPr>
        <w:drawing>
          <wp:inline distT="0" distB="0" distL="0" distR="0">
            <wp:extent cx="154304" cy="202564"/>
            <wp:effectExtent l="0" t="0" r="0" b="0"/>
            <wp:docPr id="63" name="image284.png" descr=""/>
            <wp:cNvGraphicFramePr>
              <a:graphicFrameLocks noChangeAspect="1"/>
            </wp:cNvGraphicFramePr>
            <a:graphic>
              <a:graphicData uri="http://schemas.openxmlformats.org/drawingml/2006/picture">
                <pic:pic>
                  <pic:nvPicPr>
                    <pic:cNvPr id="64" name="image284.png"/>
                    <pic:cNvPicPr/>
                  </pic:nvPicPr>
                  <pic:blipFill>
                    <a:blip r:embed="rId300" cstate="print"/>
                    <a:stretch>
                      <a:fillRect/>
                    </a:stretch>
                  </pic:blipFill>
                  <pic:spPr>
                    <a:xfrm>
                      <a:off x="0" y="0"/>
                      <a:ext cx="154304" cy="202564"/>
                    </a:xfrm>
                    <a:prstGeom prst="rect">
                      <a:avLst/>
                    </a:prstGeom>
                  </pic:spPr>
                </pic:pic>
              </a:graphicData>
            </a:graphic>
          </wp:inline>
        </w:drawing>
      </w:r>
      <w:r>
        <w:rPr>
          <w:spacing w:val="1"/>
          <w:position w:val="-10"/>
        </w:rPr>
      </w:r>
      <w:r>
        <w:rPr/>
        <w:t>:</w:t>
      </w:r>
    </w:p>
    <w:p>
      <w:pPr>
        <w:pStyle w:val="BodyText"/>
        <w:rPr>
          <w:sz w:val="20"/>
        </w:rPr>
      </w:pPr>
    </w:p>
    <w:p>
      <w:pPr>
        <w:pStyle w:val="BodyText"/>
        <w:rPr>
          <w:sz w:val="11"/>
        </w:rPr>
      </w:pPr>
      <w:r>
        <w:rPr/>
        <w:pict>
          <v:line style="position:absolute;mso-position-horizontal-relative:page;mso-position-vertical-relative:paragraph;z-index:11272;mso-wrap-distance-left:0;mso-wrap-distance-right:0" from="85.103996pt,8.594309pt" to="229.123996pt,8.594309pt" stroked="true" strokeweight=".599980pt" strokecolor="#000000">
            <w10:wrap type="topAndBottom"/>
          </v:line>
        </w:pict>
      </w:r>
    </w:p>
    <w:p>
      <w:pPr>
        <w:tabs>
          <w:tab w:pos="7151" w:val="left" w:leader="none"/>
        </w:tabs>
        <w:spacing w:before="50"/>
        <w:ind w:left="122" w:right="124" w:firstLine="0"/>
        <w:jc w:val="left"/>
        <w:rPr>
          <w:sz w:val="20"/>
        </w:rPr>
      </w:pPr>
      <w:r>
        <w:rPr>
          <w:position w:val="9"/>
          <w:sz w:val="13"/>
        </w:rPr>
        <w:t>59   </w:t>
      </w:r>
      <w:r>
        <w:rPr>
          <w:sz w:val="20"/>
        </w:rPr>
        <w:t>Yacimientos  Petrolíferos  Fiscales  Boliviano,  Banco  Central  de  Bolivia   </w:t>
      </w:r>
      <w:r>
        <w:rPr>
          <w:spacing w:val="3"/>
          <w:sz w:val="20"/>
        </w:rPr>
        <w:t> </w:t>
      </w:r>
      <w:r>
        <w:rPr>
          <w:sz w:val="20"/>
        </w:rPr>
        <w:t>y </w:t>
      </w:r>
      <w:r>
        <w:rPr>
          <w:spacing w:val="9"/>
          <w:sz w:val="20"/>
        </w:rPr>
        <w:t> </w:t>
      </w:r>
      <w:r>
        <w:rPr>
          <w:sz w:val="20"/>
        </w:rPr>
        <w:t>el</w:t>
        <w:tab/>
        <w:t>Instituto </w:t>
      </w:r>
      <w:r>
        <w:rPr>
          <w:spacing w:val="11"/>
          <w:sz w:val="20"/>
        </w:rPr>
        <w:t> </w:t>
      </w:r>
      <w:r>
        <w:rPr>
          <w:sz w:val="20"/>
        </w:rPr>
        <w:t>Nacional </w:t>
      </w:r>
      <w:r>
        <w:rPr>
          <w:spacing w:val="10"/>
          <w:sz w:val="20"/>
        </w:rPr>
        <w:t> </w:t>
      </w:r>
      <w:r>
        <w:rPr>
          <w:sz w:val="20"/>
        </w:rPr>
        <w:t>de</w:t>
      </w:r>
      <w:r>
        <w:rPr>
          <w:w w:val="99"/>
          <w:sz w:val="20"/>
        </w:rPr>
        <w:t> </w:t>
      </w:r>
      <w:r>
        <w:rPr>
          <w:sz w:val="20"/>
        </w:rPr>
        <w:t>Estadísticas -</w:t>
      </w:r>
      <w:r>
        <w:rPr>
          <w:spacing w:val="-7"/>
          <w:sz w:val="20"/>
        </w:rPr>
        <w:t> </w:t>
      </w:r>
      <w:r>
        <w:rPr>
          <w:sz w:val="20"/>
        </w:rPr>
        <w:t>INE.</w:t>
      </w:r>
    </w:p>
    <w:p>
      <w:pPr>
        <w:spacing w:after="0"/>
        <w:jc w:val="left"/>
        <w:rPr>
          <w:sz w:val="20"/>
        </w:rPr>
        <w:sectPr>
          <w:pgSz w:w="12250" w:h="15850"/>
          <w:pgMar w:header="0" w:footer="1037" w:top="1360" w:bottom="1220" w:left="1580" w:right="1580"/>
        </w:sectPr>
      </w:pPr>
    </w:p>
    <w:p>
      <w:pPr>
        <w:pStyle w:val="BodyText"/>
        <w:spacing w:before="8"/>
        <w:rPr>
          <w:sz w:val="15"/>
        </w:rPr>
      </w:pPr>
    </w:p>
    <w:p>
      <w:pPr>
        <w:pStyle w:val="BodyText"/>
        <w:spacing w:before="92"/>
        <w:ind w:left="533"/>
        <w:jc w:val="center"/>
        <w:rPr>
          <w:rFonts w:ascii="Cambria Math"/>
        </w:rPr>
      </w:pPr>
      <w:r>
        <w:rPr>
          <w:rFonts w:ascii="Cambria Math"/>
          <w:w w:val="311"/>
          <w:position w:val="-3"/>
        </w:rPr>
        <w:t> </w:t>
      </w:r>
      <w:r>
        <w:rPr>
          <w:rFonts w:ascii="Cambria Math"/>
          <w:w w:val="252"/>
        </w:rPr>
        <w:t> </w:t>
      </w:r>
      <w:r>
        <w:rPr>
          <w:rFonts w:ascii="Cambria Math"/>
          <w:w w:val="223"/>
        </w:rPr>
        <w:t>    </w:t>
      </w:r>
      <w:r>
        <w:rPr>
          <w:rFonts w:ascii="Cambria Math"/>
          <w:w w:val="252"/>
        </w:rPr>
        <w:t> </w:t>
      </w:r>
      <w:r>
        <w:rPr>
          <w:rFonts w:ascii="Cambria Math"/>
          <w:w w:val="176"/>
        </w:rPr>
        <w:t>  </w:t>
      </w:r>
      <w:r>
        <w:rPr>
          <w:rFonts w:ascii="Cambria Math"/>
          <w:w w:val="241"/>
        </w:rPr>
        <w:t> </w:t>
      </w:r>
      <w:r>
        <w:rPr>
          <w:rFonts w:ascii="Cambria Math"/>
          <w:w w:val="260"/>
        </w:rPr>
        <w:t> </w:t>
      </w:r>
      <w:r>
        <w:rPr>
          <w:rFonts w:ascii="Cambria Math"/>
        </w:rPr>
        <w:t> </w:t>
      </w:r>
      <w:r>
        <w:rPr>
          <w:rFonts w:ascii="Cambria Math"/>
          <w:w w:val="244"/>
        </w:rPr>
        <w:t>  </w:t>
      </w:r>
      <w:r>
        <w:rPr>
          <w:rFonts w:ascii="Cambria Math"/>
        </w:rPr>
        <w:t> </w:t>
      </w:r>
      <w:r>
        <w:rPr>
          <w:rFonts w:ascii="Cambria Math"/>
          <w:w w:val="227"/>
        </w:rPr>
        <w:t>   </w:t>
      </w:r>
      <w:r>
        <w:rPr>
          <w:rFonts w:ascii="Cambria Math"/>
          <w:w w:val="216"/>
        </w:rPr>
        <w:t> </w:t>
      </w:r>
      <w:r>
        <w:rPr>
          <w:rFonts w:ascii="Cambria Math"/>
          <w:w w:val="225"/>
        </w:rPr>
        <w:t> </w:t>
      </w:r>
      <w:r>
        <w:rPr>
          <w:rFonts w:ascii="Cambria Math"/>
          <w:w w:val="225"/>
        </w:rPr>
        <w:t>  </w:t>
      </w:r>
      <w:r>
        <w:rPr>
          <w:rFonts w:ascii="Cambria Math"/>
          <w:w w:val="209"/>
        </w:rPr>
        <w:t> </w:t>
      </w:r>
      <w:r>
        <w:rPr>
          <w:rFonts w:ascii="Cambria Math"/>
        </w:rPr>
        <w:t> </w:t>
      </w:r>
      <w:r>
        <w:rPr>
          <w:rFonts w:ascii="Cambria Math"/>
          <w:w w:val="196"/>
        </w:rPr>
        <w:t>  </w:t>
      </w:r>
      <w:r>
        <w:rPr>
          <w:rFonts w:ascii="Cambria Math"/>
          <w:w w:val="209"/>
        </w:rPr>
        <w:t>  </w:t>
      </w:r>
      <w:r>
        <w:rPr>
          <w:rFonts w:ascii="Cambria Math"/>
          <w:w w:val="93"/>
        </w:rPr>
        <w:t> </w:t>
      </w:r>
      <w:r>
        <w:rPr>
          <w:rFonts w:ascii="Cambria Math"/>
        </w:rPr>
        <w:t> </w:t>
      </w:r>
      <w:r>
        <w:rPr>
          <w:rFonts w:ascii="Cambria Math"/>
          <w:w w:val="246"/>
        </w:rPr>
        <w:t>   </w:t>
      </w:r>
      <w:r>
        <w:rPr>
          <w:rFonts w:ascii="Cambria Math"/>
          <w:w w:val="126"/>
        </w:rPr>
        <w:t> </w:t>
      </w:r>
      <w:r>
        <w:rPr>
          <w:rFonts w:ascii="Cambria Math"/>
          <w:w w:val="237"/>
        </w:rPr>
        <w:t>  </w:t>
      </w:r>
      <w:r>
        <w:rPr>
          <w:rFonts w:ascii="Cambria Math"/>
          <w:w w:val="216"/>
        </w:rPr>
        <w:t> </w:t>
      </w:r>
      <w:r>
        <w:rPr>
          <w:rFonts w:ascii="Cambria Math"/>
          <w:w w:val="225"/>
        </w:rPr>
        <w:t>  </w:t>
      </w:r>
      <w:r>
        <w:rPr>
          <w:rFonts w:ascii="Cambria Math"/>
        </w:rPr>
        <w:t> </w:t>
      </w:r>
      <w:r>
        <w:rPr>
          <w:rFonts w:ascii="Cambria Math"/>
          <w:w w:val="188"/>
          <w:position w:val="1"/>
        </w:rPr>
        <w:t> </w:t>
      </w:r>
      <w:r>
        <w:rPr>
          <w:rFonts w:ascii="Cambria Math"/>
          <w:w w:val="254"/>
        </w:rPr>
        <w:t> </w:t>
      </w:r>
      <w:r>
        <w:rPr>
          <w:rFonts w:ascii="Cambria Math"/>
          <w:w w:val="263"/>
          <w:position w:val="-4"/>
          <w:sz w:val="17"/>
        </w:rPr>
        <w:t> </w:t>
      </w:r>
      <w:r>
        <w:rPr>
          <w:rFonts w:ascii="Cambria Math"/>
          <w:w w:val="200"/>
          <w:position w:val="-4"/>
          <w:sz w:val="17"/>
        </w:rPr>
        <w:t> </w:t>
      </w:r>
      <w:r>
        <w:rPr>
          <w:rFonts w:ascii="Cambria Math"/>
          <w:w w:val="188"/>
          <w:position w:val="1"/>
        </w:rPr>
        <w:t> </w:t>
      </w:r>
      <w:r>
        <w:rPr>
          <w:rFonts w:ascii="Cambria Math"/>
          <w:position w:val="6"/>
          <w:sz w:val="16"/>
        </w:rPr>
        <w:t>60</w:t>
      </w:r>
      <w:r>
        <w:rPr>
          <w:rFonts w:ascii="Cambria Math"/>
          <w:w w:val="311"/>
          <w:position w:val="-3"/>
        </w:rPr>
        <w:t> </w:t>
      </w:r>
    </w:p>
    <w:p>
      <w:pPr>
        <w:pStyle w:val="BodyText"/>
        <w:spacing w:before="145"/>
        <w:ind w:left="534"/>
        <w:jc w:val="center"/>
        <w:rPr>
          <w:rFonts w:ascii="Cambria Math"/>
          <w:sz w:val="16"/>
        </w:rPr>
      </w:pPr>
      <w:r>
        <w:rPr>
          <w:rFonts w:ascii="Cambria Math"/>
          <w:w w:val="252"/>
        </w:rPr>
        <w:t> </w:t>
      </w:r>
      <w:r>
        <w:rPr>
          <w:rFonts w:ascii="Cambria Math"/>
          <w:w w:val="223"/>
        </w:rPr>
        <w:t>    </w:t>
      </w:r>
      <w:r>
        <w:rPr>
          <w:rFonts w:ascii="Cambria Math"/>
          <w:w w:val="252"/>
        </w:rPr>
        <w:t> </w:t>
      </w:r>
      <w:r>
        <w:rPr>
          <w:rFonts w:ascii="Cambria Math"/>
          <w:w w:val="176"/>
        </w:rPr>
        <w:t>  </w:t>
      </w:r>
      <w:r>
        <w:rPr>
          <w:rFonts w:ascii="Cambria Math"/>
          <w:w w:val="241"/>
        </w:rPr>
        <w:t> </w:t>
      </w:r>
      <w:r>
        <w:rPr>
          <w:rFonts w:ascii="Cambria Math"/>
          <w:w w:val="260"/>
        </w:rPr>
        <w:t> </w:t>
      </w:r>
      <w:r>
        <w:rPr>
          <w:rFonts w:ascii="Cambria Math"/>
        </w:rPr>
        <w:t> </w:t>
      </w:r>
      <w:r>
        <w:rPr>
          <w:rFonts w:ascii="Cambria Math"/>
          <w:w w:val="244"/>
        </w:rPr>
        <w:t>  </w:t>
      </w:r>
      <w:r>
        <w:rPr>
          <w:rFonts w:ascii="Cambria Math"/>
        </w:rPr>
        <w:t> </w:t>
      </w:r>
      <w:r>
        <w:rPr>
          <w:rFonts w:ascii="Cambria Math"/>
          <w:w w:val="227"/>
        </w:rPr>
        <w:t>   </w:t>
      </w:r>
      <w:r>
        <w:rPr>
          <w:rFonts w:ascii="Cambria Math"/>
          <w:w w:val="216"/>
        </w:rPr>
        <w:t> </w:t>
      </w:r>
      <w:r>
        <w:rPr>
          <w:rFonts w:ascii="Cambria Math"/>
          <w:w w:val="225"/>
        </w:rPr>
        <w:t> </w:t>
      </w:r>
      <w:r>
        <w:rPr>
          <w:rFonts w:ascii="Cambria Math"/>
          <w:w w:val="225"/>
        </w:rPr>
        <w:t>  </w:t>
      </w:r>
      <w:r>
        <w:rPr>
          <w:rFonts w:ascii="Cambria Math"/>
          <w:w w:val="209"/>
        </w:rPr>
        <w:t> </w:t>
      </w:r>
      <w:r>
        <w:rPr>
          <w:rFonts w:ascii="Cambria Math"/>
        </w:rPr>
        <w:t>  </w:t>
      </w:r>
      <w:r>
        <w:rPr>
          <w:rFonts w:ascii="Cambria Math"/>
          <w:w w:val="196"/>
        </w:rPr>
        <w:t>  </w:t>
      </w:r>
      <w:r>
        <w:rPr>
          <w:rFonts w:ascii="Cambria Math"/>
          <w:w w:val="209"/>
        </w:rPr>
        <w:t>  </w:t>
      </w:r>
      <w:r>
        <w:rPr>
          <w:rFonts w:ascii="Cambria Math"/>
          <w:w w:val="93"/>
        </w:rPr>
        <w:t> </w:t>
      </w:r>
      <w:r>
        <w:rPr>
          <w:rFonts w:ascii="Cambria Math"/>
        </w:rPr>
        <w:t> </w:t>
      </w:r>
      <w:r>
        <w:rPr>
          <w:rFonts w:ascii="Cambria Math"/>
          <w:w w:val="251"/>
        </w:rPr>
        <w:t>  </w:t>
      </w:r>
      <w:r>
        <w:rPr>
          <w:rFonts w:ascii="Cambria Math"/>
        </w:rPr>
        <w:t> </w:t>
      </w:r>
      <w:r>
        <w:rPr>
          <w:rFonts w:ascii="Cambria Math"/>
          <w:w w:val="246"/>
        </w:rPr>
        <w:t>   </w:t>
      </w:r>
      <w:r>
        <w:rPr>
          <w:rFonts w:ascii="Cambria Math"/>
          <w:w w:val="126"/>
        </w:rPr>
        <w:t> </w:t>
      </w:r>
      <w:r>
        <w:rPr>
          <w:rFonts w:ascii="Cambria Math"/>
          <w:w w:val="249"/>
        </w:rPr>
        <w:t> </w:t>
      </w:r>
      <w:r>
        <w:rPr>
          <w:rFonts w:ascii="Cambria Math"/>
          <w:w w:val="93"/>
        </w:rPr>
        <w:t> </w:t>
      </w:r>
      <w:r>
        <w:rPr>
          <w:rFonts w:ascii="Cambria Math"/>
        </w:rPr>
        <w:t> </w:t>
      </w:r>
      <w:r>
        <w:rPr>
          <w:rFonts w:ascii="Cambria Math"/>
          <w:w w:val="188"/>
          <w:position w:val="1"/>
        </w:rPr>
        <w:t> </w:t>
      </w:r>
      <w:r>
        <w:rPr>
          <w:rFonts w:ascii="Cambria Math"/>
          <w:w w:val="254"/>
        </w:rPr>
        <w:t> </w:t>
      </w:r>
      <w:r>
        <w:rPr>
          <w:rFonts w:ascii="Cambria Math"/>
          <w:w w:val="263"/>
          <w:position w:val="-4"/>
          <w:sz w:val="17"/>
        </w:rPr>
        <w:t> </w:t>
      </w:r>
      <w:r>
        <w:rPr>
          <w:rFonts w:ascii="Cambria Math"/>
          <w:w w:val="200"/>
          <w:position w:val="-4"/>
          <w:sz w:val="17"/>
        </w:rPr>
        <w:t> </w:t>
      </w:r>
      <w:r>
        <w:rPr>
          <w:rFonts w:ascii="Cambria Math"/>
          <w:w w:val="188"/>
          <w:position w:val="1"/>
        </w:rPr>
        <w:t> </w:t>
      </w:r>
      <w:r>
        <w:rPr>
          <w:rFonts w:ascii="Cambria Math"/>
          <w:position w:val="6"/>
          <w:sz w:val="16"/>
        </w:rPr>
        <w:t>61</w:t>
      </w:r>
    </w:p>
    <w:p>
      <w:pPr>
        <w:pStyle w:val="BodyText"/>
        <w:spacing w:before="10"/>
        <w:rPr>
          <w:rFonts w:ascii="Cambria Math"/>
          <w:sz w:val="26"/>
        </w:rPr>
      </w:pPr>
    </w:p>
    <w:p>
      <w:pPr>
        <w:pStyle w:val="BodyText"/>
        <w:tabs>
          <w:tab w:pos="3746" w:val="left" w:leader="none"/>
          <w:tab w:pos="7260" w:val="left" w:leader="none"/>
        </w:tabs>
        <w:spacing w:before="76"/>
        <w:ind w:left="2190" w:right="115"/>
        <w:rPr>
          <w:rFonts w:ascii="Cambria Math"/>
        </w:rPr>
      </w:pPr>
      <w:r>
        <w:rPr>
          <w:rFonts w:ascii="Cambria Math"/>
          <w:w w:val="175"/>
        </w:rPr>
        <w:t>{</w:t>
        <w:tab/>
      </w:r>
      <w:r>
        <w:rPr>
          <w:rFonts w:ascii="Cambria Math"/>
          <w:w w:val="175"/>
          <w:position w:val="1"/>
        </w:rPr>
        <w:tab/>
      </w:r>
      <w:r>
        <w:rPr>
          <w:rFonts w:ascii="Cambria Math"/>
          <w:w w:val="175"/>
        </w:rPr>
        <w:t>}</w:t>
      </w:r>
    </w:p>
    <w:p>
      <w:pPr>
        <w:pStyle w:val="BodyText"/>
        <w:spacing w:before="9"/>
        <w:rPr>
          <w:rFonts w:ascii="Cambria Math"/>
          <w:sz w:val="16"/>
        </w:rPr>
      </w:pPr>
    </w:p>
    <w:p>
      <w:pPr>
        <w:pStyle w:val="BodyText"/>
        <w:spacing w:line="364" w:lineRule="auto" w:before="80"/>
        <w:ind w:left="122" w:right="120" w:firstLine="707"/>
        <w:jc w:val="both"/>
      </w:pPr>
      <w:r>
        <w:rPr/>
        <w:t>Donde el precio del gas natural representa el precio promedio ponderado de exportación del energético señalado.</w:t>
      </w:r>
    </w:p>
    <w:p>
      <w:pPr>
        <w:pStyle w:val="BodyText"/>
        <w:spacing w:before="1"/>
        <w:ind w:left="830" w:right="115"/>
      </w:pPr>
      <w:r>
        <w:rPr/>
        <w:t>La  variable  la  asignación  de  los  ingresos  fiscales  gasíferos  al  gasto  de  capital</w:t>
      </w:r>
    </w:p>
    <w:p>
      <w:pPr>
        <w:pStyle w:val="BodyText"/>
        <w:spacing w:line="362" w:lineRule="auto" w:before="140"/>
        <w:ind w:left="122" w:right="120"/>
        <w:jc w:val="both"/>
      </w:pPr>
      <w:r>
        <w:rPr>
          <w:rFonts w:ascii="Cambria Math" w:hAnsi="Cambria Math"/>
          <w:w w:val="188"/>
          <w:position w:val="1"/>
        </w:rPr>
        <w:t> </w:t>
      </w:r>
      <w:r>
        <w:rPr>
          <w:rFonts w:ascii="Cambria Math" w:hAnsi="Cambria Math"/>
          <w:w w:val="254"/>
        </w:rPr>
        <w:t> </w:t>
      </w:r>
      <w:r>
        <w:rPr>
          <w:rFonts w:ascii="Cambria Math" w:hAnsi="Cambria Math"/>
          <w:w w:val="263"/>
          <w:position w:val="-4"/>
          <w:sz w:val="17"/>
        </w:rPr>
        <w:t> </w:t>
      </w:r>
      <w:r>
        <w:rPr>
          <w:rFonts w:ascii="Cambria Math" w:hAnsi="Cambria Math"/>
          <w:w w:val="200"/>
          <w:position w:val="-4"/>
          <w:sz w:val="17"/>
        </w:rPr>
        <w:t> </w:t>
      </w:r>
      <w:r>
        <w:rPr>
          <w:rFonts w:ascii="Cambria Math" w:hAnsi="Cambria Math"/>
          <w:w w:val="188"/>
          <w:position w:val="1"/>
        </w:rPr>
        <w:t> </w:t>
      </w:r>
      <w:r>
        <w:rPr>
          <w:rFonts w:ascii="Cambria Math" w:hAnsi="Cambria Math"/>
          <w:position w:val="1"/>
        </w:rPr>
        <w:t> </w:t>
      </w:r>
      <w:r>
        <w:rPr/>
        <w:t>es una razón simple del gasto de capital en términos de ingresos fiscales del gas natural, como una medida de la inversión pública financiada con recursos monetarios del gas natural.</w:t>
      </w:r>
    </w:p>
    <w:p>
      <w:pPr>
        <w:pStyle w:val="BodyText"/>
        <w:spacing w:line="362" w:lineRule="auto" w:before="3"/>
        <w:ind w:left="122" w:right="117" w:firstLine="707"/>
        <w:jc w:val="both"/>
      </w:pPr>
      <w:r>
        <w:rPr/>
        <w:t>Del mismo modo, la asignación de los ingresos fiscales no gasíferos al gasto corriente es una razón del gasto corriente en términos de ingresos fiscales que no  consideran al gas natural (no se consideran los intereses de la deuda</w:t>
      </w:r>
      <w:r>
        <w:rPr>
          <w:spacing w:val="-12"/>
        </w:rPr>
        <w:t> </w:t>
      </w:r>
      <w:r>
        <w:rPr/>
        <w:t>pública).</w:t>
      </w:r>
    </w:p>
    <w:p>
      <w:pPr>
        <w:pStyle w:val="BodyText"/>
        <w:spacing w:line="352" w:lineRule="auto" w:before="3"/>
        <w:ind w:left="122" w:right="118" w:firstLine="770"/>
        <w:jc w:val="both"/>
      </w:pPr>
      <w:r>
        <w:rPr/>
        <w:t>Luego, se tienen dos variables expresadas en términos del PIB: el balance primario no gasífero        y la deuda pública         que incluye la deuda interna y externa del        Sector Público No Financiero (SPNF) .</w:t>
      </w:r>
      <w:r>
        <w:rPr>
          <w:position w:val="11"/>
          <w:sz w:val="16"/>
        </w:rPr>
        <w:t>62 </w:t>
      </w:r>
      <w:r>
        <w:rPr/>
        <w:t>La anterior estructuración de variables corresponde al modelo</w:t>
      </w:r>
      <w:r>
        <w:rPr>
          <w:spacing w:val="-4"/>
        </w:rPr>
        <w:t> </w:t>
      </w:r>
      <w:r>
        <w:rPr/>
        <w:t>A.</w:t>
      </w:r>
    </w:p>
    <w:p>
      <w:pPr>
        <w:pStyle w:val="BodyText"/>
        <w:spacing w:line="355" w:lineRule="auto" w:before="12"/>
        <w:ind w:left="122" w:right="118" w:firstLine="707"/>
        <w:jc w:val="both"/>
      </w:pPr>
      <w:r>
        <w:rPr/>
        <w:pict>
          <v:shape style="position:absolute;margin-left:401.470001pt;margin-top:48.937702pt;width:8.7pt;height:8.550pt;mso-position-horizontal-relative:page;mso-position-vertical-relative:paragraph;z-index:-560800" type="#_x0000_t202" filled="false" stroked="false">
            <v:textbox inset="0,0,0,0">
              <w:txbxContent>
                <w:p>
                  <w:pPr>
                    <w:spacing w:line="170" w:lineRule="exact" w:before="0"/>
                    <w:ind w:left="0" w:right="0" w:firstLine="0"/>
                    <w:jc w:val="left"/>
                    <w:rPr>
                      <w:rFonts w:ascii="Cambria Math"/>
                      <w:sz w:val="17"/>
                    </w:rPr>
                  </w:pPr>
                  <w:r>
                    <w:rPr>
                      <w:rFonts w:ascii="Cambria Math"/>
                      <w:spacing w:val="-1"/>
                      <w:w w:val="263"/>
                      <w:sz w:val="17"/>
                    </w:rPr>
                    <w:t> </w:t>
                  </w:r>
                  <w:r>
                    <w:rPr>
                      <w:rFonts w:ascii="Cambria Math"/>
                      <w:w w:val="200"/>
                      <w:sz w:val="17"/>
                    </w:rPr>
                    <w:t> </w:t>
                  </w:r>
                </w:p>
              </w:txbxContent>
            </v:textbox>
            <w10:wrap type="none"/>
          </v:shape>
        </w:pict>
      </w:r>
      <w:r>
        <w:rPr/>
        <w:t>De forma comparativa, se plantearon tres especificaciones alternativas sobre el resultado fiscal: el balance fiscal primario (modelo B), el balance fiscal global cíclicamente ajustado (modelo C)  y  el balance  fiscal  global  (modelo D)  en lugar  del balance  primario no gasífero  </w:t>
      </w:r>
      <w:r>
        <w:rPr>
          <w:position w:val="11"/>
          <w:sz w:val="16"/>
        </w:rPr>
        <w:t>63</w:t>
      </w:r>
      <w:r>
        <w:rPr/>
        <w:t>.  El propósito es complementar el análisis con y sin ingresos  fiscales derivados del recurso natural (Medas &amp; Zakharova,</w:t>
      </w:r>
      <w:r>
        <w:rPr>
          <w:spacing w:val="-9"/>
        </w:rPr>
        <w:t> </w:t>
      </w:r>
      <w:r>
        <w:rPr/>
        <w:t>2009).</w:t>
      </w:r>
    </w:p>
    <w:p>
      <w:pPr>
        <w:pStyle w:val="BodyText"/>
        <w:rPr>
          <w:sz w:val="20"/>
        </w:rPr>
      </w:pPr>
    </w:p>
    <w:p>
      <w:pPr>
        <w:pStyle w:val="BodyText"/>
        <w:spacing w:before="7"/>
        <w:rPr>
          <w:sz w:val="22"/>
        </w:rPr>
      </w:pPr>
      <w:r>
        <w:rPr/>
        <w:pict>
          <v:line style="position:absolute;mso-position-horizontal-relative:page;mso-position-vertical-relative:paragraph;z-index:11296;mso-wrap-distance-left:0;mso-wrap-distance-right:0" from="85.103996pt,15.256548pt" to="229.123996pt,15.256548pt" stroked="true" strokeweight=".599980pt" strokecolor="#000000">
            <w10:wrap type="topAndBottom"/>
          </v:line>
        </w:pict>
      </w:r>
    </w:p>
    <w:p>
      <w:pPr>
        <w:spacing w:before="50"/>
        <w:ind w:left="122" w:right="115" w:firstLine="0"/>
        <w:jc w:val="left"/>
        <w:rPr>
          <w:sz w:val="20"/>
        </w:rPr>
      </w:pPr>
      <w:r>
        <w:rPr>
          <w:position w:val="9"/>
          <w:sz w:val="13"/>
        </w:rPr>
        <w:t>60 </w:t>
      </w:r>
      <w:r>
        <w:rPr>
          <w:sz w:val="20"/>
        </w:rPr>
        <w:t>El término de asignación de ingresos fiscales corresponde al mecanismo a través del cual los ingresos fiscales son distribuidos al gasto público, cuya definición corresponde al término de presión fiscal.</w:t>
      </w:r>
    </w:p>
    <w:p>
      <w:pPr>
        <w:pStyle w:val="BodyText"/>
        <w:spacing w:before="10"/>
        <w:rPr>
          <w:sz w:val="17"/>
        </w:rPr>
      </w:pPr>
    </w:p>
    <w:p>
      <w:pPr>
        <w:spacing w:before="0"/>
        <w:ind w:left="122" w:right="115" w:firstLine="0"/>
        <w:jc w:val="left"/>
        <w:rPr>
          <w:sz w:val="20"/>
        </w:rPr>
      </w:pPr>
      <w:r>
        <w:rPr>
          <w:position w:val="9"/>
          <w:sz w:val="13"/>
        </w:rPr>
        <w:t>61   </w:t>
      </w:r>
      <w:r>
        <w:rPr>
          <w:w w:val="243"/>
          <w:sz w:val="20"/>
        </w:rPr>
        <w:t> </w:t>
      </w:r>
      <w:r>
        <w:rPr>
          <w:w w:val="110"/>
          <w:sz w:val="20"/>
        </w:rPr>
        <w:t> </w:t>
      </w:r>
      <w:r>
        <w:rPr>
          <w:sz w:val="20"/>
        </w:rPr>
        <w:t>  </w:t>
      </w:r>
      <w:r>
        <w:rPr>
          <w:w w:val="199"/>
          <w:sz w:val="20"/>
        </w:rPr>
        <w:t> </w:t>
      </w:r>
      <w:r>
        <w:rPr>
          <w:w w:val="132"/>
          <w:sz w:val="20"/>
        </w:rPr>
        <w:t> </w:t>
      </w:r>
      <w:r>
        <w:rPr>
          <w:w w:val="199"/>
          <w:sz w:val="20"/>
        </w:rPr>
        <w:t>   </w:t>
      </w:r>
      <w:r>
        <w:rPr>
          <w:w w:val="154"/>
          <w:sz w:val="20"/>
        </w:rPr>
        <w:t> </w:t>
      </w:r>
      <w:r>
        <w:rPr>
          <w:w w:val="140"/>
          <w:sz w:val="20"/>
        </w:rPr>
        <w:t>   </w:t>
      </w:r>
      <w:r>
        <w:rPr>
          <w:sz w:val="20"/>
        </w:rPr>
        <w:t>  </w:t>
      </w:r>
      <w:r>
        <w:rPr>
          <w:w w:val="199"/>
          <w:sz w:val="20"/>
        </w:rPr>
        <w:t> </w:t>
      </w:r>
      <w:r>
        <w:rPr>
          <w:w w:val="176"/>
          <w:sz w:val="20"/>
        </w:rPr>
        <w:t> </w:t>
      </w:r>
      <w:r>
        <w:rPr>
          <w:sz w:val="20"/>
        </w:rPr>
        <w:t>  </w:t>
      </w:r>
      <w:r>
        <w:rPr>
          <w:w w:val="309"/>
          <w:sz w:val="20"/>
        </w:rPr>
        <w:t> </w:t>
      </w:r>
      <w:r>
        <w:rPr>
          <w:w w:val="188"/>
          <w:sz w:val="20"/>
        </w:rPr>
        <w:t>  </w:t>
      </w:r>
      <w:r>
        <w:rPr>
          <w:w w:val="121"/>
          <w:sz w:val="20"/>
        </w:rPr>
        <w:t>  </w:t>
      </w:r>
      <w:r>
        <w:rPr>
          <w:sz w:val="20"/>
        </w:rPr>
        <w:t>  </w:t>
      </w:r>
      <w:r>
        <w:rPr>
          <w:w w:val="143"/>
          <w:sz w:val="20"/>
        </w:rPr>
        <w:t>  </w:t>
      </w:r>
      <w:r>
        <w:rPr>
          <w:sz w:val="20"/>
        </w:rPr>
        <w:t>  </w:t>
      </w:r>
      <w:r>
        <w:rPr>
          <w:w w:val="160"/>
          <w:sz w:val="20"/>
        </w:rPr>
        <w:t>    </w:t>
      </w:r>
      <w:r>
        <w:rPr>
          <w:w w:val="199"/>
          <w:sz w:val="20"/>
        </w:rPr>
        <w:t> </w:t>
      </w:r>
      <w:r>
        <w:rPr>
          <w:w w:val="176"/>
          <w:sz w:val="20"/>
        </w:rPr>
        <w:t>  </w:t>
      </w:r>
      <w:r>
        <w:rPr>
          <w:w w:val="154"/>
          <w:sz w:val="20"/>
        </w:rPr>
        <w:t>  </w:t>
      </w:r>
      <w:r>
        <w:rPr>
          <w:w w:val="199"/>
          <w:sz w:val="20"/>
        </w:rPr>
        <w:t> </w:t>
      </w:r>
      <w:r>
        <w:rPr>
          <w:sz w:val="20"/>
        </w:rPr>
        <w:t>  </w:t>
      </w:r>
      <w:r>
        <w:rPr>
          <w:w w:val="199"/>
          <w:sz w:val="20"/>
        </w:rPr>
        <w:t> </w:t>
      </w:r>
      <w:r>
        <w:rPr>
          <w:w w:val="176"/>
          <w:sz w:val="20"/>
        </w:rPr>
        <w:t> </w:t>
      </w:r>
      <w:r>
        <w:rPr>
          <w:sz w:val="20"/>
        </w:rPr>
        <w:t>  </w:t>
      </w:r>
      <w:r>
        <w:rPr>
          <w:w w:val="154"/>
          <w:sz w:val="20"/>
        </w:rPr>
        <w:t>   </w:t>
      </w:r>
      <w:r>
        <w:rPr>
          <w:sz w:val="20"/>
        </w:rPr>
        <w:t>  </w:t>
      </w:r>
      <w:r>
        <w:rPr>
          <w:w w:val="154"/>
          <w:sz w:val="20"/>
        </w:rPr>
        <w:t>  </w:t>
      </w:r>
      <w:r>
        <w:rPr>
          <w:w w:val="199"/>
          <w:sz w:val="20"/>
        </w:rPr>
        <w:t> </w:t>
      </w:r>
      <w:r>
        <w:rPr>
          <w:w w:val="132"/>
          <w:sz w:val="20"/>
        </w:rPr>
        <w:t> </w:t>
      </w:r>
      <w:r>
        <w:rPr>
          <w:w w:val="177"/>
          <w:sz w:val="20"/>
        </w:rPr>
        <w:t>   </w:t>
      </w:r>
      <w:r>
        <w:rPr>
          <w:w w:val="154"/>
          <w:sz w:val="20"/>
        </w:rPr>
        <w:t> </w:t>
      </w:r>
      <w:r>
        <w:rPr>
          <w:sz w:val="20"/>
        </w:rPr>
        <w:t>  </w:t>
      </w:r>
      <w:r>
        <w:rPr>
          <w:w w:val="132"/>
          <w:sz w:val="20"/>
        </w:rPr>
        <w:t> </w:t>
      </w:r>
      <w:r>
        <w:rPr>
          <w:w w:val="132"/>
          <w:sz w:val="20"/>
        </w:rPr>
        <w:t>  </w:t>
      </w:r>
      <w:r>
        <w:rPr>
          <w:w w:val="176"/>
          <w:sz w:val="20"/>
        </w:rPr>
        <w:t> </w:t>
      </w:r>
      <w:r>
        <w:rPr>
          <w:w w:val="154"/>
          <w:sz w:val="20"/>
        </w:rPr>
        <w:t>    </w:t>
      </w:r>
      <w:r>
        <w:rPr>
          <w:sz w:val="20"/>
        </w:rPr>
        <w:t>  </w:t>
      </w:r>
      <w:r>
        <w:rPr>
          <w:w w:val="199"/>
          <w:sz w:val="20"/>
        </w:rPr>
        <w:t>  </w:t>
      </w:r>
      <w:r>
        <w:rPr>
          <w:sz w:val="20"/>
        </w:rPr>
        <w:t>  </w:t>
      </w:r>
      <w:r>
        <w:rPr>
          <w:w w:val="199"/>
          <w:sz w:val="20"/>
        </w:rPr>
        <w:t> </w:t>
      </w:r>
      <w:r>
        <w:rPr>
          <w:w w:val="147"/>
          <w:sz w:val="20"/>
        </w:rPr>
        <w:t>   </w:t>
      </w:r>
      <w:r>
        <w:rPr>
          <w:w w:val="132"/>
          <w:sz w:val="20"/>
        </w:rPr>
        <w:t> </w:t>
      </w:r>
      <w:r>
        <w:rPr>
          <w:w w:val="154"/>
          <w:sz w:val="20"/>
        </w:rPr>
        <w:t>  </w:t>
      </w:r>
      <w:r>
        <w:rPr>
          <w:w w:val="199"/>
          <w:sz w:val="20"/>
        </w:rPr>
        <w:t> </w:t>
      </w:r>
      <w:r>
        <w:rPr>
          <w:w w:val="154"/>
          <w:sz w:val="20"/>
        </w:rPr>
        <w:t> </w:t>
      </w:r>
      <w:r>
        <w:rPr>
          <w:sz w:val="20"/>
        </w:rPr>
        <w:t>  </w:t>
      </w:r>
      <w:r>
        <w:rPr>
          <w:w w:val="188"/>
          <w:sz w:val="20"/>
        </w:rPr>
        <w:t>  </w:t>
      </w:r>
      <w:r>
        <w:rPr>
          <w:w w:val="199"/>
          <w:sz w:val="20"/>
        </w:rPr>
        <w:t> </w:t>
      </w:r>
      <w:r>
        <w:rPr>
          <w:sz w:val="20"/>
        </w:rPr>
        <w:t>  </w:t>
      </w:r>
      <w:r>
        <w:rPr>
          <w:w w:val="199"/>
          <w:sz w:val="20"/>
        </w:rPr>
        <w:t> </w:t>
      </w:r>
      <w:r>
        <w:rPr>
          <w:w w:val="169"/>
          <w:sz w:val="20"/>
        </w:rPr>
        <w:t>   </w:t>
      </w:r>
      <w:r>
        <w:rPr>
          <w:sz w:val="20"/>
        </w:rPr>
        <w:t>  </w:t>
      </w:r>
      <w:r>
        <w:rPr>
          <w:w w:val="188"/>
          <w:sz w:val="20"/>
        </w:rPr>
        <w:t>  </w:t>
      </w:r>
      <w:r>
        <w:rPr>
          <w:sz w:val="20"/>
        </w:rPr>
        <w:t>  </w:t>
      </w:r>
      <w:r>
        <w:rPr>
          <w:w w:val="143"/>
          <w:sz w:val="20"/>
        </w:rPr>
        <w:t>  </w:t>
      </w:r>
      <w:r>
        <w:rPr>
          <w:sz w:val="20"/>
        </w:rPr>
        <w:t>  </w:t>
      </w:r>
      <w:r>
        <w:rPr>
          <w:w w:val="132"/>
          <w:sz w:val="20"/>
        </w:rPr>
        <w:t> </w:t>
      </w:r>
      <w:r>
        <w:rPr>
          <w:w w:val="176"/>
          <w:sz w:val="20"/>
        </w:rPr>
        <w:t>  </w:t>
      </w:r>
      <w:r>
        <w:rPr>
          <w:w w:val="199"/>
          <w:sz w:val="20"/>
        </w:rPr>
        <w:t>  </w:t>
      </w:r>
      <w:r>
        <w:rPr>
          <w:sz w:val="20"/>
        </w:rPr>
        <w:t>  </w:t>
      </w:r>
      <w:r>
        <w:rPr>
          <w:w w:val="199"/>
          <w:sz w:val="20"/>
        </w:rPr>
        <w:t> </w:t>
      </w:r>
      <w:r>
        <w:rPr>
          <w:w w:val="160"/>
          <w:sz w:val="20"/>
        </w:rPr>
        <w:t>    </w:t>
      </w:r>
    </w:p>
    <w:p>
      <w:pPr>
        <w:spacing w:before="43"/>
        <w:ind w:left="122" w:right="115" w:firstLine="0"/>
        <w:jc w:val="left"/>
        <w:rPr>
          <w:sz w:val="20"/>
        </w:rPr>
      </w:pPr>
      <w:r>
        <w:rPr>
          <w:w w:val="188"/>
          <w:sz w:val="20"/>
        </w:rPr>
        <w:t> </w:t>
      </w:r>
      <w:r>
        <w:rPr>
          <w:spacing w:val="1"/>
          <w:w w:val="188"/>
          <w:sz w:val="20"/>
        </w:rPr>
        <w:t> </w:t>
      </w:r>
      <w:r>
        <w:rPr>
          <w:w w:val="132"/>
          <w:sz w:val="20"/>
        </w:rPr>
        <w:t>  </w:t>
      </w:r>
      <w:r>
        <w:rPr>
          <w:w w:val="162"/>
          <w:sz w:val="20"/>
        </w:rPr>
        <w:t>  </w:t>
      </w:r>
      <w:r>
        <w:rPr>
          <w:spacing w:val="-1"/>
          <w:w w:val="162"/>
          <w:sz w:val="20"/>
        </w:rPr>
        <w:t> </w:t>
      </w:r>
      <w:r>
        <w:rPr>
          <w:w w:val="132"/>
          <w:sz w:val="20"/>
        </w:rPr>
        <w:t>   </w:t>
      </w:r>
      <w:r>
        <w:rPr>
          <w:sz w:val="20"/>
        </w:rPr>
        <w:t> </w:t>
      </w:r>
      <w:r>
        <w:rPr>
          <w:spacing w:val="-14"/>
          <w:sz w:val="20"/>
        </w:rPr>
        <w:t> </w:t>
      </w:r>
      <w:r>
        <w:rPr>
          <w:w w:val="154"/>
          <w:sz w:val="20"/>
        </w:rPr>
        <w:t> </w:t>
      </w:r>
      <w:r>
        <w:rPr>
          <w:spacing w:val="-2"/>
          <w:w w:val="154"/>
          <w:sz w:val="20"/>
        </w:rPr>
        <w:t> </w:t>
      </w:r>
      <w:r>
        <w:rPr>
          <w:spacing w:val="-2"/>
          <w:w w:val="199"/>
          <w:sz w:val="20"/>
        </w:rPr>
        <w:t> </w:t>
      </w:r>
      <w:r>
        <w:rPr>
          <w:w w:val="132"/>
          <w:sz w:val="20"/>
        </w:rPr>
        <w:t> </w:t>
      </w:r>
      <w:r>
        <w:rPr>
          <w:w w:val="177"/>
          <w:sz w:val="20"/>
        </w:rPr>
        <w:t>   </w:t>
      </w:r>
      <w:r>
        <w:rPr>
          <w:w w:val="154"/>
          <w:sz w:val="20"/>
        </w:rPr>
        <w:t> </w:t>
      </w:r>
      <w:r>
        <w:rPr>
          <w:sz w:val="20"/>
        </w:rPr>
        <w:t> </w:t>
      </w:r>
      <w:r>
        <w:rPr>
          <w:spacing w:val="-15"/>
          <w:sz w:val="20"/>
        </w:rPr>
        <w:t> </w:t>
      </w:r>
      <w:r>
        <w:rPr>
          <w:w w:val="132"/>
          <w:sz w:val="20"/>
        </w:rPr>
        <w:t> </w:t>
      </w:r>
      <w:r>
        <w:rPr>
          <w:w w:val="132"/>
          <w:sz w:val="20"/>
        </w:rPr>
        <w:t> </w:t>
      </w:r>
      <w:r>
        <w:rPr>
          <w:spacing w:val="-1"/>
          <w:w w:val="132"/>
          <w:sz w:val="20"/>
        </w:rPr>
        <w:t> </w:t>
      </w:r>
      <w:r>
        <w:rPr>
          <w:w w:val="176"/>
          <w:sz w:val="20"/>
        </w:rPr>
        <w:t>  </w:t>
      </w:r>
      <w:r>
        <w:rPr>
          <w:w w:val="143"/>
          <w:sz w:val="20"/>
        </w:rPr>
        <w:t> </w:t>
      </w:r>
      <w:r>
        <w:rPr>
          <w:spacing w:val="2"/>
          <w:w w:val="143"/>
          <w:sz w:val="20"/>
        </w:rPr>
        <w:t> </w:t>
      </w:r>
      <w:r>
        <w:rPr>
          <w:w w:val="154"/>
          <w:sz w:val="20"/>
        </w:rPr>
        <w:t> </w:t>
      </w:r>
      <w:r>
        <w:rPr>
          <w:sz w:val="20"/>
        </w:rPr>
        <w:t> </w:t>
      </w:r>
      <w:r>
        <w:rPr>
          <w:spacing w:val="-15"/>
          <w:sz w:val="20"/>
        </w:rPr>
        <w:t> </w:t>
      </w:r>
      <w:r>
        <w:rPr>
          <w:spacing w:val="1"/>
          <w:w w:val="199"/>
          <w:sz w:val="20"/>
        </w:rPr>
        <w:t> </w:t>
      </w:r>
      <w:r>
        <w:rPr>
          <w:w w:val="199"/>
          <w:sz w:val="20"/>
        </w:rPr>
        <w:t> </w:t>
      </w:r>
      <w:r>
        <w:rPr>
          <w:sz w:val="20"/>
        </w:rPr>
        <w:t> </w:t>
      </w:r>
      <w:r>
        <w:rPr>
          <w:spacing w:val="-13"/>
          <w:sz w:val="20"/>
        </w:rPr>
        <w:t> </w:t>
      </w:r>
      <w:r>
        <w:rPr>
          <w:spacing w:val="-2"/>
          <w:w w:val="199"/>
          <w:sz w:val="20"/>
        </w:rPr>
        <w:t> </w:t>
      </w:r>
      <w:r>
        <w:rPr>
          <w:w w:val="143"/>
          <w:sz w:val="20"/>
        </w:rPr>
        <w:t>   </w:t>
      </w:r>
      <w:r>
        <w:rPr>
          <w:spacing w:val="-2"/>
          <w:w w:val="143"/>
          <w:sz w:val="20"/>
        </w:rPr>
        <w:t> </w:t>
      </w:r>
      <w:r>
        <w:rPr>
          <w:w w:val="154"/>
          <w:sz w:val="20"/>
        </w:rPr>
        <w:t> </w:t>
      </w:r>
      <w:r>
        <w:rPr>
          <w:spacing w:val="1"/>
          <w:w w:val="154"/>
          <w:sz w:val="20"/>
        </w:rPr>
        <w:t> </w:t>
      </w:r>
      <w:r>
        <w:rPr>
          <w:spacing w:val="1"/>
          <w:w w:val="199"/>
          <w:sz w:val="20"/>
        </w:rPr>
        <w:t> </w:t>
      </w:r>
      <w:r>
        <w:rPr>
          <w:w w:val="154"/>
          <w:sz w:val="20"/>
        </w:rPr>
        <w:t> </w:t>
      </w:r>
      <w:r>
        <w:rPr>
          <w:sz w:val="20"/>
        </w:rPr>
        <w:t> </w:t>
      </w:r>
      <w:r>
        <w:rPr>
          <w:spacing w:val="-15"/>
          <w:sz w:val="20"/>
        </w:rPr>
        <w:t> </w:t>
      </w:r>
      <w:r>
        <w:rPr>
          <w:w w:val="165"/>
          <w:sz w:val="20"/>
        </w:rPr>
        <w:t>  </w:t>
      </w:r>
      <w:r>
        <w:rPr>
          <w:sz w:val="20"/>
        </w:rPr>
        <w:t> </w:t>
      </w:r>
      <w:r>
        <w:rPr>
          <w:spacing w:val="-15"/>
          <w:sz w:val="20"/>
        </w:rPr>
        <w:t> </w:t>
      </w:r>
      <w:r>
        <w:rPr>
          <w:w w:val="188"/>
          <w:sz w:val="20"/>
        </w:rPr>
        <w:t> </w:t>
      </w:r>
      <w:r>
        <w:rPr>
          <w:spacing w:val="-1"/>
          <w:w w:val="188"/>
          <w:sz w:val="20"/>
        </w:rPr>
        <w:t> </w:t>
      </w:r>
      <w:r>
        <w:rPr>
          <w:w w:val="162"/>
          <w:sz w:val="20"/>
        </w:rPr>
        <w:t>  </w:t>
      </w:r>
      <w:r>
        <w:rPr>
          <w:spacing w:val="-1"/>
          <w:w w:val="162"/>
          <w:sz w:val="20"/>
        </w:rPr>
        <w:t> </w:t>
      </w:r>
      <w:r>
        <w:rPr>
          <w:w w:val="154"/>
          <w:sz w:val="20"/>
        </w:rPr>
        <w:t>  </w:t>
      </w:r>
      <w:r>
        <w:rPr>
          <w:sz w:val="20"/>
        </w:rPr>
        <w:t> </w:t>
      </w:r>
      <w:r>
        <w:rPr>
          <w:spacing w:val="-13"/>
          <w:sz w:val="20"/>
        </w:rPr>
        <w:t> </w:t>
      </w:r>
      <w:r>
        <w:rPr>
          <w:w w:val="143"/>
          <w:sz w:val="20"/>
        </w:rPr>
        <w:t>  </w:t>
      </w:r>
      <w:r>
        <w:rPr>
          <w:sz w:val="20"/>
        </w:rPr>
        <w:t> </w:t>
      </w:r>
      <w:r>
        <w:rPr>
          <w:spacing w:val="-14"/>
          <w:sz w:val="20"/>
        </w:rPr>
        <w:t> </w:t>
      </w:r>
      <w:r>
        <w:rPr>
          <w:w w:val="188"/>
          <w:sz w:val="20"/>
        </w:rPr>
        <w:t> </w:t>
      </w:r>
      <w:r>
        <w:rPr>
          <w:spacing w:val="1"/>
          <w:w w:val="188"/>
          <w:sz w:val="20"/>
        </w:rPr>
        <w:t> </w:t>
      </w:r>
      <w:r>
        <w:rPr>
          <w:spacing w:val="-2"/>
          <w:w w:val="199"/>
          <w:sz w:val="20"/>
        </w:rPr>
        <w:t> </w:t>
      </w:r>
      <w:r>
        <w:rPr>
          <w:w w:val="154"/>
          <w:sz w:val="20"/>
        </w:rPr>
        <w:t> </w:t>
      </w:r>
      <w:r>
        <w:rPr>
          <w:spacing w:val="-2"/>
          <w:w w:val="154"/>
          <w:sz w:val="20"/>
        </w:rPr>
        <w:t> </w:t>
      </w:r>
      <w:r>
        <w:rPr>
          <w:w w:val="154"/>
          <w:sz w:val="20"/>
        </w:rPr>
        <w:t>  </w:t>
      </w:r>
      <w:r>
        <w:rPr>
          <w:spacing w:val="2"/>
          <w:w w:val="154"/>
          <w:sz w:val="20"/>
        </w:rPr>
        <w:t> </w:t>
      </w:r>
      <w:r>
        <w:rPr>
          <w:spacing w:val="-2"/>
          <w:w w:val="199"/>
          <w:sz w:val="20"/>
        </w:rPr>
        <w:t> </w:t>
      </w:r>
      <w:r>
        <w:rPr>
          <w:w w:val="154"/>
          <w:sz w:val="20"/>
        </w:rPr>
        <w:t>   </w:t>
      </w:r>
      <w:r>
        <w:rPr>
          <w:sz w:val="20"/>
        </w:rPr>
        <w:t> </w:t>
      </w:r>
      <w:r>
        <w:rPr>
          <w:spacing w:val="-14"/>
          <w:sz w:val="20"/>
        </w:rPr>
        <w:t> </w:t>
      </w:r>
      <w:r>
        <w:rPr>
          <w:w w:val="176"/>
          <w:sz w:val="20"/>
        </w:rPr>
        <w:t> </w:t>
      </w:r>
      <w:r>
        <w:rPr>
          <w:sz w:val="20"/>
        </w:rPr>
        <w:t> </w:t>
      </w:r>
      <w:r>
        <w:rPr>
          <w:spacing w:val="-14"/>
          <w:sz w:val="20"/>
        </w:rPr>
        <w:t> </w:t>
      </w:r>
      <w:r>
        <w:rPr>
          <w:spacing w:val="-2"/>
          <w:w w:val="199"/>
          <w:sz w:val="20"/>
        </w:rPr>
        <w:t>  </w:t>
      </w:r>
      <w:r>
        <w:rPr>
          <w:w w:val="176"/>
          <w:sz w:val="20"/>
        </w:rPr>
        <w:t> </w:t>
      </w:r>
      <w:r>
        <w:rPr>
          <w:sz w:val="20"/>
        </w:rPr>
        <w:t> </w:t>
      </w:r>
      <w:r>
        <w:rPr>
          <w:spacing w:val="-14"/>
          <w:sz w:val="20"/>
        </w:rPr>
        <w:t> </w:t>
      </w:r>
      <w:r>
        <w:rPr>
          <w:w w:val="132"/>
          <w:sz w:val="20"/>
        </w:rPr>
        <w:t> </w:t>
      </w:r>
      <w:r>
        <w:rPr>
          <w:w w:val="188"/>
          <w:sz w:val="20"/>
        </w:rPr>
        <w:t> </w:t>
      </w:r>
      <w:r>
        <w:rPr>
          <w:spacing w:val="-1"/>
          <w:w w:val="188"/>
          <w:sz w:val="20"/>
        </w:rPr>
        <w:t> </w:t>
      </w:r>
      <w:r>
        <w:rPr>
          <w:w w:val="143"/>
          <w:sz w:val="20"/>
        </w:rPr>
        <w:t>  </w:t>
      </w:r>
      <w:r>
        <w:rPr>
          <w:sz w:val="20"/>
        </w:rPr>
        <w:t> </w:t>
      </w:r>
      <w:r>
        <w:rPr>
          <w:spacing w:val="-14"/>
          <w:sz w:val="20"/>
        </w:rPr>
        <w:t> </w:t>
      </w:r>
      <w:r>
        <w:rPr>
          <w:spacing w:val="-2"/>
          <w:w w:val="132"/>
          <w:sz w:val="20"/>
        </w:rPr>
        <w:t> </w:t>
      </w:r>
      <w:r>
        <w:rPr>
          <w:w w:val="132"/>
          <w:sz w:val="20"/>
        </w:rPr>
        <w:t> </w:t>
      </w:r>
      <w:r>
        <w:rPr>
          <w:spacing w:val="-1"/>
          <w:w w:val="132"/>
          <w:sz w:val="20"/>
        </w:rPr>
        <w:t> </w:t>
      </w:r>
      <w:r>
        <w:rPr>
          <w:w w:val="176"/>
          <w:sz w:val="20"/>
        </w:rPr>
        <w:t>  </w:t>
      </w:r>
      <w:r>
        <w:rPr>
          <w:w w:val="110"/>
          <w:sz w:val="20"/>
        </w:rPr>
        <w:t> </w:t>
      </w:r>
      <w:r>
        <w:rPr>
          <w:sz w:val="20"/>
        </w:rPr>
        <w:t> </w:t>
      </w:r>
      <w:r>
        <w:rPr>
          <w:spacing w:val="-14"/>
          <w:sz w:val="20"/>
        </w:rPr>
        <w:t> </w:t>
      </w:r>
      <w:r>
        <w:rPr>
          <w:spacing w:val="1"/>
          <w:w w:val="199"/>
          <w:sz w:val="20"/>
        </w:rPr>
        <w:t> </w:t>
      </w:r>
      <w:r>
        <w:rPr>
          <w:w w:val="176"/>
          <w:sz w:val="20"/>
        </w:rPr>
        <w:t> </w:t>
      </w:r>
      <w:r>
        <w:rPr>
          <w:sz w:val="20"/>
        </w:rPr>
        <w:t> </w:t>
      </w:r>
      <w:r>
        <w:rPr>
          <w:spacing w:val="-14"/>
          <w:sz w:val="20"/>
        </w:rPr>
        <w:t> </w:t>
      </w:r>
      <w:r>
        <w:rPr>
          <w:spacing w:val="1"/>
          <w:w w:val="199"/>
          <w:sz w:val="20"/>
        </w:rPr>
        <w:t> </w:t>
      </w:r>
      <w:r>
        <w:rPr>
          <w:spacing w:val="-2"/>
          <w:w w:val="132"/>
          <w:sz w:val="20"/>
        </w:rPr>
        <w:t> </w:t>
      </w:r>
      <w:r>
        <w:rPr>
          <w:w w:val="199"/>
          <w:sz w:val="20"/>
        </w:rPr>
        <w:t> </w:t>
      </w:r>
      <w:r>
        <w:rPr>
          <w:sz w:val="20"/>
        </w:rPr>
        <w:t>  </w:t>
      </w:r>
      <w:r>
        <w:rPr>
          <w:spacing w:val="-13"/>
          <w:sz w:val="20"/>
        </w:rPr>
        <w:t> </w:t>
      </w:r>
      <w:r>
        <w:rPr>
          <w:w w:val="1"/>
          <w:sz w:val="20"/>
        </w:rPr>
        <w:t> </w:t>
      </w:r>
      <w:r>
        <w:rPr>
          <w:sz w:val="20"/>
        </w:rPr>
        <w:t>  </w:t>
      </w:r>
      <w:r>
        <w:rPr>
          <w:spacing w:val="17"/>
          <w:sz w:val="20"/>
        </w:rPr>
        <w:t> </w:t>
      </w:r>
      <w:r>
        <w:rPr>
          <w:w w:val="154"/>
          <w:sz w:val="20"/>
        </w:rPr>
        <w:t>   </w:t>
      </w:r>
      <w:r>
        <w:rPr>
          <w:sz w:val="20"/>
        </w:rPr>
        <w:t> </w:t>
      </w:r>
      <w:r>
        <w:rPr>
          <w:spacing w:val="-15"/>
          <w:sz w:val="20"/>
        </w:rPr>
        <w:t> </w:t>
      </w:r>
      <w:r>
        <w:rPr>
          <w:spacing w:val="-2"/>
          <w:w w:val="199"/>
          <w:sz w:val="20"/>
        </w:rPr>
        <w:t> </w:t>
      </w:r>
      <w:r>
        <w:rPr>
          <w:w w:val="160"/>
          <w:sz w:val="20"/>
        </w:rPr>
        <w:t>    </w:t>
      </w:r>
      <w:r>
        <w:rPr>
          <w:w w:val="154"/>
          <w:sz w:val="20"/>
        </w:rPr>
        <w:t> </w:t>
      </w:r>
      <w:r>
        <w:rPr>
          <w:w w:val="99"/>
          <w:sz w:val="20"/>
        </w:rPr>
        <w:t>c</w:t>
      </w:r>
      <w:r>
        <w:rPr>
          <w:spacing w:val="1"/>
          <w:w w:val="99"/>
          <w:sz w:val="20"/>
        </w:rPr>
        <w:t>o</w:t>
      </w:r>
      <w:r>
        <w:rPr>
          <w:w w:val="99"/>
          <w:sz w:val="20"/>
        </w:rPr>
        <w:t>rrie</w:t>
      </w:r>
      <w:r>
        <w:rPr>
          <w:spacing w:val="-1"/>
          <w:w w:val="99"/>
          <w:sz w:val="20"/>
        </w:rPr>
        <w:t>n</w:t>
      </w:r>
      <w:r>
        <w:rPr>
          <w:w w:val="99"/>
          <w:sz w:val="20"/>
        </w:rPr>
        <w:t>tes</w:t>
      </w:r>
      <w:r>
        <w:rPr>
          <w:sz w:val="20"/>
        </w:rPr>
        <w:t> </w:t>
      </w:r>
      <w:r>
        <w:rPr>
          <w:spacing w:val="-24"/>
          <w:sz w:val="20"/>
        </w:rPr>
        <w:t> </w:t>
      </w:r>
      <w:r>
        <w:rPr>
          <w:spacing w:val="-1"/>
          <w:w w:val="99"/>
          <w:sz w:val="20"/>
        </w:rPr>
        <w:t>s</w:t>
      </w:r>
      <w:r>
        <w:rPr>
          <w:w w:val="99"/>
          <w:sz w:val="20"/>
        </w:rPr>
        <w:t>e</w:t>
      </w:r>
      <w:r>
        <w:rPr>
          <w:sz w:val="20"/>
        </w:rPr>
        <w:t> </w:t>
      </w:r>
      <w:r>
        <w:rPr>
          <w:spacing w:val="-24"/>
          <w:sz w:val="20"/>
        </w:rPr>
        <w:t> </w:t>
      </w:r>
      <w:r>
        <w:rPr>
          <w:w w:val="99"/>
          <w:sz w:val="20"/>
        </w:rPr>
        <w:t>l</w:t>
      </w:r>
      <w:r>
        <w:rPr>
          <w:spacing w:val="1"/>
          <w:w w:val="99"/>
          <w:sz w:val="20"/>
        </w:rPr>
        <w:t>i</w:t>
      </w:r>
      <w:r>
        <w:rPr>
          <w:spacing w:val="-4"/>
          <w:w w:val="99"/>
          <w:sz w:val="20"/>
        </w:rPr>
        <w:t>m</w:t>
      </w:r>
      <w:r>
        <w:rPr>
          <w:spacing w:val="2"/>
          <w:w w:val="99"/>
          <w:sz w:val="20"/>
        </w:rPr>
        <w:t>i</w:t>
      </w:r>
      <w:r>
        <w:rPr>
          <w:w w:val="99"/>
          <w:sz w:val="20"/>
        </w:rPr>
        <w:t>tan</w:t>
      </w:r>
      <w:r>
        <w:rPr>
          <w:sz w:val="20"/>
        </w:rPr>
        <w:t> </w:t>
      </w:r>
      <w:r>
        <w:rPr>
          <w:spacing w:val="-25"/>
          <w:sz w:val="20"/>
        </w:rPr>
        <w:t> </w:t>
      </w:r>
      <w:r>
        <w:rPr>
          <w:w w:val="99"/>
          <w:sz w:val="20"/>
        </w:rPr>
        <w:t>a</w:t>
      </w:r>
      <w:r>
        <w:rPr>
          <w:sz w:val="20"/>
        </w:rPr>
        <w:t> </w:t>
      </w:r>
      <w:r>
        <w:rPr>
          <w:spacing w:val="-24"/>
          <w:sz w:val="20"/>
        </w:rPr>
        <w:t> </w:t>
      </w:r>
      <w:r>
        <w:rPr>
          <w:w w:val="99"/>
          <w:sz w:val="20"/>
        </w:rPr>
        <w:t>lo</w:t>
      </w:r>
      <w:r>
        <w:rPr>
          <w:w w:val="99"/>
          <w:sz w:val="20"/>
        </w:rPr>
        <w:t>s</w:t>
      </w:r>
      <w:r>
        <w:rPr>
          <w:sz w:val="20"/>
        </w:rPr>
        <w:t> </w:t>
      </w:r>
      <w:r>
        <w:rPr>
          <w:spacing w:val="-24"/>
          <w:sz w:val="20"/>
        </w:rPr>
        <w:t> </w:t>
      </w:r>
      <w:r>
        <w:rPr>
          <w:w w:val="99"/>
          <w:sz w:val="20"/>
        </w:rPr>
        <w:t>in</w:t>
      </w:r>
      <w:r>
        <w:rPr>
          <w:spacing w:val="-2"/>
          <w:w w:val="99"/>
          <w:sz w:val="20"/>
        </w:rPr>
        <w:t>g</w:t>
      </w:r>
      <w:r>
        <w:rPr>
          <w:w w:val="99"/>
          <w:sz w:val="20"/>
        </w:rPr>
        <w:t>r</w:t>
      </w:r>
      <w:r>
        <w:rPr>
          <w:w w:val="99"/>
          <w:sz w:val="20"/>
        </w:rPr>
        <w:t>eso</w:t>
      </w:r>
      <w:r>
        <w:rPr>
          <w:w w:val="99"/>
          <w:sz w:val="20"/>
        </w:rPr>
        <w:t>s</w:t>
      </w:r>
      <w:r>
        <w:rPr>
          <w:sz w:val="20"/>
        </w:rPr>
        <w:t> </w:t>
      </w:r>
      <w:r>
        <w:rPr>
          <w:spacing w:val="-24"/>
          <w:sz w:val="20"/>
        </w:rPr>
        <w:t> </w:t>
      </w:r>
      <w:r>
        <w:rPr>
          <w:w w:val="99"/>
          <w:sz w:val="20"/>
        </w:rPr>
        <w:t>c</w:t>
      </w:r>
      <w:r>
        <w:rPr>
          <w:spacing w:val="1"/>
          <w:w w:val="99"/>
          <w:sz w:val="20"/>
        </w:rPr>
        <w:t>o</w:t>
      </w:r>
      <w:r>
        <w:rPr>
          <w:w w:val="99"/>
          <w:sz w:val="20"/>
        </w:rPr>
        <w:t>rrie</w:t>
      </w:r>
      <w:r>
        <w:rPr>
          <w:spacing w:val="3"/>
          <w:w w:val="99"/>
          <w:sz w:val="20"/>
        </w:rPr>
        <w:t>n</w:t>
      </w:r>
      <w:r>
        <w:rPr>
          <w:w w:val="99"/>
          <w:sz w:val="20"/>
        </w:rPr>
        <w:t>tes</w:t>
      </w:r>
      <w:r>
        <w:rPr>
          <w:sz w:val="20"/>
        </w:rPr>
        <w:t> </w:t>
      </w:r>
      <w:r>
        <w:rPr>
          <w:spacing w:val="-22"/>
          <w:sz w:val="20"/>
        </w:rPr>
        <w:t> </w:t>
      </w:r>
      <w:r>
        <w:rPr>
          <w:w w:val="99"/>
          <w:sz w:val="20"/>
        </w:rPr>
        <w:t>y</w:t>
      </w:r>
      <w:r>
        <w:rPr>
          <w:spacing w:val="23"/>
          <w:sz w:val="20"/>
        </w:rPr>
        <w:t> </w:t>
      </w:r>
      <w:r>
        <w:rPr>
          <w:w w:val="99"/>
          <w:sz w:val="20"/>
        </w:rPr>
        <w:t>el</w:t>
      </w:r>
      <w:r>
        <w:rPr>
          <w:sz w:val="20"/>
        </w:rPr>
        <w:t> </w:t>
      </w:r>
      <w:r>
        <w:rPr>
          <w:spacing w:val="-24"/>
          <w:sz w:val="20"/>
        </w:rPr>
        <w:t> </w:t>
      </w:r>
      <w:r>
        <w:rPr>
          <w:spacing w:val="-2"/>
          <w:w w:val="99"/>
          <w:sz w:val="20"/>
        </w:rPr>
        <w:t>g</w:t>
      </w:r>
      <w:r>
        <w:rPr>
          <w:spacing w:val="2"/>
          <w:w w:val="99"/>
          <w:sz w:val="20"/>
        </w:rPr>
        <w:t>a</w:t>
      </w:r>
      <w:r>
        <w:rPr>
          <w:spacing w:val="-1"/>
          <w:w w:val="99"/>
          <w:sz w:val="20"/>
        </w:rPr>
        <w:t>s</w:t>
      </w:r>
      <w:r>
        <w:rPr>
          <w:w w:val="99"/>
          <w:sz w:val="20"/>
        </w:rPr>
        <w:t>to</w:t>
      </w:r>
      <w:r>
        <w:rPr>
          <w:sz w:val="20"/>
        </w:rPr>
        <w:t> </w:t>
      </w:r>
      <w:r>
        <w:rPr>
          <w:spacing w:val="-22"/>
          <w:sz w:val="20"/>
        </w:rPr>
        <w:t> </w:t>
      </w:r>
      <w:r>
        <w:rPr>
          <w:spacing w:val="1"/>
          <w:w w:val="99"/>
          <w:sz w:val="20"/>
        </w:rPr>
        <w:t>d</w:t>
      </w:r>
      <w:r>
        <w:rPr>
          <w:w w:val="99"/>
          <w:sz w:val="20"/>
        </w:rPr>
        <w:t>e</w:t>
      </w:r>
      <w:r>
        <w:rPr>
          <w:sz w:val="20"/>
        </w:rPr>
        <w:t> </w:t>
      </w:r>
      <w:r>
        <w:rPr>
          <w:spacing w:val="-24"/>
          <w:sz w:val="20"/>
        </w:rPr>
        <w:t> </w:t>
      </w:r>
      <w:r>
        <w:rPr>
          <w:w w:val="99"/>
          <w:sz w:val="20"/>
        </w:rPr>
        <w:t>ca</w:t>
      </w:r>
      <w:r>
        <w:rPr>
          <w:spacing w:val="1"/>
          <w:w w:val="99"/>
          <w:sz w:val="20"/>
        </w:rPr>
        <w:t>p</w:t>
      </w:r>
      <w:r>
        <w:rPr>
          <w:w w:val="99"/>
          <w:sz w:val="20"/>
        </w:rPr>
        <w:t>ital</w:t>
      </w:r>
      <w:r>
        <w:rPr>
          <w:sz w:val="20"/>
        </w:rPr>
        <w:t> </w:t>
      </w:r>
      <w:r>
        <w:rPr>
          <w:spacing w:val="-25"/>
          <w:sz w:val="20"/>
        </w:rPr>
        <w:t> </w:t>
      </w:r>
      <w:r>
        <w:rPr>
          <w:w w:val="165"/>
          <w:sz w:val="20"/>
        </w:rPr>
        <w:t>  </w:t>
      </w:r>
      <w:r>
        <w:rPr>
          <w:sz w:val="20"/>
        </w:rPr>
        <w:t> </w:t>
      </w:r>
      <w:r>
        <w:rPr>
          <w:spacing w:val="-24"/>
          <w:sz w:val="20"/>
        </w:rPr>
        <w:t> </w:t>
      </w:r>
      <w:r>
        <w:rPr>
          <w:spacing w:val="-2"/>
          <w:w w:val="132"/>
          <w:sz w:val="20"/>
        </w:rPr>
        <w:t> </w:t>
      </w:r>
      <w:r>
        <w:rPr>
          <w:spacing w:val="2"/>
          <w:w w:val="110"/>
          <w:sz w:val="20"/>
        </w:rPr>
        <w:t> </w:t>
      </w:r>
      <w:r>
        <w:rPr>
          <w:spacing w:val="-2"/>
          <w:w w:val="199"/>
          <w:sz w:val="20"/>
        </w:rPr>
        <w:t> </w:t>
      </w:r>
      <w:r>
        <w:rPr>
          <w:spacing w:val="2"/>
          <w:w w:val="176"/>
          <w:sz w:val="20"/>
        </w:rPr>
        <w:t> </w:t>
      </w:r>
      <w:r>
        <w:rPr>
          <w:spacing w:val="-2"/>
          <w:w w:val="199"/>
          <w:sz w:val="20"/>
        </w:rPr>
        <w:t> </w:t>
      </w:r>
      <w:r>
        <w:rPr>
          <w:w w:val="165"/>
          <w:sz w:val="20"/>
        </w:rPr>
        <w:t>   </w:t>
      </w:r>
      <w:r>
        <w:rPr>
          <w:spacing w:val="1"/>
          <w:w w:val="165"/>
          <w:sz w:val="20"/>
        </w:rPr>
        <w:t> </w:t>
      </w:r>
      <w:r>
        <w:rPr>
          <w:w w:val="199"/>
          <w:sz w:val="20"/>
        </w:rPr>
        <w:t> </w:t>
      </w:r>
      <w:r>
        <w:rPr>
          <w:sz w:val="20"/>
        </w:rPr>
        <w:t> </w:t>
      </w:r>
      <w:r>
        <w:rPr>
          <w:spacing w:val="-23"/>
          <w:sz w:val="20"/>
        </w:rPr>
        <w:t> </w:t>
      </w:r>
      <w:r>
        <w:rPr>
          <w:w w:val="188"/>
          <w:sz w:val="20"/>
        </w:rPr>
        <w:t> </w:t>
      </w:r>
      <w:r>
        <w:rPr>
          <w:spacing w:val="1"/>
          <w:w w:val="188"/>
          <w:sz w:val="20"/>
        </w:rPr>
        <w:t> </w:t>
      </w:r>
      <w:r>
        <w:rPr>
          <w:w w:val="199"/>
          <w:sz w:val="20"/>
        </w:rPr>
        <w:t> </w:t>
      </w:r>
      <w:r>
        <w:rPr>
          <w:sz w:val="20"/>
        </w:rPr>
        <w:t> </w:t>
      </w:r>
      <w:r>
        <w:rPr>
          <w:spacing w:val="-25"/>
          <w:sz w:val="20"/>
        </w:rPr>
        <w:t> </w:t>
      </w:r>
      <w:r>
        <w:rPr>
          <w:w w:val="154"/>
          <w:sz w:val="20"/>
        </w:rPr>
        <w:t> </w:t>
      </w:r>
      <w:r>
        <w:rPr>
          <w:spacing w:val="-2"/>
          <w:w w:val="154"/>
          <w:sz w:val="20"/>
        </w:rPr>
        <w:t> </w:t>
      </w:r>
      <w:r>
        <w:rPr>
          <w:spacing w:val="-2"/>
          <w:w w:val="199"/>
          <w:sz w:val="20"/>
        </w:rPr>
        <w:t> </w:t>
      </w:r>
      <w:r>
        <w:rPr>
          <w:w w:val="132"/>
          <w:sz w:val="20"/>
        </w:rPr>
        <w:t> </w:t>
      </w:r>
      <w:r>
        <w:rPr>
          <w:w w:val="177"/>
          <w:sz w:val="20"/>
        </w:rPr>
        <w:t>   </w:t>
      </w:r>
      <w:r>
        <w:rPr>
          <w:w w:val="154"/>
          <w:sz w:val="20"/>
        </w:rPr>
        <w:t> </w:t>
      </w:r>
      <w:r>
        <w:rPr>
          <w:sz w:val="20"/>
        </w:rPr>
        <w:t> </w:t>
      </w:r>
      <w:r>
        <w:rPr>
          <w:spacing w:val="-24"/>
          <w:sz w:val="20"/>
        </w:rPr>
        <w:t> </w:t>
      </w:r>
      <w:r>
        <w:rPr>
          <w:spacing w:val="1"/>
          <w:w w:val="199"/>
          <w:sz w:val="20"/>
        </w:rPr>
        <w:t> </w:t>
      </w:r>
      <w:r>
        <w:rPr>
          <w:w w:val="176"/>
          <w:sz w:val="20"/>
        </w:rPr>
        <w:t> </w:t>
      </w:r>
      <w:r>
        <w:rPr>
          <w:sz w:val="20"/>
        </w:rPr>
        <w:t> </w:t>
      </w:r>
      <w:r>
        <w:rPr>
          <w:spacing w:val="-24"/>
          <w:sz w:val="20"/>
        </w:rPr>
        <w:t> </w:t>
      </w:r>
      <w:r>
        <w:rPr>
          <w:w w:val="176"/>
          <w:sz w:val="20"/>
        </w:rPr>
        <w:t>  </w:t>
      </w:r>
      <w:r>
        <w:rPr>
          <w:spacing w:val="1"/>
          <w:w w:val="199"/>
          <w:sz w:val="20"/>
        </w:rPr>
        <w:t> </w:t>
      </w:r>
      <w:r>
        <w:rPr>
          <w:w w:val="127"/>
          <w:sz w:val="20"/>
        </w:rPr>
        <w:t>    </w:t>
      </w:r>
      <w:r>
        <w:rPr>
          <w:sz w:val="20"/>
        </w:rPr>
        <w:t> </w:t>
      </w:r>
      <w:r>
        <w:rPr>
          <w:spacing w:val="-24"/>
          <w:sz w:val="20"/>
        </w:rPr>
        <w:t> </w:t>
      </w:r>
      <w:r>
        <w:rPr>
          <w:w w:val="199"/>
          <w:sz w:val="20"/>
        </w:rPr>
        <w:t> </w:t>
      </w:r>
    </w:p>
    <w:p>
      <w:pPr>
        <w:spacing w:before="0"/>
        <w:ind w:left="122" w:right="115" w:firstLine="0"/>
        <w:jc w:val="left"/>
        <w:rPr>
          <w:sz w:val="20"/>
        </w:rPr>
      </w:pPr>
      <w:r>
        <w:rPr>
          <w:w w:val="199"/>
          <w:sz w:val="20"/>
        </w:rPr>
        <w:t> </w:t>
      </w:r>
      <w:r>
        <w:rPr>
          <w:w w:val="188"/>
          <w:sz w:val="20"/>
        </w:rPr>
        <w:t>  </w:t>
      </w:r>
      <w:r>
        <w:rPr>
          <w:w w:val="199"/>
          <w:sz w:val="20"/>
        </w:rPr>
        <w:t> </w:t>
      </w:r>
      <w:r>
        <w:rPr>
          <w:w w:val="176"/>
          <w:sz w:val="20"/>
        </w:rPr>
        <w:t> </w:t>
      </w:r>
      <w:r>
        <w:rPr>
          <w:sz w:val="20"/>
        </w:rPr>
        <w:t> </w:t>
      </w:r>
      <w:r>
        <w:rPr>
          <w:w w:val="199"/>
          <w:sz w:val="20"/>
        </w:rPr>
        <w:t>   </w:t>
      </w:r>
      <w:r>
        <w:rPr>
          <w:w w:val="143"/>
          <w:sz w:val="20"/>
        </w:rPr>
        <w:t>    </w:t>
      </w:r>
      <w:r>
        <w:rPr>
          <w:sz w:val="20"/>
        </w:rPr>
        <w:t> </w:t>
      </w:r>
      <w:r>
        <w:rPr>
          <w:w w:val="49"/>
          <w:sz w:val="20"/>
        </w:rPr>
        <w:t>  </w:t>
      </w:r>
      <w:r>
        <w:rPr>
          <w:sz w:val="20"/>
        </w:rPr>
        <w:t> </w:t>
      </w:r>
      <w:r>
        <w:rPr>
          <w:w w:val="221"/>
          <w:sz w:val="20"/>
        </w:rPr>
        <w:t> </w:t>
      </w:r>
      <w:r>
        <w:rPr>
          <w:w w:val="154"/>
          <w:sz w:val="20"/>
        </w:rPr>
        <w:t>  </w:t>
      </w:r>
      <w:r>
        <w:rPr>
          <w:w w:val="176"/>
          <w:sz w:val="20"/>
        </w:rPr>
        <w:t> </w:t>
      </w:r>
      <w:r>
        <w:rPr>
          <w:sz w:val="20"/>
        </w:rPr>
        <w:t> </w:t>
      </w:r>
      <w:r>
        <w:rPr>
          <w:w w:val="199"/>
          <w:sz w:val="20"/>
        </w:rPr>
        <w:t> </w:t>
      </w:r>
      <w:r>
        <w:rPr>
          <w:w w:val="154"/>
          <w:sz w:val="20"/>
        </w:rPr>
        <w:t>     </w:t>
      </w:r>
      <w:r>
        <w:rPr>
          <w:sz w:val="20"/>
        </w:rPr>
        <w:t> </w:t>
      </w:r>
      <w:r>
        <w:rPr>
          <w:w w:val="199"/>
          <w:sz w:val="20"/>
        </w:rPr>
        <w:t> </w:t>
      </w:r>
      <w:r>
        <w:rPr>
          <w:w w:val="176"/>
          <w:sz w:val="20"/>
        </w:rPr>
        <w:t> </w:t>
      </w:r>
      <w:r>
        <w:rPr>
          <w:w w:val="199"/>
          <w:sz w:val="20"/>
        </w:rPr>
        <w:t> </w:t>
      </w:r>
      <w:r>
        <w:rPr>
          <w:w w:val="188"/>
          <w:sz w:val="20"/>
        </w:rPr>
        <w:t>  </w:t>
      </w:r>
      <w:r>
        <w:rPr>
          <w:w w:val="199"/>
          <w:sz w:val="20"/>
        </w:rPr>
        <w:t> </w:t>
      </w:r>
      <w:r>
        <w:rPr>
          <w:w w:val="162"/>
          <w:sz w:val="20"/>
        </w:rPr>
        <w:t>   </w:t>
      </w:r>
      <w:r>
        <w:rPr>
          <w:w w:val="147"/>
          <w:sz w:val="20"/>
        </w:rPr>
        <w:t>   </w:t>
      </w:r>
      <w:r>
        <w:rPr>
          <w:sz w:val="20"/>
        </w:rPr>
        <w:t> </w:t>
      </w:r>
      <w:r>
        <w:rPr>
          <w:w w:val="199"/>
          <w:sz w:val="20"/>
        </w:rPr>
        <w:t> </w:t>
      </w:r>
      <w:r>
        <w:rPr>
          <w:w w:val="143"/>
          <w:sz w:val="20"/>
        </w:rPr>
        <w:t>  </w:t>
      </w:r>
      <w:r>
        <w:rPr>
          <w:sz w:val="20"/>
        </w:rPr>
        <w:t> </w:t>
      </w:r>
      <w:r>
        <w:rPr>
          <w:w w:val="199"/>
          <w:sz w:val="20"/>
        </w:rPr>
        <w:t> </w:t>
      </w:r>
      <w:r>
        <w:rPr>
          <w:w w:val="140"/>
          <w:sz w:val="20"/>
        </w:rPr>
        <w:t>   </w:t>
      </w:r>
      <w:r>
        <w:rPr>
          <w:w w:val="199"/>
          <w:sz w:val="20"/>
        </w:rPr>
        <w:t> </w:t>
      </w:r>
      <w:r>
        <w:rPr>
          <w:w w:val="162"/>
          <w:sz w:val="20"/>
        </w:rPr>
        <w:t>   </w:t>
      </w:r>
      <w:r>
        <w:rPr>
          <w:sz w:val="20"/>
        </w:rPr>
        <w:t> se propone que el gasto corriente se limite a los ingresos fiscales no petroleros.</w:t>
      </w:r>
    </w:p>
    <w:p>
      <w:pPr>
        <w:pStyle w:val="BodyText"/>
        <w:spacing w:before="10"/>
        <w:rPr>
          <w:sz w:val="17"/>
        </w:rPr>
      </w:pPr>
    </w:p>
    <w:p>
      <w:pPr>
        <w:spacing w:before="0"/>
        <w:ind w:left="122" w:right="115" w:firstLine="0"/>
        <w:jc w:val="left"/>
        <w:rPr>
          <w:sz w:val="20"/>
        </w:rPr>
      </w:pPr>
      <w:r>
        <w:rPr>
          <w:position w:val="9"/>
          <w:sz w:val="13"/>
        </w:rPr>
        <w:t>62 </w:t>
      </w:r>
      <w:r>
        <w:rPr>
          <w:sz w:val="20"/>
        </w:rPr>
        <w:t>Cuando fue  necesario se aplicó logaritmo natural a las series para estabilizar su varianza.</w:t>
      </w:r>
    </w:p>
    <w:p>
      <w:pPr>
        <w:pStyle w:val="BodyText"/>
        <w:spacing w:before="8"/>
        <w:rPr>
          <w:sz w:val="17"/>
        </w:rPr>
      </w:pPr>
    </w:p>
    <w:p>
      <w:pPr>
        <w:spacing w:before="0"/>
        <w:ind w:left="122" w:right="115" w:firstLine="0"/>
        <w:jc w:val="left"/>
        <w:rPr>
          <w:sz w:val="20"/>
        </w:rPr>
      </w:pPr>
      <w:r>
        <w:rPr>
          <w:position w:val="9"/>
          <w:sz w:val="13"/>
        </w:rPr>
        <w:t>63 </w:t>
      </w:r>
      <w:r>
        <w:rPr>
          <w:sz w:val="20"/>
        </w:rPr>
        <w:t>En el balance fiscal global se incluyen los intereses pagados de la deuda pública correspondiente al Sector Público No Financiero. Para el Balance fiscal global cíclicamente ajustado,  el resultado fiscal fue ajustado   a</w:t>
      </w:r>
    </w:p>
    <w:p>
      <w:pPr>
        <w:spacing w:after="0"/>
        <w:jc w:val="left"/>
        <w:rPr>
          <w:sz w:val="20"/>
        </w:rPr>
        <w:sectPr>
          <w:pgSz w:w="12250" w:h="15850"/>
          <w:pgMar w:header="0" w:footer="1037" w:top="1500" w:bottom="1220" w:left="1580" w:right="1580"/>
        </w:sectPr>
      </w:pPr>
    </w:p>
    <w:p>
      <w:pPr>
        <w:pStyle w:val="BodyText"/>
        <w:spacing w:line="360" w:lineRule="auto" w:before="50"/>
        <w:ind w:left="122" w:right="119" w:firstLine="707"/>
        <w:jc w:val="both"/>
      </w:pPr>
      <w:r>
        <w:rPr/>
        <w:t>Para los cuatros modelos especificados (A, B, C y D), se incluyeron tres variables  de control: (i) la brecha del producto para captar los comovimientos en relación a la actividad económica; (ii) la producción del gas natural; (iii) el costo real de la deuda pública.</w:t>
      </w:r>
    </w:p>
    <w:p>
      <w:pPr>
        <w:pStyle w:val="BodyText"/>
        <w:spacing w:line="345" w:lineRule="auto" w:before="6"/>
        <w:ind w:left="122" w:right="115" w:firstLine="707"/>
        <w:jc w:val="both"/>
      </w:pPr>
      <w:r>
        <w:rPr/>
        <w:t>Las variables de control permiten una mejor intervención sobre enfoques probabilísticos.</w:t>
      </w:r>
      <w:r>
        <w:rPr>
          <w:position w:val="11"/>
          <w:sz w:val="16"/>
        </w:rPr>
        <w:t>64 </w:t>
      </w:r>
      <w:r>
        <w:rPr/>
        <w:t>De forma adicional, la omisión de las variables de control puede llevar a conclusiones diferentes sobre los fenómenos a explicar (Wooldridge, 2010).</w:t>
      </w:r>
    </w:p>
    <w:p>
      <w:pPr>
        <w:pStyle w:val="BodyText"/>
        <w:spacing w:line="350" w:lineRule="auto" w:before="20"/>
        <w:ind w:left="122" w:right="115" w:firstLine="707"/>
        <w:jc w:val="both"/>
      </w:pPr>
      <w:r>
        <w:rPr/>
        <w:t>Todas las variables empleadas fueron desestacionalizadas mediante el método de diferenciación aditiva en media móvil</w:t>
      </w:r>
      <w:r>
        <w:rPr>
          <w:position w:val="11"/>
          <w:sz w:val="16"/>
        </w:rPr>
        <w:t>65 </w:t>
      </w:r>
      <w:r>
        <w:rPr/>
        <w:t>. En la  </w:t>
      </w:r>
      <w:r>
        <w:rPr>
          <w:i/>
        </w:rPr>
        <w:t>figura 4.1 </w:t>
      </w:r>
      <w:r>
        <w:rPr/>
        <w:t>se presentan las gráficas de  series de  tiempo  (en  escala  logarítmica),  excepto  para  el  balance  primario  no  petrolero        </w:t>
      </w:r>
      <w:r>
        <w:rPr>
          <w:spacing w:val="13"/>
        </w:rPr>
        <w:t> </w:t>
      </w:r>
      <w:r>
        <w:rPr/>
        <w:t>.</w:t>
      </w:r>
    </w:p>
    <w:p>
      <w:pPr>
        <w:pStyle w:val="BodyText"/>
        <w:rPr>
          <w:sz w:val="20"/>
        </w:rPr>
      </w:pPr>
    </w:p>
    <w:p>
      <w:pPr>
        <w:spacing w:after="0"/>
        <w:rPr>
          <w:sz w:val="20"/>
        </w:rPr>
        <w:sectPr>
          <w:pgSz w:w="12250" w:h="15850"/>
          <w:pgMar w:header="0" w:footer="1037" w:top="1360" w:bottom="1220" w:left="1580" w:right="1580"/>
        </w:sectPr>
      </w:pPr>
    </w:p>
    <w:p>
      <w:pPr>
        <w:pStyle w:val="BodyText"/>
        <w:rPr>
          <w:sz w:val="16"/>
        </w:rPr>
      </w:pPr>
    </w:p>
    <w:p>
      <w:pPr>
        <w:pStyle w:val="BodyText"/>
        <w:rPr>
          <w:sz w:val="16"/>
        </w:rPr>
      </w:pPr>
    </w:p>
    <w:p>
      <w:pPr>
        <w:pStyle w:val="BodyText"/>
        <w:spacing w:before="4"/>
        <w:rPr>
          <w:sz w:val="23"/>
        </w:rPr>
      </w:pPr>
    </w:p>
    <w:p>
      <w:pPr>
        <w:spacing w:before="0"/>
        <w:ind w:left="256" w:right="-9" w:firstLine="0"/>
        <w:jc w:val="left"/>
        <w:rPr>
          <w:rFonts w:ascii="Calibri"/>
          <w:sz w:val="16"/>
        </w:rPr>
      </w:pPr>
      <w:bookmarkStart w:name="_bookmark113" w:id="156"/>
      <w:bookmarkEnd w:id="156"/>
      <w:r>
        <w:rPr/>
      </w:r>
      <w:r>
        <w:rPr>
          <w:rFonts w:ascii="Calibri"/>
          <w:w w:val="70"/>
          <w:sz w:val="16"/>
        </w:rPr>
        <w:t>2.90</w:t>
      </w:r>
    </w:p>
    <w:p>
      <w:pPr>
        <w:spacing w:before="88"/>
        <w:ind w:left="256" w:right="-9" w:firstLine="0"/>
        <w:jc w:val="left"/>
        <w:rPr>
          <w:rFonts w:ascii="Calibri"/>
          <w:sz w:val="16"/>
        </w:rPr>
      </w:pPr>
      <w:r>
        <w:rPr>
          <w:rFonts w:ascii="Calibri"/>
          <w:w w:val="70"/>
          <w:sz w:val="16"/>
        </w:rPr>
        <w:t>2.40</w:t>
      </w:r>
    </w:p>
    <w:p>
      <w:pPr>
        <w:spacing w:before="88"/>
        <w:ind w:left="256" w:right="-9" w:firstLine="0"/>
        <w:jc w:val="left"/>
        <w:rPr>
          <w:rFonts w:ascii="Calibri"/>
          <w:sz w:val="16"/>
        </w:rPr>
      </w:pPr>
      <w:r>
        <w:rPr>
          <w:rFonts w:ascii="Calibri"/>
          <w:w w:val="70"/>
          <w:sz w:val="16"/>
        </w:rPr>
        <w:t>1.90</w:t>
      </w:r>
    </w:p>
    <w:p>
      <w:pPr>
        <w:pStyle w:val="BodyText"/>
        <w:spacing w:before="202"/>
        <w:ind w:left="256"/>
      </w:pPr>
      <w:r>
        <w:rPr/>
        <w:br w:type="column"/>
      </w:r>
      <w:r>
        <w:rPr/>
        <w:t>Figura 4. 1: Series de tiempo en niveles con ajuste estacional, 2003 - 2011</w:t>
      </w:r>
    </w:p>
    <w:p>
      <w:pPr>
        <w:tabs>
          <w:tab w:pos="3048" w:val="left" w:leader="none"/>
        </w:tabs>
        <w:spacing w:line="244" w:lineRule="auto" w:before="101"/>
        <w:ind w:left="2834" w:right="3484" w:hanging="528"/>
        <w:jc w:val="left"/>
        <w:rPr>
          <w:rFonts w:ascii="Calibri" w:hAnsi="Calibri"/>
          <w:b/>
          <w:sz w:val="16"/>
        </w:rPr>
      </w:pPr>
      <w:r>
        <w:rPr/>
        <w:pict>
          <v:group style="position:absolute;margin-left:107.181122pt;margin-top:6.543195pt;width:96.1pt;height:79.55pt;mso-position-horizontal-relative:page;mso-position-vertical-relative:paragraph;z-index:11392" coordorigin="2144,131" coordsize="1922,1591">
            <v:shape style="position:absolute;left:713;top:6532;width:3241;height:1845" coordorigin="713,6532" coordsize="3241,1845" path="m2185,1667l2185,199m2150,1667l2185,1667m2150,1384l2185,1384m2150,1100l2185,1100m2150,828l2185,828m2150,544l2185,544m2150,260l2185,260m2185,1667l4056,1667m2185,1667l2185,1717m2468,1667l2468,1717m2750,1667l2750,1717m3032,1667l3032,1717m3315,1667l3315,1717m3597,1667l3597,1717m3880,1667l3880,1717e" filled="false" stroked="true" strokeweight=".529166pt" strokecolor="#858585">
              <v:path arrowok="t"/>
            </v:shape>
            <v:shape style="position:absolute;left:2194;top:643;width:1854;height:951" coordorigin="2194,643" coordsize="1854,951" path="m2194,1593l2207,1564,2221,1533,2234,1506,2247,1491,2260,1492,2274,1506,2287,1522,2300,1532,2366,1514,2380,1505,2393,1497,2406,1490,2419,1488,2432,1488,2446,1489,2459,1488,2472,1484,2485,1478,2499,1473,2512,1470,2525,1471,2538,1474,2552,1477,2565,1479,2631,1460,2684,1396,2710,1343,2724,1319,2763,1262,2816,1209,2830,1197,2843,1185,2856,1173,2869,1161,2882,1148,2896,1133,2909,1115,2922,1099,2935,1089,2949,1086,2962,1088,2975,1093,2988,1096,3002,1098,3015,1099,3028,1101,3041,1103,3054,1109,3068,1116,3081,1121,3134,1092,3147,1078,3160,1065,3200,1014,3227,962,3240,934,3253,912,3266,896,3280,886,3293,876,3306,862,3319,844,3332,824,3346,802,3359,782,3372,757,3385,729,3399,708,3412,706,3425,731,3438,774,3452,825,3465,871,3478,913,3491,956,3505,994,3518,1022,3531,1035,3544,1038,3557,1035,3610,997,3650,932,3663,907,3716,855,3756,845,3769,845,3782,846,3796,848,3809,853,3822,856,3888,817,3928,760,3941,741,3981,687,4034,650,4047,643e" filled="false" stroked="true" strokeweight="1.741504pt" strokecolor="#497dba">
              <v:path arrowok="t"/>
            </v:shape>
            <v:shape style="position:absolute;left:2144;top:131;width:1922;height:1591" type="#_x0000_t202" filled="false" stroked="false">
              <v:textbox inset="0,0,0,0">
                <w:txbxContent>
                  <w:p>
                    <w:pPr>
                      <w:spacing w:line="203" w:lineRule="exact" w:before="0"/>
                      <w:ind w:left="130" w:right="0" w:firstLine="0"/>
                      <w:jc w:val="left"/>
                      <w:rPr>
                        <w:rFonts w:ascii="Constantia"/>
                        <w:b/>
                        <w:sz w:val="20"/>
                      </w:rPr>
                    </w:pPr>
                    <w:r>
                      <w:rPr>
                        <w:rFonts w:ascii="Constantia"/>
                        <w:b/>
                        <w:w w:val="75"/>
                        <w:sz w:val="20"/>
                      </w:rPr>
                      <w:t>(a) Ln del precio del gas</w:t>
                    </w:r>
                  </w:p>
                  <w:p>
                    <w:pPr>
                      <w:spacing w:before="4"/>
                      <w:ind w:left="538" w:right="0" w:firstLine="0"/>
                      <w:jc w:val="left"/>
                      <w:rPr>
                        <w:rFonts w:ascii="Calibri"/>
                        <w:b/>
                        <w:sz w:val="16"/>
                      </w:rPr>
                    </w:pPr>
                    <w:r>
                      <w:rPr>
                        <w:rFonts w:ascii="Constantia"/>
                        <w:b/>
                        <w:w w:val="70"/>
                        <w:sz w:val="20"/>
                      </w:rPr>
                      <w:t>natural </w:t>
                    </w:r>
                    <w:r>
                      <w:rPr>
                        <w:rFonts w:ascii="Calibri"/>
                        <w:b/>
                        <w:w w:val="70"/>
                        <w:sz w:val="16"/>
                      </w:rPr>
                      <w:t>(y1t)</w:t>
                    </w:r>
                  </w:p>
                </w:txbxContent>
              </v:textbox>
              <w10:wrap type="none"/>
            </v:shape>
            <w10:wrap type="none"/>
          </v:group>
        </w:pict>
      </w:r>
      <w:r>
        <w:rPr/>
        <w:pict>
          <v:group style="position:absolute;margin-left:236.819046pt;margin-top:9.606796pt;width:119.2pt;height:100.05pt;mso-position-horizontal-relative:page;mso-position-vertical-relative:paragraph;z-index:-560656" coordorigin="4736,192" coordsize="2384,2001">
            <v:shape style="position:absolute;left:788;top:6532;width:3166;height:2415" coordorigin="788,6532" coordsize="3166,2415" path="m5006,2186l5006,199m4965,2186l5006,2186m4965,1692l5006,1692m4965,1186l5006,1186m4965,692l5006,692m4965,199l5006,199m5006,1186l7112,1186m5006,1186l5006,1248m5321,1186l5321,1248m5647,1186l5647,1248m5962,1186l5962,1248m6278,1186l6278,1248m6593,1186l6593,1248m6908,1186l6908,1248e" filled="false" stroked="true" strokeweight=".562912pt" strokecolor="#858585">
              <v:path arrowok="t"/>
            </v:shape>
            <v:shape style="position:absolute;left:5016;top:733;width:2086;height:1339" coordorigin="5016,733" coordsize="2086,1339" path="m5016,1597l5031,1585,5046,1573,5061,1561,5105,1520,5135,1488,5148,1478,5195,1409,5212,1291,5220,1213,5229,1131,5237,1053,5246,985,5267,903,5301,869,5314,856,5329,825,5344,790,5359,757,5373,737,5386,733,5403,735,5443,816,5453,887,5463,968,5473,1048,5483,1116,5493,1162,5505,1173,5522,1162,5540,1147,5552,1142,5567,1163,5582,1195,5597,1228,5612,1251,5624,1252,5642,1247,5659,1246,5681,1307,5691,1373,5701,1449,5711,1526,5721,1595,5731,1646,5744,1680,5761,1701,5777,1718,5791,1735,5806,1772,5820,1814,5835,1855,5850,1884,5865,1897,5880,1900,5895,1898,5954,1869,5999,1806,6014,1781,6029,1765,6044,1762,6059,1766,6118,1807,6148,1834,6163,1846,6208,1894,6238,1978,6252,2022,6267,2052,6282,2059,6297,2052,6312,2040,6327,2032,6341,2033,6357,2037,6373,2036,6386,2022,6401,1976,6416,1910,6431,1847,6446,1814,6461,1826,6476,1867,6491,1913,6506,1943,6521,1948,6535,1942,6550,1931,6565,1923,6579,1924,6595,1928,6611,1927,6625,1913,6640,1865,6655,1796,6670,1731,6684,1696,6699,1703,6714,1735,6729,1781,6744,1824,6759,1868,6774,1917,6789,1964,6818,2030,6863,2071,6878,2064,6893,2046,6908,2024,6923,2002,6938,1982,6953,1960,6967,1939,6982,1923,6997,1917,7012,1917,7027,1915,7042,1903,7057,1877,7072,1842,7087,1802,7102,1765e" filled="false" stroked="true" strokeweight="1.756549pt" strokecolor="#497dba">
              <v:path arrowok="t"/>
            </v:shape>
            <v:shape style="position:absolute;left:4736;top:1363;width:298;height:380" type="#_x0000_t75" stroked="false">
              <v:imagedata r:id="rId301" o:title=""/>
            </v:shape>
            <v:shape style="position:absolute;left:5096;top:1351;width:1848;height:393" type="#_x0000_t75" stroked="false">
              <v:imagedata r:id="rId302" o:title=""/>
            </v:shape>
            <w10:wrap type="none"/>
          </v:group>
        </w:pict>
      </w:r>
      <w:r>
        <w:rPr/>
        <w:pict>
          <v:group style="position:absolute;margin-left:376.336914pt;margin-top:5.011654pt;width:144pt;height:104.65pt;mso-position-horizontal-relative:page;mso-position-vertical-relative:paragraph;z-index:-560560" coordorigin="7527,100" coordsize="2880,2093">
            <v:shape style="position:absolute;left:788;top:6532;width:3166;height:2415" coordorigin="788,6532" coordsize="3166,2415" path="m8007,2186l8007,199m7954,2186l8007,2186m7954,1791l8007,1791m7954,1396l8007,1396m7954,1001l8007,1001m7954,606l8007,606m7954,199l8007,199m8007,1396l10177,1396m8007,1396l8007,1445m8334,1396l8334,1445m8660,1396l8660,1445m8987,1396l8987,1445m9313,1396l9313,1445m9640,1396l9640,1445m9977,1396l9977,1445e" filled="false" stroked="true" strokeweight=".571994pt" strokecolor="#858585">
              <v:path arrowok="t"/>
            </v:shape>
            <v:shape style="position:absolute;left:8017;top:656;width:2150;height:1197" coordorigin="8017,656" coordsize="2150,1197" path="m8017,826l8033,823,8048,820,8063,818,8079,817,8094,815,8110,813,8125,816,8171,873,8202,958,8219,1070,8228,1141,8237,1214,8246,1283,8263,1386,8312,1427,8324,1433,8340,1450,8355,1469,8371,1489,8386,1509,8401,1532,8417,1558,8432,1579,8447,1586,8463,1571,8478,1542,8493,1509,8509,1486,8524,1475,8539,1469,8555,1469,8570,1474,8585,1488,8601,1510,8616,1533,8632,1551,8645,1557,8662,1560,8679,1567,8693,1586,8708,1643,8724,1724,8739,1802,8754,1848,8770,1853,8785,1831,8816,1761,8846,1682,8862,1637,8877,1594,8893,1555,8908,1517,8923,1479,8939,1439,8954,1396,8969,1352,8985,1309,9015,1239,9046,1187,9077,1162,9092,1163,9107,1165,9123,1165,9138,1160,9154,1153,9169,1146,9184,1140,9200,1139,9215,1141,9230,1139,9246,1128,9261,1100,9276,1060,9292,1023,9307,1002,9322,1007,9338,1030,9353,1053,9369,1062,9384,1049,9399,1022,9415,993,9430,974,9445,970,9461,973,9476,978,9491,979,9507,974,9522,966,9537,958,9553,954,9568,955,9583,959,9599,964,9614,965,9628,966,9645,966,9662,960,9676,943,9688,893,9700,820,9712,742,9725,681,9737,656,9749,681,9762,742,9774,820,9786,892,9798,938,9812,947,9829,937,9846,922,9860,918,9875,934,9890,959,9906,985,9921,1006,9983,1044,10013,1053,10029,1058,10044,1067,10059,1085,10075,1107,10090,1130,10105,1147,10121,1158,10136,1165,10152,1170,10167,1175e" filled="false" stroked="true" strokeweight="1.78736pt" strokecolor="#497dba">
              <v:path arrowok="t"/>
            </v:shape>
            <v:shape style="position:absolute;left:7720;top:1563;width:309;height:380" type="#_x0000_t75" stroked="false">
              <v:imagedata r:id="rId303" o:title=""/>
            </v:shape>
            <v:shape style="position:absolute;left:8093;top:1551;width:1914;height:393" type="#_x0000_t75" stroked="false">
              <v:imagedata r:id="rId304" o:title=""/>
            </v:shape>
            <v:rect style="position:absolute;left:8202;top:563;width:1201;height:358" filled="true" fillcolor="#ffffff" stroked="false">
              <v:fill type="solid"/>
            </v:rect>
            <v:shape style="position:absolute;left:7585;top:136;width:250;height:958" type="#_x0000_t202" filled="false" stroked="false">
              <v:textbox inset="0,0,0,0">
                <w:txbxContent>
                  <w:p>
                    <w:pPr>
                      <w:spacing w:line="164" w:lineRule="exact" w:before="0"/>
                      <w:ind w:left="0" w:right="-12" w:firstLine="0"/>
                      <w:jc w:val="left"/>
                      <w:rPr>
                        <w:rFonts w:ascii="Calibri"/>
                        <w:sz w:val="16"/>
                      </w:rPr>
                    </w:pPr>
                    <w:r>
                      <w:rPr>
                        <w:rFonts w:ascii="Calibri"/>
                        <w:w w:val="85"/>
                        <w:sz w:val="16"/>
                      </w:rPr>
                      <w:t>0.60</w:t>
                    </w:r>
                  </w:p>
                  <w:p>
                    <w:pPr>
                      <w:spacing w:line="240" w:lineRule="auto" w:before="7"/>
                      <w:rPr>
                        <w:sz w:val="17"/>
                      </w:rPr>
                    </w:pPr>
                  </w:p>
                  <w:p>
                    <w:pPr>
                      <w:spacing w:before="0"/>
                      <w:ind w:left="0" w:right="-12" w:firstLine="0"/>
                      <w:jc w:val="left"/>
                      <w:rPr>
                        <w:rFonts w:ascii="Calibri"/>
                        <w:sz w:val="16"/>
                      </w:rPr>
                    </w:pPr>
                    <w:r>
                      <w:rPr>
                        <w:rFonts w:ascii="Calibri"/>
                        <w:w w:val="85"/>
                        <w:sz w:val="16"/>
                      </w:rPr>
                      <w:t>0.40</w:t>
                    </w:r>
                  </w:p>
                  <w:p>
                    <w:pPr>
                      <w:spacing w:line="240" w:lineRule="auto" w:before="7"/>
                      <w:rPr>
                        <w:sz w:val="17"/>
                      </w:rPr>
                    </w:pPr>
                  </w:p>
                  <w:p>
                    <w:pPr>
                      <w:spacing w:line="193" w:lineRule="exact" w:before="0"/>
                      <w:ind w:left="0" w:right="-12" w:firstLine="0"/>
                      <w:jc w:val="left"/>
                      <w:rPr>
                        <w:rFonts w:ascii="Calibri"/>
                        <w:sz w:val="16"/>
                      </w:rPr>
                    </w:pPr>
                    <w:r>
                      <w:rPr>
                        <w:rFonts w:ascii="Calibri"/>
                        <w:w w:val="85"/>
                        <w:sz w:val="16"/>
                      </w:rPr>
                      <w:t>0.20</w:t>
                    </w:r>
                  </w:p>
                </w:txbxContent>
              </v:textbox>
              <w10:wrap type="none"/>
            </v:shape>
            <v:shape style="position:absolute;left:8089;top:100;width:2318;height:1134" type="#_x0000_t202" filled="false" stroked="false">
              <v:textbox inset="0,0,0,0">
                <w:txbxContent>
                  <w:p>
                    <w:pPr>
                      <w:spacing w:line="203" w:lineRule="exact" w:before="0"/>
                      <w:ind w:left="0" w:right="-4" w:firstLine="0"/>
                      <w:jc w:val="left"/>
                      <w:rPr>
                        <w:rFonts w:ascii="Constantia" w:hAnsi="Constantia"/>
                        <w:b/>
                        <w:sz w:val="20"/>
                      </w:rPr>
                    </w:pPr>
                    <w:r>
                      <w:rPr>
                        <w:rFonts w:ascii="Constantia" w:hAnsi="Constantia"/>
                        <w:b/>
                        <w:w w:val="85"/>
                        <w:sz w:val="20"/>
                      </w:rPr>
                      <w:t>(c)</w:t>
                    </w:r>
                    <w:r>
                      <w:rPr>
                        <w:rFonts w:ascii="Constantia" w:hAnsi="Constantia"/>
                        <w:b/>
                        <w:spacing w:val="-15"/>
                        <w:w w:val="85"/>
                        <w:sz w:val="20"/>
                      </w:rPr>
                      <w:t> </w:t>
                    </w:r>
                    <w:r>
                      <w:rPr>
                        <w:rFonts w:ascii="Constantia" w:hAnsi="Constantia"/>
                        <w:b/>
                        <w:w w:val="85"/>
                        <w:sz w:val="20"/>
                      </w:rPr>
                      <w:t>Ln</w:t>
                    </w:r>
                    <w:r>
                      <w:rPr>
                        <w:rFonts w:ascii="Constantia" w:hAnsi="Constantia"/>
                        <w:b/>
                        <w:spacing w:val="-7"/>
                        <w:w w:val="85"/>
                        <w:sz w:val="20"/>
                      </w:rPr>
                      <w:t> </w:t>
                    </w:r>
                    <w:r>
                      <w:rPr>
                        <w:rFonts w:ascii="Constantia" w:hAnsi="Constantia"/>
                        <w:b/>
                        <w:w w:val="85"/>
                        <w:sz w:val="20"/>
                      </w:rPr>
                      <w:t>Asignación</w:t>
                    </w:r>
                    <w:r>
                      <w:rPr>
                        <w:rFonts w:ascii="Constantia" w:hAnsi="Constantia"/>
                        <w:b/>
                        <w:spacing w:val="-16"/>
                        <w:w w:val="85"/>
                        <w:sz w:val="20"/>
                      </w:rPr>
                      <w:t> </w:t>
                    </w:r>
                    <w:r>
                      <w:rPr>
                        <w:rFonts w:ascii="Constantia" w:hAnsi="Constantia"/>
                        <w:b/>
                        <w:w w:val="85"/>
                        <w:sz w:val="20"/>
                      </w:rPr>
                      <w:t>de</w:t>
                    </w:r>
                    <w:r>
                      <w:rPr>
                        <w:rFonts w:ascii="Constantia" w:hAnsi="Constantia"/>
                        <w:b/>
                        <w:spacing w:val="-10"/>
                        <w:w w:val="85"/>
                        <w:sz w:val="20"/>
                      </w:rPr>
                      <w:t> </w:t>
                    </w:r>
                    <w:r>
                      <w:rPr>
                        <w:rFonts w:ascii="Constantia" w:hAnsi="Constantia"/>
                        <w:b/>
                        <w:w w:val="85"/>
                        <w:sz w:val="20"/>
                      </w:rPr>
                      <w:t>ingresos</w:t>
                    </w:r>
                  </w:p>
                  <w:p>
                    <w:pPr>
                      <w:spacing w:before="4"/>
                      <w:ind w:left="486" w:right="-4" w:firstLine="0"/>
                      <w:jc w:val="left"/>
                      <w:rPr>
                        <w:rFonts w:ascii="Calibri" w:hAnsi="Calibri"/>
                        <w:b/>
                        <w:sz w:val="16"/>
                      </w:rPr>
                    </w:pPr>
                    <w:r>
                      <w:rPr>
                        <w:rFonts w:ascii="Constantia" w:hAnsi="Constantia"/>
                        <w:b/>
                        <w:w w:val="90"/>
                        <w:sz w:val="20"/>
                      </w:rPr>
                      <w:t>fisc. no gasíf. </w:t>
                    </w:r>
                    <w:r>
                      <w:rPr>
                        <w:rFonts w:ascii="Calibri" w:hAnsi="Calibri"/>
                        <w:b/>
                        <w:w w:val="90"/>
                        <w:sz w:val="16"/>
                      </w:rPr>
                      <w:t>(y3t)</w:t>
                    </w:r>
                  </w:p>
                  <w:p>
                    <w:pPr>
                      <w:spacing w:line="247" w:lineRule="auto" w:before="78"/>
                      <w:ind w:left="215" w:right="1094" w:firstLine="0"/>
                      <w:jc w:val="left"/>
                      <w:rPr>
                        <w:rFonts w:ascii="Cambria" w:hAnsi="Cambria"/>
                        <w:sz w:val="17"/>
                      </w:rPr>
                    </w:pPr>
                    <w:r>
                      <w:rPr>
                        <w:rFonts w:ascii="Cambria" w:hAnsi="Cambria"/>
                        <w:color w:val="FF0000"/>
                        <w:w w:val="95"/>
                        <w:sz w:val="17"/>
                      </w:rPr>
                      <w:t>Gasto </w:t>
                    </w:r>
                    <w:r>
                      <w:rPr>
                        <w:rFonts w:ascii="Cambria" w:hAnsi="Cambria"/>
                        <w:color w:val="FF0000"/>
                        <w:w w:val="85"/>
                        <w:sz w:val="17"/>
                      </w:rPr>
                      <w:t>corriente/ Ing. no Gasíferos</w:t>
                    </w:r>
                  </w:p>
                </w:txbxContent>
              </v:textbox>
              <w10:wrap type="none"/>
            </v:shape>
            <v:shape style="position:absolute;left:7527;top:1330;width:337;height:560" type="#_x0000_t202" filled="false" stroked="false">
              <v:textbox inset="0,0,0,0">
                <w:txbxContent>
                  <w:p>
                    <w:pPr>
                      <w:spacing w:line="164" w:lineRule="exact" w:before="0"/>
                      <w:ind w:left="204" w:right="0" w:firstLine="0"/>
                      <w:jc w:val="left"/>
                      <w:rPr>
                        <w:rFonts w:ascii="Calibri"/>
                        <w:sz w:val="16"/>
                      </w:rPr>
                    </w:pPr>
                    <w:r>
                      <w:rPr>
                        <w:rFonts w:ascii="Calibri"/>
                        <w:w w:val="86"/>
                        <w:sz w:val="16"/>
                      </w:rPr>
                      <w:t>-</w:t>
                    </w:r>
                  </w:p>
                  <w:p>
                    <w:pPr>
                      <w:spacing w:line="240" w:lineRule="auto" w:before="7"/>
                      <w:rPr>
                        <w:sz w:val="17"/>
                      </w:rPr>
                    </w:pPr>
                  </w:p>
                  <w:p>
                    <w:pPr>
                      <w:spacing w:line="193" w:lineRule="exact" w:before="0"/>
                      <w:ind w:left="0" w:right="-7" w:firstLine="0"/>
                      <w:jc w:val="left"/>
                      <w:rPr>
                        <w:rFonts w:ascii="Calibri"/>
                        <w:sz w:val="16"/>
                      </w:rPr>
                    </w:pPr>
                    <w:r>
                      <w:rPr>
                        <w:rFonts w:ascii="Calibri"/>
                        <w:w w:val="85"/>
                        <w:sz w:val="16"/>
                      </w:rPr>
                      <w:t>(0.20)</w:t>
                    </w:r>
                  </w:p>
                </w:txbxContent>
              </v:textbox>
              <w10:wrap type="none"/>
            </v:shape>
            <w10:wrap type="none"/>
          </v:group>
        </w:pict>
      </w:r>
      <w:r>
        <w:rPr>
          <w:rFonts w:ascii="Calibri" w:hAnsi="Calibri"/>
          <w:w w:val="90"/>
          <w:position w:val="6"/>
          <w:sz w:val="16"/>
        </w:rPr>
        <w:t>1.00</w:t>
        <w:tab/>
        <w:tab/>
      </w:r>
      <w:r>
        <w:rPr>
          <w:rFonts w:ascii="Constantia" w:hAnsi="Constantia"/>
          <w:b/>
          <w:w w:val="85"/>
          <w:sz w:val="20"/>
        </w:rPr>
        <w:t>(b) Ln</w:t>
      </w:r>
      <w:r>
        <w:rPr>
          <w:rFonts w:ascii="Constantia" w:hAnsi="Constantia"/>
          <w:b/>
          <w:spacing w:val="-27"/>
          <w:w w:val="85"/>
          <w:sz w:val="20"/>
        </w:rPr>
        <w:t> </w:t>
      </w:r>
      <w:r>
        <w:rPr>
          <w:rFonts w:ascii="Constantia" w:hAnsi="Constantia"/>
          <w:b/>
          <w:w w:val="85"/>
          <w:sz w:val="20"/>
        </w:rPr>
        <w:t>Asignación</w:t>
      </w:r>
      <w:r>
        <w:rPr>
          <w:rFonts w:ascii="Constantia" w:hAnsi="Constantia"/>
          <w:b/>
          <w:spacing w:val="-27"/>
          <w:w w:val="85"/>
          <w:sz w:val="20"/>
        </w:rPr>
        <w:t> </w:t>
      </w:r>
      <w:r>
        <w:rPr>
          <w:rFonts w:ascii="Constantia" w:hAnsi="Constantia"/>
          <w:b/>
          <w:w w:val="85"/>
          <w:sz w:val="20"/>
        </w:rPr>
        <w:t>de</w:t>
      </w:r>
      <w:r>
        <w:rPr>
          <w:rFonts w:ascii="Constantia" w:hAnsi="Constantia"/>
          <w:b/>
          <w:w w:val="81"/>
          <w:sz w:val="20"/>
        </w:rPr>
        <w:t> </w:t>
      </w:r>
      <w:r>
        <w:rPr>
          <w:rFonts w:ascii="Constantia" w:hAnsi="Constantia"/>
          <w:b/>
          <w:w w:val="85"/>
          <w:sz w:val="20"/>
        </w:rPr>
        <w:t>ingresos</w:t>
      </w:r>
      <w:r>
        <w:rPr>
          <w:rFonts w:ascii="Constantia" w:hAnsi="Constantia"/>
          <w:b/>
          <w:spacing w:val="-18"/>
          <w:w w:val="85"/>
          <w:sz w:val="20"/>
        </w:rPr>
        <w:t> </w:t>
      </w:r>
      <w:r>
        <w:rPr>
          <w:rFonts w:ascii="Constantia" w:hAnsi="Constantia"/>
          <w:b/>
          <w:w w:val="85"/>
          <w:sz w:val="20"/>
        </w:rPr>
        <w:t>fisc.</w:t>
      </w:r>
      <w:r>
        <w:rPr>
          <w:rFonts w:ascii="Constantia" w:hAnsi="Constantia"/>
          <w:b/>
          <w:spacing w:val="-29"/>
          <w:w w:val="85"/>
          <w:sz w:val="20"/>
        </w:rPr>
        <w:t> </w:t>
      </w:r>
      <w:r>
        <w:rPr>
          <w:rFonts w:ascii="Constantia" w:hAnsi="Constantia"/>
          <w:b/>
          <w:w w:val="85"/>
          <w:sz w:val="20"/>
        </w:rPr>
        <w:t>gasíferos</w:t>
      </w:r>
      <w:r>
        <w:rPr>
          <w:rFonts w:ascii="Calibri" w:hAnsi="Calibri"/>
          <w:b/>
          <w:w w:val="85"/>
          <w:sz w:val="16"/>
        </w:rPr>
        <w:t>(y2t)</w:t>
      </w:r>
    </w:p>
    <w:p>
      <w:pPr>
        <w:spacing w:line="142" w:lineRule="exact" w:before="0"/>
        <w:ind w:left="2306" w:right="0" w:firstLine="0"/>
        <w:jc w:val="left"/>
        <w:rPr>
          <w:rFonts w:ascii="Calibri"/>
          <w:sz w:val="16"/>
        </w:rPr>
      </w:pPr>
      <w:r>
        <w:rPr>
          <w:rFonts w:ascii="Calibri"/>
          <w:w w:val="95"/>
          <w:sz w:val="16"/>
        </w:rPr>
        <w:t>0.50</w:t>
      </w:r>
    </w:p>
    <w:p>
      <w:pPr>
        <w:spacing w:line="186" w:lineRule="exact" w:before="0"/>
        <w:ind w:left="3513" w:right="3665" w:firstLine="0"/>
        <w:jc w:val="center"/>
        <w:rPr>
          <w:rFonts w:ascii="Constantia"/>
          <w:sz w:val="18"/>
        </w:rPr>
      </w:pPr>
      <w:r>
        <w:rPr>
          <w:rFonts w:ascii="Constantia"/>
          <w:color w:val="FF0000"/>
          <w:w w:val="85"/>
          <w:sz w:val="18"/>
        </w:rPr>
        <w:t>Gasto de Capital/</w:t>
      </w:r>
    </w:p>
    <w:p>
      <w:pPr>
        <w:spacing w:after="0" w:line="186" w:lineRule="exact"/>
        <w:jc w:val="center"/>
        <w:rPr>
          <w:rFonts w:ascii="Constantia"/>
          <w:sz w:val="18"/>
        </w:rPr>
        <w:sectPr>
          <w:type w:val="continuous"/>
          <w:pgSz w:w="12250" w:h="15850"/>
          <w:pgMar w:top="1500" w:bottom="280" w:left="1580" w:right="1580"/>
          <w:cols w:num="2" w:equalWidth="0">
            <w:col w:w="466" w:space="254"/>
            <w:col w:w="8370"/>
          </w:cols>
        </w:sectPr>
      </w:pPr>
    </w:p>
    <w:p>
      <w:pPr>
        <w:spacing w:before="61"/>
        <w:ind w:left="256" w:right="0" w:firstLine="0"/>
        <w:jc w:val="left"/>
        <w:rPr>
          <w:rFonts w:ascii="Calibri"/>
          <w:sz w:val="16"/>
        </w:rPr>
      </w:pPr>
      <w:r>
        <w:rPr>
          <w:rFonts w:ascii="Calibri"/>
          <w:w w:val="80"/>
          <w:sz w:val="16"/>
        </w:rPr>
        <w:t>1.40</w:t>
      </w:r>
    </w:p>
    <w:p>
      <w:pPr>
        <w:spacing w:before="88"/>
        <w:ind w:left="256" w:right="0" w:firstLine="0"/>
        <w:jc w:val="left"/>
        <w:rPr>
          <w:rFonts w:ascii="Calibri"/>
          <w:sz w:val="16"/>
        </w:rPr>
      </w:pPr>
      <w:r>
        <w:rPr>
          <w:rFonts w:ascii="Calibri"/>
          <w:w w:val="80"/>
          <w:sz w:val="16"/>
        </w:rPr>
        <w:t>0.90</w:t>
      </w:r>
    </w:p>
    <w:p>
      <w:pPr>
        <w:spacing w:before="88"/>
        <w:ind w:left="256" w:right="0" w:firstLine="0"/>
        <w:jc w:val="left"/>
        <w:rPr>
          <w:rFonts w:ascii="Calibri"/>
          <w:sz w:val="16"/>
        </w:rPr>
      </w:pPr>
      <w:r>
        <w:rPr/>
        <w:pict>
          <v:group style="position:absolute;margin-left:97.54248pt;margin-top:16.938770pt;width:54.65pt;height:19.650pt;mso-position-horizontal-relative:page;mso-position-vertical-relative:paragraph;z-index:11416" coordorigin="1951,339" coordsize="1093,393">
            <v:shape style="position:absolute;left:1951;top:351;width:259;height:380" type="#_x0000_t75" stroked="false">
              <v:imagedata r:id="rId305" o:title=""/>
            </v:shape>
            <v:shape style="position:absolute;left:2270;top:339;width:773;height:393" type="#_x0000_t75" stroked="false">
              <v:imagedata r:id="rId306" o:title=""/>
            </v:shape>
            <w10:wrap type="none"/>
          </v:group>
        </w:pict>
      </w:r>
      <w:r>
        <w:rPr/>
        <w:drawing>
          <wp:anchor distT="0" distB="0" distL="0" distR="0" allowOverlap="1" layoutInCell="1" locked="0" behindDoc="0" simplePos="0" relativeHeight="11440">
            <wp:simplePos x="0" y="0"/>
            <wp:positionH relativeFrom="page">
              <wp:posOffset>1977885</wp:posOffset>
            </wp:positionH>
            <wp:positionV relativeFrom="paragraph">
              <wp:posOffset>219731</wp:posOffset>
            </wp:positionV>
            <wp:extent cx="503075" cy="244638"/>
            <wp:effectExtent l="0" t="0" r="0" b="0"/>
            <wp:wrapNone/>
            <wp:docPr id="65" name="image291.png" descr=""/>
            <wp:cNvGraphicFramePr>
              <a:graphicFrameLocks noChangeAspect="1"/>
            </wp:cNvGraphicFramePr>
            <a:graphic>
              <a:graphicData uri="http://schemas.openxmlformats.org/drawingml/2006/picture">
                <pic:pic>
                  <pic:nvPicPr>
                    <pic:cNvPr id="66" name="image291.png"/>
                    <pic:cNvPicPr/>
                  </pic:nvPicPr>
                  <pic:blipFill>
                    <a:blip r:embed="rId307" cstate="print"/>
                    <a:stretch>
                      <a:fillRect/>
                    </a:stretch>
                  </pic:blipFill>
                  <pic:spPr>
                    <a:xfrm>
                      <a:off x="0" y="0"/>
                      <a:ext cx="503075" cy="244638"/>
                    </a:xfrm>
                    <a:prstGeom prst="rect">
                      <a:avLst/>
                    </a:prstGeom>
                  </pic:spPr>
                </pic:pic>
              </a:graphicData>
            </a:graphic>
          </wp:anchor>
        </w:drawing>
      </w:r>
      <w:r>
        <w:rPr>
          <w:rFonts w:ascii="Calibri"/>
          <w:w w:val="80"/>
          <w:sz w:val="16"/>
        </w:rPr>
        <w:t>0.40</w:t>
      </w:r>
    </w:p>
    <w:p>
      <w:pPr>
        <w:pStyle w:val="BodyText"/>
        <w:spacing w:before="2"/>
        <w:rPr>
          <w:rFonts w:ascii="Calibri"/>
          <w:sz w:val="12"/>
        </w:rPr>
      </w:pPr>
      <w:r>
        <w:rPr/>
        <w:br w:type="column"/>
      </w:r>
      <w:r>
        <w:rPr>
          <w:rFonts w:ascii="Calibri"/>
          <w:sz w:val="12"/>
        </w:rPr>
      </w:r>
    </w:p>
    <w:p>
      <w:pPr>
        <w:spacing w:line="612" w:lineRule="auto" w:before="0"/>
        <w:ind w:left="256" w:right="-18" w:firstLine="197"/>
        <w:jc w:val="left"/>
        <w:rPr>
          <w:rFonts w:ascii="Calibri"/>
          <w:sz w:val="16"/>
        </w:rPr>
      </w:pPr>
      <w:r>
        <w:rPr>
          <w:rFonts w:ascii="Calibri"/>
          <w:w w:val="95"/>
          <w:sz w:val="16"/>
        </w:rPr>
        <w:t>- </w:t>
      </w:r>
      <w:r>
        <w:rPr>
          <w:rFonts w:ascii="Calibri"/>
          <w:w w:val="85"/>
          <w:sz w:val="16"/>
        </w:rPr>
        <w:t>(0.50)</w:t>
      </w:r>
    </w:p>
    <w:p>
      <w:pPr>
        <w:spacing w:line="195" w:lineRule="exact" w:before="0"/>
        <w:ind w:left="256" w:right="-18" w:firstLine="0"/>
        <w:jc w:val="left"/>
        <w:rPr>
          <w:rFonts w:ascii="Calibri"/>
          <w:sz w:val="16"/>
        </w:rPr>
      </w:pPr>
      <w:r>
        <w:rPr>
          <w:rFonts w:ascii="Calibri"/>
          <w:w w:val="85"/>
          <w:sz w:val="16"/>
        </w:rPr>
        <w:t>(1.00)</w:t>
      </w:r>
    </w:p>
    <w:p>
      <w:pPr>
        <w:spacing w:before="3"/>
        <w:ind w:left="256" w:right="-12" w:firstLine="0"/>
        <w:jc w:val="left"/>
        <w:rPr>
          <w:rFonts w:ascii="Constantia" w:hAnsi="Constantia"/>
          <w:sz w:val="18"/>
        </w:rPr>
      </w:pPr>
      <w:r>
        <w:rPr/>
        <w:br w:type="column"/>
      </w:r>
      <w:r>
        <w:rPr>
          <w:rFonts w:ascii="Constantia" w:hAnsi="Constantia"/>
          <w:color w:val="FF0000"/>
          <w:w w:val="85"/>
          <w:sz w:val="18"/>
        </w:rPr>
        <w:t>Ing. Fisc.</w:t>
      </w:r>
      <w:r>
        <w:rPr>
          <w:rFonts w:ascii="Constantia" w:hAnsi="Constantia"/>
          <w:color w:val="FF0000"/>
          <w:spacing w:val="-11"/>
          <w:w w:val="85"/>
          <w:sz w:val="18"/>
        </w:rPr>
        <w:t> </w:t>
      </w:r>
      <w:r>
        <w:rPr>
          <w:rFonts w:ascii="Constantia" w:hAnsi="Constantia"/>
          <w:color w:val="FF0000"/>
          <w:w w:val="85"/>
          <w:sz w:val="18"/>
        </w:rPr>
        <w:t>Gasífero</w:t>
      </w:r>
    </w:p>
    <w:p>
      <w:pPr>
        <w:pStyle w:val="BodyText"/>
        <w:rPr>
          <w:rFonts w:ascii="Constantia"/>
          <w:sz w:val="16"/>
        </w:rPr>
      </w:pPr>
      <w:r>
        <w:rPr/>
        <w:br w:type="column"/>
      </w:r>
      <w:r>
        <w:rPr>
          <w:rFonts w:ascii="Constantia"/>
          <w:sz w:val="16"/>
        </w:rPr>
      </w:r>
    </w:p>
    <w:p>
      <w:pPr>
        <w:pStyle w:val="BodyText"/>
        <w:rPr>
          <w:rFonts w:ascii="Constantia"/>
          <w:sz w:val="16"/>
        </w:rPr>
      </w:pPr>
    </w:p>
    <w:p>
      <w:pPr>
        <w:pStyle w:val="BodyText"/>
        <w:rPr>
          <w:rFonts w:ascii="Constantia"/>
          <w:sz w:val="16"/>
        </w:rPr>
      </w:pPr>
    </w:p>
    <w:p>
      <w:pPr>
        <w:pStyle w:val="BodyText"/>
        <w:rPr>
          <w:rFonts w:ascii="Constantia"/>
          <w:sz w:val="16"/>
        </w:rPr>
      </w:pPr>
    </w:p>
    <w:p>
      <w:pPr>
        <w:pStyle w:val="BodyText"/>
        <w:rPr>
          <w:rFonts w:ascii="Constantia"/>
          <w:sz w:val="16"/>
        </w:rPr>
      </w:pPr>
    </w:p>
    <w:p>
      <w:pPr>
        <w:pStyle w:val="BodyText"/>
        <w:spacing w:before="11"/>
        <w:rPr>
          <w:rFonts w:ascii="Constantia"/>
          <w:sz w:val="13"/>
        </w:rPr>
      </w:pPr>
    </w:p>
    <w:p>
      <w:pPr>
        <w:spacing w:before="0"/>
        <w:ind w:left="256" w:right="0" w:firstLine="0"/>
        <w:jc w:val="left"/>
        <w:rPr>
          <w:rFonts w:ascii="Calibri"/>
          <w:sz w:val="16"/>
        </w:rPr>
      </w:pPr>
      <w:r>
        <w:rPr>
          <w:rFonts w:ascii="Calibri"/>
          <w:w w:val="95"/>
          <w:sz w:val="16"/>
        </w:rPr>
        <w:t>(0.40)</w:t>
      </w:r>
    </w:p>
    <w:p>
      <w:pPr>
        <w:spacing w:after="0"/>
        <w:jc w:val="left"/>
        <w:rPr>
          <w:rFonts w:ascii="Calibri"/>
          <w:sz w:val="16"/>
        </w:rPr>
        <w:sectPr>
          <w:type w:val="continuous"/>
          <w:pgSz w:w="12250" w:h="15850"/>
          <w:pgMar w:top="1500" w:bottom="280" w:left="1580" w:right="1580"/>
          <w:cols w:num="4" w:equalWidth="0">
            <w:col w:w="2328" w:space="385"/>
            <w:col w:w="582" w:space="710"/>
            <w:col w:w="1434" w:space="251"/>
            <w:col w:w="3400"/>
          </w:cols>
        </w:sectPr>
      </w:pPr>
    </w:p>
    <w:p>
      <w:pPr>
        <w:pStyle w:val="BodyText"/>
        <w:spacing w:before="7"/>
        <w:rPr>
          <w:rFonts w:ascii="Calibri"/>
          <w:sz w:val="29"/>
        </w:rPr>
      </w:pPr>
    </w:p>
    <w:p>
      <w:pPr>
        <w:spacing w:before="68"/>
        <w:ind w:left="1305" w:right="115" w:firstLine="0"/>
        <w:jc w:val="left"/>
        <w:rPr>
          <w:rFonts w:ascii="Calibri"/>
          <w:sz w:val="17"/>
        </w:rPr>
      </w:pPr>
      <w:r>
        <w:rPr/>
        <w:pict>
          <v:group style="position:absolute;margin-left:165.341324pt;margin-top:-5.239484pt;width:131.15pt;height:109.1pt;mso-position-horizontal-relative:page;mso-position-vertical-relative:paragraph;z-index:-560512" coordorigin="3307,-105" coordsize="2623,2182">
            <v:shape style="position:absolute;left:788;top:3881;width:3271;height:2415" coordorigin="788,3881" coordsize="3271,2415" path="m3362,2070l3362,-68m3314,2070l3362,2070m3314,1592l3362,1592m3314,1114l3362,1114m3314,649l3362,649m3314,171l3362,171m3362,888l5921,888m3362,888l3362,941m3625,888l3625,941m3900,888l3900,941m4163,888l4163,941m4426,888l4426,941m4689,888l4689,941m4952,888l4952,941m5215,888l5215,941m5490,888l5490,941m5753,888l5753,941e" filled="false" stroked="true" strokeweight=".630977pt" strokecolor="#858585">
              <v:path arrowok="t"/>
            </v:shape>
            <v:shape style="position:absolute;left:3374;top:1029;width:2536;height:870" coordorigin="3374,1029" coordsize="2536,870" path="m3374,1426l3392,1449,3410,1475,3428,1496,3446,1508,3464,1507,3482,1497,3500,1483,3518,1467,3537,1453,3591,1395,3627,1312,3645,1268,3663,1237,3681,1223,3700,1221,3718,1223,3736,1225,3754,1228,3772,1235,3790,1238,3808,1231,3826,1205,3844,1167,3863,1130,3881,1111,3899,1118,3917,1141,3935,1169,3953,1190,3971,1203,3989,1215,4007,1222,4026,1225,4044,1219,4062,1208,4080,1195,4098,1184,4116,1179,4134,1176,4152,1170,4170,1158,4189,1135,4207,1102,4225,1071,4243,1048,4261,1036,4279,1029,4297,1029,4315,1036,4333,1053,4351,1078,4370,1108,4388,1137,4424,1190,4460,1253,4496,1342,4514,1388,4551,1455,4605,1508,4641,1515,4659,1514,4678,1515,4696,1520,4714,1527,4732,1533,4750,1536,4768,1533,4786,1525,4804,1518,4822,1520,4840,1537,4859,1563,4877,1588,4895,1602,4913,1598,4931,1583,4949,1567,4967,1562,4985,1572,5003,1592,5022,1613,5040,1631,5058,1641,5076,1649,5094,1655,5112,1662,5130,1671,5148,1681,5166,1690,5185,1697,5203,1700,5221,1701,5239,1701,5257,1703,5275,1704,5293,1704,5311,1709,5329,1725,5347,1768,5366,1829,5384,1881,5402,1898,5420,1861,5438,1787,5456,1707,5474,1650,5491,1629,5510,1620,5530,1616,5547,1609,5565,1593,5583,1574,5601,1554,5619,1536,5637,1517,5655,1498,5673,1482,5692,1473,5710,1476,5728,1486,5746,1499,5764,1508,5782,1510,5800,1509,5818,1509,5836,1515,5855,1527,5873,1545,5891,1565,5909,1583e" filled="false" stroked="true" strokeweight="1.971198pt" strokecolor="#497dba">
              <v:path arrowok="t"/>
            </v:shape>
            <v:shape style="position:absolute;left:3307;top:-105;width:2622;height:2182" type="#_x0000_t202" filled="false" stroked="false">
              <v:textbox inset="0,0,0,0">
                <w:txbxContent>
                  <w:p>
                    <w:pPr>
                      <w:spacing w:line="217" w:lineRule="exact" w:before="0"/>
                      <w:ind w:left="185" w:right="0" w:firstLine="0"/>
                      <w:jc w:val="left"/>
                      <w:rPr>
                        <w:rFonts w:ascii="Constantia"/>
                        <w:b/>
                        <w:sz w:val="21"/>
                      </w:rPr>
                    </w:pPr>
                    <w:r>
                      <w:rPr>
                        <w:rFonts w:ascii="Constantia"/>
                        <w:b/>
                        <w:w w:val="90"/>
                        <w:sz w:val="21"/>
                      </w:rPr>
                      <w:t>(d) Balance primario no</w:t>
                    </w:r>
                  </w:p>
                  <w:p>
                    <w:pPr>
                      <w:spacing w:before="10"/>
                      <w:ind w:left="485" w:right="0" w:firstLine="0"/>
                      <w:jc w:val="left"/>
                      <w:rPr>
                        <w:rFonts w:ascii="Calibri" w:hAnsi="Calibri"/>
                        <w:b/>
                        <w:sz w:val="17"/>
                      </w:rPr>
                    </w:pPr>
                    <w:r>
                      <w:rPr>
                        <w:rFonts w:ascii="Constantia" w:hAnsi="Constantia"/>
                        <w:b/>
                        <w:w w:val="95"/>
                        <w:sz w:val="21"/>
                      </w:rPr>
                      <w:t>gasífero/ PIB </w:t>
                    </w:r>
                    <w:r>
                      <w:rPr>
                        <w:rFonts w:ascii="Calibri" w:hAnsi="Calibri"/>
                        <w:b/>
                        <w:w w:val="95"/>
                        <w:sz w:val="17"/>
                      </w:rPr>
                      <w:t>(y4t)</w:t>
                    </w:r>
                  </w:p>
                </w:txbxContent>
              </v:textbox>
              <w10:wrap type="none"/>
            </v:shape>
            <w10:wrap type="none"/>
          </v:group>
        </w:pict>
      </w:r>
      <w:r>
        <w:rPr/>
        <w:pict>
          <v:group style="position:absolute;margin-left:316.592896pt;margin-top:-7.044543pt;width:147.5pt;height:110.95pt;mso-position-horizontal-relative:page;mso-position-vertical-relative:paragraph;z-index:-560464" coordorigin="6332,-141" coordsize="2950,2219">
            <v:shape style="position:absolute;left:788;top:3881;width:3166;height:2415" coordorigin="788,3881" coordsize="3166,2415" path="m6856,2070l6856,-68m6809,2070l6856,2070m6809,1765l6856,1765m6809,1459l6856,1459m6809,1154l6856,1154m6809,848l6856,848m6809,543l6856,543m6809,237l6856,237m6809,-68l6856,-68m6856,848l9273,848m6856,848l6856,901m7218,848l7218,901m7592,848l7592,901m7954,848l7954,901m8316,848l8316,901m8678,848l8678,901m9040,848l9040,901e" filled="false" stroked="true" strokeweight=".623969pt" strokecolor="#858585">
              <v:path arrowok="t"/>
            </v:shape>
            <v:shape style="position:absolute;left:6868;top:295;width:2395;height:1656" coordorigin="6868,295" coordsize="2395,1656" path="m6868,861l6885,838,6902,814,6919,792,6936,772,6950,766,6970,760,6990,748,7004,723,7014,673,7024,598,7034,512,7043,426,7053,353,7063,305,7073,295,7080,324,7088,383,7096,464,7103,557,7111,655,7118,748,7126,827,7134,885,7141,911,7150,902,7158,860,7167,796,7175,718,7184,635,7192,555,7201,487,7224,410,7278,376,7295,379,7312,391,7329,404,7346,410,7363,404,7381,391,7398,378,7415,371,7432,371,7449,376,7466,382,7483,388,7500,390,7517,391,7534,395,7552,407,7569,432,7586,466,7603,502,7620,533,7637,558,7654,581,7671,600,7688,614,7703,614,7723,607,7742,606,7768,666,7780,730,7791,804,7802,879,7814,948,7841,1050,7877,1115,7894,1130,7909,1120,7928,1093,7946,1072,7985,1188,7996,1266,8007,1344,8019,1414,8030,1465,8045,1491,8065,1505,8084,1514,8099,1528,8116,1568,8133,1621,8150,1670,8167,1700,8184,1701,8201,1682,8218,1662,8235,1658,8253,1681,8270,1719,8287,1759,8304,1789,8321,1804,8338,1811,8355,1814,8372,1819,8389,1832,8407,1848,8424,1856,8441,1846,8458,1803,8475,1738,8492,1671,8509,1623,8525,1605,8543,1599,8562,1598,8578,1595,8595,1583,8612,1568,8629,1558,8646,1561,8663,1589,8680,1634,8697,1677,8714,1700,8731,1693,8749,1666,8766,1637,8783,1623,8800,1631,8817,1653,8834,1675,8851,1689,8868,1685,8885,1671,8902,1660,8920,1666,8937,1701,8954,1755,8971,1809,8988,1846,9005,1855,9022,1849,9039,1839,9056,1835,9073,1841,9091,1851,9108,1862,9125,1869,9142,1867,9159,1860,9176,1856,9193,1860,9210,1875,9227,1899,9244,1926,9262,1951e" filled="false" stroked="true" strokeweight="1.914346pt" strokecolor="#497dba">
              <v:path arrowok="t"/>
            </v:shape>
            <v:shape style="position:absolute;left:6547;top:1032;width:342;height:409" type="#_x0000_t75" stroked="false">
              <v:imagedata r:id="rId308" o:title=""/>
            </v:shape>
            <v:shape style="position:absolute;left:6960;top:1019;width:2122;height:422" type="#_x0000_t75" stroked="false">
              <v:imagedata r:id="rId309" o:title=""/>
            </v:shape>
            <v:shape style="position:absolute;left:6332;top:-141;width:2950;height:2218" type="#_x0000_t202" filled="false" stroked="false">
              <v:textbox inset="0,0,0,0">
                <w:txbxContent>
                  <w:p>
                    <w:pPr>
                      <w:tabs>
                        <w:tab w:pos="586" w:val="left" w:leader="none"/>
                      </w:tabs>
                      <w:spacing w:line="217" w:lineRule="exact" w:before="0"/>
                      <w:ind w:left="65" w:right="0" w:firstLine="0"/>
                      <w:jc w:val="left"/>
                      <w:rPr>
                        <w:rFonts w:ascii="Constantia" w:hAnsi="Constantia"/>
                        <w:b/>
                        <w:sz w:val="21"/>
                      </w:rPr>
                    </w:pPr>
                    <w:r>
                      <w:rPr>
                        <w:rFonts w:ascii="Calibri" w:hAnsi="Calibri"/>
                        <w:position w:val="3"/>
                        <w:sz w:val="17"/>
                      </w:rPr>
                      <w:t>0.60</w:t>
                      <w:tab/>
                    </w:r>
                    <w:r>
                      <w:rPr>
                        <w:rFonts w:ascii="Constantia" w:hAnsi="Constantia"/>
                        <w:b/>
                        <w:w w:val="90"/>
                        <w:sz w:val="21"/>
                      </w:rPr>
                      <w:t>(e)</w:t>
                    </w:r>
                    <w:r>
                      <w:rPr>
                        <w:rFonts w:ascii="Constantia" w:hAnsi="Constantia"/>
                        <w:b/>
                        <w:spacing w:val="-15"/>
                        <w:w w:val="90"/>
                        <w:sz w:val="21"/>
                      </w:rPr>
                      <w:t> </w:t>
                    </w:r>
                    <w:r>
                      <w:rPr>
                        <w:rFonts w:ascii="Constantia" w:hAnsi="Constantia"/>
                        <w:b/>
                        <w:w w:val="90"/>
                        <w:sz w:val="21"/>
                      </w:rPr>
                      <w:t>Ln</w:t>
                    </w:r>
                    <w:r>
                      <w:rPr>
                        <w:rFonts w:ascii="Constantia" w:hAnsi="Constantia"/>
                        <w:b/>
                        <w:spacing w:val="-17"/>
                        <w:w w:val="90"/>
                        <w:sz w:val="21"/>
                      </w:rPr>
                      <w:t> </w:t>
                    </w:r>
                    <w:r>
                      <w:rPr>
                        <w:rFonts w:ascii="Constantia" w:hAnsi="Constantia"/>
                        <w:b/>
                        <w:w w:val="90"/>
                        <w:sz w:val="21"/>
                      </w:rPr>
                      <w:t>de</w:t>
                    </w:r>
                    <w:r>
                      <w:rPr>
                        <w:rFonts w:ascii="Constantia" w:hAnsi="Constantia"/>
                        <w:b/>
                        <w:spacing w:val="-9"/>
                        <w:w w:val="90"/>
                        <w:sz w:val="21"/>
                      </w:rPr>
                      <w:t> </w:t>
                    </w:r>
                    <w:r>
                      <w:rPr>
                        <w:rFonts w:ascii="Constantia" w:hAnsi="Constantia"/>
                        <w:b/>
                        <w:w w:val="90"/>
                        <w:sz w:val="21"/>
                      </w:rPr>
                      <w:t>la</w:t>
                    </w:r>
                    <w:r>
                      <w:rPr>
                        <w:rFonts w:ascii="Constantia" w:hAnsi="Constantia"/>
                        <w:b/>
                        <w:spacing w:val="-9"/>
                        <w:w w:val="90"/>
                        <w:sz w:val="21"/>
                      </w:rPr>
                      <w:t> </w:t>
                    </w:r>
                    <w:r>
                      <w:rPr>
                        <w:rFonts w:ascii="Constantia" w:hAnsi="Constantia"/>
                        <w:b/>
                        <w:w w:val="90"/>
                        <w:sz w:val="21"/>
                      </w:rPr>
                      <w:t>deuda</w:t>
                    </w:r>
                    <w:r>
                      <w:rPr>
                        <w:rFonts w:ascii="Constantia" w:hAnsi="Constantia"/>
                        <w:b/>
                        <w:spacing w:val="-9"/>
                        <w:w w:val="90"/>
                        <w:sz w:val="21"/>
                      </w:rPr>
                      <w:t> </w:t>
                    </w:r>
                    <w:r>
                      <w:rPr>
                        <w:rFonts w:ascii="Constantia" w:hAnsi="Constantia"/>
                        <w:b/>
                        <w:w w:val="90"/>
                        <w:sz w:val="21"/>
                      </w:rPr>
                      <w:t>pública/</w:t>
                    </w:r>
                  </w:p>
                  <w:p>
                    <w:pPr>
                      <w:tabs>
                        <w:tab w:pos="1407" w:val="left" w:leader="none"/>
                      </w:tabs>
                      <w:spacing w:before="12"/>
                      <w:ind w:left="65" w:right="0" w:firstLine="0"/>
                      <w:jc w:val="left"/>
                      <w:rPr>
                        <w:rFonts w:ascii="Calibri"/>
                        <w:b/>
                        <w:sz w:val="17"/>
                      </w:rPr>
                    </w:pPr>
                    <w:r>
                      <w:rPr>
                        <w:rFonts w:ascii="Calibri"/>
                        <w:sz w:val="17"/>
                      </w:rPr>
                      <w:t>0.40</w:t>
                      <w:tab/>
                    </w:r>
                    <w:r>
                      <w:rPr>
                        <w:rFonts w:ascii="Constantia"/>
                        <w:b/>
                        <w:spacing w:val="-3"/>
                        <w:w w:val="95"/>
                        <w:position w:val="1"/>
                        <w:sz w:val="21"/>
                      </w:rPr>
                      <w:t>PIB</w:t>
                    </w:r>
                    <w:r>
                      <w:rPr>
                        <w:rFonts w:ascii="Constantia"/>
                        <w:b/>
                        <w:spacing w:val="8"/>
                        <w:w w:val="95"/>
                        <w:position w:val="1"/>
                        <w:sz w:val="21"/>
                      </w:rPr>
                      <w:t> </w:t>
                    </w:r>
                    <w:r>
                      <w:rPr>
                        <w:rFonts w:ascii="Calibri"/>
                        <w:b/>
                        <w:w w:val="95"/>
                        <w:position w:val="1"/>
                        <w:sz w:val="17"/>
                      </w:rPr>
                      <w:t>(y5t)</w:t>
                    </w:r>
                  </w:p>
                  <w:p>
                    <w:pPr>
                      <w:spacing w:before="97"/>
                      <w:ind w:left="65" w:right="0" w:firstLine="0"/>
                      <w:jc w:val="left"/>
                      <w:rPr>
                        <w:rFonts w:ascii="Calibri"/>
                        <w:sz w:val="17"/>
                      </w:rPr>
                    </w:pPr>
                    <w:r>
                      <w:rPr>
                        <w:rFonts w:ascii="Calibri"/>
                        <w:sz w:val="17"/>
                      </w:rPr>
                      <w:t>0.20</w:t>
                    </w:r>
                  </w:p>
                  <w:p>
                    <w:pPr>
                      <w:spacing w:line="352" w:lineRule="auto" w:before="98"/>
                      <w:ind w:left="0" w:right="2565" w:firstLine="226"/>
                      <w:jc w:val="left"/>
                      <w:rPr>
                        <w:rFonts w:ascii="Calibri"/>
                        <w:sz w:val="17"/>
                      </w:rPr>
                    </w:pPr>
                    <w:r>
                      <w:rPr>
                        <w:rFonts w:ascii="Calibri"/>
                        <w:sz w:val="17"/>
                      </w:rPr>
                      <w:t>- </w:t>
                    </w:r>
                    <w:r>
                      <w:rPr>
                        <w:rFonts w:ascii="Calibri"/>
                        <w:w w:val="90"/>
                        <w:sz w:val="17"/>
                      </w:rPr>
                      <w:t>(0.20)</w:t>
                    </w:r>
                  </w:p>
                  <w:p>
                    <w:pPr>
                      <w:spacing w:before="1"/>
                      <w:ind w:left="0" w:right="0" w:firstLine="0"/>
                      <w:jc w:val="left"/>
                      <w:rPr>
                        <w:rFonts w:ascii="Calibri"/>
                        <w:sz w:val="17"/>
                      </w:rPr>
                    </w:pPr>
                    <w:r>
                      <w:rPr>
                        <w:rFonts w:ascii="Calibri"/>
                        <w:sz w:val="17"/>
                      </w:rPr>
                      <w:t>(0.40)</w:t>
                    </w:r>
                  </w:p>
                  <w:p>
                    <w:pPr>
                      <w:spacing w:before="98"/>
                      <w:ind w:left="0" w:right="0" w:firstLine="0"/>
                      <w:jc w:val="left"/>
                      <w:rPr>
                        <w:rFonts w:ascii="Calibri"/>
                        <w:sz w:val="17"/>
                      </w:rPr>
                    </w:pPr>
                    <w:r>
                      <w:rPr>
                        <w:rFonts w:ascii="Calibri"/>
                        <w:sz w:val="17"/>
                      </w:rPr>
                      <w:t>(0.60)</w:t>
                    </w:r>
                  </w:p>
                </w:txbxContent>
              </v:textbox>
              <w10:wrap type="none"/>
            </v:shape>
            <w10:wrap type="none"/>
          </v:group>
        </w:pict>
      </w:r>
      <w:r>
        <w:rPr>
          <w:rFonts w:ascii="Calibri"/>
          <w:sz w:val="17"/>
        </w:rPr>
        <w:t>0.15</w:t>
      </w:r>
    </w:p>
    <w:p>
      <w:pPr>
        <w:pStyle w:val="BodyText"/>
        <w:spacing w:before="12"/>
        <w:rPr>
          <w:rFonts w:ascii="Calibri"/>
          <w:sz w:val="21"/>
        </w:rPr>
      </w:pPr>
    </w:p>
    <w:p>
      <w:pPr>
        <w:spacing w:before="0"/>
        <w:ind w:left="1305" w:right="115" w:firstLine="0"/>
        <w:jc w:val="left"/>
        <w:rPr>
          <w:rFonts w:ascii="Calibri"/>
          <w:sz w:val="17"/>
        </w:rPr>
      </w:pPr>
      <w:r>
        <w:rPr>
          <w:rFonts w:ascii="Calibri"/>
          <w:sz w:val="17"/>
        </w:rPr>
        <w:t>0.05</w:t>
      </w:r>
    </w:p>
    <w:p>
      <w:pPr>
        <w:pStyle w:val="BodyText"/>
        <w:spacing w:before="4"/>
        <w:rPr>
          <w:rFonts w:ascii="Calibri"/>
          <w:sz w:val="16"/>
        </w:rPr>
      </w:pPr>
    </w:p>
    <w:p>
      <w:pPr>
        <w:spacing w:before="69"/>
        <w:ind w:left="1251" w:right="115" w:firstLine="0"/>
        <w:jc w:val="left"/>
        <w:rPr>
          <w:rFonts w:ascii="Calibri"/>
          <w:sz w:val="17"/>
        </w:rPr>
      </w:pPr>
      <w:r>
        <w:rPr/>
        <w:pict>
          <v:shape style="position:absolute;margin-left:165.070007pt;margin-top:1.357733pt;width:129.5500pt;height:28.7pt;mso-position-horizontal-relative:page;mso-position-vertical-relative:paragraph;z-index:11680" type="#_x0000_t202" filled="false" stroked="false">
            <v:textbox inset="0,0,0,0" style="layout-flow:vertical;mso-layout-flow-alt:bottom-to-top">
              <w:txbxContent>
                <w:p>
                  <w:pPr>
                    <w:spacing w:line="348" w:lineRule="auto" w:before="0"/>
                    <w:ind w:left="29" w:right="18" w:hanging="10"/>
                    <w:jc w:val="right"/>
                    <w:rPr>
                      <w:rFonts w:ascii="Calibri"/>
                      <w:sz w:val="15"/>
                    </w:rPr>
                  </w:pPr>
                  <w:r>
                    <w:rPr>
                      <w:rFonts w:ascii="Calibri"/>
                      <w:spacing w:val="-5"/>
                      <w:w w:val="115"/>
                      <w:sz w:val="15"/>
                    </w:rPr>
                    <w:t>m</w:t>
                  </w:r>
                  <w:r>
                    <w:rPr>
                      <w:rFonts w:ascii="Calibri"/>
                      <w:spacing w:val="-3"/>
                      <w:w w:val="115"/>
                      <w:sz w:val="15"/>
                    </w:rPr>
                    <w:t>a</w:t>
                  </w:r>
                  <w:r>
                    <w:rPr>
                      <w:rFonts w:ascii="Calibri"/>
                      <w:spacing w:val="5"/>
                      <w:w w:val="115"/>
                      <w:sz w:val="15"/>
                    </w:rPr>
                    <w:t>r</w:t>
                  </w:r>
                  <w:r>
                    <w:rPr>
                      <w:rFonts w:ascii="Calibri"/>
                      <w:w w:val="115"/>
                      <w:sz w:val="15"/>
                    </w:rPr>
                    <w:t>-</w:t>
                  </w:r>
                  <w:r>
                    <w:rPr>
                      <w:rFonts w:ascii="Calibri"/>
                      <w:spacing w:val="5"/>
                      <w:w w:val="115"/>
                      <w:sz w:val="15"/>
                    </w:rPr>
                    <w:t>03 </w:t>
                  </w:r>
                  <w:r>
                    <w:rPr>
                      <w:rFonts w:ascii="Calibri"/>
                      <w:w w:val="115"/>
                      <w:sz w:val="15"/>
                    </w:rPr>
                    <w:t>f</w:t>
                  </w:r>
                  <w:r>
                    <w:rPr>
                      <w:rFonts w:ascii="Calibri"/>
                      <w:spacing w:val="7"/>
                      <w:w w:val="115"/>
                      <w:sz w:val="15"/>
                    </w:rPr>
                    <w:t>e</w:t>
                  </w:r>
                  <w:r>
                    <w:rPr>
                      <w:rFonts w:ascii="Calibri"/>
                      <w:spacing w:val="2"/>
                      <w:w w:val="115"/>
                      <w:sz w:val="15"/>
                    </w:rPr>
                    <w:t>b</w:t>
                  </w:r>
                  <w:r>
                    <w:rPr>
                      <w:rFonts w:ascii="Calibri"/>
                      <w:w w:val="115"/>
                      <w:sz w:val="15"/>
                    </w:rPr>
                    <w:t>-</w:t>
                  </w:r>
                  <w:r>
                    <w:rPr>
                      <w:rFonts w:ascii="Calibri"/>
                      <w:spacing w:val="5"/>
                      <w:w w:val="115"/>
                      <w:sz w:val="15"/>
                    </w:rPr>
                    <w:t>04 </w:t>
                  </w:r>
                  <w:r>
                    <w:rPr>
                      <w:rFonts w:ascii="Calibri"/>
                      <w:spacing w:val="7"/>
                      <w:w w:val="115"/>
                      <w:sz w:val="15"/>
                    </w:rPr>
                    <w:t>e</w:t>
                  </w:r>
                  <w:r>
                    <w:rPr>
                      <w:rFonts w:ascii="Calibri"/>
                      <w:spacing w:val="2"/>
                      <w:w w:val="115"/>
                      <w:sz w:val="15"/>
                    </w:rPr>
                    <w:t>n</w:t>
                  </w:r>
                  <w:r>
                    <w:rPr>
                      <w:rFonts w:ascii="Calibri"/>
                      <w:spacing w:val="7"/>
                      <w:w w:val="115"/>
                      <w:sz w:val="15"/>
                    </w:rPr>
                    <w:t>e</w:t>
                  </w:r>
                  <w:r>
                    <w:rPr>
                      <w:rFonts w:ascii="Calibri"/>
                      <w:w w:val="115"/>
                      <w:sz w:val="15"/>
                    </w:rPr>
                    <w:t>-</w:t>
                  </w:r>
                  <w:r>
                    <w:rPr>
                      <w:rFonts w:ascii="Calibri"/>
                      <w:spacing w:val="5"/>
                      <w:w w:val="115"/>
                      <w:sz w:val="15"/>
                    </w:rPr>
                    <w:t>05 </w:t>
                  </w:r>
                  <w:r>
                    <w:rPr>
                      <w:rFonts w:ascii="Calibri"/>
                      <w:spacing w:val="2"/>
                      <w:w w:val="115"/>
                      <w:sz w:val="15"/>
                    </w:rPr>
                    <w:t>d</w:t>
                  </w:r>
                  <w:r>
                    <w:rPr>
                      <w:rFonts w:ascii="Calibri"/>
                      <w:w w:val="115"/>
                      <w:sz w:val="15"/>
                    </w:rPr>
                    <w:t>i</w:t>
                  </w:r>
                  <w:r>
                    <w:rPr>
                      <w:rFonts w:ascii="Calibri"/>
                      <w:spacing w:val="7"/>
                      <w:w w:val="115"/>
                      <w:sz w:val="15"/>
                    </w:rPr>
                    <w:t>c</w:t>
                  </w:r>
                  <w:r>
                    <w:rPr>
                      <w:rFonts w:ascii="Calibri"/>
                      <w:w w:val="115"/>
                      <w:sz w:val="15"/>
                    </w:rPr>
                    <w:t>-</w:t>
                  </w:r>
                  <w:r>
                    <w:rPr>
                      <w:rFonts w:ascii="Calibri"/>
                      <w:spacing w:val="5"/>
                      <w:w w:val="115"/>
                      <w:sz w:val="15"/>
                    </w:rPr>
                    <w:t>05 </w:t>
                  </w:r>
                  <w:r>
                    <w:rPr>
                      <w:rFonts w:ascii="Calibri"/>
                      <w:spacing w:val="2"/>
                      <w:w w:val="115"/>
                      <w:sz w:val="15"/>
                    </w:rPr>
                    <w:t>n</w:t>
                  </w:r>
                  <w:r>
                    <w:rPr>
                      <w:rFonts w:ascii="Calibri"/>
                      <w:spacing w:val="1"/>
                      <w:w w:val="115"/>
                      <w:sz w:val="15"/>
                    </w:rPr>
                    <w:t>o</w:t>
                  </w:r>
                  <w:r>
                    <w:rPr>
                      <w:rFonts w:ascii="Calibri"/>
                      <w:spacing w:val="2"/>
                      <w:w w:val="115"/>
                      <w:sz w:val="15"/>
                    </w:rPr>
                    <w:t>v</w:t>
                  </w:r>
                  <w:r>
                    <w:rPr>
                      <w:rFonts w:ascii="Calibri"/>
                      <w:w w:val="115"/>
                      <w:sz w:val="15"/>
                    </w:rPr>
                    <w:t>-</w:t>
                  </w:r>
                  <w:r>
                    <w:rPr>
                      <w:rFonts w:ascii="Calibri"/>
                      <w:spacing w:val="5"/>
                      <w:w w:val="115"/>
                      <w:sz w:val="15"/>
                    </w:rPr>
                    <w:t>06 </w:t>
                  </w:r>
                  <w:r>
                    <w:rPr>
                      <w:rFonts w:ascii="Calibri"/>
                      <w:spacing w:val="1"/>
                      <w:w w:val="115"/>
                      <w:sz w:val="15"/>
                    </w:rPr>
                    <w:t>o</w:t>
                  </w:r>
                  <w:r>
                    <w:rPr>
                      <w:rFonts w:ascii="Calibri"/>
                      <w:spacing w:val="6"/>
                      <w:w w:val="115"/>
                      <w:sz w:val="15"/>
                    </w:rPr>
                    <w:t>c</w:t>
                  </w:r>
                  <w:r>
                    <w:rPr>
                      <w:rFonts w:ascii="Calibri"/>
                      <w:spacing w:val="-4"/>
                      <w:w w:val="115"/>
                      <w:sz w:val="15"/>
                    </w:rPr>
                    <w:t>t</w:t>
                  </w:r>
                  <w:r>
                    <w:rPr>
                      <w:rFonts w:ascii="Calibri"/>
                      <w:w w:val="115"/>
                      <w:sz w:val="15"/>
                    </w:rPr>
                    <w:t>-</w:t>
                  </w:r>
                  <w:r>
                    <w:rPr>
                      <w:rFonts w:ascii="Calibri"/>
                      <w:spacing w:val="5"/>
                      <w:w w:val="115"/>
                      <w:sz w:val="15"/>
                    </w:rPr>
                    <w:t>07 </w:t>
                  </w:r>
                  <w:r>
                    <w:rPr>
                      <w:rFonts w:ascii="Calibri"/>
                      <w:spacing w:val="-2"/>
                      <w:w w:val="115"/>
                      <w:sz w:val="15"/>
                    </w:rPr>
                    <w:t>s</w:t>
                  </w:r>
                  <w:r>
                    <w:rPr>
                      <w:rFonts w:ascii="Calibri"/>
                      <w:spacing w:val="7"/>
                      <w:w w:val="115"/>
                      <w:sz w:val="15"/>
                    </w:rPr>
                    <w:t>e</w:t>
                  </w:r>
                  <w:r>
                    <w:rPr>
                      <w:rFonts w:ascii="Calibri"/>
                      <w:spacing w:val="2"/>
                      <w:w w:val="115"/>
                      <w:sz w:val="15"/>
                    </w:rPr>
                    <w:t>p</w:t>
                  </w:r>
                  <w:r>
                    <w:rPr>
                      <w:rFonts w:ascii="Calibri"/>
                      <w:w w:val="115"/>
                      <w:sz w:val="15"/>
                    </w:rPr>
                    <w:t>-</w:t>
                  </w:r>
                  <w:r>
                    <w:rPr>
                      <w:rFonts w:ascii="Calibri"/>
                      <w:spacing w:val="5"/>
                      <w:w w:val="115"/>
                      <w:sz w:val="15"/>
                    </w:rPr>
                    <w:t>08 </w:t>
                  </w:r>
                  <w:r>
                    <w:rPr>
                      <w:rFonts w:ascii="Calibri"/>
                      <w:spacing w:val="-3"/>
                      <w:w w:val="115"/>
                      <w:sz w:val="15"/>
                    </w:rPr>
                    <w:t>a</w:t>
                  </w:r>
                  <w:r>
                    <w:rPr>
                      <w:rFonts w:ascii="Calibri"/>
                      <w:spacing w:val="-2"/>
                      <w:w w:val="115"/>
                      <w:sz w:val="15"/>
                    </w:rPr>
                    <w:t>g</w:t>
                  </w:r>
                  <w:r>
                    <w:rPr>
                      <w:rFonts w:ascii="Calibri"/>
                      <w:spacing w:val="2"/>
                      <w:w w:val="115"/>
                      <w:sz w:val="15"/>
                    </w:rPr>
                    <w:t>o</w:t>
                  </w:r>
                  <w:r>
                    <w:rPr>
                      <w:rFonts w:ascii="Calibri"/>
                      <w:w w:val="115"/>
                      <w:sz w:val="15"/>
                    </w:rPr>
                    <w:t>-</w:t>
                  </w:r>
                  <w:r>
                    <w:rPr>
                      <w:rFonts w:ascii="Calibri"/>
                      <w:spacing w:val="5"/>
                      <w:w w:val="115"/>
                      <w:sz w:val="15"/>
                    </w:rPr>
                    <w:t>09 </w:t>
                  </w:r>
                  <w:r>
                    <w:rPr>
                      <w:rFonts w:ascii="Calibri"/>
                      <w:spacing w:val="-2"/>
                      <w:w w:val="115"/>
                      <w:sz w:val="15"/>
                    </w:rPr>
                    <w:t>j</w:t>
                  </w:r>
                  <w:r>
                    <w:rPr>
                      <w:rFonts w:ascii="Calibri"/>
                      <w:spacing w:val="2"/>
                      <w:w w:val="115"/>
                      <w:sz w:val="15"/>
                    </w:rPr>
                    <w:t>u</w:t>
                  </w:r>
                  <w:r>
                    <w:rPr>
                      <w:rFonts w:ascii="Calibri"/>
                      <w:w w:val="115"/>
                      <w:sz w:val="15"/>
                    </w:rPr>
                    <w:t>l-</w:t>
                  </w:r>
                  <w:r>
                    <w:rPr>
                      <w:rFonts w:ascii="Calibri"/>
                      <w:spacing w:val="5"/>
                      <w:w w:val="115"/>
                      <w:sz w:val="15"/>
                    </w:rPr>
                    <w:t>10</w:t>
                  </w:r>
                </w:p>
                <w:p>
                  <w:pPr>
                    <w:spacing w:before="0"/>
                    <w:ind w:left="0" w:right="28" w:firstLine="0"/>
                    <w:jc w:val="right"/>
                    <w:rPr>
                      <w:rFonts w:ascii="Calibri"/>
                      <w:sz w:val="15"/>
                    </w:rPr>
                  </w:pPr>
                  <w:r>
                    <w:rPr>
                      <w:rFonts w:ascii="Calibri"/>
                      <w:spacing w:val="-2"/>
                      <w:w w:val="115"/>
                      <w:sz w:val="15"/>
                    </w:rPr>
                    <w:t>j</w:t>
                  </w:r>
                  <w:r>
                    <w:rPr>
                      <w:rFonts w:ascii="Calibri"/>
                      <w:spacing w:val="2"/>
                      <w:w w:val="115"/>
                      <w:sz w:val="15"/>
                    </w:rPr>
                    <w:t>un</w:t>
                  </w:r>
                  <w:r>
                    <w:rPr>
                      <w:rFonts w:ascii="Calibri"/>
                      <w:w w:val="115"/>
                      <w:sz w:val="15"/>
                    </w:rPr>
                    <w:t>-</w:t>
                  </w:r>
                  <w:r>
                    <w:rPr>
                      <w:rFonts w:ascii="Calibri"/>
                      <w:spacing w:val="5"/>
                      <w:w w:val="115"/>
                      <w:sz w:val="15"/>
                    </w:rPr>
                    <w:t>11</w:t>
                  </w:r>
                </w:p>
              </w:txbxContent>
            </v:textbox>
            <w10:wrap type="none"/>
          </v:shape>
        </w:pict>
      </w:r>
      <w:r>
        <w:rPr>
          <w:rFonts w:ascii="Calibri"/>
          <w:sz w:val="17"/>
        </w:rPr>
        <w:t>(0.05)</w:t>
      </w:r>
    </w:p>
    <w:p>
      <w:pPr>
        <w:pStyle w:val="BodyText"/>
        <w:spacing w:before="4"/>
        <w:rPr>
          <w:rFonts w:ascii="Calibri"/>
          <w:sz w:val="16"/>
        </w:rPr>
      </w:pPr>
    </w:p>
    <w:p>
      <w:pPr>
        <w:spacing w:before="69"/>
        <w:ind w:left="1251" w:right="115" w:firstLine="0"/>
        <w:jc w:val="left"/>
        <w:rPr>
          <w:rFonts w:ascii="Calibri"/>
          <w:sz w:val="17"/>
        </w:rPr>
      </w:pPr>
      <w:r>
        <w:rPr>
          <w:rFonts w:ascii="Calibri"/>
          <w:sz w:val="17"/>
        </w:rPr>
        <w:t>(0.15)</w:t>
      </w:r>
    </w:p>
    <w:p>
      <w:pPr>
        <w:pStyle w:val="BodyText"/>
        <w:spacing w:before="4"/>
        <w:rPr>
          <w:rFonts w:ascii="Calibri"/>
          <w:sz w:val="16"/>
        </w:rPr>
      </w:pPr>
    </w:p>
    <w:p>
      <w:pPr>
        <w:tabs>
          <w:tab w:pos="4751" w:val="left" w:leader="none"/>
        </w:tabs>
        <w:spacing w:before="69"/>
        <w:ind w:left="1251" w:right="115" w:firstLine="0"/>
        <w:jc w:val="left"/>
        <w:rPr>
          <w:rFonts w:ascii="Calibri"/>
          <w:sz w:val="17"/>
        </w:rPr>
      </w:pPr>
      <w:r>
        <w:rPr>
          <w:rFonts w:ascii="Calibri"/>
          <w:sz w:val="17"/>
        </w:rPr>
        <w:t>(0.25)</w:t>
        <w:tab/>
        <w:t>(0.80)</w:t>
      </w:r>
    </w:p>
    <w:p>
      <w:pPr>
        <w:pStyle w:val="BodyText"/>
        <w:spacing w:before="1"/>
        <w:rPr>
          <w:rFonts w:ascii="Calibri"/>
        </w:rPr>
      </w:pPr>
    </w:p>
    <w:p>
      <w:pPr>
        <w:spacing w:before="74"/>
        <w:ind w:left="122" w:right="115" w:firstLine="0"/>
        <w:jc w:val="left"/>
        <w:rPr>
          <w:sz w:val="18"/>
        </w:rPr>
      </w:pPr>
      <w:r>
        <w:rPr>
          <w:sz w:val="18"/>
        </w:rPr>
        <w:t>Fuente: Elaboración propia con base en información del BCB </w:t>
      </w:r>
      <w:r>
        <w:rPr>
          <w:sz w:val="20"/>
        </w:rPr>
        <w:t>(2012)</w:t>
      </w:r>
      <w:r>
        <w:rPr>
          <w:sz w:val="18"/>
        </w:rPr>
        <w:t>.</w:t>
      </w:r>
    </w:p>
    <w:p>
      <w:pPr>
        <w:pStyle w:val="BodyText"/>
        <w:spacing w:before="10"/>
        <w:rPr>
          <w:sz w:val="28"/>
        </w:rPr>
      </w:pPr>
      <w:r>
        <w:rPr/>
        <w:pict>
          <v:line style="position:absolute;mso-position-horizontal-relative:page;mso-position-vertical-relative:paragraph;z-index:11344;mso-wrap-distance-left:0;mso-wrap-distance-right:0" from="85.103996pt,18.8969pt" to="527.133996pt,18.8969pt" stroked="true" strokeweight=".60004pt" strokecolor="#000000">
            <w10:wrap type="topAndBottom"/>
          </v:line>
        </w:pict>
      </w:r>
    </w:p>
    <w:p>
      <w:pPr>
        <w:spacing w:before="74"/>
        <w:ind w:left="122" w:right="129" w:firstLine="0"/>
        <w:jc w:val="both"/>
        <w:rPr>
          <w:sz w:val="20"/>
        </w:rPr>
      </w:pPr>
      <w:r>
        <w:rPr>
          <w:sz w:val="20"/>
        </w:rPr>
        <w:t>las fluctuaciones de los precios del gas natural y de la actividad económica en su equilibrio de mediano y largo plazo versus lo</w:t>
      </w:r>
      <w:r>
        <w:rPr>
          <w:spacing w:val="-9"/>
          <w:sz w:val="20"/>
        </w:rPr>
        <w:t> </w:t>
      </w:r>
      <w:r>
        <w:rPr>
          <w:sz w:val="20"/>
        </w:rPr>
        <w:t>observado.</w:t>
      </w:r>
    </w:p>
    <w:p>
      <w:pPr>
        <w:pStyle w:val="BodyText"/>
        <w:spacing w:before="10"/>
        <w:rPr>
          <w:sz w:val="17"/>
        </w:rPr>
      </w:pPr>
    </w:p>
    <w:p>
      <w:pPr>
        <w:spacing w:before="0"/>
        <w:ind w:left="122" w:right="120" w:firstLine="0"/>
        <w:jc w:val="both"/>
        <w:rPr>
          <w:sz w:val="20"/>
        </w:rPr>
      </w:pPr>
      <w:r>
        <w:rPr>
          <w:position w:val="9"/>
          <w:sz w:val="13"/>
        </w:rPr>
        <w:t>64 </w:t>
      </w:r>
      <w:r>
        <w:rPr>
          <w:sz w:val="20"/>
        </w:rPr>
        <w:t>Las variables de control tiene una aplicación similar a los factores controlados en experimentos  de  la ciencia médica (horarios fijos para ingerir drogas médicas, grado de la dosis médica, alimentación, cuidados personales, etc.).</w:t>
      </w:r>
    </w:p>
    <w:p>
      <w:pPr>
        <w:pStyle w:val="BodyText"/>
        <w:spacing w:before="8"/>
        <w:rPr>
          <w:sz w:val="17"/>
        </w:rPr>
      </w:pPr>
    </w:p>
    <w:p>
      <w:pPr>
        <w:spacing w:before="0"/>
        <w:ind w:left="122" w:right="0" w:firstLine="0"/>
        <w:jc w:val="both"/>
        <w:rPr>
          <w:sz w:val="20"/>
        </w:rPr>
      </w:pPr>
      <w:r>
        <w:rPr>
          <w:position w:val="9"/>
          <w:sz w:val="13"/>
        </w:rPr>
        <w:t>65 </w:t>
      </w:r>
      <w:r>
        <w:rPr>
          <w:sz w:val="20"/>
        </w:rPr>
        <w:t>Para la deuda pública se empleó el tipo multiplicativo con el propósito de obtener una serie más suavizada.</w:t>
      </w:r>
    </w:p>
    <w:p>
      <w:pPr>
        <w:spacing w:after="0"/>
        <w:jc w:val="both"/>
        <w:rPr>
          <w:sz w:val="20"/>
        </w:rPr>
        <w:sectPr>
          <w:type w:val="continuous"/>
          <w:pgSz w:w="12250" w:h="15850"/>
          <w:pgMar w:top="1500" w:bottom="280" w:left="1580" w:right="1580"/>
        </w:sectPr>
      </w:pPr>
    </w:p>
    <w:p>
      <w:pPr>
        <w:pStyle w:val="BodyText"/>
        <w:spacing w:before="1"/>
        <w:rPr>
          <w:sz w:val="22"/>
        </w:rPr>
      </w:pPr>
    </w:p>
    <w:p>
      <w:pPr>
        <w:pStyle w:val="BodyText"/>
        <w:spacing w:line="360" w:lineRule="auto" w:before="69"/>
        <w:ind w:left="102" w:right="137" w:firstLine="707"/>
        <w:jc w:val="both"/>
      </w:pPr>
      <w:r>
        <w:rPr/>
        <w:t>La relevancia de abordar mediciones alternativas para el resultado fiscal se centra en interpretaciones diferentes: se evidencia superávits fiscales (con gas natural, </w:t>
      </w:r>
      <w:r>
        <w:rPr>
          <w:i/>
        </w:rPr>
        <w:t>figura 4.2, </w:t>
      </w:r>
      <w:r>
        <w:rPr>
          <w:i/>
        </w:rPr>
        <w:t>incisos a, b y c</w:t>
      </w:r>
      <w:r>
        <w:rPr/>
        <w:t>) mientras el balance primario no gasífero tiende a deteriorarse (</w:t>
      </w:r>
      <w:r>
        <w:rPr>
          <w:i/>
        </w:rPr>
        <w:t>figura 4.1, </w:t>
      </w:r>
      <w:r>
        <w:rPr>
          <w:i/>
        </w:rPr>
        <w:t>inciso d</w:t>
      </w:r>
      <w:r>
        <w:rPr/>
        <w:t>), lo cual sugiere que el gasto público se está financiando con ingresos fiscales del gas natural.</w:t>
      </w:r>
    </w:p>
    <w:p>
      <w:pPr>
        <w:pStyle w:val="BodyText"/>
        <w:spacing w:before="3"/>
      </w:pPr>
    </w:p>
    <w:p>
      <w:pPr>
        <w:pStyle w:val="BodyText"/>
        <w:spacing w:before="1"/>
        <w:ind w:left="4002" w:right="463" w:hanging="3582"/>
      </w:pPr>
      <w:r>
        <w:rPr/>
        <w:pict>
          <v:group style="position:absolute;margin-left:250.70517pt;margin-top:36.210178pt;width:103.05pt;height:105.9pt;mso-position-horizontal-relative:page;mso-position-vertical-relative:paragraph;z-index:11776" coordorigin="5014,724" coordsize="2061,2118">
            <v:shape style="position:absolute;left:788;top:9025;width:3166;height:2415" coordorigin="788,9025" coordsize="3166,2415" path="m5059,2835l5059,760m5021,2835l5059,2835m5021,2461l5059,2461m5021,2075l5059,2075m5021,1701l5059,1701m5021,1327l5059,1327m5021,953l5059,953m5059,1894l7029,1894m5059,1894l5059,1946m5268,1894l5268,1946m5468,1894l5468,1946m5677,1894l5677,1946m5877,1894l5877,1946m6086,1894l6086,1946m6286,1894l6286,1946m6486,1894l6486,1946m6696,1894l6696,1946m6895,1894l6895,1946e" filled="false" stroked="true" strokeweight=".560150pt" strokecolor="#858585">
              <v:path arrowok="t"/>
            </v:shape>
            <v:shape style="position:absolute;left:5068;top:1581;width:1951;height:541" coordorigin="5068,1581" coordsize="1951,541" path="m5068,2120l5082,2117,5096,2115,5110,2112,5124,2111,5138,2113,5152,2118,5166,2121,5180,2119,5194,2109,5208,2093,5221,2077,5235,2068,5249,2068,5263,2075,5277,2081,5291,2082,5305,2074,5319,2059,5333,2045,5347,2036,5361,2036,5375,2042,5389,2047,5403,2044,5417,2025,5430,1996,5444,1969,5458,1954,5472,1960,5486,1978,5500,1997,5514,2007,5570,1960,5612,1909,5626,1893,5640,1881,5653,1874,5667,1862,5681,1841,5695,1803,5709,1754,5723,1705,5737,1667,5751,1646,5765,1635,5779,1628,5793,1621,5807,1611,5821,1601,5835,1594,5849,1591,5862,1594,5876,1602,5890,1611,5904,1615,5918,1609,5932,1596,5946,1587,5960,1592,5974,1620,5988,1663,6002,1707,6016,1734,6030,1738,6044,1729,6058,1714,6072,1704,6085,1701,6099,1701,6113,1699,6127,1690,6141,1670,6155,1641,6169,1612,6183,1592,6197,1583,6211,1581,6225,1582,6239,1583,6253,1582,6267,1582,6280,1585,6294,1591,6308,1604,6322,1624,6336,1642,6350,1653,6364,1651,6378,1641,6392,1631,6406,1630,6420,1640,6434,1659,6448,1679,6462,1696,6517,1742,6530,1744,6545,1744,6560,1749,6573,1766,6587,1821,6601,1900,6615,1972,6629,2007,6643,1985,6657,1927,6671,1860,6685,1809,6699,1783,6712,1766,6726,1754,6740,1742,6796,1690,6852,1667,6866,1671,6880,1680,6894,1689,6908,1696,6921,1699,6935,1700,6949,1701,6963,1704,6977,1709,6991,1715,7005,1722,7019,1728e" filled="false" stroked="true" strokeweight="1.897438pt" strokecolor="#497dba">
              <v:path arrowok="t"/>
            </v:shape>
            <v:shape style="position:absolute;left:5014;top:724;width:2061;height:2118" type="#_x0000_t202" filled="false" stroked="false">
              <v:textbox inset="0,0,0,0">
                <w:txbxContent>
                  <w:p>
                    <w:pPr>
                      <w:spacing w:line="209" w:lineRule="exact" w:before="0"/>
                      <w:ind w:left="171" w:right="-8" w:firstLine="0"/>
                      <w:jc w:val="left"/>
                      <w:rPr>
                        <w:rFonts w:ascii="Constantia"/>
                        <w:b/>
                        <w:sz w:val="20"/>
                      </w:rPr>
                    </w:pPr>
                    <w:r>
                      <w:rPr>
                        <w:rFonts w:ascii="Constantia"/>
                        <w:b/>
                        <w:w w:val="80"/>
                        <w:sz w:val="20"/>
                      </w:rPr>
                      <w:t>(b) Balance fiscal global</w:t>
                    </w:r>
                    <w:r>
                      <w:rPr>
                        <w:rFonts w:ascii="Constantia"/>
                        <w:b/>
                        <w:spacing w:val="-27"/>
                        <w:w w:val="80"/>
                        <w:sz w:val="20"/>
                      </w:rPr>
                      <w:t> </w:t>
                    </w:r>
                    <w:r>
                      <w:rPr>
                        <w:rFonts w:ascii="Constantia"/>
                        <w:b/>
                        <w:w w:val="80"/>
                        <w:sz w:val="20"/>
                      </w:rPr>
                      <w:t>/</w:t>
                    </w:r>
                  </w:p>
                  <w:p>
                    <w:pPr>
                      <w:spacing w:before="15"/>
                      <w:ind w:left="791" w:right="-8" w:firstLine="0"/>
                      <w:jc w:val="left"/>
                      <w:rPr>
                        <w:rFonts w:ascii="Calibri"/>
                        <w:b/>
                        <w:sz w:val="17"/>
                      </w:rPr>
                    </w:pPr>
                    <w:r>
                      <w:rPr>
                        <w:rFonts w:ascii="Constantia"/>
                        <w:b/>
                        <w:w w:val="80"/>
                        <w:sz w:val="20"/>
                      </w:rPr>
                      <w:t>PIB </w:t>
                    </w:r>
                    <w:r>
                      <w:rPr>
                        <w:rFonts w:ascii="Calibri"/>
                        <w:b/>
                        <w:w w:val="80"/>
                        <w:sz w:val="17"/>
                      </w:rPr>
                      <w:t>(y4t*)</w:t>
                    </w:r>
                  </w:p>
                </w:txbxContent>
              </v:textbox>
              <w10:wrap type="none"/>
            </v:shape>
            <w10:wrap type="none"/>
          </v:group>
        </w:pict>
      </w:r>
      <w:bookmarkStart w:name="_bookmark114" w:id="157"/>
      <w:bookmarkEnd w:id="157"/>
      <w:r>
        <w:rPr/>
      </w:r>
      <w:r>
        <w:rPr/>
        <w:t>Figura 4. 2: Especificaciones alternativas para la medición del resultado fiscal (y4t*): 2003-2011</w:t>
      </w:r>
    </w:p>
    <w:p>
      <w:pPr>
        <w:pStyle w:val="BodyText"/>
        <w:spacing w:before="9"/>
        <w:rPr>
          <w:sz w:val="19"/>
        </w:rPr>
      </w:pPr>
    </w:p>
    <w:p>
      <w:pPr>
        <w:spacing w:after="0"/>
        <w:rPr>
          <w:sz w:val="19"/>
        </w:rPr>
        <w:sectPr>
          <w:pgSz w:w="12250" w:h="15850"/>
          <w:pgMar w:header="0" w:footer="1037" w:top="1500" w:bottom="1220" w:left="1600" w:right="1560"/>
        </w:sectPr>
      </w:pPr>
    </w:p>
    <w:p>
      <w:pPr>
        <w:pStyle w:val="BodyText"/>
        <w:rPr>
          <w:sz w:val="14"/>
        </w:rPr>
      </w:pPr>
    </w:p>
    <w:p>
      <w:pPr>
        <w:spacing w:before="95"/>
        <w:ind w:left="295" w:right="-4" w:firstLine="0"/>
        <w:jc w:val="left"/>
        <w:rPr>
          <w:rFonts w:ascii="Calibri"/>
          <w:sz w:val="15"/>
        </w:rPr>
      </w:pPr>
      <w:r>
        <w:rPr/>
        <w:pict>
          <v:group style="position:absolute;margin-left:111.513351pt;margin-top:-1.068466pt;width:102.3pt;height:96.9pt;mso-position-horizontal-relative:page;mso-position-vertical-relative:paragraph;z-index:11728" coordorigin="2230,-21" coordsize="2046,1938">
            <v:shape style="position:absolute;left:788;top:8083;width:3166;height:2415" coordorigin="788,8083" coordsize="3166,2415" path="m2275,1911l2275,11m2236,1911l2275,1911m2236,1568l2275,1568m2236,1215l2275,1215m2236,872l2275,872m2236,530l2275,530m2236,188l2275,188m2275,1049l4267,1049m2275,1049l2275,1097m2486,1049l2486,1097m2689,1049l2689,1097m2900,1049l2900,1097m3102,1049l3102,1097m3304,1049l3304,1097m3516,1049l3516,1097m3718,1049l3718,1097m3930,1049l3930,1097m4132,1049l4132,1097e" filled="false" stroked="true" strokeweight=".535510pt" strokecolor="#858585">
              <v:path arrowok="t"/>
            </v:shape>
            <v:shape style="position:absolute;left:2284;top:707;width:1973;height:487" coordorigin="2284,707" coordsize="1973,487" path="m2284,1186l2298,1183,2313,1180,2327,1177,2341,1176,2355,1180,2369,1188,2383,1194,2397,1191,2411,1174,2425,1147,2439,1121,2454,1107,2468,1111,2482,1127,2496,1144,2510,1152,2524,1145,2538,1131,2552,1116,2566,1107,2580,1109,2594,1117,2609,1124,2623,1122,2637,1106,2651,1080,2665,1054,2679,1038,2693,1034,2707,1038,2721,1045,2735,1048,2749,1049,2764,1049,2778,1046,2792,1038,2806,1019,2820,994,2834,968,2848,949,2862,944,2876,946,2891,946,2904,934,2919,901,2933,855,2947,807,2961,772,2975,752,2989,740,3003,733,3017,727,3031,719,3045,713,3060,709,3074,707,3088,710,3102,715,3116,721,3130,727,3144,728,3158,727,3172,729,3186,737,3200,756,3214,783,3229,810,3243,830,3257,840,3271,845,3285,846,3299,846,3313,846,3369,810,3384,781,3398,754,3412,737,3426,736,3440,744,3454,755,3468,761,3482,758,3496,750,3510,743,3525,742,3539,752,3553,769,3567,786,3581,796,3595,793,3609,783,3623,774,3637,772,3651,781,3665,798,3680,817,3694,830,3708,837,3722,840,3736,842,3750,846,3763,846,3778,845,3793,849,3806,865,3820,915,3835,986,3849,1052,3863,1083,3877,1061,3891,1006,3905,943,3919,899,3933,885,3947,882,3962,883,3975,880,3990,869,4004,855,4018,842,4032,830,4046,821,4060,814,4074,808,4088,806,4102,810,4116,818,4130,826,4145,830,4159,827,4173,819,4187,812,4201,811,4215,819,4229,833,4243,850,4257,865e" filled="false" stroked="true" strokeweight="1.750768pt" strokecolor="#497dba">
              <v:path arrowok="t"/>
            </v:shape>
            <v:shape style="position:absolute;left:2230;top:-21;width:2045;height:1938" type="#_x0000_t202" filled="false" stroked="false">
              <v:textbox inset="0,0,0,0">
                <w:txbxContent>
                  <w:p>
                    <w:pPr>
                      <w:spacing w:line="193" w:lineRule="exact" w:before="0"/>
                      <w:ind w:left="94" w:right="0" w:firstLine="0"/>
                      <w:jc w:val="left"/>
                      <w:rPr>
                        <w:rFonts w:ascii="Constantia"/>
                        <w:b/>
                        <w:sz w:val="19"/>
                      </w:rPr>
                    </w:pPr>
                    <w:r>
                      <w:rPr>
                        <w:rFonts w:ascii="Constantia"/>
                        <w:b/>
                        <w:w w:val="80"/>
                        <w:sz w:val="19"/>
                      </w:rPr>
                      <w:t>(a) Balance primario / PIB</w:t>
                    </w:r>
                  </w:p>
                  <w:p>
                    <w:pPr>
                      <w:spacing w:before="43"/>
                      <w:ind w:left="841" w:right="814" w:firstLine="0"/>
                      <w:jc w:val="center"/>
                      <w:rPr>
                        <w:rFonts w:ascii="Calibri"/>
                        <w:b/>
                        <w:sz w:val="15"/>
                      </w:rPr>
                    </w:pPr>
                    <w:r>
                      <w:rPr>
                        <w:rFonts w:ascii="Calibri"/>
                        <w:b/>
                        <w:w w:val="95"/>
                        <w:sz w:val="15"/>
                      </w:rPr>
                      <w:t>(y4t*)</w:t>
                    </w:r>
                  </w:p>
                </w:txbxContent>
              </v:textbox>
              <w10:wrap type="none"/>
            </v:shape>
            <w10:wrap type="none"/>
          </v:group>
        </w:pict>
      </w:r>
      <w:r>
        <w:rPr>
          <w:rFonts w:ascii="Calibri"/>
          <w:w w:val="90"/>
          <w:sz w:val="15"/>
        </w:rPr>
        <w:t>0.25</w:t>
      </w:r>
    </w:p>
    <w:p>
      <w:pPr>
        <w:pStyle w:val="BodyText"/>
        <w:spacing w:before="3"/>
        <w:rPr>
          <w:rFonts w:ascii="Calibri"/>
          <w:sz w:val="13"/>
        </w:rPr>
      </w:pPr>
    </w:p>
    <w:p>
      <w:pPr>
        <w:spacing w:before="1"/>
        <w:ind w:left="295" w:right="-4" w:firstLine="0"/>
        <w:jc w:val="left"/>
        <w:rPr>
          <w:rFonts w:ascii="Calibri"/>
          <w:sz w:val="15"/>
        </w:rPr>
      </w:pPr>
      <w:r>
        <w:rPr>
          <w:rFonts w:ascii="Calibri"/>
          <w:w w:val="90"/>
          <w:sz w:val="15"/>
        </w:rPr>
        <w:t>0.15</w:t>
      </w:r>
    </w:p>
    <w:p>
      <w:pPr>
        <w:pStyle w:val="BodyText"/>
        <w:spacing w:before="4"/>
        <w:rPr>
          <w:rFonts w:ascii="Calibri"/>
          <w:sz w:val="13"/>
        </w:rPr>
      </w:pPr>
    </w:p>
    <w:p>
      <w:pPr>
        <w:spacing w:before="0"/>
        <w:ind w:left="295" w:right="-4" w:firstLine="0"/>
        <w:jc w:val="left"/>
        <w:rPr>
          <w:rFonts w:ascii="Calibri"/>
          <w:sz w:val="15"/>
        </w:rPr>
      </w:pPr>
      <w:r>
        <w:rPr>
          <w:rFonts w:ascii="Calibri"/>
          <w:w w:val="90"/>
          <w:sz w:val="15"/>
        </w:rPr>
        <w:t>0.05</w:t>
      </w:r>
    </w:p>
    <w:p>
      <w:pPr>
        <w:pStyle w:val="BodyText"/>
        <w:spacing w:before="3"/>
        <w:rPr>
          <w:rFonts w:ascii="Calibri"/>
          <w:sz w:val="13"/>
        </w:rPr>
      </w:pPr>
    </w:p>
    <w:p>
      <w:pPr>
        <w:spacing w:before="1"/>
        <w:ind w:left="241" w:right="-14" w:firstLine="0"/>
        <w:jc w:val="left"/>
        <w:rPr>
          <w:rFonts w:ascii="Calibri"/>
          <w:sz w:val="15"/>
        </w:rPr>
      </w:pPr>
      <w:r>
        <w:rPr/>
        <w:pict>
          <v:shape style="position:absolute;margin-left:111.082024pt;margin-top:-.041123pt;width:101.5pt;height:25.7pt;mso-position-horizontal-relative:page;mso-position-vertical-relative:paragraph;z-index:11872" type="#_x0000_t202" filled="false" stroked="false">
            <v:textbox inset="0,0,0,0" style="layout-flow:vertical;mso-layout-flow-alt:bottom-to-top">
              <w:txbxContent>
                <w:p>
                  <w:pPr>
                    <w:spacing w:line="338" w:lineRule="auto" w:before="0"/>
                    <w:ind w:left="28" w:right="18" w:hanging="9"/>
                    <w:jc w:val="right"/>
                    <w:rPr>
                      <w:rFonts w:ascii="Calibri"/>
                      <w:sz w:val="12"/>
                    </w:rPr>
                  </w:pPr>
                  <w:r>
                    <w:rPr>
                      <w:rFonts w:ascii="Calibri"/>
                      <w:spacing w:val="-5"/>
                      <w:w w:val="128"/>
                      <w:sz w:val="12"/>
                    </w:rPr>
                    <w:t>m</w:t>
                  </w:r>
                  <w:r>
                    <w:rPr>
                      <w:rFonts w:ascii="Calibri"/>
                      <w:spacing w:val="-3"/>
                      <w:w w:val="128"/>
                      <w:sz w:val="12"/>
                    </w:rPr>
                    <w:t>a</w:t>
                  </w:r>
                  <w:r>
                    <w:rPr>
                      <w:rFonts w:ascii="Calibri"/>
                      <w:spacing w:val="5"/>
                      <w:w w:val="128"/>
                      <w:sz w:val="12"/>
                    </w:rPr>
                    <w:t>r</w:t>
                  </w:r>
                  <w:r>
                    <w:rPr>
                      <w:rFonts w:ascii="Calibri"/>
                      <w:w w:val="128"/>
                      <w:sz w:val="12"/>
                    </w:rPr>
                    <w:t>-</w:t>
                  </w:r>
                  <w:r>
                    <w:rPr>
                      <w:rFonts w:ascii="Calibri"/>
                      <w:spacing w:val="5"/>
                      <w:w w:val="128"/>
                      <w:sz w:val="12"/>
                    </w:rPr>
                    <w:t>03 </w:t>
                  </w:r>
                  <w:r>
                    <w:rPr>
                      <w:rFonts w:ascii="Calibri"/>
                      <w:w w:val="128"/>
                      <w:sz w:val="12"/>
                    </w:rPr>
                    <w:t>f</w:t>
                  </w:r>
                  <w:r>
                    <w:rPr>
                      <w:rFonts w:ascii="Calibri"/>
                      <w:spacing w:val="6"/>
                      <w:w w:val="128"/>
                      <w:sz w:val="12"/>
                    </w:rPr>
                    <w:t>e</w:t>
                  </w:r>
                  <w:r>
                    <w:rPr>
                      <w:rFonts w:ascii="Calibri"/>
                      <w:spacing w:val="2"/>
                      <w:w w:val="128"/>
                      <w:sz w:val="12"/>
                    </w:rPr>
                    <w:t>b</w:t>
                  </w:r>
                  <w:r>
                    <w:rPr>
                      <w:rFonts w:ascii="Calibri"/>
                      <w:w w:val="128"/>
                      <w:sz w:val="12"/>
                    </w:rPr>
                    <w:t>-</w:t>
                  </w:r>
                  <w:r>
                    <w:rPr>
                      <w:rFonts w:ascii="Calibri"/>
                      <w:spacing w:val="4"/>
                      <w:w w:val="128"/>
                      <w:sz w:val="12"/>
                    </w:rPr>
                    <w:t>04 </w:t>
                  </w:r>
                  <w:r>
                    <w:rPr>
                      <w:rFonts w:ascii="Calibri"/>
                      <w:spacing w:val="6"/>
                      <w:w w:val="128"/>
                      <w:sz w:val="12"/>
                    </w:rPr>
                    <w:t>e</w:t>
                  </w:r>
                  <w:r>
                    <w:rPr>
                      <w:rFonts w:ascii="Calibri"/>
                      <w:spacing w:val="2"/>
                      <w:w w:val="128"/>
                      <w:sz w:val="12"/>
                    </w:rPr>
                    <w:t>n</w:t>
                  </w:r>
                  <w:r>
                    <w:rPr>
                      <w:rFonts w:ascii="Calibri"/>
                      <w:spacing w:val="6"/>
                      <w:w w:val="128"/>
                      <w:sz w:val="12"/>
                    </w:rPr>
                    <w:t>e</w:t>
                  </w:r>
                  <w:r>
                    <w:rPr>
                      <w:rFonts w:ascii="Calibri"/>
                      <w:w w:val="128"/>
                      <w:sz w:val="12"/>
                    </w:rPr>
                    <w:t>-</w:t>
                  </w:r>
                  <w:r>
                    <w:rPr>
                      <w:rFonts w:ascii="Calibri"/>
                      <w:spacing w:val="5"/>
                      <w:w w:val="128"/>
                      <w:sz w:val="12"/>
                    </w:rPr>
                    <w:t>05 </w:t>
                  </w:r>
                  <w:r>
                    <w:rPr>
                      <w:rFonts w:ascii="Calibri"/>
                      <w:spacing w:val="2"/>
                      <w:w w:val="128"/>
                      <w:sz w:val="12"/>
                    </w:rPr>
                    <w:t>d</w:t>
                  </w:r>
                  <w:r>
                    <w:rPr>
                      <w:rFonts w:ascii="Calibri"/>
                      <w:w w:val="128"/>
                      <w:sz w:val="12"/>
                    </w:rPr>
                    <w:t>i</w:t>
                  </w:r>
                  <w:r>
                    <w:rPr>
                      <w:rFonts w:ascii="Calibri"/>
                      <w:spacing w:val="6"/>
                      <w:w w:val="128"/>
                      <w:sz w:val="12"/>
                    </w:rPr>
                    <w:t>c</w:t>
                  </w:r>
                  <w:r>
                    <w:rPr>
                      <w:rFonts w:ascii="Calibri"/>
                      <w:w w:val="128"/>
                      <w:sz w:val="12"/>
                    </w:rPr>
                    <w:t>-</w:t>
                  </w:r>
                  <w:r>
                    <w:rPr>
                      <w:rFonts w:ascii="Calibri"/>
                      <w:spacing w:val="5"/>
                      <w:w w:val="128"/>
                      <w:sz w:val="12"/>
                    </w:rPr>
                    <w:t>05 </w:t>
                  </w:r>
                  <w:r>
                    <w:rPr>
                      <w:rFonts w:ascii="Calibri"/>
                      <w:spacing w:val="1"/>
                      <w:w w:val="128"/>
                      <w:sz w:val="12"/>
                    </w:rPr>
                    <w:t>nov</w:t>
                  </w:r>
                  <w:r>
                    <w:rPr>
                      <w:rFonts w:ascii="Calibri"/>
                      <w:w w:val="128"/>
                      <w:sz w:val="12"/>
                    </w:rPr>
                    <w:t>-</w:t>
                  </w:r>
                  <w:r>
                    <w:rPr>
                      <w:rFonts w:ascii="Calibri"/>
                      <w:spacing w:val="4"/>
                      <w:w w:val="128"/>
                      <w:sz w:val="12"/>
                    </w:rPr>
                    <w:t>06 </w:t>
                  </w:r>
                  <w:r>
                    <w:rPr>
                      <w:rFonts w:ascii="Calibri"/>
                      <w:spacing w:val="1"/>
                      <w:w w:val="128"/>
                      <w:sz w:val="12"/>
                    </w:rPr>
                    <w:t>o</w:t>
                  </w:r>
                  <w:r>
                    <w:rPr>
                      <w:rFonts w:ascii="Calibri"/>
                      <w:spacing w:val="6"/>
                      <w:w w:val="128"/>
                      <w:sz w:val="12"/>
                    </w:rPr>
                    <w:t>c</w:t>
                  </w:r>
                  <w:r>
                    <w:rPr>
                      <w:rFonts w:ascii="Calibri"/>
                      <w:spacing w:val="-4"/>
                      <w:w w:val="128"/>
                      <w:sz w:val="12"/>
                    </w:rPr>
                    <w:t>t</w:t>
                  </w:r>
                  <w:r>
                    <w:rPr>
                      <w:rFonts w:ascii="Calibri"/>
                      <w:w w:val="128"/>
                      <w:sz w:val="12"/>
                    </w:rPr>
                    <w:t>-</w:t>
                  </w:r>
                  <w:r>
                    <w:rPr>
                      <w:rFonts w:ascii="Calibri"/>
                      <w:spacing w:val="5"/>
                      <w:w w:val="128"/>
                      <w:sz w:val="12"/>
                    </w:rPr>
                    <w:t>07 </w:t>
                  </w:r>
                  <w:r>
                    <w:rPr>
                      <w:rFonts w:ascii="Calibri"/>
                      <w:spacing w:val="-1"/>
                      <w:w w:val="128"/>
                      <w:sz w:val="12"/>
                    </w:rPr>
                    <w:t>s</w:t>
                  </w:r>
                  <w:r>
                    <w:rPr>
                      <w:rFonts w:ascii="Calibri"/>
                      <w:spacing w:val="6"/>
                      <w:w w:val="128"/>
                      <w:sz w:val="12"/>
                    </w:rPr>
                    <w:t>e</w:t>
                  </w:r>
                  <w:r>
                    <w:rPr>
                      <w:rFonts w:ascii="Calibri"/>
                      <w:spacing w:val="2"/>
                      <w:w w:val="128"/>
                      <w:sz w:val="12"/>
                    </w:rPr>
                    <w:t>p</w:t>
                  </w:r>
                  <w:r>
                    <w:rPr>
                      <w:rFonts w:ascii="Calibri"/>
                      <w:w w:val="128"/>
                      <w:sz w:val="12"/>
                    </w:rPr>
                    <w:t>-</w:t>
                  </w:r>
                  <w:r>
                    <w:rPr>
                      <w:rFonts w:ascii="Calibri"/>
                      <w:spacing w:val="4"/>
                      <w:w w:val="128"/>
                      <w:sz w:val="12"/>
                    </w:rPr>
                    <w:t>08 </w:t>
                  </w:r>
                  <w:r>
                    <w:rPr>
                      <w:rFonts w:ascii="Calibri"/>
                      <w:spacing w:val="-3"/>
                      <w:w w:val="128"/>
                      <w:sz w:val="12"/>
                    </w:rPr>
                    <w:t>a</w:t>
                  </w:r>
                  <w:r>
                    <w:rPr>
                      <w:rFonts w:ascii="Calibri"/>
                      <w:spacing w:val="-2"/>
                      <w:w w:val="128"/>
                      <w:sz w:val="12"/>
                    </w:rPr>
                    <w:t>g</w:t>
                  </w:r>
                  <w:r>
                    <w:rPr>
                      <w:rFonts w:ascii="Calibri"/>
                      <w:spacing w:val="1"/>
                      <w:w w:val="128"/>
                      <w:sz w:val="12"/>
                    </w:rPr>
                    <w:t>o</w:t>
                  </w:r>
                  <w:r>
                    <w:rPr>
                      <w:rFonts w:ascii="Calibri"/>
                      <w:w w:val="128"/>
                      <w:sz w:val="12"/>
                    </w:rPr>
                    <w:t>-</w:t>
                  </w:r>
                  <w:r>
                    <w:rPr>
                      <w:rFonts w:ascii="Calibri"/>
                      <w:spacing w:val="5"/>
                      <w:w w:val="128"/>
                      <w:sz w:val="12"/>
                    </w:rPr>
                    <w:t>09 </w:t>
                  </w:r>
                  <w:r>
                    <w:rPr>
                      <w:rFonts w:ascii="Calibri"/>
                      <w:spacing w:val="-2"/>
                      <w:w w:val="128"/>
                      <w:sz w:val="12"/>
                    </w:rPr>
                    <w:t>j</w:t>
                  </w:r>
                  <w:r>
                    <w:rPr>
                      <w:rFonts w:ascii="Calibri"/>
                      <w:spacing w:val="1"/>
                      <w:w w:val="128"/>
                      <w:sz w:val="12"/>
                    </w:rPr>
                    <w:t>u</w:t>
                  </w:r>
                  <w:r>
                    <w:rPr>
                      <w:rFonts w:ascii="Calibri"/>
                      <w:w w:val="128"/>
                      <w:sz w:val="12"/>
                    </w:rPr>
                    <w:t>l-</w:t>
                  </w:r>
                  <w:r>
                    <w:rPr>
                      <w:rFonts w:ascii="Calibri"/>
                      <w:spacing w:val="4"/>
                      <w:w w:val="128"/>
                      <w:sz w:val="12"/>
                    </w:rPr>
                    <w:t>10</w:t>
                  </w:r>
                </w:p>
                <w:p>
                  <w:pPr>
                    <w:spacing w:before="0"/>
                    <w:ind w:left="0" w:right="26" w:firstLine="0"/>
                    <w:jc w:val="right"/>
                    <w:rPr>
                      <w:rFonts w:ascii="Calibri"/>
                      <w:sz w:val="12"/>
                    </w:rPr>
                  </w:pPr>
                  <w:r>
                    <w:rPr>
                      <w:rFonts w:ascii="Calibri"/>
                      <w:spacing w:val="-2"/>
                      <w:w w:val="128"/>
                      <w:sz w:val="12"/>
                    </w:rPr>
                    <w:t>j</w:t>
                  </w:r>
                  <w:r>
                    <w:rPr>
                      <w:rFonts w:ascii="Calibri"/>
                      <w:spacing w:val="2"/>
                      <w:w w:val="128"/>
                      <w:sz w:val="12"/>
                    </w:rPr>
                    <w:t>un</w:t>
                  </w:r>
                  <w:r>
                    <w:rPr>
                      <w:rFonts w:ascii="Calibri"/>
                      <w:w w:val="128"/>
                      <w:sz w:val="12"/>
                    </w:rPr>
                    <w:t>-</w:t>
                  </w:r>
                  <w:r>
                    <w:rPr>
                      <w:rFonts w:ascii="Calibri"/>
                      <w:spacing w:val="5"/>
                      <w:w w:val="128"/>
                      <w:sz w:val="12"/>
                    </w:rPr>
                    <w:t>11</w:t>
                  </w:r>
                </w:p>
              </w:txbxContent>
            </v:textbox>
            <w10:wrap type="none"/>
          </v:shape>
        </w:pict>
      </w:r>
      <w:r>
        <w:rPr>
          <w:rFonts w:ascii="Calibri"/>
          <w:w w:val="85"/>
          <w:sz w:val="15"/>
        </w:rPr>
        <w:t>(0.05)</w:t>
      </w:r>
    </w:p>
    <w:p>
      <w:pPr>
        <w:pStyle w:val="BodyText"/>
        <w:spacing w:before="3"/>
        <w:rPr>
          <w:rFonts w:ascii="Calibri"/>
          <w:sz w:val="13"/>
        </w:rPr>
      </w:pPr>
    </w:p>
    <w:p>
      <w:pPr>
        <w:spacing w:before="1"/>
        <w:ind w:left="241" w:right="-14" w:firstLine="0"/>
        <w:jc w:val="left"/>
        <w:rPr>
          <w:rFonts w:ascii="Calibri"/>
          <w:sz w:val="15"/>
        </w:rPr>
      </w:pPr>
      <w:r>
        <w:rPr>
          <w:rFonts w:ascii="Calibri"/>
          <w:w w:val="85"/>
          <w:sz w:val="15"/>
        </w:rPr>
        <w:t>(0.15)</w:t>
      </w:r>
    </w:p>
    <w:p>
      <w:pPr>
        <w:pStyle w:val="BodyText"/>
        <w:spacing w:before="4"/>
        <w:rPr>
          <w:rFonts w:ascii="Calibri"/>
          <w:sz w:val="13"/>
        </w:rPr>
      </w:pPr>
    </w:p>
    <w:p>
      <w:pPr>
        <w:spacing w:before="0"/>
        <w:ind w:left="241" w:right="-14" w:firstLine="0"/>
        <w:jc w:val="left"/>
        <w:rPr>
          <w:rFonts w:ascii="Calibri"/>
          <w:sz w:val="15"/>
        </w:rPr>
      </w:pPr>
      <w:r>
        <w:rPr>
          <w:rFonts w:ascii="Calibri"/>
          <w:w w:val="85"/>
          <w:sz w:val="15"/>
        </w:rPr>
        <w:t>(0.25)</w:t>
      </w:r>
    </w:p>
    <w:p>
      <w:pPr>
        <w:spacing w:before="65"/>
        <w:ind w:left="294" w:right="-9" w:firstLine="0"/>
        <w:jc w:val="left"/>
        <w:rPr>
          <w:rFonts w:ascii="Calibri"/>
          <w:sz w:val="17"/>
        </w:rPr>
      </w:pPr>
      <w:r>
        <w:rPr/>
        <w:br w:type="column"/>
      </w:r>
      <w:r>
        <w:rPr>
          <w:rFonts w:ascii="Calibri"/>
          <w:w w:val="80"/>
          <w:sz w:val="17"/>
        </w:rPr>
        <w:t>0.25</w:t>
      </w:r>
    </w:p>
    <w:p>
      <w:pPr>
        <w:pStyle w:val="BodyText"/>
        <w:spacing w:before="11"/>
        <w:rPr>
          <w:rFonts w:ascii="Calibri"/>
          <w:sz w:val="13"/>
        </w:rPr>
      </w:pPr>
    </w:p>
    <w:p>
      <w:pPr>
        <w:spacing w:before="0"/>
        <w:ind w:left="294" w:right="-9" w:firstLine="0"/>
        <w:jc w:val="left"/>
        <w:rPr>
          <w:rFonts w:ascii="Calibri"/>
          <w:sz w:val="17"/>
        </w:rPr>
      </w:pPr>
      <w:r>
        <w:rPr>
          <w:rFonts w:ascii="Calibri"/>
          <w:w w:val="80"/>
          <w:sz w:val="17"/>
        </w:rPr>
        <w:t>0.15</w:t>
      </w:r>
    </w:p>
    <w:p>
      <w:pPr>
        <w:pStyle w:val="BodyText"/>
        <w:spacing w:before="11"/>
        <w:rPr>
          <w:rFonts w:ascii="Calibri"/>
          <w:sz w:val="13"/>
        </w:rPr>
      </w:pPr>
    </w:p>
    <w:p>
      <w:pPr>
        <w:spacing w:before="1"/>
        <w:ind w:left="294" w:right="-9" w:firstLine="0"/>
        <w:jc w:val="left"/>
        <w:rPr>
          <w:rFonts w:ascii="Calibri"/>
          <w:sz w:val="17"/>
        </w:rPr>
      </w:pPr>
      <w:r>
        <w:rPr>
          <w:rFonts w:ascii="Calibri"/>
          <w:w w:val="80"/>
          <w:sz w:val="17"/>
        </w:rPr>
        <w:t>0.05</w:t>
      </w:r>
    </w:p>
    <w:p>
      <w:pPr>
        <w:pStyle w:val="BodyText"/>
        <w:spacing w:before="11"/>
        <w:rPr>
          <w:rFonts w:ascii="Calibri"/>
          <w:sz w:val="13"/>
        </w:rPr>
      </w:pPr>
    </w:p>
    <w:p>
      <w:pPr>
        <w:spacing w:before="0"/>
        <w:ind w:left="241" w:right="-18" w:firstLine="0"/>
        <w:jc w:val="left"/>
        <w:rPr>
          <w:rFonts w:ascii="Calibri"/>
          <w:sz w:val="17"/>
        </w:rPr>
      </w:pPr>
      <w:r>
        <w:rPr/>
        <w:pict>
          <v:shape style="position:absolute;margin-left:250.32756pt;margin-top:.283327pt;width:100.35pt;height:27.9pt;mso-position-horizontal-relative:page;mso-position-vertical-relative:paragraph;z-index:11896" type="#_x0000_t202" filled="false" stroked="false">
            <v:textbox inset="0,0,0,0" style="layout-flow:vertical;mso-layout-flow-alt:bottom-to-top">
              <w:txbxContent>
                <w:p>
                  <w:pPr>
                    <w:spacing w:line="336" w:lineRule="auto" w:before="0"/>
                    <w:ind w:left="29" w:right="18" w:hanging="10"/>
                    <w:jc w:val="both"/>
                    <w:rPr>
                      <w:rFonts w:ascii="Calibri"/>
                      <w:sz w:val="12"/>
                    </w:rPr>
                  </w:pPr>
                  <w:r>
                    <w:rPr>
                      <w:rFonts w:ascii="Calibri"/>
                      <w:spacing w:val="-5"/>
                      <w:w w:val="139"/>
                      <w:sz w:val="12"/>
                    </w:rPr>
                    <w:t>m</w:t>
                  </w:r>
                  <w:r>
                    <w:rPr>
                      <w:rFonts w:ascii="Calibri"/>
                      <w:spacing w:val="-3"/>
                      <w:w w:val="139"/>
                      <w:sz w:val="12"/>
                    </w:rPr>
                    <w:t>a</w:t>
                  </w:r>
                  <w:r>
                    <w:rPr>
                      <w:rFonts w:ascii="Calibri"/>
                      <w:spacing w:val="5"/>
                      <w:w w:val="139"/>
                      <w:sz w:val="12"/>
                    </w:rPr>
                    <w:t>r</w:t>
                  </w:r>
                  <w:r>
                    <w:rPr>
                      <w:rFonts w:ascii="Calibri"/>
                      <w:w w:val="139"/>
                      <w:sz w:val="12"/>
                    </w:rPr>
                    <w:t>-</w:t>
                  </w:r>
                  <w:r>
                    <w:rPr>
                      <w:rFonts w:ascii="Calibri"/>
                      <w:spacing w:val="5"/>
                      <w:w w:val="139"/>
                      <w:sz w:val="12"/>
                    </w:rPr>
                    <w:t>03 </w:t>
                  </w:r>
                  <w:r>
                    <w:rPr>
                      <w:rFonts w:ascii="Calibri"/>
                      <w:w w:val="139"/>
                      <w:sz w:val="12"/>
                    </w:rPr>
                    <w:t>f</w:t>
                  </w:r>
                  <w:r>
                    <w:rPr>
                      <w:rFonts w:ascii="Calibri"/>
                      <w:spacing w:val="6"/>
                      <w:w w:val="139"/>
                      <w:sz w:val="12"/>
                    </w:rPr>
                    <w:t>e</w:t>
                  </w:r>
                  <w:r>
                    <w:rPr>
                      <w:rFonts w:ascii="Calibri"/>
                      <w:spacing w:val="2"/>
                      <w:w w:val="139"/>
                      <w:sz w:val="12"/>
                    </w:rPr>
                    <w:t>b</w:t>
                  </w:r>
                  <w:r>
                    <w:rPr>
                      <w:rFonts w:ascii="Calibri"/>
                      <w:w w:val="139"/>
                      <w:sz w:val="12"/>
                    </w:rPr>
                    <w:t>-</w:t>
                  </w:r>
                  <w:r>
                    <w:rPr>
                      <w:rFonts w:ascii="Calibri"/>
                      <w:spacing w:val="5"/>
                      <w:w w:val="139"/>
                      <w:sz w:val="12"/>
                    </w:rPr>
                    <w:t>04 </w:t>
                  </w:r>
                  <w:r>
                    <w:rPr>
                      <w:rFonts w:ascii="Calibri"/>
                      <w:spacing w:val="6"/>
                      <w:w w:val="140"/>
                      <w:sz w:val="12"/>
                    </w:rPr>
                    <w:t>e</w:t>
                  </w:r>
                  <w:r>
                    <w:rPr>
                      <w:rFonts w:ascii="Calibri"/>
                      <w:spacing w:val="1"/>
                      <w:w w:val="140"/>
                      <w:sz w:val="12"/>
                    </w:rPr>
                    <w:t>n</w:t>
                  </w:r>
                  <w:r>
                    <w:rPr>
                      <w:rFonts w:ascii="Calibri"/>
                      <w:spacing w:val="7"/>
                      <w:w w:val="140"/>
                      <w:sz w:val="12"/>
                    </w:rPr>
                    <w:t>e</w:t>
                  </w:r>
                  <w:r>
                    <w:rPr>
                      <w:rFonts w:ascii="Calibri"/>
                      <w:w w:val="140"/>
                      <w:sz w:val="12"/>
                    </w:rPr>
                    <w:t>-</w:t>
                  </w:r>
                  <w:r>
                    <w:rPr>
                      <w:rFonts w:ascii="Calibri"/>
                      <w:spacing w:val="5"/>
                      <w:w w:val="140"/>
                      <w:sz w:val="12"/>
                    </w:rPr>
                    <w:t>05</w:t>
                  </w:r>
                </w:p>
                <w:p>
                  <w:pPr>
                    <w:spacing w:line="336" w:lineRule="auto" w:before="0"/>
                    <w:ind w:left="43" w:right="18" w:firstLine="54"/>
                    <w:jc w:val="center"/>
                    <w:rPr>
                      <w:rFonts w:ascii="Calibri"/>
                      <w:sz w:val="12"/>
                    </w:rPr>
                  </w:pPr>
                  <w:r>
                    <w:rPr>
                      <w:rFonts w:ascii="Calibri"/>
                      <w:spacing w:val="2"/>
                      <w:w w:val="139"/>
                      <w:sz w:val="12"/>
                    </w:rPr>
                    <w:t>d</w:t>
                  </w:r>
                  <w:r>
                    <w:rPr>
                      <w:rFonts w:ascii="Calibri"/>
                      <w:w w:val="139"/>
                      <w:sz w:val="12"/>
                    </w:rPr>
                    <w:t>i</w:t>
                  </w:r>
                  <w:r>
                    <w:rPr>
                      <w:rFonts w:ascii="Calibri"/>
                      <w:spacing w:val="7"/>
                      <w:w w:val="139"/>
                      <w:sz w:val="12"/>
                    </w:rPr>
                    <w:t>c</w:t>
                  </w:r>
                  <w:r>
                    <w:rPr>
                      <w:rFonts w:ascii="Calibri"/>
                      <w:w w:val="139"/>
                      <w:sz w:val="12"/>
                    </w:rPr>
                    <w:t>-</w:t>
                  </w:r>
                  <w:r>
                    <w:rPr>
                      <w:rFonts w:ascii="Calibri"/>
                      <w:spacing w:val="5"/>
                      <w:w w:val="139"/>
                      <w:sz w:val="12"/>
                    </w:rPr>
                    <w:t>05 </w:t>
                  </w:r>
                  <w:r>
                    <w:rPr>
                      <w:rFonts w:ascii="Calibri"/>
                      <w:spacing w:val="1"/>
                      <w:w w:val="140"/>
                      <w:sz w:val="12"/>
                    </w:rPr>
                    <w:t>no</w:t>
                  </w:r>
                  <w:r>
                    <w:rPr>
                      <w:rFonts w:ascii="Calibri"/>
                      <w:spacing w:val="2"/>
                      <w:w w:val="140"/>
                      <w:sz w:val="12"/>
                    </w:rPr>
                    <w:t>v</w:t>
                  </w:r>
                  <w:r>
                    <w:rPr>
                      <w:rFonts w:ascii="Calibri"/>
                      <w:w w:val="140"/>
                      <w:sz w:val="12"/>
                    </w:rPr>
                    <w:t>-</w:t>
                  </w:r>
                  <w:r>
                    <w:rPr>
                      <w:rFonts w:ascii="Calibri"/>
                      <w:spacing w:val="5"/>
                      <w:w w:val="140"/>
                      <w:sz w:val="12"/>
                    </w:rPr>
                    <w:t>06 </w:t>
                  </w:r>
                  <w:r>
                    <w:rPr>
                      <w:rFonts w:ascii="Calibri"/>
                      <w:spacing w:val="1"/>
                      <w:w w:val="139"/>
                      <w:sz w:val="12"/>
                    </w:rPr>
                    <w:t>o</w:t>
                  </w:r>
                  <w:r>
                    <w:rPr>
                      <w:rFonts w:ascii="Calibri"/>
                      <w:spacing w:val="6"/>
                      <w:w w:val="139"/>
                      <w:sz w:val="12"/>
                    </w:rPr>
                    <w:t>c</w:t>
                  </w:r>
                  <w:r>
                    <w:rPr>
                      <w:rFonts w:ascii="Calibri"/>
                      <w:spacing w:val="-5"/>
                      <w:w w:val="139"/>
                      <w:sz w:val="12"/>
                    </w:rPr>
                    <w:t>t</w:t>
                  </w:r>
                  <w:r>
                    <w:rPr>
                      <w:rFonts w:ascii="Calibri"/>
                      <w:w w:val="139"/>
                      <w:sz w:val="12"/>
                    </w:rPr>
                    <w:t>-</w:t>
                  </w:r>
                  <w:r>
                    <w:rPr>
                      <w:rFonts w:ascii="Calibri"/>
                      <w:spacing w:val="5"/>
                      <w:w w:val="139"/>
                      <w:sz w:val="12"/>
                    </w:rPr>
                    <w:t>07 </w:t>
                  </w:r>
                  <w:r>
                    <w:rPr>
                      <w:rFonts w:ascii="Calibri"/>
                      <w:spacing w:val="-1"/>
                      <w:w w:val="139"/>
                      <w:sz w:val="12"/>
                    </w:rPr>
                    <w:t>s</w:t>
                  </w:r>
                  <w:r>
                    <w:rPr>
                      <w:rFonts w:ascii="Calibri"/>
                      <w:spacing w:val="6"/>
                      <w:w w:val="139"/>
                      <w:sz w:val="12"/>
                    </w:rPr>
                    <w:t>e</w:t>
                  </w:r>
                  <w:r>
                    <w:rPr>
                      <w:rFonts w:ascii="Calibri"/>
                      <w:spacing w:val="2"/>
                      <w:w w:val="139"/>
                      <w:sz w:val="12"/>
                    </w:rPr>
                    <w:t>p</w:t>
                  </w:r>
                  <w:r>
                    <w:rPr>
                      <w:rFonts w:ascii="Calibri"/>
                      <w:w w:val="139"/>
                      <w:sz w:val="12"/>
                    </w:rPr>
                    <w:t>-</w:t>
                  </w:r>
                  <w:r>
                    <w:rPr>
                      <w:rFonts w:ascii="Calibri"/>
                      <w:spacing w:val="5"/>
                      <w:w w:val="139"/>
                      <w:sz w:val="12"/>
                    </w:rPr>
                    <w:t>08 </w:t>
                  </w:r>
                  <w:r>
                    <w:rPr>
                      <w:rFonts w:ascii="Calibri"/>
                      <w:spacing w:val="-3"/>
                      <w:w w:val="140"/>
                      <w:sz w:val="12"/>
                    </w:rPr>
                    <w:t>a</w:t>
                  </w:r>
                  <w:r>
                    <w:rPr>
                      <w:rFonts w:ascii="Calibri"/>
                      <w:spacing w:val="-2"/>
                      <w:w w:val="140"/>
                      <w:sz w:val="12"/>
                    </w:rPr>
                    <w:t>g</w:t>
                  </w:r>
                  <w:r>
                    <w:rPr>
                      <w:rFonts w:ascii="Calibri"/>
                      <w:spacing w:val="1"/>
                      <w:w w:val="140"/>
                      <w:sz w:val="12"/>
                    </w:rPr>
                    <w:t>o</w:t>
                  </w:r>
                  <w:r>
                    <w:rPr>
                      <w:rFonts w:ascii="Calibri"/>
                      <w:w w:val="140"/>
                      <w:sz w:val="12"/>
                    </w:rPr>
                    <w:t>-</w:t>
                  </w:r>
                  <w:r>
                    <w:rPr>
                      <w:rFonts w:ascii="Calibri"/>
                      <w:spacing w:val="5"/>
                      <w:w w:val="140"/>
                      <w:sz w:val="12"/>
                    </w:rPr>
                    <w:t>09 </w:t>
                  </w:r>
                  <w:r>
                    <w:rPr>
                      <w:rFonts w:ascii="Calibri"/>
                      <w:spacing w:val="-2"/>
                      <w:w w:val="139"/>
                      <w:sz w:val="12"/>
                    </w:rPr>
                    <w:t>j</w:t>
                  </w:r>
                  <w:r>
                    <w:rPr>
                      <w:rFonts w:ascii="Calibri"/>
                      <w:spacing w:val="2"/>
                      <w:w w:val="139"/>
                      <w:sz w:val="12"/>
                    </w:rPr>
                    <w:t>u</w:t>
                  </w:r>
                  <w:r>
                    <w:rPr>
                      <w:rFonts w:ascii="Calibri"/>
                      <w:w w:val="139"/>
                      <w:sz w:val="12"/>
                    </w:rPr>
                    <w:t>l-</w:t>
                  </w:r>
                  <w:r>
                    <w:rPr>
                      <w:rFonts w:ascii="Calibri"/>
                      <w:spacing w:val="5"/>
                      <w:w w:val="139"/>
                      <w:sz w:val="12"/>
                    </w:rPr>
                    <w:t>10</w:t>
                  </w:r>
                </w:p>
                <w:p>
                  <w:pPr>
                    <w:spacing w:before="0"/>
                    <w:ind w:left="74" w:right="0" w:firstLine="0"/>
                    <w:jc w:val="both"/>
                    <w:rPr>
                      <w:rFonts w:ascii="Calibri"/>
                      <w:sz w:val="12"/>
                    </w:rPr>
                  </w:pPr>
                  <w:r>
                    <w:rPr>
                      <w:rFonts w:ascii="Calibri"/>
                      <w:spacing w:val="-2"/>
                      <w:w w:val="140"/>
                      <w:sz w:val="12"/>
                    </w:rPr>
                    <w:t>j</w:t>
                  </w:r>
                  <w:r>
                    <w:rPr>
                      <w:rFonts w:ascii="Calibri"/>
                      <w:spacing w:val="1"/>
                      <w:w w:val="140"/>
                      <w:sz w:val="12"/>
                    </w:rPr>
                    <w:t>u</w:t>
                  </w:r>
                  <w:r>
                    <w:rPr>
                      <w:rFonts w:ascii="Calibri"/>
                      <w:spacing w:val="2"/>
                      <w:w w:val="140"/>
                      <w:sz w:val="12"/>
                    </w:rPr>
                    <w:t>n</w:t>
                  </w:r>
                  <w:r>
                    <w:rPr>
                      <w:rFonts w:ascii="Calibri"/>
                      <w:w w:val="140"/>
                      <w:sz w:val="12"/>
                    </w:rPr>
                    <w:t>-</w:t>
                  </w:r>
                  <w:r>
                    <w:rPr>
                      <w:rFonts w:ascii="Calibri"/>
                      <w:spacing w:val="5"/>
                      <w:w w:val="140"/>
                      <w:sz w:val="12"/>
                    </w:rPr>
                    <w:t>11</w:t>
                  </w:r>
                </w:p>
              </w:txbxContent>
            </v:textbox>
            <w10:wrap type="none"/>
          </v:shape>
        </w:pict>
      </w:r>
      <w:r>
        <w:rPr>
          <w:rFonts w:ascii="Calibri"/>
          <w:w w:val="75"/>
          <w:sz w:val="17"/>
        </w:rPr>
        <w:t>(0.05)</w:t>
      </w:r>
    </w:p>
    <w:p>
      <w:pPr>
        <w:pStyle w:val="BodyText"/>
        <w:spacing w:before="11"/>
        <w:rPr>
          <w:rFonts w:ascii="Calibri"/>
          <w:sz w:val="13"/>
        </w:rPr>
      </w:pPr>
    </w:p>
    <w:p>
      <w:pPr>
        <w:spacing w:before="0"/>
        <w:ind w:left="241" w:right="-18" w:firstLine="0"/>
        <w:jc w:val="left"/>
        <w:rPr>
          <w:rFonts w:ascii="Calibri"/>
          <w:sz w:val="17"/>
        </w:rPr>
      </w:pPr>
      <w:r>
        <w:rPr>
          <w:rFonts w:ascii="Calibri"/>
          <w:w w:val="75"/>
          <w:sz w:val="17"/>
        </w:rPr>
        <w:t>(0.15)</w:t>
      </w:r>
    </w:p>
    <w:p>
      <w:pPr>
        <w:pStyle w:val="BodyText"/>
        <w:spacing w:before="11"/>
        <w:rPr>
          <w:rFonts w:ascii="Calibri"/>
          <w:sz w:val="13"/>
        </w:rPr>
      </w:pPr>
    </w:p>
    <w:p>
      <w:pPr>
        <w:spacing w:before="1"/>
        <w:ind w:left="241" w:right="-18" w:firstLine="0"/>
        <w:jc w:val="left"/>
        <w:rPr>
          <w:rFonts w:ascii="Calibri"/>
          <w:sz w:val="17"/>
        </w:rPr>
      </w:pPr>
      <w:r>
        <w:rPr>
          <w:rFonts w:ascii="Calibri"/>
          <w:w w:val="75"/>
          <w:sz w:val="17"/>
        </w:rPr>
        <w:t>(0.25)</w:t>
      </w:r>
    </w:p>
    <w:p>
      <w:pPr>
        <w:pStyle w:val="BodyText"/>
        <w:rPr>
          <w:rFonts w:ascii="Calibri"/>
          <w:sz w:val="16"/>
        </w:rPr>
      </w:pPr>
      <w:r>
        <w:rPr/>
        <w:br w:type="column"/>
      </w:r>
      <w:r>
        <w:rPr>
          <w:rFonts w:ascii="Calibri"/>
          <w:sz w:val="16"/>
        </w:rPr>
      </w:r>
    </w:p>
    <w:p>
      <w:pPr>
        <w:pStyle w:val="BodyText"/>
        <w:rPr>
          <w:rFonts w:ascii="Calibri"/>
          <w:sz w:val="16"/>
        </w:rPr>
      </w:pPr>
    </w:p>
    <w:p>
      <w:pPr>
        <w:pStyle w:val="BodyText"/>
        <w:rPr>
          <w:rFonts w:ascii="Calibri"/>
          <w:sz w:val="16"/>
        </w:rPr>
      </w:pPr>
    </w:p>
    <w:p>
      <w:pPr>
        <w:pStyle w:val="BodyText"/>
        <w:rPr>
          <w:rFonts w:ascii="Calibri"/>
          <w:sz w:val="16"/>
        </w:rPr>
      </w:pPr>
    </w:p>
    <w:p>
      <w:pPr>
        <w:pStyle w:val="BodyText"/>
        <w:rPr>
          <w:rFonts w:ascii="Calibri"/>
          <w:sz w:val="16"/>
        </w:rPr>
      </w:pPr>
    </w:p>
    <w:p>
      <w:pPr>
        <w:pStyle w:val="BodyText"/>
        <w:spacing w:before="6"/>
        <w:rPr>
          <w:rFonts w:ascii="Calibri"/>
          <w:sz w:val="22"/>
        </w:rPr>
      </w:pPr>
    </w:p>
    <w:p>
      <w:pPr>
        <w:spacing w:before="0"/>
        <w:ind w:left="241" w:right="0" w:firstLine="0"/>
        <w:jc w:val="left"/>
        <w:rPr>
          <w:rFonts w:ascii="Calibri"/>
          <w:sz w:val="16"/>
        </w:rPr>
      </w:pPr>
      <w:r>
        <w:rPr>
          <w:rFonts w:ascii="Calibri"/>
          <w:w w:val="82"/>
          <w:sz w:val="16"/>
        </w:rPr>
        <w:t>(</w:t>
      </w:r>
    </w:p>
    <w:p>
      <w:pPr>
        <w:spacing w:line="360" w:lineRule="exact" w:before="28"/>
        <w:ind w:left="241" w:right="2948" w:firstLine="0"/>
        <w:jc w:val="left"/>
        <w:rPr>
          <w:rFonts w:ascii="Calibri"/>
          <w:sz w:val="16"/>
        </w:rPr>
      </w:pPr>
      <w:r>
        <w:rPr/>
        <w:pict>
          <v:group style="position:absolute;margin-left:372.742676pt;margin-top:-69.567139pt;width:127.4pt;height:100.8pt;mso-position-horizontal-relative:page;mso-position-vertical-relative:paragraph;z-index:-560296" coordorigin="7455,-1391" coordsize="2548,2016">
            <v:shape style="position:absolute;left:788;top:6798;width:3166;height:2415" coordorigin="788,6798" coordsize="3166,2415" path="m7852,617l7852,-1357m7812,617l7852,617m7812,262l7852,262m7812,-106l7852,-106m7812,-462l7852,-462m7812,-818l7852,-818m7812,-1173l7852,-1173m7852,-278l9944,-278m7852,-278l7852,-229m8074,-278l8074,-229m8287,-278l8287,-229m8509,-278l8509,-229m8721,-278l8721,-229m8944,-278l8944,-229m9156,-278l9156,-229m9368,-278l9368,-229m9591,-278l9591,-229m9803,-278l9803,-229e" filled="false" stroked="true" strokeweight=".559319pt" strokecolor="#858585">
              <v:path arrowok="t"/>
            </v:shape>
            <v:shape style="position:absolute;left:7862;top:-593;width:2073;height:553" coordorigin="7862,-593" coordsize="2073,553" path="m7862,-74l7877,-73,7892,-71,7907,-70,7921,-67,7936,-59,7951,-49,7966,-41,7981,-42,7995,-58,8010,-85,8025,-111,8040,-124,8055,-118,8069,-101,8084,-82,8099,-72,8114,-78,8129,-93,8143,-109,8158,-120,8173,-122,8188,-119,8203,-117,8217,-122,8232,-138,8247,-161,8262,-184,8277,-199,8291,-200,8306,-193,8321,-185,8336,-183,8395,-227,8425,-261,8439,-278,8454,-293,8469,-301,8484,-304,8499,-310,8513,-325,8528,-357,8543,-399,8558,-442,8573,-474,8587,-490,8602,-498,8617,-502,8632,-505,8647,-510,8661,-514,8676,-516,8691,-516,8706,-513,8721,-506,8735,-499,8750,-496,8765,-502,8780,-512,8795,-520,8809,-517,8824,-496,8839,-463,8854,-430,8869,-407,8883,-400,8898,-403,8913,-408,8928,-412,8943,-411,8957,-408,8972,-408,8987,-416,9002,-440,9017,-476,9031,-509,9046,-526,9061,-520,9076,-500,9091,-475,9105,-455,9120,-444,9135,-436,9150,-428,9165,-417,9179,-399,9194,-377,9209,-357,9224,-346,9239,-345,9253,-351,9298,-405,9327,-469,9342,-498,9387,-565,9431,-593,9447,-593,9461,-578,9475,-523,9490,-443,9505,-366,9520,-322,9535,-327,9549,-362,9564,-405,9579,-435,9594,-445,9609,-445,9623,-444,9638,-447,9697,-497,9727,-543,9742,-564,9757,-572,9772,-561,9786,-536,9801,-508,9816,-486,9831,-475,9845,-469,9860,-462,9875,-452,9890,-435,9905,-415,9920,-393,9934,-371e" filled="false" stroked="true" strokeweight="1.818309pt" strokecolor="#497dba">
              <v:path arrowok="t"/>
            </v:shape>
            <v:shape style="position:absolute;left:7455;top:-1391;width:2548;height:2015" type="#_x0000_t202" filled="false" stroked="false">
              <v:textbox inset="0,0,0,0">
                <w:txbxContent>
                  <w:p>
                    <w:pPr>
                      <w:spacing w:line="158" w:lineRule="exact" w:before="0"/>
                      <w:ind w:left="509" w:right="0" w:firstLine="0"/>
                      <w:jc w:val="center"/>
                      <w:rPr>
                        <w:rFonts w:ascii="Constantia"/>
                        <w:b/>
                        <w:sz w:val="19"/>
                      </w:rPr>
                    </w:pPr>
                    <w:r>
                      <w:rPr>
                        <w:rFonts w:ascii="Constantia"/>
                        <w:b/>
                        <w:w w:val="85"/>
                        <w:sz w:val="19"/>
                      </w:rPr>
                      <w:t>(c) Balance fiscal global</w:t>
                    </w:r>
                  </w:p>
                  <w:p>
                    <w:pPr>
                      <w:spacing w:line="105" w:lineRule="exact" w:before="0"/>
                      <w:ind w:left="0" w:right="0" w:firstLine="0"/>
                      <w:jc w:val="left"/>
                      <w:rPr>
                        <w:rFonts w:ascii="Calibri"/>
                        <w:sz w:val="16"/>
                      </w:rPr>
                    </w:pPr>
                    <w:r>
                      <w:rPr>
                        <w:rFonts w:ascii="Calibri"/>
                        <w:w w:val="95"/>
                        <w:sz w:val="16"/>
                      </w:rPr>
                      <w:t>0.25</w:t>
                    </w:r>
                  </w:p>
                  <w:p>
                    <w:pPr>
                      <w:spacing w:line="183" w:lineRule="exact" w:before="0"/>
                      <w:ind w:left="503" w:right="0" w:firstLine="0"/>
                      <w:jc w:val="center"/>
                      <w:rPr>
                        <w:rFonts w:ascii="Constantia" w:hAnsi="Constantia"/>
                        <w:b/>
                        <w:sz w:val="19"/>
                      </w:rPr>
                    </w:pPr>
                    <w:r>
                      <w:rPr>
                        <w:rFonts w:ascii="Constantia" w:hAnsi="Constantia"/>
                        <w:b/>
                        <w:w w:val="85"/>
                        <w:sz w:val="19"/>
                      </w:rPr>
                      <w:t>cíclicamente ajustado/</w:t>
                    </w:r>
                    <w:r>
                      <w:rPr>
                        <w:rFonts w:ascii="Constantia" w:hAnsi="Constantia"/>
                        <w:b/>
                        <w:spacing w:val="-12"/>
                        <w:w w:val="85"/>
                        <w:sz w:val="19"/>
                      </w:rPr>
                      <w:t> </w:t>
                    </w:r>
                    <w:r>
                      <w:rPr>
                        <w:rFonts w:ascii="Constantia" w:hAnsi="Constantia"/>
                        <w:b/>
                        <w:w w:val="85"/>
                        <w:sz w:val="19"/>
                      </w:rPr>
                      <w:t>PIB</w:t>
                    </w:r>
                  </w:p>
                  <w:p>
                    <w:pPr>
                      <w:tabs>
                        <w:tab w:pos="1375" w:val="left" w:leader="none"/>
                      </w:tabs>
                      <w:spacing w:before="6"/>
                      <w:ind w:left="0" w:right="0" w:firstLine="0"/>
                      <w:jc w:val="left"/>
                      <w:rPr>
                        <w:rFonts w:ascii="Calibri"/>
                        <w:b/>
                        <w:sz w:val="16"/>
                      </w:rPr>
                    </w:pPr>
                    <w:r>
                      <w:rPr>
                        <w:rFonts w:ascii="Calibri"/>
                        <w:w w:val="95"/>
                        <w:position w:val="-1"/>
                        <w:sz w:val="16"/>
                      </w:rPr>
                      <w:t>0.15</w:t>
                      <w:tab/>
                    </w:r>
                    <w:r>
                      <w:rPr>
                        <w:rFonts w:ascii="Calibri"/>
                        <w:b/>
                        <w:spacing w:val="2"/>
                        <w:w w:val="95"/>
                        <w:sz w:val="16"/>
                      </w:rPr>
                      <w:t>y4t*)</w:t>
                    </w:r>
                  </w:p>
                  <w:p>
                    <w:pPr>
                      <w:spacing w:line="240" w:lineRule="auto" w:before="10"/>
                      <w:rPr>
                        <w:rFonts w:ascii="Constantia"/>
                        <w:sz w:val="13"/>
                      </w:rPr>
                    </w:pPr>
                  </w:p>
                  <w:p>
                    <w:pPr>
                      <w:spacing w:before="0"/>
                      <w:ind w:left="0" w:right="0" w:firstLine="0"/>
                      <w:jc w:val="left"/>
                      <w:rPr>
                        <w:rFonts w:ascii="Calibri"/>
                        <w:sz w:val="16"/>
                      </w:rPr>
                    </w:pPr>
                    <w:r>
                      <w:rPr>
                        <w:rFonts w:ascii="Calibri"/>
                        <w:w w:val="95"/>
                        <w:sz w:val="16"/>
                      </w:rPr>
                      <w:t>0.05</w:t>
                    </w:r>
                  </w:p>
                  <w:p>
                    <w:pPr>
                      <w:spacing w:line="240" w:lineRule="auto" w:before="5"/>
                      <w:rPr>
                        <w:rFonts w:ascii="Constantia"/>
                        <w:sz w:val="13"/>
                      </w:rPr>
                    </w:pPr>
                  </w:p>
                  <w:p>
                    <w:pPr>
                      <w:spacing w:before="0"/>
                      <w:ind w:left="-16" w:right="0" w:firstLine="0"/>
                      <w:jc w:val="left"/>
                      <w:rPr>
                        <w:rFonts w:ascii="Calibri"/>
                        <w:sz w:val="16"/>
                      </w:rPr>
                    </w:pPr>
                    <w:r>
                      <w:rPr>
                        <w:rFonts w:ascii="Calibri"/>
                        <w:w w:val="95"/>
                        <w:sz w:val="16"/>
                      </w:rPr>
                      <w:t>0.05)</w:t>
                    </w:r>
                  </w:p>
                  <w:p>
                    <w:pPr>
                      <w:spacing w:line="240" w:lineRule="auto" w:before="5"/>
                      <w:rPr>
                        <w:rFonts w:ascii="Constantia"/>
                        <w:sz w:val="13"/>
                      </w:rPr>
                    </w:pPr>
                  </w:p>
                  <w:p>
                    <w:pPr>
                      <w:spacing w:before="0"/>
                      <w:ind w:left="-16" w:right="0" w:firstLine="0"/>
                      <w:jc w:val="left"/>
                      <w:rPr>
                        <w:rFonts w:ascii="Calibri"/>
                        <w:sz w:val="16"/>
                      </w:rPr>
                    </w:pPr>
                    <w:r>
                      <w:rPr>
                        <w:rFonts w:ascii="Calibri"/>
                        <w:w w:val="95"/>
                        <w:sz w:val="16"/>
                      </w:rPr>
                      <w:t>0.15)</w:t>
                    </w:r>
                  </w:p>
                </w:txbxContent>
              </v:textbox>
              <w10:wrap type="none"/>
            </v:shape>
            <w10:wrap type="none"/>
          </v:group>
        </w:pict>
      </w:r>
      <w:r>
        <w:rPr/>
        <w:pict>
          <v:shape style="position:absolute;margin-left:389.898743pt;margin-top:-9.648128pt;width:106.5pt;height:26.65pt;mso-position-horizontal-relative:page;mso-position-vertical-relative:paragraph;z-index:11920" type="#_x0000_t202" filled="false" stroked="false">
            <v:textbox inset="0,0,0,0" style="layout-flow:vertical;mso-layout-flow-alt:bottom-to-top">
              <w:txbxContent>
                <w:p>
                  <w:pPr>
                    <w:spacing w:line="328" w:lineRule="auto" w:before="0"/>
                    <w:ind w:left="28" w:right="18" w:hanging="9"/>
                    <w:jc w:val="right"/>
                    <w:rPr>
                      <w:rFonts w:ascii="Calibri"/>
                      <w:sz w:val="13"/>
                    </w:rPr>
                  </w:pPr>
                  <w:r>
                    <w:rPr>
                      <w:rFonts w:ascii="Calibri"/>
                      <w:spacing w:val="-5"/>
                      <w:w w:val="122"/>
                      <w:sz w:val="13"/>
                    </w:rPr>
                    <w:t>m</w:t>
                  </w:r>
                  <w:r>
                    <w:rPr>
                      <w:rFonts w:ascii="Calibri"/>
                      <w:spacing w:val="-3"/>
                      <w:w w:val="122"/>
                      <w:sz w:val="13"/>
                    </w:rPr>
                    <w:t>a</w:t>
                  </w:r>
                  <w:r>
                    <w:rPr>
                      <w:rFonts w:ascii="Calibri"/>
                      <w:spacing w:val="5"/>
                      <w:w w:val="122"/>
                      <w:sz w:val="13"/>
                    </w:rPr>
                    <w:t>r</w:t>
                  </w:r>
                  <w:r>
                    <w:rPr>
                      <w:rFonts w:ascii="Calibri"/>
                      <w:w w:val="122"/>
                      <w:sz w:val="13"/>
                    </w:rPr>
                    <w:t>-</w:t>
                  </w:r>
                  <w:r>
                    <w:rPr>
                      <w:rFonts w:ascii="Calibri"/>
                      <w:spacing w:val="5"/>
                      <w:w w:val="122"/>
                      <w:sz w:val="13"/>
                    </w:rPr>
                    <w:t>03 </w:t>
                  </w:r>
                  <w:r>
                    <w:rPr>
                      <w:rFonts w:ascii="Calibri"/>
                      <w:w w:val="122"/>
                      <w:sz w:val="13"/>
                    </w:rPr>
                    <w:t>f</w:t>
                  </w:r>
                  <w:r>
                    <w:rPr>
                      <w:rFonts w:ascii="Calibri"/>
                      <w:spacing w:val="6"/>
                      <w:w w:val="122"/>
                      <w:sz w:val="13"/>
                    </w:rPr>
                    <w:t>e</w:t>
                  </w:r>
                  <w:r>
                    <w:rPr>
                      <w:rFonts w:ascii="Calibri"/>
                      <w:spacing w:val="2"/>
                      <w:w w:val="122"/>
                      <w:sz w:val="13"/>
                    </w:rPr>
                    <w:t>b</w:t>
                  </w:r>
                  <w:r>
                    <w:rPr>
                      <w:rFonts w:ascii="Calibri"/>
                      <w:w w:val="122"/>
                      <w:sz w:val="13"/>
                    </w:rPr>
                    <w:t>-</w:t>
                  </w:r>
                  <w:r>
                    <w:rPr>
                      <w:rFonts w:ascii="Calibri"/>
                      <w:spacing w:val="5"/>
                      <w:w w:val="122"/>
                      <w:sz w:val="13"/>
                    </w:rPr>
                    <w:t>04 </w:t>
                  </w:r>
                  <w:r>
                    <w:rPr>
                      <w:rFonts w:ascii="Calibri"/>
                      <w:spacing w:val="6"/>
                      <w:w w:val="123"/>
                      <w:sz w:val="13"/>
                    </w:rPr>
                    <w:t>e</w:t>
                  </w:r>
                  <w:r>
                    <w:rPr>
                      <w:rFonts w:ascii="Calibri"/>
                      <w:spacing w:val="1"/>
                      <w:w w:val="123"/>
                      <w:sz w:val="13"/>
                    </w:rPr>
                    <w:t>n</w:t>
                  </w:r>
                  <w:r>
                    <w:rPr>
                      <w:rFonts w:ascii="Calibri"/>
                      <w:spacing w:val="6"/>
                      <w:w w:val="123"/>
                      <w:sz w:val="13"/>
                    </w:rPr>
                    <w:t>e</w:t>
                  </w:r>
                  <w:r>
                    <w:rPr>
                      <w:rFonts w:ascii="Calibri"/>
                      <w:w w:val="123"/>
                      <w:sz w:val="13"/>
                    </w:rPr>
                    <w:t>-</w:t>
                  </w:r>
                  <w:r>
                    <w:rPr>
                      <w:rFonts w:ascii="Calibri"/>
                      <w:spacing w:val="5"/>
                      <w:w w:val="123"/>
                      <w:sz w:val="13"/>
                    </w:rPr>
                    <w:t>05 </w:t>
                  </w:r>
                  <w:r>
                    <w:rPr>
                      <w:rFonts w:ascii="Calibri"/>
                      <w:spacing w:val="2"/>
                      <w:w w:val="122"/>
                      <w:sz w:val="13"/>
                    </w:rPr>
                    <w:t>d</w:t>
                  </w:r>
                  <w:r>
                    <w:rPr>
                      <w:rFonts w:ascii="Calibri"/>
                      <w:w w:val="122"/>
                      <w:sz w:val="13"/>
                    </w:rPr>
                    <w:t>i</w:t>
                  </w:r>
                  <w:r>
                    <w:rPr>
                      <w:rFonts w:ascii="Calibri"/>
                      <w:spacing w:val="6"/>
                      <w:w w:val="122"/>
                      <w:sz w:val="13"/>
                    </w:rPr>
                    <w:t>c</w:t>
                  </w:r>
                  <w:r>
                    <w:rPr>
                      <w:rFonts w:ascii="Calibri"/>
                      <w:w w:val="122"/>
                      <w:sz w:val="13"/>
                    </w:rPr>
                    <w:t>-</w:t>
                  </w:r>
                  <w:r>
                    <w:rPr>
                      <w:rFonts w:ascii="Calibri"/>
                      <w:spacing w:val="5"/>
                      <w:w w:val="122"/>
                      <w:sz w:val="13"/>
                    </w:rPr>
                    <w:t>05 </w:t>
                  </w:r>
                  <w:r>
                    <w:rPr>
                      <w:rFonts w:ascii="Calibri"/>
                      <w:spacing w:val="1"/>
                      <w:w w:val="123"/>
                      <w:sz w:val="13"/>
                    </w:rPr>
                    <w:t>no</w:t>
                  </w:r>
                  <w:r>
                    <w:rPr>
                      <w:rFonts w:ascii="Calibri"/>
                      <w:spacing w:val="2"/>
                      <w:w w:val="123"/>
                      <w:sz w:val="13"/>
                    </w:rPr>
                    <w:t>v</w:t>
                  </w:r>
                  <w:r>
                    <w:rPr>
                      <w:rFonts w:ascii="Calibri"/>
                      <w:w w:val="123"/>
                      <w:sz w:val="13"/>
                    </w:rPr>
                    <w:t>-</w:t>
                  </w:r>
                  <w:r>
                    <w:rPr>
                      <w:rFonts w:ascii="Calibri"/>
                      <w:spacing w:val="5"/>
                      <w:w w:val="123"/>
                      <w:sz w:val="13"/>
                    </w:rPr>
                    <w:t>06 </w:t>
                  </w:r>
                  <w:r>
                    <w:rPr>
                      <w:rFonts w:ascii="Calibri"/>
                      <w:spacing w:val="1"/>
                      <w:w w:val="122"/>
                      <w:sz w:val="13"/>
                    </w:rPr>
                    <w:t>o</w:t>
                  </w:r>
                  <w:r>
                    <w:rPr>
                      <w:rFonts w:ascii="Calibri"/>
                      <w:spacing w:val="6"/>
                      <w:w w:val="122"/>
                      <w:sz w:val="13"/>
                    </w:rPr>
                    <w:t>c</w:t>
                  </w:r>
                  <w:r>
                    <w:rPr>
                      <w:rFonts w:ascii="Calibri"/>
                      <w:spacing w:val="-4"/>
                      <w:w w:val="122"/>
                      <w:sz w:val="13"/>
                    </w:rPr>
                    <w:t>t</w:t>
                  </w:r>
                  <w:r>
                    <w:rPr>
                      <w:rFonts w:ascii="Calibri"/>
                      <w:w w:val="122"/>
                      <w:sz w:val="13"/>
                    </w:rPr>
                    <w:t>-</w:t>
                  </w:r>
                  <w:r>
                    <w:rPr>
                      <w:rFonts w:ascii="Calibri"/>
                      <w:spacing w:val="5"/>
                      <w:w w:val="122"/>
                      <w:sz w:val="13"/>
                    </w:rPr>
                    <w:t>07 </w:t>
                  </w:r>
                  <w:r>
                    <w:rPr>
                      <w:rFonts w:ascii="Calibri"/>
                      <w:spacing w:val="-1"/>
                      <w:w w:val="122"/>
                      <w:sz w:val="13"/>
                    </w:rPr>
                    <w:t>s</w:t>
                  </w:r>
                  <w:r>
                    <w:rPr>
                      <w:rFonts w:ascii="Calibri"/>
                      <w:spacing w:val="6"/>
                      <w:w w:val="122"/>
                      <w:sz w:val="13"/>
                    </w:rPr>
                    <w:t>e</w:t>
                  </w:r>
                  <w:r>
                    <w:rPr>
                      <w:rFonts w:ascii="Calibri"/>
                      <w:spacing w:val="2"/>
                      <w:w w:val="122"/>
                      <w:sz w:val="13"/>
                    </w:rPr>
                    <w:t>p</w:t>
                  </w:r>
                  <w:r>
                    <w:rPr>
                      <w:rFonts w:ascii="Calibri"/>
                      <w:w w:val="122"/>
                      <w:sz w:val="13"/>
                    </w:rPr>
                    <w:t>-</w:t>
                  </w:r>
                  <w:r>
                    <w:rPr>
                      <w:rFonts w:ascii="Calibri"/>
                      <w:spacing w:val="5"/>
                      <w:w w:val="122"/>
                      <w:sz w:val="13"/>
                    </w:rPr>
                    <w:t>08 </w:t>
                  </w:r>
                  <w:r>
                    <w:rPr>
                      <w:rFonts w:ascii="Calibri"/>
                      <w:spacing w:val="-3"/>
                      <w:w w:val="123"/>
                      <w:sz w:val="13"/>
                    </w:rPr>
                    <w:t>a</w:t>
                  </w:r>
                  <w:r>
                    <w:rPr>
                      <w:rFonts w:ascii="Calibri"/>
                      <w:spacing w:val="-2"/>
                      <w:w w:val="123"/>
                      <w:sz w:val="13"/>
                    </w:rPr>
                    <w:t>g</w:t>
                  </w:r>
                  <w:r>
                    <w:rPr>
                      <w:rFonts w:ascii="Calibri"/>
                      <w:spacing w:val="1"/>
                      <w:w w:val="123"/>
                      <w:sz w:val="13"/>
                    </w:rPr>
                    <w:t>o</w:t>
                  </w:r>
                  <w:r>
                    <w:rPr>
                      <w:rFonts w:ascii="Calibri"/>
                      <w:w w:val="123"/>
                      <w:sz w:val="13"/>
                    </w:rPr>
                    <w:t>-</w:t>
                  </w:r>
                  <w:r>
                    <w:rPr>
                      <w:rFonts w:ascii="Calibri"/>
                      <w:spacing w:val="5"/>
                      <w:w w:val="123"/>
                      <w:sz w:val="13"/>
                    </w:rPr>
                    <w:t>09 </w:t>
                  </w:r>
                  <w:r>
                    <w:rPr>
                      <w:rFonts w:ascii="Calibri"/>
                      <w:spacing w:val="-2"/>
                      <w:w w:val="122"/>
                      <w:sz w:val="13"/>
                    </w:rPr>
                    <w:t>j</w:t>
                  </w:r>
                  <w:r>
                    <w:rPr>
                      <w:rFonts w:ascii="Calibri"/>
                      <w:spacing w:val="2"/>
                      <w:w w:val="122"/>
                      <w:sz w:val="13"/>
                    </w:rPr>
                    <w:t>u</w:t>
                  </w:r>
                  <w:r>
                    <w:rPr>
                      <w:rFonts w:ascii="Calibri"/>
                      <w:w w:val="122"/>
                      <w:sz w:val="13"/>
                    </w:rPr>
                    <w:t>l-</w:t>
                  </w:r>
                  <w:r>
                    <w:rPr>
                      <w:rFonts w:ascii="Calibri"/>
                      <w:spacing w:val="5"/>
                      <w:w w:val="122"/>
                      <w:sz w:val="13"/>
                    </w:rPr>
                    <w:t>10</w:t>
                  </w:r>
                </w:p>
                <w:p>
                  <w:pPr>
                    <w:spacing w:before="0"/>
                    <w:ind w:left="0" w:right="27" w:firstLine="0"/>
                    <w:jc w:val="right"/>
                    <w:rPr>
                      <w:rFonts w:ascii="Calibri"/>
                      <w:sz w:val="13"/>
                    </w:rPr>
                  </w:pPr>
                  <w:r>
                    <w:rPr>
                      <w:rFonts w:ascii="Calibri"/>
                      <w:spacing w:val="-2"/>
                      <w:w w:val="123"/>
                      <w:sz w:val="13"/>
                    </w:rPr>
                    <w:t>j</w:t>
                  </w:r>
                  <w:r>
                    <w:rPr>
                      <w:rFonts w:ascii="Calibri"/>
                      <w:spacing w:val="1"/>
                      <w:w w:val="123"/>
                      <w:sz w:val="13"/>
                    </w:rPr>
                    <w:t>u</w:t>
                  </w:r>
                  <w:r>
                    <w:rPr>
                      <w:rFonts w:ascii="Calibri"/>
                      <w:spacing w:val="2"/>
                      <w:w w:val="123"/>
                      <w:sz w:val="13"/>
                    </w:rPr>
                    <w:t>n</w:t>
                  </w:r>
                  <w:r>
                    <w:rPr>
                      <w:rFonts w:ascii="Calibri"/>
                      <w:w w:val="123"/>
                      <w:sz w:val="13"/>
                    </w:rPr>
                    <w:t>-</w:t>
                  </w:r>
                  <w:r>
                    <w:rPr>
                      <w:rFonts w:ascii="Calibri"/>
                      <w:spacing w:val="5"/>
                      <w:w w:val="123"/>
                      <w:sz w:val="13"/>
                    </w:rPr>
                    <w:t>11</w:t>
                  </w:r>
                </w:p>
              </w:txbxContent>
            </v:textbox>
            <w10:wrap type="none"/>
          </v:shape>
        </w:pict>
      </w:r>
      <w:r>
        <w:rPr>
          <w:rFonts w:ascii="Calibri"/>
          <w:w w:val="95"/>
          <w:sz w:val="16"/>
        </w:rPr>
        <w:t>( </w:t>
      </w:r>
      <w:r>
        <w:rPr>
          <w:rFonts w:ascii="Calibri"/>
          <w:w w:val="85"/>
          <w:sz w:val="16"/>
        </w:rPr>
        <w:t>(0.25)</w:t>
      </w:r>
    </w:p>
    <w:p>
      <w:pPr>
        <w:spacing w:after="0" w:line="360" w:lineRule="exact"/>
        <w:jc w:val="left"/>
        <w:rPr>
          <w:rFonts w:ascii="Calibri"/>
          <w:sz w:val="16"/>
        </w:rPr>
        <w:sectPr>
          <w:type w:val="continuous"/>
          <w:pgSz w:w="12250" w:h="15850"/>
          <w:pgMar w:top="1500" w:bottom="280" w:left="1600" w:right="1560"/>
          <w:cols w:num="3" w:equalWidth="0">
            <w:col w:w="551" w:space="2239"/>
            <w:col w:w="547" w:space="2220"/>
            <w:col w:w="3533"/>
          </w:cols>
        </w:sectPr>
      </w:pPr>
    </w:p>
    <w:p>
      <w:pPr>
        <w:spacing w:before="54"/>
        <w:ind w:left="102" w:right="115" w:firstLine="0"/>
        <w:jc w:val="left"/>
        <w:rPr>
          <w:sz w:val="18"/>
        </w:rPr>
      </w:pPr>
      <w:r>
        <w:rPr>
          <w:sz w:val="18"/>
        </w:rPr>
        <w:t>Fuente: Elaboración propia con base en información del BCB </w:t>
      </w:r>
      <w:r>
        <w:rPr>
          <w:sz w:val="20"/>
        </w:rPr>
        <w:t>(2012)</w:t>
      </w:r>
      <w:r>
        <w:rPr>
          <w:sz w:val="18"/>
        </w:rPr>
        <w:t>.</w:t>
      </w:r>
    </w:p>
    <w:p>
      <w:pPr>
        <w:pStyle w:val="BodyText"/>
        <w:spacing w:before="1"/>
      </w:pPr>
    </w:p>
    <w:p>
      <w:pPr>
        <w:pStyle w:val="BodyText"/>
        <w:spacing w:line="360" w:lineRule="auto" w:before="1"/>
        <w:ind w:left="102" w:right="140" w:firstLine="707"/>
        <w:jc w:val="both"/>
      </w:pPr>
      <w:r>
        <w:rPr/>
        <w:t>De forma preliminar, el precio del gas natural tendría una relación directa con la asignación de ingresos fiscales no gasíferos (mayor gasto corriente); por otra parte, una relación inversa con la asignación de ingresos fiscales gasíferos (menor gasto de capital), el balance primario no gasífero y la deuda pública (ver </w:t>
      </w:r>
      <w:r>
        <w:rPr>
          <w:i/>
        </w:rPr>
        <w:t>cuadro 1 </w:t>
      </w:r>
      <w:r>
        <w:rPr/>
        <w:t>sobre las correlaciones de Pearson).</w:t>
      </w:r>
    </w:p>
    <w:p>
      <w:pPr>
        <w:pStyle w:val="BodyText"/>
      </w:pPr>
    </w:p>
    <w:p>
      <w:pPr>
        <w:pStyle w:val="BodyText"/>
        <w:spacing w:line="276" w:lineRule="auto" w:before="143"/>
        <w:ind w:left="4041" w:right="465" w:hanging="3601"/>
      </w:pPr>
      <w:bookmarkStart w:name="_bookmark115" w:id="158"/>
      <w:bookmarkEnd w:id="158"/>
      <w:r>
        <w:rPr/>
      </w:r>
      <w:r>
        <w:rPr/>
        <w:t>Cuadro 4. 1: Correlaciones de Pearson para las series de tiempo en niveles con ajuste estacional</w:t>
      </w:r>
    </w:p>
    <w:p>
      <w:pPr>
        <w:spacing w:after="0" w:line="276" w:lineRule="auto"/>
        <w:sectPr>
          <w:type w:val="continuous"/>
          <w:pgSz w:w="12250" w:h="15850"/>
          <w:pgMar w:top="1500" w:bottom="280" w:left="1600" w:right="1560"/>
        </w:sectPr>
      </w:pPr>
    </w:p>
    <w:p>
      <w:pPr>
        <w:spacing w:line="254" w:lineRule="auto" w:before="130"/>
        <w:ind w:left="3027" w:right="6" w:firstLine="10"/>
        <w:jc w:val="center"/>
        <w:rPr>
          <w:rFonts w:ascii="Constantia"/>
          <w:sz w:val="16"/>
        </w:rPr>
      </w:pPr>
      <w:r>
        <w:rPr>
          <w:rFonts w:ascii="Constantia"/>
          <w:sz w:val="16"/>
        </w:rPr>
        <w:t>Ln de los precios del gas natural</w:t>
      </w:r>
    </w:p>
    <w:p>
      <w:pPr>
        <w:pStyle w:val="BodyText"/>
        <w:spacing w:before="1"/>
        <w:rPr>
          <w:rFonts w:ascii="Constantia"/>
          <w:sz w:val="17"/>
        </w:rPr>
      </w:pPr>
    </w:p>
    <w:p>
      <w:pPr>
        <w:tabs>
          <w:tab w:pos="3739" w:val="left" w:leader="none"/>
        </w:tabs>
        <w:spacing w:before="0"/>
        <w:ind w:left="170" w:right="0" w:firstLine="0"/>
        <w:jc w:val="left"/>
        <w:rPr>
          <w:rFonts w:ascii="Constantia"/>
          <w:sz w:val="19"/>
        </w:rPr>
      </w:pPr>
      <w:r>
        <w:rPr>
          <w:rFonts w:ascii="Constantia"/>
          <w:sz w:val="16"/>
        </w:rPr>
        <w:t>Ln de </w:t>
      </w:r>
      <w:r>
        <w:rPr>
          <w:rFonts w:ascii="Constantia"/>
          <w:spacing w:val="2"/>
          <w:sz w:val="16"/>
        </w:rPr>
        <w:t>los </w:t>
      </w:r>
      <w:r>
        <w:rPr>
          <w:rFonts w:ascii="Constantia"/>
          <w:sz w:val="16"/>
        </w:rPr>
        <w:t>precios del</w:t>
      </w:r>
      <w:r>
        <w:rPr>
          <w:rFonts w:ascii="Constantia"/>
          <w:spacing w:val="-22"/>
          <w:sz w:val="16"/>
        </w:rPr>
        <w:t> </w:t>
      </w:r>
      <w:r>
        <w:rPr>
          <w:rFonts w:ascii="Constantia"/>
          <w:sz w:val="16"/>
        </w:rPr>
        <w:t>gas</w:t>
      </w:r>
      <w:r>
        <w:rPr>
          <w:rFonts w:ascii="Constantia"/>
          <w:spacing w:val="-8"/>
          <w:sz w:val="16"/>
        </w:rPr>
        <w:t> </w:t>
      </w:r>
      <w:r>
        <w:rPr>
          <w:rFonts w:ascii="Constantia"/>
          <w:sz w:val="16"/>
        </w:rPr>
        <w:t>natural</w:t>
      </w:r>
      <w:r>
        <w:rPr>
          <w:rFonts w:ascii="Constantia"/>
          <w:position w:val="-8"/>
          <w:sz w:val="19"/>
        </w:rPr>
        <w:tab/>
      </w:r>
      <w:r>
        <w:rPr>
          <w:rFonts w:ascii="Constantia"/>
          <w:spacing w:val="-1"/>
          <w:w w:val="95"/>
          <w:position w:val="-8"/>
          <w:sz w:val="19"/>
        </w:rPr>
        <w:t>1.00</w:t>
      </w:r>
    </w:p>
    <w:p>
      <w:pPr>
        <w:spacing w:before="132"/>
        <w:ind w:left="170" w:right="0" w:firstLine="0"/>
        <w:jc w:val="left"/>
        <w:rPr>
          <w:rFonts w:ascii="Constantia" w:hAnsi="Constantia"/>
          <w:sz w:val="16"/>
        </w:rPr>
      </w:pPr>
      <w:r>
        <w:rPr/>
        <w:pict>
          <v:shape style="position:absolute;margin-left:87.043724pt;margin-top:13.086581pt;width:440.9pt;height:70.2pt;mso-position-horizontal-relative:page;mso-position-vertical-relative:paragraph;z-index:1194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31"/>
                    <w:gridCol w:w="1423"/>
                    <w:gridCol w:w="1474"/>
                    <w:gridCol w:w="1236"/>
                    <w:gridCol w:w="1754"/>
                  </w:tblGrid>
                  <w:tr>
                    <w:trPr>
                      <w:trHeight w:val="422" w:hRule="exact"/>
                    </w:trPr>
                    <w:tc>
                      <w:tcPr>
                        <w:tcW w:w="2931" w:type="dxa"/>
                      </w:tcPr>
                      <w:p>
                        <w:pPr>
                          <w:pStyle w:val="TableParagraph"/>
                          <w:spacing w:before="9"/>
                          <w:jc w:val="left"/>
                          <w:rPr>
                            <w:rFonts w:ascii="Constantia"/>
                            <w:sz w:val="17"/>
                          </w:rPr>
                        </w:pPr>
                      </w:p>
                      <w:p>
                        <w:pPr>
                          <w:pStyle w:val="TableParagraph"/>
                          <w:ind w:left="29"/>
                          <w:jc w:val="left"/>
                          <w:rPr>
                            <w:rFonts w:ascii="Constantia" w:hAnsi="Constantia"/>
                            <w:sz w:val="16"/>
                          </w:rPr>
                        </w:pPr>
                        <w:r>
                          <w:rPr>
                            <w:rFonts w:ascii="Constantia" w:hAnsi="Constantia"/>
                            <w:sz w:val="16"/>
                          </w:rPr>
                          <w:t>Ln de la asignación de Ingr. Fisc. no</w:t>
                        </w:r>
                      </w:p>
                    </w:tc>
                    <w:tc>
                      <w:tcPr>
                        <w:tcW w:w="1423" w:type="dxa"/>
                      </w:tcPr>
                      <w:p>
                        <w:pPr>
                          <w:pStyle w:val="TableParagraph"/>
                          <w:spacing w:line="174" w:lineRule="exact"/>
                          <w:ind w:right="449"/>
                          <w:jc w:val="right"/>
                          <w:rPr>
                            <w:rFonts w:ascii="Constantia"/>
                            <w:sz w:val="16"/>
                          </w:rPr>
                        </w:pPr>
                        <w:r>
                          <w:rPr>
                            <w:rFonts w:ascii="Constantia"/>
                            <w:sz w:val="16"/>
                          </w:rPr>
                          <w:t>-0.79***</w:t>
                        </w:r>
                      </w:p>
                    </w:tc>
                    <w:tc>
                      <w:tcPr>
                        <w:tcW w:w="1474" w:type="dxa"/>
                      </w:tcPr>
                      <w:p>
                        <w:pPr>
                          <w:pStyle w:val="TableParagraph"/>
                          <w:spacing w:line="192" w:lineRule="exact"/>
                          <w:ind w:right="367"/>
                          <w:jc w:val="right"/>
                          <w:rPr>
                            <w:rFonts w:ascii="Constantia"/>
                            <w:sz w:val="19"/>
                          </w:rPr>
                        </w:pPr>
                        <w:r>
                          <w:rPr>
                            <w:rFonts w:ascii="Constantia"/>
                            <w:w w:val="95"/>
                            <w:sz w:val="19"/>
                          </w:rPr>
                          <w:t>1.00</w:t>
                        </w:r>
                      </w:p>
                    </w:tc>
                    <w:tc>
                      <w:tcPr>
                        <w:tcW w:w="1236" w:type="dxa"/>
                      </w:tcPr>
                      <w:p>
                        <w:pPr/>
                      </w:p>
                    </w:tc>
                    <w:tc>
                      <w:tcPr>
                        <w:tcW w:w="1754" w:type="dxa"/>
                        <w:vMerge w:val="restart"/>
                      </w:tcPr>
                      <w:p>
                        <w:pPr/>
                      </w:p>
                    </w:tc>
                  </w:tr>
                  <w:tr>
                    <w:trPr>
                      <w:trHeight w:val="228" w:hRule="exact"/>
                    </w:trPr>
                    <w:tc>
                      <w:tcPr>
                        <w:tcW w:w="2931" w:type="dxa"/>
                      </w:tcPr>
                      <w:p>
                        <w:pPr>
                          <w:pStyle w:val="TableParagraph"/>
                          <w:spacing w:before="2"/>
                          <w:ind w:left="29"/>
                          <w:jc w:val="left"/>
                          <w:rPr>
                            <w:rFonts w:ascii="Constantia" w:hAnsi="Constantia"/>
                            <w:sz w:val="16"/>
                          </w:rPr>
                        </w:pPr>
                        <w:r>
                          <w:rPr>
                            <w:rFonts w:ascii="Constantia" w:hAnsi="Constantia"/>
                            <w:sz w:val="16"/>
                          </w:rPr>
                          <w:t>Gasíf.</w:t>
                        </w:r>
                      </w:p>
                    </w:tc>
                    <w:tc>
                      <w:tcPr>
                        <w:tcW w:w="1423" w:type="dxa"/>
                      </w:tcPr>
                      <w:p>
                        <w:pPr>
                          <w:pStyle w:val="TableParagraph"/>
                          <w:spacing w:line="188" w:lineRule="exact"/>
                          <w:ind w:right="447"/>
                          <w:jc w:val="right"/>
                          <w:rPr>
                            <w:rFonts w:ascii="Constantia"/>
                            <w:sz w:val="16"/>
                          </w:rPr>
                        </w:pPr>
                        <w:r>
                          <w:rPr>
                            <w:rFonts w:ascii="Constantia"/>
                            <w:sz w:val="16"/>
                          </w:rPr>
                          <w:t>0.31</w:t>
                        </w:r>
                      </w:p>
                    </w:tc>
                    <w:tc>
                      <w:tcPr>
                        <w:tcW w:w="1474" w:type="dxa"/>
                      </w:tcPr>
                      <w:p>
                        <w:pPr>
                          <w:pStyle w:val="TableParagraph"/>
                          <w:spacing w:line="206" w:lineRule="exact"/>
                          <w:ind w:right="368"/>
                          <w:jc w:val="right"/>
                          <w:rPr>
                            <w:rFonts w:ascii="Constantia"/>
                            <w:sz w:val="19"/>
                          </w:rPr>
                        </w:pPr>
                        <w:r>
                          <w:rPr>
                            <w:rFonts w:ascii="Constantia"/>
                            <w:w w:val="95"/>
                            <w:sz w:val="19"/>
                          </w:rPr>
                          <w:t>-0.49***</w:t>
                        </w:r>
                      </w:p>
                    </w:tc>
                    <w:tc>
                      <w:tcPr>
                        <w:tcW w:w="1236" w:type="dxa"/>
                      </w:tcPr>
                      <w:p>
                        <w:pPr>
                          <w:pStyle w:val="TableParagraph"/>
                          <w:spacing w:line="206" w:lineRule="exact"/>
                          <w:ind w:right="209"/>
                          <w:jc w:val="right"/>
                          <w:rPr>
                            <w:rFonts w:ascii="Constantia"/>
                            <w:sz w:val="19"/>
                          </w:rPr>
                        </w:pPr>
                        <w:r>
                          <w:rPr>
                            <w:rFonts w:ascii="Constantia"/>
                            <w:w w:val="95"/>
                            <w:sz w:val="19"/>
                          </w:rPr>
                          <w:t>1.00</w:t>
                        </w:r>
                      </w:p>
                    </w:tc>
                    <w:tc>
                      <w:tcPr>
                        <w:tcW w:w="1754" w:type="dxa"/>
                        <w:vMerge/>
                      </w:tcPr>
                      <w:p>
                        <w:pPr/>
                      </w:p>
                    </w:tc>
                  </w:tr>
                  <w:tr>
                    <w:trPr>
                      <w:trHeight w:val="183" w:hRule="exact"/>
                    </w:trPr>
                    <w:tc>
                      <w:tcPr>
                        <w:tcW w:w="2931" w:type="dxa"/>
                      </w:tcPr>
                      <w:p>
                        <w:pPr>
                          <w:pStyle w:val="TableParagraph"/>
                          <w:spacing w:line="188" w:lineRule="exact"/>
                          <w:ind w:left="29"/>
                          <w:jc w:val="left"/>
                          <w:rPr>
                            <w:rFonts w:ascii="Constantia" w:hAnsi="Constantia"/>
                            <w:sz w:val="16"/>
                          </w:rPr>
                        </w:pPr>
                        <w:r>
                          <w:rPr>
                            <w:rFonts w:ascii="Constantia" w:hAnsi="Constantia"/>
                            <w:sz w:val="16"/>
                          </w:rPr>
                          <w:t>Balance fiscal primario no gasíf./PIB</w:t>
                        </w:r>
                      </w:p>
                    </w:tc>
                    <w:tc>
                      <w:tcPr>
                        <w:tcW w:w="1423" w:type="dxa"/>
                      </w:tcPr>
                      <w:p>
                        <w:pPr/>
                      </w:p>
                    </w:tc>
                    <w:tc>
                      <w:tcPr>
                        <w:tcW w:w="1474" w:type="dxa"/>
                      </w:tcPr>
                      <w:p>
                        <w:pPr/>
                      </w:p>
                    </w:tc>
                    <w:tc>
                      <w:tcPr>
                        <w:tcW w:w="1236" w:type="dxa"/>
                      </w:tcPr>
                      <w:p>
                        <w:pPr/>
                      </w:p>
                    </w:tc>
                    <w:tc>
                      <w:tcPr>
                        <w:tcW w:w="1754" w:type="dxa"/>
                        <w:vMerge/>
                      </w:tcPr>
                      <w:p>
                        <w:pPr/>
                      </w:p>
                    </w:tc>
                  </w:tr>
                  <w:tr>
                    <w:trPr>
                      <w:trHeight w:val="259" w:hRule="exact"/>
                    </w:trPr>
                    <w:tc>
                      <w:tcPr>
                        <w:tcW w:w="2931" w:type="dxa"/>
                      </w:tcPr>
                      <w:p>
                        <w:pPr>
                          <w:pStyle w:val="TableParagraph"/>
                          <w:spacing w:before="17"/>
                          <w:ind w:left="29"/>
                          <w:jc w:val="left"/>
                          <w:rPr>
                            <w:rFonts w:ascii="Constantia"/>
                            <w:sz w:val="16"/>
                          </w:rPr>
                        </w:pPr>
                        <w:r>
                          <w:rPr>
                            <w:rFonts w:ascii="Constantia"/>
                            <w:sz w:val="16"/>
                          </w:rPr>
                          <w:t>real</w:t>
                        </w:r>
                      </w:p>
                    </w:tc>
                    <w:tc>
                      <w:tcPr>
                        <w:tcW w:w="1423" w:type="dxa"/>
                      </w:tcPr>
                      <w:p>
                        <w:pPr>
                          <w:pStyle w:val="TableParagraph"/>
                          <w:spacing w:line="183" w:lineRule="exact"/>
                          <w:ind w:right="449"/>
                          <w:jc w:val="right"/>
                          <w:rPr>
                            <w:rFonts w:ascii="Constantia"/>
                            <w:sz w:val="16"/>
                          </w:rPr>
                        </w:pPr>
                        <w:r>
                          <w:rPr>
                            <w:rFonts w:ascii="Constantia"/>
                            <w:sz w:val="16"/>
                          </w:rPr>
                          <w:t>-0.56***</w:t>
                        </w:r>
                      </w:p>
                    </w:tc>
                    <w:tc>
                      <w:tcPr>
                        <w:tcW w:w="1474" w:type="dxa"/>
                      </w:tcPr>
                      <w:p>
                        <w:pPr>
                          <w:pStyle w:val="TableParagraph"/>
                          <w:spacing w:line="191" w:lineRule="exact"/>
                          <w:ind w:right="367"/>
                          <w:jc w:val="right"/>
                          <w:rPr>
                            <w:rFonts w:ascii="Constantia"/>
                            <w:sz w:val="19"/>
                          </w:rPr>
                        </w:pPr>
                        <w:r>
                          <w:rPr>
                            <w:rFonts w:ascii="Constantia"/>
                            <w:w w:val="95"/>
                            <w:sz w:val="19"/>
                          </w:rPr>
                          <w:t>0.57***</w:t>
                        </w:r>
                      </w:p>
                    </w:tc>
                    <w:tc>
                      <w:tcPr>
                        <w:tcW w:w="1236" w:type="dxa"/>
                      </w:tcPr>
                      <w:p>
                        <w:pPr>
                          <w:pStyle w:val="TableParagraph"/>
                          <w:spacing w:line="191" w:lineRule="exact"/>
                          <w:ind w:right="210"/>
                          <w:jc w:val="right"/>
                          <w:rPr>
                            <w:rFonts w:ascii="Constantia"/>
                            <w:sz w:val="19"/>
                          </w:rPr>
                        </w:pPr>
                        <w:r>
                          <w:rPr>
                            <w:rFonts w:ascii="Constantia"/>
                            <w:w w:val="95"/>
                            <w:sz w:val="19"/>
                          </w:rPr>
                          <w:t>-0.90***</w:t>
                        </w:r>
                      </w:p>
                    </w:tc>
                    <w:tc>
                      <w:tcPr>
                        <w:tcW w:w="1754" w:type="dxa"/>
                      </w:tcPr>
                      <w:p>
                        <w:pPr>
                          <w:pStyle w:val="TableParagraph"/>
                          <w:spacing w:line="191" w:lineRule="exact"/>
                          <w:ind w:left="478"/>
                          <w:jc w:val="left"/>
                          <w:rPr>
                            <w:rFonts w:ascii="Constantia"/>
                            <w:sz w:val="19"/>
                          </w:rPr>
                        </w:pPr>
                        <w:r>
                          <w:rPr>
                            <w:rFonts w:ascii="Constantia"/>
                            <w:sz w:val="19"/>
                          </w:rPr>
                          <w:t>1.00</w:t>
                        </w:r>
                      </w:p>
                    </w:tc>
                  </w:tr>
                  <w:tr>
                    <w:trPr>
                      <w:trHeight w:val="282" w:hRule="exact"/>
                    </w:trPr>
                    <w:tc>
                      <w:tcPr>
                        <w:tcW w:w="2931" w:type="dxa"/>
                        <w:tcBorders>
                          <w:bottom w:val="double" w:sz="4" w:space="0" w:color="000000"/>
                        </w:tcBorders>
                      </w:tcPr>
                      <w:p>
                        <w:pPr>
                          <w:pStyle w:val="TableParagraph"/>
                          <w:spacing w:before="16"/>
                          <w:ind w:left="29"/>
                          <w:jc w:val="left"/>
                          <w:rPr>
                            <w:rFonts w:ascii="Constantia" w:hAnsi="Constantia"/>
                            <w:sz w:val="16"/>
                          </w:rPr>
                        </w:pPr>
                        <w:r>
                          <w:rPr>
                            <w:rFonts w:ascii="Constantia" w:hAnsi="Constantia"/>
                            <w:sz w:val="16"/>
                          </w:rPr>
                          <w:t>Ln de la deuda pública/ PIB real</w:t>
                        </w:r>
                      </w:p>
                    </w:tc>
                    <w:tc>
                      <w:tcPr>
                        <w:tcW w:w="1423" w:type="dxa"/>
                        <w:tcBorders>
                          <w:bottom w:val="double" w:sz="4" w:space="0" w:color="000000"/>
                        </w:tcBorders>
                      </w:tcPr>
                      <w:p>
                        <w:pPr>
                          <w:pStyle w:val="TableParagraph"/>
                          <w:spacing w:before="65"/>
                          <w:ind w:right="449"/>
                          <w:jc w:val="right"/>
                          <w:rPr>
                            <w:rFonts w:ascii="Constantia"/>
                            <w:sz w:val="16"/>
                          </w:rPr>
                        </w:pPr>
                        <w:r>
                          <w:rPr>
                            <w:rFonts w:ascii="Constantia"/>
                            <w:sz w:val="16"/>
                          </w:rPr>
                          <w:t>-0.91***</w:t>
                        </w:r>
                      </w:p>
                    </w:tc>
                    <w:tc>
                      <w:tcPr>
                        <w:tcW w:w="1474" w:type="dxa"/>
                        <w:tcBorders>
                          <w:bottom w:val="double" w:sz="4" w:space="0" w:color="000000"/>
                        </w:tcBorders>
                      </w:tcPr>
                      <w:p>
                        <w:pPr>
                          <w:pStyle w:val="TableParagraph"/>
                          <w:spacing w:before="37"/>
                          <w:ind w:right="368"/>
                          <w:jc w:val="right"/>
                          <w:rPr>
                            <w:rFonts w:ascii="Constantia"/>
                            <w:sz w:val="19"/>
                          </w:rPr>
                        </w:pPr>
                        <w:r>
                          <w:rPr>
                            <w:rFonts w:ascii="Constantia"/>
                            <w:w w:val="95"/>
                            <w:sz w:val="19"/>
                          </w:rPr>
                          <w:t>0.83***</w:t>
                        </w:r>
                      </w:p>
                    </w:tc>
                    <w:tc>
                      <w:tcPr>
                        <w:tcW w:w="1236" w:type="dxa"/>
                        <w:tcBorders>
                          <w:bottom w:val="double" w:sz="4" w:space="0" w:color="000000"/>
                        </w:tcBorders>
                      </w:tcPr>
                      <w:p>
                        <w:pPr>
                          <w:pStyle w:val="TableParagraph"/>
                          <w:spacing w:before="37"/>
                          <w:ind w:right="210"/>
                          <w:jc w:val="right"/>
                          <w:rPr>
                            <w:rFonts w:ascii="Constantia"/>
                            <w:sz w:val="19"/>
                          </w:rPr>
                        </w:pPr>
                        <w:r>
                          <w:rPr>
                            <w:rFonts w:ascii="Constantia"/>
                            <w:w w:val="95"/>
                            <w:sz w:val="19"/>
                          </w:rPr>
                          <w:t>-0.57***</w:t>
                        </w:r>
                      </w:p>
                    </w:tc>
                    <w:tc>
                      <w:tcPr>
                        <w:tcW w:w="1754" w:type="dxa"/>
                        <w:tcBorders>
                          <w:bottom w:val="double" w:sz="4" w:space="0" w:color="000000"/>
                        </w:tcBorders>
                      </w:tcPr>
                      <w:p>
                        <w:pPr>
                          <w:pStyle w:val="TableParagraph"/>
                          <w:tabs>
                            <w:tab w:pos="1417" w:val="left" w:leader="none"/>
                          </w:tabs>
                          <w:spacing w:before="37"/>
                          <w:ind w:left="211"/>
                          <w:jc w:val="left"/>
                          <w:rPr>
                            <w:rFonts w:ascii="Constantia"/>
                            <w:sz w:val="19"/>
                          </w:rPr>
                        </w:pPr>
                        <w:r>
                          <w:rPr>
                            <w:rFonts w:ascii="Constantia"/>
                            <w:spacing w:val="-3"/>
                            <w:sz w:val="19"/>
                          </w:rPr>
                          <w:t>0.76***</w:t>
                          <w:tab/>
                        </w:r>
                        <w:r>
                          <w:rPr>
                            <w:rFonts w:ascii="Constantia"/>
                            <w:sz w:val="19"/>
                          </w:rPr>
                          <w:t>1.00</w:t>
                        </w:r>
                      </w:p>
                    </w:tc>
                  </w:tr>
                </w:tbl>
                <w:p>
                  <w:pPr>
                    <w:pStyle w:val="BodyText"/>
                  </w:pPr>
                </w:p>
              </w:txbxContent>
            </v:textbox>
            <w10:wrap type="none"/>
          </v:shape>
        </w:pict>
      </w:r>
      <w:r>
        <w:rPr>
          <w:rFonts w:ascii="Constantia" w:hAnsi="Constantia"/>
          <w:sz w:val="16"/>
        </w:rPr>
        <w:t>Ln de la asiganación de Ingr. Fisc. Gasíf.</w:t>
      </w:r>
    </w:p>
    <w:p>
      <w:pPr>
        <w:pStyle w:val="BodyText"/>
        <w:spacing w:before="9"/>
        <w:rPr>
          <w:rFonts w:ascii="Constantia"/>
          <w:sz w:val="18"/>
        </w:rPr>
      </w:pPr>
      <w:r>
        <w:rPr/>
        <w:br w:type="column"/>
      </w:r>
      <w:r>
        <w:rPr>
          <w:rFonts w:ascii="Constantia"/>
          <w:sz w:val="18"/>
        </w:rPr>
      </w:r>
    </w:p>
    <w:p>
      <w:pPr>
        <w:spacing w:line="254" w:lineRule="auto" w:before="0"/>
        <w:ind w:left="224" w:right="-11" w:hanging="149"/>
        <w:jc w:val="left"/>
        <w:rPr>
          <w:rFonts w:ascii="Constantia" w:hAnsi="Constantia"/>
          <w:sz w:val="16"/>
        </w:rPr>
      </w:pPr>
      <w:r>
        <w:rPr>
          <w:rFonts w:ascii="Constantia" w:hAnsi="Constantia"/>
          <w:sz w:val="16"/>
        </w:rPr>
        <w:t>Ln de la asignac.</w:t>
      </w:r>
      <w:r>
        <w:rPr>
          <w:rFonts w:ascii="Constantia" w:hAnsi="Constantia"/>
          <w:spacing w:val="-20"/>
          <w:sz w:val="16"/>
        </w:rPr>
        <w:t> </w:t>
      </w:r>
      <w:r>
        <w:rPr>
          <w:rFonts w:ascii="Constantia" w:hAnsi="Constantia"/>
          <w:sz w:val="16"/>
        </w:rPr>
        <w:t>De </w:t>
      </w:r>
      <w:r>
        <w:rPr>
          <w:rFonts w:ascii="Constantia" w:hAnsi="Constantia"/>
          <w:spacing w:val="-3"/>
          <w:sz w:val="16"/>
        </w:rPr>
        <w:t>Ingr. </w:t>
      </w:r>
      <w:r>
        <w:rPr>
          <w:rFonts w:ascii="Constantia" w:hAnsi="Constantia"/>
          <w:sz w:val="16"/>
        </w:rPr>
        <w:t>Fisc.</w:t>
      </w:r>
      <w:r>
        <w:rPr>
          <w:rFonts w:ascii="Constantia" w:hAnsi="Constantia"/>
          <w:spacing w:val="-16"/>
          <w:sz w:val="16"/>
        </w:rPr>
        <w:t> </w:t>
      </w:r>
      <w:r>
        <w:rPr>
          <w:rFonts w:ascii="Constantia" w:hAnsi="Constantia"/>
          <w:sz w:val="16"/>
        </w:rPr>
        <w:t>Gasíf.</w:t>
      </w:r>
    </w:p>
    <w:p>
      <w:pPr>
        <w:spacing w:line="254" w:lineRule="auto" w:before="130"/>
        <w:ind w:left="170" w:right="0" w:firstLine="0"/>
        <w:jc w:val="center"/>
        <w:rPr>
          <w:rFonts w:ascii="Constantia" w:hAnsi="Constantia"/>
          <w:sz w:val="16"/>
        </w:rPr>
      </w:pPr>
      <w:r>
        <w:rPr/>
        <w:br w:type="column"/>
      </w:r>
      <w:r>
        <w:rPr>
          <w:rFonts w:ascii="Constantia" w:hAnsi="Constantia"/>
          <w:sz w:val="16"/>
        </w:rPr>
        <w:t>Ln de la</w:t>
      </w:r>
      <w:r>
        <w:rPr>
          <w:rFonts w:ascii="Constantia" w:hAnsi="Constantia"/>
          <w:spacing w:val="-16"/>
          <w:sz w:val="16"/>
        </w:rPr>
        <w:t> </w:t>
      </w:r>
      <w:r>
        <w:rPr>
          <w:rFonts w:ascii="Constantia" w:hAnsi="Constantia"/>
          <w:sz w:val="16"/>
        </w:rPr>
        <w:t>asignac. De </w:t>
      </w:r>
      <w:r>
        <w:rPr>
          <w:rFonts w:ascii="Constantia" w:hAnsi="Constantia"/>
          <w:spacing w:val="-3"/>
          <w:sz w:val="16"/>
        </w:rPr>
        <w:t>Ingr. </w:t>
      </w:r>
      <w:r>
        <w:rPr>
          <w:rFonts w:ascii="Constantia" w:hAnsi="Constantia"/>
          <w:sz w:val="16"/>
        </w:rPr>
        <w:t>Fisc.</w:t>
      </w:r>
      <w:r>
        <w:rPr>
          <w:rFonts w:ascii="Constantia" w:hAnsi="Constantia"/>
          <w:spacing w:val="-14"/>
          <w:sz w:val="16"/>
        </w:rPr>
        <w:t> </w:t>
      </w:r>
      <w:r>
        <w:rPr>
          <w:rFonts w:ascii="Constantia" w:hAnsi="Constantia"/>
          <w:sz w:val="16"/>
        </w:rPr>
        <w:t>no Gasíf.</w:t>
      </w:r>
    </w:p>
    <w:p>
      <w:pPr>
        <w:spacing w:line="254" w:lineRule="auto" w:before="21"/>
        <w:ind w:left="170" w:right="0" w:firstLine="10"/>
        <w:jc w:val="center"/>
        <w:rPr>
          <w:rFonts w:ascii="Constantia" w:hAnsi="Constantia"/>
          <w:sz w:val="16"/>
        </w:rPr>
      </w:pPr>
      <w:r>
        <w:rPr/>
        <w:br w:type="column"/>
      </w:r>
      <w:r>
        <w:rPr>
          <w:rFonts w:ascii="Constantia" w:hAnsi="Constantia"/>
          <w:sz w:val="16"/>
        </w:rPr>
        <w:t>Balance fiscal primario no</w:t>
      </w:r>
      <w:r>
        <w:rPr>
          <w:rFonts w:ascii="Constantia" w:hAnsi="Constantia"/>
          <w:w w:val="99"/>
          <w:sz w:val="16"/>
        </w:rPr>
        <w:t> </w:t>
      </w:r>
      <w:r>
        <w:rPr>
          <w:rFonts w:ascii="Constantia" w:hAnsi="Constantia"/>
          <w:sz w:val="16"/>
        </w:rPr>
        <w:t>gasíf./PIB</w:t>
      </w:r>
    </w:p>
    <w:p>
      <w:pPr>
        <w:spacing w:line="254" w:lineRule="auto" w:before="21"/>
        <w:ind w:left="93" w:right="167" w:firstLine="2"/>
        <w:jc w:val="center"/>
        <w:rPr>
          <w:rFonts w:ascii="Constantia" w:hAnsi="Constantia"/>
          <w:sz w:val="16"/>
        </w:rPr>
      </w:pPr>
      <w:r>
        <w:rPr/>
        <w:br w:type="column"/>
      </w:r>
      <w:r>
        <w:rPr>
          <w:rFonts w:ascii="Constantia" w:hAnsi="Constantia"/>
          <w:sz w:val="16"/>
        </w:rPr>
        <w:t>Ln de la deuda pública/ </w:t>
      </w:r>
      <w:r>
        <w:rPr>
          <w:rFonts w:ascii="Constantia" w:hAnsi="Constantia"/>
          <w:spacing w:val="-3"/>
          <w:sz w:val="16"/>
        </w:rPr>
        <w:t>PIB </w:t>
      </w:r>
      <w:r>
        <w:rPr>
          <w:rFonts w:ascii="Constantia" w:hAnsi="Constantia"/>
          <w:sz w:val="16"/>
        </w:rPr>
        <w:t>real</w:t>
      </w:r>
    </w:p>
    <w:p>
      <w:pPr>
        <w:spacing w:after="0" w:line="254" w:lineRule="auto"/>
        <w:jc w:val="center"/>
        <w:rPr>
          <w:rFonts w:ascii="Constantia" w:hAnsi="Constantia"/>
          <w:sz w:val="16"/>
        </w:rPr>
        <w:sectPr>
          <w:type w:val="continuous"/>
          <w:pgSz w:w="12250" w:h="15850"/>
          <w:pgMar w:top="1500" w:bottom="280" w:left="1600" w:right="1560"/>
          <w:cols w:num="5" w:equalWidth="0">
            <w:col w:w="4048" w:space="40"/>
            <w:col w:w="1446" w:space="52"/>
            <w:col w:w="1306" w:space="48"/>
            <w:col w:w="996" w:space="40"/>
            <w:col w:w="1114"/>
          </w:cols>
        </w:sectPr>
      </w:pPr>
    </w:p>
    <w:p>
      <w:pPr>
        <w:pStyle w:val="BodyText"/>
        <w:rPr>
          <w:rFonts w:ascii="Constantia"/>
          <w:sz w:val="20"/>
        </w:rPr>
      </w:pPr>
      <w:r>
        <w:rPr/>
        <w:pict>
          <v:group style="position:absolute;margin-left:86.793724pt;margin-top:583.023865pt;width:441.4pt;height:1.5pt;mso-position-horizontal-relative:page;mso-position-vertical-relative:page;z-index:-560272" coordorigin="1736,11660" coordsize="8828,30">
            <v:line style="position:absolute" from="1746,11666" to="10554,11666" stroked="true" strokeweight=".493294pt" strokecolor="#000000"/>
            <v:line style="position:absolute" from="1741,11665" to="10559,11665" stroked="true" strokeweight=".493294pt" strokecolor="#000000"/>
            <v:line style="position:absolute" from="1746,11685" to="10554,11685" stroked="true" strokeweight=".493294pt" strokecolor="#000000"/>
            <v:line style="position:absolute" from="1741,11685" to="10559,11685" stroked="true" strokeweight=".493294pt" strokecolor="#000000"/>
            <w10:wrap type="none"/>
          </v:group>
        </w:pict>
      </w: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spacing w:before="2"/>
        <w:rPr>
          <w:rFonts w:ascii="Constantia"/>
          <w:sz w:val="23"/>
        </w:rPr>
      </w:pPr>
    </w:p>
    <w:p>
      <w:pPr>
        <w:spacing w:before="69"/>
        <w:ind w:left="160" w:right="115" w:firstLine="0"/>
        <w:jc w:val="left"/>
        <w:rPr>
          <w:rFonts w:ascii="Constantia"/>
          <w:sz w:val="15"/>
        </w:rPr>
      </w:pPr>
      <w:r>
        <w:rPr>
          <w:rFonts w:ascii="Constantia"/>
          <w:sz w:val="15"/>
        </w:rPr>
        <w:t>Nivel de significancia: *** al 0.1%; * al 5% respectivamente. Ln : logaritmo natural</w:t>
      </w:r>
    </w:p>
    <w:p>
      <w:pPr>
        <w:spacing w:after="0"/>
        <w:jc w:val="left"/>
        <w:rPr>
          <w:rFonts w:ascii="Constantia"/>
          <w:sz w:val="15"/>
        </w:rPr>
        <w:sectPr>
          <w:type w:val="continuous"/>
          <w:pgSz w:w="12250" w:h="15850"/>
          <w:pgMar w:top="1500" w:bottom="280" w:left="1600" w:right="1560"/>
        </w:sectPr>
      </w:pPr>
    </w:p>
    <w:p>
      <w:pPr>
        <w:pStyle w:val="BodyText"/>
        <w:spacing w:before="50"/>
        <w:ind w:left="830" w:right="115"/>
      </w:pPr>
      <w:r>
        <w:rPr/>
        <w:t>De forma complementaria,  el precio del gas </w:t>
      </w:r>
      <w:r>
        <w:rPr>
          <w:spacing w:val="58"/>
        </w:rPr>
        <w:t> </w:t>
      </w:r>
      <w:r>
        <w:rPr/>
        <w:t>natural</w:t>
      </w:r>
      <w:r>
        <w:rPr>
          <w:spacing w:val="20"/>
        </w:rPr>
        <w:t> </w:t>
      </w:r>
      <w:r>
        <w:rPr>
          <w:w w:val="166"/>
        </w:rPr>
        <w:t>  </w:t>
      </w:r>
      <w:r>
        <w:rPr>
          <w:spacing w:val="15"/>
        </w:rPr>
        <w:t> </w:t>
      </w:r>
      <w:r>
        <w:rPr>
          <w:spacing w:val="-1"/>
          <w:w w:val="177"/>
        </w:rPr>
        <w:t> </w:t>
      </w:r>
      <w:r>
        <w:rPr>
          <w:w w:val="164"/>
        </w:rPr>
        <w:t>     </w:t>
      </w:r>
      <w:r>
        <w:rPr>
          <w:spacing w:val="15"/>
        </w:rPr>
        <w:t> </w:t>
      </w:r>
      <w:r>
        <w:rPr>
          <w:w w:val="188"/>
        </w:rPr>
        <w:t>  </w:t>
      </w:r>
      <w:r>
        <w:rPr>
          <w:spacing w:val="15"/>
        </w:rPr>
        <w:t> </w:t>
      </w:r>
      <w:r>
        <w:rPr>
          <w:w w:val="166"/>
        </w:rPr>
        <w:t> </w:t>
      </w:r>
      <w:r>
        <w:rPr>
          <w:spacing w:val="1"/>
          <w:w w:val="166"/>
        </w:rPr>
        <w:t> </w:t>
      </w:r>
      <w:r>
        <w:rPr>
          <w:w w:val="207"/>
        </w:rPr>
        <w:t>   </w:t>
      </w:r>
      <w:r>
        <w:rPr/>
        <w:t>  </w:t>
      </w:r>
      <w:r>
        <w:rPr>
          <w:spacing w:val="-29"/>
        </w:rPr>
        <w:t> </w:t>
      </w:r>
      <w:r>
        <w:rPr>
          <w:w w:val="166"/>
        </w:rPr>
        <w:t>    </w:t>
      </w:r>
      <w:r>
        <w:rPr>
          <w:w w:val="111"/>
        </w:rPr>
        <w:t>  </w:t>
      </w:r>
      <w:r>
        <w:rPr>
          <w:w w:val="188"/>
        </w:rPr>
        <w:t>  </w:t>
      </w:r>
      <w:r>
        <w:rPr>
          <w:spacing w:val="18"/>
        </w:rPr>
        <w:t> </w:t>
      </w:r>
      <w:r>
        <w:rPr>
          <w:w w:val="200"/>
        </w:rPr>
        <w:t> </w:t>
      </w:r>
    </w:p>
    <w:p>
      <w:pPr>
        <w:pStyle w:val="BodyText"/>
        <w:spacing w:before="137"/>
        <w:ind w:left="122"/>
      </w:pPr>
      <w:r>
        <w:rPr>
          <w:w w:val="155"/>
        </w:rPr>
        <w:t>  </w:t>
      </w:r>
      <w:r>
        <w:rPr>
          <w:spacing w:val="-2"/>
          <w:w w:val="155"/>
        </w:rPr>
        <w:t> </w:t>
      </w:r>
      <w:r>
        <w:rPr>
          <w:w w:val="146"/>
        </w:rPr>
        <w:t>    </w:t>
      </w:r>
      <w:r>
        <w:rPr>
          <w:spacing w:val="-1"/>
          <w:w w:val="146"/>
        </w:rPr>
        <w:t> </w:t>
      </w:r>
      <w:r>
        <w:rPr>
          <w:spacing w:val="-1"/>
          <w:w w:val="177"/>
        </w:rPr>
        <w:t> </w:t>
      </w:r>
      <w:r>
        <w:rPr>
          <w:w w:val="111"/>
        </w:rPr>
        <w:t>  </w:t>
      </w:r>
      <w:r>
        <w:rPr>
          <w:w w:val="188"/>
        </w:rPr>
        <w:t>  </w:t>
      </w:r>
      <w:r>
        <w:rPr>
          <w:spacing w:val="15"/>
        </w:rPr>
        <w:t> </w:t>
      </w:r>
      <w:r>
        <w:rPr>
          <w:spacing w:val="-1"/>
          <w:w w:val="177"/>
        </w:rPr>
        <w:t> </w:t>
      </w:r>
      <w:r>
        <w:rPr>
          <w:w w:val="200"/>
        </w:rPr>
        <w:t>  </w:t>
      </w:r>
      <w:r>
        <w:rPr>
          <w:spacing w:val="18"/>
        </w:rPr>
        <w:t> </w:t>
      </w:r>
      <w:r>
        <w:rPr>
          <w:spacing w:val="-1"/>
          <w:w w:val="177"/>
        </w:rPr>
        <w:t> </w:t>
      </w:r>
      <w:r>
        <w:rPr>
          <w:w w:val="111"/>
        </w:rPr>
        <w:t> </w:t>
      </w:r>
      <w:r>
        <w:rPr>
          <w:spacing w:val="17"/>
        </w:rPr>
        <w:t> </w:t>
      </w:r>
      <w:r>
        <w:rPr>
          <w:w w:val="155"/>
        </w:rPr>
        <w:t> </w:t>
      </w:r>
      <w:r>
        <w:rPr>
          <w:spacing w:val="-2"/>
          <w:w w:val="155"/>
        </w:rPr>
        <w:t> </w:t>
      </w:r>
      <w:r>
        <w:rPr>
          <w:w w:val="155"/>
        </w:rPr>
        <w:t>   </w:t>
      </w:r>
      <w:r>
        <w:rPr>
          <w:spacing w:val="19"/>
        </w:rPr>
        <w:t> </w:t>
      </w:r>
      <w:r>
        <w:rPr>
          <w:w w:val="188"/>
        </w:rPr>
        <w:t>  </w:t>
      </w:r>
      <w:r>
        <w:rPr>
          <w:spacing w:val="15"/>
        </w:rPr>
        <w:t> </w:t>
      </w:r>
      <w:r>
        <w:rPr>
          <w:w w:val="155"/>
        </w:rPr>
        <w:t>   </w:t>
      </w:r>
      <w:r>
        <w:rPr>
          <w:spacing w:val="17"/>
        </w:rPr>
        <w:t> </w:t>
      </w:r>
      <w:r>
        <w:rPr>
          <w:w w:val="155"/>
        </w:rPr>
        <w:t> </w:t>
      </w:r>
      <w:r>
        <w:rPr>
          <w:spacing w:val="-2"/>
          <w:w w:val="155"/>
        </w:rPr>
        <w:t> </w:t>
      </w:r>
      <w:r>
        <w:rPr>
          <w:w w:val="144"/>
        </w:rPr>
        <w:t>    </w:t>
      </w:r>
      <w:r>
        <w:rPr>
          <w:spacing w:val="-1"/>
          <w:w w:val="177"/>
        </w:rPr>
        <w:t> </w:t>
      </w:r>
      <w:r>
        <w:rPr>
          <w:w w:val="185"/>
        </w:rPr>
        <w:t>   </w:t>
      </w:r>
      <w:r>
        <w:rPr>
          <w:spacing w:val="16"/>
        </w:rPr>
        <w:t> </w:t>
      </w:r>
      <w:r>
        <w:rPr>
          <w:w w:val="144"/>
        </w:rPr>
        <w:t>   </w:t>
      </w:r>
      <w:r>
        <w:rPr>
          <w:spacing w:val="-1"/>
          <w:w w:val="144"/>
        </w:rPr>
        <w:t> </w:t>
      </w:r>
      <w:r>
        <w:rPr>
          <w:spacing w:val="-1"/>
          <w:w w:val="177"/>
        </w:rPr>
        <w:t> </w:t>
      </w:r>
      <w:r>
        <w:rPr>
          <w:w w:val="144"/>
        </w:rPr>
        <w:t> </w:t>
      </w:r>
      <w:r>
        <w:rPr>
          <w:spacing w:val="1"/>
          <w:w w:val="144"/>
        </w:rPr>
        <w:t> </w:t>
      </w:r>
      <w:r>
        <w:rPr>
          <w:w w:val="155"/>
        </w:rPr>
        <w:t> </w:t>
      </w:r>
      <w:r>
        <w:rPr/>
        <w:t> </w:t>
      </w:r>
      <w:r>
        <w:rPr>
          <w:spacing w:val="16"/>
        </w:rPr>
        <w:t> </w:t>
      </w:r>
      <w:r>
        <w:rPr>
          <w:w w:val="1"/>
        </w:rPr>
        <w:t> </w:t>
      </w:r>
      <w:r>
        <w:rPr/>
        <w:t>  </w:t>
      </w:r>
      <w:r>
        <w:rPr>
          <w:spacing w:val="-27"/>
        </w:rPr>
        <w:t> </w:t>
      </w:r>
      <w:r>
        <w:rPr>
          <w:spacing w:val="-1"/>
          <w:w w:val="177"/>
        </w:rPr>
        <w:t> </w:t>
      </w:r>
      <w:r>
        <w:rPr>
          <w:w w:val="111"/>
        </w:rPr>
        <w:t> </w:t>
      </w:r>
      <w:r>
        <w:rPr>
          <w:spacing w:val="17"/>
        </w:rPr>
        <w:t> </w:t>
      </w:r>
      <w:r>
        <w:rPr>
          <w:spacing w:val="-1"/>
          <w:w w:val="177"/>
        </w:rPr>
        <w:t> </w:t>
      </w:r>
      <w:r>
        <w:rPr>
          <w:w w:val="166"/>
        </w:rPr>
        <w:t>    </w:t>
      </w:r>
      <w:r>
        <w:rPr>
          <w:w w:val="188"/>
        </w:rPr>
        <w:t> </w:t>
      </w:r>
      <w:r>
        <w:rPr>
          <w:spacing w:val="-1"/>
          <w:w w:val="188"/>
        </w:rPr>
        <w:t> </w:t>
      </w:r>
      <w:r>
        <w:rPr>
          <w:w w:val="155"/>
        </w:rPr>
        <w:t> </w:t>
      </w:r>
      <w:r>
        <w:rPr>
          <w:spacing w:val="-2"/>
          <w:w w:val="155"/>
        </w:rPr>
        <w:t> </w:t>
      </w:r>
      <w:r>
        <w:rPr>
          <w:w w:val="133"/>
        </w:rPr>
        <w:t> </w:t>
      </w:r>
      <w:r>
        <w:rPr>
          <w:spacing w:val="15"/>
        </w:rPr>
        <w:t> </w:t>
      </w:r>
      <w:r>
        <w:rPr>
          <w:w w:val="155"/>
        </w:rPr>
        <w:t>   </w:t>
      </w:r>
      <w:r>
        <w:rPr>
          <w:spacing w:val="17"/>
        </w:rPr>
        <w:t> </w:t>
      </w:r>
      <w:r>
        <w:rPr>
          <w:w w:val="170"/>
        </w:rPr>
        <w:t>  </w:t>
      </w:r>
      <w:r>
        <w:rPr>
          <w:spacing w:val="-2"/>
          <w:w w:val="170"/>
        </w:rPr>
        <w:t> </w:t>
      </w:r>
      <w:r>
        <w:rPr>
          <w:spacing w:val="1"/>
          <w:w w:val="133"/>
        </w:rPr>
        <w:t> </w:t>
      </w:r>
      <w:r>
        <w:rPr>
          <w:spacing w:val="-1"/>
          <w:w w:val="177"/>
        </w:rPr>
        <w:t> </w:t>
      </w:r>
      <w:r>
        <w:rPr>
          <w:w w:val="170"/>
        </w:rPr>
        <w:t>   </w:t>
      </w:r>
      <w:r>
        <w:rPr>
          <w:spacing w:val="17"/>
        </w:rPr>
        <w:t> </w:t>
      </w:r>
      <w:r>
        <w:rPr>
          <w:w w:val="144"/>
        </w:rPr>
        <w:t>   </w:t>
      </w:r>
      <w:r>
        <w:rPr>
          <w:spacing w:val="-1"/>
          <w:w w:val="144"/>
        </w:rPr>
        <w:t> </w:t>
      </w:r>
      <w:r>
        <w:rPr>
          <w:spacing w:val="-1"/>
          <w:w w:val="177"/>
        </w:rPr>
        <w:t> </w:t>
      </w:r>
      <w:r>
        <w:rPr>
          <w:w w:val="148"/>
        </w:rPr>
        <w:t>   </w:t>
      </w:r>
      <w:r>
        <w:rPr>
          <w:spacing w:val="16"/>
        </w:rPr>
        <w:t> </w:t>
      </w:r>
      <w:r>
        <w:rPr>
          <w:w w:val="188"/>
        </w:rPr>
        <w:t> </w:t>
      </w:r>
      <w:r>
        <w:rPr>
          <w:spacing w:val="-1"/>
          <w:w w:val="188"/>
        </w:rPr>
        <w:t> </w:t>
      </w:r>
      <w:r>
        <w:rPr>
          <w:w w:val="111"/>
        </w:rPr>
        <w:t> </w:t>
      </w:r>
    </w:p>
    <w:p>
      <w:pPr>
        <w:pStyle w:val="BodyText"/>
        <w:spacing w:line="360" w:lineRule="auto" w:before="139"/>
        <w:ind w:left="122" w:right="6944"/>
      </w:pPr>
      <w:r>
        <w:rPr>
          <w:spacing w:val="-3"/>
          <w:w w:val="200"/>
        </w:rPr>
        <w:t> </w:t>
      </w:r>
      <w:r>
        <w:rPr>
          <w:spacing w:val="-1"/>
          <w:w w:val="177"/>
        </w:rPr>
        <w:t> </w:t>
      </w:r>
      <w:r>
        <w:rPr>
          <w:w w:val="155"/>
        </w:rPr>
        <w:t> </w:t>
      </w:r>
      <w:r>
        <w:rPr>
          <w:spacing w:val="18"/>
        </w:rPr>
        <w:t> </w:t>
      </w:r>
      <w:r>
        <w:rPr>
          <w:w w:val="188"/>
        </w:rPr>
        <w:t> </w:t>
      </w:r>
      <w:r>
        <w:rPr>
          <w:spacing w:val="-1"/>
          <w:w w:val="188"/>
        </w:rPr>
        <w:t> </w:t>
      </w:r>
      <w:r>
        <w:rPr>
          <w:w w:val="148"/>
        </w:rPr>
        <w:t>  </w:t>
      </w:r>
      <w:r>
        <w:rPr>
          <w:spacing w:val="1"/>
          <w:w w:val="148"/>
        </w:rPr>
        <w:t> </w:t>
      </w:r>
      <w:r>
        <w:rPr>
          <w:spacing w:val="-1"/>
          <w:w w:val="177"/>
        </w:rPr>
        <w:t> </w:t>
      </w:r>
      <w:r>
        <w:rPr>
          <w:w w:val="111"/>
        </w:rPr>
        <w:t> </w:t>
      </w:r>
      <w:r>
        <w:rPr/>
        <w:t> </w:t>
      </w:r>
      <w:r>
        <w:rPr>
          <w:w w:val="1"/>
        </w:rPr>
        <w:t> </w:t>
      </w:r>
      <w:r>
        <w:rPr>
          <w:spacing w:val="17"/>
        </w:rPr>
        <w:t> </w:t>
      </w:r>
      <w:r>
        <w:rPr/>
        <w:t>:                                                                                                                  (</w:t>
      </w:r>
      <w:r>
        <w:rPr>
          <w:i/>
        </w:rPr>
        <w:t>cuadro</w:t>
      </w:r>
      <w:r>
        <w:rPr>
          <w:i/>
          <w:spacing w:val="-5"/>
        </w:rPr>
        <w:t> </w:t>
      </w:r>
      <w:r>
        <w:rPr>
          <w:i/>
        </w:rPr>
        <w:t>4.2</w:t>
      </w:r>
      <w:r>
        <w:rPr/>
        <w:t>).</w:t>
      </w:r>
    </w:p>
    <w:p>
      <w:pPr>
        <w:pStyle w:val="BodyText"/>
        <w:spacing w:line="360" w:lineRule="auto" w:before="6"/>
        <w:ind w:left="122" w:right="123" w:firstLine="707"/>
        <w:jc w:val="both"/>
      </w:pPr>
      <w:r>
        <w:rPr/>
        <w:t>Asimismo, las mediciones alternativas del resultado fiscal se asocian de forma negativa y significativa con la deuda pública: mayor superávit fiscal se relaciona con menor endeudamiento público (</w:t>
      </w:r>
      <w:r>
        <w:rPr>
          <w:i/>
        </w:rPr>
        <w:t>cuadro 4.2</w:t>
      </w:r>
      <w:r>
        <w:rPr/>
        <w:t>).</w:t>
      </w:r>
    </w:p>
    <w:p>
      <w:pPr>
        <w:pStyle w:val="BodyText"/>
        <w:spacing w:before="4"/>
        <w:ind w:right="1"/>
        <w:jc w:val="center"/>
      </w:pPr>
      <w:bookmarkStart w:name="_bookmark116" w:id="159"/>
      <w:bookmarkEnd w:id="159"/>
      <w:r>
        <w:rPr/>
      </w:r>
      <w:r>
        <w:rPr/>
        <w:t>Cuadro 4. 2: Correlaciones de Pearson para mediciones alternativas del resultado fiscal</w:t>
      </w:r>
    </w:p>
    <w:p>
      <w:pPr>
        <w:spacing w:line="142" w:lineRule="exact" w:before="63"/>
        <w:ind w:left="0" w:right="1281" w:firstLine="0"/>
        <w:jc w:val="right"/>
        <w:rPr>
          <w:rFonts w:ascii="Constantia"/>
          <w:sz w:val="16"/>
        </w:rPr>
      </w:pPr>
      <w:r>
        <w:rPr>
          <w:rFonts w:ascii="Constantia"/>
          <w:sz w:val="16"/>
        </w:rPr>
        <w:t>Ln de la</w:t>
      </w:r>
    </w:p>
    <w:p>
      <w:pPr>
        <w:spacing w:after="0" w:line="142" w:lineRule="exact"/>
        <w:jc w:val="right"/>
        <w:rPr>
          <w:rFonts w:ascii="Constantia"/>
          <w:sz w:val="16"/>
        </w:rPr>
        <w:sectPr>
          <w:pgSz w:w="12250" w:h="15850"/>
          <w:pgMar w:header="0" w:footer="1037" w:top="1360" w:bottom="1220" w:left="1580" w:right="1580"/>
        </w:sectPr>
      </w:pPr>
    </w:p>
    <w:p>
      <w:pPr>
        <w:spacing w:line="162" w:lineRule="exact" w:before="0"/>
        <w:ind w:left="3156" w:right="0" w:firstLine="69"/>
        <w:jc w:val="left"/>
        <w:rPr>
          <w:rFonts w:ascii="Constantia"/>
          <w:sz w:val="16"/>
        </w:rPr>
      </w:pPr>
      <w:r>
        <w:rPr>
          <w:rFonts w:ascii="Constantia"/>
          <w:sz w:val="16"/>
        </w:rPr>
        <w:t>Ln de los</w:t>
      </w:r>
    </w:p>
    <w:p>
      <w:pPr>
        <w:spacing w:line="254" w:lineRule="auto" w:before="12"/>
        <w:ind w:left="3131" w:right="0" w:hanging="20"/>
        <w:jc w:val="right"/>
        <w:rPr>
          <w:rFonts w:ascii="Constantia"/>
          <w:sz w:val="16"/>
        </w:rPr>
      </w:pPr>
      <w:r>
        <w:rPr/>
        <w:pict>
          <v:shape style="position:absolute;margin-left:87.043739pt;margin-top:17.592480pt;width:440.95pt;height:48.2pt;mso-position-horizontal-relative:page;mso-position-vertical-relative:paragraph;z-index:1199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030"/>
                    <w:gridCol w:w="1326"/>
                    <w:gridCol w:w="1597"/>
                    <w:gridCol w:w="1078"/>
                    <w:gridCol w:w="1788"/>
                  </w:tblGrid>
                  <w:tr>
                    <w:trPr>
                      <w:trHeight w:val="173" w:hRule="exact"/>
                    </w:trPr>
                    <w:tc>
                      <w:tcPr>
                        <w:tcW w:w="7030" w:type="dxa"/>
                        <w:gridSpan w:val="4"/>
                        <w:tcBorders>
                          <w:bottom w:val="double" w:sz="4" w:space="0" w:color="000000"/>
                        </w:tcBorders>
                      </w:tcPr>
                      <w:p>
                        <w:pPr/>
                      </w:p>
                    </w:tc>
                    <w:tc>
                      <w:tcPr>
                        <w:tcW w:w="1788" w:type="dxa"/>
                        <w:tcBorders>
                          <w:bottom w:val="double" w:sz="4" w:space="0" w:color="000000"/>
                        </w:tcBorders>
                      </w:tcPr>
                      <w:p>
                        <w:pPr>
                          <w:pStyle w:val="TableParagraph"/>
                          <w:spacing w:line="162" w:lineRule="exact"/>
                          <w:ind w:left="226"/>
                          <w:jc w:val="left"/>
                          <w:rPr>
                            <w:rFonts w:ascii="Constantia"/>
                            <w:sz w:val="16"/>
                          </w:rPr>
                        </w:pPr>
                        <w:r>
                          <w:rPr>
                            <w:rFonts w:ascii="Constantia"/>
                            <w:sz w:val="16"/>
                          </w:rPr>
                          <w:t>real</w:t>
                        </w:r>
                      </w:p>
                    </w:tc>
                  </w:tr>
                  <w:tr>
                    <w:trPr>
                      <w:trHeight w:val="279" w:hRule="exact"/>
                    </w:trPr>
                    <w:tc>
                      <w:tcPr>
                        <w:tcW w:w="3030" w:type="dxa"/>
                        <w:tcBorders>
                          <w:top w:val="double" w:sz="4" w:space="0" w:color="000000"/>
                        </w:tcBorders>
                      </w:tcPr>
                      <w:p>
                        <w:pPr>
                          <w:pStyle w:val="TableParagraph"/>
                          <w:spacing w:before="15"/>
                          <w:ind w:left="29"/>
                          <w:jc w:val="left"/>
                          <w:rPr>
                            <w:rFonts w:ascii="Constantia"/>
                            <w:sz w:val="16"/>
                          </w:rPr>
                        </w:pPr>
                        <w:r>
                          <w:rPr>
                            <w:rFonts w:ascii="Constantia"/>
                            <w:sz w:val="16"/>
                          </w:rPr>
                          <w:t>Balance fiscal primario/PIB real</w:t>
                        </w:r>
                      </w:p>
                    </w:tc>
                    <w:tc>
                      <w:tcPr>
                        <w:tcW w:w="1326" w:type="dxa"/>
                        <w:tcBorders>
                          <w:top w:val="double" w:sz="4" w:space="0" w:color="000000"/>
                        </w:tcBorders>
                      </w:tcPr>
                      <w:p>
                        <w:pPr>
                          <w:pStyle w:val="TableParagraph"/>
                          <w:spacing w:before="16"/>
                          <w:ind w:left="301"/>
                          <w:jc w:val="left"/>
                          <w:rPr>
                            <w:rFonts w:ascii="Constantia"/>
                            <w:sz w:val="18"/>
                          </w:rPr>
                        </w:pPr>
                        <w:r>
                          <w:rPr>
                            <w:rFonts w:ascii="Constantia"/>
                            <w:w w:val="105"/>
                            <w:sz w:val="18"/>
                          </w:rPr>
                          <w:t>0.70***</w:t>
                        </w:r>
                      </w:p>
                    </w:tc>
                    <w:tc>
                      <w:tcPr>
                        <w:tcW w:w="1597" w:type="dxa"/>
                        <w:tcBorders>
                          <w:top w:val="double" w:sz="4" w:space="0" w:color="000000"/>
                        </w:tcBorders>
                      </w:tcPr>
                      <w:p>
                        <w:pPr>
                          <w:pStyle w:val="TableParagraph"/>
                          <w:spacing w:before="16"/>
                          <w:ind w:left="422" w:right="464"/>
                          <w:rPr>
                            <w:rFonts w:ascii="Constantia"/>
                            <w:sz w:val="18"/>
                          </w:rPr>
                        </w:pPr>
                        <w:r>
                          <w:rPr>
                            <w:rFonts w:ascii="Constantia"/>
                            <w:w w:val="105"/>
                            <w:sz w:val="18"/>
                          </w:rPr>
                          <w:t>-0.68***</w:t>
                        </w:r>
                      </w:p>
                    </w:tc>
                    <w:tc>
                      <w:tcPr>
                        <w:tcW w:w="1078" w:type="dxa"/>
                        <w:tcBorders>
                          <w:top w:val="double" w:sz="4" w:space="0" w:color="000000"/>
                        </w:tcBorders>
                      </w:tcPr>
                      <w:p>
                        <w:pPr>
                          <w:pStyle w:val="TableParagraph"/>
                          <w:spacing w:before="16"/>
                          <w:ind w:right="175"/>
                          <w:jc w:val="right"/>
                          <w:rPr>
                            <w:rFonts w:ascii="Constantia"/>
                            <w:sz w:val="18"/>
                          </w:rPr>
                        </w:pPr>
                        <w:r>
                          <w:rPr>
                            <w:rFonts w:ascii="Constantia"/>
                            <w:w w:val="105"/>
                            <w:sz w:val="18"/>
                          </w:rPr>
                          <w:t>-0.12</w:t>
                        </w:r>
                      </w:p>
                    </w:tc>
                    <w:tc>
                      <w:tcPr>
                        <w:tcW w:w="1788" w:type="dxa"/>
                        <w:tcBorders>
                          <w:top w:val="double" w:sz="4" w:space="0" w:color="000000"/>
                        </w:tcBorders>
                      </w:tcPr>
                      <w:p>
                        <w:pPr>
                          <w:pStyle w:val="TableParagraph"/>
                          <w:spacing w:before="16"/>
                          <w:ind w:left="187"/>
                          <w:jc w:val="left"/>
                          <w:rPr>
                            <w:rFonts w:ascii="Constantia"/>
                            <w:sz w:val="18"/>
                          </w:rPr>
                        </w:pPr>
                        <w:r>
                          <w:rPr>
                            <w:rFonts w:ascii="Constantia"/>
                            <w:w w:val="105"/>
                            <w:sz w:val="18"/>
                          </w:rPr>
                          <w:t>-0.57***</w:t>
                        </w:r>
                      </w:p>
                    </w:tc>
                  </w:tr>
                  <w:tr>
                    <w:trPr>
                      <w:trHeight w:val="247" w:hRule="exact"/>
                    </w:trPr>
                    <w:tc>
                      <w:tcPr>
                        <w:tcW w:w="3030" w:type="dxa"/>
                      </w:tcPr>
                      <w:p>
                        <w:pPr>
                          <w:pStyle w:val="TableParagraph"/>
                          <w:spacing w:before="8"/>
                          <w:ind w:left="29"/>
                          <w:jc w:val="left"/>
                          <w:rPr>
                            <w:rFonts w:ascii="Constantia" w:hAnsi="Constantia"/>
                            <w:sz w:val="16"/>
                          </w:rPr>
                        </w:pPr>
                        <w:r>
                          <w:rPr>
                            <w:rFonts w:ascii="Constantia" w:hAnsi="Constantia"/>
                            <w:sz w:val="16"/>
                          </w:rPr>
                          <w:t>Balance  fiscal cíclic. Ajustado/ PIB real</w:t>
                        </w:r>
                      </w:p>
                    </w:tc>
                    <w:tc>
                      <w:tcPr>
                        <w:tcW w:w="1326" w:type="dxa"/>
                      </w:tcPr>
                      <w:p>
                        <w:pPr>
                          <w:pStyle w:val="TableParagraph"/>
                          <w:spacing w:line="219" w:lineRule="exact"/>
                          <w:ind w:left="301"/>
                          <w:jc w:val="left"/>
                          <w:rPr>
                            <w:rFonts w:ascii="Constantia"/>
                            <w:sz w:val="18"/>
                          </w:rPr>
                        </w:pPr>
                        <w:r>
                          <w:rPr>
                            <w:rFonts w:ascii="Constantia"/>
                            <w:w w:val="105"/>
                            <w:sz w:val="18"/>
                          </w:rPr>
                          <w:t>0.63***</w:t>
                        </w:r>
                      </w:p>
                    </w:tc>
                    <w:tc>
                      <w:tcPr>
                        <w:tcW w:w="1597" w:type="dxa"/>
                      </w:tcPr>
                      <w:p>
                        <w:pPr>
                          <w:pStyle w:val="TableParagraph"/>
                          <w:spacing w:line="219" w:lineRule="exact"/>
                          <w:ind w:left="422" w:right="464"/>
                          <w:rPr>
                            <w:rFonts w:ascii="Constantia"/>
                            <w:sz w:val="18"/>
                          </w:rPr>
                        </w:pPr>
                        <w:r>
                          <w:rPr>
                            <w:rFonts w:ascii="Constantia"/>
                            <w:w w:val="105"/>
                            <w:sz w:val="18"/>
                          </w:rPr>
                          <w:t>-0.69***</w:t>
                        </w:r>
                      </w:p>
                    </w:tc>
                    <w:tc>
                      <w:tcPr>
                        <w:tcW w:w="1078" w:type="dxa"/>
                      </w:tcPr>
                      <w:p>
                        <w:pPr>
                          <w:pStyle w:val="TableParagraph"/>
                          <w:spacing w:line="219" w:lineRule="exact"/>
                          <w:ind w:right="177"/>
                          <w:jc w:val="right"/>
                          <w:rPr>
                            <w:rFonts w:ascii="Constantia"/>
                            <w:sz w:val="18"/>
                          </w:rPr>
                        </w:pPr>
                        <w:r>
                          <w:rPr>
                            <w:rFonts w:ascii="Constantia"/>
                            <w:w w:val="105"/>
                            <w:sz w:val="18"/>
                          </w:rPr>
                          <w:t>0.01</w:t>
                        </w:r>
                      </w:p>
                    </w:tc>
                    <w:tc>
                      <w:tcPr>
                        <w:tcW w:w="1788" w:type="dxa"/>
                      </w:tcPr>
                      <w:p>
                        <w:pPr>
                          <w:pStyle w:val="TableParagraph"/>
                          <w:spacing w:line="219" w:lineRule="exact"/>
                          <w:ind w:left="187"/>
                          <w:jc w:val="left"/>
                          <w:rPr>
                            <w:rFonts w:ascii="Constantia"/>
                            <w:sz w:val="18"/>
                          </w:rPr>
                        </w:pPr>
                        <w:r>
                          <w:rPr>
                            <w:rFonts w:ascii="Constantia"/>
                            <w:w w:val="105"/>
                            <w:sz w:val="18"/>
                          </w:rPr>
                          <w:t>-0.57***</w:t>
                        </w:r>
                      </w:p>
                    </w:tc>
                  </w:tr>
                  <w:tr>
                    <w:trPr>
                      <w:trHeight w:val="235" w:hRule="exact"/>
                    </w:trPr>
                    <w:tc>
                      <w:tcPr>
                        <w:tcW w:w="3030" w:type="dxa"/>
                        <w:tcBorders>
                          <w:bottom w:val="double" w:sz="4" w:space="0" w:color="000000"/>
                        </w:tcBorders>
                      </w:tcPr>
                      <w:p>
                        <w:pPr>
                          <w:pStyle w:val="TableParagraph"/>
                          <w:spacing w:before="8"/>
                          <w:ind w:left="29"/>
                          <w:jc w:val="left"/>
                          <w:rPr>
                            <w:rFonts w:ascii="Constantia"/>
                            <w:sz w:val="16"/>
                          </w:rPr>
                        </w:pPr>
                        <w:r>
                          <w:rPr>
                            <w:rFonts w:ascii="Constantia"/>
                            <w:sz w:val="16"/>
                          </w:rPr>
                          <w:t>Balance fiscal global/ PIB real</w:t>
                        </w:r>
                      </w:p>
                    </w:tc>
                    <w:tc>
                      <w:tcPr>
                        <w:tcW w:w="1326" w:type="dxa"/>
                        <w:tcBorders>
                          <w:bottom w:val="double" w:sz="4" w:space="0" w:color="000000"/>
                        </w:tcBorders>
                      </w:tcPr>
                      <w:p>
                        <w:pPr>
                          <w:pStyle w:val="TableParagraph"/>
                          <w:spacing w:line="219" w:lineRule="exact"/>
                          <w:ind w:left="311"/>
                          <w:jc w:val="left"/>
                          <w:rPr>
                            <w:rFonts w:ascii="Constantia"/>
                            <w:sz w:val="18"/>
                          </w:rPr>
                        </w:pPr>
                        <w:r>
                          <w:rPr>
                            <w:rFonts w:ascii="Constantia"/>
                            <w:w w:val="105"/>
                            <w:sz w:val="18"/>
                          </w:rPr>
                          <w:t>0.73***</w:t>
                        </w:r>
                      </w:p>
                    </w:tc>
                    <w:tc>
                      <w:tcPr>
                        <w:tcW w:w="1597" w:type="dxa"/>
                        <w:tcBorders>
                          <w:bottom w:val="double" w:sz="4" w:space="0" w:color="000000"/>
                        </w:tcBorders>
                      </w:tcPr>
                      <w:p>
                        <w:pPr>
                          <w:pStyle w:val="TableParagraph"/>
                          <w:spacing w:line="219" w:lineRule="exact"/>
                          <w:ind w:left="422" w:right="417"/>
                          <w:rPr>
                            <w:rFonts w:ascii="Constantia"/>
                            <w:sz w:val="18"/>
                          </w:rPr>
                        </w:pPr>
                        <w:r>
                          <w:rPr>
                            <w:rFonts w:ascii="Constantia"/>
                            <w:w w:val="105"/>
                            <w:sz w:val="18"/>
                          </w:rPr>
                          <w:t>-0.71***</w:t>
                        </w:r>
                      </w:p>
                    </w:tc>
                    <w:tc>
                      <w:tcPr>
                        <w:tcW w:w="1078" w:type="dxa"/>
                        <w:tcBorders>
                          <w:bottom w:val="double" w:sz="4" w:space="0" w:color="000000"/>
                        </w:tcBorders>
                      </w:tcPr>
                      <w:p>
                        <w:pPr>
                          <w:pStyle w:val="TableParagraph"/>
                          <w:spacing w:line="219" w:lineRule="exact"/>
                          <w:ind w:right="175"/>
                          <w:jc w:val="right"/>
                          <w:rPr>
                            <w:rFonts w:ascii="Constantia"/>
                            <w:sz w:val="18"/>
                          </w:rPr>
                        </w:pPr>
                        <w:r>
                          <w:rPr>
                            <w:rFonts w:ascii="Constantia"/>
                            <w:w w:val="105"/>
                            <w:sz w:val="18"/>
                          </w:rPr>
                          <w:t>-0.07</w:t>
                        </w:r>
                      </w:p>
                    </w:tc>
                    <w:tc>
                      <w:tcPr>
                        <w:tcW w:w="1788" w:type="dxa"/>
                        <w:tcBorders>
                          <w:bottom w:val="double" w:sz="4" w:space="0" w:color="000000"/>
                        </w:tcBorders>
                      </w:tcPr>
                      <w:p>
                        <w:pPr>
                          <w:pStyle w:val="TableParagraph"/>
                          <w:spacing w:line="219" w:lineRule="exact"/>
                          <w:ind w:left="177"/>
                          <w:jc w:val="left"/>
                          <w:rPr>
                            <w:rFonts w:ascii="Constantia"/>
                            <w:sz w:val="18"/>
                          </w:rPr>
                        </w:pPr>
                        <w:r>
                          <w:rPr>
                            <w:rFonts w:ascii="Constantia"/>
                            <w:w w:val="105"/>
                            <w:sz w:val="18"/>
                          </w:rPr>
                          <w:t>-0.62***</w:t>
                        </w:r>
                      </w:p>
                    </w:tc>
                  </w:tr>
                </w:tbl>
                <w:p>
                  <w:pPr>
                    <w:pStyle w:val="BodyText"/>
                  </w:pPr>
                </w:p>
              </w:txbxContent>
            </v:textbox>
            <w10:wrap type="none"/>
          </v:shape>
        </w:pict>
      </w:r>
      <w:r>
        <w:rPr>
          <w:rFonts w:ascii="Constantia"/>
          <w:sz w:val="16"/>
        </w:rPr>
        <w:t>precios del</w:t>
      </w:r>
      <w:r>
        <w:rPr>
          <w:rFonts w:ascii="Constantia"/>
          <w:w w:val="99"/>
          <w:sz w:val="16"/>
        </w:rPr>
        <w:t> </w:t>
      </w:r>
      <w:r>
        <w:rPr>
          <w:rFonts w:ascii="Constantia"/>
          <w:sz w:val="16"/>
        </w:rPr>
        <w:t>gas natural</w:t>
      </w:r>
    </w:p>
    <w:p>
      <w:pPr>
        <w:spacing w:line="254" w:lineRule="auto" w:before="65"/>
        <w:ind w:left="243" w:right="-11" w:hanging="10"/>
        <w:jc w:val="left"/>
        <w:rPr>
          <w:rFonts w:ascii="Constantia" w:hAnsi="Constantia"/>
          <w:sz w:val="16"/>
        </w:rPr>
      </w:pPr>
      <w:r>
        <w:rPr/>
        <w:br w:type="column"/>
      </w:r>
      <w:r>
        <w:rPr>
          <w:rFonts w:ascii="Constantia" w:hAnsi="Constantia"/>
          <w:sz w:val="16"/>
        </w:rPr>
        <w:t>Ln de la administr. De ingr. Fisc.</w:t>
      </w:r>
      <w:r>
        <w:rPr>
          <w:rFonts w:ascii="Constantia" w:hAnsi="Constantia"/>
          <w:spacing w:val="-25"/>
          <w:sz w:val="16"/>
        </w:rPr>
        <w:t> </w:t>
      </w:r>
      <w:r>
        <w:rPr>
          <w:rFonts w:ascii="Constantia" w:hAnsi="Constantia"/>
          <w:sz w:val="16"/>
        </w:rPr>
        <w:t>Gasíf.</w:t>
      </w:r>
    </w:p>
    <w:p>
      <w:pPr>
        <w:spacing w:line="162" w:lineRule="exact" w:before="0"/>
        <w:ind w:left="277" w:right="-10" w:firstLine="197"/>
        <w:jc w:val="left"/>
        <w:rPr>
          <w:rFonts w:ascii="Constantia"/>
          <w:sz w:val="16"/>
        </w:rPr>
      </w:pPr>
      <w:r>
        <w:rPr/>
        <w:br w:type="column"/>
      </w:r>
      <w:r>
        <w:rPr>
          <w:rFonts w:ascii="Constantia"/>
          <w:sz w:val="16"/>
        </w:rPr>
        <w:t>Ln de la</w:t>
      </w:r>
    </w:p>
    <w:p>
      <w:pPr>
        <w:spacing w:line="254" w:lineRule="auto" w:before="12"/>
        <w:ind w:left="119" w:right="-10" w:firstLine="158"/>
        <w:jc w:val="left"/>
        <w:rPr>
          <w:rFonts w:ascii="Constantia" w:hAnsi="Constantia"/>
          <w:sz w:val="16"/>
        </w:rPr>
      </w:pPr>
      <w:r>
        <w:rPr>
          <w:rFonts w:ascii="Constantia" w:hAnsi="Constantia"/>
          <w:sz w:val="16"/>
        </w:rPr>
        <w:t>administr. De ingr. Fisc. </w:t>
      </w:r>
      <w:r>
        <w:rPr>
          <w:rFonts w:ascii="Constantia" w:hAnsi="Constantia"/>
          <w:spacing w:val="-3"/>
          <w:sz w:val="16"/>
        </w:rPr>
        <w:t>no</w:t>
      </w:r>
      <w:r>
        <w:rPr>
          <w:rFonts w:ascii="Constantia" w:hAnsi="Constantia"/>
          <w:spacing w:val="-22"/>
          <w:sz w:val="16"/>
        </w:rPr>
        <w:t> </w:t>
      </w:r>
      <w:r>
        <w:rPr>
          <w:rFonts w:ascii="Constantia" w:hAnsi="Constantia"/>
          <w:sz w:val="16"/>
        </w:rPr>
        <w:t>Gasíf.</w:t>
      </w:r>
    </w:p>
    <w:p>
      <w:pPr>
        <w:spacing w:line="254" w:lineRule="auto" w:before="65"/>
        <w:ind w:left="59" w:right="789" w:firstLine="217"/>
        <w:jc w:val="left"/>
        <w:rPr>
          <w:rFonts w:ascii="Constantia" w:hAnsi="Constantia"/>
          <w:sz w:val="16"/>
        </w:rPr>
      </w:pPr>
      <w:r>
        <w:rPr/>
        <w:br w:type="column"/>
      </w:r>
      <w:r>
        <w:rPr>
          <w:rFonts w:ascii="Constantia" w:hAnsi="Constantia"/>
          <w:sz w:val="16"/>
        </w:rPr>
        <w:t>deuda pública/ PIB</w:t>
      </w:r>
    </w:p>
    <w:p>
      <w:pPr>
        <w:spacing w:after="0" w:line="254" w:lineRule="auto"/>
        <w:jc w:val="left"/>
        <w:rPr>
          <w:rFonts w:ascii="Constantia" w:hAnsi="Constantia"/>
          <w:sz w:val="16"/>
        </w:rPr>
        <w:sectPr>
          <w:type w:val="continuous"/>
          <w:pgSz w:w="12250" w:h="15850"/>
          <w:pgMar w:top="1500" w:bottom="280" w:left="1580" w:right="1580"/>
          <w:cols w:num="4" w:equalWidth="0">
            <w:col w:w="3932" w:space="40"/>
            <w:col w:w="1567" w:space="40"/>
            <w:col w:w="1424" w:space="40"/>
            <w:col w:w="2047"/>
          </w:cols>
        </w:sectPr>
      </w:pPr>
    </w:p>
    <w:p>
      <w:pPr>
        <w:pStyle w:val="BodyText"/>
        <w:rPr>
          <w:rFonts w:ascii="Constantia"/>
          <w:sz w:val="20"/>
        </w:rPr>
      </w:pPr>
    </w:p>
    <w:p>
      <w:pPr>
        <w:pStyle w:val="BodyText"/>
        <w:rPr>
          <w:rFonts w:ascii="Constantia"/>
          <w:sz w:val="20"/>
        </w:rPr>
      </w:pPr>
    </w:p>
    <w:p>
      <w:pPr>
        <w:pStyle w:val="BodyText"/>
        <w:spacing w:before="5"/>
        <w:rPr>
          <w:rFonts w:ascii="Constantia"/>
          <w:sz w:val="26"/>
        </w:rPr>
      </w:pPr>
    </w:p>
    <w:p>
      <w:pPr>
        <w:spacing w:before="69"/>
        <w:ind w:left="180" w:right="0" w:firstLine="0"/>
        <w:jc w:val="both"/>
        <w:rPr>
          <w:rFonts w:ascii="Constantia"/>
          <w:sz w:val="15"/>
        </w:rPr>
      </w:pPr>
      <w:r>
        <w:rPr>
          <w:rFonts w:ascii="Constantia"/>
          <w:sz w:val="15"/>
        </w:rPr>
        <w:t>Nivel de significancia: *** al 0.1%. Ln : logaritmo natural</w:t>
      </w:r>
    </w:p>
    <w:p>
      <w:pPr>
        <w:spacing w:line="242" w:lineRule="auto" w:before="3"/>
        <w:ind w:left="122" w:right="115" w:firstLine="0"/>
        <w:jc w:val="left"/>
        <w:rPr>
          <w:sz w:val="18"/>
        </w:rPr>
      </w:pPr>
      <w:r>
        <w:rPr>
          <w:sz w:val="18"/>
        </w:rPr>
        <w:t>Fuente: Elaboración propia con base en información del BCB </w:t>
      </w:r>
      <w:r>
        <w:rPr>
          <w:sz w:val="20"/>
        </w:rPr>
        <w:t>(2012) </w:t>
      </w:r>
      <w:r>
        <w:rPr>
          <w:sz w:val="18"/>
        </w:rPr>
        <w:t>y Yacimientos Petrolíferos Fiscales Bolivianos (2012).</w:t>
      </w:r>
    </w:p>
    <w:p>
      <w:pPr>
        <w:pStyle w:val="BodyText"/>
        <w:spacing w:before="8"/>
        <w:rPr>
          <w:sz w:val="23"/>
        </w:rPr>
      </w:pPr>
    </w:p>
    <w:p>
      <w:pPr>
        <w:pStyle w:val="BodyText"/>
        <w:spacing w:line="360" w:lineRule="auto"/>
        <w:ind w:left="122" w:right="117" w:firstLine="707"/>
        <w:jc w:val="both"/>
      </w:pPr>
      <w:r>
        <w:rPr/>
        <w:t>Finalmente, se procedió a evaluar los principales estadísticos descriptivos para la asignación de ingresos fiscales gasíferos (A) y los no gasíferos (B) en relación con el gasto de capital y el gasto corriente de forma respectiva. De acuerdo con el </w:t>
      </w:r>
      <w:r>
        <w:rPr>
          <w:i/>
        </w:rPr>
        <w:t>cuadro 4.3</w:t>
      </w:r>
      <w:r>
        <w:rPr/>
        <w:t>, se  observa</w:t>
      </w:r>
      <w:r>
        <w:rPr>
          <w:spacing w:val="19"/>
        </w:rPr>
        <w:t> </w:t>
      </w:r>
      <w:r>
        <w:rPr/>
        <w:t>que</w:t>
      </w:r>
      <w:r>
        <w:rPr>
          <w:spacing w:val="19"/>
        </w:rPr>
        <w:t> </w:t>
      </w:r>
      <w:r>
        <w:rPr/>
        <w:t>el</w:t>
      </w:r>
      <w:r>
        <w:rPr>
          <w:spacing w:val="23"/>
        </w:rPr>
        <w:t> </w:t>
      </w:r>
      <w:r>
        <w:rPr/>
        <w:t>gasto</w:t>
      </w:r>
      <w:r>
        <w:rPr>
          <w:spacing w:val="21"/>
        </w:rPr>
        <w:t> </w:t>
      </w:r>
      <w:r>
        <w:rPr/>
        <w:t>de</w:t>
      </w:r>
      <w:r>
        <w:rPr>
          <w:spacing w:val="21"/>
        </w:rPr>
        <w:t> </w:t>
      </w:r>
      <w:r>
        <w:rPr/>
        <w:t>capital,</w:t>
      </w:r>
      <w:r>
        <w:rPr>
          <w:spacing w:val="20"/>
        </w:rPr>
        <w:t> </w:t>
      </w:r>
      <w:r>
        <w:rPr/>
        <w:t>en</w:t>
      </w:r>
      <w:r>
        <w:rPr>
          <w:spacing w:val="20"/>
        </w:rPr>
        <w:t> </w:t>
      </w:r>
      <w:r>
        <w:rPr/>
        <w:t>términos</w:t>
      </w:r>
      <w:r>
        <w:rPr>
          <w:spacing w:val="20"/>
        </w:rPr>
        <w:t> </w:t>
      </w:r>
      <w:r>
        <w:rPr/>
        <w:t>de</w:t>
      </w:r>
      <w:r>
        <w:rPr>
          <w:spacing w:val="19"/>
        </w:rPr>
        <w:t> </w:t>
      </w:r>
      <w:r>
        <w:rPr/>
        <w:t>ingresos</w:t>
      </w:r>
      <w:r>
        <w:rPr>
          <w:spacing w:val="20"/>
        </w:rPr>
        <w:t> </w:t>
      </w:r>
      <w:r>
        <w:rPr/>
        <w:t>fiscales</w:t>
      </w:r>
      <w:r>
        <w:rPr>
          <w:spacing w:val="27"/>
        </w:rPr>
        <w:t> </w:t>
      </w:r>
      <w:r>
        <w:rPr/>
        <w:t>gasíferos,</w:t>
      </w:r>
      <w:r>
        <w:rPr>
          <w:spacing w:val="20"/>
        </w:rPr>
        <w:t> </w:t>
      </w:r>
      <w:r>
        <w:rPr/>
        <w:t>tiene</w:t>
      </w:r>
      <w:r>
        <w:rPr>
          <w:spacing w:val="19"/>
        </w:rPr>
        <w:t> </w:t>
      </w:r>
      <w:r>
        <w:rPr/>
        <w:t>la</w:t>
      </w:r>
      <w:r>
        <w:rPr>
          <w:spacing w:val="19"/>
        </w:rPr>
        <w:t> </w:t>
      </w:r>
      <w:r>
        <w:rPr/>
        <w:t>mayor</w:t>
      </w:r>
    </w:p>
    <w:p>
      <w:pPr>
        <w:pStyle w:val="BodyText"/>
        <w:spacing w:line="350" w:lineRule="auto" w:before="6"/>
        <w:ind w:left="122" w:right="115"/>
        <w:jc w:val="both"/>
      </w:pPr>
      <w:r>
        <w:rPr/>
        <w:t>variabilidad de ambas series, con un sesgo positivo y una distribución apuntada, por tanto, se            rechaza           la            hipótesis           nula            de           normalidad.</w:t>
      </w:r>
      <w:r>
        <w:rPr>
          <w:position w:val="11"/>
          <w:sz w:val="16"/>
        </w:rPr>
        <w:t>66 </w:t>
      </w:r>
      <w:r>
        <w:rPr/>
        <w:t>ingresos fiscales no gasíferos  la variabilidad es menor, presenta un sesgo negativo  y  mayor peso en las colas de la distribución, no se rechaza la hipótesis nula de</w:t>
      </w:r>
      <w:r>
        <w:rPr>
          <w:spacing w:val="-14"/>
        </w:rPr>
        <w:t> </w:t>
      </w:r>
      <w:r>
        <w:rPr/>
        <w:t>normalidad.</w:t>
      </w:r>
    </w:p>
    <w:p>
      <w:pPr>
        <w:pStyle w:val="BodyText"/>
        <w:spacing w:before="6"/>
        <w:rPr>
          <w:sz w:val="25"/>
        </w:rPr>
      </w:pPr>
    </w:p>
    <w:p>
      <w:pPr>
        <w:pStyle w:val="BodyText"/>
        <w:spacing w:line="276" w:lineRule="auto"/>
        <w:ind w:left="3528" w:right="156" w:hanging="3359"/>
      </w:pPr>
      <w:bookmarkStart w:name="_bookmark117" w:id="160"/>
      <w:bookmarkEnd w:id="160"/>
      <w:r>
        <w:rPr/>
      </w:r>
      <w:r>
        <w:rPr/>
        <w:t>Cuadro 4. 3: Estadísticos descriptivos para la asignación de ingresos fiscales gasíferos y no gasíferos, 2003-2012</w:t>
      </w:r>
    </w:p>
    <w:p>
      <w:pPr>
        <w:spacing w:after="0" w:line="276" w:lineRule="auto"/>
        <w:sectPr>
          <w:type w:val="continuous"/>
          <w:pgSz w:w="12250" w:h="15850"/>
          <w:pgMar w:top="1500" w:bottom="280" w:left="1580" w:right="1580"/>
        </w:sectPr>
      </w:pPr>
    </w:p>
    <w:p>
      <w:pPr>
        <w:spacing w:line="266" w:lineRule="auto" w:before="180"/>
        <w:ind w:left="443" w:right="-12" w:hanging="15"/>
        <w:jc w:val="left"/>
        <w:rPr>
          <w:rFonts w:ascii="Constantia" w:hAnsi="Constantia"/>
          <w:b/>
          <w:sz w:val="21"/>
        </w:rPr>
      </w:pPr>
      <w:r>
        <w:rPr>
          <w:rFonts w:ascii="Constantia" w:hAnsi="Constantia"/>
          <w:b/>
          <w:w w:val="70"/>
          <w:sz w:val="21"/>
        </w:rPr>
        <w:t>Asignación</w:t>
      </w:r>
      <w:r>
        <w:rPr>
          <w:rFonts w:ascii="Constantia" w:hAnsi="Constantia"/>
          <w:b/>
          <w:spacing w:val="-22"/>
          <w:w w:val="70"/>
          <w:sz w:val="21"/>
        </w:rPr>
        <w:t> </w:t>
      </w:r>
      <w:r>
        <w:rPr>
          <w:rFonts w:ascii="Constantia" w:hAnsi="Constantia"/>
          <w:b/>
          <w:w w:val="70"/>
          <w:sz w:val="21"/>
        </w:rPr>
        <w:t>de</w:t>
      </w:r>
      <w:r>
        <w:rPr>
          <w:rFonts w:ascii="Constantia" w:hAnsi="Constantia"/>
          <w:b/>
          <w:spacing w:val="-22"/>
          <w:w w:val="70"/>
          <w:sz w:val="21"/>
        </w:rPr>
        <w:t> </w:t>
      </w:r>
      <w:r>
        <w:rPr>
          <w:rFonts w:ascii="Constantia" w:hAnsi="Constantia"/>
          <w:b/>
          <w:spacing w:val="-3"/>
          <w:w w:val="70"/>
          <w:sz w:val="21"/>
        </w:rPr>
        <w:t>ingresos</w:t>
      </w:r>
      <w:r>
        <w:rPr>
          <w:rFonts w:ascii="Constantia" w:hAnsi="Constantia"/>
          <w:b/>
          <w:spacing w:val="-21"/>
          <w:w w:val="70"/>
          <w:sz w:val="21"/>
        </w:rPr>
        <w:t> </w:t>
      </w:r>
      <w:r>
        <w:rPr>
          <w:rFonts w:ascii="Constantia" w:hAnsi="Constantia"/>
          <w:b/>
          <w:w w:val="70"/>
          <w:sz w:val="21"/>
        </w:rPr>
        <w:t>fiscales gasíferos</w:t>
      </w:r>
      <w:r>
        <w:rPr>
          <w:rFonts w:ascii="Constantia" w:hAnsi="Constantia"/>
          <w:b/>
          <w:spacing w:val="-16"/>
          <w:w w:val="70"/>
          <w:sz w:val="21"/>
        </w:rPr>
        <w:t> </w:t>
      </w:r>
      <w:r>
        <w:rPr>
          <w:rFonts w:ascii="Constantia" w:hAnsi="Constantia"/>
          <w:b/>
          <w:w w:val="70"/>
          <w:sz w:val="21"/>
        </w:rPr>
        <w:t>(A)</w:t>
      </w:r>
      <w:r>
        <w:rPr>
          <w:rFonts w:ascii="Constantia" w:hAnsi="Constantia"/>
          <w:b/>
          <w:spacing w:val="-18"/>
          <w:w w:val="70"/>
          <w:sz w:val="21"/>
        </w:rPr>
        <w:t> </w:t>
      </w:r>
      <w:r>
        <w:rPr>
          <w:rFonts w:ascii="Constantia" w:hAnsi="Constantia"/>
          <w:b/>
          <w:w w:val="70"/>
          <w:sz w:val="21"/>
        </w:rPr>
        <w:t>y</w:t>
      </w:r>
      <w:r>
        <w:rPr>
          <w:rFonts w:ascii="Constantia" w:hAnsi="Constantia"/>
          <w:b/>
          <w:spacing w:val="-16"/>
          <w:w w:val="70"/>
          <w:sz w:val="21"/>
        </w:rPr>
        <w:t> </w:t>
      </w:r>
      <w:r>
        <w:rPr>
          <w:rFonts w:ascii="Constantia" w:hAnsi="Constantia"/>
          <w:b/>
          <w:w w:val="70"/>
          <w:sz w:val="21"/>
        </w:rPr>
        <w:t>no</w:t>
      </w:r>
      <w:r>
        <w:rPr>
          <w:rFonts w:ascii="Constantia" w:hAnsi="Constantia"/>
          <w:b/>
          <w:spacing w:val="-18"/>
          <w:w w:val="70"/>
          <w:sz w:val="21"/>
        </w:rPr>
        <w:t> </w:t>
      </w:r>
      <w:r>
        <w:rPr>
          <w:rFonts w:ascii="Constantia" w:hAnsi="Constantia"/>
          <w:b/>
          <w:w w:val="70"/>
          <w:sz w:val="21"/>
        </w:rPr>
        <w:t>gasíferos</w:t>
      </w:r>
      <w:r>
        <w:rPr>
          <w:rFonts w:ascii="Constantia" w:hAnsi="Constantia"/>
          <w:b/>
          <w:spacing w:val="-16"/>
          <w:w w:val="70"/>
          <w:sz w:val="21"/>
        </w:rPr>
        <w:t> </w:t>
      </w:r>
      <w:r>
        <w:rPr>
          <w:rFonts w:ascii="Constantia" w:hAnsi="Constantia"/>
          <w:b/>
          <w:w w:val="70"/>
          <w:sz w:val="21"/>
        </w:rPr>
        <w:t>(B)</w:t>
      </w:r>
    </w:p>
    <w:p>
      <w:pPr>
        <w:tabs>
          <w:tab w:pos="825" w:val="left" w:leader="none"/>
        </w:tabs>
        <w:spacing w:line="342" w:lineRule="exact" w:before="177"/>
        <w:ind w:left="428" w:right="0" w:firstLine="0"/>
        <w:jc w:val="left"/>
        <w:rPr>
          <w:rFonts w:ascii="Constantia" w:hAnsi="Constantia"/>
          <w:b/>
          <w:sz w:val="21"/>
        </w:rPr>
      </w:pPr>
      <w:r>
        <w:rPr/>
        <w:br w:type="column"/>
      </w:r>
      <w:r>
        <w:rPr>
          <w:rFonts w:ascii="Constantia" w:hAnsi="Constantia"/>
          <w:b/>
          <w:w w:val="80"/>
          <w:sz w:val="21"/>
        </w:rPr>
        <w:t>N</w:t>
        <w:tab/>
      </w:r>
      <w:r>
        <w:rPr>
          <w:rFonts w:ascii="Constantia" w:hAnsi="Constantia"/>
          <w:b/>
          <w:w w:val="70"/>
          <w:sz w:val="21"/>
        </w:rPr>
        <w:t>Mínimo Máximo</w:t>
      </w:r>
      <w:r>
        <w:rPr>
          <w:rFonts w:ascii="Constantia" w:hAnsi="Constantia"/>
          <w:b/>
          <w:spacing w:val="35"/>
          <w:w w:val="70"/>
          <w:sz w:val="21"/>
        </w:rPr>
        <w:t> </w:t>
      </w:r>
      <w:r>
        <w:rPr>
          <w:rFonts w:ascii="Constantia" w:hAnsi="Constantia"/>
          <w:b/>
          <w:w w:val="70"/>
          <w:sz w:val="21"/>
        </w:rPr>
        <w:t>Media   </w:t>
      </w:r>
      <w:r>
        <w:rPr>
          <w:rFonts w:ascii="Constantia" w:hAnsi="Constantia"/>
          <w:b/>
          <w:w w:val="70"/>
          <w:position w:val="14"/>
          <w:sz w:val="21"/>
        </w:rPr>
        <w:t>Desv.</w:t>
      </w:r>
      <w:r>
        <w:rPr>
          <w:rFonts w:ascii="Constantia" w:hAnsi="Constantia"/>
          <w:b/>
          <w:spacing w:val="15"/>
          <w:w w:val="70"/>
          <w:position w:val="14"/>
          <w:sz w:val="21"/>
        </w:rPr>
        <w:t> </w:t>
      </w:r>
      <w:r>
        <w:rPr>
          <w:rFonts w:ascii="Constantia" w:hAnsi="Constantia"/>
          <w:b/>
          <w:w w:val="70"/>
          <w:position w:val="14"/>
          <w:sz w:val="21"/>
        </w:rPr>
        <w:t>Est.</w:t>
      </w:r>
    </w:p>
    <w:p>
      <w:pPr>
        <w:spacing w:line="202" w:lineRule="exact" w:before="0"/>
        <w:ind w:left="0" w:right="137" w:firstLine="0"/>
        <w:jc w:val="right"/>
        <w:rPr>
          <w:rFonts w:ascii="Constantia"/>
          <w:b/>
          <w:sz w:val="21"/>
        </w:rPr>
      </w:pPr>
      <w:r>
        <w:rPr>
          <w:rFonts w:ascii="Constantia"/>
          <w:b/>
          <w:w w:val="65"/>
          <w:sz w:val="21"/>
        </w:rPr>
        <w:t>[D.S.]</w:t>
      </w:r>
    </w:p>
    <w:p>
      <w:pPr>
        <w:pStyle w:val="BodyText"/>
        <w:spacing w:before="4"/>
        <w:rPr>
          <w:rFonts w:ascii="Constantia"/>
          <w:b/>
          <w:sz w:val="21"/>
        </w:rPr>
      </w:pPr>
      <w:r>
        <w:rPr/>
        <w:br w:type="column"/>
      </w:r>
      <w:r>
        <w:rPr>
          <w:rFonts w:ascii="Constantia"/>
          <w:b/>
          <w:sz w:val="21"/>
        </w:rPr>
      </w:r>
    </w:p>
    <w:p>
      <w:pPr>
        <w:spacing w:line="139" w:lineRule="auto" w:before="1"/>
        <w:ind w:left="47" w:right="-12" w:firstLine="29"/>
        <w:jc w:val="left"/>
        <w:rPr>
          <w:rFonts w:ascii="Constantia" w:hAnsi="Constantia"/>
          <w:b/>
          <w:sz w:val="21"/>
        </w:rPr>
      </w:pPr>
      <w:r>
        <w:rPr>
          <w:rFonts w:ascii="Constantia" w:hAnsi="Constantia"/>
          <w:b/>
          <w:w w:val="70"/>
          <w:position w:val="14"/>
          <w:sz w:val="21"/>
        </w:rPr>
        <w:t>Variabilidad </w:t>
      </w:r>
      <w:r>
        <w:rPr>
          <w:rFonts w:ascii="Constantia" w:hAnsi="Constantia"/>
          <w:b/>
          <w:spacing w:val="-3"/>
          <w:w w:val="70"/>
          <w:sz w:val="21"/>
        </w:rPr>
        <w:t>Simetría</w:t>
      </w:r>
      <w:r>
        <w:rPr>
          <w:rFonts w:ascii="Constantia" w:hAnsi="Constantia"/>
          <w:b/>
          <w:spacing w:val="-15"/>
          <w:w w:val="70"/>
          <w:sz w:val="21"/>
        </w:rPr>
        <w:t> </w:t>
      </w:r>
      <w:r>
        <w:rPr>
          <w:rFonts w:ascii="Constantia" w:hAnsi="Constantia"/>
          <w:b/>
          <w:w w:val="70"/>
          <w:sz w:val="21"/>
        </w:rPr>
        <w:t>Curtosis </w:t>
      </w:r>
      <w:r>
        <w:rPr>
          <w:rFonts w:ascii="Constantia" w:hAnsi="Constantia"/>
          <w:b/>
          <w:w w:val="65"/>
          <w:sz w:val="21"/>
        </w:rPr>
        <w:t>[D.S./</w:t>
      </w:r>
      <w:r>
        <w:rPr>
          <w:rFonts w:ascii="Constantia" w:hAnsi="Constantia"/>
          <w:b/>
          <w:spacing w:val="30"/>
          <w:w w:val="65"/>
          <w:sz w:val="21"/>
        </w:rPr>
        <w:t> </w:t>
      </w:r>
      <w:r>
        <w:rPr>
          <w:rFonts w:ascii="Constantia" w:hAnsi="Constantia"/>
          <w:b/>
          <w:w w:val="65"/>
          <w:sz w:val="21"/>
        </w:rPr>
        <w:t>Media]</w:t>
      </w:r>
    </w:p>
    <w:p>
      <w:pPr>
        <w:spacing w:line="266" w:lineRule="auto" w:before="32"/>
        <w:ind w:left="150" w:right="312" w:firstLine="0"/>
        <w:jc w:val="center"/>
        <w:rPr>
          <w:rFonts w:ascii="Constantia"/>
          <w:b/>
          <w:sz w:val="21"/>
        </w:rPr>
      </w:pPr>
      <w:r>
        <w:rPr/>
        <w:br w:type="column"/>
      </w:r>
      <w:r>
        <w:rPr>
          <w:rFonts w:ascii="Constantia"/>
          <w:b/>
          <w:w w:val="65"/>
          <w:sz w:val="21"/>
        </w:rPr>
        <w:t>Jarque- </w:t>
      </w:r>
      <w:r>
        <w:rPr>
          <w:rFonts w:ascii="Constantia"/>
          <w:b/>
          <w:w w:val="80"/>
          <w:sz w:val="21"/>
        </w:rPr>
        <w:t>Bera </w:t>
      </w:r>
      <w:r>
        <w:rPr>
          <w:rFonts w:ascii="Constantia"/>
          <w:b/>
          <w:w w:val="65"/>
          <w:sz w:val="21"/>
        </w:rPr>
        <w:t>[Prob.]</w:t>
      </w:r>
    </w:p>
    <w:p>
      <w:pPr>
        <w:spacing w:after="0" w:line="266" w:lineRule="auto"/>
        <w:jc w:val="center"/>
        <w:rPr>
          <w:rFonts w:ascii="Constantia"/>
          <w:sz w:val="21"/>
        </w:rPr>
        <w:sectPr>
          <w:type w:val="continuous"/>
          <w:pgSz w:w="12250" w:h="15850"/>
          <w:pgMar w:top="1500" w:bottom="280" w:left="1580" w:right="1580"/>
          <w:cols w:num="4" w:equalWidth="0">
            <w:col w:w="2493" w:space="109"/>
            <w:col w:w="3294" w:space="40"/>
            <w:col w:w="2152" w:space="40"/>
            <w:col w:w="962"/>
          </w:cols>
        </w:sectPr>
      </w:pPr>
    </w:p>
    <w:tbl>
      <w:tblPr>
        <w:tblW w:w="0" w:type="auto"/>
        <w:jc w:val="left"/>
        <w:tblInd w:w="158" w:type="dxa"/>
        <w:tblBorders>
          <w:top w:val="double" w:sz="5" w:space="0" w:color="000000"/>
          <w:left w:val="double" w:sz="5" w:space="0" w:color="000000"/>
          <w:bottom w:val="double" w:sz="5" w:space="0" w:color="000000"/>
          <w:right w:val="double" w:sz="5" w:space="0" w:color="000000"/>
          <w:insideH w:val="double" w:sz="5" w:space="0" w:color="000000"/>
          <w:insideV w:val="double" w:sz="5" w:space="0" w:color="000000"/>
        </w:tblBorders>
        <w:tblLayout w:type="fixed"/>
        <w:tblCellMar>
          <w:top w:w="0" w:type="dxa"/>
          <w:left w:w="0" w:type="dxa"/>
          <w:bottom w:w="0" w:type="dxa"/>
          <w:right w:w="0" w:type="dxa"/>
        </w:tblCellMar>
        <w:tblLook w:val="01E0"/>
      </w:tblPr>
      <w:tblGrid>
        <w:gridCol w:w="2669"/>
        <w:gridCol w:w="519"/>
        <w:gridCol w:w="632"/>
        <w:gridCol w:w="581"/>
        <w:gridCol w:w="648"/>
        <w:gridCol w:w="776"/>
        <w:gridCol w:w="830"/>
        <w:gridCol w:w="695"/>
        <w:gridCol w:w="540"/>
        <w:gridCol w:w="895"/>
      </w:tblGrid>
      <w:tr>
        <w:trPr>
          <w:trHeight w:val="315" w:hRule="exact"/>
        </w:trPr>
        <w:tc>
          <w:tcPr>
            <w:tcW w:w="2669" w:type="dxa"/>
            <w:tcBorders>
              <w:left w:val="nil"/>
              <w:bottom w:val="nil"/>
              <w:right w:val="nil"/>
            </w:tcBorders>
          </w:tcPr>
          <w:p>
            <w:pPr>
              <w:pStyle w:val="TableParagraph"/>
              <w:spacing w:before="5"/>
              <w:ind w:left="22"/>
              <w:jc w:val="left"/>
              <w:rPr>
                <w:rFonts w:ascii="Constantia" w:hAnsi="Constantia"/>
                <w:sz w:val="21"/>
              </w:rPr>
            </w:pPr>
            <w:r>
              <w:rPr>
                <w:rFonts w:ascii="Constantia" w:hAnsi="Constantia"/>
                <w:w w:val="70"/>
                <w:sz w:val="21"/>
              </w:rPr>
              <w:t>(A) Gasto de Capital/ Ing. Fisc. Gasíf.</w:t>
            </w:r>
          </w:p>
        </w:tc>
        <w:tc>
          <w:tcPr>
            <w:tcW w:w="519" w:type="dxa"/>
            <w:tcBorders>
              <w:left w:val="nil"/>
              <w:bottom w:val="nil"/>
              <w:right w:val="nil"/>
            </w:tcBorders>
          </w:tcPr>
          <w:p>
            <w:pPr>
              <w:pStyle w:val="TableParagraph"/>
              <w:spacing w:before="5"/>
              <w:ind w:left="179"/>
              <w:jc w:val="left"/>
              <w:rPr>
                <w:rFonts w:ascii="Constantia"/>
                <w:sz w:val="21"/>
              </w:rPr>
            </w:pPr>
            <w:r>
              <w:rPr>
                <w:rFonts w:ascii="Constantia"/>
                <w:w w:val="80"/>
                <w:sz w:val="21"/>
              </w:rPr>
              <w:t>39</w:t>
            </w:r>
          </w:p>
        </w:tc>
        <w:tc>
          <w:tcPr>
            <w:tcW w:w="632" w:type="dxa"/>
            <w:tcBorders>
              <w:left w:val="nil"/>
              <w:bottom w:val="nil"/>
              <w:right w:val="nil"/>
            </w:tcBorders>
          </w:tcPr>
          <w:p>
            <w:pPr>
              <w:pStyle w:val="TableParagraph"/>
              <w:spacing w:before="5"/>
              <w:ind w:left="147" w:right="130"/>
              <w:rPr>
                <w:rFonts w:ascii="Constantia"/>
                <w:sz w:val="21"/>
              </w:rPr>
            </w:pPr>
            <w:r>
              <w:rPr>
                <w:rFonts w:ascii="Constantia"/>
                <w:w w:val="80"/>
                <w:sz w:val="21"/>
              </w:rPr>
              <w:t>0.40</w:t>
            </w:r>
          </w:p>
        </w:tc>
        <w:tc>
          <w:tcPr>
            <w:tcW w:w="581" w:type="dxa"/>
            <w:tcBorders>
              <w:left w:val="nil"/>
              <w:bottom w:val="nil"/>
              <w:right w:val="nil"/>
            </w:tcBorders>
          </w:tcPr>
          <w:p>
            <w:pPr>
              <w:pStyle w:val="TableParagraph"/>
              <w:spacing w:before="5"/>
              <w:ind w:left="136" w:right="137"/>
              <w:rPr>
                <w:rFonts w:ascii="Constantia"/>
                <w:sz w:val="21"/>
              </w:rPr>
            </w:pPr>
            <w:r>
              <w:rPr>
                <w:rFonts w:ascii="Constantia"/>
                <w:w w:val="80"/>
                <w:sz w:val="21"/>
              </w:rPr>
              <w:t>1.59</w:t>
            </w:r>
          </w:p>
        </w:tc>
        <w:tc>
          <w:tcPr>
            <w:tcW w:w="648" w:type="dxa"/>
            <w:tcBorders>
              <w:left w:val="nil"/>
              <w:bottom w:val="nil"/>
              <w:right w:val="nil"/>
            </w:tcBorders>
          </w:tcPr>
          <w:p>
            <w:pPr>
              <w:pStyle w:val="TableParagraph"/>
              <w:spacing w:before="5"/>
              <w:ind w:left="178"/>
              <w:jc w:val="left"/>
              <w:rPr>
                <w:rFonts w:ascii="Constantia"/>
                <w:sz w:val="21"/>
              </w:rPr>
            </w:pPr>
            <w:r>
              <w:rPr>
                <w:rFonts w:ascii="Constantia"/>
                <w:w w:val="80"/>
                <w:sz w:val="21"/>
              </w:rPr>
              <w:t>0.67</w:t>
            </w:r>
          </w:p>
        </w:tc>
        <w:tc>
          <w:tcPr>
            <w:tcW w:w="776" w:type="dxa"/>
            <w:tcBorders>
              <w:left w:val="nil"/>
              <w:bottom w:val="nil"/>
              <w:right w:val="nil"/>
            </w:tcBorders>
          </w:tcPr>
          <w:p>
            <w:pPr>
              <w:pStyle w:val="TableParagraph"/>
              <w:spacing w:before="5"/>
              <w:ind w:left="212"/>
              <w:jc w:val="left"/>
              <w:rPr>
                <w:rFonts w:ascii="Constantia"/>
                <w:sz w:val="21"/>
              </w:rPr>
            </w:pPr>
            <w:r>
              <w:rPr>
                <w:rFonts w:ascii="Constantia"/>
                <w:w w:val="80"/>
                <w:sz w:val="21"/>
              </w:rPr>
              <w:t>0.32</w:t>
            </w:r>
          </w:p>
        </w:tc>
        <w:tc>
          <w:tcPr>
            <w:tcW w:w="830" w:type="dxa"/>
            <w:tcBorders>
              <w:left w:val="nil"/>
              <w:bottom w:val="nil"/>
              <w:right w:val="nil"/>
            </w:tcBorders>
          </w:tcPr>
          <w:p>
            <w:pPr>
              <w:pStyle w:val="TableParagraph"/>
              <w:spacing w:before="5"/>
              <w:ind w:left="268" w:right="203"/>
              <w:rPr>
                <w:rFonts w:ascii="Constantia"/>
                <w:sz w:val="21"/>
              </w:rPr>
            </w:pPr>
            <w:r>
              <w:rPr>
                <w:rFonts w:ascii="Constantia"/>
                <w:w w:val="80"/>
                <w:sz w:val="21"/>
              </w:rPr>
              <w:t>48%</w:t>
            </w:r>
          </w:p>
        </w:tc>
        <w:tc>
          <w:tcPr>
            <w:tcW w:w="695" w:type="dxa"/>
            <w:tcBorders>
              <w:left w:val="nil"/>
              <w:bottom w:val="nil"/>
              <w:right w:val="nil"/>
            </w:tcBorders>
          </w:tcPr>
          <w:p>
            <w:pPr>
              <w:pStyle w:val="TableParagraph"/>
              <w:spacing w:before="5"/>
              <w:ind w:left="149" w:right="98"/>
              <w:rPr>
                <w:rFonts w:ascii="Constantia"/>
                <w:sz w:val="21"/>
              </w:rPr>
            </w:pPr>
            <w:r>
              <w:rPr>
                <w:rFonts w:ascii="Constantia"/>
                <w:w w:val="80"/>
                <w:sz w:val="21"/>
              </w:rPr>
              <w:t>1.68</w:t>
            </w:r>
          </w:p>
        </w:tc>
        <w:tc>
          <w:tcPr>
            <w:tcW w:w="540" w:type="dxa"/>
            <w:tcBorders>
              <w:left w:val="nil"/>
              <w:bottom w:val="nil"/>
              <w:right w:val="nil"/>
            </w:tcBorders>
          </w:tcPr>
          <w:p>
            <w:pPr>
              <w:pStyle w:val="TableParagraph"/>
              <w:spacing w:before="5"/>
              <w:ind w:left="102" w:right="95"/>
              <w:rPr>
                <w:rFonts w:ascii="Constantia"/>
                <w:sz w:val="21"/>
              </w:rPr>
            </w:pPr>
            <w:r>
              <w:rPr>
                <w:rFonts w:ascii="Constantia"/>
                <w:w w:val="80"/>
                <w:sz w:val="21"/>
              </w:rPr>
              <w:t>4.74</w:t>
            </w:r>
          </w:p>
        </w:tc>
        <w:tc>
          <w:tcPr>
            <w:tcW w:w="895" w:type="dxa"/>
            <w:tcBorders>
              <w:left w:val="nil"/>
              <w:bottom w:val="nil"/>
              <w:right w:val="nil"/>
            </w:tcBorders>
          </w:tcPr>
          <w:p>
            <w:pPr>
              <w:pStyle w:val="TableParagraph"/>
              <w:spacing w:before="5"/>
              <w:ind w:left="138"/>
              <w:jc w:val="left"/>
              <w:rPr>
                <w:rFonts w:ascii="Constantia"/>
                <w:sz w:val="21"/>
              </w:rPr>
            </w:pPr>
            <w:r>
              <w:rPr>
                <w:rFonts w:ascii="Constantia"/>
                <w:w w:val="65"/>
                <w:sz w:val="21"/>
              </w:rPr>
              <w:t>23.21 [0.00]</w:t>
            </w:r>
          </w:p>
        </w:tc>
      </w:tr>
      <w:tr>
        <w:trPr>
          <w:trHeight w:val="276" w:hRule="exact"/>
        </w:trPr>
        <w:tc>
          <w:tcPr>
            <w:tcW w:w="2669" w:type="dxa"/>
            <w:tcBorders>
              <w:top w:val="nil"/>
              <w:left w:val="nil"/>
              <w:right w:val="nil"/>
            </w:tcBorders>
          </w:tcPr>
          <w:p>
            <w:pPr>
              <w:pStyle w:val="TableParagraph"/>
              <w:spacing w:line="236" w:lineRule="exact"/>
              <w:ind w:left="22"/>
              <w:jc w:val="left"/>
              <w:rPr>
                <w:rFonts w:ascii="Constantia" w:hAnsi="Constantia"/>
                <w:sz w:val="21"/>
              </w:rPr>
            </w:pPr>
            <w:r>
              <w:rPr>
                <w:rFonts w:ascii="Constantia" w:hAnsi="Constantia"/>
                <w:w w:val="70"/>
                <w:sz w:val="21"/>
              </w:rPr>
              <w:t>(B) Gasto corriente/ Ingr. Fisc. No Gasíf.</w:t>
            </w:r>
          </w:p>
        </w:tc>
        <w:tc>
          <w:tcPr>
            <w:tcW w:w="519" w:type="dxa"/>
            <w:tcBorders>
              <w:top w:val="nil"/>
              <w:left w:val="nil"/>
              <w:right w:val="nil"/>
            </w:tcBorders>
          </w:tcPr>
          <w:p>
            <w:pPr>
              <w:pStyle w:val="TableParagraph"/>
              <w:spacing w:line="236" w:lineRule="exact"/>
              <w:ind w:left="179"/>
              <w:jc w:val="left"/>
              <w:rPr>
                <w:rFonts w:ascii="Constantia"/>
                <w:sz w:val="21"/>
              </w:rPr>
            </w:pPr>
            <w:r>
              <w:rPr>
                <w:rFonts w:ascii="Constantia"/>
                <w:w w:val="80"/>
                <w:sz w:val="21"/>
              </w:rPr>
              <w:t>39</w:t>
            </w:r>
          </w:p>
        </w:tc>
        <w:tc>
          <w:tcPr>
            <w:tcW w:w="632" w:type="dxa"/>
            <w:tcBorders>
              <w:top w:val="nil"/>
              <w:left w:val="nil"/>
              <w:right w:val="nil"/>
            </w:tcBorders>
          </w:tcPr>
          <w:p>
            <w:pPr>
              <w:pStyle w:val="TableParagraph"/>
              <w:spacing w:line="248" w:lineRule="exact"/>
              <w:ind w:left="140" w:right="130"/>
              <w:rPr>
                <w:rFonts w:ascii="Constantia"/>
                <w:sz w:val="21"/>
              </w:rPr>
            </w:pPr>
            <w:r>
              <w:rPr>
                <w:rFonts w:ascii="Constantia"/>
                <w:w w:val="80"/>
                <w:sz w:val="21"/>
              </w:rPr>
              <w:t>0.79</w:t>
            </w:r>
          </w:p>
        </w:tc>
        <w:tc>
          <w:tcPr>
            <w:tcW w:w="581" w:type="dxa"/>
            <w:tcBorders>
              <w:top w:val="nil"/>
              <w:left w:val="nil"/>
              <w:right w:val="nil"/>
            </w:tcBorders>
          </w:tcPr>
          <w:p>
            <w:pPr>
              <w:pStyle w:val="TableParagraph"/>
              <w:spacing w:line="248" w:lineRule="exact"/>
              <w:ind w:left="134" w:right="137"/>
              <w:rPr>
                <w:rFonts w:ascii="Constantia"/>
                <w:sz w:val="21"/>
              </w:rPr>
            </w:pPr>
            <w:r>
              <w:rPr>
                <w:rFonts w:ascii="Constantia"/>
                <w:w w:val="80"/>
                <w:sz w:val="21"/>
              </w:rPr>
              <w:t>1.45</w:t>
            </w:r>
          </w:p>
        </w:tc>
        <w:tc>
          <w:tcPr>
            <w:tcW w:w="648" w:type="dxa"/>
            <w:tcBorders>
              <w:top w:val="nil"/>
              <w:left w:val="nil"/>
              <w:right w:val="nil"/>
            </w:tcBorders>
          </w:tcPr>
          <w:p>
            <w:pPr>
              <w:pStyle w:val="TableParagraph"/>
              <w:spacing w:line="248" w:lineRule="exact"/>
              <w:ind w:left="208"/>
              <w:jc w:val="left"/>
              <w:rPr>
                <w:rFonts w:ascii="Constantia"/>
                <w:sz w:val="21"/>
              </w:rPr>
            </w:pPr>
            <w:r>
              <w:rPr>
                <w:rFonts w:ascii="Constantia"/>
                <w:w w:val="80"/>
                <w:sz w:val="21"/>
              </w:rPr>
              <w:t>1.12</w:t>
            </w:r>
          </w:p>
        </w:tc>
        <w:tc>
          <w:tcPr>
            <w:tcW w:w="776" w:type="dxa"/>
            <w:tcBorders>
              <w:top w:val="nil"/>
              <w:left w:val="nil"/>
              <w:right w:val="nil"/>
            </w:tcBorders>
          </w:tcPr>
          <w:p>
            <w:pPr>
              <w:pStyle w:val="TableParagraph"/>
              <w:spacing w:line="248" w:lineRule="exact"/>
              <w:ind w:left="220"/>
              <w:jc w:val="left"/>
              <w:rPr>
                <w:rFonts w:ascii="Constantia"/>
                <w:sz w:val="21"/>
              </w:rPr>
            </w:pPr>
            <w:r>
              <w:rPr>
                <w:rFonts w:ascii="Constantia"/>
                <w:w w:val="80"/>
                <w:sz w:val="21"/>
              </w:rPr>
              <w:t>0.16</w:t>
            </w:r>
          </w:p>
        </w:tc>
        <w:tc>
          <w:tcPr>
            <w:tcW w:w="830" w:type="dxa"/>
            <w:tcBorders>
              <w:top w:val="nil"/>
              <w:left w:val="nil"/>
              <w:right w:val="nil"/>
            </w:tcBorders>
          </w:tcPr>
          <w:p>
            <w:pPr>
              <w:pStyle w:val="TableParagraph"/>
              <w:spacing w:line="248" w:lineRule="exact"/>
              <w:ind w:left="268" w:right="203"/>
              <w:rPr>
                <w:rFonts w:ascii="Constantia"/>
                <w:sz w:val="21"/>
              </w:rPr>
            </w:pPr>
            <w:r>
              <w:rPr>
                <w:rFonts w:ascii="Constantia"/>
                <w:w w:val="80"/>
                <w:sz w:val="21"/>
              </w:rPr>
              <w:t>14%</w:t>
            </w:r>
          </w:p>
        </w:tc>
        <w:tc>
          <w:tcPr>
            <w:tcW w:w="695" w:type="dxa"/>
            <w:tcBorders>
              <w:top w:val="nil"/>
              <w:left w:val="nil"/>
              <w:right w:val="nil"/>
            </w:tcBorders>
          </w:tcPr>
          <w:p>
            <w:pPr>
              <w:pStyle w:val="TableParagraph"/>
              <w:spacing w:line="248" w:lineRule="exact"/>
              <w:ind w:left="200" w:right="98"/>
              <w:rPr>
                <w:rFonts w:ascii="Constantia"/>
                <w:sz w:val="21"/>
              </w:rPr>
            </w:pPr>
            <w:r>
              <w:rPr>
                <w:rFonts w:ascii="Constantia"/>
                <w:w w:val="80"/>
                <w:sz w:val="21"/>
              </w:rPr>
              <w:t>-0.25</w:t>
            </w:r>
          </w:p>
        </w:tc>
        <w:tc>
          <w:tcPr>
            <w:tcW w:w="540" w:type="dxa"/>
            <w:tcBorders>
              <w:top w:val="nil"/>
              <w:left w:val="nil"/>
              <w:right w:val="nil"/>
            </w:tcBorders>
          </w:tcPr>
          <w:p>
            <w:pPr>
              <w:pStyle w:val="TableParagraph"/>
              <w:spacing w:line="248" w:lineRule="exact"/>
              <w:ind w:left="102" w:right="94"/>
              <w:rPr>
                <w:rFonts w:ascii="Constantia"/>
                <w:sz w:val="21"/>
              </w:rPr>
            </w:pPr>
            <w:r>
              <w:rPr>
                <w:rFonts w:ascii="Constantia"/>
                <w:w w:val="80"/>
                <w:sz w:val="21"/>
              </w:rPr>
              <w:t>2.32</w:t>
            </w:r>
          </w:p>
        </w:tc>
        <w:tc>
          <w:tcPr>
            <w:tcW w:w="895" w:type="dxa"/>
            <w:tcBorders>
              <w:top w:val="nil"/>
              <w:left w:val="nil"/>
              <w:right w:val="nil"/>
            </w:tcBorders>
          </w:tcPr>
          <w:p>
            <w:pPr>
              <w:pStyle w:val="TableParagraph"/>
              <w:spacing w:line="248" w:lineRule="exact"/>
              <w:ind w:left="183"/>
              <w:jc w:val="left"/>
              <w:rPr>
                <w:rFonts w:ascii="Constantia"/>
                <w:sz w:val="21"/>
              </w:rPr>
            </w:pPr>
            <w:r>
              <w:rPr>
                <w:rFonts w:ascii="Constantia"/>
                <w:w w:val="70"/>
                <w:sz w:val="21"/>
              </w:rPr>
              <w:t>1.17 [0.56]</w:t>
            </w:r>
          </w:p>
        </w:tc>
      </w:tr>
    </w:tbl>
    <w:p>
      <w:pPr>
        <w:spacing w:line="242" w:lineRule="auto" w:before="91"/>
        <w:ind w:left="122" w:right="115" w:firstLine="0"/>
        <w:jc w:val="left"/>
        <w:rPr>
          <w:sz w:val="18"/>
        </w:rPr>
      </w:pPr>
      <w:r>
        <w:rPr>
          <w:sz w:val="18"/>
        </w:rPr>
        <w:t>Fuente: Elaboración propia con base en información del BCB </w:t>
      </w:r>
      <w:r>
        <w:rPr>
          <w:sz w:val="20"/>
        </w:rPr>
        <w:t>(2012) </w:t>
      </w:r>
      <w:r>
        <w:rPr>
          <w:sz w:val="18"/>
        </w:rPr>
        <w:t>y Yacimientos Petrolíferos Fiscales Bolivianos (2012).</w:t>
      </w:r>
    </w:p>
    <w:p>
      <w:pPr>
        <w:pStyle w:val="BodyText"/>
        <w:rPr>
          <w:sz w:val="20"/>
        </w:rPr>
      </w:pPr>
    </w:p>
    <w:p>
      <w:pPr>
        <w:pStyle w:val="BodyText"/>
        <w:spacing w:before="10"/>
        <w:rPr>
          <w:sz w:val="12"/>
        </w:rPr>
      </w:pPr>
      <w:r>
        <w:rPr/>
        <w:pict>
          <v:line style="position:absolute;mso-position-horizontal-relative:page;mso-position-vertical-relative:paragraph;z-index:11968;mso-wrap-distance-left:0;mso-wrap-distance-right:0" from="85.103996pt,9.670513pt" to="229.123996pt,9.670513pt" stroked="true" strokeweight=".60004pt" strokecolor="#000000">
            <w10:wrap type="topAndBottom"/>
          </v:line>
        </w:pict>
      </w:r>
    </w:p>
    <w:p>
      <w:pPr>
        <w:spacing w:before="50"/>
        <w:ind w:left="122" w:right="115" w:firstLine="0"/>
        <w:jc w:val="left"/>
        <w:rPr>
          <w:sz w:val="20"/>
        </w:rPr>
      </w:pPr>
      <w:r>
        <w:rPr>
          <w:position w:val="9"/>
          <w:sz w:val="13"/>
        </w:rPr>
        <w:t>66 </w:t>
      </w:r>
      <w:r>
        <w:rPr>
          <w:sz w:val="20"/>
        </w:rPr>
        <w:t>Las implicaciones de rechazar la hipótesis nula de normalidad se fundamentan en la alta volatilidad de la serie, lo cual refleja valores extremos como resultado de la libre discrecionalidad en la política fiscal.</w:t>
      </w:r>
    </w:p>
    <w:p>
      <w:pPr>
        <w:spacing w:after="0"/>
        <w:jc w:val="left"/>
        <w:rPr>
          <w:sz w:val="20"/>
        </w:rPr>
        <w:sectPr>
          <w:type w:val="continuous"/>
          <w:pgSz w:w="12250" w:h="15850"/>
          <w:pgMar w:top="1500" w:bottom="280" w:left="1580" w:right="1580"/>
        </w:sectPr>
      </w:pPr>
    </w:p>
    <w:p>
      <w:pPr>
        <w:pStyle w:val="BodyText"/>
        <w:tabs>
          <w:tab w:pos="6252" w:val="left" w:leader="none"/>
        </w:tabs>
        <w:spacing w:before="50"/>
        <w:ind w:left="810" w:right="127"/>
      </w:pPr>
      <w:r>
        <w:rPr/>
        <w:t>Los   resultados   del   </w:t>
      </w:r>
      <w:r>
        <w:rPr>
          <w:i/>
        </w:rPr>
        <w:t>cuadro</w:t>
      </w:r>
      <w:r>
        <w:rPr>
          <w:i/>
          <w:spacing w:val="24"/>
        </w:rPr>
        <w:t> </w:t>
      </w:r>
      <w:r>
        <w:rPr>
          <w:i/>
        </w:rPr>
        <w:t>4.3  </w:t>
      </w:r>
      <w:r>
        <w:rPr>
          <w:i/>
          <w:spacing w:val="-24"/>
        </w:rPr>
        <w:t> </w:t>
      </w:r>
      <w:r>
        <w:rPr>
          <w:spacing w:val="-1"/>
          <w:w w:val="177"/>
        </w:rPr>
        <w:t> </w:t>
      </w:r>
      <w:r>
        <w:rPr>
          <w:w w:val="177"/>
        </w:rPr>
        <w:t>     </w:t>
      </w:r>
      <w:r>
        <w:rPr>
          <w:spacing w:val="-2"/>
          <w:w w:val="177"/>
        </w:rPr>
        <w:t> </w:t>
      </w:r>
      <w:r>
        <w:rPr>
          <w:w w:val="144"/>
        </w:rPr>
        <w:t> </w:t>
      </w:r>
      <w:r>
        <w:rPr>
          <w:spacing w:val="1"/>
          <w:w w:val="144"/>
        </w:rPr>
        <w:t> </w:t>
      </w:r>
      <w:r>
        <w:rPr>
          <w:w w:val="177"/>
        </w:rPr>
        <w:t>   </w:t>
      </w:r>
      <w:r>
        <w:rPr/>
        <w:t>  </w:t>
      </w:r>
      <w:r>
        <w:rPr>
          <w:spacing w:val="-23"/>
        </w:rPr>
        <w:t> </w:t>
      </w:r>
      <w:r>
        <w:rPr>
          <w:w w:val="192"/>
        </w:rPr>
        <w:t>   </w:t>
      </w:r>
      <w:r>
        <w:rPr/>
        <w:tab/>
      </w:r>
      <w:r>
        <w:rPr>
          <w:w w:val="144"/>
        </w:rPr>
        <w:t>    </w:t>
      </w:r>
      <w:r>
        <w:rPr>
          <w:w w:val="142"/>
        </w:rPr>
        <w:t>    </w:t>
      </w:r>
      <w:r>
        <w:rPr>
          <w:spacing w:val="-2"/>
          <w:w w:val="142"/>
        </w:rPr>
        <w:t> </w:t>
      </w:r>
      <w:r>
        <w:rPr>
          <w:spacing w:val="-1"/>
          <w:w w:val="177"/>
        </w:rPr>
        <w:t> </w:t>
      </w:r>
      <w:r>
        <w:rPr>
          <w:w w:val="170"/>
        </w:rPr>
        <w:t>   </w:t>
      </w:r>
      <w:r>
        <w:rPr/>
        <w:t> </w:t>
      </w:r>
      <w:r>
        <w:rPr>
          <w:w w:val="1"/>
        </w:rPr>
        <w:t> </w:t>
      </w:r>
      <w:r>
        <w:rPr/>
        <w:t>  </w:t>
      </w:r>
      <w:r>
        <w:rPr>
          <w:spacing w:val="-24"/>
        </w:rPr>
        <w:t> </w:t>
      </w:r>
      <w:r>
        <w:rPr>
          <w:spacing w:val="2"/>
          <w:w w:val="200"/>
        </w:rPr>
        <w:t> </w:t>
      </w:r>
      <w:r>
        <w:rPr>
          <w:spacing w:val="-1"/>
          <w:w w:val="177"/>
        </w:rPr>
        <w:t> </w:t>
      </w:r>
      <w:r>
        <w:rPr>
          <w:spacing w:val="2"/>
          <w:w w:val="200"/>
        </w:rPr>
        <w:t> </w:t>
      </w:r>
      <w:r>
        <w:rPr>
          <w:w w:val="177"/>
        </w:rPr>
        <w:t> </w:t>
      </w:r>
      <w:r>
        <w:rPr/>
        <w:t>  </w:t>
      </w:r>
      <w:r>
        <w:rPr>
          <w:spacing w:val="-26"/>
        </w:rPr>
        <w:t> </w:t>
      </w:r>
      <w:r>
        <w:rPr>
          <w:w w:val="144"/>
        </w:rPr>
        <w:t>  </w:t>
      </w:r>
      <w:r>
        <w:rPr/>
        <w:t>  </w:t>
      </w:r>
      <w:r>
        <w:rPr>
          <w:spacing w:val="-25"/>
        </w:rPr>
        <w:t> </w:t>
      </w:r>
      <w:r>
        <w:rPr>
          <w:spacing w:val="-1"/>
          <w:w w:val="177"/>
        </w:rPr>
        <w:t> </w:t>
      </w:r>
      <w:r>
        <w:rPr>
          <w:w w:val="111"/>
        </w:rPr>
        <w:t>  </w:t>
      </w:r>
      <w:r>
        <w:rPr>
          <w:w w:val="177"/>
        </w:rPr>
        <w:t> </w:t>
      </w:r>
    </w:p>
    <w:p>
      <w:pPr>
        <w:pStyle w:val="BodyText"/>
        <w:spacing w:line="360" w:lineRule="auto" w:before="137"/>
        <w:ind w:left="102" w:right="127"/>
      </w:pPr>
      <w:r>
        <w:rPr>
          <w:w w:val="146"/>
        </w:rPr>
        <w:t>       </w:t>
      </w:r>
      <w:r>
        <w:rPr>
          <w:w w:val="172"/>
        </w:rPr>
        <w:t>    </w:t>
      </w:r>
      <w:r>
        <w:rPr>
          <w:spacing w:val="28"/>
        </w:rPr>
        <w:t> </w:t>
      </w:r>
      <w:r>
        <w:rPr>
          <w:w w:val="188"/>
        </w:rPr>
        <w:t> </w:t>
      </w:r>
      <w:r>
        <w:rPr>
          <w:spacing w:val="-1"/>
          <w:w w:val="188"/>
        </w:rPr>
        <w:t> </w:t>
      </w:r>
      <w:r>
        <w:rPr>
          <w:w w:val="111"/>
        </w:rPr>
        <w:t> </w:t>
      </w:r>
      <w:r>
        <w:rPr>
          <w:spacing w:val="29"/>
        </w:rPr>
        <w:t> </w:t>
      </w:r>
      <w:r>
        <w:rPr>
          <w:spacing w:val="-3"/>
          <w:w w:val="200"/>
        </w:rPr>
        <w:t> </w:t>
      </w:r>
      <w:r>
        <w:rPr>
          <w:spacing w:val="-1"/>
          <w:w w:val="177"/>
        </w:rPr>
        <w:t> </w:t>
      </w:r>
      <w:r>
        <w:rPr>
          <w:w w:val="155"/>
        </w:rPr>
        <w:t>   </w:t>
      </w:r>
      <w:r>
        <w:rPr>
          <w:spacing w:val="29"/>
        </w:rPr>
        <w:t> </w:t>
      </w:r>
      <w:r>
        <w:rPr>
          <w:w w:val="188"/>
        </w:rPr>
        <w:t>  </w:t>
      </w:r>
      <w:r>
        <w:rPr>
          <w:spacing w:val="27"/>
        </w:rPr>
        <w:t> </w:t>
      </w:r>
      <w:r>
        <w:rPr>
          <w:spacing w:val="-1"/>
          <w:w w:val="177"/>
        </w:rPr>
        <w:t>  </w:t>
      </w:r>
      <w:r>
        <w:rPr>
          <w:w w:val="140"/>
        </w:rPr>
        <w:t>   </w:t>
      </w:r>
      <w:r>
        <w:rPr>
          <w:spacing w:val="-1"/>
          <w:w w:val="177"/>
        </w:rPr>
        <w:t> </w:t>
      </w:r>
      <w:r>
        <w:rPr>
          <w:w w:val="111"/>
        </w:rPr>
        <w:t> </w:t>
      </w:r>
      <w:r>
        <w:rPr/>
        <w:t> </w:t>
      </w:r>
      <w:r>
        <w:rPr>
          <w:w w:val="1"/>
        </w:rPr>
        <w:t> </w:t>
      </w:r>
      <w:r>
        <w:rPr>
          <w:spacing w:val="29"/>
        </w:rPr>
        <w:t> </w:t>
      </w:r>
      <w:r>
        <w:rPr>
          <w:w w:val="188"/>
        </w:rPr>
        <w:t> </w:t>
      </w:r>
      <w:r>
        <w:rPr>
          <w:spacing w:val="-1"/>
          <w:w w:val="188"/>
        </w:rPr>
        <w:t> </w:t>
      </w:r>
      <w:r>
        <w:rPr>
          <w:w w:val="155"/>
        </w:rPr>
        <w:t>  </w:t>
      </w:r>
      <w:r>
        <w:rPr>
          <w:spacing w:val="26"/>
        </w:rPr>
        <w:t> </w:t>
      </w:r>
      <w:r>
        <w:rPr>
          <w:w w:val="144"/>
        </w:rPr>
        <w:t>  </w:t>
      </w:r>
      <w:r>
        <w:rPr>
          <w:spacing w:val="28"/>
        </w:rPr>
        <w:t> </w:t>
      </w:r>
      <w:r>
        <w:rPr>
          <w:spacing w:val="1"/>
          <w:w w:val="133"/>
        </w:rPr>
        <w:t> </w:t>
      </w:r>
      <w:r>
        <w:rPr>
          <w:spacing w:val="-1"/>
          <w:w w:val="177"/>
        </w:rPr>
        <w:t>  </w:t>
      </w:r>
      <w:r>
        <w:rPr>
          <w:w w:val="111"/>
        </w:rPr>
        <w:t>  </w:t>
      </w:r>
      <w:r>
        <w:rPr>
          <w:spacing w:val="1"/>
          <w:w w:val="177"/>
        </w:rPr>
        <w:t> </w:t>
      </w:r>
      <w:r>
        <w:rPr>
          <w:spacing w:val="-1"/>
          <w:w w:val="177"/>
        </w:rPr>
        <w:t>  </w:t>
      </w:r>
      <w:r>
        <w:rPr>
          <w:spacing w:val="2"/>
          <w:w w:val="111"/>
        </w:rPr>
        <w:t> </w:t>
      </w:r>
      <w:r>
        <w:rPr>
          <w:w w:val="200"/>
        </w:rPr>
        <w:t>  </w:t>
      </w:r>
      <w:r>
        <w:rPr>
          <w:spacing w:val="28"/>
        </w:rPr>
        <w:t> </w:t>
      </w:r>
      <w:r>
        <w:rPr>
          <w:w w:val="188"/>
        </w:rPr>
        <w:t>  </w:t>
      </w:r>
      <w:r>
        <w:rPr>
          <w:spacing w:val="27"/>
        </w:rPr>
        <w:t> </w:t>
      </w:r>
      <w:r>
        <w:rPr>
          <w:spacing w:val="-1"/>
          <w:w w:val="177"/>
        </w:rPr>
        <w:t> </w:t>
      </w:r>
      <w:r>
        <w:rPr>
          <w:w w:val="144"/>
        </w:rPr>
        <w:t>    </w:t>
      </w:r>
      <w:r>
        <w:rPr>
          <w:spacing w:val="-1"/>
          <w:w w:val="177"/>
        </w:rPr>
        <w:t> </w:t>
      </w:r>
      <w:r>
        <w:rPr>
          <w:w w:val="155"/>
        </w:rPr>
        <w:t> </w:t>
      </w:r>
      <w:r>
        <w:rPr>
          <w:spacing w:val="28"/>
        </w:rPr>
        <w:t> </w:t>
      </w:r>
      <w:r>
        <w:rPr>
          <w:w w:val="144"/>
        </w:rPr>
        <w:t>    </w:t>
      </w:r>
      <w:r>
        <w:rPr>
          <w:w w:val="111"/>
        </w:rPr>
        <w:t>  </w:t>
      </w:r>
      <w:r>
        <w:rPr>
          <w:w w:val="188"/>
        </w:rPr>
        <w:t> </w:t>
      </w:r>
      <w:r>
        <w:rPr>
          <w:spacing w:val="-1"/>
          <w:w w:val="188"/>
        </w:rPr>
        <w:t> </w:t>
      </w:r>
      <w:r>
        <w:rPr>
          <w:w w:val="170"/>
        </w:rPr>
        <w:t>  </w:t>
      </w:r>
      <w:r>
        <w:rPr>
          <w:spacing w:val="-2"/>
          <w:w w:val="170"/>
        </w:rPr>
        <w:t> </w:t>
      </w:r>
      <w:r>
        <w:rPr>
          <w:spacing w:val="-1"/>
          <w:w w:val="177"/>
        </w:rPr>
        <w:t> </w:t>
      </w:r>
      <w:r>
        <w:rPr>
          <w:w w:val="148"/>
        </w:rPr>
        <w:t>   </w:t>
      </w:r>
      <w:r>
        <w:rPr>
          <w:spacing w:val="28"/>
        </w:rPr>
        <w:t> </w:t>
      </w:r>
      <w:r>
        <w:rPr>
          <w:w w:val="155"/>
        </w:rPr>
        <w:t> </w:t>
      </w:r>
      <w:r>
        <w:rPr>
          <w:spacing w:val="-2"/>
          <w:w w:val="155"/>
        </w:rPr>
        <w:t> </w:t>
      </w:r>
      <w:r>
        <w:rPr>
          <w:w w:val="155"/>
        </w:rPr>
        <w:t>  </w:t>
      </w:r>
      <w:r>
        <w:rPr>
          <w:spacing w:val="-2"/>
          <w:w w:val="155"/>
        </w:rPr>
        <w:t> </w:t>
      </w:r>
      <w:r>
        <w:rPr>
          <w:w w:val="170"/>
        </w:rPr>
        <w:t>  </w:t>
      </w:r>
      <w:r>
        <w:rPr>
          <w:spacing w:val="2"/>
          <w:w w:val="170"/>
        </w:rPr>
        <w:t> </w:t>
      </w:r>
      <w:r>
        <w:rPr>
          <w:spacing w:val="-1"/>
          <w:w w:val="177"/>
        </w:rPr>
        <w:t> </w:t>
      </w:r>
      <w:r>
        <w:rPr>
          <w:w w:val="185"/>
        </w:rPr>
        <w:t>   </w:t>
      </w:r>
      <w:r>
        <w:rPr>
          <w:spacing w:val="-1"/>
        </w:rPr>
        <w:t>c</w:t>
      </w:r>
      <w:r>
        <w:rPr/>
        <w:t>on la inv</w:t>
      </w:r>
      <w:r>
        <w:rPr>
          <w:spacing w:val="-1"/>
        </w:rPr>
        <w:t>e</w:t>
      </w:r>
      <w:r>
        <w:rPr/>
        <w:t>rsión públi</w:t>
      </w:r>
      <w:r>
        <w:rPr>
          <w:spacing w:val="-1"/>
        </w:rPr>
        <w:t>c</w:t>
      </w:r>
      <w:r>
        <w:rPr/>
        <w:t>a</w:t>
      </w:r>
      <w:r>
        <w:rPr>
          <w:spacing w:val="-1"/>
        </w:rPr>
        <w:t> </w:t>
      </w:r>
      <w:r>
        <w:rPr>
          <w:spacing w:val="1"/>
        </w:rPr>
        <w:t>f</w:t>
      </w:r>
      <w:r>
        <w:rPr/>
        <w:t>inan</w:t>
      </w:r>
      <w:r>
        <w:rPr>
          <w:spacing w:val="-2"/>
        </w:rPr>
        <w:t>c</w:t>
      </w:r>
      <w:r>
        <w:rPr/>
        <w:t>iada </w:t>
      </w:r>
      <w:r>
        <w:rPr>
          <w:spacing w:val="-1"/>
        </w:rPr>
        <w:t>c</w:t>
      </w:r>
      <w:r>
        <w:rPr/>
        <w:t>on re</w:t>
      </w:r>
      <w:r>
        <w:rPr>
          <w:spacing w:val="-1"/>
        </w:rPr>
        <w:t>c</w:t>
      </w:r>
      <w:r>
        <w:rPr/>
        <w:t>u</w:t>
      </w:r>
      <w:r>
        <w:rPr>
          <w:spacing w:val="-1"/>
        </w:rPr>
        <w:t>r</w:t>
      </w:r>
      <w:r>
        <w:rPr>
          <w:w w:val="99"/>
        </w:rPr>
        <w:t>sos</w:t>
      </w:r>
      <w:r>
        <w:rPr>
          <w:spacing w:val="1"/>
        </w:rPr>
        <w:t> </w:t>
      </w:r>
      <w:r>
        <w:rPr>
          <w:spacing w:val="2"/>
        </w:rPr>
        <w:t>d</w:t>
      </w:r>
      <w:r>
        <w:rPr>
          <w:spacing w:val="-1"/>
        </w:rPr>
        <w:t>e</w:t>
      </w:r>
      <w:r>
        <w:rPr/>
        <w:t>l </w:t>
      </w:r>
      <w:r>
        <w:rPr>
          <w:w w:val="99"/>
        </w:rPr>
        <w:t>gas</w:t>
      </w:r>
      <w:r>
        <w:rPr/>
        <w:t> n</w:t>
      </w:r>
      <w:r>
        <w:rPr>
          <w:spacing w:val="-2"/>
        </w:rPr>
        <w:t>a</w:t>
      </w:r>
      <w:r>
        <w:rPr/>
        <w:t>tur</w:t>
      </w:r>
      <w:r>
        <w:rPr>
          <w:spacing w:val="-2"/>
        </w:rPr>
        <w:t>a</w:t>
      </w:r>
      <w:r>
        <w:rPr/>
        <w:t>l.</w:t>
      </w:r>
    </w:p>
    <w:p>
      <w:pPr>
        <w:pStyle w:val="BodyText"/>
        <w:spacing w:before="7"/>
        <w:rPr>
          <w:sz w:val="21"/>
        </w:rPr>
      </w:pPr>
    </w:p>
    <w:p>
      <w:pPr>
        <w:pStyle w:val="Heading4"/>
        <w:numPr>
          <w:ilvl w:val="2"/>
          <w:numId w:val="15"/>
        </w:numPr>
        <w:tabs>
          <w:tab w:pos="963" w:val="left" w:leader="none"/>
          <w:tab w:pos="964" w:val="left" w:leader="none"/>
        </w:tabs>
        <w:spacing w:line="240" w:lineRule="auto" w:before="0" w:after="0"/>
        <w:ind w:left="963" w:right="0" w:hanging="720"/>
        <w:jc w:val="left"/>
      </w:pPr>
      <w:bookmarkStart w:name="_bookmark118" w:id="161"/>
      <w:bookmarkEnd w:id="161"/>
      <w:r>
        <w:rPr>
          <w:b w:val="0"/>
        </w:rPr>
      </w:r>
      <w:bookmarkStart w:name="_bookmark118" w:id="162"/>
      <w:bookmarkEnd w:id="162"/>
      <w:r>
        <w:rPr/>
        <w:t>E</w:t>
      </w:r>
      <w:r>
        <w:rPr/>
        <w:t>specificación del modelo</w:t>
      </w:r>
      <w:r>
        <w:rPr>
          <w:spacing w:val="-8"/>
        </w:rPr>
        <w:t> </w:t>
      </w:r>
      <w:r>
        <w:rPr/>
        <w:t>SVAR</w:t>
      </w:r>
    </w:p>
    <w:p>
      <w:pPr>
        <w:pStyle w:val="BodyText"/>
        <w:rPr>
          <w:b/>
        </w:rPr>
      </w:pPr>
    </w:p>
    <w:p>
      <w:pPr>
        <w:pStyle w:val="BodyText"/>
        <w:spacing w:before="5"/>
        <w:rPr>
          <w:b/>
          <w:sz w:val="20"/>
        </w:rPr>
      </w:pPr>
    </w:p>
    <w:p>
      <w:pPr>
        <w:pStyle w:val="BodyText"/>
        <w:spacing w:line="360" w:lineRule="auto"/>
        <w:ind w:left="102" w:right="121" w:firstLine="707"/>
        <w:jc w:val="both"/>
      </w:pPr>
      <w:r>
        <w:rPr/>
        <w:t>El propósito central de la especificación de vectores autoregresivos estructural (SVAR) es explicar los choques determinantes sobre la posición fiscal en dos contextos: 1) de forma contemporánea y 2) con efectos dinámicos. Para ello, se hace necesaria la definición de las innovaciones estructurales no observables y exógenas, además de la inclusión de restricciones económicas en el modelo. La representación estructural promedio</w:t>
      </w:r>
    </w:p>
    <w:p>
      <w:pPr>
        <w:pStyle w:val="BodyText"/>
        <w:spacing w:before="4"/>
        <w:ind w:left="102" w:right="127"/>
      </w:pPr>
      <w:r>
        <w:rPr>
          <w:w w:val="205"/>
        </w:rPr>
        <w:t>    </w:t>
      </w:r>
      <w:r>
        <w:rPr>
          <w:w w:val="111"/>
        </w:rPr>
        <w:t> </w:t>
      </w:r>
      <w:r>
        <w:rPr/>
        <w:t> </w:t>
      </w:r>
      <w:r>
        <w:rPr>
          <w:w w:val="162"/>
        </w:rPr>
        <w:t>   </w:t>
      </w:r>
      <w:r>
        <w:rPr/>
        <w:t> </w:t>
      </w:r>
      <w:r>
        <w:rPr>
          <w:w w:val="188"/>
        </w:rPr>
        <w:t> </w:t>
      </w:r>
      <w:r>
        <w:rPr>
          <w:spacing w:val="-1"/>
          <w:w w:val="188"/>
        </w:rPr>
        <w:t> </w:t>
      </w:r>
      <w:r>
        <w:rPr>
          <w:spacing w:val="-1"/>
          <w:w w:val="177"/>
        </w:rPr>
        <w:t> </w:t>
      </w:r>
      <w:r>
        <w:rPr>
          <w:w w:val="148"/>
        </w:rPr>
        <w:t>   </w:t>
      </w:r>
      <w:r>
        <w:rPr/>
        <w:t> </w:t>
      </w:r>
      <w:r>
        <w:rPr>
          <w:spacing w:val="-2"/>
          <w:w w:val="44"/>
        </w:rPr>
        <w:t>―</w:t>
      </w:r>
      <w:r>
        <w:rPr>
          <w:i/>
          <w:spacing w:val="-1"/>
        </w:rPr>
        <w:t>y</w:t>
      </w:r>
      <w:r>
        <w:rPr>
          <w:w w:val="100"/>
          <w:sz w:val="16"/>
        </w:rPr>
        <w:t>t</w:t>
      </w:r>
      <w:r>
        <w:rPr>
          <w:w w:val="158"/>
        </w:rPr>
        <w:t>‖</w:t>
      </w:r>
      <w:r>
        <w:rPr>
          <w:spacing w:val="1"/>
        </w:rPr>
        <w:t> </w:t>
      </w:r>
      <w:r>
        <w:rPr>
          <w:spacing w:val="-1"/>
          <w:w w:val="177"/>
        </w:rPr>
        <w:t> </w:t>
      </w:r>
      <w:r>
        <w:rPr>
          <w:w w:val="155"/>
        </w:rPr>
        <w:t> </w:t>
      </w:r>
      <w:r>
        <w:rPr/>
        <w:t> </w:t>
      </w:r>
      <w:r>
        <w:rPr>
          <w:w w:val="144"/>
        </w:rPr>
        <w:t>  </w:t>
      </w:r>
      <w:r>
        <w:rPr/>
        <w:t> </w:t>
      </w:r>
      <w:r>
        <w:rPr>
          <w:w w:val="155"/>
        </w:rPr>
        <w:t>  </w:t>
      </w:r>
      <w:r>
        <w:rPr>
          <w:spacing w:val="-2"/>
          <w:w w:val="155"/>
        </w:rPr>
        <w:t> </w:t>
      </w:r>
      <w:r>
        <w:rPr>
          <w:w w:val="162"/>
        </w:rPr>
        <w:t>     </w:t>
      </w:r>
      <w:r>
        <w:rPr>
          <w:spacing w:val="-1"/>
          <w:w w:val="162"/>
        </w:rPr>
        <w:t> </w:t>
      </w:r>
      <w:r>
        <w:rPr>
          <w:w w:val="100"/>
        </w:rPr>
        <w:t>:</w:t>
      </w:r>
    </w:p>
    <w:p>
      <w:pPr>
        <w:pStyle w:val="BodyText"/>
        <w:spacing w:before="165"/>
        <w:ind w:left="1575" w:right="22"/>
        <w:jc w:val="center"/>
      </w:pPr>
      <w:r>
        <w:rPr/>
        <w:t>(4.1)</w:t>
      </w:r>
    </w:p>
    <w:p>
      <w:pPr>
        <w:pStyle w:val="BodyText"/>
        <w:rPr>
          <w:sz w:val="20"/>
        </w:rPr>
      </w:pPr>
    </w:p>
    <w:p>
      <w:pPr>
        <w:pStyle w:val="BodyText"/>
        <w:spacing w:before="10"/>
        <w:rPr>
          <w:sz w:val="19"/>
        </w:rPr>
      </w:pPr>
    </w:p>
    <w:p>
      <w:pPr>
        <w:spacing w:after="0"/>
        <w:rPr>
          <w:sz w:val="19"/>
        </w:rPr>
        <w:sectPr>
          <w:pgSz w:w="12250" w:h="15850"/>
          <w:pgMar w:header="0" w:footer="1037" w:top="1360" w:bottom="1220" w:left="1600" w:right="1580"/>
        </w:sectPr>
      </w:pPr>
    </w:p>
    <w:p>
      <w:pPr>
        <w:pStyle w:val="BodyText"/>
        <w:spacing w:before="141"/>
        <w:ind w:left="810"/>
        <w:rPr>
          <w:rFonts w:ascii="Cambria Math" w:hAnsi="Cambria Math"/>
          <w:sz w:val="14"/>
        </w:rPr>
      </w:pPr>
      <w:r>
        <w:rPr/>
        <w:pict>
          <v:shape style="position:absolute;margin-left:321.290009pt;margin-top:14.827691pt;width:3.75pt;height:8.550pt;mso-position-horizontal-relative:page;mso-position-vertical-relative:paragraph;z-index:-560104" type="#_x0000_t202" filled="false" stroked="false">
            <v:textbox inset="0,0,0,0">
              <w:txbxContent>
                <w:p>
                  <w:pPr>
                    <w:spacing w:line="170" w:lineRule="exact" w:before="0"/>
                    <w:ind w:left="0" w:right="0" w:firstLine="0"/>
                    <w:jc w:val="left"/>
                    <w:rPr>
                      <w:rFonts w:ascii="Cambria Math"/>
                      <w:sz w:val="17"/>
                    </w:rPr>
                  </w:pPr>
                  <w:r>
                    <w:rPr>
                      <w:rFonts w:ascii="Cambria Math"/>
                      <w:w w:val="200"/>
                      <w:sz w:val="17"/>
                    </w:rPr>
                    <w:t> </w:t>
                  </w:r>
                </w:p>
              </w:txbxContent>
            </v:textbox>
            <w10:wrap type="none"/>
          </v:shape>
        </w:pict>
      </w:r>
      <w:r>
        <w:rPr/>
        <w:t>Donde    es un operador de parámetros;.</w:t>
      </w:r>
      <w:r>
        <w:rPr>
          <w:rFonts w:ascii="Cambria Math" w:hAnsi="Cambria Math"/>
          <w:w w:val="248"/>
        </w:rPr>
        <w:t> </w:t>
      </w:r>
      <w:r>
        <w:rPr>
          <w:rFonts w:ascii="Cambria Math" w:hAnsi="Cambria Math"/>
          <w:w w:val="288"/>
          <w:position w:val="13"/>
          <w:sz w:val="17"/>
        </w:rPr>
        <w:t> </w:t>
      </w:r>
      <w:r>
        <w:rPr>
          <w:rFonts w:ascii="Cambria Math" w:hAnsi="Cambria Math"/>
          <w:w w:val="169"/>
          <w:position w:val="9"/>
          <w:sz w:val="14"/>
        </w:rPr>
        <w:t> </w:t>
      </w:r>
    </w:p>
    <w:p>
      <w:pPr>
        <w:spacing w:before="137"/>
        <w:ind w:left="42" w:right="0" w:firstLine="0"/>
        <w:jc w:val="left"/>
        <w:rPr>
          <w:rFonts w:ascii="Cambria Math"/>
          <w:sz w:val="14"/>
        </w:rPr>
      </w:pPr>
      <w:r>
        <w:rPr/>
        <w:br w:type="column"/>
      </w:r>
      <w:r>
        <w:rPr>
          <w:rFonts w:ascii="Cambria Math"/>
          <w:w w:val="339"/>
          <w:sz w:val="24"/>
        </w:rPr>
        <w:t> </w:t>
      </w:r>
      <w:r>
        <w:rPr>
          <w:rFonts w:ascii="Cambria Math"/>
          <w:sz w:val="24"/>
        </w:rPr>
        <w:t>  [</w:t>
      </w:r>
      <w:r>
        <w:rPr>
          <w:rFonts w:ascii="Cambria Math"/>
          <w:w w:val="248"/>
          <w:sz w:val="24"/>
        </w:rPr>
        <w:t> </w:t>
      </w:r>
      <w:r>
        <w:rPr>
          <w:rFonts w:ascii="Cambria Math"/>
          <w:w w:val="288"/>
          <w:position w:val="12"/>
          <w:sz w:val="17"/>
        </w:rPr>
        <w:t> </w:t>
      </w:r>
      <w:r>
        <w:rPr>
          <w:rFonts w:ascii="Cambria Math"/>
          <w:w w:val="268"/>
          <w:position w:val="9"/>
          <w:sz w:val="14"/>
        </w:rPr>
        <w:t> </w:t>
      </w:r>
    </w:p>
    <w:p>
      <w:pPr>
        <w:pStyle w:val="BodyText"/>
        <w:spacing w:before="137"/>
        <w:ind w:left="810"/>
      </w:pPr>
      <w:r>
        <w:rPr/>
        <w:br w:type="column"/>
      </w:r>
      <w:r>
        <w:rPr>
          <w:rFonts w:ascii="Cambria Math"/>
        </w:rPr>
        <w:t>]  </w:t>
      </w:r>
      <w:r>
        <w:rPr/>
        <w:t>indica</w:t>
      </w:r>
    </w:p>
    <w:p>
      <w:pPr>
        <w:spacing w:after="0"/>
        <w:sectPr>
          <w:type w:val="continuous"/>
          <w:pgSz w:w="12250" w:h="15850"/>
          <w:pgMar w:top="1500" w:bottom="280" w:left="1600" w:right="1580"/>
          <w:cols w:num="3" w:equalWidth="0">
            <w:col w:w="4999" w:space="40"/>
            <w:col w:w="755" w:space="1541"/>
            <w:col w:w="1735"/>
          </w:cols>
        </w:sectPr>
      </w:pPr>
    </w:p>
    <w:p>
      <w:pPr>
        <w:pStyle w:val="BodyText"/>
        <w:spacing w:before="159"/>
        <w:ind w:left="102" w:right="127"/>
      </w:pPr>
      <w:r>
        <w:rPr/>
        <w:pict>
          <v:shape style="position:absolute;margin-left:359.829987pt;margin-top:-6.232305pt;width:3.75pt;height:8.550pt;mso-position-horizontal-relative:page;mso-position-vertical-relative:paragraph;z-index:-560080" type="#_x0000_t202" filled="false" stroked="false">
            <v:textbox inset="0,0,0,0">
              <w:txbxContent>
                <w:p>
                  <w:pPr>
                    <w:spacing w:line="170" w:lineRule="exact" w:before="0"/>
                    <w:ind w:left="0" w:right="0" w:firstLine="0"/>
                    <w:jc w:val="left"/>
                    <w:rPr>
                      <w:rFonts w:ascii="Cambria Math"/>
                      <w:sz w:val="17"/>
                    </w:rPr>
                  </w:pPr>
                  <w:r>
                    <w:rPr>
                      <w:rFonts w:ascii="Cambria Math"/>
                      <w:w w:val="200"/>
                      <w:sz w:val="17"/>
                    </w:rPr>
                    <w:t> </w:t>
                  </w:r>
                </w:p>
              </w:txbxContent>
            </v:textbox>
            <w10:wrap type="none"/>
          </v:shape>
        </w:pict>
      </w:r>
      <w:r>
        <w:rPr/>
        <w:t>el vector de innovaciones estructurales no observables y exógenos.</w:t>
      </w:r>
    </w:p>
    <w:p>
      <w:pPr>
        <w:spacing w:after="0"/>
        <w:sectPr>
          <w:type w:val="continuous"/>
          <w:pgSz w:w="12250" w:h="15850"/>
          <w:pgMar w:top="1500" w:bottom="280" w:left="1600" w:right="1580"/>
        </w:sectPr>
      </w:pPr>
    </w:p>
    <w:p>
      <w:pPr>
        <w:pStyle w:val="BodyText"/>
        <w:spacing w:before="163"/>
        <w:ind w:left="810"/>
        <w:rPr>
          <w:rFonts w:ascii="Cambria Math"/>
          <w:sz w:val="17"/>
        </w:rPr>
      </w:pPr>
      <w:r>
        <w:rPr/>
        <w:t>La propuesta </w:t>
      </w:r>
      <w:r>
        <w:rPr>
          <w:i/>
        </w:rPr>
        <w:t>SVAR </w:t>
      </w:r>
      <w:r>
        <w:rPr/>
        <w:t>plantea recuperar el choque de vectores  estructurales </w:t>
      </w:r>
      <w:r>
        <w:rPr>
          <w:rFonts w:ascii="Cambria Math"/>
          <w:w w:val="188"/>
        </w:rPr>
        <w:t> </w:t>
      </w:r>
      <w:r>
        <w:rPr>
          <w:rFonts w:ascii="Cambria Math"/>
          <w:w w:val="248"/>
        </w:rPr>
        <w:t> </w:t>
      </w:r>
      <w:r>
        <w:rPr>
          <w:rFonts w:ascii="Cambria Math"/>
          <w:w w:val="200"/>
          <w:position w:val="-6"/>
          <w:sz w:val="17"/>
        </w:rPr>
        <w:t> </w:t>
      </w:r>
    </w:p>
    <w:p>
      <w:pPr>
        <w:pStyle w:val="BodyText"/>
        <w:spacing w:before="163"/>
        <w:ind w:left="74"/>
      </w:pPr>
      <w:r>
        <w:rPr/>
        <w:br w:type="column"/>
      </w:r>
      <w:r>
        <w:rPr>
          <w:rFonts w:ascii="Cambria Math"/>
          <w:w w:val="188"/>
        </w:rPr>
        <w:t> </w:t>
      </w:r>
      <w:r>
        <w:rPr/>
        <w:t>, que</w:t>
      </w:r>
    </w:p>
    <w:p>
      <w:pPr>
        <w:spacing w:after="0"/>
        <w:sectPr>
          <w:type w:val="continuous"/>
          <w:pgSz w:w="12250" w:h="15850"/>
          <w:pgMar w:top="1500" w:bottom="280" w:left="1600" w:right="1580"/>
          <w:cols w:num="2" w:equalWidth="0">
            <w:col w:w="8257" w:space="40"/>
            <w:col w:w="773"/>
          </w:cols>
        </w:sectPr>
      </w:pPr>
    </w:p>
    <w:p>
      <w:pPr>
        <w:pStyle w:val="BodyText"/>
        <w:spacing w:line="360" w:lineRule="auto" w:before="156"/>
        <w:ind w:left="102" w:right="127"/>
      </w:pPr>
      <w:r>
        <w:rPr/>
        <w:t>no resulta directamente observable, a partir de la estimación de un VAR irrestricto. Este VAR es invertible y genera la siguiente representación de media móvil:</w:t>
      </w:r>
    </w:p>
    <w:p>
      <w:pPr>
        <w:pStyle w:val="BodyText"/>
        <w:rPr>
          <w:sz w:val="20"/>
        </w:rPr>
      </w:pPr>
    </w:p>
    <w:p>
      <w:pPr>
        <w:pStyle w:val="BodyText"/>
        <w:spacing w:before="215"/>
        <w:ind w:left="1555" w:right="22"/>
        <w:jc w:val="center"/>
      </w:pPr>
      <w:r>
        <w:rPr/>
        <w:t>(4.2)</w:t>
      </w:r>
    </w:p>
    <w:p>
      <w:pPr>
        <w:pStyle w:val="BodyText"/>
        <w:rPr>
          <w:sz w:val="20"/>
        </w:rPr>
      </w:pPr>
    </w:p>
    <w:p>
      <w:pPr>
        <w:pStyle w:val="BodyText"/>
        <w:spacing w:before="7"/>
        <w:rPr>
          <w:sz w:val="19"/>
        </w:rPr>
      </w:pPr>
    </w:p>
    <w:p>
      <w:pPr>
        <w:spacing w:after="0"/>
        <w:rPr>
          <w:sz w:val="19"/>
        </w:rPr>
        <w:sectPr>
          <w:type w:val="continuous"/>
          <w:pgSz w:w="12250" w:h="15850"/>
          <w:pgMar w:top="1500" w:bottom="280" w:left="1600" w:right="1580"/>
        </w:sectPr>
      </w:pPr>
    </w:p>
    <w:p>
      <w:pPr>
        <w:pStyle w:val="BodyText"/>
        <w:spacing w:before="142"/>
        <w:ind w:left="810"/>
        <w:rPr>
          <w:rFonts w:ascii="Cambria Math" w:hAnsi="Cambria Math"/>
          <w:sz w:val="14"/>
        </w:rPr>
      </w:pPr>
      <w:r>
        <w:rPr/>
        <w:pict>
          <v:shape style="position:absolute;margin-left:385.029999pt;margin-top:14.877705pt;width:3.75pt;height:8.550pt;mso-position-horizontal-relative:page;mso-position-vertical-relative:paragraph;z-index:-560056" type="#_x0000_t202" filled="false" stroked="false">
            <v:textbox inset="0,0,0,0">
              <w:txbxContent>
                <w:p>
                  <w:pPr>
                    <w:spacing w:line="170" w:lineRule="exact" w:before="0"/>
                    <w:ind w:left="0" w:right="0" w:firstLine="0"/>
                    <w:jc w:val="left"/>
                    <w:rPr>
                      <w:rFonts w:ascii="Cambria Math"/>
                      <w:sz w:val="17"/>
                    </w:rPr>
                  </w:pPr>
                  <w:r>
                    <w:rPr>
                      <w:rFonts w:ascii="Cambria Math"/>
                      <w:w w:val="200"/>
                      <w:sz w:val="17"/>
                    </w:rPr>
                    <w:t> </w:t>
                  </w:r>
                </w:p>
              </w:txbxContent>
            </v:textbox>
            <w10:wrap type="none"/>
          </v:shape>
        </w:pict>
      </w:r>
      <w:r>
        <w:rPr/>
        <w:t>Donde:           representa un operador de</w:t>
      </w:r>
      <w:r>
        <w:rPr>
          <w:spacing w:val="50"/>
        </w:rPr>
        <w:t> </w:t>
      </w:r>
      <w:r>
        <w:rPr/>
        <w:t>parámetros;</w:t>
      </w:r>
      <w:r>
        <w:rPr>
          <w:spacing w:val="22"/>
        </w:rPr>
        <w:t> </w:t>
      </w:r>
      <w:r>
        <w:rPr>
          <w:rFonts w:ascii="Cambria Math" w:hAnsi="Cambria Math"/>
          <w:spacing w:val="18"/>
          <w:w w:val="206"/>
        </w:rPr>
        <w:t> </w:t>
      </w:r>
      <w:r>
        <w:rPr>
          <w:rFonts w:ascii="Cambria Math" w:hAnsi="Cambria Math"/>
          <w:w w:val="288"/>
          <w:position w:val="13"/>
          <w:sz w:val="17"/>
        </w:rPr>
        <w:t> </w:t>
      </w:r>
      <w:r>
        <w:rPr>
          <w:rFonts w:ascii="Cambria Math" w:hAnsi="Cambria Math"/>
          <w:w w:val="169"/>
          <w:position w:val="9"/>
          <w:sz w:val="14"/>
        </w:rPr>
        <w:t> </w:t>
      </w:r>
    </w:p>
    <w:p>
      <w:pPr>
        <w:pStyle w:val="BodyText"/>
        <w:spacing w:before="156"/>
        <w:ind w:left="102"/>
      </w:pPr>
      <w:r>
        <w:rPr/>
        <w:t>reducida de los residuos                                            </w:t>
      </w:r>
      <w:r>
        <w:rPr>
          <w:spacing w:val="54"/>
        </w:rPr>
        <w:t> </w:t>
      </w:r>
      <w:r>
        <w:rPr/>
        <w:t>Σ </w:t>
      </w:r>
    </w:p>
    <w:p>
      <w:pPr>
        <w:pStyle w:val="BodyText"/>
        <w:spacing w:before="142"/>
        <w:ind w:left="102"/>
      </w:pPr>
      <w:r>
        <w:rPr/>
        <w:br w:type="column"/>
      </w:r>
      <w:r>
        <w:rPr/>
        <w:t>señala el vector en  forma</w:t>
      </w:r>
    </w:p>
    <w:p>
      <w:pPr>
        <w:spacing w:after="0"/>
        <w:sectPr>
          <w:type w:val="continuous"/>
          <w:pgSz w:w="12250" w:h="15850"/>
          <w:pgMar w:top="1500" w:bottom="280" w:left="1600" w:right="1580"/>
          <w:cols w:num="2" w:equalWidth="0">
            <w:col w:w="6283" w:space="73"/>
            <w:col w:w="2714"/>
          </w:cols>
        </w:sectPr>
      </w:pPr>
    </w:p>
    <w:p>
      <w:pPr>
        <w:pStyle w:val="BodyText"/>
        <w:spacing w:line="360" w:lineRule="auto" w:before="137"/>
        <w:ind w:left="102" w:right="127" w:firstLine="707"/>
      </w:pPr>
      <w:r>
        <w:rPr/>
        <w:t>Las expresiones (4.1) y (4.2) establecen una relación lineal entre la forma reducida de los residuos y los choques del modelo estructural:</w:t>
      </w:r>
    </w:p>
    <w:p>
      <w:pPr>
        <w:pStyle w:val="BodyText"/>
        <w:rPr>
          <w:sz w:val="20"/>
        </w:rPr>
      </w:pPr>
    </w:p>
    <w:p>
      <w:pPr>
        <w:pStyle w:val="BodyText"/>
        <w:spacing w:before="215"/>
        <w:ind w:left="1524" w:right="22"/>
        <w:jc w:val="center"/>
      </w:pPr>
      <w:r>
        <w:rPr/>
        <w:t>( 4.3)</w:t>
      </w:r>
    </w:p>
    <w:p>
      <w:pPr>
        <w:pStyle w:val="BodyText"/>
      </w:pPr>
    </w:p>
    <w:p>
      <w:pPr>
        <w:pStyle w:val="BodyText"/>
        <w:spacing w:before="7"/>
        <w:rPr>
          <w:sz w:val="25"/>
        </w:rPr>
      </w:pPr>
    </w:p>
    <w:p>
      <w:pPr>
        <w:pStyle w:val="BodyText"/>
        <w:ind w:left="810" w:right="127"/>
      </w:pPr>
      <w:r>
        <w:rPr/>
        <w:t>De esta forma, sería necesario identificar la matriz                 a efectos de   recuperar</w:t>
      </w:r>
    </w:p>
    <w:p>
      <w:pPr>
        <w:pStyle w:val="BodyText"/>
        <w:spacing w:before="171"/>
        <w:ind w:left="102" w:right="127"/>
        <w:rPr>
          <w:i/>
        </w:rPr>
      </w:pPr>
      <w:r>
        <w:rPr/>
        <w:pict>
          <v:shape style="position:absolute;margin-left:264.769989pt;margin-top:16.3277pt;width:3.75pt;height:8.550pt;mso-position-horizontal-relative:page;mso-position-vertical-relative:paragraph;z-index:-560032" type="#_x0000_t202" filled="false" stroked="false">
            <v:textbox inset="0,0,0,0">
              <w:txbxContent>
                <w:p>
                  <w:pPr>
                    <w:spacing w:line="170" w:lineRule="exact" w:before="0"/>
                    <w:ind w:left="0" w:right="0" w:firstLine="0"/>
                    <w:jc w:val="left"/>
                    <w:rPr>
                      <w:rFonts w:ascii="Cambria Math"/>
                      <w:sz w:val="17"/>
                    </w:rPr>
                  </w:pPr>
                  <w:r>
                    <w:rPr>
                      <w:rFonts w:ascii="Cambria Math"/>
                      <w:w w:val="200"/>
                      <w:sz w:val="17"/>
                    </w:rPr>
                    <w:t> </w:t>
                  </w:r>
                </w:p>
              </w:txbxContent>
            </v:textbox>
            <w10:wrap type="none"/>
          </v:shape>
        </w:pict>
      </w:r>
      <w:r>
        <w:rPr/>
        <w:pict>
          <v:shape style="position:absolute;margin-left:488.26001pt;margin-top:16.3277pt;width:3.75pt;height:8.550pt;mso-position-horizontal-relative:page;mso-position-vertical-relative:paragraph;z-index:-560008" type="#_x0000_t202" filled="false" stroked="false">
            <v:textbox inset="0,0,0,0">
              <w:txbxContent>
                <w:p>
                  <w:pPr>
                    <w:spacing w:line="170" w:lineRule="exact" w:before="0"/>
                    <w:ind w:left="0" w:right="0" w:firstLine="0"/>
                    <w:jc w:val="left"/>
                    <w:rPr>
                      <w:rFonts w:ascii="Cambria Math"/>
                      <w:sz w:val="17"/>
                    </w:rPr>
                  </w:pPr>
                  <w:r>
                    <w:rPr>
                      <w:rFonts w:ascii="Cambria Math"/>
                      <w:w w:val="200"/>
                      <w:sz w:val="17"/>
                    </w:rPr>
                    <w:t> </w:t>
                  </w:r>
                </w:p>
              </w:txbxContent>
            </v:textbox>
            <w10:wrap type="none"/>
          </v:shape>
        </w:pict>
      </w:r>
      <w:r>
        <w:rPr/>
        <w:t>el vector de choques estructurales           , a partir del vector de errores  estimados       </w:t>
      </w:r>
      <w:r>
        <w:rPr>
          <w:spacing w:val="56"/>
        </w:rPr>
        <w:t> </w:t>
      </w:r>
      <w:r>
        <w:rPr>
          <w:i/>
        </w:rPr>
        <w:t>.</w:t>
      </w:r>
    </w:p>
    <w:p>
      <w:pPr>
        <w:spacing w:after="0"/>
        <w:sectPr>
          <w:type w:val="continuous"/>
          <w:pgSz w:w="12250" w:h="15850"/>
          <w:pgMar w:top="1500" w:bottom="280" w:left="1600" w:right="1580"/>
        </w:sectPr>
      </w:pPr>
    </w:p>
    <w:p>
      <w:pPr>
        <w:pStyle w:val="BodyText"/>
        <w:spacing w:before="50"/>
        <w:ind w:left="810" w:right="127"/>
      </w:pPr>
      <w:r>
        <w:rPr/>
        <w:t>De otra forma,  el VAR irrestricto podría simbolizarse como:</w:t>
      </w:r>
    </w:p>
    <w:p>
      <w:pPr>
        <w:pStyle w:val="BodyText"/>
        <w:rPr>
          <w:sz w:val="20"/>
        </w:rPr>
      </w:pPr>
    </w:p>
    <w:p>
      <w:pPr>
        <w:pStyle w:val="BodyText"/>
        <w:spacing w:before="3"/>
      </w:pPr>
    </w:p>
    <w:p>
      <w:pPr>
        <w:pStyle w:val="BodyText"/>
        <w:spacing w:before="69"/>
        <w:ind w:left="5949" w:right="127"/>
      </w:pPr>
      <w:r>
        <w:rPr/>
        <w:t>(4.4)</w:t>
      </w:r>
    </w:p>
    <w:p>
      <w:pPr>
        <w:pStyle w:val="BodyText"/>
        <w:rPr>
          <w:sz w:val="20"/>
        </w:rPr>
      </w:pPr>
    </w:p>
    <w:p>
      <w:pPr>
        <w:pStyle w:val="BodyText"/>
        <w:spacing w:before="7"/>
        <w:rPr>
          <w:sz w:val="19"/>
        </w:rPr>
      </w:pPr>
    </w:p>
    <w:p>
      <w:pPr>
        <w:spacing w:after="0"/>
        <w:rPr>
          <w:sz w:val="19"/>
        </w:rPr>
        <w:sectPr>
          <w:pgSz w:w="12250" w:h="15850"/>
          <w:pgMar w:header="0" w:footer="1037" w:top="1360" w:bottom="1220" w:left="1600" w:right="1580"/>
        </w:sectPr>
      </w:pPr>
    </w:p>
    <w:p>
      <w:pPr>
        <w:pStyle w:val="BodyText"/>
        <w:spacing w:before="142"/>
        <w:ind w:left="810"/>
        <w:rPr>
          <w:rFonts w:ascii="Cambria Math" w:hAnsi="Cambria Math"/>
          <w:sz w:val="14"/>
        </w:rPr>
      </w:pPr>
      <w:r>
        <w:rPr/>
        <w:pict>
          <v:shape style="position:absolute;margin-left:408.790009pt;margin-top:14.877687pt;width:3.75pt;height:8.550pt;mso-position-horizontal-relative:page;mso-position-vertical-relative:paragraph;z-index:-559984" type="#_x0000_t202" filled="false" stroked="false">
            <v:textbox inset="0,0,0,0">
              <w:txbxContent>
                <w:p>
                  <w:pPr>
                    <w:spacing w:line="170" w:lineRule="exact" w:before="0"/>
                    <w:ind w:left="0" w:right="0" w:firstLine="0"/>
                    <w:jc w:val="left"/>
                    <w:rPr>
                      <w:rFonts w:ascii="Cambria Math"/>
                      <w:sz w:val="17"/>
                    </w:rPr>
                  </w:pPr>
                  <w:r>
                    <w:rPr>
                      <w:rFonts w:ascii="Cambria Math"/>
                      <w:w w:val="200"/>
                      <w:sz w:val="17"/>
                    </w:rPr>
                    <w:t> </w:t>
                  </w:r>
                </w:p>
              </w:txbxContent>
            </v:textbox>
            <w10:wrap type="none"/>
          </v:shape>
        </w:pict>
      </w:r>
      <w:r>
        <w:rPr/>
        <w:t>Donde el error estocástico está normalmente   distribuido, </w:t>
      </w:r>
      <w:r>
        <w:rPr>
          <w:rFonts w:ascii="Cambria Math" w:hAnsi="Cambria Math"/>
          <w:w w:val="206"/>
        </w:rPr>
        <w:t> </w:t>
      </w:r>
      <w:r>
        <w:rPr>
          <w:rFonts w:ascii="Cambria Math" w:hAnsi="Cambria Math"/>
          <w:w w:val="288"/>
          <w:position w:val="13"/>
          <w:sz w:val="17"/>
        </w:rPr>
        <w:t> </w:t>
      </w:r>
      <w:r>
        <w:rPr>
          <w:rFonts w:ascii="Cambria Math" w:hAnsi="Cambria Math"/>
          <w:w w:val="169"/>
          <w:position w:val="9"/>
          <w:sz w:val="14"/>
        </w:rPr>
        <w:t> </w:t>
      </w:r>
    </w:p>
    <w:p>
      <w:pPr>
        <w:pStyle w:val="BodyText"/>
        <w:spacing w:before="138"/>
        <w:ind w:left="58"/>
      </w:pPr>
      <w:r>
        <w:rPr/>
        <w:br w:type="column"/>
      </w:r>
      <w:r>
        <w:rPr>
          <w:rFonts w:ascii="Cambria Math" w:hAnsi="Cambria Math"/>
        </w:rPr>
        <w:t>∼  </w:t>
      </w:r>
      <w:r>
        <w:rPr>
          <w:i/>
        </w:rPr>
        <w:t>N </w:t>
      </w:r>
      <w:r>
        <w:rPr/>
        <w:t>(0,1), y A, B,  C</w:t>
      </w:r>
    </w:p>
    <w:p>
      <w:pPr>
        <w:spacing w:after="0"/>
        <w:sectPr>
          <w:type w:val="continuous"/>
          <w:pgSz w:w="12250" w:h="15850"/>
          <w:pgMar w:top="1500" w:bottom="280" w:left="1600" w:right="1580"/>
          <w:cols w:num="2" w:equalWidth="0">
            <w:col w:w="6761" w:space="40"/>
            <w:col w:w="2269"/>
          </w:cols>
        </w:sectPr>
      </w:pPr>
    </w:p>
    <w:p>
      <w:pPr>
        <w:pStyle w:val="BodyText"/>
        <w:spacing w:line="360" w:lineRule="auto" w:before="154"/>
        <w:ind w:left="102" w:right="127"/>
        <w:rPr>
          <w:rFonts w:ascii="Cambria Math"/>
        </w:rPr>
      </w:pPr>
      <w:r>
        <w:rPr/>
        <w:t>son matrices no observables separadamente (la idea es imponer restricciones de largo plazo al  VAR  irrestricto  para  recuperar  la  forma  estructural  del  </w:t>
      </w:r>
      <w:r>
        <w:rPr>
          <w:spacing w:val="57"/>
        </w:rPr>
        <w:t> </w:t>
      </w:r>
      <w:r>
        <w:rPr/>
        <w:t>modelo: </w:t>
      </w:r>
      <w:r>
        <w:rPr>
          <w:spacing w:val="18"/>
        </w:rPr>
        <w:t> </w:t>
      </w:r>
      <w:r>
        <w:rPr>
          <w:rFonts w:ascii="Cambria Math"/>
          <w:w w:val="287"/>
        </w:rPr>
        <w:t> </w:t>
      </w:r>
      <w:r>
        <w:rPr>
          <w:rFonts w:ascii="Cambria Math"/>
          <w:spacing w:val="4"/>
        </w:rPr>
        <w:t> </w:t>
      </w:r>
      <w:r>
        <w:rPr>
          <w:rFonts w:ascii="Cambria Math"/>
          <w:spacing w:val="-8"/>
          <w:w w:val="254"/>
        </w:rPr>
        <w:t> </w:t>
      </w:r>
      <w:r>
        <w:rPr>
          <w:rFonts w:ascii="Cambria Math"/>
          <w:w w:val="200"/>
          <w:position w:val="-4"/>
          <w:sz w:val="17"/>
        </w:rPr>
        <w:t> </w:t>
      </w:r>
      <w:r>
        <w:rPr>
          <w:rFonts w:ascii="Cambria Math"/>
          <w:position w:val="-4"/>
          <w:sz w:val="17"/>
        </w:rPr>
        <w:t> </w:t>
      </w:r>
      <w:r>
        <w:rPr>
          <w:rFonts w:ascii="Cambria Math"/>
          <w:spacing w:val="6"/>
          <w:position w:val="-4"/>
          <w:sz w:val="17"/>
        </w:rPr>
        <w:t> </w:t>
      </w:r>
      <w:r>
        <w:rPr>
          <w:rFonts w:ascii="Cambria Math"/>
          <w:w w:val="339"/>
        </w:rPr>
        <w:t> </w:t>
      </w:r>
      <w:r>
        <w:rPr>
          <w:rFonts w:ascii="Cambria Math"/>
          <w:spacing w:val="12"/>
        </w:rPr>
        <w:t> </w:t>
      </w:r>
      <w:r>
        <w:rPr>
          <w:rFonts w:ascii="Cambria Math"/>
          <w:spacing w:val="10"/>
          <w:w w:val="271"/>
        </w:rPr>
        <w:t> </w:t>
      </w:r>
      <w:r>
        <w:rPr>
          <w:rFonts w:ascii="Cambria Math"/>
          <w:spacing w:val="1"/>
          <w:w w:val="188"/>
          <w:position w:val="1"/>
        </w:rPr>
        <w:t> </w:t>
      </w:r>
      <w:r>
        <w:rPr>
          <w:rFonts w:ascii="Cambria Math"/>
          <w:spacing w:val="4"/>
          <w:w w:val="241"/>
        </w:rPr>
        <w:t> </w:t>
      </w:r>
      <w:r>
        <w:rPr>
          <w:rFonts w:ascii="Cambria Math"/>
          <w:w w:val="188"/>
          <w:position w:val="1"/>
        </w:rPr>
        <w:t> </w:t>
      </w:r>
      <w:r>
        <w:rPr>
          <w:rFonts w:ascii="Cambria Math"/>
          <w:spacing w:val="1"/>
          <w:position w:val="1"/>
        </w:rPr>
        <w:t> </w:t>
      </w:r>
      <w:r>
        <w:rPr>
          <w:rFonts w:ascii="Cambria Math"/>
          <w:spacing w:val="-8"/>
          <w:w w:val="254"/>
        </w:rPr>
        <w:t> </w:t>
      </w:r>
      <w:r>
        <w:rPr>
          <w:rFonts w:ascii="Cambria Math"/>
          <w:w w:val="200"/>
          <w:position w:val="-4"/>
          <w:sz w:val="17"/>
        </w:rPr>
        <w:t> </w:t>
      </w:r>
      <w:r>
        <w:rPr>
          <w:rFonts w:ascii="Cambria Math"/>
          <w:position w:val="-4"/>
          <w:sz w:val="17"/>
        </w:rPr>
        <w:t> </w:t>
      </w:r>
      <w:r>
        <w:rPr>
          <w:rFonts w:ascii="Cambria Math"/>
          <w:spacing w:val="-9"/>
          <w:position w:val="-4"/>
          <w:sz w:val="17"/>
        </w:rPr>
        <w:t> </w:t>
      </w:r>
      <w:r>
        <w:rPr>
          <w:rFonts w:ascii="Cambria Math"/>
          <w:w w:val="339"/>
        </w:rPr>
        <w:t> </w:t>
      </w:r>
    </w:p>
    <w:p>
      <w:pPr>
        <w:spacing w:line="27" w:lineRule="exact" w:before="41"/>
        <w:ind w:left="605" w:right="0" w:firstLine="0"/>
        <w:jc w:val="left"/>
        <w:rPr>
          <w:rFonts w:ascii="Cambria Math"/>
          <w:sz w:val="14"/>
        </w:rPr>
      </w:pPr>
      <w:r>
        <w:rPr>
          <w:rFonts w:ascii="Cambria Math"/>
          <w:w w:val="288"/>
          <w:sz w:val="17"/>
        </w:rPr>
        <w:t> </w:t>
      </w:r>
      <w:r>
        <w:rPr>
          <w:rFonts w:ascii="Cambria Math"/>
          <w:w w:val="169"/>
          <w:position w:val="-3"/>
          <w:sz w:val="14"/>
        </w:rPr>
        <w:t> </w:t>
      </w:r>
    </w:p>
    <w:p>
      <w:pPr>
        <w:pStyle w:val="BodyText"/>
        <w:spacing w:line="245" w:lineRule="exact"/>
        <w:ind w:left="783" w:right="127"/>
      </w:pPr>
      <w:r>
        <w:rPr/>
        <w:t>,  la cual no puede estimarse directamente debido a problemas de identificación).</w:t>
      </w:r>
    </w:p>
    <w:p>
      <w:pPr>
        <w:pStyle w:val="BodyText"/>
        <w:spacing w:before="156"/>
        <w:ind w:left="102" w:right="127"/>
      </w:pPr>
      <w:r>
        <w:rPr/>
        <w:t>Reagrupando los términos de (4.4) queda:</w:t>
      </w:r>
    </w:p>
    <w:p>
      <w:pPr>
        <w:pStyle w:val="BodyText"/>
        <w:rPr>
          <w:sz w:val="20"/>
        </w:rPr>
      </w:pPr>
    </w:p>
    <w:p>
      <w:pPr>
        <w:pStyle w:val="BodyText"/>
        <w:spacing w:before="3"/>
      </w:pPr>
    </w:p>
    <w:p>
      <w:pPr>
        <w:pStyle w:val="BodyText"/>
        <w:spacing w:before="69"/>
        <w:ind w:left="5956" w:right="127"/>
      </w:pPr>
      <w:r>
        <w:rPr/>
        <w:t>(4.5)</w:t>
      </w:r>
    </w:p>
    <w:p>
      <w:pPr>
        <w:pStyle w:val="BodyText"/>
      </w:pPr>
    </w:p>
    <w:p>
      <w:pPr>
        <w:pStyle w:val="BodyText"/>
        <w:spacing w:before="7"/>
        <w:rPr>
          <w:sz w:val="25"/>
        </w:rPr>
      </w:pPr>
    </w:p>
    <w:p>
      <w:pPr>
        <w:pStyle w:val="BodyText"/>
        <w:spacing w:line="360" w:lineRule="auto"/>
        <w:ind w:left="102" w:right="127"/>
      </w:pPr>
      <w:r>
        <w:rPr/>
        <w:pict>
          <v:shape style="position:absolute;margin-left:331.609985pt;margin-top:50.497704pt;width:3.75pt;height:8.550pt;mso-position-horizontal-relative:page;mso-position-vertical-relative:paragraph;z-index:-559936" type="#_x0000_t202" filled="false" stroked="false">
            <v:textbox inset="0,0,0,0">
              <w:txbxContent>
                <w:p>
                  <w:pPr>
                    <w:spacing w:line="170" w:lineRule="exact" w:before="0"/>
                    <w:ind w:left="0" w:right="0" w:firstLine="0"/>
                    <w:jc w:val="left"/>
                    <w:rPr>
                      <w:rFonts w:ascii="Cambria Math"/>
                      <w:sz w:val="17"/>
                    </w:rPr>
                  </w:pPr>
                  <w:r>
                    <w:rPr>
                      <w:rFonts w:ascii="Cambria Math"/>
                      <w:w w:val="200"/>
                      <w:sz w:val="17"/>
                    </w:rPr>
                    <w:t> </w:t>
                  </w:r>
                </w:p>
              </w:txbxContent>
            </v:textbox>
            <w10:wrap type="none"/>
          </v:shape>
        </w:pict>
      </w:r>
      <w:r>
        <w:rPr/>
        <w:t>Luego de algunas manipulaciones algebraicas y combinando (4.5) con (4.2) y (4.3) se obtiene:</w:t>
      </w:r>
    </w:p>
    <w:p>
      <w:pPr>
        <w:spacing w:after="0" w:line="360" w:lineRule="auto"/>
        <w:sectPr>
          <w:type w:val="continuous"/>
          <w:pgSz w:w="12250" w:h="15850"/>
          <w:pgMar w:top="1500" w:bottom="280" w:left="1600" w:right="1580"/>
        </w:sectPr>
      </w:pPr>
    </w:p>
    <w:p>
      <w:pPr>
        <w:pStyle w:val="BodyText"/>
        <w:spacing w:before="18"/>
        <w:jc w:val="right"/>
        <w:rPr>
          <w:rFonts w:ascii="Cambria Math"/>
          <w:sz w:val="14"/>
        </w:rPr>
      </w:pPr>
      <w:r>
        <w:rPr/>
        <w:pict>
          <v:shape style="position:absolute;margin-left:271.609985pt;margin-top:9.376921pt;width:3.75pt;height:8.550pt;mso-position-horizontal-relative:page;mso-position-vertical-relative:paragraph;z-index:-559960" type="#_x0000_t202" filled="false" stroked="false">
            <v:textbox inset="0,0,0,0">
              <w:txbxContent>
                <w:p>
                  <w:pPr>
                    <w:spacing w:line="170" w:lineRule="exact" w:before="0"/>
                    <w:ind w:left="0" w:right="0" w:firstLine="0"/>
                    <w:jc w:val="left"/>
                    <w:rPr>
                      <w:rFonts w:ascii="Cambria Math"/>
                      <w:sz w:val="17"/>
                    </w:rPr>
                  </w:pPr>
                  <w:r>
                    <w:rPr>
                      <w:rFonts w:ascii="Cambria Math"/>
                      <w:w w:val="200"/>
                      <w:sz w:val="17"/>
                    </w:rPr>
                    <w:t> </w:t>
                  </w:r>
                </w:p>
              </w:txbxContent>
            </v:textbox>
            <w10:wrap type="none"/>
          </v:shape>
        </w:pict>
      </w:r>
      <w:r>
        <w:rPr>
          <w:rFonts w:ascii="Cambria Math"/>
          <w:position w:val="1"/>
        </w:rPr>
        <w:t>[  ] </w:t>
      </w:r>
      <w:r>
        <w:rPr>
          <w:rFonts w:ascii="Cambria Math"/>
          <w:w w:val="219"/>
        </w:rPr>
        <w:t> </w:t>
      </w:r>
      <w:r>
        <w:rPr>
          <w:rFonts w:ascii="Cambria Math"/>
        </w:rPr>
        <w:t> </w:t>
      </w:r>
      <w:r>
        <w:rPr>
          <w:rFonts w:ascii="Cambria Math"/>
          <w:w w:val="206"/>
        </w:rPr>
        <w:t> </w:t>
      </w:r>
      <w:r>
        <w:rPr>
          <w:rFonts w:ascii="Cambria Math"/>
          <w:w w:val="288"/>
          <w:position w:val="13"/>
          <w:sz w:val="17"/>
        </w:rPr>
        <w:t> </w:t>
      </w:r>
      <w:r>
        <w:rPr>
          <w:rFonts w:ascii="Cambria Math"/>
          <w:w w:val="169"/>
          <w:position w:val="9"/>
          <w:sz w:val="14"/>
        </w:rPr>
        <w:t> </w:t>
      </w:r>
    </w:p>
    <w:p>
      <w:pPr>
        <w:spacing w:before="18"/>
        <w:ind w:left="44" w:right="-12" w:firstLine="0"/>
        <w:jc w:val="left"/>
        <w:rPr>
          <w:rFonts w:ascii="Cambria Math"/>
          <w:sz w:val="14"/>
        </w:rPr>
      </w:pPr>
      <w:r>
        <w:rPr/>
        <w:br w:type="column"/>
      </w:r>
      <w:r>
        <w:rPr>
          <w:rFonts w:ascii="Cambria Math"/>
          <w:w w:val="339"/>
          <w:sz w:val="24"/>
        </w:rPr>
        <w:t> </w:t>
      </w:r>
      <w:r>
        <w:rPr>
          <w:rFonts w:ascii="Cambria Math"/>
          <w:sz w:val="24"/>
        </w:rPr>
        <w:t> </w:t>
      </w:r>
      <w:r>
        <w:rPr>
          <w:rFonts w:ascii="Cambria Math"/>
          <w:position w:val="1"/>
          <w:sz w:val="24"/>
        </w:rPr>
        <w:t>[   ] </w:t>
      </w:r>
      <w:r>
        <w:rPr>
          <w:rFonts w:ascii="Cambria Math"/>
          <w:w w:val="219"/>
          <w:sz w:val="24"/>
        </w:rPr>
        <w:t> </w:t>
      </w:r>
      <w:r>
        <w:rPr>
          <w:rFonts w:ascii="Cambria Math"/>
          <w:sz w:val="24"/>
        </w:rPr>
        <w:t> </w:t>
      </w:r>
      <w:r>
        <w:rPr>
          <w:rFonts w:ascii="Cambria Math"/>
          <w:w w:val="248"/>
          <w:sz w:val="24"/>
        </w:rPr>
        <w:t> </w:t>
      </w:r>
      <w:r>
        <w:rPr>
          <w:rFonts w:ascii="Cambria Math"/>
          <w:w w:val="288"/>
          <w:position w:val="13"/>
          <w:sz w:val="17"/>
        </w:rPr>
        <w:t> </w:t>
      </w:r>
      <w:r>
        <w:rPr>
          <w:rFonts w:ascii="Cambria Math"/>
          <w:w w:val="169"/>
          <w:position w:val="9"/>
          <w:sz w:val="14"/>
        </w:rPr>
        <w:t> </w:t>
      </w:r>
    </w:p>
    <w:p>
      <w:pPr>
        <w:pStyle w:val="BodyText"/>
        <w:spacing w:before="32"/>
        <w:ind w:left="155"/>
      </w:pPr>
      <w:r>
        <w:rPr/>
        <w:br w:type="column"/>
      </w:r>
      <w:r>
        <w:rPr/>
        <w:t>(4.6)</w:t>
      </w:r>
    </w:p>
    <w:p>
      <w:pPr>
        <w:spacing w:after="0"/>
        <w:sectPr>
          <w:type w:val="continuous"/>
          <w:pgSz w:w="12250" w:h="15850"/>
          <w:pgMar w:top="1500" w:bottom="280" w:left="1600" w:right="1580"/>
          <w:cols w:num="3" w:equalWidth="0">
            <w:col w:w="4015" w:space="40"/>
            <w:col w:w="1151" w:space="40"/>
            <w:col w:w="3824"/>
          </w:cols>
        </w:sectPr>
      </w:pPr>
    </w:p>
    <w:p>
      <w:pPr>
        <w:pStyle w:val="BodyText"/>
        <w:rPr>
          <w:sz w:val="20"/>
        </w:rPr>
      </w:pPr>
    </w:p>
    <w:p>
      <w:pPr>
        <w:pStyle w:val="BodyText"/>
        <w:spacing w:before="8"/>
        <w:rPr>
          <w:sz w:val="23"/>
        </w:rPr>
      </w:pPr>
    </w:p>
    <w:p>
      <w:pPr>
        <w:pStyle w:val="BodyText"/>
        <w:tabs>
          <w:tab w:pos="2530" w:val="left" w:leader="none"/>
          <w:tab w:pos="2938" w:val="left" w:leader="none"/>
          <w:tab w:pos="4171" w:val="left" w:leader="none"/>
          <w:tab w:pos="5593" w:val="left" w:leader="none"/>
          <w:tab w:pos="6147" w:val="left" w:leader="none"/>
          <w:tab w:pos="7035" w:val="left" w:leader="none"/>
          <w:tab w:pos="8820" w:val="left" w:leader="none"/>
        </w:tabs>
        <w:spacing w:before="69"/>
        <w:ind w:left="810"/>
      </w:pPr>
      <w:r>
        <w:rPr/>
        <w:t>Posteriormente,</w:t>
        <w:tab/>
        <w:t>se</w:t>
        <w:tab/>
        <w:t>introducen</w:t>
        <w:tab/>
        <w:t>restricciones</w:t>
        <w:tab/>
        <w:t>con</w:t>
        <w:tab/>
        <w:t>efectos</w:t>
        <w:tab/>
        <w:t>contemporáneos</w:t>
        <w:tab/>
        <w:t>y</w:t>
      </w:r>
    </w:p>
    <w:p>
      <w:pPr>
        <w:pStyle w:val="BodyText"/>
        <w:spacing w:before="159"/>
        <w:ind w:left="102" w:right="127"/>
      </w:pPr>
      <w:r>
        <w:rPr/>
        <w:pict>
          <v:shape style="position:absolute;margin-left:346.970001pt;margin-top:15.926925pt;width:3.75pt;height:8.550pt;mso-position-horizontal-relative:page;mso-position-vertical-relative:paragraph;z-index:-559912" type="#_x0000_t202" filled="false" stroked="false">
            <v:textbox inset="0,0,0,0">
              <w:txbxContent>
                <w:p>
                  <w:pPr>
                    <w:spacing w:line="170" w:lineRule="exact" w:before="0"/>
                    <w:ind w:left="0" w:right="0" w:firstLine="0"/>
                    <w:jc w:val="left"/>
                    <w:rPr>
                      <w:rFonts w:ascii="Cambria Math"/>
                      <w:sz w:val="17"/>
                    </w:rPr>
                  </w:pPr>
                  <w:r>
                    <w:rPr>
                      <w:rFonts w:ascii="Cambria Math"/>
                      <w:w w:val="200"/>
                      <w:sz w:val="17"/>
                    </w:rPr>
                    <w:t> </w:t>
                  </w:r>
                </w:p>
              </w:txbxContent>
            </v:textbox>
            <w10:wrap type="none"/>
          </v:shape>
        </w:pict>
      </w:r>
      <w:r>
        <w:rPr/>
        <w:pict>
          <v:shape style="position:absolute;margin-left:456.910004pt;margin-top:15.926925pt;width:3.75pt;height:8.550pt;mso-position-horizontal-relative:page;mso-position-vertical-relative:paragraph;z-index:-559888" type="#_x0000_t202" filled="false" stroked="false">
            <v:textbox inset="0,0,0,0">
              <w:txbxContent>
                <w:p>
                  <w:pPr>
                    <w:spacing w:line="170" w:lineRule="exact" w:before="0"/>
                    <w:ind w:left="0" w:right="0" w:firstLine="0"/>
                    <w:jc w:val="left"/>
                    <w:rPr>
                      <w:rFonts w:ascii="Cambria Math"/>
                      <w:sz w:val="17"/>
                    </w:rPr>
                  </w:pPr>
                  <w:r>
                    <w:rPr>
                      <w:rFonts w:ascii="Cambria Math"/>
                      <w:w w:val="200"/>
                      <w:sz w:val="17"/>
                    </w:rPr>
                    <w:t> </w:t>
                  </w:r>
                </w:p>
              </w:txbxContent>
            </v:textbox>
            <w10:wrap type="none"/>
          </v:shape>
        </w:pict>
      </w:r>
      <w:r>
        <w:rPr/>
        <w:t>discrecionales provenientes de choques observados  </w:t>
      </w:r>
      <w:r>
        <w:rPr>
          <w:rFonts w:ascii="Cambria Math"/>
        </w:rPr>
        <w:t>{      } </w:t>
      </w:r>
      <w:r>
        <w:rPr/>
        <w:t>y no observados </w:t>
      </w:r>
      <w:r>
        <w:rPr>
          <w:rFonts w:ascii="Cambria Math"/>
        </w:rPr>
        <w:t>{     }</w:t>
      </w:r>
      <w:r>
        <w:rPr/>
        <w:t>:</w:t>
      </w:r>
    </w:p>
    <w:p>
      <w:pPr>
        <w:pStyle w:val="BodyText"/>
        <w:rPr>
          <w:sz w:val="20"/>
        </w:rPr>
      </w:pPr>
    </w:p>
    <w:p>
      <w:pPr>
        <w:pStyle w:val="BodyText"/>
        <w:rPr>
          <w:sz w:val="20"/>
        </w:rPr>
      </w:pPr>
    </w:p>
    <w:p>
      <w:pPr>
        <w:pStyle w:val="BodyText"/>
        <w:rPr>
          <w:sz w:val="20"/>
        </w:rPr>
      </w:pPr>
    </w:p>
    <w:p>
      <w:pPr>
        <w:pStyle w:val="BodyText"/>
        <w:spacing w:before="204"/>
        <w:ind w:right="442"/>
        <w:jc w:val="right"/>
      </w:pPr>
      <w:r>
        <w:rPr/>
        <w:t>(4.7)</w:t>
      </w:r>
    </w:p>
    <w:p>
      <w:pPr>
        <w:spacing w:after="0"/>
        <w:jc w:val="right"/>
        <w:sectPr>
          <w:type w:val="continuous"/>
          <w:pgSz w:w="12250" w:h="15850"/>
          <w:pgMar w:top="1500" w:bottom="280" w:left="1600" w:right="1580"/>
        </w:sectPr>
      </w:pPr>
    </w:p>
    <w:p>
      <w:pPr>
        <w:pStyle w:val="BodyText"/>
        <w:tabs>
          <w:tab w:pos="3191" w:val="left" w:leader="none"/>
        </w:tabs>
        <w:spacing w:before="229"/>
        <w:ind w:left="423"/>
        <w:rPr>
          <w:rFonts w:ascii="Cambria Math"/>
        </w:rPr>
      </w:pPr>
      <w:r>
        <w:rPr/>
        <w:pict>
          <v:shape style="position:absolute;margin-left:464.109985pt;margin-top:29.506926pt;width:3.75pt;height:8.550pt;mso-position-horizontal-relative:page;mso-position-vertical-relative:paragraph;z-index:-559840" type="#_x0000_t202" filled="false" stroked="false">
            <v:textbox inset="0,0,0,0">
              <w:txbxContent>
                <w:p>
                  <w:pPr>
                    <w:spacing w:line="170" w:lineRule="exact" w:before="0"/>
                    <w:ind w:left="0" w:right="0" w:firstLine="0"/>
                    <w:jc w:val="left"/>
                    <w:rPr>
                      <w:rFonts w:ascii="Cambria Math"/>
                      <w:sz w:val="17"/>
                    </w:rPr>
                  </w:pPr>
                  <w:r>
                    <w:rPr>
                      <w:rFonts w:ascii="Cambria Math"/>
                      <w:w w:val="200"/>
                      <w:sz w:val="17"/>
                    </w:rPr>
                    <w:t> </w:t>
                  </w:r>
                </w:p>
              </w:txbxContent>
            </v:textbox>
            <w10:wrap type="none"/>
          </v:shape>
        </w:pict>
      </w:r>
      <w:r>
        <w:rPr>
          <w:rFonts w:ascii="Cambria Math"/>
        </w:rPr>
        <w:t>[</w:t>
        <w:tab/>
      </w:r>
      <w:r>
        <w:rPr>
          <w:rFonts w:ascii="Cambria Math"/>
        </w:rPr>
        <w:t>]</w:t>
      </w:r>
    </w:p>
    <w:p>
      <w:pPr>
        <w:spacing w:line="266" w:lineRule="exact" w:before="201"/>
        <w:ind w:left="183" w:right="-17" w:firstLine="0"/>
        <w:jc w:val="left"/>
        <w:rPr>
          <w:rFonts w:ascii="Cambria Math"/>
          <w:sz w:val="24"/>
        </w:rPr>
      </w:pPr>
      <w:r>
        <w:rPr/>
        <w:br w:type="column"/>
      </w:r>
      <w:r>
        <w:rPr>
          <w:rFonts w:ascii="Cambria Math"/>
          <w:w w:val="158"/>
          <w:sz w:val="24"/>
        </w:rPr>
        <w:t> </w:t>
      </w:r>
      <w:r>
        <w:rPr>
          <w:rFonts w:ascii="Cambria Math"/>
          <w:spacing w:val="-4"/>
          <w:w w:val="206"/>
          <w:position w:val="11"/>
          <w:sz w:val="24"/>
        </w:rPr>
        <w:t> </w:t>
      </w:r>
      <w:r>
        <w:rPr>
          <w:rFonts w:ascii="Cambria Math"/>
          <w:w w:val="200"/>
          <w:position w:val="4"/>
          <w:sz w:val="17"/>
        </w:rPr>
        <w:t> </w:t>
      </w:r>
      <w:r>
        <w:rPr>
          <w:rFonts w:ascii="Cambria Math"/>
          <w:position w:val="4"/>
          <w:sz w:val="17"/>
        </w:rPr>
        <w:t>   </w:t>
      </w:r>
      <w:r>
        <w:rPr>
          <w:rFonts w:ascii="Cambria Math"/>
          <w:spacing w:val="-2"/>
          <w:position w:val="4"/>
          <w:sz w:val="17"/>
        </w:rPr>
        <w:t> </w:t>
      </w:r>
      <w:r>
        <w:rPr>
          <w:rFonts w:ascii="Cambria Math"/>
          <w:w w:val="158"/>
          <w:sz w:val="24"/>
        </w:rPr>
        <w:t> </w:t>
      </w:r>
      <w:r>
        <w:rPr>
          <w:rFonts w:ascii="Cambria Math"/>
          <w:w w:val="99"/>
          <w:sz w:val="24"/>
        </w:rPr>
        <w:t>[</w:t>
      </w:r>
      <w:r>
        <w:rPr>
          <w:rFonts w:ascii="Cambria Math"/>
          <w:spacing w:val="18"/>
          <w:w w:val="206"/>
          <w:position w:val="2"/>
          <w:sz w:val="24"/>
        </w:rPr>
        <w:t> </w:t>
      </w:r>
      <w:r>
        <w:rPr>
          <w:rFonts w:ascii="Cambria Math"/>
          <w:spacing w:val="-8"/>
          <w:w w:val="288"/>
          <w:position w:val="14"/>
          <w:sz w:val="17"/>
        </w:rPr>
        <w:t> </w:t>
      </w:r>
      <w:r>
        <w:rPr>
          <w:rFonts w:ascii="Cambria Math"/>
          <w:spacing w:val="17"/>
          <w:w w:val="268"/>
          <w:position w:val="11"/>
          <w:sz w:val="14"/>
        </w:rPr>
        <w:t> </w:t>
      </w:r>
      <w:r>
        <w:rPr>
          <w:rFonts w:ascii="Cambria Math"/>
          <w:w w:val="99"/>
          <w:sz w:val="24"/>
        </w:rPr>
        <w:t>]</w:t>
      </w:r>
    </w:p>
    <w:p>
      <w:pPr>
        <w:pStyle w:val="BodyText"/>
        <w:spacing w:before="6"/>
        <w:rPr>
          <w:rFonts w:ascii="Cambria Math"/>
          <w:sz w:val="21"/>
        </w:rPr>
      </w:pPr>
      <w:r>
        <w:rPr/>
        <w:br w:type="column"/>
      </w:r>
      <w:r>
        <w:rPr>
          <w:rFonts w:ascii="Cambria Math"/>
          <w:sz w:val="21"/>
        </w:rPr>
      </w:r>
    </w:p>
    <w:p>
      <w:pPr>
        <w:spacing w:before="0"/>
        <w:ind w:left="324" w:right="-17" w:firstLine="0"/>
        <w:jc w:val="left"/>
        <w:rPr>
          <w:rFonts w:ascii="Cambria Math"/>
          <w:sz w:val="17"/>
        </w:rPr>
      </w:pPr>
      <w:r>
        <w:rPr/>
        <w:pict>
          <v:shape style="position:absolute;margin-left:271.010010pt;margin-top:16.856913pt;width:3.75pt;height:8.550pt;mso-position-horizontal-relative:page;mso-position-vertical-relative:paragraph;z-index:-559864" type="#_x0000_t202" filled="false" stroked="false">
            <v:textbox inset="0,0,0,0">
              <w:txbxContent>
                <w:p>
                  <w:pPr>
                    <w:spacing w:line="170" w:lineRule="exact" w:before="0"/>
                    <w:ind w:left="0" w:right="0" w:firstLine="0"/>
                    <w:jc w:val="left"/>
                    <w:rPr>
                      <w:rFonts w:ascii="Cambria Math"/>
                      <w:sz w:val="17"/>
                    </w:rPr>
                  </w:pPr>
                  <w:r>
                    <w:rPr>
                      <w:rFonts w:ascii="Cambria Math"/>
                      <w:w w:val="200"/>
                      <w:sz w:val="17"/>
                    </w:rPr>
                    <w:t> </w:t>
                  </w:r>
                </w:p>
              </w:txbxContent>
            </v:textbox>
            <w10:wrap type="none"/>
          </v:shape>
        </w:pict>
      </w:r>
      <w:r>
        <w:rPr>
          <w:rFonts w:ascii="Cambria Math"/>
          <w:sz w:val="24"/>
        </w:rPr>
        <w:t>[</w:t>
      </w:r>
      <w:r>
        <w:rPr>
          <w:rFonts w:ascii="Cambria Math"/>
          <w:w w:val="238"/>
          <w:position w:val="5"/>
          <w:sz w:val="24"/>
        </w:rPr>
        <w:t> </w:t>
      </w:r>
      <w:r>
        <w:rPr>
          <w:rFonts w:ascii="Cambria Math"/>
          <w:w w:val="263"/>
          <w:sz w:val="17"/>
        </w:rPr>
        <w:t>  </w:t>
      </w:r>
    </w:p>
    <w:p>
      <w:pPr>
        <w:pStyle w:val="BodyText"/>
        <w:tabs>
          <w:tab w:pos="728" w:val="left" w:leader="none"/>
        </w:tabs>
        <w:spacing w:line="266" w:lineRule="exact" w:before="201"/>
        <w:ind w:left="728" w:right="1080" w:hanging="305"/>
        <w:rPr>
          <w:rFonts w:ascii="Cambria Math"/>
        </w:rPr>
      </w:pPr>
      <w:r>
        <w:rPr/>
        <w:br w:type="column"/>
      </w:r>
      <w:r>
        <w:rPr>
          <w:rFonts w:ascii="Cambria Math"/>
          <w:position w:val="-5"/>
        </w:rPr>
        <w:t>]</w:t>
        <w:tab/>
      </w:r>
      <w:r>
        <w:rPr>
          <w:rFonts w:ascii="Cambria Math"/>
        </w:rPr>
        <w:t>[     </w:t>
      </w:r>
      <w:r>
        <w:rPr>
          <w:rFonts w:ascii="Cambria Math"/>
          <w:spacing w:val="26"/>
        </w:rPr>
        <w:t> </w:t>
      </w:r>
      <w:r>
        <w:rPr>
          <w:rFonts w:ascii="Cambria Math"/>
        </w:rPr>
        <w:t>]</w:t>
      </w:r>
    </w:p>
    <w:p>
      <w:pPr>
        <w:spacing w:after="0" w:line="266" w:lineRule="exact"/>
        <w:rPr>
          <w:rFonts w:ascii="Cambria Math"/>
        </w:rPr>
        <w:sectPr>
          <w:type w:val="continuous"/>
          <w:pgSz w:w="12250" w:h="15850"/>
          <w:pgMar w:top="1500" w:bottom="280" w:left="1600" w:right="1580"/>
          <w:cols w:num="4" w:equalWidth="0">
            <w:col w:w="3408" w:space="40"/>
            <w:col w:w="681" w:space="40"/>
            <w:col w:w="726" w:space="1844"/>
            <w:col w:w="2331"/>
          </w:cols>
        </w:sectPr>
      </w:pPr>
    </w:p>
    <w:p>
      <w:pPr>
        <w:pStyle w:val="BodyText"/>
        <w:spacing w:before="138"/>
        <w:ind w:left="810" w:right="127"/>
      </w:pPr>
      <w:r>
        <w:rPr/>
        <w:t>La matriz     corresponde a efectos contemporáneos (estabilizadores automáticos y/o</w:t>
      </w:r>
    </w:p>
    <w:p>
      <w:pPr>
        <w:spacing w:line="26" w:lineRule="exact" w:before="172"/>
        <w:ind w:left="2065" w:right="0" w:firstLine="0"/>
        <w:jc w:val="center"/>
        <w:rPr>
          <w:rFonts w:ascii="Cambria Math"/>
          <w:sz w:val="14"/>
        </w:rPr>
      </w:pPr>
      <w:r>
        <w:rPr>
          <w:rFonts w:ascii="Cambria Math"/>
          <w:w w:val="288"/>
          <w:sz w:val="17"/>
        </w:rPr>
        <w:t> </w:t>
      </w:r>
      <w:r>
        <w:rPr>
          <w:rFonts w:ascii="Cambria Math"/>
          <w:w w:val="169"/>
          <w:position w:val="-3"/>
          <w:sz w:val="14"/>
        </w:rPr>
        <w:t> </w:t>
      </w:r>
    </w:p>
    <w:p>
      <w:pPr>
        <w:pStyle w:val="BodyText"/>
        <w:spacing w:line="248" w:lineRule="exact"/>
        <w:ind w:left="102"/>
      </w:pPr>
      <w:r>
        <w:rPr/>
        <w:t>respuestas instantáneas)   de los choques observados </w:t>
      </w:r>
      <w:r>
        <w:rPr>
          <w:rFonts w:ascii="Cambria Math" w:hAnsi="Cambria Math"/>
        </w:rPr>
        <w:t>{      }</w:t>
      </w:r>
      <w:r>
        <w:rPr/>
        <w:t>. En    , se imponen </w:t>
      </w:r>
      <w:r>
        <w:rPr>
          <w:spacing w:val="50"/>
        </w:rPr>
        <w:t> </w:t>
      </w:r>
      <w:r>
        <w:rPr/>
        <w:t>restricciones</w:t>
      </w:r>
    </w:p>
    <w:p>
      <w:pPr>
        <w:pStyle w:val="BodyText"/>
        <w:spacing w:line="360" w:lineRule="auto" w:before="162"/>
        <w:ind w:left="102"/>
      </w:pPr>
      <w:r>
        <w:rPr/>
        <w:t>para captar la reacción de la política fiscal, es decir, como se responde frente a choques no esperados del precio del gas natural e innovaciones institucionales de las finanzas   públicas</w:t>
      </w:r>
    </w:p>
    <w:p>
      <w:pPr>
        <w:spacing w:line="26" w:lineRule="exact" w:before="36"/>
        <w:ind w:left="344" w:right="0" w:firstLine="0"/>
        <w:jc w:val="left"/>
        <w:rPr>
          <w:rFonts w:ascii="Cambria Math"/>
          <w:sz w:val="14"/>
        </w:rPr>
      </w:pPr>
      <w:r>
        <w:rPr>
          <w:rFonts w:ascii="Cambria Math"/>
          <w:w w:val="288"/>
          <w:sz w:val="17"/>
        </w:rPr>
        <w:t> </w:t>
      </w:r>
      <w:r>
        <w:rPr>
          <w:rFonts w:ascii="Cambria Math"/>
          <w:w w:val="169"/>
          <w:position w:val="-3"/>
          <w:sz w:val="14"/>
        </w:rPr>
        <w:t> </w:t>
      </w:r>
    </w:p>
    <w:p>
      <w:pPr>
        <w:pStyle w:val="BodyText"/>
        <w:spacing w:line="248" w:lineRule="exact"/>
        <w:ind w:left="102" w:right="127"/>
      </w:pPr>
      <w:r>
        <w:rPr>
          <w:rFonts w:ascii="Cambria Math"/>
        </w:rPr>
        <w:t>{      }</w:t>
      </w:r>
      <w:r>
        <w:rPr/>
        <w:t>.</w:t>
      </w:r>
    </w:p>
    <w:p>
      <w:pPr>
        <w:spacing w:after="0" w:line="248" w:lineRule="exact"/>
        <w:sectPr>
          <w:type w:val="continuous"/>
          <w:pgSz w:w="12250" w:h="15850"/>
          <w:pgMar w:top="1500" w:bottom="280" w:left="1600" w:right="1580"/>
        </w:sectPr>
      </w:pPr>
    </w:p>
    <w:p>
      <w:pPr>
        <w:pStyle w:val="BodyText"/>
        <w:spacing w:before="50"/>
        <w:ind w:left="102" w:firstLine="707"/>
      </w:pPr>
      <w:r>
        <w:rPr/>
        <w:t>Se  parte  desde  la  teoría  económica  para imponer  las  restricciones  que permitan</w:t>
      </w:r>
    </w:p>
    <w:p>
      <w:pPr>
        <w:pStyle w:val="BodyText"/>
        <w:spacing w:line="234" w:lineRule="exact" w:before="214"/>
        <w:ind w:left="102" w:right="127"/>
      </w:pPr>
      <w:r>
        <w:rPr/>
        <w:pict>
          <v:line style="position:absolute;mso-position-horizontal-relative:page;mso-position-vertical-relative:paragraph;z-index:-559792" from="394.269989pt,18.682322pt" to="423.789989pt,18.682322pt" stroked="true" strokeweight=".84pt" strokecolor="#000000">
            <w10:wrap type="none"/>
          </v:line>
        </w:pict>
      </w:r>
      <w:r>
        <w:rPr/>
        <w:t>obtener un modelo identificado: quince parámetros estimados </w:t>
      </w:r>
      <w:r>
        <w:rPr>
          <w:rFonts w:ascii="Cambria Math" w:hAnsi="Cambria Math"/>
        </w:rPr>
        <w:t>(           ) </w:t>
      </w:r>
      <w:r>
        <w:rPr/>
        <w:t>o diez   restricciones</w:t>
      </w:r>
    </w:p>
    <w:p>
      <w:pPr>
        <w:spacing w:line="152" w:lineRule="exact" w:before="0"/>
        <w:ind w:left="0" w:right="2431" w:firstLine="0"/>
        <w:jc w:val="right"/>
        <w:rPr>
          <w:rFonts w:ascii="Cambria Math"/>
          <w:sz w:val="17"/>
        </w:rPr>
      </w:pPr>
      <w:r>
        <w:rPr/>
        <w:pict>
          <v:shape style="position:absolute;margin-left:147.619995pt;margin-top:13.504251pt;width:4.150pt;height:7pt;mso-position-horizontal-relative:page;mso-position-vertical-relative:paragraph;z-index:12304;mso-wrap-distance-left:0;mso-wrap-distance-right:0" type="#_x0000_t202" filled="false" stroked="false">
            <v:textbox inset="0,0,0,0">
              <w:txbxContent>
                <w:p>
                  <w:pPr>
                    <w:spacing w:line="139" w:lineRule="exact" w:before="0"/>
                    <w:ind w:left="0" w:right="0" w:firstLine="0"/>
                    <w:jc w:val="left"/>
                    <w:rPr>
                      <w:rFonts w:ascii="Cambria Math"/>
                      <w:sz w:val="14"/>
                    </w:rPr>
                  </w:pPr>
                  <w:r>
                    <w:rPr>
                      <w:rFonts w:ascii="Cambria Math"/>
                      <w:w w:val="268"/>
                      <w:sz w:val="14"/>
                    </w:rPr>
                    <w:t> </w:t>
                  </w:r>
                </w:p>
              </w:txbxContent>
            </v:textbox>
            <w10:wrap type="topAndBottom"/>
          </v:shape>
        </w:pict>
      </w:r>
      <w:r>
        <w:rPr>
          <w:rFonts w:ascii="Cambria Math"/>
          <w:w w:val="263"/>
          <w:sz w:val="17"/>
        </w:rPr>
        <w:t> </w:t>
      </w:r>
    </w:p>
    <w:p>
      <w:pPr>
        <w:pStyle w:val="BodyText"/>
        <w:spacing w:line="168" w:lineRule="exact"/>
        <w:ind w:left="102" w:right="127"/>
      </w:pPr>
      <w:r>
        <w:rPr>
          <w:w w:val="105"/>
        </w:rPr>
        <w:t>impuestas </w:t>
      </w:r>
      <w:r>
        <w:rPr>
          <w:rFonts w:ascii="Cambria Math"/>
          <w:w w:val="105"/>
        </w:rPr>
        <w:t>(      ) </w:t>
      </w:r>
      <w:r>
        <w:rPr>
          <w:w w:val="105"/>
        </w:rPr>
        <w:t>(coeficientes ceros).</w:t>
      </w:r>
    </w:p>
    <w:p>
      <w:pPr>
        <w:spacing w:line="152" w:lineRule="exact" w:before="0"/>
        <w:ind w:left="1410" w:right="0" w:firstLine="0"/>
        <w:jc w:val="left"/>
        <w:rPr>
          <w:rFonts w:ascii="Cambria Math"/>
          <w:sz w:val="17"/>
        </w:rPr>
      </w:pPr>
      <w:r>
        <w:rPr/>
        <w:pict>
          <v:line style="position:absolute;mso-position-horizontal-relative:page;mso-position-vertical-relative:paragraph;z-index:-559768" from="141.979996pt,-3.714653pt" to="164.059996pt,-3.714653pt" stroked="true" strokeweight=".84pt" strokecolor="#000000">
            <w10:wrap type="none"/>
          </v:line>
        </w:pict>
      </w:r>
      <w:r>
        <w:rPr>
          <w:rFonts w:ascii="Cambria Math"/>
          <w:w w:val="263"/>
          <w:sz w:val="17"/>
        </w:rPr>
        <w:t> </w:t>
      </w:r>
    </w:p>
    <w:p>
      <w:pPr>
        <w:pStyle w:val="BodyText"/>
        <w:spacing w:line="360" w:lineRule="auto" w:before="107"/>
        <w:ind w:left="102" w:right="122" w:firstLine="707"/>
        <w:jc w:val="both"/>
      </w:pPr>
      <w:r>
        <w:rPr/>
        <w:t>Se asumen dos aspectos: existen efectos automáticos de unas variables sobre otras a la vez que demora tiempo en que la política fiscal reaccione frente a los diversos choques incluidos.</w:t>
      </w:r>
    </w:p>
    <w:p>
      <w:pPr>
        <w:pStyle w:val="BodyText"/>
        <w:spacing w:line="360" w:lineRule="auto" w:before="6"/>
        <w:ind w:left="102" w:right="117" w:firstLine="707"/>
        <w:jc w:val="both"/>
      </w:pPr>
      <w:r>
        <w:rPr/>
        <w:t>Se toman los siguientes supuestos contemporáneos: (i) un choque positivo en el precio del gas natural influye negativamente en la asignación de ingresos fiscales gasíferos al gasto de capital ; (ii) un choque positivo en la asignación de ingresos gasíferos afecta negativamente a la asignación de ingresos no gasíferos al gasto corriente ; (iii) un choque positivo de la asignación de recursos no gasíferos afecta negativamente al balance primario no gasífero.</w:t>
      </w:r>
    </w:p>
    <w:p>
      <w:pPr>
        <w:pStyle w:val="BodyText"/>
        <w:spacing w:line="360" w:lineRule="auto" w:before="6"/>
        <w:ind w:left="102" w:right="119" w:firstLine="707"/>
        <w:jc w:val="both"/>
      </w:pPr>
      <w:r>
        <w:rPr/>
        <w:t>En (4.7) se imponen las siguientes restricciones sobre las perturbaciones de las variables endógenas:</w:t>
      </w:r>
    </w:p>
    <w:p>
      <w:pPr>
        <w:pStyle w:val="ListParagraph"/>
        <w:numPr>
          <w:ilvl w:val="3"/>
          <w:numId w:val="15"/>
        </w:numPr>
        <w:tabs>
          <w:tab w:pos="822" w:val="left" w:leader="none"/>
        </w:tabs>
        <w:spacing w:line="240" w:lineRule="auto" w:before="6" w:after="0"/>
        <w:ind w:left="822" w:right="0" w:hanging="360"/>
        <w:jc w:val="left"/>
        <w:rPr>
          <w:sz w:val="24"/>
        </w:rPr>
      </w:pPr>
      <w:r>
        <w:rPr>
          <w:sz w:val="24"/>
        </w:rPr>
        <w:t>Los choques del precio del gas natural son</w:t>
      </w:r>
      <w:r>
        <w:rPr>
          <w:spacing w:val="-6"/>
          <w:sz w:val="24"/>
        </w:rPr>
        <w:t> </w:t>
      </w:r>
      <w:r>
        <w:rPr>
          <w:sz w:val="24"/>
        </w:rPr>
        <w:t>exógenos.</w:t>
      </w:r>
    </w:p>
    <w:p>
      <w:pPr>
        <w:pStyle w:val="ListParagraph"/>
        <w:numPr>
          <w:ilvl w:val="3"/>
          <w:numId w:val="15"/>
        </w:numPr>
        <w:tabs>
          <w:tab w:pos="822" w:val="left" w:leader="none"/>
        </w:tabs>
        <w:spacing w:line="360" w:lineRule="auto" w:before="137" w:after="0"/>
        <w:ind w:left="822" w:right="119" w:hanging="360"/>
        <w:jc w:val="both"/>
        <w:rPr>
          <w:sz w:val="24"/>
        </w:rPr>
      </w:pPr>
      <w:r>
        <w:rPr>
          <w:sz w:val="24"/>
        </w:rPr>
        <w:t>La asignación de ingresos fiscales del gas natural al gasto de capital responde a los choques de precios del recurso natural en dos mecanismos: contemporánea (en el mismo trimestre) y discrecionalmente (en algún tiempo</w:t>
      </w:r>
      <w:r>
        <w:rPr>
          <w:spacing w:val="-11"/>
          <w:sz w:val="24"/>
        </w:rPr>
        <w:t> </w:t>
      </w:r>
      <w:r>
        <w:rPr>
          <w:sz w:val="24"/>
        </w:rPr>
        <w:t>después).</w:t>
      </w:r>
    </w:p>
    <w:p>
      <w:pPr>
        <w:pStyle w:val="ListParagraph"/>
        <w:numPr>
          <w:ilvl w:val="3"/>
          <w:numId w:val="15"/>
        </w:numPr>
        <w:tabs>
          <w:tab w:pos="822" w:val="left" w:leader="none"/>
        </w:tabs>
        <w:spacing w:line="360" w:lineRule="auto" w:before="6" w:after="0"/>
        <w:ind w:left="822" w:right="119" w:hanging="360"/>
        <w:jc w:val="both"/>
        <w:rPr>
          <w:sz w:val="24"/>
        </w:rPr>
      </w:pPr>
      <w:r>
        <w:rPr>
          <w:sz w:val="24"/>
        </w:rPr>
        <w:t>La asignación de ingresos no gasíferos al gasto corriente es afectada por los choques del precio del gas  natural y la asignación de ingresos fiscales</w:t>
      </w:r>
      <w:r>
        <w:rPr>
          <w:spacing w:val="-12"/>
          <w:sz w:val="24"/>
        </w:rPr>
        <w:t> </w:t>
      </w:r>
      <w:r>
        <w:rPr>
          <w:sz w:val="24"/>
        </w:rPr>
        <w:t>gasíferos.</w:t>
      </w:r>
    </w:p>
    <w:p>
      <w:pPr>
        <w:pStyle w:val="ListParagraph"/>
        <w:numPr>
          <w:ilvl w:val="3"/>
          <w:numId w:val="15"/>
        </w:numPr>
        <w:tabs>
          <w:tab w:pos="822" w:val="left" w:leader="none"/>
        </w:tabs>
        <w:spacing w:line="360" w:lineRule="auto" w:before="6" w:after="0"/>
        <w:ind w:left="822" w:right="116" w:hanging="360"/>
        <w:jc w:val="both"/>
        <w:rPr>
          <w:sz w:val="24"/>
        </w:rPr>
      </w:pPr>
      <w:r>
        <w:rPr>
          <w:sz w:val="24"/>
        </w:rPr>
        <w:t>El balance primario no gasífero responde ante efectos automáticos y con rezago de tiempo proveniente de los choques de precio del gas natural y de la asignación de ingresos fiscales gasíferos y no gasíferos al gasto público (capital y</w:t>
      </w:r>
      <w:r>
        <w:rPr>
          <w:spacing w:val="-12"/>
          <w:sz w:val="24"/>
        </w:rPr>
        <w:t> </w:t>
      </w:r>
      <w:r>
        <w:rPr>
          <w:sz w:val="24"/>
        </w:rPr>
        <w:t>corriente).</w:t>
      </w:r>
    </w:p>
    <w:p>
      <w:pPr>
        <w:pStyle w:val="ListParagraph"/>
        <w:numPr>
          <w:ilvl w:val="3"/>
          <w:numId w:val="15"/>
        </w:numPr>
        <w:tabs>
          <w:tab w:pos="822" w:val="left" w:leader="none"/>
        </w:tabs>
        <w:spacing w:line="360" w:lineRule="auto" w:before="4" w:after="0"/>
        <w:ind w:left="822" w:right="120" w:hanging="360"/>
        <w:jc w:val="both"/>
        <w:rPr>
          <w:sz w:val="24"/>
        </w:rPr>
      </w:pPr>
      <w:r>
        <w:rPr>
          <w:sz w:val="24"/>
        </w:rPr>
        <w:t>La deuda pública reacciona frente a las perturbaciones de todas las variables previamente</w:t>
      </w:r>
      <w:r>
        <w:rPr>
          <w:spacing w:val="-4"/>
          <w:sz w:val="24"/>
        </w:rPr>
        <w:t> </w:t>
      </w:r>
      <w:r>
        <w:rPr>
          <w:sz w:val="24"/>
        </w:rPr>
        <w:t>mencionadas.</w:t>
      </w:r>
    </w:p>
    <w:p>
      <w:pPr>
        <w:pStyle w:val="BodyText"/>
        <w:spacing w:before="205"/>
        <w:ind w:left="810" w:right="127"/>
      </w:pPr>
      <w:r>
        <w:rPr/>
        <w:t>Llevando (4.7) a una forma reducida, se obtiene:</w:t>
      </w:r>
    </w:p>
    <w:p>
      <w:pPr>
        <w:spacing w:after="0"/>
        <w:sectPr>
          <w:pgSz w:w="12250" w:h="15850"/>
          <w:pgMar w:header="0" w:footer="1037" w:top="1360" w:bottom="1220" w:left="1600" w:right="1580"/>
        </w:sectPr>
      </w:pPr>
    </w:p>
    <w:tbl>
      <w:tblPr>
        <w:tblW w:w="0" w:type="auto"/>
        <w:jc w:val="left"/>
        <w:tblInd w:w="312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39"/>
        <w:gridCol w:w="530"/>
        <w:gridCol w:w="577"/>
        <w:gridCol w:w="391"/>
      </w:tblGrid>
      <w:tr>
        <w:trPr>
          <w:trHeight w:val="381" w:hRule="exact"/>
        </w:trPr>
        <w:tc>
          <w:tcPr>
            <w:tcW w:w="539" w:type="dxa"/>
          </w:tcPr>
          <w:p>
            <w:pPr>
              <w:pStyle w:val="TableParagraph"/>
              <w:spacing w:before="66"/>
              <w:ind w:right="127"/>
              <w:rPr>
                <w:rFonts w:ascii="Cambria Math"/>
                <w:sz w:val="24"/>
              </w:rPr>
            </w:pPr>
            <w:r>
              <w:rPr>
                <w:rFonts w:ascii="Cambria Math"/>
                <w:w w:val="251"/>
                <w:sz w:val="24"/>
              </w:rPr>
              <w:t> </w:t>
            </w:r>
          </w:p>
        </w:tc>
        <w:tc>
          <w:tcPr>
            <w:tcW w:w="530" w:type="dxa"/>
          </w:tcPr>
          <w:p>
            <w:pPr>
              <w:pStyle w:val="TableParagraph"/>
              <w:spacing w:before="90"/>
              <w:ind w:right="44"/>
              <w:rPr>
                <w:rFonts w:ascii="Cambria Math"/>
                <w:sz w:val="24"/>
              </w:rPr>
            </w:pPr>
            <w:r>
              <w:rPr>
                <w:rFonts w:ascii="Cambria Math"/>
                <w:w w:val="251"/>
                <w:sz w:val="24"/>
              </w:rPr>
              <w:t> </w:t>
            </w:r>
          </w:p>
        </w:tc>
        <w:tc>
          <w:tcPr>
            <w:tcW w:w="577" w:type="dxa"/>
          </w:tcPr>
          <w:p>
            <w:pPr>
              <w:pStyle w:val="TableParagraph"/>
              <w:spacing w:before="100"/>
              <w:ind w:right="1"/>
              <w:rPr>
                <w:rFonts w:ascii="Cambria Math"/>
                <w:sz w:val="24"/>
              </w:rPr>
            </w:pPr>
            <w:r>
              <w:rPr>
                <w:rFonts w:ascii="Cambria Math"/>
                <w:w w:val="251"/>
                <w:sz w:val="24"/>
              </w:rPr>
              <w:t> </w:t>
            </w:r>
          </w:p>
        </w:tc>
        <w:tc>
          <w:tcPr>
            <w:tcW w:w="391" w:type="dxa"/>
          </w:tcPr>
          <w:p>
            <w:pPr>
              <w:pStyle w:val="TableParagraph"/>
              <w:spacing w:before="107"/>
              <w:ind w:right="33"/>
              <w:jc w:val="right"/>
              <w:rPr>
                <w:rFonts w:ascii="Cambria Math"/>
                <w:sz w:val="24"/>
              </w:rPr>
            </w:pPr>
            <w:r>
              <w:rPr>
                <w:rFonts w:ascii="Cambria Math"/>
                <w:w w:val="251"/>
                <w:sz w:val="24"/>
              </w:rPr>
              <w:t> </w:t>
            </w:r>
          </w:p>
        </w:tc>
      </w:tr>
      <w:tr>
        <w:trPr>
          <w:trHeight w:val="281" w:hRule="exact"/>
        </w:trPr>
        <w:tc>
          <w:tcPr>
            <w:tcW w:w="539" w:type="dxa"/>
          </w:tcPr>
          <w:p>
            <w:pPr>
              <w:pStyle w:val="TableParagraph"/>
              <w:spacing w:before="81"/>
              <w:ind w:right="138"/>
              <w:rPr>
                <w:rFonts w:ascii="Cambria Math"/>
                <w:sz w:val="17"/>
              </w:rPr>
            </w:pPr>
            <w:r>
              <w:rPr>
                <w:rFonts w:ascii="Cambria Math"/>
                <w:spacing w:val="-14"/>
                <w:w w:val="275"/>
                <w:position w:val="5"/>
                <w:sz w:val="24"/>
              </w:rPr>
              <w:t> </w:t>
            </w:r>
            <w:r>
              <w:rPr>
                <w:rFonts w:ascii="Cambria Math"/>
                <w:spacing w:val="-1"/>
                <w:w w:val="263"/>
                <w:sz w:val="17"/>
              </w:rPr>
              <w:t>  </w:t>
            </w:r>
          </w:p>
        </w:tc>
        <w:tc>
          <w:tcPr>
            <w:tcW w:w="530" w:type="dxa"/>
          </w:tcPr>
          <w:p>
            <w:pPr>
              <w:pStyle w:val="TableParagraph"/>
              <w:spacing w:line="272" w:lineRule="exact"/>
              <w:ind w:right="44"/>
              <w:rPr>
                <w:rFonts w:ascii="Cambria Math"/>
                <w:sz w:val="24"/>
              </w:rPr>
            </w:pPr>
            <w:r>
              <w:rPr>
                <w:rFonts w:ascii="Cambria Math"/>
                <w:w w:val="251"/>
                <w:sz w:val="24"/>
              </w:rPr>
              <w:t> </w:t>
            </w:r>
          </w:p>
        </w:tc>
        <w:tc>
          <w:tcPr>
            <w:tcW w:w="577" w:type="dxa"/>
          </w:tcPr>
          <w:p>
            <w:pPr>
              <w:pStyle w:val="TableParagraph"/>
              <w:ind w:right="1"/>
              <w:rPr>
                <w:rFonts w:ascii="Cambria Math"/>
                <w:sz w:val="24"/>
              </w:rPr>
            </w:pPr>
            <w:r>
              <w:rPr>
                <w:rFonts w:ascii="Cambria Math"/>
                <w:w w:val="251"/>
                <w:sz w:val="24"/>
              </w:rPr>
              <w:t> </w:t>
            </w:r>
          </w:p>
        </w:tc>
        <w:tc>
          <w:tcPr>
            <w:tcW w:w="391" w:type="dxa"/>
          </w:tcPr>
          <w:p>
            <w:pPr>
              <w:pStyle w:val="TableParagraph"/>
              <w:spacing w:before="7"/>
              <w:ind w:right="33"/>
              <w:jc w:val="right"/>
              <w:rPr>
                <w:rFonts w:ascii="Cambria Math"/>
                <w:sz w:val="24"/>
              </w:rPr>
            </w:pPr>
            <w:r>
              <w:rPr>
                <w:rFonts w:ascii="Cambria Math"/>
                <w:w w:val="251"/>
                <w:sz w:val="24"/>
              </w:rPr>
              <w:t> </w:t>
            </w:r>
          </w:p>
        </w:tc>
      </w:tr>
    </w:tbl>
    <w:p>
      <w:pPr>
        <w:pStyle w:val="BodyText"/>
        <w:spacing w:before="3"/>
        <w:ind w:right="1655"/>
        <w:jc w:val="right"/>
      </w:pPr>
      <w:r>
        <w:rPr/>
        <w:t>(4.8)</w:t>
      </w:r>
    </w:p>
    <w:p>
      <w:pPr>
        <w:spacing w:after="0"/>
        <w:jc w:val="right"/>
        <w:sectPr>
          <w:pgSz w:w="12250" w:h="15850"/>
          <w:pgMar w:header="0" w:footer="1037" w:top="1480" w:bottom="1220" w:left="1600" w:right="1580"/>
        </w:sectPr>
      </w:pPr>
    </w:p>
    <w:p>
      <w:pPr>
        <w:spacing w:line="266" w:lineRule="exact" w:before="201"/>
        <w:ind w:left="0" w:right="0" w:firstLine="0"/>
        <w:jc w:val="right"/>
        <w:rPr>
          <w:rFonts w:ascii="Cambria Math"/>
          <w:sz w:val="24"/>
        </w:rPr>
      </w:pPr>
      <w:r>
        <w:rPr/>
        <w:pict>
          <v:shape style="position:absolute;margin-left:171.380005pt;margin-top:29.504587pt;width:3.75pt;height:8.550pt;mso-position-horizontal-relative:page;mso-position-vertical-relative:paragraph;z-index:-559744" type="#_x0000_t202" filled="false" stroked="false">
            <v:textbox inset="0,0,0,0">
              <w:txbxContent>
                <w:p>
                  <w:pPr>
                    <w:spacing w:line="170" w:lineRule="exact" w:before="0"/>
                    <w:ind w:left="0" w:right="0" w:firstLine="0"/>
                    <w:jc w:val="left"/>
                    <w:rPr>
                      <w:rFonts w:ascii="Cambria Math"/>
                      <w:sz w:val="17"/>
                    </w:rPr>
                  </w:pPr>
                  <w:r>
                    <w:rPr>
                      <w:rFonts w:ascii="Cambria Math"/>
                      <w:w w:val="200"/>
                      <w:sz w:val="17"/>
                    </w:rPr>
                    <w:t> </w:t>
                  </w:r>
                </w:p>
              </w:txbxContent>
            </v:textbox>
            <w10:wrap type="none"/>
          </v:shape>
        </w:pict>
      </w:r>
      <w:r>
        <w:rPr>
          <w:rFonts w:ascii="Cambria Math"/>
          <w:w w:val="158"/>
          <w:sz w:val="24"/>
        </w:rPr>
        <w:t> </w:t>
      </w:r>
      <w:r>
        <w:rPr>
          <w:rFonts w:ascii="Cambria Math"/>
          <w:spacing w:val="-4"/>
          <w:w w:val="206"/>
          <w:position w:val="11"/>
          <w:sz w:val="24"/>
        </w:rPr>
        <w:t> </w:t>
      </w:r>
      <w:r>
        <w:rPr>
          <w:rFonts w:ascii="Cambria Math"/>
          <w:w w:val="200"/>
          <w:position w:val="4"/>
          <w:sz w:val="17"/>
        </w:rPr>
        <w:t> </w:t>
      </w:r>
      <w:r>
        <w:rPr>
          <w:rFonts w:ascii="Cambria Math"/>
          <w:position w:val="4"/>
          <w:sz w:val="17"/>
        </w:rPr>
        <w:t>   </w:t>
      </w:r>
      <w:r>
        <w:rPr>
          <w:rFonts w:ascii="Cambria Math"/>
          <w:spacing w:val="-2"/>
          <w:position w:val="4"/>
          <w:sz w:val="17"/>
        </w:rPr>
        <w:t> </w:t>
      </w:r>
      <w:r>
        <w:rPr>
          <w:rFonts w:ascii="Cambria Math"/>
          <w:w w:val="158"/>
          <w:sz w:val="24"/>
        </w:rPr>
        <w:t> </w:t>
      </w:r>
      <w:r>
        <w:rPr>
          <w:rFonts w:ascii="Cambria Math"/>
          <w:w w:val="99"/>
          <w:sz w:val="24"/>
        </w:rPr>
        <w:t>[</w:t>
      </w:r>
      <w:r>
        <w:rPr>
          <w:rFonts w:ascii="Cambria Math"/>
          <w:spacing w:val="18"/>
          <w:w w:val="206"/>
          <w:position w:val="2"/>
          <w:sz w:val="24"/>
        </w:rPr>
        <w:t> </w:t>
      </w:r>
      <w:r>
        <w:rPr>
          <w:rFonts w:ascii="Cambria Math"/>
          <w:spacing w:val="-8"/>
          <w:w w:val="288"/>
          <w:position w:val="14"/>
          <w:sz w:val="17"/>
        </w:rPr>
        <w:t> </w:t>
      </w:r>
      <w:r>
        <w:rPr>
          <w:rFonts w:ascii="Cambria Math"/>
          <w:spacing w:val="17"/>
          <w:w w:val="268"/>
          <w:position w:val="11"/>
          <w:sz w:val="14"/>
        </w:rPr>
        <w:t> </w:t>
      </w:r>
      <w:r>
        <w:rPr>
          <w:rFonts w:ascii="Cambria Math"/>
          <w:w w:val="99"/>
          <w:sz w:val="24"/>
        </w:rPr>
        <w:t>]</w:t>
      </w:r>
    </w:p>
    <w:p>
      <w:pPr>
        <w:spacing w:line="244" w:lineRule="exact" w:before="86"/>
        <w:ind w:left="324" w:right="-15" w:firstLine="0"/>
        <w:jc w:val="left"/>
        <w:rPr>
          <w:rFonts w:ascii="Cambria Math"/>
          <w:sz w:val="17"/>
        </w:rPr>
      </w:pPr>
      <w:r>
        <w:rPr/>
        <w:br w:type="column"/>
      </w:r>
      <w:r>
        <w:rPr>
          <w:rFonts w:ascii="Cambria Math"/>
          <w:spacing w:val="5"/>
          <w:w w:val="158"/>
          <w:position w:val="2"/>
          <w:sz w:val="24"/>
        </w:rPr>
        <w:t> </w:t>
      </w:r>
      <w:r>
        <w:rPr>
          <w:rFonts w:ascii="Cambria Math"/>
          <w:spacing w:val="-24"/>
          <w:w w:val="275"/>
          <w:position w:val="5"/>
          <w:sz w:val="24"/>
        </w:rPr>
        <w:t> </w:t>
      </w:r>
      <w:r>
        <w:rPr>
          <w:rFonts w:ascii="Cambria Math"/>
          <w:spacing w:val="-1"/>
          <w:w w:val="263"/>
          <w:sz w:val="17"/>
        </w:rPr>
        <w:t>  </w:t>
      </w:r>
      <w:r>
        <w:rPr>
          <w:rFonts w:ascii="Cambria Math"/>
          <w:w w:val="99"/>
          <w:sz w:val="24"/>
        </w:rPr>
        <w:t>[</w:t>
      </w:r>
      <w:r>
        <w:rPr>
          <w:rFonts w:ascii="Cambria Math"/>
          <w:spacing w:val="-14"/>
          <w:w w:val="275"/>
          <w:sz w:val="24"/>
        </w:rPr>
        <w:t> </w:t>
      </w:r>
      <w:r>
        <w:rPr>
          <w:rFonts w:ascii="Cambria Math"/>
          <w:spacing w:val="-1"/>
          <w:w w:val="263"/>
          <w:position w:val="-4"/>
          <w:sz w:val="17"/>
        </w:rPr>
        <w:t>  </w:t>
      </w:r>
    </w:p>
    <w:p>
      <w:pPr>
        <w:pStyle w:val="BodyText"/>
        <w:spacing w:before="5"/>
        <w:rPr>
          <w:rFonts w:ascii="Cambria Math"/>
          <w:sz w:val="25"/>
        </w:rPr>
      </w:pPr>
      <w:r>
        <w:rPr/>
        <w:br w:type="column"/>
      </w:r>
      <w:r>
        <w:rPr>
          <w:rFonts w:ascii="Cambria Math"/>
          <w:sz w:val="25"/>
        </w:rPr>
      </w:r>
    </w:p>
    <w:p>
      <w:pPr>
        <w:spacing w:before="0"/>
        <w:ind w:left="0" w:right="0" w:firstLine="0"/>
        <w:jc w:val="right"/>
        <w:rPr>
          <w:rFonts w:ascii="Cambria Math"/>
          <w:sz w:val="24"/>
        </w:rPr>
      </w:pPr>
      <w:r>
        <w:rPr/>
        <w:pict>
          <v:shape style="position:absolute;margin-left:367.51001pt;margin-top:14.576916pt;width:3.75pt;height:8.550pt;mso-position-horizontal-relative:page;mso-position-vertical-relative:paragraph;z-index:-559720" type="#_x0000_t202" filled="false" stroked="false">
            <v:textbox inset="0,0,0,0">
              <w:txbxContent>
                <w:p>
                  <w:pPr>
                    <w:spacing w:line="170" w:lineRule="exact" w:before="0"/>
                    <w:ind w:left="0" w:right="0" w:firstLine="0"/>
                    <w:jc w:val="left"/>
                    <w:rPr>
                      <w:rFonts w:ascii="Cambria Math"/>
                      <w:sz w:val="17"/>
                    </w:rPr>
                  </w:pPr>
                  <w:r>
                    <w:rPr>
                      <w:rFonts w:ascii="Cambria Math"/>
                      <w:w w:val="200"/>
                      <w:sz w:val="17"/>
                    </w:rPr>
                    <w:t> </w:t>
                  </w:r>
                </w:p>
              </w:txbxContent>
            </v:textbox>
            <w10:wrap type="none"/>
          </v:shape>
        </w:pict>
      </w:r>
      <w:r>
        <w:rPr>
          <w:rFonts w:ascii="Cambria Math"/>
          <w:w w:val="275"/>
          <w:position w:val="5"/>
          <w:sz w:val="24"/>
        </w:rPr>
        <w:t> </w:t>
      </w:r>
      <w:r>
        <w:rPr>
          <w:rFonts w:ascii="Cambria Math"/>
          <w:w w:val="263"/>
          <w:sz w:val="17"/>
        </w:rPr>
        <w:t>  </w:t>
      </w:r>
      <w:r>
        <w:rPr>
          <w:rFonts w:ascii="Cambria Math"/>
          <w:sz w:val="24"/>
        </w:rPr>
        <w:t>]</w:t>
      </w:r>
    </w:p>
    <w:p>
      <w:pPr>
        <w:spacing w:line="266" w:lineRule="exact" w:before="201"/>
        <w:ind w:left="181" w:right="3003" w:firstLine="0"/>
        <w:jc w:val="left"/>
        <w:rPr>
          <w:rFonts w:ascii="Cambria Math"/>
          <w:sz w:val="24"/>
        </w:rPr>
      </w:pPr>
      <w:r>
        <w:rPr/>
        <w:br w:type="column"/>
      </w:r>
      <w:r>
        <w:rPr>
          <w:rFonts w:ascii="Cambria Math"/>
          <w:w w:val="158"/>
          <w:sz w:val="24"/>
        </w:rPr>
        <w:t> </w:t>
      </w:r>
      <w:r>
        <w:rPr>
          <w:rFonts w:ascii="Cambria Math"/>
          <w:w w:val="248"/>
          <w:position w:val="11"/>
          <w:sz w:val="24"/>
        </w:rPr>
        <w:t> </w:t>
      </w:r>
      <w:r>
        <w:rPr>
          <w:rFonts w:ascii="Cambria Math"/>
          <w:w w:val="200"/>
          <w:position w:val="4"/>
          <w:sz w:val="17"/>
        </w:rPr>
        <w:t> </w:t>
      </w:r>
      <w:r>
        <w:rPr>
          <w:rFonts w:ascii="Cambria Math"/>
          <w:position w:val="4"/>
          <w:sz w:val="17"/>
        </w:rPr>
        <w:t>   </w:t>
      </w:r>
      <w:r>
        <w:rPr>
          <w:rFonts w:ascii="Cambria Math"/>
          <w:spacing w:val="-12"/>
          <w:position w:val="4"/>
          <w:sz w:val="17"/>
        </w:rPr>
        <w:t> </w:t>
      </w:r>
      <w:r>
        <w:rPr>
          <w:rFonts w:ascii="Cambria Math"/>
          <w:w w:val="158"/>
          <w:sz w:val="24"/>
        </w:rPr>
        <w:t> </w:t>
      </w:r>
      <w:r>
        <w:rPr>
          <w:rFonts w:ascii="Cambria Math"/>
          <w:w w:val="99"/>
          <w:sz w:val="24"/>
        </w:rPr>
        <w:t>[</w:t>
      </w:r>
      <w:r>
        <w:rPr>
          <w:rFonts w:ascii="Cambria Math"/>
          <w:spacing w:val="12"/>
          <w:w w:val="248"/>
          <w:position w:val="2"/>
          <w:sz w:val="24"/>
        </w:rPr>
        <w:t> </w:t>
      </w:r>
      <w:r>
        <w:rPr>
          <w:rFonts w:ascii="Cambria Math"/>
          <w:spacing w:val="-8"/>
          <w:w w:val="288"/>
          <w:position w:val="14"/>
          <w:sz w:val="17"/>
        </w:rPr>
        <w:t> </w:t>
      </w:r>
      <w:r>
        <w:rPr>
          <w:rFonts w:ascii="Cambria Math"/>
          <w:spacing w:val="17"/>
          <w:w w:val="268"/>
          <w:position w:val="11"/>
          <w:sz w:val="14"/>
        </w:rPr>
        <w:t> </w:t>
      </w:r>
      <w:r>
        <w:rPr>
          <w:rFonts w:ascii="Cambria Math"/>
          <w:w w:val="99"/>
          <w:sz w:val="24"/>
        </w:rPr>
        <w:t>]</w:t>
      </w:r>
    </w:p>
    <w:p>
      <w:pPr>
        <w:spacing w:after="0" w:line="266" w:lineRule="exact"/>
        <w:jc w:val="left"/>
        <w:rPr>
          <w:rFonts w:ascii="Cambria Math"/>
          <w:sz w:val="24"/>
        </w:rPr>
        <w:sectPr>
          <w:type w:val="continuous"/>
          <w:pgSz w:w="12250" w:h="15850"/>
          <w:pgMar w:top="1500" w:bottom="280" w:left="1600" w:right="1580"/>
          <w:cols w:num="4" w:equalWidth="0">
            <w:col w:w="2135" w:space="40"/>
            <w:col w:w="739" w:space="339"/>
            <w:col w:w="2061" w:space="40"/>
            <w:col w:w="3716"/>
          </w:cols>
        </w:sectPr>
      </w:pPr>
    </w:p>
    <w:p>
      <w:pPr>
        <w:pStyle w:val="BodyText"/>
        <w:rPr>
          <w:rFonts w:ascii="Cambria Math"/>
          <w:sz w:val="20"/>
        </w:rPr>
      </w:pPr>
    </w:p>
    <w:p>
      <w:pPr>
        <w:pStyle w:val="BodyText"/>
        <w:spacing w:before="4"/>
        <w:rPr>
          <w:rFonts w:ascii="Cambria Math"/>
          <w:sz w:val="17"/>
        </w:rPr>
      </w:pPr>
    </w:p>
    <w:p>
      <w:pPr>
        <w:pStyle w:val="ListParagraph"/>
        <w:numPr>
          <w:ilvl w:val="4"/>
          <w:numId w:val="15"/>
        </w:numPr>
        <w:tabs>
          <w:tab w:pos="1530" w:val="left" w:leader="none"/>
        </w:tabs>
        <w:spacing w:line="240" w:lineRule="auto" w:before="69" w:after="0"/>
        <w:ind w:left="1530" w:right="0" w:hanging="360"/>
        <w:jc w:val="left"/>
        <w:rPr>
          <w:i/>
          <w:sz w:val="24"/>
        </w:rPr>
      </w:pPr>
      <w:r>
        <w:rPr>
          <w:i/>
          <w:sz w:val="24"/>
        </w:rPr>
        <w:t>Funciones de impulso – respuesta con base en descomposición</w:t>
      </w:r>
      <w:r>
        <w:rPr>
          <w:i/>
          <w:spacing w:val="-9"/>
          <w:sz w:val="24"/>
        </w:rPr>
        <w:t> </w:t>
      </w:r>
      <w:r>
        <w:rPr>
          <w:i/>
          <w:sz w:val="24"/>
        </w:rPr>
        <w:t>estructural</w:t>
      </w:r>
    </w:p>
    <w:p>
      <w:pPr>
        <w:pStyle w:val="BodyText"/>
        <w:spacing w:before="8"/>
        <w:rPr>
          <w:i/>
          <w:sz w:val="32"/>
        </w:rPr>
      </w:pPr>
    </w:p>
    <w:p>
      <w:pPr>
        <w:pStyle w:val="BodyText"/>
        <w:spacing w:line="360" w:lineRule="auto" w:before="1"/>
        <w:ind w:left="102" w:right="119" w:firstLine="707"/>
        <w:jc w:val="both"/>
      </w:pPr>
      <w:r>
        <w:rPr/>
        <w:pict>
          <v:shape style="position:absolute;margin-left:378.910004pt;margin-top:71.3377pt;width:3.75pt;height:8.550pt;mso-position-horizontal-relative:page;mso-position-vertical-relative:paragraph;z-index:-559672" type="#_x0000_t202" filled="false" stroked="false">
            <v:textbox inset="0,0,0,0">
              <w:txbxContent>
                <w:p>
                  <w:pPr>
                    <w:spacing w:line="170" w:lineRule="exact" w:before="0"/>
                    <w:ind w:left="0" w:right="0" w:firstLine="0"/>
                    <w:jc w:val="left"/>
                    <w:rPr>
                      <w:rFonts w:ascii="Cambria Math"/>
                      <w:sz w:val="17"/>
                    </w:rPr>
                  </w:pPr>
                  <w:r>
                    <w:rPr>
                      <w:rFonts w:ascii="Cambria Math"/>
                      <w:w w:val="200"/>
                      <w:sz w:val="17"/>
                    </w:rPr>
                    <w:t> </w:t>
                  </w:r>
                </w:p>
              </w:txbxContent>
            </v:textbox>
            <w10:wrap type="none"/>
          </v:shape>
        </w:pict>
      </w:r>
      <w:r>
        <w:rPr/>
        <w:t>El análisis de impulso-respuesta permite apreciar la reacción dinámica (positiva/negativa/neutral) de la posición fiscal frente a las innovaciones estructurales incorporadas.</w:t>
      </w:r>
    </w:p>
    <w:p>
      <w:pPr>
        <w:spacing w:after="0" w:line="360" w:lineRule="auto"/>
        <w:jc w:val="both"/>
        <w:sectPr>
          <w:type w:val="continuous"/>
          <w:pgSz w:w="12250" w:h="15850"/>
          <w:pgMar w:top="1500" w:bottom="280" w:left="1600" w:right="1580"/>
        </w:sectPr>
      </w:pPr>
    </w:p>
    <w:p>
      <w:pPr>
        <w:pStyle w:val="BodyText"/>
        <w:spacing w:before="18"/>
        <w:ind w:left="810"/>
        <w:rPr>
          <w:rFonts w:ascii="Cambria Math" w:hAnsi="Cambria Math"/>
          <w:sz w:val="14"/>
        </w:rPr>
      </w:pPr>
      <w:r>
        <w:rPr/>
        <w:pict>
          <v:shape style="position:absolute;margin-left:318.649994pt;margin-top:9.376909pt;width:3.75pt;height:8.550pt;mso-position-horizontal-relative:page;mso-position-vertical-relative:paragraph;z-index:-559696" type="#_x0000_t202" filled="false" stroked="false">
            <v:textbox inset="0,0,0,0">
              <w:txbxContent>
                <w:p>
                  <w:pPr>
                    <w:spacing w:line="170" w:lineRule="exact" w:before="0"/>
                    <w:ind w:left="0" w:right="0" w:firstLine="0"/>
                    <w:jc w:val="left"/>
                    <w:rPr>
                      <w:rFonts w:ascii="Cambria Math"/>
                      <w:sz w:val="17"/>
                    </w:rPr>
                  </w:pPr>
                  <w:r>
                    <w:rPr>
                      <w:rFonts w:ascii="Cambria Math"/>
                      <w:w w:val="200"/>
                      <w:sz w:val="17"/>
                    </w:rPr>
                    <w:t> </w:t>
                  </w:r>
                </w:p>
              </w:txbxContent>
            </v:textbox>
            <w10:wrap type="none"/>
          </v:shape>
        </w:pict>
      </w:r>
      <w:r>
        <w:rPr/>
        <w:t>La imposición de restricciones en </w:t>
      </w:r>
      <w:r>
        <w:rPr>
          <w:rFonts w:ascii="Cambria Math" w:hAnsi="Cambria Math"/>
          <w:position w:val="1"/>
        </w:rPr>
        <w:t>[   ] </w:t>
      </w:r>
      <w:r>
        <w:rPr>
          <w:rFonts w:ascii="Cambria Math" w:hAnsi="Cambria Math"/>
          <w:w w:val="219"/>
        </w:rPr>
        <w:t> </w:t>
      </w:r>
      <w:r>
        <w:rPr>
          <w:rFonts w:ascii="Cambria Math" w:hAnsi="Cambria Math"/>
        </w:rPr>
        <w:t> </w:t>
      </w:r>
      <w:r>
        <w:rPr>
          <w:rFonts w:ascii="Cambria Math" w:hAnsi="Cambria Math"/>
          <w:w w:val="206"/>
        </w:rPr>
        <w:t> </w:t>
      </w:r>
      <w:r>
        <w:rPr>
          <w:rFonts w:ascii="Cambria Math" w:hAnsi="Cambria Math"/>
          <w:w w:val="288"/>
          <w:position w:val="13"/>
          <w:sz w:val="17"/>
        </w:rPr>
        <w:t> </w:t>
      </w:r>
      <w:r>
        <w:rPr>
          <w:rFonts w:ascii="Cambria Math" w:hAnsi="Cambria Math"/>
          <w:w w:val="169"/>
          <w:position w:val="9"/>
          <w:sz w:val="14"/>
        </w:rPr>
        <w:t> </w:t>
      </w:r>
    </w:p>
    <w:p>
      <w:pPr>
        <w:spacing w:before="18"/>
        <w:ind w:left="44" w:right="0" w:firstLine="0"/>
        <w:jc w:val="left"/>
        <w:rPr>
          <w:rFonts w:ascii="Cambria Math"/>
          <w:sz w:val="14"/>
        </w:rPr>
      </w:pPr>
      <w:r>
        <w:rPr/>
        <w:br w:type="column"/>
      </w:r>
      <w:r>
        <w:rPr>
          <w:rFonts w:ascii="Cambria Math"/>
          <w:w w:val="339"/>
          <w:sz w:val="24"/>
        </w:rPr>
        <w:t> </w:t>
      </w:r>
      <w:r>
        <w:rPr>
          <w:rFonts w:ascii="Cambria Math"/>
          <w:sz w:val="24"/>
        </w:rPr>
        <w:t> </w:t>
      </w:r>
      <w:r>
        <w:rPr>
          <w:rFonts w:ascii="Cambria Math"/>
          <w:position w:val="1"/>
          <w:sz w:val="24"/>
        </w:rPr>
        <w:t>[   ] </w:t>
      </w:r>
      <w:r>
        <w:rPr>
          <w:rFonts w:ascii="Cambria Math"/>
          <w:w w:val="219"/>
          <w:sz w:val="24"/>
        </w:rPr>
        <w:t> </w:t>
      </w:r>
      <w:r>
        <w:rPr>
          <w:rFonts w:ascii="Cambria Math"/>
          <w:sz w:val="24"/>
        </w:rPr>
        <w:t> </w:t>
      </w:r>
      <w:r>
        <w:rPr>
          <w:rFonts w:ascii="Cambria Math"/>
          <w:w w:val="260"/>
          <w:sz w:val="24"/>
        </w:rPr>
        <w:t> </w:t>
      </w:r>
      <w:r>
        <w:rPr>
          <w:rFonts w:ascii="Cambria Math"/>
          <w:w w:val="288"/>
          <w:position w:val="13"/>
          <w:sz w:val="17"/>
        </w:rPr>
        <w:t> </w:t>
      </w:r>
      <w:r>
        <w:rPr>
          <w:rFonts w:ascii="Cambria Math"/>
          <w:w w:val="169"/>
          <w:position w:val="9"/>
          <w:sz w:val="14"/>
        </w:rPr>
        <w:t> </w:t>
      </w:r>
    </w:p>
    <w:p>
      <w:pPr>
        <w:pStyle w:val="BodyText"/>
        <w:spacing w:before="32"/>
        <w:ind w:left="42"/>
      </w:pPr>
      <w:r>
        <w:rPr/>
        <w:br w:type="column"/>
      </w:r>
      <w:r>
        <w:rPr/>
        <w:t>corresponde a  estimaciones</w:t>
      </w:r>
    </w:p>
    <w:p>
      <w:pPr>
        <w:spacing w:after="0"/>
        <w:sectPr>
          <w:type w:val="continuous"/>
          <w:pgSz w:w="12250" w:h="15850"/>
          <w:pgMar w:top="1500" w:bottom="280" w:left="1600" w:right="1580"/>
          <w:cols w:num="3" w:equalWidth="0">
            <w:col w:w="4955" w:space="40"/>
            <w:col w:w="1156" w:space="40"/>
            <w:col w:w="2879"/>
          </w:cols>
        </w:sectPr>
      </w:pPr>
    </w:p>
    <w:p>
      <w:pPr>
        <w:pStyle w:val="BodyText"/>
        <w:spacing w:line="362" w:lineRule="auto" w:before="156"/>
        <w:ind w:left="102" w:right="117"/>
        <w:jc w:val="both"/>
      </w:pPr>
      <w:r>
        <w:rPr/>
        <w:t>de corto plazo. Para un diseño de largo plazo, Blanchard &amp; Quah (1989) propusieron respuestas (acumuladas) de   provenientes de innovaciones estructurales, las mismas que    se presentan en las propiedades de impulso-respuesta y  toman la</w:t>
      </w:r>
      <w:r>
        <w:rPr>
          <w:spacing w:val="-11"/>
        </w:rPr>
        <w:t> </w:t>
      </w:r>
      <w:r>
        <w:rPr/>
        <w:t>forma:</w:t>
      </w:r>
    </w:p>
    <w:p>
      <w:pPr>
        <w:pStyle w:val="BodyText"/>
        <w:spacing w:before="5"/>
        <w:rPr>
          <w:sz w:val="33"/>
        </w:rPr>
      </w:pPr>
    </w:p>
    <w:p>
      <w:pPr>
        <w:pStyle w:val="BodyText"/>
        <w:tabs>
          <w:tab w:pos="1655" w:val="left" w:leader="none"/>
        </w:tabs>
        <w:ind w:right="19"/>
        <w:jc w:val="center"/>
      </w:pPr>
      <w:r>
        <w:rPr>
          <w:rFonts w:ascii="Cambria Math" w:hAnsi="Cambria Math"/>
          <w:w w:val="271"/>
        </w:rPr>
        <w:t> </w:t>
      </w:r>
      <w:r>
        <w:rPr>
          <w:rFonts w:ascii="Cambria Math" w:hAnsi="Cambria Math"/>
          <w:spacing w:val="24"/>
        </w:rPr>
        <w:t> </w:t>
      </w:r>
      <w:r>
        <w:rPr>
          <w:rFonts w:ascii="Cambria Math" w:hAnsi="Cambria Math"/>
          <w:w w:val="339"/>
        </w:rPr>
        <w:t> </w:t>
      </w:r>
      <w:r>
        <w:rPr>
          <w:rFonts w:ascii="Cambria Math" w:hAnsi="Cambria Math"/>
        </w:rPr>
        <w:t> </w:t>
      </w:r>
      <w:r>
        <w:rPr>
          <w:rFonts w:ascii="Cambria Math" w:hAnsi="Cambria Math"/>
          <w:spacing w:val="12"/>
        </w:rPr>
        <w:t> </w:t>
      </w:r>
      <w:r>
        <w:rPr>
          <w:rFonts w:ascii="Cambria Math" w:hAnsi="Cambria Math"/>
          <w:spacing w:val="-107"/>
          <w:w w:val="319"/>
        </w:rPr>
        <w:t> </w:t>
      </w:r>
      <w:r>
        <w:rPr>
          <w:rFonts w:ascii="Cambria Math" w:hAnsi="Cambria Math"/>
          <w:position w:val="5"/>
        </w:rPr>
        <w:t>̂</w:t>
      </w:r>
      <w:r>
        <w:rPr>
          <w:i/>
          <w:spacing w:val="10"/>
          <w:w w:val="285"/>
          <w:position w:val="-4"/>
          <w:sz w:val="17"/>
        </w:rPr>
        <w:t> </w:t>
      </w:r>
      <w:r>
        <w:rPr>
          <w:rFonts w:ascii="Cambria Math" w:hAnsi="Cambria Math"/>
          <w:spacing w:val="-4"/>
          <w:w w:val="287"/>
        </w:rPr>
        <w:t> </w:t>
      </w:r>
      <w:r>
        <w:rPr>
          <w:rFonts w:ascii="Cambria Math" w:hAnsi="Cambria Math"/>
          <w:w w:val="331"/>
          <w:position w:val="9"/>
          <w:sz w:val="17"/>
        </w:rPr>
        <w:t> </w:t>
      </w:r>
      <w:r>
        <w:rPr>
          <w:rFonts w:ascii="Cambria Math" w:hAnsi="Cambria Math"/>
          <w:spacing w:val="9"/>
          <w:w w:val="263"/>
          <w:position w:val="9"/>
          <w:sz w:val="17"/>
        </w:rPr>
        <w:t> </w:t>
      </w:r>
      <w:r>
        <w:rPr>
          <w:rFonts w:ascii="Cambria Math" w:hAnsi="Cambria Math"/>
          <w:w w:val="297"/>
        </w:rPr>
        <w:t> </w:t>
      </w:r>
      <w:r>
        <w:rPr>
          <w:rFonts w:ascii="Cambria Math" w:hAnsi="Cambria Math"/>
        </w:rPr>
        <w:tab/>
      </w:r>
      <w:r>
        <w:rPr/>
        <w:t>(4.9)</w:t>
      </w:r>
    </w:p>
    <w:p>
      <w:pPr>
        <w:pStyle w:val="BodyText"/>
        <w:rPr>
          <w:sz w:val="32"/>
        </w:rPr>
      </w:pPr>
    </w:p>
    <w:p>
      <w:pPr>
        <w:pStyle w:val="BodyText"/>
        <w:spacing w:line="379" w:lineRule="auto" w:before="191"/>
        <w:ind w:left="102" w:right="115" w:firstLine="707"/>
        <w:jc w:val="both"/>
      </w:pPr>
      <w:r>
        <w:rPr/>
        <w:pict>
          <v:shape style="position:absolute;margin-left:301.609985pt;margin-top:30.527695pt;width:11.2pt;height:8.550pt;mso-position-horizontal-relative:page;mso-position-vertical-relative:paragraph;z-index:-559648" type="#_x0000_t202" filled="false" stroked="false">
            <v:textbox inset="0,0,0,0">
              <w:txbxContent>
                <w:p>
                  <w:pPr>
                    <w:spacing w:line="170" w:lineRule="exact" w:before="0"/>
                    <w:ind w:left="0" w:right="0" w:firstLine="0"/>
                    <w:jc w:val="left"/>
                    <w:rPr>
                      <w:rFonts w:ascii="Cambria Math"/>
                      <w:sz w:val="17"/>
                    </w:rPr>
                  </w:pPr>
                  <w:r>
                    <w:rPr>
                      <w:rFonts w:ascii="Cambria Math"/>
                      <w:w w:val="331"/>
                      <w:sz w:val="17"/>
                    </w:rPr>
                    <w:t> </w:t>
                  </w:r>
                  <w:r>
                    <w:rPr>
                      <w:rFonts w:ascii="Cambria Math"/>
                      <w:w w:val="263"/>
                      <w:sz w:val="17"/>
                    </w:rPr>
                    <w:t> </w:t>
                  </w:r>
                </w:p>
              </w:txbxContent>
            </v:textbox>
            <w10:wrap type="none"/>
          </v:shape>
        </w:pict>
      </w:r>
      <w:r>
        <w:rPr/>
        <w:t>Donde se obtienen las respuestas (acumuladas) a los choques observados en su </w:t>
      </w:r>
      <w:r>
        <w:rPr>
          <w:w w:val="99"/>
        </w:rPr>
        <w:t>fo</w:t>
      </w:r>
      <w:r>
        <w:rPr>
          <w:spacing w:val="-2"/>
          <w:w w:val="99"/>
        </w:rPr>
        <w:t>r</w:t>
      </w:r>
      <w:r>
        <w:rPr>
          <w:w w:val="99"/>
        </w:rPr>
        <w:t>ma </w:t>
      </w:r>
      <w:r>
        <w:rPr>
          <w:spacing w:val="-16"/>
          <w:w w:val="99"/>
        </w:rPr>
        <w:t> </w:t>
      </w:r>
      <w:r>
        <w:rPr>
          <w:spacing w:val="1"/>
          <w:w w:val="99"/>
        </w:rPr>
        <w:t>r</w:t>
      </w:r>
      <w:r>
        <w:rPr>
          <w:spacing w:val="-1"/>
          <w:w w:val="99"/>
        </w:rPr>
        <w:t>e</w:t>
      </w:r>
      <w:r>
        <w:rPr>
          <w:w w:val="99"/>
        </w:rPr>
        <w:t>du</w:t>
      </w:r>
      <w:r>
        <w:rPr>
          <w:spacing w:val="-1"/>
          <w:w w:val="99"/>
        </w:rPr>
        <w:t>c</w:t>
      </w:r>
      <w:r>
        <w:rPr>
          <w:w w:val="99"/>
        </w:rPr>
        <w:t>ida:   </w:t>
      </w:r>
      <w:r>
        <w:rPr>
          <w:spacing w:val="-26"/>
          <w:w w:val="99"/>
        </w:rPr>
        <w:t> </w:t>
      </w:r>
      <w:r>
        <w:rPr>
          <w:rFonts w:ascii="Cambria Math" w:hAnsi="Cambria Math"/>
          <w:spacing w:val="-107"/>
          <w:w w:val="319"/>
        </w:rPr>
        <w:t> </w:t>
      </w:r>
      <w:r>
        <w:rPr>
          <w:rFonts w:ascii="Cambria Math" w:hAnsi="Cambria Math"/>
          <w:position w:val="5"/>
        </w:rPr>
        <w:t>̂</w:t>
      </w:r>
      <w:r>
        <w:rPr>
          <w:i/>
          <w:w w:val="285"/>
          <w:position w:val="-4"/>
          <w:sz w:val="17"/>
        </w:rPr>
        <w:t> </w:t>
      </w:r>
      <w:r>
        <w:rPr>
          <w:i/>
          <w:position w:val="-4"/>
          <w:sz w:val="17"/>
        </w:rPr>
        <w:t> </w:t>
      </w:r>
      <w:r>
        <w:rPr>
          <w:i/>
          <w:spacing w:val="-10"/>
          <w:position w:val="-4"/>
          <w:sz w:val="17"/>
        </w:rPr>
        <w:t> </w:t>
      </w:r>
      <w:r>
        <w:rPr>
          <w:rFonts w:ascii="Cambria Math" w:hAnsi="Cambria Math"/>
          <w:w w:val="339"/>
        </w:rPr>
        <w:t> </w:t>
      </w:r>
      <w:r>
        <w:rPr>
          <w:rFonts w:ascii="Cambria Math" w:hAnsi="Cambria Math"/>
        </w:rPr>
        <w:t> </w:t>
      </w:r>
      <w:r>
        <w:rPr>
          <w:rFonts w:ascii="Cambria Math" w:hAnsi="Cambria Math"/>
          <w:spacing w:val="12"/>
        </w:rPr>
        <w:t> </w:t>
      </w:r>
      <w:r>
        <w:rPr>
          <w:rFonts w:ascii="Cambria Math" w:hAnsi="Cambria Math"/>
          <w:w w:val="108"/>
        </w:rPr>
        <w:t>(</w:t>
      </w:r>
      <w:r>
        <w:rPr>
          <w:rFonts w:ascii="Cambria Math" w:hAnsi="Cambria Math"/>
          <w:w w:val="172"/>
        </w:rPr>
        <w:t> </w:t>
      </w:r>
      <w:r>
        <w:rPr>
          <w:rFonts w:ascii="Cambria Math" w:hAnsi="Cambria Math"/>
          <w:spacing w:val="7"/>
        </w:rPr>
        <w:t> </w:t>
      </w:r>
      <w:r>
        <w:rPr>
          <w:rFonts w:ascii="Cambria Math" w:hAnsi="Cambria Math"/>
          <w:w w:val="339"/>
        </w:rPr>
        <w:t> </w:t>
      </w:r>
      <w:r>
        <w:rPr>
          <w:rFonts w:ascii="Cambria Math" w:hAnsi="Cambria Math"/>
        </w:rPr>
        <w:t> </w:t>
      </w:r>
      <w:r>
        <w:rPr>
          <w:rFonts w:ascii="Cambria Math" w:hAnsi="Cambria Math"/>
          <w:spacing w:val="-80"/>
          <w:w w:val="287"/>
        </w:rPr>
        <w:t> </w:t>
      </w:r>
      <w:r>
        <w:rPr>
          <w:rFonts w:ascii="Cambria Math" w:hAnsi="Cambria Math"/>
          <w:spacing w:val="6"/>
          <w:position w:val="5"/>
        </w:rPr>
        <w:t>̂</w:t>
      </w:r>
      <w:r>
        <w:rPr>
          <w:rFonts w:ascii="Cambria Math" w:hAnsi="Cambria Math"/>
          <w:w w:val="263"/>
          <w:position w:val="-4"/>
          <w:sz w:val="17"/>
        </w:rPr>
        <w:t> </w:t>
      </w:r>
      <w:r>
        <w:rPr>
          <w:rFonts w:ascii="Cambria Math" w:hAnsi="Cambria Math"/>
          <w:position w:val="-4"/>
          <w:sz w:val="17"/>
        </w:rPr>
        <w:t> </w:t>
      </w:r>
      <w:r>
        <w:rPr>
          <w:rFonts w:ascii="Cambria Math" w:hAnsi="Cambria Math"/>
          <w:spacing w:val="-13"/>
          <w:position w:val="-4"/>
          <w:sz w:val="17"/>
        </w:rPr>
        <w:t> </w:t>
      </w:r>
      <w:r>
        <w:rPr>
          <w:rFonts w:ascii="Cambria Math" w:hAnsi="Cambria Math"/>
          <w:w w:val="339"/>
        </w:rPr>
        <w:t> </w:t>
      </w:r>
      <w:r>
        <w:rPr>
          <w:rFonts w:ascii="Cambria Math" w:hAnsi="Cambria Math"/>
        </w:rPr>
        <w:t> </w:t>
      </w:r>
      <w:r>
        <w:rPr>
          <w:rFonts w:ascii="Cambria Math" w:hAnsi="Cambria Math"/>
          <w:w w:val="388"/>
        </w:rPr>
        <w:t> </w:t>
      </w:r>
      <w:r>
        <w:rPr>
          <w:rFonts w:ascii="Cambria Math" w:hAnsi="Cambria Math"/>
          <w:spacing w:val="-14"/>
        </w:rPr>
        <w:t> </w:t>
      </w:r>
      <w:r>
        <w:rPr>
          <w:rFonts w:ascii="Cambria Math" w:hAnsi="Cambria Math"/>
          <w:w w:val="339"/>
        </w:rPr>
        <w:t> </w:t>
      </w:r>
      <w:r>
        <w:rPr>
          <w:rFonts w:ascii="Cambria Math" w:hAnsi="Cambria Math"/>
        </w:rPr>
        <w:t> </w:t>
      </w:r>
      <w:r>
        <w:rPr>
          <w:rFonts w:ascii="Cambria Math" w:hAnsi="Cambria Math"/>
          <w:spacing w:val="-80"/>
          <w:w w:val="287"/>
        </w:rPr>
        <w:t> </w:t>
      </w:r>
      <w:r>
        <w:rPr>
          <w:rFonts w:ascii="Cambria Math" w:hAnsi="Cambria Math"/>
          <w:spacing w:val="8"/>
          <w:position w:val="5"/>
        </w:rPr>
        <w:t>̂</w:t>
      </w:r>
      <w:r>
        <w:rPr>
          <w:rFonts w:ascii="Cambria Math" w:hAnsi="Cambria Math"/>
          <w:spacing w:val="12"/>
          <w:w w:val="286"/>
          <w:position w:val="-4"/>
          <w:sz w:val="17"/>
        </w:rPr>
        <w:t> </w:t>
      </w:r>
      <w:r>
        <w:rPr>
          <w:rFonts w:ascii="Cambria Math" w:hAnsi="Cambria Math"/>
          <w:w w:val="108"/>
        </w:rPr>
        <w:t>)</w:t>
      </w:r>
      <w:r>
        <w:rPr>
          <w:rFonts w:ascii="Cambria Math" w:hAnsi="Cambria Math"/>
        </w:rPr>
        <w:t>   </w:t>
      </w:r>
      <w:r>
        <w:rPr>
          <w:rFonts w:ascii="Cambria Math" w:hAnsi="Cambria Math"/>
          <w:spacing w:val="21"/>
        </w:rPr>
        <w:t> </w:t>
      </w:r>
      <w:r>
        <w:rPr/>
        <w:t>.   </w:t>
      </w:r>
      <w:r>
        <w:rPr>
          <w:spacing w:val="-27"/>
        </w:rPr>
        <w:t> </w:t>
      </w:r>
      <w:r>
        <w:rPr>
          <w:spacing w:val="-3"/>
        </w:rPr>
        <w:t>L</w:t>
      </w:r>
      <w:r>
        <w:rPr/>
        <w:t>a </w:t>
      </w:r>
      <w:r>
        <w:rPr>
          <w:spacing w:val="-14"/>
        </w:rPr>
        <w:t> </w:t>
      </w:r>
      <w:r>
        <w:rPr/>
        <w:t>identifi</w:t>
      </w:r>
      <w:r>
        <w:rPr>
          <w:spacing w:val="-1"/>
        </w:rPr>
        <w:t>cac</w:t>
      </w:r>
      <w:r>
        <w:rPr/>
        <w:t>ión </w:t>
      </w:r>
      <w:r>
        <w:rPr>
          <w:spacing w:val="-15"/>
        </w:rPr>
        <w:t> </w:t>
      </w:r>
      <w:r>
        <w:rPr/>
        <w:t>de </w:t>
      </w:r>
      <w:r>
        <w:rPr>
          <w:spacing w:val="-16"/>
        </w:rPr>
        <w:t> </w:t>
      </w:r>
      <w:r>
        <w:rPr>
          <w:w w:val="99"/>
        </w:rPr>
        <w:t>las</w:t>
      </w:r>
      <w:r>
        <w:rPr/>
        <w:t> </w:t>
      </w:r>
      <w:r>
        <w:rPr>
          <w:spacing w:val="-13"/>
        </w:rPr>
        <w:t> </w:t>
      </w:r>
      <w:r>
        <w:rPr/>
        <w:t>r</w:t>
      </w:r>
      <w:r>
        <w:rPr>
          <w:spacing w:val="-2"/>
        </w:rPr>
        <w:t>e</w:t>
      </w:r>
      <w:r>
        <w:rPr>
          <w:spacing w:val="2"/>
          <w:w w:val="99"/>
        </w:rPr>
        <w:t>s</w:t>
      </w:r>
      <w:r>
        <w:rPr>
          <w:w w:val="99"/>
        </w:rPr>
        <w:t>tric</w:t>
      </w:r>
      <w:r>
        <w:rPr>
          <w:spacing w:val="-2"/>
          <w:w w:val="99"/>
        </w:rPr>
        <w:t>c</w:t>
      </w:r>
      <w:r>
        <w:rPr>
          <w:w w:val="99"/>
        </w:rPr>
        <w:t>iones </w:t>
      </w:r>
      <w:r>
        <w:rPr>
          <w:spacing w:val="-15"/>
          <w:w w:val="99"/>
        </w:rPr>
        <w:t> </w:t>
      </w:r>
      <w:r>
        <w:rPr>
          <w:spacing w:val="-1"/>
          <w:w w:val="99"/>
        </w:rPr>
        <w:t>e</w:t>
      </w:r>
      <w:r>
        <w:rPr>
          <w:w w:val="99"/>
        </w:rPr>
        <w:t>s </w:t>
      </w:r>
      <w:r>
        <w:rPr/>
        <w:t>especificada en términos de la Matriz (básicamente  son  coeficientes  ceros).  La  restricción               simboliza que la respuesta (acumulada) de la variable       no responde  al choque estructural    en el largo plazo (aunque pueden existir efectos de corto plazo).    De forma contraria,     [en 4.8] implica una respuesta   de     frente a un choque      estructural en el largo plazo. De esta forma, se determinan los choques estructurales que influyen, de forma significativa,  sobre la posición</w:t>
      </w:r>
      <w:r>
        <w:rPr>
          <w:spacing w:val="-12"/>
        </w:rPr>
        <w:t> </w:t>
      </w:r>
      <w:r>
        <w:rPr/>
        <w:t>fiscal.</w:t>
      </w:r>
    </w:p>
    <w:p>
      <w:pPr>
        <w:pStyle w:val="BodyText"/>
        <w:spacing w:before="6"/>
        <w:rPr>
          <w:sz w:val="19"/>
        </w:rPr>
      </w:pPr>
    </w:p>
    <w:p>
      <w:pPr>
        <w:pStyle w:val="ListParagraph"/>
        <w:numPr>
          <w:ilvl w:val="4"/>
          <w:numId w:val="15"/>
        </w:numPr>
        <w:tabs>
          <w:tab w:pos="1530" w:val="left" w:leader="none"/>
        </w:tabs>
        <w:spacing w:line="240" w:lineRule="auto" w:before="0" w:after="0"/>
        <w:ind w:left="1530" w:right="0" w:hanging="360"/>
        <w:jc w:val="left"/>
        <w:rPr>
          <w:i/>
          <w:sz w:val="24"/>
        </w:rPr>
      </w:pPr>
      <w:r>
        <w:rPr>
          <w:i/>
          <w:sz w:val="24"/>
        </w:rPr>
        <w:t>Análisis de la descomposición de varianza con factorización</w:t>
      </w:r>
      <w:r>
        <w:rPr>
          <w:i/>
          <w:spacing w:val="-9"/>
          <w:sz w:val="24"/>
        </w:rPr>
        <w:t> </w:t>
      </w:r>
      <w:r>
        <w:rPr>
          <w:i/>
          <w:sz w:val="24"/>
        </w:rPr>
        <w:t>estructural</w:t>
      </w:r>
    </w:p>
    <w:p>
      <w:pPr>
        <w:pStyle w:val="BodyText"/>
        <w:spacing w:before="8"/>
        <w:rPr>
          <w:i/>
          <w:sz w:val="32"/>
        </w:rPr>
      </w:pPr>
    </w:p>
    <w:p>
      <w:pPr>
        <w:pStyle w:val="BodyText"/>
        <w:spacing w:line="360" w:lineRule="auto" w:before="1"/>
        <w:ind w:left="102" w:right="120" w:firstLine="707"/>
        <w:jc w:val="both"/>
      </w:pPr>
      <w:r>
        <w:rPr/>
        <w:t>El propósito principal de la estimación vectores autoregresivos estructurales  (SVAR) es obtener los términos de errores de forma ortogonal y no recursiva para el análisis  de  impulso-respuesta.    Lo  anterior  implica  que  el  orden  de  las  variables   </w:t>
      </w:r>
      <w:r>
        <w:rPr>
          <w:spacing w:val="24"/>
        </w:rPr>
        <w:t> </w:t>
      </w:r>
      <w:r>
        <w:rPr/>
        <w:t>es</w:t>
      </w:r>
    </w:p>
    <w:p>
      <w:pPr>
        <w:spacing w:after="0" w:line="360" w:lineRule="auto"/>
        <w:jc w:val="both"/>
        <w:sectPr>
          <w:type w:val="continuous"/>
          <w:pgSz w:w="12250" w:h="15850"/>
          <w:pgMar w:top="1500" w:bottom="280" w:left="1600" w:right="1580"/>
        </w:sectPr>
      </w:pPr>
    </w:p>
    <w:p>
      <w:pPr>
        <w:pStyle w:val="BodyText"/>
        <w:spacing w:line="360" w:lineRule="auto" w:before="50"/>
        <w:ind w:left="122" w:right="115"/>
      </w:pPr>
      <w:r>
        <w:rPr/>
        <w:t>determinado mediante la imposición de restricciones al modelo: se identifican los componentes ortogonales (estructurales) de los términos de error.</w:t>
      </w:r>
    </w:p>
    <w:p>
      <w:pPr>
        <w:pStyle w:val="BodyText"/>
        <w:spacing w:line="360" w:lineRule="auto" w:before="6"/>
        <w:ind w:left="122" w:right="119" w:firstLine="707"/>
        <w:jc w:val="both"/>
      </w:pPr>
      <w:r>
        <w:rPr/>
        <w:t>En función de los resultados de impulso-respuesta se ponderan las innovaciones estructurales con el propósito de evaluar la importancia relativa de las innovaciones, de esta forma  es  posible  apreciar  si  los  choques  más  importantes  sobre  la  posición       fiscal:</w:t>
      </w:r>
    </w:p>
    <w:p>
      <w:pPr>
        <w:pStyle w:val="BodyText"/>
        <w:spacing w:line="360" w:lineRule="auto" w:before="4"/>
        <w:ind w:left="122" w:right="115"/>
      </w:pPr>
      <w:r>
        <w:rPr/>
        <w:t>¿provienen de los precios del gas natural? o ¿se centran en la asignación de los ingresos fiscales al gasto público?</w:t>
      </w:r>
    </w:p>
    <w:p>
      <w:pPr>
        <w:pStyle w:val="BodyText"/>
        <w:spacing w:line="360" w:lineRule="auto" w:before="4"/>
        <w:ind w:left="122" w:right="115" w:firstLine="707"/>
        <w:jc w:val="both"/>
      </w:pPr>
      <w:r>
        <w:rPr/>
        <w:t>Se responde  a la  </w:t>
      </w:r>
      <w:r>
        <w:rPr>
          <w:i/>
        </w:rPr>
        <w:t>hipótesis 1</w:t>
      </w:r>
      <w:r>
        <w:rPr/>
        <w:t>, la cual sostiene que la asignación de los  ingresos       fi                                             al gasto público ejerce el rol de los choques estructurales    más importantes sobre la posición fiscal en comparación con los choques de precios del gas natural. En consecuencia, se compara la participación porcentual de los choques estructurales modelados sobre la varianza de cada variable</w:t>
      </w:r>
      <w:r>
        <w:rPr>
          <w:spacing w:val="-10"/>
        </w:rPr>
        <w:t> </w:t>
      </w:r>
      <w:r>
        <w:rPr/>
        <w:t>endógena.</w:t>
      </w:r>
    </w:p>
    <w:p>
      <w:pPr>
        <w:pStyle w:val="BodyText"/>
        <w:spacing w:before="9"/>
        <w:rPr>
          <w:sz w:val="21"/>
        </w:rPr>
      </w:pPr>
    </w:p>
    <w:p>
      <w:pPr>
        <w:pStyle w:val="Heading4"/>
        <w:numPr>
          <w:ilvl w:val="2"/>
          <w:numId w:val="15"/>
        </w:numPr>
        <w:tabs>
          <w:tab w:pos="983" w:val="left" w:leader="none"/>
          <w:tab w:pos="984" w:val="left" w:leader="none"/>
        </w:tabs>
        <w:spacing w:line="240" w:lineRule="auto" w:before="0" w:after="0"/>
        <w:ind w:left="983" w:right="0" w:hanging="720"/>
        <w:jc w:val="left"/>
      </w:pPr>
      <w:bookmarkStart w:name="_bookmark119" w:id="163"/>
      <w:bookmarkEnd w:id="163"/>
      <w:r>
        <w:rPr>
          <w:b w:val="0"/>
        </w:rPr>
      </w:r>
      <w:bookmarkStart w:name="_bookmark119" w:id="164"/>
      <w:bookmarkEnd w:id="164"/>
      <w:r>
        <w:rPr/>
        <w:t>Anális</w:t>
      </w:r>
      <w:r>
        <w:rPr/>
        <w:t>is probabilístico de la deuda</w:t>
      </w:r>
      <w:r>
        <w:rPr>
          <w:spacing w:val="-12"/>
        </w:rPr>
        <w:t> </w:t>
      </w:r>
      <w:r>
        <w:rPr/>
        <w:t>pública</w:t>
      </w:r>
    </w:p>
    <w:p>
      <w:pPr>
        <w:pStyle w:val="BodyText"/>
        <w:spacing w:before="4"/>
        <w:rPr>
          <w:b/>
          <w:sz w:val="32"/>
        </w:rPr>
      </w:pPr>
    </w:p>
    <w:p>
      <w:pPr>
        <w:pStyle w:val="BodyText"/>
        <w:ind w:left="830" w:right="115"/>
      </w:pPr>
      <w:r>
        <w:rPr/>
        <w:t>En la </w:t>
      </w:r>
      <w:r>
        <w:rPr>
          <w:i/>
        </w:rPr>
        <w:t>hipótesis 2 </w:t>
      </w:r>
      <w:r>
        <w:rPr/>
        <w:t>se consideró que las reglas fiscales mejoraban la prospectiva de   la</w:t>
      </w:r>
    </w:p>
    <w:p>
      <w:pPr>
        <w:tabs>
          <w:tab w:pos="3441" w:val="left" w:leader="none"/>
        </w:tabs>
        <w:spacing w:line="360" w:lineRule="auto" w:before="137"/>
        <w:ind w:left="122" w:right="121" w:firstLine="0"/>
        <w:jc w:val="left"/>
        <w:rPr>
          <w:sz w:val="24"/>
        </w:rPr>
      </w:pPr>
      <w:r>
        <w:rPr>
          <w:i/>
          <w:w w:val="188"/>
          <w:sz w:val="24"/>
        </w:rPr>
        <w:t> </w:t>
      </w:r>
      <w:r>
        <w:rPr>
          <w:i/>
          <w:spacing w:val="-1"/>
          <w:w w:val="188"/>
          <w:sz w:val="24"/>
        </w:rPr>
        <w:t> </w:t>
      </w:r>
      <w:r>
        <w:rPr>
          <w:i/>
          <w:w w:val="200"/>
          <w:sz w:val="24"/>
        </w:rPr>
        <w:t>   </w:t>
      </w:r>
      <w:r>
        <w:rPr>
          <w:i/>
          <w:sz w:val="24"/>
        </w:rPr>
        <w:t> </w:t>
      </w:r>
      <w:r>
        <w:rPr>
          <w:i/>
          <w:spacing w:val="-3"/>
          <w:sz w:val="24"/>
        </w:rPr>
        <w:t> </w:t>
      </w:r>
      <w:r>
        <w:rPr>
          <w:i/>
          <w:w w:val="164"/>
          <w:sz w:val="24"/>
        </w:rPr>
        <w:t>     </w:t>
      </w:r>
      <w:r>
        <w:rPr>
          <w:i/>
          <w:spacing w:val="-1"/>
          <w:w w:val="177"/>
          <w:sz w:val="24"/>
        </w:rPr>
        <w:t> </w:t>
      </w:r>
      <w:r>
        <w:rPr>
          <w:i/>
          <w:w w:val="200"/>
          <w:sz w:val="24"/>
        </w:rPr>
        <w:t> </w:t>
      </w:r>
      <w:r>
        <w:rPr>
          <w:i/>
          <w:sz w:val="24"/>
        </w:rPr>
        <w:t> </w:t>
      </w:r>
      <w:r>
        <w:rPr>
          <w:i/>
          <w:spacing w:val="-3"/>
          <w:sz w:val="24"/>
        </w:rPr>
        <w:t> </w:t>
      </w:r>
      <w:r>
        <w:rPr>
          <w:i/>
          <w:w w:val="200"/>
          <w:sz w:val="24"/>
        </w:rPr>
        <w:t> </w:t>
      </w:r>
      <w:r>
        <w:rPr>
          <w:i/>
          <w:sz w:val="24"/>
        </w:rPr>
        <w:t> </w:t>
      </w:r>
      <w:r>
        <w:rPr>
          <w:i/>
          <w:spacing w:val="-3"/>
          <w:sz w:val="24"/>
        </w:rPr>
        <w:t> </w:t>
      </w:r>
      <w:r>
        <w:rPr>
          <w:i/>
          <w:w w:val="188"/>
          <w:sz w:val="24"/>
        </w:rPr>
        <w:t> </w:t>
      </w:r>
      <w:r>
        <w:rPr>
          <w:i/>
          <w:spacing w:val="-1"/>
          <w:w w:val="188"/>
          <w:sz w:val="24"/>
        </w:rPr>
        <w:t> </w:t>
      </w:r>
      <w:r>
        <w:rPr>
          <w:i/>
          <w:w w:val="244"/>
          <w:sz w:val="24"/>
        </w:rPr>
        <w:t> </w:t>
      </w:r>
      <w:r>
        <w:rPr>
          <w:i/>
          <w:sz w:val="24"/>
        </w:rPr>
        <w:t> </w:t>
      </w:r>
      <w:r>
        <w:rPr>
          <w:i/>
          <w:spacing w:val="-3"/>
          <w:sz w:val="24"/>
        </w:rPr>
        <w:t> </w:t>
      </w:r>
      <w:r>
        <w:rPr>
          <w:i/>
          <w:spacing w:val="-3"/>
          <w:w w:val="288"/>
          <w:sz w:val="24"/>
        </w:rPr>
        <w:t> </w:t>
      </w:r>
      <w:r>
        <w:rPr>
          <w:i/>
          <w:w w:val="188"/>
          <w:sz w:val="24"/>
        </w:rPr>
        <w:t> </w:t>
      </w:r>
      <w:r>
        <w:rPr>
          <w:i/>
          <w:spacing w:val="-1"/>
          <w:w w:val="188"/>
          <w:sz w:val="24"/>
        </w:rPr>
        <w:t> </w:t>
      </w:r>
      <w:r>
        <w:rPr>
          <w:i/>
          <w:w w:val="200"/>
          <w:sz w:val="24"/>
        </w:rPr>
        <w:t>   </w:t>
      </w:r>
      <w:r>
        <w:rPr>
          <w:i/>
          <w:sz w:val="24"/>
        </w:rPr>
        <w:t> </w:t>
      </w:r>
      <w:r>
        <w:rPr>
          <w:i/>
          <w:w w:val="1"/>
          <w:sz w:val="24"/>
        </w:rPr>
        <w:t> </w:t>
      </w:r>
      <w:r>
        <w:rPr>
          <w:i/>
          <w:sz w:val="24"/>
        </w:rPr>
        <w:tab/>
      </w:r>
      <w:r>
        <w:rPr>
          <w:spacing w:val="-1"/>
          <w:w w:val="177"/>
          <w:sz w:val="24"/>
        </w:rPr>
        <w:t> </w:t>
      </w:r>
      <w:r>
        <w:rPr>
          <w:w w:val="200"/>
          <w:sz w:val="24"/>
        </w:rPr>
        <w:t> </w:t>
      </w:r>
      <w:r>
        <w:rPr>
          <w:sz w:val="24"/>
        </w:rPr>
        <w:t> </w:t>
      </w:r>
      <w:r>
        <w:rPr>
          <w:spacing w:val="-3"/>
          <w:sz w:val="24"/>
        </w:rPr>
        <w:t> </w:t>
      </w:r>
      <w:r>
        <w:rPr>
          <w:spacing w:val="-1"/>
          <w:w w:val="177"/>
          <w:sz w:val="24"/>
        </w:rPr>
        <w:t> </w:t>
      </w:r>
      <w:r>
        <w:rPr>
          <w:w w:val="111"/>
          <w:sz w:val="24"/>
        </w:rPr>
        <w:t> </w:t>
      </w:r>
      <w:r>
        <w:rPr>
          <w:sz w:val="24"/>
        </w:rPr>
        <w:t> </w:t>
      </w:r>
      <w:r>
        <w:rPr>
          <w:spacing w:val="-3"/>
          <w:sz w:val="24"/>
        </w:rPr>
        <w:t> </w:t>
      </w:r>
      <w:r>
        <w:rPr>
          <w:spacing w:val="-1"/>
          <w:w w:val="177"/>
          <w:sz w:val="24"/>
        </w:rPr>
        <w:t> </w:t>
      </w:r>
      <w:r>
        <w:rPr>
          <w:w w:val="166"/>
          <w:sz w:val="24"/>
        </w:rPr>
        <w:t> </w:t>
      </w:r>
      <w:r>
        <w:rPr>
          <w:spacing w:val="-1"/>
          <w:w w:val="166"/>
          <w:sz w:val="24"/>
        </w:rPr>
        <w:t> </w:t>
      </w:r>
      <w:r>
        <w:rPr>
          <w:w w:val="155"/>
          <w:sz w:val="24"/>
        </w:rPr>
        <w:t>  </w:t>
      </w:r>
      <w:r>
        <w:rPr>
          <w:sz w:val="24"/>
        </w:rPr>
        <w:t>  </w:t>
      </w:r>
      <w:r>
        <w:rPr>
          <w:w w:val="200"/>
          <w:sz w:val="24"/>
        </w:rPr>
        <w:t> </w:t>
      </w:r>
      <w:r>
        <w:rPr>
          <w:sz w:val="24"/>
        </w:rPr>
        <w:t> </w:t>
      </w:r>
      <w:r>
        <w:rPr>
          <w:spacing w:val="-8"/>
          <w:sz w:val="24"/>
        </w:rPr>
        <w:t> </w:t>
      </w:r>
      <w:r>
        <w:rPr>
          <w:w w:val="195"/>
          <w:sz w:val="24"/>
        </w:rPr>
        <w:t>    </w:t>
      </w:r>
      <w:r>
        <w:rPr>
          <w:spacing w:val="-1"/>
          <w:w w:val="195"/>
          <w:sz w:val="24"/>
        </w:rPr>
        <w:t> </w:t>
      </w:r>
      <w:r>
        <w:rPr>
          <w:w w:val="200"/>
          <w:sz w:val="24"/>
        </w:rPr>
        <w:t>  </w:t>
      </w:r>
      <w:r>
        <w:rPr>
          <w:sz w:val="24"/>
        </w:rPr>
        <w:t> </w:t>
      </w:r>
      <w:r>
        <w:rPr>
          <w:spacing w:val="-3"/>
          <w:sz w:val="24"/>
        </w:rPr>
        <w:t> </w:t>
      </w:r>
      <w:r>
        <w:rPr>
          <w:w w:val="166"/>
          <w:sz w:val="24"/>
        </w:rPr>
        <w:t>    </w:t>
      </w:r>
      <w:r>
        <w:rPr>
          <w:w w:val="200"/>
          <w:sz w:val="24"/>
        </w:rPr>
        <w:t> </w:t>
      </w:r>
      <w:r>
        <w:rPr>
          <w:sz w:val="24"/>
        </w:rPr>
        <w:t> </w:t>
      </w:r>
      <w:r>
        <w:rPr>
          <w:w w:val="1"/>
          <w:sz w:val="24"/>
        </w:rPr>
        <w:t> </w:t>
      </w:r>
      <w:r>
        <w:rPr>
          <w:sz w:val="24"/>
        </w:rPr>
        <w:t> </w:t>
      </w:r>
      <w:r>
        <w:rPr>
          <w:spacing w:val="-3"/>
          <w:sz w:val="24"/>
        </w:rPr>
        <w:t> </w:t>
      </w:r>
      <w:r>
        <w:rPr>
          <w:spacing w:val="-1"/>
          <w:w w:val="177"/>
          <w:sz w:val="24"/>
        </w:rPr>
        <w:t> </w:t>
      </w:r>
      <w:r>
        <w:rPr>
          <w:w w:val="200"/>
          <w:sz w:val="24"/>
        </w:rPr>
        <w:t> </w:t>
      </w:r>
      <w:r>
        <w:rPr>
          <w:sz w:val="24"/>
        </w:rPr>
        <w:t> </w:t>
      </w:r>
      <w:r>
        <w:rPr>
          <w:spacing w:val="-3"/>
          <w:sz w:val="24"/>
        </w:rPr>
        <w:t> </w:t>
      </w:r>
      <w:r>
        <w:rPr>
          <w:spacing w:val="-2"/>
          <w:w w:val="177"/>
          <w:sz w:val="24"/>
        </w:rPr>
        <w:t> </w:t>
      </w:r>
      <w:r>
        <w:rPr>
          <w:sz w:val="24"/>
        </w:rPr>
        <w:t>omparación</w:t>
      </w:r>
      <w:r>
        <w:rPr>
          <w:spacing w:val="54"/>
          <w:sz w:val="24"/>
        </w:rPr>
        <w:t> </w:t>
      </w:r>
      <w:r>
        <w:rPr>
          <w:sz w:val="24"/>
        </w:rPr>
        <w:t>con</w:t>
      </w:r>
      <w:r>
        <w:rPr>
          <w:spacing w:val="54"/>
          <w:sz w:val="24"/>
        </w:rPr>
        <w:t> </w:t>
      </w:r>
      <w:r>
        <w:rPr>
          <w:sz w:val="24"/>
        </w:rPr>
        <w:t>un</w:t>
      </w:r>
      <w:r>
        <w:rPr>
          <w:w w:val="99"/>
          <w:sz w:val="24"/>
        </w:rPr>
        <w:t> </w:t>
      </w:r>
      <w:r>
        <w:rPr>
          <w:sz w:val="24"/>
        </w:rPr>
        <w:t>escenario sin regla</w:t>
      </w:r>
      <w:r>
        <w:rPr>
          <w:spacing w:val="-7"/>
          <w:sz w:val="24"/>
        </w:rPr>
        <w:t> </w:t>
      </w:r>
      <w:r>
        <w:rPr>
          <w:sz w:val="24"/>
        </w:rPr>
        <w:t>fiscal.</w:t>
      </w:r>
    </w:p>
    <w:p>
      <w:pPr>
        <w:pStyle w:val="BodyText"/>
        <w:spacing w:line="345" w:lineRule="auto" w:before="4"/>
        <w:ind w:left="122" w:right="116" w:firstLine="707"/>
        <w:jc w:val="both"/>
        <w:rPr>
          <w:sz w:val="16"/>
        </w:rPr>
      </w:pPr>
      <w:r>
        <w:rPr/>
        <w:t>Ante ello, se comparó un escenario base con alternativas distintas para la asignación de ingresos fiscales gasíferos y no gasíferos, las cuales evaluaron su impacto sobre la deuda pública máxima, para el corto y mediano plazo (hasta el 2016),  al 90% de confianza. </w:t>
      </w:r>
      <w:r>
        <w:rPr>
          <w:position w:val="11"/>
          <w:sz w:val="16"/>
        </w:rPr>
        <w:t>67</w:t>
      </w:r>
    </w:p>
    <w:p>
      <w:pPr>
        <w:pStyle w:val="BodyText"/>
        <w:spacing w:line="360" w:lineRule="auto" w:before="5"/>
        <w:ind w:left="122" w:right="118" w:firstLine="707"/>
        <w:jc w:val="both"/>
      </w:pPr>
      <w:r>
        <w:rPr/>
        <w:t>El escenario base fue el comportamiento tendencial y probabilístico de la deuda pública, sin ninguna restricción en la asignación de los ingresos fiscales con y sin gas natural al gasto público (Hostland &amp; Karam, 2006; Wijnbergen &amp; Budina, 2011; Wyplosz, 2011). Se emplearon simulaciones con base en 10.000 choques aleatorios multivariados (Hostland &amp; Karam, 2006) para evaluar la trayectoria paramétrica de la deuda pública a una precisión del           sobre la variabilidad de los pronósticos.</w:t>
      </w:r>
    </w:p>
    <w:p>
      <w:pPr>
        <w:pStyle w:val="BodyText"/>
        <w:rPr>
          <w:sz w:val="20"/>
        </w:rPr>
      </w:pPr>
    </w:p>
    <w:p>
      <w:pPr>
        <w:pStyle w:val="BodyText"/>
        <w:rPr>
          <w:sz w:val="20"/>
        </w:rPr>
      </w:pPr>
    </w:p>
    <w:p>
      <w:pPr>
        <w:pStyle w:val="BodyText"/>
        <w:spacing w:before="1"/>
        <w:rPr>
          <w:sz w:val="21"/>
        </w:rPr>
      </w:pPr>
      <w:r>
        <w:rPr/>
        <w:pict>
          <v:line style="position:absolute;mso-position-horizontal-relative:page;mso-position-vertical-relative:paragraph;z-index:12496;mso-wrap-distance-left:0;mso-wrap-distance-right:0" from="85.103996pt,14.381734pt" to="229.123996pt,14.381734pt" stroked="true" strokeweight=".599980pt" strokecolor="#000000">
            <w10:wrap type="topAndBottom"/>
          </v:line>
        </w:pict>
      </w:r>
    </w:p>
    <w:p>
      <w:pPr>
        <w:spacing w:line="276" w:lineRule="auto" w:before="52"/>
        <w:ind w:left="122" w:right="117" w:firstLine="0"/>
        <w:jc w:val="both"/>
        <w:rPr>
          <w:sz w:val="20"/>
        </w:rPr>
      </w:pPr>
      <w:r>
        <w:rPr>
          <w:position w:val="9"/>
          <w:sz w:val="13"/>
        </w:rPr>
        <w:t>67 </w:t>
      </w:r>
      <w:r>
        <w:rPr>
          <w:sz w:val="20"/>
        </w:rPr>
        <w:t>Lo más utilizado es una evaluación de corto y mediano plazo para la evaluación del diseño fiscal (Celasun, et al., 2007; Schick, 2010). Estudios previos han considerado distintos niveles de confianza: 75% (Penalver &amp; Thwaites, 2006); 80% (Hostland &amp; Karam, 2006); hasta el 98% ( (Borensztein, et al., 2007). En el presente estudio, se considera el 90% (Zambrano &amp; Aguilera, 2010) como el rango seleccionado para determinar la máxima deuda pública probabílistica.</w:t>
      </w:r>
    </w:p>
    <w:p>
      <w:pPr>
        <w:spacing w:after="0" w:line="276" w:lineRule="auto"/>
        <w:jc w:val="both"/>
        <w:rPr>
          <w:sz w:val="20"/>
        </w:rPr>
        <w:sectPr>
          <w:pgSz w:w="12250" w:h="15850"/>
          <w:pgMar w:header="0" w:footer="1037" w:top="1360" w:bottom="1220" w:left="1580" w:right="1580"/>
        </w:sectPr>
      </w:pPr>
    </w:p>
    <w:p>
      <w:pPr>
        <w:pStyle w:val="BodyText"/>
        <w:spacing w:line="360" w:lineRule="auto" w:before="50"/>
        <w:ind w:left="102" w:right="117" w:firstLine="707"/>
        <w:jc w:val="both"/>
      </w:pPr>
      <w:r>
        <w:rPr/>
        <w:t>Los escenarios de reglas fiscales incluyeron la restricción en niveles determinados de ingresos fiscales del gas natural canalizados al gasto de capital: en dos percentiles (10 y 90%) y en tres cuartiles intermedios (25, 50 y 75% de forma respectiva). Este tipo de simulación corresponde a reglas fiscales modificadas para economías en desarrollo donde  se presenta escasez de capital y necesidades de inversión (Cherif &amp; Hasanov, 2011; Collier, et al., 2009; Venables, 2010; van der Ploeg &amp; Venables,</w:t>
      </w:r>
      <w:r>
        <w:rPr>
          <w:spacing w:val="-9"/>
        </w:rPr>
        <w:t> </w:t>
      </w:r>
      <w:r>
        <w:rPr/>
        <w:t>2009).</w:t>
      </w:r>
    </w:p>
    <w:p>
      <w:pPr>
        <w:pStyle w:val="BodyText"/>
        <w:spacing w:line="360" w:lineRule="auto" w:before="6"/>
        <w:ind w:left="102" w:right="119" w:firstLine="707"/>
        <w:jc w:val="both"/>
      </w:pPr>
      <w:r>
        <w:rPr/>
        <w:t>El propósito de seleccionar los porcentajes señalados permite mayor facilidad para  la interpretación y generalización sobre la magnitud de los ingresos fiscales del recurso natural que deben canalizarse al gasto de capital (ej. bajos, intermedios o altos) con el fin de comparar los resultados sobre la posición</w:t>
      </w:r>
      <w:r>
        <w:rPr>
          <w:spacing w:val="-6"/>
        </w:rPr>
        <w:t> </w:t>
      </w:r>
      <w:r>
        <w:rPr/>
        <w:t>fiscal.</w:t>
      </w:r>
    </w:p>
    <w:p>
      <w:pPr>
        <w:pStyle w:val="BodyText"/>
        <w:spacing w:line="360" w:lineRule="auto" w:before="6"/>
        <w:ind w:left="102" w:right="114" w:firstLine="707"/>
        <w:jc w:val="both"/>
      </w:pPr>
      <w:r>
        <w:rPr/>
        <w:t>Frente a lo anterior, puede surgir la siguiente pregunta: ¿por qué  no seleccionar otros porcentajes?, la respuesta se relaciona con el concepto de un modelo genérico que represente de forma simplificada (parsimoniosa) y a escala de un fenómeno complejo la comprensión del comportamiento general (Loría, 2007, p. 15). En el </w:t>
      </w:r>
      <w:r>
        <w:rPr>
          <w:i/>
        </w:rPr>
        <w:t>cuadro 4.4</w:t>
      </w:r>
      <w:r>
        <w:rPr/>
        <w:t>. se presentan los escenarios planteados de reglas fiscales para la asignación de ingresos fiscales gasíferos al gasto de</w:t>
      </w:r>
      <w:r>
        <w:rPr>
          <w:spacing w:val="-6"/>
        </w:rPr>
        <w:t> </w:t>
      </w:r>
      <w:r>
        <w:rPr/>
        <w:t>capital.</w:t>
      </w:r>
    </w:p>
    <w:p>
      <w:pPr>
        <w:pStyle w:val="BodyText"/>
      </w:pPr>
    </w:p>
    <w:p>
      <w:pPr>
        <w:pStyle w:val="BodyText"/>
        <w:spacing w:line="276" w:lineRule="auto" w:before="143"/>
        <w:ind w:left="3148" w:right="120" w:hanging="3035"/>
      </w:pPr>
      <w:bookmarkStart w:name="_bookmark120" w:id="165"/>
      <w:bookmarkEnd w:id="165"/>
      <w:r>
        <w:rPr/>
      </w:r>
      <w:r>
        <w:rPr/>
        <w:t>Cuadro 4. 4: Escenarios de reglas fiscales para la asignación de ingresos fiscales gasíferos y no gasíferos al gasto público</w:t>
      </w:r>
    </w:p>
    <w:p>
      <w:pPr>
        <w:spacing w:after="0" w:line="276" w:lineRule="auto"/>
        <w:sectPr>
          <w:pgSz w:w="12250" w:h="15850"/>
          <w:pgMar w:header="0" w:footer="1037" w:top="1360" w:bottom="1220" w:left="1600" w:right="1580"/>
        </w:sectPr>
      </w:pPr>
    </w:p>
    <w:p>
      <w:pPr>
        <w:spacing w:line="256" w:lineRule="auto" w:before="59"/>
        <w:ind w:left="247" w:right="0" w:firstLine="0"/>
        <w:jc w:val="center"/>
        <w:rPr>
          <w:rFonts w:ascii="Constantia"/>
          <w:sz w:val="21"/>
        </w:rPr>
      </w:pPr>
      <w:r>
        <w:rPr>
          <w:rFonts w:ascii="Constantia"/>
          <w:w w:val="85"/>
          <w:sz w:val="21"/>
        </w:rPr>
        <w:t>Escenarios de</w:t>
      </w:r>
      <w:r>
        <w:rPr>
          <w:rFonts w:ascii="Constantia"/>
          <w:spacing w:val="-27"/>
          <w:w w:val="85"/>
          <w:sz w:val="21"/>
        </w:rPr>
        <w:t> </w:t>
      </w:r>
      <w:r>
        <w:rPr>
          <w:rFonts w:ascii="Constantia"/>
          <w:w w:val="85"/>
          <w:sz w:val="21"/>
        </w:rPr>
        <w:t>reglas </w:t>
      </w:r>
      <w:r>
        <w:rPr>
          <w:rFonts w:ascii="Constantia"/>
          <w:w w:val="95"/>
          <w:sz w:val="21"/>
        </w:rPr>
        <w:t>fiscales</w:t>
      </w:r>
    </w:p>
    <w:p>
      <w:pPr>
        <w:spacing w:line="261" w:lineRule="auto" w:before="0"/>
        <w:ind w:left="242" w:right="0" w:firstLine="0"/>
        <w:jc w:val="center"/>
        <w:rPr>
          <w:rFonts w:ascii="Constantia" w:hAnsi="Constantia"/>
          <w:sz w:val="14"/>
        </w:rPr>
      </w:pPr>
      <w:r>
        <w:rPr/>
        <w:pict>
          <v:group style="position:absolute;margin-left:86.739525pt;margin-top:19.286661pt;width:440.95pt;height:1.65pt;mso-position-horizontal-relative:page;mso-position-vertical-relative:paragraph;z-index:12544" coordorigin="1735,386" coordsize="8819,33">
            <v:line style="position:absolute" from="1745,391" to="10543,391" stroked="true" strokeweight=".546467pt" strokecolor="#000000"/>
            <v:line style="position:absolute" from="1740,391" to="10548,391" stroked="true" strokeweight=".546467pt" strokecolor="#000000"/>
            <v:line style="position:absolute" from="1745,413" to="10543,413" stroked="true" strokeweight=".546467pt" strokecolor="#000000"/>
            <v:line style="position:absolute" from="1740,413" to="10548,413" stroked="true" strokeweight=".546467pt" strokecolor="#000000"/>
            <w10:wrap type="none"/>
          </v:group>
        </w:pict>
      </w:r>
      <w:r>
        <w:rPr>
          <w:rFonts w:ascii="Constantia" w:hAnsi="Constantia"/>
          <w:w w:val="85"/>
          <w:sz w:val="14"/>
        </w:rPr>
        <w:t>(magnitud de canalización de ingresos gasíferos):</w:t>
      </w:r>
    </w:p>
    <w:p>
      <w:pPr>
        <w:spacing w:line="256" w:lineRule="auto" w:before="114"/>
        <w:ind w:left="240" w:right="0" w:hanging="4"/>
        <w:jc w:val="center"/>
        <w:rPr>
          <w:rFonts w:ascii="Constantia" w:hAnsi="Constantia"/>
          <w:sz w:val="21"/>
        </w:rPr>
      </w:pPr>
      <w:r>
        <w:rPr/>
        <w:br w:type="column"/>
      </w:r>
      <w:r>
        <w:rPr>
          <w:rFonts w:ascii="Constantia" w:hAnsi="Constantia"/>
          <w:w w:val="85"/>
          <w:sz w:val="21"/>
        </w:rPr>
        <w:t>Porcentaje de ingresos fiscales gasíferos</w:t>
      </w:r>
      <w:r>
        <w:rPr>
          <w:rFonts w:ascii="Constantia" w:hAnsi="Constantia"/>
          <w:spacing w:val="-7"/>
          <w:w w:val="85"/>
          <w:sz w:val="21"/>
        </w:rPr>
        <w:t> </w:t>
      </w:r>
      <w:r>
        <w:rPr>
          <w:rFonts w:ascii="Constantia" w:hAnsi="Constantia"/>
          <w:w w:val="85"/>
          <w:sz w:val="21"/>
        </w:rPr>
        <w:t>canalizados</w:t>
      </w:r>
      <w:r>
        <w:rPr>
          <w:rFonts w:ascii="Constantia" w:hAnsi="Constantia"/>
          <w:spacing w:val="-7"/>
          <w:w w:val="85"/>
          <w:sz w:val="21"/>
        </w:rPr>
        <w:t> </w:t>
      </w:r>
      <w:r>
        <w:rPr>
          <w:rFonts w:ascii="Constantia" w:hAnsi="Constantia"/>
          <w:w w:val="85"/>
          <w:sz w:val="21"/>
        </w:rPr>
        <w:t>al</w:t>
      </w:r>
      <w:r>
        <w:rPr>
          <w:rFonts w:ascii="Constantia" w:hAnsi="Constantia"/>
          <w:spacing w:val="-12"/>
          <w:w w:val="85"/>
          <w:sz w:val="21"/>
        </w:rPr>
        <w:t> </w:t>
      </w:r>
      <w:r>
        <w:rPr>
          <w:rFonts w:ascii="Constantia" w:hAnsi="Constantia"/>
          <w:w w:val="85"/>
          <w:sz w:val="21"/>
        </w:rPr>
        <w:t>gasto</w:t>
      </w:r>
      <w:r>
        <w:rPr>
          <w:rFonts w:ascii="Constantia" w:hAnsi="Constantia"/>
          <w:spacing w:val="-12"/>
          <w:w w:val="85"/>
          <w:sz w:val="21"/>
        </w:rPr>
        <w:t> </w:t>
      </w:r>
      <w:r>
        <w:rPr>
          <w:rFonts w:ascii="Constantia" w:hAnsi="Constantia"/>
          <w:w w:val="85"/>
          <w:sz w:val="21"/>
        </w:rPr>
        <w:t>de </w:t>
      </w:r>
      <w:r>
        <w:rPr>
          <w:rFonts w:ascii="Constantia" w:hAnsi="Constantia"/>
          <w:w w:val="95"/>
          <w:sz w:val="21"/>
        </w:rPr>
        <w:t>capital:</w:t>
      </w:r>
    </w:p>
    <w:p>
      <w:pPr>
        <w:pStyle w:val="BodyText"/>
        <w:rPr>
          <w:rFonts w:ascii="Constantia"/>
          <w:sz w:val="20"/>
        </w:rPr>
      </w:pPr>
      <w:r>
        <w:rPr/>
        <w:br w:type="column"/>
      </w:r>
      <w:r>
        <w:rPr>
          <w:rFonts w:ascii="Constantia"/>
          <w:sz w:val="20"/>
        </w:rPr>
      </w:r>
    </w:p>
    <w:p>
      <w:pPr>
        <w:spacing w:before="132"/>
        <w:ind w:left="242" w:right="0" w:firstLine="0"/>
        <w:jc w:val="left"/>
        <w:rPr>
          <w:rFonts w:ascii="Constantia"/>
          <w:sz w:val="21"/>
        </w:rPr>
      </w:pPr>
      <w:r>
        <w:rPr>
          <w:rFonts w:ascii="Constantia"/>
          <w:w w:val="85"/>
          <w:sz w:val="21"/>
        </w:rPr>
        <w:t>Valores de convergencia:</w:t>
      </w:r>
    </w:p>
    <w:p>
      <w:pPr>
        <w:spacing w:after="0"/>
        <w:jc w:val="left"/>
        <w:rPr>
          <w:rFonts w:ascii="Constantia"/>
          <w:sz w:val="21"/>
        </w:rPr>
        <w:sectPr>
          <w:type w:val="continuous"/>
          <w:pgSz w:w="12250" w:h="15850"/>
          <w:pgMar w:top="1500" w:bottom="280" w:left="1600" w:right="1580"/>
          <w:cols w:num="3" w:equalWidth="0">
            <w:col w:w="1786" w:space="40"/>
            <w:col w:w="2701" w:space="1110"/>
            <w:col w:w="3433"/>
          </w:cols>
        </w:sectPr>
      </w:pPr>
    </w:p>
    <w:p>
      <w:pPr>
        <w:pStyle w:val="ListParagraph"/>
        <w:numPr>
          <w:ilvl w:val="0"/>
          <w:numId w:val="16"/>
        </w:numPr>
        <w:tabs>
          <w:tab w:pos="319" w:val="left" w:leader="none"/>
          <w:tab w:pos="3379" w:val="right" w:leader="none"/>
        </w:tabs>
        <w:spacing w:line="240" w:lineRule="auto" w:before="109" w:after="0"/>
        <w:ind w:left="318" w:right="0" w:hanging="150"/>
        <w:jc w:val="left"/>
        <w:rPr>
          <w:rFonts w:ascii="Constantia"/>
          <w:sz w:val="21"/>
        </w:rPr>
      </w:pPr>
      <w:r>
        <w:rPr>
          <w:rFonts w:ascii="Constantia"/>
          <w:w w:val="95"/>
          <w:sz w:val="21"/>
        </w:rPr>
        <w:t>Baja</w:t>
        <w:tab/>
        <w:t>10</w:t>
      </w:r>
    </w:p>
    <w:p>
      <w:pPr>
        <w:pStyle w:val="ListParagraph"/>
        <w:numPr>
          <w:ilvl w:val="0"/>
          <w:numId w:val="16"/>
        </w:numPr>
        <w:tabs>
          <w:tab w:pos="382" w:val="left" w:leader="none"/>
          <w:tab w:pos="3384" w:val="right" w:leader="none"/>
        </w:tabs>
        <w:spacing w:line="240" w:lineRule="auto" w:before="149" w:after="0"/>
        <w:ind w:left="381" w:right="0" w:hanging="213"/>
        <w:jc w:val="left"/>
        <w:rPr>
          <w:rFonts w:ascii="Constantia"/>
          <w:sz w:val="21"/>
        </w:rPr>
      </w:pPr>
      <w:r>
        <w:rPr>
          <w:rFonts w:ascii="Constantia"/>
          <w:w w:val="95"/>
          <w:sz w:val="21"/>
        </w:rPr>
        <w:t>Media</w:t>
      </w:r>
      <w:r>
        <w:rPr>
          <w:rFonts w:ascii="Constantia"/>
          <w:spacing w:val="-9"/>
          <w:w w:val="95"/>
          <w:sz w:val="21"/>
        </w:rPr>
        <w:t> </w:t>
      </w:r>
      <w:r>
        <w:rPr>
          <w:rFonts w:ascii="Constantia"/>
          <w:w w:val="95"/>
          <w:sz w:val="21"/>
        </w:rPr>
        <w:t>-</w:t>
      </w:r>
      <w:r>
        <w:rPr>
          <w:rFonts w:ascii="Constantia"/>
          <w:spacing w:val="-7"/>
          <w:w w:val="95"/>
          <w:sz w:val="21"/>
        </w:rPr>
        <w:t> </w:t>
      </w:r>
      <w:r>
        <w:rPr>
          <w:rFonts w:ascii="Constantia"/>
          <w:w w:val="95"/>
          <w:sz w:val="21"/>
        </w:rPr>
        <w:t>Baja</w:t>
        <w:tab/>
      </w:r>
      <w:r>
        <w:rPr>
          <w:rFonts w:ascii="Constantia"/>
          <w:spacing w:val="-3"/>
          <w:w w:val="95"/>
          <w:sz w:val="21"/>
        </w:rPr>
        <w:t>25</w:t>
      </w:r>
    </w:p>
    <w:p>
      <w:pPr>
        <w:pStyle w:val="ListParagraph"/>
        <w:numPr>
          <w:ilvl w:val="0"/>
          <w:numId w:val="16"/>
        </w:numPr>
        <w:tabs>
          <w:tab w:pos="363" w:val="left" w:leader="none"/>
          <w:tab w:pos="3387" w:val="right" w:leader="none"/>
        </w:tabs>
        <w:spacing w:line="240" w:lineRule="auto" w:before="160" w:after="0"/>
        <w:ind w:left="362" w:right="0" w:hanging="194"/>
        <w:jc w:val="left"/>
        <w:rPr>
          <w:rFonts w:ascii="Constantia"/>
          <w:sz w:val="21"/>
        </w:rPr>
      </w:pPr>
      <w:r>
        <w:rPr>
          <w:rFonts w:ascii="Constantia"/>
          <w:w w:val="95"/>
          <w:sz w:val="21"/>
        </w:rPr>
        <w:t>Intermedia</w:t>
        <w:tab/>
        <w:t>50</w:t>
      </w:r>
    </w:p>
    <w:p>
      <w:pPr>
        <w:pStyle w:val="ListParagraph"/>
        <w:numPr>
          <w:ilvl w:val="0"/>
          <w:numId w:val="16"/>
        </w:numPr>
        <w:tabs>
          <w:tab w:pos="382" w:val="left" w:leader="none"/>
          <w:tab w:pos="3384" w:val="right" w:leader="none"/>
        </w:tabs>
        <w:spacing w:line="240" w:lineRule="auto" w:before="171" w:after="0"/>
        <w:ind w:left="381" w:right="0" w:hanging="213"/>
        <w:jc w:val="left"/>
        <w:rPr>
          <w:rFonts w:ascii="Constantia"/>
          <w:sz w:val="21"/>
        </w:rPr>
      </w:pPr>
      <w:r>
        <w:rPr>
          <w:rFonts w:ascii="Constantia"/>
          <w:w w:val="95"/>
          <w:sz w:val="21"/>
        </w:rPr>
        <w:t>Media</w:t>
      </w:r>
      <w:r>
        <w:rPr>
          <w:rFonts w:ascii="Constantia"/>
          <w:spacing w:val="-9"/>
          <w:w w:val="95"/>
          <w:sz w:val="21"/>
        </w:rPr>
        <w:t> </w:t>
      </w:r>
      <w:r>
        <w:rPr>
          <w:rFonts w:ascii="Constantia"/>
          <w:w w:val="95"/>
          <w:sz w:val="21"/>
        </w:rPr>
        <w:t>-</w:t>
      </w:r>
      <w:r>
        <w:rPr>
          <w:rFonts w:ascii="Constantia"/>
          <w:spacing w:val="-7"/>
          <w:w w:val="95"/>
          <w:sz w:val="21"/>
        </w:rPr>
        <w:t> </w:t>
      </w:r>
      <w:r>
        <w:rPr>
          <w:rFonts w:ascii="Constantia"/>
          <w:w w:val="95"/>
          <w:sz w:val="21"/>
        </w:rPr>
        <w:t>Alta</w:t>
        <w:tab/>
        <w:t>75</w:t>
      </w:r>
    </w:p>
    <w:p>
      <w:pPr>
        <w:pStyle w:val="ListParagraph"/>
        <w:numPr>
          <w:ilvl w:val="0"/>
          <w:numId w:val="16"/>
        </w:numPr>
        <w:tabs>
          <w:tab w:pos="363" w:val="left" w:leader="none"/>
          <w:tab w:pos="3393" w:val="right" w:leader="none"/>
        </w:tabs>
        <w:spacing w:line="240" w:lineRule="auto" w:before="248" w:after="0"/>
        <w:ind w:left="363" w:right="0" w:hanging="195"/>
        <w:jc w:val="left"/>
        <w:rPr>
          <w:rFonts w:ascii="Constantia"/>
          <w:sz w:val="21"/>
        </w:rPr>
      </w:pPr>
      <w:r>
        <w:rPr>
          <w:rFonts w:ascii="Constantia"/>
          <w:w w:val="95"/>
          <w:sz w:val="21"/>
        </w:rPr>
        <w:t>Alta</w:t>
        <w:tab/>
      </w:r>
      <w:r>
        <w:rPr>
          <w:rFonts w:ascii="Constantia"/>
          <w:spacing w:val="-4"/>
          <w:w w:val="95"/>
          <w:sz w:val="21"/>
        </w:rPr>
        <w:t>90</w:t>
      </w:r>
    </w:p>
    <w:p>
      <w:pPr>
        <w:pStyle w:val="ListParagraph"/>
        <w:numPr>
          <w:ilvl w:val="1"/>
          <w:numId w:val="16"/>
        </w:numPr>
        <w:tabs>
          <w:tab w:pos="336" w:val="left" w:leader="none"/>
        </w:tabs>
        <w:spacing w:line="256" w:lineRule="auto" w:before="164" w:after="0"/>
        <w:ind w:left="168" w:right="192" w:firstLine="0"/>
        <w:jc w:val="left"/>
        <w:rPr>
          <w:rFonts w:ascii="Constantia" w:hAnsi="Constantia"/>
          <w:sz w:val="21"/>
        </w:rPr>
      </w:pPr>
      <w:r>
        <w:rPr>
          <w:rFonts w:ascii="Constantia" w:hAnsi="Constantia"/>
          <w:spacing w:val="2"/>
          <w:w w:val="84"/>
          <w:sz w:val="21"/>
        </w:rPr>
        <w:br w:type="column"/>
      </w:r>
      <w:r>
        <w:rPr>
          <w:rFonts w:ascii="Constantia" w:hAnsi="Constantia"/>
          <w:w w:val="90"/>
          <w:sz w:val="21"/>
        </w:rPr>
        <w:t>Se</w:t>
      </w:r>
      <w:r>
        <w:rPr>
          <w:rFonts w:ascii="Constantia" w:hAnsi="Constantia"/>
          <w:spacing w:val="-32"/>
          <w:w w:val="90"/>
          <w:sz w:val="21"/>
        </w:rPr>
        <w:t> </w:t>
      </w:r>
      <w:r>
        <w:rPr>
          <w:rFonts w:ascii="Constantia" w:hAnsi="Constantia"/>
          <w:w w:val="90"/>
          <w:sz w:val="21"/>
        </w:rPr>
        <w:t>estimó</w:t>
      </w:r>
      <w:r>
        <w:rPr>
          <w:rFonts w:ascii="Constantia" w:hAnsi="Constantia"/>
          <w:spacing w:val="-33"/>
          <w:w w:val="90"/>
          <w:sz w:val="21"/>
        </w:rPr>
        <w:t> </w:t>
      </w:r>
      <w:r>
        <w:rPr>
          <w:rFonts w:ascii="Constantia" w:hAnsi="Constantia"/>
          <w:w w:val="90"/>
          <w:sz w:val="21"/>
        </w:rPr>
        <w:t>el</w:t>
      </w:r>
      <w:r>
        <w:rPr>
          <w:rFonts w:ascii="Constantia" w:hAnsi="Constantia"/>
          <w:spacing w:val="-33"/>
          <w:w w:val="90"/>
          <w:sz w:val="21"/>
        </w:rPr>
        <w:t> </w:t>
      </w:r>
      <w:r>
        <w:rPr>
          <w:rFonts w:ascii="Constantia" w:hAnsi="Constantia"/>
          <w:spacing w:val="-3"/>
          <w:w w:val="90"/>
          <w:sz w:val="21"/>
        </w:rPr>
        <w:t>valor</w:t>
      </w:r>
      <w:r>
        <w:rPr>
          <w:rFonts w:ascii="Constantia" w:hAnsi="Constantia"/>
          <w:spacing w:val="-33"/>
          <w:w w:val="90"/>
          <w:sz w:val="21"/>
        </w:rPr>
        <w:t> </w:t>
      </w:r>
      <w:r>
        <w:rPr>
          <w:rFonts w:ascii="Constantia" w:hAnsi="Constantia"/>
          <w:w w:val="90"/>
          <w:sz w:val="21"/>
        </w:rPr>
        <w:t>de</w:t>
      </w:r>
      <w:r>
        <w:rPr>
          <w:rFonts w:ascii="Constantia" w:hAnsi="Constantia"/>
          <w:spacing w:val="-32"/>
          <w:w w:val="90"/>
          <w:sz w:val="21"/>
        </w:rPr>
        <w:t> </w:t>
      </w:r>
      <w:r>
        <w:rPr>
          <w:rFonts w:ascii="Constantia" w:hAnsi="Constantia"/>
          <w:w w:val="90"/>
          <w:sz w:val="21"/>
        </w:rPr>
        <w:t>convergencia</w:t>
      </w:r>
      <w:r>
        <w:rPr>
          <w:rFonts w:ascii="Constantia" w:hAnsi="Constantia"/>
          <w:spacing w:val="-32"/>
          <w:w w:val="90"/>
          <w:sz w:val="21"/>
        </w:rPr>
        <w:t> </w:t>
      </w:r>
      <w:r>
        <w:rPr>
          <w:rFonts w:ascii="Constantia" w:hAnsi="Constantia"/>
          <w:w w:val="90"/>
          <w:sz w:val="21"/>
        </w:rPr>
        <w:t>de</w:t>
      </w:r>
      <w:r>
        <w:rPr>
          <w:rFonts w:ascii="Constantia" w:hAnsi="Constantia"/>
          <w:spacing w:val="-32"/>
          <w:w w:val="90"/>
          <w:sz w:val="21"/>
        </w:rPr>
        <w:t> </w:t>
      </w:r>
      <w:r>
        <w:rPr>
          <w:rFonts w:ascii="Constantia" w:hAnsi="Constantia"/>
          <w:w w:val="90"/>
          <w:sz w:val="21"/>
        </w:rPr>
        <w:t>la</w:t>
      </w:r>
      <w:r>
        <w:rPr>
          <w:rFonts w:ascii="Constantia" w:hAnsi="Constantia"/>
          <w:spacing w:val="-32"/>
          <w:w w:val="90"/>
          <w:sz w:val="21"/>
        </w:rPr>
        <w:t> </w:t>
      </w:r>
      <w:r>
        <w:rPr>
          <w:rFonts w:ascii="Constantia" w:hAnsi="Constantia"/>
          <w:w w:val="90"/>
          <w:sz w:val="21"/>
        </w:rPr>
        <w:t>razón</w:t>
      </w:r>
      <w:r>
        <w:rPr>
          <w:rFonts w:ascii="Constantia" w:hAnsi="Constantia"/>
          <w:spacing w:val="-32"/>
          <w:w w:val="90"/>
          <w:sz w:val="21"/>
        </w:rPr>
        <w:t> </w:t>
      </w:r>
      <w:r>
        <w:rPr>
          <w:rFonts w:ascii="Constantia" w:hAnsi="Constantia"/>
          <w:w w:val="90"/>
          <w:sz w:val="21"/>
        </w:rPr>
        <w:t>Gasto </w:t>
      </w:r>
      <w:r>
        <w:rPr>
          <w:rFonts w:ascii="Constantia" w:hAnsi="Constantia"/>
          <w:w w:val="85"/>
          <w:sz w:val="21"/>
        </w:rPr>
        <w:t>corriente/</w:t>
      </w:r>
      <w:r>
        <w:rPr>
          <w:rFonts w:ascii="Constantia" w:hAnsi="Constantia"/>
          <w:spacing w:val="-13"/>
          <w:w w:val="85"/>
          <w:sz w:val="21"/>
        </w:rPr>
        <w:t> </w:t>
      </w:r>
      <w:r>
        <w:rPr>
          <w:rFonts w:ascii="Constantia" w:hAnsi="Constantia"/>
          <w:w w:val="85"/>
          <w:sz w:val="21"/>
        </w:rPr>
        <w:t>Ingresos</w:t>
      </w:r>
      <w:r>
        <w:rPr>
          <w:rFonts w:ascii="Constantia" w:hAnsi="Constantia"/>
          <w:spacing w:val="-13"/>
          <w:w w:val="85"/>
          <w:sz w:val="21"/>
        </w:rPr>
        <w:t> </w:t>
      </w:r>
      <w:r>
        <w:rPr>
          <w:rFonts w:ascii="Constantia" w:hAnsi="Constantia"/>
          <w:w w:val="85"/>
          <w:sz w:val="21"/>
        </w:rPr>
        <w:t>fiscales</w:t>
      </w:r>
      <w:r>
        <w:rPr>
          <w:rFonts w:ascii="Constantia" w:hAnsi="Constantia"/>
          <w:spacing w:val="-13"/>
          <w:w w:val="85"/>
          <w:sz w:val="21"/>
        </w:rPr>
        <w:t> </w:t>
      </w:r>
      <w:r>
        <w:rPr>
          <w:rFonts w:ascii="Constantia" w:hAnsi="Constantia"/>
          <w:w w:val="85"/>
          <w:sz w:val="21"/>
        </w:rPr>
        <w:t>no</w:t>
      </w:r>
      <w:r>
        <w:rPr>
          <w:rFonts w:ascii="Constantia" w:hAnsi="Constantia"/>
          <w:spacing w:val="-17"/>
          <w:w w:val="85"/>
          <w:sz w:val="21"/>
        </w:rPr>
        <w:t> </w:t>
      </w:r>
      <w:r>
        <w:rPr>
          <w:rFonts w:ascii="Constantia" w:hAnsi="Constantia"/>
          <w:w w:val="85"/>
          <w:sz w:val="21"/>
        </w:rPr>
        <w:t>gasíferos.</w:t>
      </w:r>
    </w:p>
    <w:p>
      <w:pPr>
        <w:pStyle w:val="BodyText"/>
        <w:spacing w:before="4"/>
        <w:rPr>
          <w:rFonts w:ascii="Constantia"/>
          <w:sz w:val="23"/>
        </w:rPr>
      </w:pPr>
    </w:p>
    <w:p>
      <w:pPr>
        <w:pStyle w:val="ListParagraph"/>
        <w:numPr>
          <w:ilvl w:val="1"/>
          <w:numId w:val="16"/>
        </w:numPr>
        <w:tabs>
          <w:tab w:pos="363" w:val="left" w:leader="none"/>
        </w:tabs>
        <w:spacing w:line="256" w:lineRule="auto" w:before="0" w:after="0"/>
        <w:ind w:left="168" w:right="597" w:firstLine="0"/>
        <w:jc w:val="left"/>
        <w:rPr>
          <w:rFonts w:ascii="Constantia" w:hAnsi="Constantia"/>
          <w:sz w:val="21"/>
        </w:rPr>
      </w:pPr>
      <w:r>
        <w:rPr>
          <w:rFonts w:ascii="Constantia" w:hAnsi="Constantia"/>
          <w:w w:val="85"/>
          <w:sz w:val="21"/>
        </w:rPr>
        <w:t>Se</w:t>
      </w:r>
      <w:r>
        <w:rPr>
          <w:rFonts w:ascii="Constantia" w:hAnsi="Constantia"/>
          <w:spacing w:val="-6"/>
          <w:w w:val="85"/>
          <w:sz w:val="21"/>
        </w:rPr>
        <w:t> </w:t>
      </w:r>
      <w:r>
        <w:rPr>
          <w:rFonts w:ascii="Constantia" w:hAnsi="Constantia"/>
          <w:w w:val="85"/>
          <w:sz w:val="21"/>
        </w:rPr>
        <w:t>estimó</w:t>
      </w:r>
      <w:r>
        <w:rPr>
          <w:rFonts w:ascii="Constantia" w:hAnsi="Constantia"/>
          <w:spacing w:val="-8"/>
          <w:w w:val="85"/>
          <w:sz w:val="21"/>
        </w:rPr>
        <w:t> </w:t>
      </w:r>
      <w:r>
        <w:rPr>
          <w:rFonts w:ascii="Constantia" w:hAnsi="Constantia"/>
          <w:w w:val="85"/>
          <w:sz w:val="21"/>
        </w:rPr>
        <w:t>el</w:t>
      </w:r>
      <w:r>
        <w:rPr>
          <w:rFonts w:ascii="Constantia" w:hAnsi="Constantia"/>
          <w:spacing w:val="-8"/>
          <w:w w:val="85"/>
          <w:sz w:val="21"/>
        </w:rPr>
        <w:t> </w:t>
      </w:r>
      <w:r>
        <w:rPr>
          <w:rFonts w:ascii="Constantia" w:hAnsi="Constantia"/>
          <w:spacing w:val="-3"/>
          <w:w w:val="85"/>
          <w:sz w:val="21"/>
        </w:rPr>
        <w:t>valor</w:t>
      </w:r>
      <w:r>
        <w:rPr>
          <w:rFonts w:ascii="Constantia" w:hAnsi="Constantia"/>
          <w:spacing w:val="-8"/>
          <w:w w:val="85"/>
          <w:sz w:val="21"/>
        </w:rPr>
        <w:t> </w:t>
      </w:r>
      <w:r>
        <w:rPr>
          <w:rFonts w:ascii="Constantia" w:hAnsi="Constantia"/>
          <w:w w:val="85"/>
          <w:sz w:val="21"/>
        </w:rPr>
        <w:t>de</w:t>
      </w:r>
      <w:r>
        <w:rPr>
          <w:rFonts w:ascii="Constantia" w:hAnsi="Constantia"/>
          <w:spacing w:val="-6"/>
          <w:w w:val="85"/>
          <w:sz w:val="21"/>
        </w:rPr>
        <w:t> </w:t>
      </w:r>
      <w:r>
        <w:rPr>
          <w:rFonts w:ascii="Constantia" w:hAnsi="Constantia"/>
          <w:w w:val="85"/>
          <w:sz w:val="21"/>
        </w:rPr>
        <w:t>convergencia</w:t>
      </w:r>
      <w:r>
        <w:rPr>
          <w:rFonts w:ascii="Constantia" w:hAnsi="Constantia"/>
          <w:spacing w:val="-6"/>
          <w:w w:val="85"/>
          <w:sz w:val="21"/>
        </w:rPr>
        <w:t> </w:t>
      </w:r>
      <w:r>
        <w:rPr>
          <w:rFonts w:ascii="Constantia" w:hAnsi="Constantia"/>
          <w:w w:val="85"/>
          <w:sz w:val="21"/>
        </w:rPr>
        <w:t>de</w:t>
      </w:r>
      <w:r>
        <w:rPr>
          <w:rFonts w:ascii="Constantia" w:hAnsi="Constantia"/>
          <w:spacing w:val="-6"/>
          <w:w w:val="85"/>
          <w:sz w:val="21"/>
        </w:rPr>
        <w:t> </w:t>
      </w:r>
      <w:r>
        <w:rPr>
          <w:rFonts w:ascii="Constantia" w:hAnsi="Constantia"/>
          <w:w w:val="85"/>
          <w:sz w:val="21"/>
        </w:rPr>
        <w:t>distintas mediciones</w:t>
      </w:r>
      <w:r>
        <w:rPr>
          <w:rFonts w:ascii="Constantia" w:hAnsi="Constantia"/>
          <w:spacing w:val="-13"/>
          <w:w w:val="85"/>
          <w:sz w:val="21"/>
        </w:rPr>
        <w:t> </w:t>
      </w:r>
      <w:r>
        <w:rPr>
          <w:rFonts w:ascii="Constantia" w:hAnsi="Constantia"/>
          <w:w w:val="85"/>
          <w:sz w:val="21"/>
        </w:rPr>
        <w:t>de</w:t>
      </w:r>
      <w:r>
        <w:rPr>
          <w:rFonts w:ascii="Constantia" w:hAnsi="Constantia"/>
          <w:spacing w:val="-16"/>
          <w:w w:val="85"/>
          <w:sz w:val="21"/>
        </w:rPr>
        <w:t> </w:t>
      </w:r>
      <w:r>
        <w:rPr>
          <w:rFonts w:ascii="Constantia" w:hAnsi="Constantia"/>
          <w:w w:val="85"/>
          <w:sz w:val="21"/>
        </w:rPr>
        <w:t>resultado</w:t>
      </w:r>
      <w:r>
        <w:rPr>
          <w:rFonts w:ascii="Constantia" w:hAnsi="Constantia"/>
          <w:spacing w:val="-17"/>
          <w:w w:val="85"/>
          <w:sz w:val="21"/>
        </w:rPr>
        <w:t> </w:t>
      </w:r>
      <w:r>
        <w:rPr>
          <w:rFonts w:ascii="Constantia" w:hAnsi="Constantia"/>
          <w:w w:val="85"/>
          <w:sz w:val="21"/>
        </w:rPr>
        <w:t>fiscal.</w:t>
      </w:r>
    </w:p>
    <w:p>
      <w:pPr>
        <w:pStyle w:val="ListParagraph"/>
        <w:numPr>
          <w:ilvl w:val="1"/>
          <w:numId w:val="16"/>
        </w:numPr>
        <w:tabs>
          <w:tab w:pos="363" w:val="left" w:leader="none"/>
        </w:tabs>
        <w:spacing w:line="256" w:lineRule="auto" w:before="175" w:after="0"/>
        <w:ind w:left="168" w:right="315" w:firstLine="0"/>
        <w:jc w:val="left"/>
        <w:rPr>
          <w:rFonts w:ascii="Constantia" w:hAnsi="Constantia"/>
          <w:sz w:val="21"/>
        </w:rPr>
      </w:pPr>
      <w:r>
        <w:rPr>
          <w:rFonts w:ascii="Constantia" w:hAnsi="Constantia"/>
          <w:w w:val="90"/>
          <w:sz w:val="21"/>
        </w:rPr>
        <w:t>Se</w:t>
      </w:r>
      <w:r>
        <w:rPr>
          <w:rFonts w:ascii="Constantia" w:hAnsi="Constantia"/>
          <w:spacing w:val="-29"/>
          <w:w w:val="90"/>
          <w:sz w:val="21"/>
        </w:rPr>
        <w:t> </w:t>
      </w:r>
      <w:r>
        <w:rPr>
          <w:rFonts w:ascii="Constantia" w:hAnsi="Constantia"/>
          <w:w w:val="90"/>
          <w:sz w:val="21"/>
        </w:rPr>
        <w:t>estimó</w:t>
      </w:r>
      <w:r>
        <w:rPr>
          <w:rFonts w:ascii="Constantia" w:hAnsi="Constantia"/>
          <w:spacing w:val="-30"/>
          <w:w w:val="90"/>
          <w:sz w:val="21"/>
        </w:rPr>
        <w:t> </w:t>
      </w:r>
      <w:r>
        <w:rPr>
          <w:rFonts w:ascii="Constantia" w:hAnsi="Constantia"/>
          <w:w w:val="90"/>
          <w:sz w:val="21"/>
        </w:rPr>
        <w:t>el</w:t>
      </w:r>
      <w:r>
        <w:rPr>
          <w:rFonts w:ascii="Constantia" w:hAnsi="Constantia"/>
          <w:spacing w:val="-30"/>
          <w:w w:val="90"/>
          <w:sz w:val="21"/>
        </w:rPr>
        <w:t> </w:t>
      </w:r>
      <w:r>
        <w:rPr>
          <w:rFonts w:ascii="Constantia" w:hAnsi="Constantia"/>
          <w:spacing w:val="-3"/>
          <w:w w:val="90"/>
          <w:sz w:val="21"/>
        </w:rPr>
        <w:t>máximo</w:t>
      </w:r>
      <w:r>
        <w:rPr>
          <w:rFonts w:ascii="Constantia" w:hAnsi="Constantia"/>
          <w:spacing w:val="-30"/>
          <w:w w:val="90"/>
          <w:sz w:val="21"/>
        </w:rPr>
        <w:t> </w:t>
      </w:r>
      <w:r>
        <w:rPr>
          <w:rFonts w:ascii="Constantia" w:hAnsi="Constantia"/>
          <w:spacing w:val="-3"/>
          <w:w w:val="90"/>
          <w:sz w:val="21"/>
        </w:rPr>
        <w:t>valor</w:t>
      </w:r>
      <w:r>
        <w:rPr>
          <w:rFonts w:ascii="Constantia" w:hAnsi="Constantia"/>
          <w:spacing w:val="-30"/>
          <w:w w:val="90"/>
          <w:sz w:val="21"/>
        </w:rPr>
        <w:t> </w:t>
      </w:r>
      <w:r>
        <w:rPr>
          <w:rFonts w:ascii="Constantia" w:hAnsi="Constantia"/>
          <w:w w:val="90"/>
          <w:sz w:val="21"/>
        </w:rPr>
        <w:t>de</w:t>
      </w:r>
      <w:r>
        <w:rPr>
          <w:rFonts w:ascii="Constantia" w:hAnsi="Constantia"/>
          <w:spacing w:val="-29"/>
          <w:w w:val="90"/>
          <w:sz w:val="21"/>
        </w:rPr>
        <w:t> </w:t>
      </w:r>
      <w:r>
        <w:rPr>
          <w:rFonts w:ascii="Constantia" w:hAnsi="Constantia"/>
          <w:w w:val="90"/>
          <w:sz w:val="21"/>
        </w:rPr>
        <w:t>la</w:t>
      </w:r>
      <w:r>
        <w:rPr>
          <w:rFonts w:ascii="Constantia" w:hAnsi="Constantia"/>
          <w:spacing w:val="-29"/>
          <w:w w:val="90"/>
          <w:sz w:val="21"/>
        </w:rPr>
        <w:t> </w:t>
      </w:r>
      <w:r>
        <w:rPr>
          <w:rFonts w:ascii="Constantia" w:hAnsi="Constantia"/>
          <w:w w:val="90"/>
          <w:sz w:val="21"/>
        </w:rPr>
        <w:t>Deuda</w:t>
      </w:r>
      <w:r>
        <w:rPr>
          <w:rFonts w:ascii="Constantia" w:hAnsi="Constantia"/>
          <w:spacing w:val="-29"/>
          <w:w w:val="90"/>
          <w:sz w:val="21"/>
        </w:rPr>
        <w:t> </w:t>
      </w:r>
      <w:r>
        <w:rPr>
          <w:rFonts w:ascii="Constantia" w:hAnsi="Constantia"/>
          <w:w w:val="90"/>
          <w:sz w:val="21"/>
        </w:rPr>
        <w:t>Pública,</w:t>
      </w:r>
      <w:r>
        <w:rPr>
          <w:rFonts w:ascii="Constantia" w:hAnsi="Constantia"/>
          <w:spacing w:val="-29"/>
          <w:w w:val="90"/>
          <w:sz w:val="21"/>
        </w:rPr>
        <w:t> </w:t>
      </w:r>
      <w:r>
        <w:rPr>
          <w:rFonts w:ascii="Constantia" w:hAnsi="Constantia"/>
          <w:w w:val="90"/>
          <w:sz w:val="21"/>
        </w:rPr>
        <w:t>en </w:t>
      </w:r>
      <w:r>
        <w:rPr>
          <w:rFonts w:ascii="Constantia" w:hAnsi="Constantia"/>
          <w:spacing w:val="-2"/>
          <w:w w:val="85"/>
          <w:sz w:val="21"/>
        </w:rPr>
        <w:t>términos </w:t>
      </w:r>
      <w:r>
        <w:rPr>
          <w:rFonts w:ascii="Constantia" w:hAnsi="Constantia"/>
          <w:w w:val="85"/>
          <w:sz w:val="21"/>
        </w:rPr>
        <w:t>del PIB </w:t>
      </w:r>
      <w:r>
        <w:rPr>
          <w:rFonts w:ascii="Constantia" w:hAnsi="Constantia"/>
          <w:spacing w:val="-3"/>
          <w:w w:val="85"/>
          <w:sz w:val="21"/>
        </w:rPr>
        <w:t>real, </w:t>
      </w:r>
      <w:r>
        <w:rPr>
          <w:rFonts w:ascii="Constantia" w:hAnsi="Constantia"/>
          <w:w w:val="85"/>
          <w:sz w:val="21"/>
        </w:rPr>
        <w:t>al </w:t>
      </w:r>
      <w:r>
        <w:rPr>
          <w:rFonts w:ascii="Constantia" w:hAnsi="Constantia"/>
          <w:spacing w:val="-3"/>
          <w:w w:val="85"/>
          <w:sz w:val="21"/>
        </w:rPr>
        <w:t>90% </w:t>
      </w:r>
      <w:r>
        <w:rPr>
          <w:rFonts w:ascii="Constantia" w:hAnsi="Constantia"/>
          <w:w w:val="85"/>
          <w:sz w:val="21"/>
        </w:rPr>
        <w:t>de</w:t>
      </w:r>
      <w:r>
        <w:rPr>
          <w:rFonts w:ascii="Constantia" w:hAnsi="Constantia"/>
          <w:spacing w:val="-29"/>
          <w:w w:val="85"/>
          <w:sz w:val="21"/>
        </w:rPr>
        <w:t> </w:t>
      </w:r>
      <w:r>
        <w:rPr>
          <w:rFonts w:ascii="Constantia" w:hAnsi="Constantia"/>
          <w:w w:val="85"/>
          <w:sz w:val="21"/>
        </w:rPr>
        <w:t>confianza.</w:t>
      </w:r>
    </w:p>
    <w:p>
      <w:pPr>
        <w:spacing w:after="0" w:line="256" w:lineRule="auto"/>
        <w:jc w:val="left"/>
        <w:rPr>
          <w:rFonts w:ascii="Constantia" w:hAnsi="Constantia"/>
          <w:sz w:val="21"/>
        </w:rPr>
        <w:sectPr>
          <w:type w:val="continuous"/>
          <w:pgSz w:w="12250" w:h="15850"/>
          <w:pgMar w:top="1500" w:bottom="280" w:left="1600" w:right="1580"/>
          <w:cols w:num="2" w:equalWidth="0">
            <w:col w:w="3394" w:space="1163"/>
            <w:col w:w="4513"/>
          </w:cols>
        </w:sectPr>
      </w:pPr>
    </w:p>
    <w:p>
      <w:pPr>
        <w:pStyle w:val="BodyText"/>
        <w:spacing w:line="32" w:lineRule="exact"/>
        <w:ind w:left="134"/>
        <w:rPr>
          <w:rFonts w:ascii="Constantia"/>
          <w:sz w:val="3"/>
        </w:rPr>
      </w:pPr>
      <w:r>
        <w:rPr>
          <w:rFonts w:ascii="Constantia"/>
          <w:position w:val="0"/>
          <w:sz w:val="3"/>
        </w:rPr>
        <w:pict>
          <v:group style="width:440.95pt;height:1.65pt;mso-position-horizontal-relative:char;mso-position-vertical-relative:line" coordorigin="0,0" coordsize="8819,33">
            <v:line style="position:absolute" from="10,6" to="8808,6" stroked="true" strokeweight=".546467pt" strokecolor="#000000"/>
            <v:line style="position:absolute" from="6,6" to="8813,6" stroked="true" strokeweight=".546467pt" strokecolor="#000000"/>
            <v:line style="position:absolute" from="10,27" to="8808,27" stroked="true" strokeweight=".546467pt" strokecolor="#000000"/>
            <v:line style="position:absolute" from="6,27" to="8813,27" stroked="true" strokeweight=".546467pt" strokecolor="#000000"/>
          </v:group>
        </w:pict>
      </w:r>
      <w:r>
        <w:rPr>
          <w:rFonts w:ascii="Constantia"/>
          <w:position w:val="0"/>
          <w:sz w:val="3"/>
        </w:rPr>
      </w:r>
    </w:p>
    <w:p>
      <w:pPr>
        <w:pStyle w:val="BodyText"/>
        <w:spacing w:before="6"/>
        <w:rPr>
          <w:rFonts w:ascii="Constantia"/>
          <w:sz w:val="6"/>
        </w:rPr>
      </w:pPr>
    </w:p>
    <w:p>
      <w:pPr>
        <w:spacing w:before="74"/>
        <w:ind w:left="162" w:right="127" w:firstLine="0"/>
        <w:jc w:val="left"/>
        <w:rPr>
          <w:sz w:val="20"/>
        </w:rPr>
      </w:pPr>
      <w:r>
        <w:rPr>
          <w:sz w:val="20"/>
        </w:rPr>
        <w:t>Fuente: elaboración propia con base en la revisión de autores citados.</w:t>
      </w:r>
    </w:p>
    <w:p>
      <w:pPr>
        <w:pStyle w:val="BodyText"/>
        <w:rPr>
          <w:sz w:val="20"/>
        </w:rPr>
      </w:pPr>
    </w:p>
    <w:p>
      <w:pPr>
        <w:pStyle w:val="BodyText"/>
        <w:rPr>
          <w:sz w:val="16"/>
        </w:rPr>
      </w:pPr>
    </w:p>
    <w:p>
      <w:pPr>
        <w:pStyle w:val="BodyText"/>
        <w:ind w:left="810"/>
      </w:pPr>
      <w:r>
        <w:rPr>
          <w:w w:val="222"/>
        </w:rPr>
        <w:t> </w:t>
      </w:r>
      <w:r>
        <w:rPr>
          <w:spacing w:val="-1"/>
          <w:w w:val="177"/>
        </w:rPr>
        <w:t> </w:t>
      </w:r>
      <w:r>
        <w:rPr>
          <w:w w:val="155"/>
        </w:rPr>
        <w:t>  </w:t>
      </w:r>
      <w:r>
        <w:rPr>
          <w:spacing w:val="12"/>
        </w:rPr>
        <w:t> </w:t>
      </w:r>
      <w:r>
        <w:rPr>
          <w:w w:val="148"/>
        </w:rPr>
        <w:t>   </w:t>
      </w:r>
      <w:r>
        <w:rPr>
          <w:spacing w:val="13"/>
        </w:rPr>
        <w:t> </w:t>
      </w:r>
      <w:r>
        <w:rPr>
          <w:w w:val="192"/>
        </w:rPr>
        <w:t>   </w:t>
      </w:r>
      <w:r>
        <w:rPr>
          <w:w w:val="166"/>
        </w:rPr>
        <w:t>   </w:t>
      </w:r>
      <w:r>
        <w:rPr>
          <w:spacing w:val="-2"/>
          <w:w w:val="166"/>
        </w:rPr>
        <w:t> </w:t>
      </w:r>
      <w:r>
        <w:rPr>
          <w:w w:val="168"/>
        </w:rPr>
        <w:t>     </w:t>
      </w:r>
      <w:r>
        <w:rPr>
          <w:spacing w:val="13"/>
        </w:rPr>
        <w:t> </w:t>
      </w:r>
      <w:r>
        <w:rPr>
          <w:w w:val="188"/>
        </w:rPr>
        <w:t>  </w:t>
      </w:r>
      <w:r>
        <w:rPr>
          <w:spacing w:val="13"/>
        </w:rPr>
        <w:t> </w:t>
      </w:r>
      <w:r>
        <w:rPr>
          <w:w w:val="144"/>
        </w:rPr>
        <w:t>  </w:t>
      </w:r>
      <w:r>
        <w:rPr>
          <w:spacing w:val="13"/>
        </w:rPr>
        <w:t> </w:t>
      </w:r>
      <w:r>
        <w:rPr>
          <w:w w:val="188"/>
        </w:rPr>
        <w:t> </w:t>
      </w:r>
      <w:r>
        <w:rPr>
          <w:spacing w:val="-1"/>
          <w:w w:val="188"/>
        </w:rPr>
        <w:t> </w:t>
      </w:r>
      <w:r>
        <w:rPr>
          <w:w w:val="192"/>
        </w:rPr>
        <w:t>   </w:t>
      </w:r>
      <w:r>
        <w:rPr>
          <w:spacing w:val="13"/>
        </w:rPr>
        <w:t> </w:t>
      </w:r>
      <w:r>
        <w:rPr>
          <w:w w:val="164"/>
        </w:rPr>
        <w:t>     </w:t>
      </w:r>
      <w:r>
        <w:rPr>
          <w:spacing w:val="-1"/>
          <w:w w:val="177"/>
        </w:rPr>
        <w:t>  </w:t>
      </w:r>
      <w:r>
        <w:rPr/>
        <w:t> </w:t>
      </w:r>
      <w:r>
        <w:rPr>
          <w:spacing w:val="14"/>
        </w:rPr>
        <w:t> </w:t>
      </w:r>
      <w:r>
        <w:rPr>
          <w:w w:val="166"/>
        </w:rPr>
        <w:t>  </w:t>
      </w:r>
      <w:r>
        <w:rPr>
          <w:spacing w:val="13"/>
        </w:rPr>
        <w:t> </w:t>
      </w:r>
      <w:r>
        <w:rPr>
          <w:spacing w:val="-1"/>
          <w:w w:val="177"/>
        </w:rPr>
        <w:t> </w:t>
      </w:r>
      <w:r>
        <w:rPr>
          <w:w w:val="207"/>
        </w:rPr>
        <w:t>   </w:t>
      </w:r>
      <w:r>
        <w:rPr>
          <w:spacing w:val="-1"/>
          <w:w w:val="177"/>
        </w:rPr>
        <w:t> </w:t>
      </w:r>
      <w:r>
        <w:rPr>
          <w:w w:val="200"/>
        </w:rPr>
        <w:t> </w:t>
      </w:r>
      <w:r>
        <w:rPr>
          <w:spacing w:val="14"/>
        </w:rPr>
        <w:t> </w:t>
      </w:r>
      <w:r>
        <w:rPr>
          <w:spacing w:val="-1"/>
          <w:w w:val="177"/>
        </w:rPr>
        <w:t> </w:t>
      </w:r>
      <w:r>
        <w:rPr>
          <w:w w:val="111"/>
        </w:rPr>
        <w:t> </w:t>
      </w:r>
      <w:r>
        <w:rPr>
          <w:spacing w:val="14"/>
        </w:rPr>
        <w:t> </w:t>
      </w:r>
      <w:r>
        <w:rPr>
          <w:w w:val="200"/>
        </w:rPr>
        <w:t>      </w:t>
      </w:r>
      <w:r>
        <w:rPr>
          <w:spacing w:val="14"/>
        </w:rPr>
        <w:t> </w:t>
      </w:r>
      <w:r>
        <w:rPr>
          <w:spacing w:val="-2"/>
          <w:w w:val="266"/>
        </w:rPr>
        <w:t> </w:t>
      </w:r>
      <w:r>
        <w:rPr/>
        <w:t> </w:t>
      </w:r>
      <w:r>
        <w:rPr>
          <w:spacing w:val="14"/>
        </w:rPr>
        <w:t> </w:t>
      </w:r>
      <w:r>
        <w:rPr>
          <w:w w:val="188"/>
        </w:rPr>
        <w:t> </w:t>
      </w:r>
      <w:r>
        <w:rPr>
          <w:spacing w:val="-1"/>
          <w:w w:val="188"/>
        </w:rPr>
        <w:t> </w:t>
      </w:r>
      <w:r>
        <w:rPr>
          <w:w w:val="188"/>
        </w:rPr>
        <w:t>  </w:t>
      </w:r>
      <w:r>
        <w:rPr>
          <w:spacing w:val="13"/>
        </w:rPr>
        <w:t> </w:t>
      </w:r>
      <w:r>
        <w:rPr>
          <w:w w:val="144"/>
        </w:rPr>
        <w:t>  </w:t>
      </w:r>
      <w:r>
        <w:rPr>
          <w:spacing w:val="13"/>
        </w:rPr>
        <w:t> </w:t>
      </w:r>
      <w:r>
        <w:rPr>
          <w:w w:val="155"/>
        </w:rPr>
        <w:t> </w:t>
      </w:r>
      <w:r>
        <w:rPr>
          <w:spacing w:val="-2"/>
          <w:w w:val="155"/>
        </w:rPr>
        <w:t> </w:t>
      </w:r>
      <w:r>
        <w:rPr>
          <w:w w:val="155"/>
        </w:rPr>
        <w:t>  </w:t>
      </w:r>
      <w:r>
        <w:rPr>
          <w:spacing w:val="-2"/>
          <w:w w:val="155"/>
        </w:rPr>
        <w:t> </w:t>
      </w:r>
      <w:r>
        <w:rPr>
          <w:w w:val="170"/>
        </w:rPr>
        <w:t>   </w:t>
      </w:r>
    </w:p>
    <w:p>
      <w:pPr>
        <w:pStyle w:val="BodyText"/>
        <w:spacing w:before="137"/>
        <w:ind w:left="102"/>
      </w:pPr>
      <w:r>
        <w:rPr>
          <w:w w:val="155"/>
        </w:rPr>
        <w:t>   </w:t>
      </w:r>
      <w:r>
        <w:rPr>
          <w:spacing w:val="-2"/>
          <w:w w:val="155"/>
        </w:rPr>
        <w:t> </w:t>
      </w:r>
      <w:r>
        <w:rPr>
          <w:w w:val="155"/>
        </w:rPr>
        <w:t>   </w:t>
      </w:r>
      <w:r>
        <w:rPr>
          <w:spacing w:val="12"/>
        </w:rPr>
        <w:t> </w:t>
      </w:r>
      <w:r>
        <w:rPr>
          <w:spacing w:val="-1"/>
          <w:w w:val="177"/>
        </w:rPr>
        <w:t> </w:t>
      </w:r>
      <w:r>
        <w:rPr>
          <w:w w:val="155"/>
        </w:rPr>
        <w:t>    </w:t>
      </w:r>
      <w:r>
        <w:rPr>
          <w:spacing w:val="12"/>
        </w:rPr>
        <w:t> </w:t>
      </w:r>
      <w:r>
        <w:rPr>
          <w:spacing w:val="-1"/>
          <w:w w:val="177"/>
        </w:rPr>
        <w:t> </w:t>
      </w:r>
      <w:r>
        <w:rPr>
          <w:w w:val="111"/>
        </w:rPr>
        <w:t> </w:t>
      </w:r>
      <w:r>
        <w:rPr>
          <w:spacing w:val="12"/>
        </w:rPr>
        <w:t> </w:t>
      </w:r>
      <w:r>
        <w:rPr>
          <w:w w:val="188"/>
        </w:rPr>
        <w:t> </w:t>
      </w:r>
      <w:r>
        <w:rPr>
          <w:spacing w:val="-1"/>
          <w:w w:val="188"/>
        </w:rPr>
        <w:t> </w:t>
      </w:r>
      <w:r>
        <w:rPr>
          <w:w w:val="144"/>
        </w:rPr>
        <w:t> </w:t>
      </w:r>
      <w:r>
        <w:rPr>
          <w:spacing w:val="1"/>
          <w:w w:val="144"/>
        </w:rPr>
        <w:t> </w:t>
      </w:r>
      <w:r>
        <w:rPr>
          <w:w w:val="188"/>
        </w:rPr>
        <w:t> </w:t>
      </w:r>
      <w:r>
        <w:rPr>
          <w:spacing w:val="-1"/>
          <w:w w:val="188"/>
        </w:rPr>
        <w:t> </w:t>
      </w:r>
      <w:r>
        <w:rPr>
          <w:w w:val="177"/>
        </w:rPr>
        <w:t> </w:t>
      </w:r>
      <w:r>
        <w:rPr>
          <w:spacing w:val="12"/>
        </w:rPr>
        <w:t> </w:t>
      </w:r>
      <w:r>
        <w:rPr>
          <w:spacing w:val="2"/>
          <w:w w:val="200"/>
        </w:rPr>
        <w:t> </w:t>
      </w:r>
      <w:r>
        <w:rPr>
          <w:w w:val="173"/>
        </w:rPr>
        <w:t>    </w:t>
      </w:r>
      <w:r>
        <w:rPr>
          <w:spacing w:val="-2"/>
          <w:w w:val="173"/>
        </w:rPr>
        <w:t> </w:t>
      </w:r>
      <w:r>
        <w:rPr>
          <w:w w:val="155"/>
        </w:rPr>
        <w:t>  </w:t>
      </w:r>
      <w:r>
        <w:rPr>
          <w:spacing w:val="17"/>
        </w:rPr>
        <w:t> </w:t>
      </w:r>
      <w:r>
        <w:rPr>
          <w:w w:val="200"/>
        </w:rPr>
        <w:t> </w:t>
      </w:r>
      <w:r>
        <w:rPr>
          <w:spacing w:val="6"/>
        </w:rPr>
        <w:t> </w:t>
      </w:r>
      <w:r>
        <w:rPr>
          <w:w w:val="144"/>
        </w:rPr>
        <w:t>  </w:t>
      </w:r>
      <w:r>
        <w:rPr>
          <w:spacing w:val="11"/>
        </w:rPr>
        <w:t> </w:t>
      </w:r>
      <w:r>
        <w:rPr>
          <w:spacing w:val="2"/>
          <w:w w:val="200"/>
        </w:rPr>
        <w:t> </w:t>
      </w:r>
      <w:r>
        <w:rPr>
          <w:spacing w:val="-1"/>
          <w:w w:val="177"/>
        </w:rPr>
        <w:t> </w:t>
      </w:r>
      <w:r>
        <w:rPr>
          <w:w w:val="192"/>
        </w:rPr>
        <w:t>   </w:t>
      </w:r>
      <w:r>
        <w:rPr>
          <w:spacing w:val="10"/>
        </w:rPr>
        <w:t> </w:t>
      </w:r>
      <w:r>
        <w:rPr>
          <w:w w:val="164"/>
        </w:rPr>
        <w:t>    </w:t>
      </w:r>
      <w:r>
        <w:rPr>
          <w:spacing w:val="3"/>
          <w:w w:val="164"/>
        </w:rPr>
        <w:t> </w:t>
      </w:r>
      <w:r>
        <w:rPr>
          <w:spacing w:val="-1"/>
          <w:w w:val="177"/>
        </w:rPr>
        <w:t> </w:t>
      </w:r>
      <w:r>
        <w:rPr>
          <w:w w:val="177"/>
        </w:rPr>
        <w:t> </w:t>
      </w:r>
      <w:r>
        <w:rPr/>
        <w:t> </w:t>
      </w:r>
      <w:r>
        <w:rPr>
          <w:spacing w:val="10"/>
        </w:rPr>
        <w:t> </w:t>
      </w:r>
      <w:r>
        <w:rPr>
          <w:w w:val="1"/>
        </w:rPr>
        <w:t> </w:t>
      </w:r>
      <w:r>
        <w:rPr>
          <w:spacing w:val="14"/>
        </w:rPr>
        <w:t> </w:t>
      </w:r>
      <w:r>
        <w:rPr>
          <w:spacing w:val="-1"/>
          <w:w w:val="177"/>
        </w:rPr>
        <w:t> </w:t>
      </w:r>
      <w:r>
        <w:rPr>
          <w:w w:val="188"/>
        </w:rPr>
        <w:t> </w:t>
      </w:r>
      <w:r>
        <w:rPr>
          <w:spacing w:val="-1"/>
          <w:w w:val="188"/>
        </w:rPr>
        <w:t> </w:t>
      </w:r>
      <w:r>
        <w:rPr>
          <w:w w:val="111"/>
        </w:rPr>
        <w:t>  </w:t>
      </w:r>
      <w:r>
        <w:rPr>
          <w:w w:val="140"/>
        </w:rPr>
        <w:t>   </w:t>
      </w:r>
      <w:r>
        <w:rPr>
          <w:spacing w:val="12"/>
        </w:rPr>
        <w:t> </w:t>
      </w:r>
      <w:r>
        <w:rPr>
          <w:w w:val="188"/>
        </w:rPr>
        <w:t>  </w:t>
      </w:r>
      <w:r>
        <w:rPr>
          <w:spacing w:val="10"/>
        </w:rPr>
        <w:t> </w:t>
      </w:r>
      <w:r>
        <w:rPr>
          <w:w w:val="155"/>
        </w:rPr>
        <w:t>    </w:t>
      </w:r>
      <w:r>
        <w:rPr>
          <w:spacing w:val="-1"/>
          <w:w w:val="177"/>
        </w:rPr>
        <w:t> </w:t>
      </w:r>
      <w:r>
        <w:rPr>
          <w:w w:val="155"/>
        </w:rPr>
        <w:t>    </w:t>
      </w:r>
      <w:r>
        <w:rPr>
          <w:spacing w:val="2"/>
          <w:w w:val="111"/>
        </w:rPr>
        <w:t> </w:t>
      </w:r>
      <w:r>
        <w:rPr>
          <w:w w:val="172"/>
        </w:rPr>
        <w:t>    </w:t>
      </w:r>
      <w:r>
        <w:rPr>
          <w:spacing w:val="11"/>
        </w:rPr>
        <w:t> </w:t>
      </w:r>
      <w:r>
        <w:rPr>
          <w:w w:val="188"/>
        </w:rPr>
        <w:t>  </w:t>
      </w:r>
      <w:r>
        <w:rPr>
          <w:spacing w:val="10"/>
        </w:rPr>
        <w:t> </w:t>
      </w:r>
      <w:r>
        <w:rPr>
          <w:w w:val="144"/>
        </w:rPr>
        <w:t>  </w:t>
      </w:r>
      <w:r>
        <w:rPr>
          <w:spacing w:val="13"/>
        </w:rPr>
        <w:t> </w:t>
      </w:r>
      <w:r>
        <w:rPr>
          <w:w w:val="188"/>
        </w:rPr>
        <w:t> </w:t>
      </w:r>
      <w:r>
        <w:rPr>
          <w:spacing w:val="-1"/>
          <w:w w:val="188"/>
        </w:rPr>
        <w:t> </w:t>
      </w:r>
      <w:r>
        <w:rPr>
          <w:w w:val="192"/>
        </w:rPr>
        <w:t>   </w:t>
      </w:r>
    </w:p>
    <w:p>
      <w:pPr>
        <w:spacing w:after="0"/>
        <w:sectPr>
          <w:type w:val="continuous"/>
          <w:pgSz w:w="12250" w:h="15850"/>
          <w:pgMar w:top="1500" w:bottom="280" w:left="1600" w:right="1580"/>
        </w:sectPr>
      </w:pPr>
    </w:p>
    <w:p>
      <w:pPr>
        <w:pStyle w:val="BodyText"/>
        <w:spacing w:line="360" w:lineRule="auto" w:before="50"/>
        <w:ind w:left="122" w:right="115"/>
      </w:pPr>
      <w:r>
        <w:rPr/>
        <w:t>pública                               o                               restricción                               pr convergencia de los modelos C y D.</w:t>
      </w:r>
    </w:p>
    <w:p>
      <w:pPr>
        <w:pStyle w:val="BodyText"/>
        <w:spacing w:before="6"/>
        <w:ind w:left="830"/>
      </w:pPr>
      <w:r>
        <w:rPr>
          <w:w w:val="222"/>
        </w:rPr>
        <w:t> </w:t>
      </w:r>
      <w:r>
        <w:rPr>
          <w:spacing w:val="-1"/>
          <w:w w:val="177"/>
        </w:rPr>
        <w:t> </w:t>
      </w:r>
      <w:r>
        <w:rPr>
          <w:w w:val="155"/>
        </w:rPr>
        <w:t>  </w:t>
      </w:r>
      <w:r>
        <w:rPr>
          <w:spacing w:val="2"/>
        </w:rPr>
        <w:t> </w:t>
      </w:r>
      <w:r>
        <w:rPr>
          <w:w w:val="155"/>
        </w:rPr>
        <w:t>   </w:t>
      </w:r>
      <w:r>
        <w:rPr>
          <w:spacing w:val="5"/>
        </w:rPr>
        <w:t> </w:t>
      </w:r>
      <w:r>
        <w:rPr>
          <w:w w:val="188"/>
        </w:rPr>
        <w:t> </w:t>
      </w:r>
      <w:r>
        <w:rPr>
          <w:spacing w:val="-1"/>
          <w:w w:val="188"/>
        </w:rPr>
        <w:t> </w:t>
      </w:r>
      <w:r>
        <w:rPr>
          <w:w w:val="155"/>
        </w:rPr>
        <w:t>   </w:t>
      </w:r>
      <w:r>
        <w:rPr>
          <w:spacing w:val="-2"/>
          <w:w w:val="155"/>
        </w:rPr>
        <w:t> </w:t>
      </w:r>
      <w:r>
        <w:rPr>
          <w:w w:val="155"/>
        </w:rPr>
        <w:t> </w:t>
      </w:r>
      <w:r>
        <w:rPr>
          <w:spacing w:val="4"/>
        </w:rPr>
        <w:t> </w:t>
      </w:r>
      <w:r>
        <w:rPr>
          <w:w w:val="166"/>
        </w:rPr>
        <w:t> </w:t>
      </w:r>
      <w:r>
        <w:rPr>
          <w:spacing w:val="-1"/>
          <w:w w:val="166"/>
        </w:rPr>
        <w:t> </w:t>
      </w:r>
      <w:r>
        <w:rPr>
          <w:w w:val="192"/>
        </w:rPr>
        <w:t>  </w:t>
      </w:r>
      <w:r>
        <w:rPr>
          <w:spacing w:val="-1"/>
          <w:w w:val="192"/>
        </w:rPr>
        <w:t> </w:t>
      </w:r>
      <w:r>
        <w:rPr>
          <w:w w:val="140"/>
        </w:rPr>
        <w:t>   </w:t>
      </w:r>
      <w:r>
        <w:rPr>
          <w:w w:val="126"/>
        </w:rPr>
        <w:t>   </w:t>
      </w:r>
      <w:r>
        <w:rPr>
          <w:w w:val="161"/>
        </w:rPr>
        <w:t>    </w:t>
      </w:r>
      <w:r>
        <w:rPr>
          <w:spacing w:val="4"/>
        </w:rPr>
        <w:t> </w:t>
      </w:r>
      <w:r>
        <w:rPr>
          <w:w w:val="188"/>
        </w:rPr>
        <w:t>  </w:t>
      </w:r>
      <w:r>
        <w:rPr>
          <w:spacing w:val="3"/>
        </w:rPr>
        <w:t> </w:t>
      </w:r>
      <w:r>
        <w:rPr>
          <w:w w:val="144"/>
        </w:rPr>
        <w:t>  </w:t>
      </w:r>
      <w:r>
        <w:rPr>
          <w:spacing w:val="4"/>
        </w:rPr>
        <w:t> </w:t>
      </w:r>
      <w:r>
        <w:rPr>
          <w:w w:val="188"/>
        </w:rPr>
        <w:t> </w:t>
      </w:r>
      <w:r>
        <w:rPr>
          <w:spacing w:val="-1"/>
          <w:w w:val="188"/>
        </w:rPr>
        <w:t> </w:t>
      </w:r>
      <w:r>
        <w:rPr>
          <w:w w:val="192"/>
        </w:rPr>
        <w:t>   </w:t>
      </w:r>
      <w:r>
        <w:rPr>
          <w:spacing w:val="3"/>
        </w:rPr>
        <w:t> </w:t>
      </w:r>
      <w:r>
        <w:rPr>
          <w:w w:val="164"/>
        </w:rPr>
        <w:t>     </w:t>
      </w:r>
      <w:r>
        <w:rPr>
          <w:spacing w:val="-4"/>
          <w:w w:val="177"/>
        </w:rPr>
        <w:t> </w:t>
      </w:r>
      <w:r>
        <w:rPr>
          <w:w w:val="177"/>
        </w:rPr>
        <w:t> </w:t>
      </w:r>
      <w:r>
        <w:rPr>
          <w:spacing w:val="3"/>
        </w:rPr>
        <w:t> </w:t>
      </w:r>
      <w:r>
        <w:rPr>
          <w:w w:val="229"/>
        </w:rPr>
        <w:t>  </w:t>
      </w:r>
      <w:r>
        <w:rPr>
          <w:spacing w:val="1"/>
          <w:w w:val="229"/>
        </w:rPr>
        <w:t> </w:t>
      </w:r>
      <w:r>
        <w:rPr>
          <w:w w:val="211"/>
        </w:rPr>
        <w:t>  </w:t>
      </w:r>
      <w:r>
        <w:rPr>
          <w:spacing w:val="-1"/>
          <w:w w:val="177"/>
        </w:rPr>
        <w:t> </w:t>
      </w:r>
      <w:r>
        <w:rPr/>
        <w:t> </w:t>
      </w:r>
      <w:r>
        <w:rPr>
          <w:spacing w:val="4"/>
        </w:rPr>
        <w:t> </w:t>
      </w:r>
      <w:r>
        <w:rPr>
          <w:w w:val="166"/>
        </w:rPr>
        <w:t>  </w:t>
      </w:r>
      <w:r>
        <w:rPr>
          <w:spacing w:val="1"/>
        </w:rPr>
        <w:t> </w:t>
      </w:r>
      <w:r>
        <w:rPr>
          <w:w w:val="160"/>
        </w:rPr>
        <w:t>    </w:t>
      </w:r>
      <w:r>
        <w:rPr>
          <w:spacing w:val="2"/>
          <w:w w:val="160"/>
        </w:rPr>
        <w:t> </w:t>
      </w:r>
      <w:r>
        <w:rPr>
          <w:spacing w:val="-5"/>
          <w:w w:val="200"/>
        </w:rPr>
        <w:t> </w:t>
      </w:r>
      <w:r>
        <w:rPr>
          <w:spacing w:val="-1"/>
          <w:w w:val="177"/>
        </w:rPr>
        <w:t> </w:t>
      </w:r>
      <w:r>
        <w:rPr>
          <w:w w:val="177"/>
        </w:rPr>
        <w:t>   </w:t>
      </w:r>
      <w:r>
        <w:rPr>
          <w:spacing w:val="6"/>
        </w:rPr>
        <w:t> </w:t>
      </w:r>
      <w:r>
        <w:rPr>
          <w:spacing w:val="-1"/>
          <w:w w:val="177"/>
        </w:rPr>
        <w:t> </w:t>
      </w:r>
      <w:r>
        <w:rPr>
          <w:w w:val="161"/>
        </w:rPr>
        <w:t>        </w:t>
      </w:r>
    </w:p>
    <w:p>
      <w:pPr>
        <w:pStyle w:val="BodyText"/>
        <w:spacing w:line="360" w:lineRule="auto" w:before="137"/>
        <w:ind w:left="122" w:right="115"/>
      </w:pPr>
      <w:r>
        <w:rPr>
          <w:w w:val="188"/>
        </w:rPr>
        <w:t>  </w:t>
      </w:r>
      <w:r>
        <w:rPr/>
        <w:t> </w:t>
      </w:r>
      <w:r>
        <w:rPr>
          <w:spacing w:val="-26"/>
        </w:rPr>
        <w:t> </w:t>
      </w:r>
      <w:r>
        <w:rPr>
          <w:spacing w:val="-1"/>
          <w:w w:val="177"/>
        </w:rPr>
        <w:t> </w:t>
      </w:r>
      <w:r>
        <w:rPr>
          <w:w w:val="166"/>
        </w:rPr>
        <w:t> </w:t>
      </w:r>
      <w:r>
        <w:rPr>
          <w:spacing w:val="1"/>
          <w:w w:val="166"/>
        </w:rPr>
        <w:t> </w:t>
      </w:r>
      <w:r>
        <w:rPr>
          <w:spacing w:val="-1"/>
          <w:w w:val="177"/>
        </w:rPr>
        <w:t> </w:t>
      </w:r>
      <w:r>
        <w:rPr>
          <w:w w:val="188"/>
        </w:rPr>
        <w:t>  </w:t>
      </w:r>
      <w:r>
        <w:rPr>
          <w:spacing w:val="-1"/>
        </w:rPr>
        <w:t> </w:t>
      </w:r>
      <w:r>
        <w:rPr>
          <w:w w:val="1"/>
        </w:rPr>
        <w:t> </w:t>
      </w:r>
      <w:r>
        <w:rPr/>
        <w:t> </w:t>
      </w:r>
      <w:r>
        <w:rPr>
          <w:spacing w:val="-25"/>
        </w:rPr>
        <w:t> </w:t>
      </w:r>
      <w:r>
        <w:rPr>
          <w:spacing w:val="2"/>
          <w:w w:val="200"/>
        </w:rPr>
        <w:t> </w:t>
      </w:r>
      <w:r>
        <w:rPr>
          <w:spacing w:val="-1"/>
          <w:w w:val="177"/>
        </w:rPr>
        <w:t> </w:t>
      </w:r>
      <w:r>
        <w:rPr>
          <w:w w:val="155"/>
        </w:rPr>
        <w:t>  </w:t>
      </w:r>
      <w:r>
        <w:rPr/>
        <w:t> </w:t>
      </w:r>
      <w:r>
        <w:rPr>
          <w:spacing w:val="-26"/>
        </w:rPr>
        <w:t> </w:t>
      </w:r>
      <w:r>
        <w:rPr>
          <w:w w:val="200"/>
        </w:rPr>
        <w:t>  </w:t>
      </w:r>
      <w:r>
        <w:rPr/>
        <w:t> </w:t>
      </w:r>
      <w:r>
        <w:rPr>
          <w:spacing w:val="-23"/>
        </w:rPr>
        <w:t> </w:t>
      </w:r>
      <w:r>
        <w:rPr>
          <w:w w:val="188"/>
        </w:rPr>
        <w:t> </w:t>
      </w:r>
      <w:r>
        <w:rPr>
          <w:spacing w:val="-1"/>
          <w:w w:val="188"/>
        </w:rPr>
        <w:t> </w:t>
      </w:r>
      <w:r>
        <w:rPr>
          <w:w w:val="122"/>
        </w:rPr>
        <w:t> </w:t>
      </w:r>
      <w:r>
        <w:rPr>
          <w:spacing w:val="1"/>
          <w:w w:val="122"/>
        </w:rPr>
        <w:t> </w:t>
      </w:r>
      <w:r>
        <w:rPr>
          <w:w w:val="200"/>
        </w:rPr>
        <w:t>   </w:t>
      </w:r>
      <w:r>
        <w:rPr/>
        <w:t> </w:t>
      </w:r>
      <w:r>
        <w:rPr>
          <w:w w:val="1"/>
        </w:rPr>
        <w:t> </w:t>
      </w:r>
      <w:r>
        <w:rPr/>
        <w:t> </w:t>
      </w:r>
      <w:r>
        <w:rPr>
          <w:spacing w:val="-25"/>
        </w:rPr>
        <w:t> </w:t>
      </w:r>
      <w:r>
        <w:rPr>
          <w:spacing w:val="-1"/>
          <w:w w:val="177"/>
        </w:rPr>
        <w:t> </w:t>
      </w:r>
      <w:r>
        <w:rPr>
          <w:spacing w:val="4"/>
          <w:w w:val="200"/>
        </w:rPr>
        <w:t> </w:t>
      </w:r>
      <w:r>
        <w:rPr>
          <w:spacing w:val="-5"/>
          <w:w w:val="200"/>
        </w:rPr>
        <w:t> </w:t>
      </w:r>
      <w:r>
        <w:rPr>
          <w:w w:val="200"/>
        </w:rPr>
        <w:t> </w:t>
      </w:r>
      <w:r>
        <w:rPr/>
        <w:t> </w:t>
      </w:r>
      <w:r>
        <w:rPr>
          <w:spacing w:val="-25"/>
        </w:rPr>
        <w:t> </w:t>
      </w:r>
      <w:r>
        <w:rPr>
          <w:w w:val="166"/>
        </w:rPr>
        <w:t> </w:t>
      </w:r>
      <w:r>
        <w:rPr>
          <w:spacing w:val="-1"/>
          <w:w w:val="166"/>
        </w:rPr>
        <w:t> </w:t>
      </w:r>
      <w:r>
        <w:rPr>
          <w:w w:val="173"/>
        </w:rPr>
        <w:t>     </w:t>
      </w:r>
      <w:r>
        <w:rPr>
          <w:w w:val="155"/>
        </w:rPr>
        <w:t>  </w:t>
      </w:r>
      <w:r>
        <w:rPr/>
        <w:t> </w:t>
      </w:r>
      <w:r>
        <w:rPr>
          <w:spacing w:val="-24"/>
        </w:rPr>
        <w:t> </w:t>
      </w:r>
      <w:r>
        <w:rPr>
          <w:spacing w:val="-1"/>
          <w:w w:val="177"/>
        </w:rPr>
        <w:t> </w:t>
      </w:r>
      <w:r>
        <w:rPr>
          <w:w w:val="155"/>
        </w:rPr>
        <w:t> </w:t>
      </w:r>
      <w:r>
        <w:rPr/>
        <w:t> </w:t>
      </w:r>
      <w:r>
        <w:rPr>
          <w:spacing w:val="-22"/>
        </w:rPr>
        <w:t> </w:t>
      </w:r>
      <w:r>
        <w:rPr>
          <w:w w:val="166"/>
        </w:rPr>
        <w:t> </w:t>
      </w:r>
      <w:r>
        <w:rPr>
          <w:spacing w:val="-1"/>
          <w:w w:val="166"/>
        </w:rPr>
        <w:t> </w:t>
      </w:r>
      <w:r>
        <w:rPr>
          <w:w w:val="164"/>
        </w:rPr>
        <w:t>     </w:t>
      </w:r>
      <w:r>
        <w:rPr/>
        <w:t> </w:t>
      </w:r>
      <w:r>
        <w:rPr>
          <w:spacing w:val="-26"/>
        </w:rPr>
        <w:t> </w:t>
      </w:r>
      <w:r>
        <w:rPr>
          <w:w w:val="140"/>
        </w:rPr>
        <w:t>  </w:t>
      </w:r>
      <w:r>
        <w:rPr>
          <w:spacing w:val="-2"/>
          <w:w w:val="140"/>
        </w:rPr>
        <w:t> </w:t>
      </w:r>
      <w:r>
        <w:rPr>
          <w:spacing w:val="2"/>
          <w:w w:val="200"/>
        </w:rPr>
        <w:t> </w:t>
      </w:r>
      <w:r>
        <w:rPr>
          <w:w w:val="140"/>
        </w:rPr>
        <w:t>   </w:t>
      </w:r>
      <w:r>
        <w:rPr>
          <w:w w:val="111"/>
        </w:rPr>
        <w:t>  </w:t>
      </w:r>
      <w:r>
        <w:rPr>
          <w:w w:val="188"/>
        </w:rPr>
        <w:t> </w:t>
      </w:r>
      <w:r>
        <w:rPr>
          <w:spacing w:val="-1"/>
          <w:w w:val="188"/>
        </w:rPr>
        <w:t> </w:t>
      </w:r>
      <w:r>
        <w:rPr>
          <w:w w:val="200"/>
        </w:rPr>
        <w:t> </w:t>
      </w:r>
      <w:r>
        <w:rPr/>
        <w:t> </w:t>
      </w:r>
      <w:r>
        <w:rPr>
          <w:spacing w:val="-25"/>
        </w:rPr>
        <w:t> </w:t>
      </w:r>
      <w:r>
        <w:rPr>
          <w:w w:val="177"/>
        </w:rPr>
        <w:t> </w:t>
      </w:r>
      <w:r>
        <w:rPr/>
        <w:t> </w:t>
      </w:r>
      <w:r>
        <w:rPr>
          <w:spacing w:val="-26"/>
        </w:rPr>
        <w:t> </w:t>
      </w:r>
      <w:r>
        <w:rPr>
          <w:w w:val="144"/>
        </w:rPr>
        <w:t>  </w:t>
      </w:r>
      <w:r>
        <w:rPr/>
        <w:t> </w:t>
      </w:r>
      <w:r>
        <w:rPr>
          <w:spacing w:val="-23"/>
        </w:rPr>
        <w:t> </w:t>
      </w:r>
      <w:r>
        <w:rPr>
          <w:w w:val="155"/>
        </w:rPr>
        <w:t>    </w:t>
      </w:r>
      <w:r>
        <w:rPr>
          <w:w w:val="111"/>
        </w:rPr>
        <w:t>  </w:t>
      </w:r>
      <w:r>
        <w:rPr>
          <w:spacing w:val="-1"/>
          <w:w w:val="177"/>
        </w:rPr>
        <w:t> </w:t>
      </w:r>
      <w:r>
        <w:rPr>
          <w:w w:val="177"/>
        </w:rPr>
        <w:t> </w:t>
      </w:r>
      <w:r>
        <w:rPr/>
        <w:t> </w:t>
      </w:r>
      <w:r>
        <w:rPr>
          <w:spacing w:val="-26"/>
        </w:rPr>
        <w:t> </w:t>
      </w:r>
      <w:r>
        <w:rPr>
          <w:w w:val="144"/>
        </w:rPr>
        <w:t>   </w:t>
      </w:r>
      <w:r>
        <w:rPr>
          <w:spacing w:val="-1"/>
          <w:w w:val="144"/>
        </w:rPr>
        <w:t> </w:t>
      </w:r>
      <w:r>
        <w:rPr>
          <w:spacing w:val="-1"/>
          <w:w w:val="177"/>
        </w:rPr>
        <w:t> </w:t>
      </w:r>
      <w:r>
        <w:rPr>
          <w:w w:val="111"/>
        </w:rPr>
        <w:t> </w:t>
      </w:r>
      <w:r>
        <w:rPr/>
        <w:t> </w:t>
      </w:r>
      <w:r>
        <w:rPr>
          <w:spacing w:val="-24"/>
        </w:rPr>
        <w:t> </w:t>
      </w:r>
      <w:r>
        <w:rPr>
          <w:spacing w:val="-1"/>
          <w:w w:val="177"/>
        </w:rPr>
        <w:t> </w:t>
      </w:r>
      <w:r>
        <w:rPr>
          <w:w w:val="200"/>
        </w:rPr>
        <w:t> </w:t>
      </w:r>
      <w:r>
        <w:rPr>
          <w:spacing w:val="-1"/>
        </w:rPr>
        <w:t>c</w:t>
      </w:r>
      <w:r>
        <w:rPr/>
        <w:t>onte</w:t>
      </w:r>
      <w:r>
        <w:rPr>
          <w:spacing w:val="1"/>
        </w:rPr>
        <w:t>x</w:t>
      </w:r>
      <w:r>
        <w:rPr>
          <w:w w:val="99"/>
        </w:rPr>
        <w:t>tos</w:t>
      </w:r>
      <w:r>
        <w:rPr/>
        <w:t> </w:t>
      </w:r>
      <w:r>
        <w:rPr>
          <w:spacing w:val="10"/>
        </w:rPr>
        <w:t> </w:t>
      </w:r>
      <w:r>
        <w:rPr/>
        <w:t>de </w:t>
      </w:r>
      <w:r>
        <w:rPr>
          <w:spacing w:val="8"/>
        </w:rPr>
        <w:t> </w:t>
      </w:r>
      <w:r>
        <w:rPr/>
        <w:t>r</w:t>
      </w:r>
      <w:r>
        <w:rPr>
          <w:spacing w:val="-2"/>
        </w:rPr>
        <w:t>e</w:t>
      </w:r>
      <w:r>
        <w:rPr>
          <w:spacing w:val="-1"/>
        </w:rPr>
        <w:t>ce</w:t>
      </w:r>
      <w:r>
        <w:rPr/>
        <w:t>sión, </w:t>
      </w:r>
      <w:r>
        <w:rPr>
          <w:spacing w:val="12"/>
        </w:rPr>
        <w:t> </w:t>
      </w:r>
      <w:r>
        <w:rPr/>
        <w:t>d</w:t>
      </w:r>
      <w:r>
        <w:rPr>
          <w:spacing w:val="-1"/>
        </w:rPr>
        <w:t>e</w:t>
      </w:r>
      <w:r>
        <w:rPr>
          <w:w w:val="99"/>
        </w:rPr>
        <w:t>s</w:t>
      </w:r>
      <w:r>
        <w:rPr>
          <w:spacing w:val="-1"/>
          <w:w w:val="99"/>
        </w:rPr>
        <w:t>a</w:t>
      </w:r>
      <w:r>
        <w:rPr>
          <w:spacing w:val="-1"/>
        </w:rPr>
        <w:t>ce</w:t>
      </w:r>
      <w:r>
        <w:rPr>
          <w:spacing w:val="2"/>
        </w:rPr>
        <w:t>l</w:t>
      </w:r>
      <w:r>
        <w:rPr>
          <w:spacing w:val="-1"/>
        </w:rPr>
        <w:t>e</w:t>
      </w:r>
      <w:r>
        <w:rPr/>
        <w:t>ra</w:t>
      </w:r>
      <w:r>
        <w:rPr>
          <w:spacing w:val="-1"/>
        </w:rPr>
        <w:t>c</w:t>
      </w:r>
      <w:r>
        <w:rPr/>
        <w:t>ión </w:t>
      </w:r>
      <w:r>
        <w:rPr>
          <w:spacing w:val="9"/>
        </w:rPr>
        <w:t> </w:t>
      </w:r>
      <w:r>
        <w:rPr>
          <w:spacing w:val="-1"/>
        </w:rPr>
        <w:t>ec</w:t>
      </w:r>
      <w:r>
        <w:rPr/>
        <w:t>onóm</w:t>
      </w:r>
      <w:r>
        <w:rPr>
          <w:spacing w:val="3"/>
        </w:rPr>
        <w:t>i</w:t>
      </w:r>
      <w:r>
        <w:rPr>
          <w:spacing w:val="-1"/>
        </w:rPr>
        <w:t>c</w:t>
      </w:r>
      <w:r>
        <w:rPr/>
        <w:t>a </w:t>
      </w:r>
      <w:r>
        <w:rPr>
          <w:spacing w:val="11"/>
        </w:rPr>
        <w:t> </w:t>
      </w:r>
      <w:r>
        <w:rPr/>
        <w:t>o </w:t>
      </w:r>
      <w:r>
        <w:rPr>
          <w:spacing w:val="10"/>
        </w:rPr>
        <w:t> </w:t>
      </w:r>
      <w:r>
        <w:rPr/>
        <w:t>fr</w:t>
      </w:r>
      <w:r>
        <w:rPr>
          <w:spacing w:val="-1"/>
        </w:rPr>
        <w:t>e</w:t>
      </w:r>
      <w:r>
        <w:rPr/>
        <w:t>nte </w:t>
      </w:r>
      <w:r>
        <w:rPr>
          <w:spacing w:val="8"/>
        </w:rPr>
        <w:t> </w:t>
      </w:r>
      <w:r>
        <w:rPr/>
        <w:t>a </w:t>
      </w:r>
      <w:r>
        <w:rPr>
          <w:spacing w:val="8"/>
        </w:rPr>
        <w:t> </w:t>
      </w:r>
      <w:r>
        <w:rPr/>
        <w:t>la </w:t>
      </w:r>
      <w:r>
        <w:rPr>
          <w:spacing w:val="8"/>
        </w:rPr>
        <w:t> </w:t>
      </w:r>
      <w:r>
        <w:rPr>
          <w:spacing w:val="2"/>
        </w:rPr>
        <w:t>p</w:t>
      </w:r>
      <w:r>
        <w:rPr/>
        <w:t>r</w:t>
      </w:r>
      <w:r>
        <w:rPr>
          <w:spacing w:val="-2"/>
        </w:rPr>
        <w:t>e</w:t>
      </w:r>
      <w:r>
        <w:rPr>
          <w:w w:val="99"/>
        </w:rPr>
        <w:t>s</w:t>
      </w:r>
      <w:r>
        <w:rPr>
          <w:spacing w:val="-1"/>
          <w:w w:val="99"/>
        </w:rPr>
        <w:t>e</w:t>
      </w:r>
      <w:r>
        <w:rPr>
          <w:spacing w:val="2"/>
        </w:rPr>
        <w:t>n</w:t>
      </w:r>
      <w:r>
        <w:rPr>
          <w:spacing w:val="-1"/>
        </w:rPr>
        <w:t>c</w:t>
      </w:r>
      <w:r>
        <w:rPr/>
        <w:t>ia </w:t>
      </w:r>
      <w:r>
        <w:rPr>
          <w:spacing w:val="8"/>
        </w:rPr>
        <w:t> </w:t>
      </w:r>
      <w:r>
        <w:rPr/>
        <w:t>de </w:t>
      </w:r>
      <w:r>
        <w:rPr>
          <w:spacing w:val="8"/>
        </w:rPr>
        <w:t> </w:t>
      </w:r>
      <w:r>
        <w:rPr/>
        <w:t>d</w:t>
      </w:r>
      <w:r>
        <w:rPr>
          <w:spacing w:val="-1"/>
        </w:rPr>
        <w:t>e</w:t>
      </w:r>
      <w:r>
        <w:rPr>
          <w:spacing w:val="5"/>
          <w:w w:val="99"/>
        </w:rPr>
        <w:t>s</w:t>
      </w:r>
      <w:r>
        <w:rPr>
          <w:spacing w:val="-1"/>
          <w:w w:val="177"/>
        </w:rPr>
        <w:t> </w:t>
      </w:r>
      <w:r>
        <w:rPr>
          <w:w w:val="144"/>
        </w:rPr>
        <w:t>   </w:t>
      </w:r>
      <w:r>
        <w:rPr>
          <w:spacing w:val="-1"/>
          <w:w w:val="144"/>
        </w:rPr>
        <w:t> </w:t>
      </w:r>
      <w:r>
        <w:rPr>
          <w:w w:val="155"/>
        </w:rPr>
        <w:t> </w:t>
      </w:r>
    </w:p>
    <w:p>
      <w:pPr>
        <w:pStyle w:val="BodyText"/>
        <w:spacing w:before="4"/>
        <w:ind w:left="122"/>
      </w:pPr>
      <w:r>
        <w:rPr>
          <w:w w:val="188"/>
        </w:rPr>
        <w:t> </w:t>
      </w:r>
      <w:r>
        <w:rPr>
          <w:spacing w:val="-1"/>
          <w:w w:val="188"/>
        </w:rPr>
        <w:t> </w:t>
      </w:r>
      <w:r>
        <w:rPr>
          <w:w w:val="155"/>
        </w:rPr>
        <w:t>   </w:t>
      </w:r>
      <w:r>
        <w:rPr>
          <w:spacing w:val="-2"/>
          <w:w w:val="155"/>
        </w:rPr>
        <w:t> </w:t>
      </w:r>
      <w:r>
        <w:rPr>
          <w:w w:val="148"/>
        </w:rPr>
        <w:t>   </w:t>
      </w:r>
      <w:r>
        <w:rPr>
          <w:spacing w:val="16"/>
        </w:rPr>
        <w:t> </w:t>
      </w:r>
      <w:r>
        <w:rPr>
          <w:spacing w:val="2"/>
          <w:w w:val="155"/>
        </w:rPr>
        <w:t> </w:t>
      </w:r>
      <w:r>
        <w:rPr>
          <w:spacing w:val="-1"/>
          <w:w w:val="177"/>
        </w:rPr>
        <w:t> </w:t>
      </w:r>
      <w:r>
        <w:rPr>
          <w:w w:val="188"/>
        </w:rPr>
        <w:t> </w:t>
      </w:r>
      <w:r>
        <w:rPr>
          <w:spacing w:val="-1"/>
          <w:w w:val="188"/>
        </w:rPr>
        <w:t> </w:t>
      </w:r>
      <w:r>
        <w:rPr>
          <w:w w:val="162"/>
        </w:rPr>
        <w:t>   </w:t>
      </w:r>
      <w:r>
        <w:rPr/>
        <w:t> </w:t>
      </w:r>
      <w:r>
        <w:rPr>
          <w:w w:val="50"/>
        </w:rPr>
        <w:t>  </w:t>
      </w:r>
      <w:r>
        <w:rPr/>
        <w:t>  </w:t>
      </w:r>
      <w:r>
        <w:rPr>
          <w:spacing w:val="-26"/>
        </w:rPr>
        <w:t> </w:t>
      </w:r>
      <w:r>
        <w:rPr>
          <w:w w:val="222"/>
        </w:rPr>
        <w:t> </w:t>
      </w:r>
      <w:r>
        <w:rPr>
          <w:spacing w:val="1"/>
          <w:w w:val="177"/>
        </w:rPr>
        <w:t> </w:t>
      </w:r>
      <w:r>
        <w:rPr>
          <w:w w:val="155"/>
        </w:rPr>
        <w:t>  </w:t>
      </w:r>
      <w:r>
        <w:rPr>
          <w:spacing w:val="17"/>
        </w:rPr>
        <w:t> </w:t>
      </w:r>
      <w:r>
        <w:rPr>
          <w:w w:val="133"/>
        </w:rPr>
        <w:t>   </w:t>
      </w:r>
      <w:r>
        <w:rPr>
          <w:spacing w:val="16"/>
        </w:rPr>
        <w:t> </w:t>
      </w:r>
      <w:r>
        <w:rPr>
          <w:spacing w:val="-1"/>
          <w:w w:val="177"/>
        </w:rPr>
        <w:t> </w:t>
      </w:r>
      <w:r>
        <w:rPr>
          <w:w w:val="155"/>
        </w:rPr>
        <w:t>  </w:t>
      </w:r>
      <w:r>
        <w:rPr>
          <w:spacing w:val="-1"/>
          <w:w w:val="177"/>
        </w:rPr>
        <w:t> </w:t>
      </w:r>
      <w:r>
        <w:rPr>
          <w:w w:val="137"/>
        </w:rPr>
        <w:t>   </w:t>
      </w:r>
      <w:r>
        <w:rPr>
          <w:spacing w:val="17"/>
        </w:rPr>
        <w:t> </w:t>
      </w:r>
      <w:r>
        <w:rPr>
          <w:w w:val="166"/>
        </w:rPr>
        <w:t>  </w:t>
      </w:r>
      <w:r>
        <w:rPr>
          <w:spacing w:val="18"/>
        </w:rPr>
        <w:t> </w:t>
      </w:r>
      <w:r>
        <w:rPr>
          <w:spacing w:val="-1"/>
          <w:w w:val="177"/>
        </w:rPr>
        <w:t> </w:t>
      </w:r>
      <w:r>
        <w:rPr>
          <w:w w:val="166"/>
        </w:rPr>
        <w:t>    </w:t>
      </w:r>
      <w:r>
        <w:rPr>
          <w:w w:val="188"/>
        </w:rPr>
        <w:t> </w:t>
      </w:r>
      <w:r>
        <w:rPr>
          <w:spacing w:val="1"/>
          <w:w w:val="188"/>
        </w:rPr>
        <w:t> </w:t>
      </w:r>
      <w:r>
        <w:rPr>
          <w:w w:val="166"/>
        </w:rPr>
        <w:t>  </w:t>
      </w:r>
      <w:r>
        <w:rPr>
          <w:spacing w:val="15"/>
        </w:rPr>
        <w:t> </w:t>
      </w:r>
      <w:r>
        <w:rPr>
          <w:spacing w:val="1"/>
          <w:w w:val="177"/>
        </w:rPr>
        <w:t> </w:t>
      </w:r>
      <w:r>
        <w:rPr>
          <w:w w:val="111"/>
        </w:rPr>
        <w:t> </w:t>
      </w:r>
      <w:r>
        <w:rPr>
          <w:spacing w:val="17"/>
        </w:rPr>
        <w:t> </w:t>
      </w:r>
      <w:r>
        <w:rPr>
          <w:w w:val="229"/>
        </w:rPr>
        <w:t>  </w:t>
      </w:r>
      <w:r>
        <w:rPr>
          <w:spacing w:val="1"/>
          <w:w w:val="229"/>
        </w:rPr>
        <w:t> </w:t>
      </w:r>
      <w:r>
        <w:rPr>
          <w:w w:val="211"/>
        </w:rPr>
        <w:t>  </w:t>
      </w:r>
      <w:r>
        <w:rPr>
          <w:w w:val="200"/>
        </w:rPr>
        <w:t> </w:t>
      </w:r>
      <w:r>
        <w:rPr>
          <w:spacing w:val="16"/>
        </w:rPr>
        <w:t> </w:t>
      </w:r>
      <w:r>
        <w:rPr>
          <w:w w:val="188"/>
        </w:rPr>
        <w:t> </w:t>
      </w:r>
      <w:r>
        <w:rPr>
          <w:spacing w:val="-1"/>
          <w:w w:val="188"/>
        </w:rPr>
        <w:t> </w:t>
      </w:r>
      <w:r>
        <w:rPr>
          <w:w w:val="140"/>
        </w:rPr>
        <w:t>  </w:t>
      </w:r>
      <w:r>
        <w:rPr>
          <w:spacing w:val="-2"/>
          <w:w w:val="140"/>
        </w:rPr>
        <w:t> </w:t>
      </w:r>
      <w:r>
        <w:rPr>
          <w:w w:val="111"/>
        </w:rPr>
        <w:t>  </w:t>
      </w:r>
      <w:r>
        <w:rPr>
          <w:spacing w:val="17"/>
        </w:rPr>
        <w:t> </w:t>
      </w:r>
      <w:r>
        <w:rPr>
          <w:w w:val="173"/>
        </w:rPr>
        <w:t>     </w:t>
      </w:r>
      <w:r>
        <w:rPr>
          <w:spacing w:val="17"/>
        </w:rPr>
        <w:t> </w:t>
      </w:r>
      <w:r>
        <w:rPr>
          <w:spacing w:val="1"/>
          <w:w w:val="177"/>
        </w:rPr>
        <w:t> </w:t>
      </w:r>
      <w:r>
        <w:rPr>
          <w:w w:val="111"/>
        </w:rPr>
        <w:t> </w:t>
      </w:r>
      <w:r>
        <w:rPr>
          <w:spacing w:val="17"/>
        </w:rPr>
        <w:t> </w:t>
      </w:r>
      <w:r>
        <w:rPr>
          <w:w w:val="188"/>
        </w:rPr>
        <w:t> </w:t>
      </w:r>
      <w:r>
        <w:rPr>
          <w:spacing w:val="-1"/>
          <w:w w:val="188"/>
        </w:rPr>
        <w:t> </w:t>
      </w:r>
      <w:r>
        <w:rPr>
          <w:w w:val="166"/>
        </w:rPr>
        <w:t>    </w:t>
      </w:r>
      <w:r>
        <w:rPr>
          <w:w w:val="177"/>
        </w:rPr>
        <w:t> </w:t>
      </w:r>
      <w:r>
        <w:rPr>
          <w:spacing w:val="18"/>
        </w:rPr>
        <w:t> </w:t>
      </w:r>
      <w:r>
        <w:rPr>
          <w:spacing w:val="-3"/>
          <w:w w:val="200"/>
        </w:rPr>
        <w:t> </w:t>
      </w:r>
      <w:r>
        <w:rPr>
          <w:w w:val="160"/>
        </w:rPr>
        <w:t>     </w:t>
      </w:r>
    </w:p>
    <w:p>
      <w:pPr>
        <w:pStyle w:val="BodyText"/>
        <w:spacing w:line="360" w:lineRule="auto" w:before="139"/>
        <w:ind w:left="122" w:right="115"/>
      </w:pPr>
      <w:r>
        <w:rPr>
          <w:spacing w:val="-1"/>
          <w:w w:val="177"/>
        </w:rPr>
        <w:t> </w:t>
      </w:r>
      <w:r>
        <w:rPr>
          <w:w w:val="144"/>
        </w:rPr>
        <w:t>     </w:t>
      </w:r>
      <w:r>
        <w:rPr>
          <w:spacing w:val="-2"/>
          <w:w w:val="144"/>
        </w:rPr>
        <w:t> </w:t>
      </w:r>
      <w:r>
        <w:rPr>
          <w:w w:val="195"/>
        </w:rPr>
        <w:t>     </w:t>
      </w:r>
      <w:r>
        <w:rPr>
          <w:spacing w:val="10"/>
        </w:rPr>
        <w:t> </w:t>
      </w:r>
      <w:r>
        <w:rPr>
          <w:spacing w:val="-1"/>
          <w:w w:val="177"/>
        </w:rPr>
        <w:t> </w:t>
      </w:r>
      <w:r>
        <w:rPr>
          <w:w w:val="144"/>
        </w:rPr>
        <w:t>    </w:t>
      </w:r>
      <w:r>
        <w:rPr>
          <w:spacing w:val="-1"/>
          <w:w w:val="177"/>
        </w:rPr>
        <w:t> </w:t>
      </w:r>
      <w:r>
        <w:rPr>
          <w:w w:val="200"/>
        </w:rPr>
        <w:t>  </w:t>
      </w:r>
      <w:r>
        <w:rPr/>
        <w:t> </w:t>
      </w:r>
      <w:r>
        <w:rPr>
          <w:w w:val="1"/>
        </w:rPr>
        <w:t> </w:t>
      </w:r>
      <w:r>
        <w:rPr/>
        <w:t> </w:t>
      </w:r>
      <w:r>
        <w:rPr>
          <w:spacing w:val="23"/>
        </w:rPr>
        <w:t> </w:t>
      </w:r>
      <w:r>
        <w:rPr>
          <w:spacing w:val="1"/>
          <w:w w:val="177"/>
        </w:rPr>
        <w:t> </w:t>
      </w:r>
      <w:r>
        <w:rPr>
          <w:w w:val="111"/>
        </w:rPr>
        <w:t> </w:t>
      </w:r>
      <w:r>
        <w:rPr>
          <w:spacing w:val="12"/>
        </w:rPr>
        <w:t> </w:t>
      </w:r>
      <w:r>
        <w:rPr>
          <w:w w:val="166"/>
        </w:rPr>
        <w:t> </w:t>
      </w:r>
      <w:r>
        <w:rPr>
          <w:spacing w:val="-1"/>
          <w:w w:val="166"/>
        </w:rPr>
        <w:t> </w:t>
      </w:r>
      <w:r>
        <w:rPr>
          <w:w w:val="194"/>
        </w:rPr>
        <w:t>   </w:t>
      </w:r>
      <w:r>
        <w:rPr>
          <w:spacing w:val="-1"/>
          <w:w w:val="194"/>
        </w:rPr>
        <w:t> </w:t>
      </w:r>
      <w:r>
        <w:rPr>
          <w:w w:val="155"/>
        </w:rPr>
        <w:t>  </w:t>
      </w:r>
      <w:r>
        <w:rPr>
          <w:spacing w:val="12"/>
        </w:rPr>
        <w:t> </w:t>
      </w:r>
      <w:r>
        <w:rPr>
          <w:w w:val="177"/>
        </w:rPr>
        <w:t>     </w:t>
      </w:r>
      <w:r>
        <w:rPr>
          <w:spacing w:val="-2"/>
          <w:w w:val="177"/>
        </w:rPr>
        <w:t> </w:t>
      </w:r>
      <w:r>
        <w:rPr>
          <w:w w:val="133"/>
        </w:rPr>
        <w:t>   </w:t>
      </w:r>
      <w:r>
        <w:rPr>
          <w:spacing w:val="14"/>
        </w:rPr>
        <w:t> </w:t>
      </w:r>
      <w:r>
        <w:rPr>
          <w:w w:val="200"/>
        </w:rPr>
        <w:t> </w:t>
      </w:r>
      <w:r>
        <w:rPr>
          <w:spacing w:val="6"/>
        </w:rPr>
        <w:t> </w:t>
      </w:r>
      <w:r>
        <w:rPr>
          <w:w w:val="155"/>
        </w:rPr>
        <w:t>   </w:t>
      </w:r>
      <w:r>
        <w:rPr>
          <w:spacing w:val="12"/>
        </w:rPr>
        <w:t> </w:t>
      </w:r>
      <w:r>
        <w:rPr>
          <w:w w:val="166"/>
        </w:rPr>
        <w:t> </w:t>
      </w:r>
      <w:r>
        <w:rPr>
          <w:spacing w:val="-1"/>
          <w:w w:val="166"/>
        </w:rPr>
        <w:t> </w:t>
      </w:r>
      <w:r>
        <w:rPr>
          <w:spacing w:val="-1"/>
          <w:w w:val="177"/>
        </w:rPr>
        <w:t>  </w:t>
      </w:r>
      <w:r>
        <w:rPr>
          <w:w w:val="155"/>
        </w:rPr>
        <w:t>   </w:t>
      </w:r>
      <w:r>
        <w:rPr>
          <w:spacing w:val="12"/>
        </w:rPr>
        <w:t> </w:t>
      </w:r>
      <w:r>
        <w:rPr>
          <w:w w:val="188"/>
        </w:rPr>
        <w:t> </w:t>
      </w:r>
      <w:r>
        <w:rPr>
          <w:spacing w:val="-1"/>
          <w:w w:val="188"/>
        </w:rPr>
        <w:t> </w:t>
      </w:r>
      <w:r>
        <w:rPr>
          <w:w w:val="111"/>
        </w:rPr>
        <w:t> </w:t>
      </w:r>
      <w:r>
        <w:rPr>
          <w:spacing w:val="12"/>
        </w:rPr>
        <w:t> </w:t>
      </w:r>
      <w:r>
        <w:rPr>
          <w:spacing w:val="-3"/>
          <w:w w:val="200"/>
        </w:rPr>
        <w:t> </w:t>
      </w:r>
      <w:r>
        <w:rPr>
          <w:spacing w:val="-1"/>
          <w:w w:val="177"/>
        </w:rPr>
        <w:t> </w:t>
      </w:r>
      <w:r>
        <w:rPr>
          <w:w w:val="155"/>
        </w:rPr>
        <w:t> </w:t>
      </w:r>
      <w:r>
        <w:rPr>
          <w:spacing w:val="12"/>
        </w:rPr>
        <w:t> </w:t>
      </w:r>
      <w:r>
        <w:rPr>
          <w:w w:val="188"/>
        </w:rPr>
        <w:t> </w:t>
      </w:r>
      <w:r>
        <w:rPr>
          <w:spacing w:val="-1"/>
          <w:w w:val="188"/>
        </w:rPr>
        <w:t> </w:t>
      </w:r>
      <w:r>
        <w:rPr>
          <w:w w:val="155"/>
        </w:rPr>
        <w:t> </w:t>
      </w:r>
      <w:r>
        <w:rPr>
          <w:spacing w:val="2"/>
          <w:w w:val="155"/>
        </w:rPr>
        <w:t> </w:t>
      </w:r>
      <w:r>
        <w:rPr>
          <w:w w:val="155"/>
        </w:rPr>
        <w:t> </w:t>
      </w:r>
      <w:r>
        <w:rPr>
          <w:spacing w:val="-2"/>
          <w:w w:val="155"/>
        </w:rPr>
        <w:t> </w:t>
      </w:r>
      <w:r>
        <w:rPr>
          <w:w w:val="111"/>
        </w:rPr>
        <w:t> </w:t>
      </w:r>
      <w:r>
        <w:rPr/>
        <w:t> </w:t>
      </w:r>
      <w:r>
        <w:rPr>
          <w:w w:val="1"/>
        </w:rPr>
        <w:t> </w:t>
      </w:r>
      <w:r>
        <w:rPr>
          <w:spacing w:val="14"/>
        </w:rPr>
        <w:t> </w:t>
      </w:r>
      <w:r>
        <w:rPr>
          <w:spacing w:val="-1"/>
          <w:w w:val="177"/>
        </w:rPr>
        <w:t> </w:t>
      </w:r>
      <w:r>
        <w:rPr>
          <w:w w:val="200"/>
        </w:rPr>
        <w:t> </w:t>
      </w:r>
      <w:r>
        <w:rPr>
          <w:spacing w:val="11"/>
        </w:rPr>
        <w:t> </w:t>
      </w:r>
      <w:r>
        <w:rPr>
          <w:w w:val="177"/>
        </w:rPr>
        <w:t>   </w:t>
      </w:r>
      <w:r>
        <w:rPr>
          <w:spacing w:val="-2"/>
          <w:w w:val="177"/>
        </w:rPr>
        <w:t> </w:t>
      </w:r>
      <w:r>
        <w:rPr>
          <w:w w:val="170"/>
        </w:rPr>
        <w:t>   </w:t>
      </w:r>
      <w:r>
        <w:rPr>
          <w:spacing w:val="12"/>
        </w:rPr>
        <w:t> </w:t>
      </w:r>
      <w:r>
        <w:rPr>
          <w:w w:val="188"/>
        </w:rPr>
        <w:t>  </w:t>
      </w:r>
      <w:r>
        <w:rPr>
          <w:spacing w:val="10"/>
        </w:rPr>
        <w:t> </w:t>
      </w:r>
      <w:r>
        <w:rPr>
          <w:w w:val="144"/>
        </w:rPr>
        <w:t>  </w:t>
      </w:r>
      <w:r>
        <w:rPr>
          <w:w w:val="99"/>
        </w:rPr>
        <w:t>tasa</w:t>
      </w:r>
      <w:r>
        <w:rPr>
          <w:spacing w:val="-2"/>
        </w:rPr>
        <w:t> </w:t>
      </w:r>
      <w:r>
        <w:rPr/>
        <w:t>de</w:t>
      </w:r>
      <w:r>
        <w:rPr>
          <w:spacing w:val="-1"/>
        </w:rPr>
        <w:t> </w:t>
      </w:r>
      <w:r>
        <w:rPr>
          <w:spacing w:val="1"/>
        </w:rPr>
        <w:t>c</w:t>
      </w:r>
      <w:r>
        <w:rPr/>
        <w:t>r</w:t>
      </w:r>
      <w:r>
        <w:rPr>
          <w:spacing w:val="-2"/>
        </w:rPr>
        <w:t>e</w:t>
      </w:r>
      <w:r>
        <w:rPr>
          <w:spacing w:val="-1"/>
        </w:rPr>
        <w:t>c</w:t>
      </w:r>
      <w:r>
        <w:rPr/>
        <w:t>imiento</w:t>
      </w:r>
      <w:r>
        <w:rPr>
          <w:spacing w:val="-1"/>
        </w:rPr>
        <w:t> </w:t>
      </w:r>
      <w:r>
        <w:rPr>
          <w:spacing w:val="1"/>
        </w:rPr>
        <w:t>r</w:t>
      </w:r>
      <w:r>
        <w:rPr>
          <w:spacing w:val="-1"/>
        </w:rPr>
        <w:t>ea</w:t>
      </w:r>
      <w:r>
        <w:rPr/>
        <w:t>l</w:t>
      </w:r>
      <w:r>
        <w:rPr>
          <w:spacing w:val="2"/>
        </w:rPr>
        <w:t> </w:t>
      </w:r>
      <w:r>
        <w:rPr/>
        <w:t>meta </w:t>
      </w:r>
      <w:r>
        <w:rPr>
          <w:spacing w:val="1"/>
        </w:rPr>
        <w:t> </w:t>
      </w:r>
      <w:r>
        <w:rPr/>
        <w:t>y</w:t>
      </w:r>
      <w:r>
        <w:rPr>
          <w:spacing w:val="-5"/>
        </w:rPr>
        <w:t> </w:t>
      </w:r>
      <w:r>
        <w:rPr>
          <w:spacing w:val="2"/>
        </w:rPr>
        <w:t>l</w:t>
      </w:r>
      <w:r>
        <w:rPr/>
        <w:t>a</w:t>
      </w:r>
      <w:r>
        <w:rPr>
          <w:spacing w:val="-1"/>
        </w:rPr>
        <w:t> </w:t>
      </w:r>
      <w:r>
        <w:rPr/>
        <w:t>d</w:t>
      </w:r>
      <w:r>
        <w:rPr>
          <w:spacing w:val="-1"/>
        </w:rPr>
        <w:t>e</w:t>
      </w:r>
      <w:r>
        <w:rPr/>
        <w:t>uda</w:t>
      </w:r>
      <w:r>
        <w:rPr>
          <w:spacing w:val="-1"/>
        </w:rPr>
        <w:t> </w:t>
      </w:r>
      <w:r>
        <w:rPr/>
        <w:t>públi</w:t>
      </w:r>
      <w:r>
        <w:rPr>
          <w:spacing w:val="1"/>
        </w:rPr>
        <w:t>c</w:t>
      </w:r>
      <w:r>
        <w:rPr/>
        <w:t>a</w:t>
      </w:r>
      <w:r>
        <w:rPr>
          <w:spacing w:val="1"/>
        </w:rPr>
        <w:t> </w:t>
      </w:r>
      <w:r>
        <w:rPr/>
        <w:t>objetivo </w:t>
      </w:r>
      <w:r>
        <w:rPr>
          <w:spacing w:val="3"/>
        </w:rPr>
        <w:t> </w:t>
      </w:r>
      <w:r>
        <w:rPr/>
        <w:t>(</w:t>
      </w:r>
      <w:r>
        <w:rPr>
          <w:spacing w:val="-3"/>
        </w:rPr>
        <w:t>B</w:t>
      </w:r>
      <w:r>
        <w:rPr/>
        <w:t>u</w:t>
      </w:r>
      <w:r>
        <w:rPr>
          <w:spacing w:val="1"/>
        </w:rPr>
        <w:t>r</w:t>
      </w:r>
      <w:r>
        <w:rPr>
          <w:spacing w:val="-3"/>
        </w:rPr>
        <w:t>g</w:t>
      </w:r>
      <w:r>
        <w:rPr>
          <w:spacing w:val="1"/>
        </w:rPr>
        <w:t>e</w:t>
      </w:r>
      <w:r>
        <w:rPr/>
        <w:t>r</w:t>
      </w:r>
      <w:r>
        <w:rPr>
          <w:spacing w:val="1"/>
        </w:rPr>
        <w:t> </w:t>
      </w:r>
      <w:r>
        <w:rPr/>
        <w:t>&amp;</w:t>
      </w:r>
      <w:r>
        <w:rPr>
          <w:spacing w:val="-2"/>
        </w:rPr>
        <w:t> </w:t>
      </w:r>
      <w:r>
        <w:rPr>
          <w:w w:val="99"/>
        </w:rPr>
        <w:t>Ma</w:t>
      </w:r>
      <w:r>
        <w:rPr>
          <w:spacing w:val="-2"/>
          <w:w w:val="99"/>
        </w:rPr>
        <w:t>r</w:t>
      </w:r>
      <w:r>
        <w:rPr>
          <w:spacing w:val="2"/>
        </w:rPr>
        <w:t>i</w:t>
      </w:r>
      <w:r>
        <w:rPr/>
        <w:t>nkov, 2012):</w:t>
      </w:r>
    </w:p>
    <w:p>
      <w:pPr>
        <w:pStyle w:val="BodyText"/>
        <w:tabs>
          <w:tab w:pos="3235" w:val="left" w:leader="none"/>
        </w:tabs>
        <w:spacing w:line="285" w:lineRule="exact"/>
        <w:ind w:left="1"/>
        <w:jc w:val="center"/>
        <w:rPr>
          <w:sz w:val="16"/>
        </w:rPr>
      </w:pPr>
      <w:r>
        <w:rPr>
          <w:rFonts w:ascii="Cambria Math"/>
          <w:w w:val="314"/>
        </w:rPr>
        <w:t> </w:t>
      </w:r>
      <w:r>
        <w:rPr>
          <w:i/>
          <w:spacing w:val="-1"/>
          <w:w w:val="177"/>
        </w:rPr>
        <w:t> </w:t>
      </w:r>
      <w:r>
        <w:rPr>
          <w:rFonts w:ascii="Cambria Math"/>
          <w:w w:val="196"/>
        </w:rPr>
        <w:t>  </w:t>
      </w:r>
      <w:r>
        <w:rPr>
          <w:rFonts w:ascii="Cambria Math"/>
          <w:w w:val="177"/>
        </w:rPr>
        <w:t>   </w:t>
      </w:r>
      <w:r>
        <w:rPr>
          <w:rFonts w:ascii="Cambria Math"/>
          <w:spacing w:val="6"/>
        </w:rPr>
        <w:t> </w:t>
      </w:r>
      <w:r>
        <w:rPr>
          <w:rFonts w:ascii="Cambria Math"/>
          <w:w w:val="380"/>
        </w:rPr>
        <w:t> </w:t>
      </w:r>
      <w:r>
        <w:rPr>
          <w:i/>
          <w:w w:val="200"/>
        </w:rPr>
        <w:t> </w:t>
      </w:r>
      <w:r>
        <w:rPr>
          <w:rFonts w:ascii="Cambria Math"/>
          <w:w w:val="241"/>
        </w:rPr>
        <w:t> </w:t>
      </w:r>
      <w:r>
        <w:rPr>
          <w:rFonts w:ascii="Cambria Math"/>
        </w:rPr>
        <w:t> </w:t>
      </w:r>
      <w:r>
        <w:rPr>
          <w:rFonts w:ascii="Cambria Math"/>
          <w:spacing w:val="6"/>
        </w:rPr>
        <w:t> </w:t>
      </w:r>
      <w:r>
        <w:rPr>
          <w:rFonts w:ascii="Cambria Math"/>
          <w:w w:val="246"/>
        </w:rPr>
        <w:t>    </w:t>
      </w:r>
      <w:r>
        <w:rPr>
          <w:rFonts w:ascii="Cambria Math"/>
          <w:spacing w:val="19"/>
        </w:rPr>
        <w:t> </w:t>
      </w:r>
      <w:r>
        <w:rPr>
          <w:rFonts w:ascii="Cambria Math"/>
          <w:w w:val="339"/>
        </w:rPr>
        <w:t> </w:t>
      </w:r>
      <w:r>
        <w:rPr>
          <w:rFonts w:ascii="Cambria Math"/>
        </w:rPr>
        <w:t> </w:t>
      </w:r>
      <w:r>
        <w:rPr>
          <w:rFonts w:ascii="Cambria Math"/>
          <w:spacing w:val="15"/>
        </w:rPr>
        <w:t> </w:t>
      </w:r>
      <w:r>
        <w:rPr>
          <w:rFonts w:ascii="Cambria Math"/>
          <w:w w:val="277"/>
        </w:rPr>
        <w:t> </w:t>
      </w:r>
      <w:r>
        <w:rPr>
          <w:rFonts w:ascii="Cambria Math"/>
          <w:spacing w:val="4"/>
        </w:rPr>
        <w:t> </w:t>
      </w:r>
      <w:r>
        <w:rPr>
          <w:rFonts w:ascii="Cambria Math"/>
          <w:w w:val="219"/>
        </w:rPr>
        <w:t> </w:t>
      </w:r>
      <w:r>
        <w:rPr>
          <w:rFonts w:ascii="Cambria Math"/>
        </w:rPr>
        <w:t> </w:t>
      </w:r>
      <w:r>
        <w:rPr>
          <w:rFonts w:ascii="Cambria Math"/>
          <w:spacing w:val="-1"/>
        </w:rPr>
        <w:t> </w:t>
      </w:r>
      <w:r>
        <w:rPr>
          <w:rFonts w:ascii="Cambria Math"/>
          <w:spacing w:val="7"/>
          <w:w w:val="263"/>
        </w:rPr>
        <w:t> </w:t>
      </w:r>
      <w:r>
        <w:rPr>
          <w:rFonts w:ascii="Cambria Math"/>
          <w:w w:val="219"/>
          <w:position w:val="9"/>
          <w:sz w:val="17"/>
        </w:rPr>
        <w:t> </w:t>
      </w:r>
      <w:r>
        <w:rPr>
          <w:rFonts w:ascii="Cambria Math"/>
          <w:position w:val="9"/>
          <w:sz w:val="17"/>
        </w:rPr>
        <w:tab/>
      </w:r>
      <w:r>
        <w:rPr/>
        <w:t>(4.10)</w:t>
      </w:r>
      <w:r>
        <w:rPr>
          <w:position w:val="11"/>
          <w:sz w:val="16"/>
        </w:rPr>
        <w:t>68</w:t>
      </w:r>
    </w:p>
    <w:p>
      <w:pPr>
        <w:pStyle w:val="BodyText"/>
        <w:spacing w:line="364" w:lineRule="auto" w:before="146"/>
        <w:ind w:left="122" w:right="116" w:firstLine="707"/>
        <w:jc w:val="both"/>
      </w:pPr>
      <w:r>
        <w:rPr/>
        <w:t>Donde       corresponde al balance global cíclicamente ajustado en términos del   PIB;   corresponde a la tasa de crecimiento del  producto en el mediano plazo;   es la    deuda pública máxima en términos del PIB en el mediano o largo plazo (según el horizonte objetivo de la política</w:t>
      </w:r>
      <w:r>
        <w:rPr>
          <w:spacing w:val="-7"/>
        </w:rPr>
        <w:t> </w:t>
      </w:r>
      <w:r>
        <w:rPr/>
        <w:t>fiscal).</w:t>
      </w:r>
    </w:p>
    <w:p>
      <w:pPr>
        <w:pStyle w:val="BodyText"/>
        <w:spacing w:line="360" w:lineRule="auto"/>
        <w:ind w:left="122" w:right="119" w:firstLine="707"/>
        <w:jc w:val="both"/>
      </w:pPr>
      <w:r>
        <w:rPr/>
        <w:t>El precio del gas natural fue determinando, de forma exógena, con base en del  precio del petróleo (EIA, 2012), la proyección de producción del gas natural fue elaborada considerando los supuestos de crecimiento de la empresa estatal boliviana YPFB, ambos elementos se explicaron en el capítulo II. La brecha del producto fue proyectada en torno a la estimación del producto para Bolivia realizada por el Fondo Monetario Internacional (Fondo Monetario Internacional (IMF), 2013). La tasa de interés real fue establecida con base en su relación dinámica con la tasa de crecimiento real del producto y la tasa de inflación.</w:t>
      </w:r>
    </w:p>
    <w:p>
      <w:pPr>
        <w:pStyle w:val="BodyText"/>
        <w:spacing w:before="4"/>
        <w:rPr>
          <w:sz w:val="21"/>
        </w:rPr>
      </w:pPr>
    </w:p>
    <w:p>
      <w:pPr>
        <w:pStyle w:val="Heading4"/>
        <w:numPr>
          <w:ilvl w:val="2"/>
          <w:numId w:val="15"/>
        </w:numPr>
        <w:tabs>
          <w:tab w:pos="983" w:val="left" w:leader="none"/>
          <w:tab w:pos="984" w:val="left" w:leader="none"/>
        </w:tabs>
        <w:spacing w:line="240" w:lineRule="auto" w:before="1" w:after="0"/>
        <w:ind w:left="983" w:right="0" w:hanging="720"/>
        <w:jc w:val="left"/>
      </w:pPr>
      <w:bookmarkStart w:name="_bookmark121" w:id="166"/>
      <w:bookmarkEnd w:id="166"/>
      <w:r>
        <w:rPr>
          <w:b w:val="0"/>
        </w:rPr>
      </w:r>
      <w:bookmarkStart w:name="_bookmark121" w:id="167"/>
      <w:bookmarkEnd w:id="167"/>
      <w:r>
        <w:rPr/>
        <w:t>Su</w:t>
      </w:r>
      <w:r>
        <w:rPr/>
        <w:t>puestos exógenos para la proyección de  la deuda</w:t>
      </w:r>
      <w:r>
        <w:rPr>
          <w:spacing w:val="-14"/>
        </w:rPr>
        <w:t> </w:t>
      </w:r>
      <w:r>
        <w:rPr/>
        <w:t>pública</w:t>
      </w:r>
    </w:p>
    <w:p>
      <w:pPr>
        <w:pStyle w:val="BodyText"/>
        <w:rPr>
          <w:b/>
          <w:sz w:val="29"/>
        </w:rPr>
      </w:pPr>
    </w:p>
    <w:p>
      <w:pPr>
        <w:pStyle w:val="BodyText"/>
        <w:spacing w:line="360" w:lineRule="auto"/>
        <w:ind w:left="122" w:right="120" w:firstLine="707"/>
        <w:jc w:val="both"/>
      </w:pPr>
      <w:r>
        <w:rPr/>
        <w:t>Bajo el prospecto paramétrico se incluyeron cuatro supuestos exógenos de proyección: i) precios del gas natural; ii) producción de gas natural; iii) brecha del  producto; iv) costo real de la deuda</w:t>
      </w:r>
      <w:r>
        <w:rPr>
          <w:spacing w:val="-8"/>
        </w:rPr>
        <w:t> </w:t>
      </w:r>
      <w:r>
        <w:rPr/>
        <w:t>pública.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7"/>
        </w:rPr>
      </w:pPr>
      <w:r>
        <w:rPr/>
        <w:pict>
          <v:line style="position:absolute;mso-position-horizontal-relative:page;mso-position-vertical-relative:paragraph;z-index:12568;mso-wrap-distance-left:0;mso-wrap-distance-right:0" from="85.103996pt,12.524654pt" to="229.123996pt,12.524654pt" stroked="true" strokeweight=".599980pt" strokecolor="#000000">
            <w10:wrap type="topAndBottom"/>
          </v:line>
        </w:pict>
      </w:r>
    </w:p>
    <w:p>
      <w:pPr>
        <w:spacing w:before="50"/>
        <w:ind w:left="122" w:right="120" w:firstLine="0"/>
        <w:jc w:val="both"/>
        <w:rPr>
          <w:sz w:val="20"/>
        </w:rPr>
      </w:pPr>
      <w:r>
        <w:rPr>
          <w:position w:val="9"/>
          <w:sz w:val="13"/>
        </w:rPr>
        <w:t>68 </w:t>
      </w:r>
      <w:r>
        <w:rPr>
          <w:sz w:val="20"/>
        </w:rPr>
        <w:t>Los ingresos tributarios (renta interna y renta aduanera), así como los ingresos gasíferos domésticos se ajustan a la relación entre el producto potencial y el producto observado. Los ingresos gasíferos externos se ajustan a la relación entre los precios de largo plazo y los precios observados del recurso natural.</w:t>
      </w:r>
    </w:p>
    <w:p>
      <w:pPr>
        <w:spacing w:after="0"/>
        <w:jc w:val="both"/>
        <w:rPr>
          <w:sz w:val="20"/>
        </w:rPr>
        <w:sectPr>
          <w:pgSz w:w="12250" w:h="15850"/>
          <w:pgMar w:header="0" w:footer="1037" w:top="1360" w:bottom="1220" w:left="1580" w:right="1580"/>
        </w:sectPr>
      </w:pPr>
    </w:p>
    <w:p>
      <w:pPr>
        <w:pStyle w:val="ListParagraph"/>
        <w:numPr>
          <w:ilvl w:val="0"/>
          <w:numId w:val="17"/>
        </w:numPr>
        <w:tabs>
          <w:tab w:pos="1705" w:val="left" w:leader="none"/>
          <w:tab w:pos="1706" w:val="left" w:leader="none"/>
        </w:tabs>
        <w:spacing w:line="240" w:lineRule="auto" w:before="48" w:after="0"/>
        <w:ind w:left="1706" w:right="0" w:hanging="488"/>
        <w:jc w:val="left"/>
        <w:rPr>
          <w:i/>
          <w:sz w:val="24"/>
        </w:rPr>
      </w:pPr>
      <w:r>
        <w:rPr>
          <w:i/>
          <w:sz w:val="24"/>
        </w:rPr>
        <w:t>Proyección de los precios del gas</w:t>
      </w:r>
      <w:r>
        <w:rPr>
          <w:i/>
          <w:spacing w:val="-5"/>
          <w:sz w:val="24"/>
        </w:rPr>
        <w:t> </w:t>
      </w:r>
      <w:r>
        <w:rPr>
          <w:i/>
          <w:sz w:val="24"/>
        </w:rPr>
        <w:t>natural</w:t>
      </w:r>
    </w:p>
    <w:p>
      <w:pPr>
        <w:pStyle w:val="BodyText"/>
        <w:spacing w:before="4"/>
        <w:rPr>
          <w:i/>
          <w:sz w:val="29"/>
        </w:rPr>
      </w:pPr>
    </w:p>
    <w:p>
      <w:pPr>
        <w:pStyle w:val="BodyText"/>
        <w:spacing w:line="360" w:lineRule="auto" w:before="1"/>
        <w:ind w:left="122" w:right="98" w:firstLine="707"/>
        <w:jc w:val="both"/>
      </w:pPr>
      <w:r>
        <w:rPr/>
        <w:t>Para proyectar los precios del gas natural, se recapitula lo considerado  en  el capítulo II, donde se abordaron los precios </w:t>
      </w:r>
      <w:r>
        <w:rPr>
          <w:i/>
        </w:rPr>
        <w:t>spots </w:t>
      </w:r>
      <w:r>
        <w:rPr/>
        <w:t>del precio del petróleo de </w:t>
      </w:r>
      <w:r>
        <w:rPr>
          <w:i/>
        </w:rPr>
        <w:t>West Texas </w:t>
      </w:r>
      <w:r>
        <w:rPr>
          <w:i/>
        </w:rPr>
        <w:t>Intermediate</w:t>
      </w:r>
      <w:r>
        <w:rPr/>
        <w:t>, cuyas proyecciones son de dos tipos: de corto plazo (2012-2014) y de largo plazo (2015 – 2035)  (EIA, 2012).</w:t>
      </w:r>
    </w:p>
    <w:p>
      <w:pPr>
        <w:pStyle w:val="BodyText"/>
        <w:spacing w:before="6"/>
        <w:ind w:left="182" w:right="22"/>
        <w:jc w:val="center"/>
      </w:pPr>
      <w:r>
        <w:rPr/>
        <w:t>Se estimó un modelo GARCH (1,1) con periodicidad mensual de 1999 a 2011:</w:t>
      </w:r>
    </w:p>
    <w:p>
      <w:pPr>
        <w:tabs>
          <w:tab w:pos="7559" w:val="left" w:leader="none"/>
        </w:tabs>
        <w:spacing w:before="139"/>
        <w:ind w:left="17" w:right="0" w:firstLine="0"/>
        <w:jc w:val="center"/>
        <w:rPr>
          <w:sz w:val="24"/>
        </w:rPr>
      </w:pPr>
      <w:r>
        <w:rPr>
          <w:rFonts w:ascii="Cambria Math"/>
          <w:w w:val="270"/>
          <w:sz w:val="24"/>
        </w:rPr>
        <w:t> </w:t>
      </w:r>
      <w:r>
        <w:rPr>
          <w:rFonts w:ascii="Cambria Math"/>
          <w:w w:val="255"/>
          <w:sz w:val="24"/>
        </w:rPr>
        <w:t>   </w:t>
      </w:r>
      <w:r>
        <w:rPr>
          <w:rFonts w:ascii="Cambria Math"/>
          <w:spacing w:val="-6"/>
          <w:w w:val="255"/>
          <w:sz w:val="24"/>
        </w:rPr>
        <w:t> </w:t>
      </w:r>
      <w:r>
        <w:rPr>
          <w:rFonts w:ascii="Cambria Math"/>
          <w:w w:val="200"/>
          <w:position w:val="-4"/>
          <w:sz w:val="17"/>
        </w:rPr>
        <w:t> </w:t>
      </w:r>
      <w:r>
        <w:rPr>
          <w:rFonts w:ascii="Cambria Math"/>
          <w:position w:val="-4"/>
          <w:sz w:val="17"/>
        </w:rPr>
        <w:t> </w:t>
      </w:r>
      <w:r>
        <w:rPr>
          <w:rFonts w:ascii="Cambria Math"/>
          <w:spacing w:val="3"/>
          <w:position w:val="-4"/>
          <w:sz w:val="17"/>
        </w:rPr>
        <w:t> </w:t>
      </w:r>
      <w:r>
        <w:rPr>
          <w:rFonts w:ascii="Cambria Math"/>
          <w:w w:val="339"/>
          <w:sz w:val="24"/>
        </w:rPr>
        <w:t> </w:t>
      </w:r>
      <w:r>
        <w:rPr>
          <w:rFonts w:ascii="Cambria Math"/>
          <w:spacing w:val="15"/>
          <w:sz w:val="24"/>
        </w:rPr>
        <w:t> </w:t>
      </w:r>
      <w:r>
        <w:rPr>
          <w:rFonts w:ascii="Cambria Math"/>
          <w:spacing w:val="-19"/>
          <w:w w:val="275"/>
          <w:sz w:val="24"/>
        </w:rPr>
        <w:t> </w:t>
      </w:r>
      <w:r>
        <w:rPr>
          <w:rFonts w:ascii="Cambria Math"/>
          <w:spacing w:val="9"/>
          <w:w w:val="263"/>
          <w:position w:val="-4"/>
          <w:sz w:val="17"/>
        </w:rPr>
        <w:t> </w:t>
      </w:r>
      <w:r>
        <w:rPr>
          <w:rFonts w:ascii="Cambria Math"/>
          <w:spacing w:val="-2"/>
          <w:w w:val="270"/>
          <w:sz w:val="24"/>
        </w:rPr>
        <w:t> </w:t>
      </w:r>
      <w:r>
        <w:rPr>
          <w:rFonts w:ascii="Cambria Math"/>
          <w:w w:val="255"/>
          <w:sz w:val="24"/>
        </w:rPr>
        <w:t>   </w:t>
      </w:r>
      <w:r>
        <w:rPr>
          <w:rFonts w:ascii="Cambria Math"/>
          <w:spacing w:val="-6"/>
          <w:w w:val="255"/>
          <w:sz w:val="24"/>
        </w:rPr>
        <w:t> </w:t>
      </w:r>
      <w:r>
        <w:rPr>
          <w:rFonts w:ascii="Cambria Math"/>
          <w:spacing w:val="1"/>
          <w:w w:val="200"/>
          <w:position w:val="-4"/>
          <w:sz w:val="17"/>
        </w:rPr>
        <w:t> </w:t>
      </w:r>
      <w:r>
        <w:rPr>
          <w:rFonts w:ascii="Cambria Math"/>
          <w:spacing w:val="1"/>
          <w:w w:val="331"/>
          <w:position w:val="-4"/>
          <w:sz w:val="17"/>
        </w:rPr>
        <w:t> </w:t>
      </w:r>
      <w:r>
        <w:rPr>
          <w:rFonts w:ascii="Cambria Math"/>
          <w:w w:val="263"/>
          <w:position w:val="-4"/>
          <w:sz w:val="17"/>
        </w:rPr>
        <w:t> </w:t>
      </w:r>
      <w:r>
        <w:rPr>
          <w:rFonts w:ascii="Cambria Math"/>
          <w:position w:val="-4"/>
          <w:sz w:val="17"/>
        </w:rPr>
        <w:t> </w:t>
      </w:r>
      <w:r>
        <w:rPr>
          <w:rFonts w:ascii="Cambria Math"/>
          <w:spacing w:val="-13"/>
          <w:position w:val="-4"/>
          <w:sz w:val="17"/>
        </w:rPr>
        <w:t> </w:t>
      </w:r>
      <w:r>
        <w:rPr>
          <w:rFonts w:ascii="Cambria Math"/>
          <w:w w:val="339"/>
          <w:sz w:val="24"/>
        </w:rPr>
        <w:t> </w:t>
      </w:r>
      <w:r>
        <w:rPr>
          <w:rFonts w:ascii="Cambria Math"/>
          <w:sz w:val="24"/>
        </w:rPr>
        <w:t> </w:t>
      </w:r>
      <w:r>
        <w:rPr>
          <w:rFonts w:ascii="Cambria Math"/>
          <w:spacing w:val="-14"/>
          <w:w w:val="275"/>
          <w:sz w:val="24"/>
        </w:rPr>
        <w:t> </w:t>
      </w:r>
      <w:r>
        <w:rPr>
          <w:rFonts w:ascii="Cambria Math"/>
          <w:spacing w:val="9"/>
          <w:w w:val="263"/>
          <w:position w:val="-4"/>
          <w:sz w:val="17"/>
        </w:rPr>
        <w:t> </w:t>
      </w:r>
      <w:r>
        <w:rPr>
          <w:rFonts w:ascii="Cambria Math"/>
          <w:w w:val="270"/>
          <w:sz w:val="24"/>
        </w:rPr>
        <w:t> </w:t>
      </w:r>
      <w:r>
        <w:rPr>
          <w:rFonts w:ascii="Cambria Math"/>
          <w:w w:val="253"/>
          <w:sz w:val="24"/>
        </w:rPr>
        <w:t>  </w:t>
      </w:r>
      <w:r>
        <w:rPr>
          <w:rFonts w:ascii="Cambria Math"/>
          <w:spacing w:val="-1"/>
          <w:w w:val="253"/>
          <w:sz w:val="24"/>
        </w:rPr>
        <w:t> </w:t>
      </w:r>
      <w:r>
        <w:rPr>
          <w:rFonts w:ascii="Cambria Math"/>
          <w:spacing w:val="-4"/>
          <w:w w:val="179"/>
          <w:sz w:val="24"/>
        </w:rPr>
        <w:t> </w:t>
      </w:r>
      <w:r>
        <w:rPr>
          <w:rFonts w:ascii="Cambria Math"/>
          <w:spacing w:val="1"/>
          <w:w w:val="200"/>
          <w:position w:val="-4"/>
          <w:sz w:val="17"/>
        </w:rPr>
        <w:t> </w:t>
      </w:r>
      <w:r>
        <w:rPr>
          <w:rFonts w:ascii="Cambria Math"/>
          <w:w w:val="331"/>
          <w:position w:val="-4"/>
          <w:sz w:val="17"/>
        </w:rPr>
        <w:t> </w:t>
      </w:r>
      <w:r>
        <w:rPr>
          <w:rFonts w:ascii="Cambria Math"/>
          <w:w w:val="263"/>
          <w:position w:val="-4"/>
          <w:sz w:val="17"/>
        </w:rPr>
        <w:t> </w:t>
      </w:r>
      <w:r>
        <w:rPr>
          <w:rFonts w:ascii="Cambria Math"/>
          <w:position w:val="-4"/>
          <w:sz w:val="17"/>
        </w:rPr>
        <w:t> </w:t>
      </w:r>
      <w:r>
        <w:rPr>
          <w:rFonts w:ascii="Cambria Math"/>
          <w:spacing w:val="-13"/>
          <w:position w:val="-4"/>
          <w:sz w:val="17"/>
        </w:rPr>
        <w:t> </w:t>
      </w:r>
      <w:r>
        <w:rPr>
          <w:rFonts w:ascii="Cambria Math"/>
          <w:w w:val="339"/>
          <w:sz w:val="24"/>
        </w:rPr>
        <w:t> </w:t>
      </w:r>
      <w:r>
        <w:rPr>
          <w:rFonts w:ascii="Cambria Math"/>
          <w:sz w:val="24"/>
        </w:rPr>
        <w:t> </w:t>
      </w:r>
      <w:r>
        <w:rPr>
          <w:rFonts w:ascii="Cambria Math"/>
          <w:spacing w:val="-14"/>
          <w:w w:val="275"/>
          <w:sz w:val="24"/>
        </w:rPr>
        <w:t> </w:t>
      </w:r>
      <w:r>
        <w:rPr>
          <w:rFonts w:ascii="Cambria Math"/>
          <w:spacing w:val="9"/>
          <w:w w:val="263"/>
          <w:position w:val="-4"/>
          <w:sz w:val="17"/>
        </w:rPr>
        <w:t> </w:t>
      </w:r>
      <w:r>
        <w:rPr>
          <w:rFonts w:ascii="Cambria Math"/>
          <w:w w:val="270"/>
          <w:sz w:val="24"/>
        </w:rPr>
        <w:t> </w:t>
      </w:r>
      <w:r>
        <w:rPr>
          <w:rFonts w:ascii="Cambria Math"/>
          <w:w w:val="253"/>
          <w:sz w:val="24"/>
        </w:rPr>
        <w:t>  </w:t>
      </w:r>
      <w:r>
        <w:rPr>
          <w:rFonts w:ascii="Cambria Math"/>
          <w:spacing w:val="1"/>
          <w:w w:val="253"/>
          <w:sz w:val="24"/>
        </w:rPr>
        <w:t> </w:t>
      </w:r>
      <w:r>
        <w:rPr>
          <w:rFonts w:ascii="Cambria Math"/>
          <w:spacing w:val="-3"/>
          <w:w w:val="179"/>
          <w:sz w:val="24"/>
        </w:rPr>
        <w:t> </w:t>
      </w:r>
      <w:r>
        <w:rPr>
          <w:rFonts w:ascii="Cambria Math"/>
          <w:spacing w:val="1"/>
          <w:w w:val="200"/>
          <w:position w:val="-4"/>
          <w:sz w:val="17"/>
        </w:rPr>
        <w:t> </w:t>
      </w:r>
      <w:r>
        <w:rPr>
          <w:rFonts w:ascii="Cambria Math"/>
          <w:w w:val="331"/>
          <w:position w:val="-4"/>
          <w:sz w:val="17"/>
        </w:rPr>
        <w:t> </w:t>
      </w:r>
      <w:r>
        <w:rPr>
          <w:rFonts w:ascii="Cambria Math"/>
          <w:w w:val="263"/>
          <w:position w:val="-4"/>
          <w:sz w:val="17"/>
        </w:rPr>
        <w:t> </w:t>
      </w:r>
      <w:r>
        <w:rPr>
          <w:rFonts w:ascii="Cambria Math"/>
          <w:position w:val="-4"/>
          <w:sz w:val="17"/>
        </w:rPr>
        <w:t> </w:t>
      </w:r>
      <w:r>
        <w:rPr>
          <w:rFonts w:ascii="Cambria Math"/>
          <w:spacing w:val="-13"/>
          <w:position w:val="-4"/>
          <w:sz w:val="17"/>
        </w:rPr>
        <w:t> </w:t>
      </w:r>
      <w:r>
        <w:rPr>
          <w:rFonts w:ascii="Cambria Math"/>
          <w:w w:val="339"/>
          <w:sz w:val="24"/>
        </w:rPr>
        <w:t> </w:t>
      </w:r>
      <w:r>
        <w:rPr>
          <w:rFonts w:ascii="Cambria Math"/>
          <w:sz w:val="24"/>
        </w:rPr>
        <w:t> </w:t>
      </w:r>
      <w:r>
        <w:rPr>
          <w:rFonts w:ascii="Cambria Math"/>
          <w:spacing w:val="-24"/>
          <w:w w:val="275"/>
          <w:sz w:val="24"/>
        </w:rPr>
        <w:t> </w:t>
      </w:r>
      <w:r>
        <w:rPr>
          <w:rFonts w:ascii="Cambria Math"/>
          <w:w w:val="263"/>
          <w:position w:val="-4"/>
          <w:sz w:val="17"/>
        </w:rPr>
        <w:t> </w:t>
      </w:r>
      <w:r>
        <w:rPr>
          <w:rFonts w:ascii="Cambria Math"/>
          <w:position w:val="-4"/>
          <w:sz w:val="17"/>
        </w:rPr>
        <w:t> </w:t>
      </w:r>
      <w:r>
        <w:rPr>
          <w:rFonts w:ascii="Cambria Math"/>
          <w:spacing w:val="-13"/>
          <w:position w:val="-4"/>
          <w:sz w:val="17"/>
        </w:rPr>
        <w:t> </w:t>
      </w:r>
      <w:r>
        <w:rPr>
          <w:rFonts w:ascii="Cambria Math"/>
          <w:w w:val="270"/>
          <w:sz w:val="24"/>
        </w:rPr>
        <w:t> </w:t>
      </w:r>
      <w:r>
        <w:rPr>
          <w:rFonts w:ascii="Cambria Math"/>
          <w:w w:val="253"/>
          <w:sz w:val="24"/>
        </w:rPr>
        <w:t>  </w:t>
      </w:r>
      <w:r>
        <w:rPr>
          <w:rFonts w:ascii="Cambria Math"/>
          <w:spacing w:val="-1"/>
          <w:w w:val="253"/>
          <w:sz w:val="24"/>
        </w:rPr>
        <w:t> </w:t>
      </w:r>
      <w:r>
        <w:rPr>
          <w:rFonts w:ascii="Cambria Math"/>
          <w:spacing w:val="-4"/>
          <w:w w:val="179"/>
          <w:sz w:val="24"/>
        </w:rPr>
        <w:t> </w:t>
      </w:r>
      <w:r>
        <w:rPr>
          <w:rFonts w:ascii="Cambria Math"/>
          <w:spacing w:val="4"/>
          <w:w w:val="200"/>
          <w:position w:val="-4"/>
          <w:sz w:val="17"/>
        </w:rPr>
        <w:t> </w:t>
      </w:r>
      <w:r>
        <w:rPr>
          <w:rFonts w:ascii="Cambria Math"/>
          <w:w w:val="331"/>
          <w:position w:val="-4"/>
          <w:sz w:val="17"/>
        </w:rPr>
        <w:t> </w:t>
      </w:r>
      <w:r>
        <w:rPr>
          <w:rFonts w:ascii="Cambria Math"/>
          <w:w w:val="263"/>
          <w:position w:val="-4"/>
          <w:sz w:val="17"/>
        </w:rPr>
        <w:t> </w:t>
      </w:r>
      <w:r>
        <w:rPr>
          <w:rFonts w:ascii="Cambria Math"/>
          <w:position w:val="-4"/>
          <w:sz w:val="17"/>
        </w:rPr>
        <w:t> </w:t>
      </w:r>
      <w:r>
        <w:rPr>
          <w:rFonts w:ascii="Cambria Math"/>
          <w:spacing w:val="-16"/>
          <w:position w:val="-4"/>
          <w:sz w:val="17"/>
        </w:rPr>
        <w:t> </w:t>
      </w:r>
      <w:r>
        <w:rPr>
          <w:rFonts w:ascii="Cambria Math"/>
          <w:w w:val="339"/>
          <w:sz w:val="24"/>
        </w:rPr>
        <w:t> </w:t>
      </w:r>
      <w:r>
        <w:rPr>
          <w:rFonts w:ascii="Cambria Math"/>
          <w:sz w:val="24"/>
        </w:rPr>
        <w:t> </w:t>
      </w:r>
      <w:r>
        <w:rPr>
          <w:rFonts w:ascii="Cambria Math"/>
          <w:spacing w:val="-4"/>
          <w:w w:val="206"/>
          <w:sz w:val="24"/>
        </w:rPr>
        <w:t> </w:t>
      </w:r>
      <w:r>
        <w:rPr>
          <w:rFonts w:ascii="Cambria Math"/>
          <w:w w:val="200"/>
          <w:position w:val="-4"/>
          <w:sz w:val="17"/>
        </w:rPr>
        <w:t> </w:t>
      </w:r>
      <w:r>
        <w:rPr>
          <w:rFonts w:ascii="Cambria Math"/>
          <w:position w:val="-4"/>
          <w:sz w:val="17"/>
        </w:rPr>
        <w:tab/>
      </w:r>
      <w:r>
        <w:rPr>
          <w:sz w:val="24"/>
        </w:rPr>
        <w:t>(4.11)</w:t>
      </w:r>
    </w:p>
    <w:p>
      <w:pPr>
        <w:tabs>
          <w:tab w:pos="963" w:val="left" w:leader="none"/>
        </w:tabs>
        <w:spacing w:before="150"/>
        <w:ind w:left="618" w:right="0" w:firstLine="0"/>
        <w:jc w:val="center"/>
        <w:rPr>
          <w:rFonts w:ascii="Cambria Math"/>
          <w:sz w:val="24"/>
        </w:rPr>
      </w:pPr>
      <w:r>
        <w:rPr>
          <w:rFonts w:ascii="Cambria Math"/>
          <w:w w:val="263"/>
          <w:position w:val="9"/>
          <w:sz w:val="17"/>
        </w:rPr>
        <w:t> </w:t>
      </w:r>
      <w:r>
        <w:rPr>
          <w:rFonts w:ascii="Cambria Math"/>
          <w:position w:val="9"/>
          <w:sz w:val="17"/>
        </w:rPr>
        <w:tab/>
      </w:r>
      <w:r>
        <w:rPr>
          <w:rFonts w:ascii="Cambria Math"/>
          <w:w w:val="339"/>
          <w:sz w:val="24"/>
        </w:rPr>
        <w:t> </w:t>
      </w:r>
      <w:r>
        <w:rPr>
          <w:rFonts w:ascii="Cambria Math"/>
          <w:sz w:val="24"/>
        </w:rPr>
        <w:t> </w:t>
      </w:r>
      <w:r>
        <w:rPr>
          <w:rFonts w:ascii="Cambria Math"/>
          <w:w w:val="238"/>
          <w:sz w:val="24"/>
        </w:rPr>
        <w:t> </w:t>
      </w:r>
      <w:r>
        <w:rPr>
          <w:rFonts w:ascii="Cambria Math"/>
          <w:sz w:val="24"/>
        </w:rPr>
        <w:t> </w:t>
      </w:r>
      <w:r>
        <w:rPr>
          <w:rFonts w:ascii="Cambria Math"/>
          <w:spacing w:val="-9"/>
          <w:sz w:val="24"/>
        </w:rPr>
        <w:t> </w:t>
      </w:r>
      <w:r>
        <w:rPr>
          <w:rFonts w:ascii="Cambria Math"/>
          <w:w w:val="252"/>
          <w:sz w:val="24"/>
        </w:rPr>
        <w:t> </w:t>
      </w:r>
    </w:p>
    <w:p>
      <w:pPr>
        <w:pStyle w:val="BodyText"/>
        <w:spacing w:before="107"/>
        <w:ind w:left="41" w:right="22"/>
        <w:jc w:val="center"/>
        <w:rPr>
          <w:sz w:val="16"/>
        </w:rPr>
      </w:pPr>
      <w:r>
        <w:rPr/>
        <w:t>Con la restricción IGARCH:                     </w:t>
      </w:r>
      <w:r>
        <w:rPr>
          <w:spacing w:val="55"/>
        </w:rPr>
        <w:t> </w:t>
      </w:r>
      <w:r>
        <w:rPr>
          <w:position w:val="11"/>
          <w:sz w:val="16"/>
        </w:rPr>
        <w:t>69</w:t>
      </w:r>
    </w:p>
    <w:p>
      <w:pPr>
        <w:pStyle w:val="BodyText"/>
        <w:spacing w:line="360" w:lineRule="auto" w:before="144"/>
        <w:ind w:left="122" w:right="101" w:firstLine="707"/>
        <w:jc w:val="both"/>
      </w:pPr>
      <w:r>
        <w:rPr/>
        <w:t>Las proyecciones de corto y mediano plazo indicaron que los precios del gas natural serán de forma creciente en torno a la expectativa de incremento en los precios del petróleo.</w:t>
      </w:r>
    </w:p>
    <w:p>
      <w:pPr>
        <w:pStyle w:val="BodyText"/>
      </w:pPr>
    </w:p>
    <w:p>
      <w:pPr>
        <w:pStyle w:val="BodyText"/>
        <w:spacing w:before="140" w:after="8"/>
        <w:ind w:left="39" w:right="22"/>
        <w:jc w:val="center"/>
      </w:pPr>
      <w:bookmarkStart w:name="_bookmark122" w:id="168"/>
      <w:bookmarkEnd w:id="168"/>
      <w:r>
        <w:rPr/>
      </w:r>
      <w:r>
        <w:rPr/>
        <w:t>Figura 4. 3: Proyección de los precios de gas natural hasta 2017</w:t>
      </w:r>
    </w:p>
    <w:p>
      <w:pPr>
        <w:pStyle w:val="BodyText"/>
        <w:ind w:left="2591"/>
        <w:rPr>
          <w:sz w:val="20"/>
        </w:rPr>
      </w:pPr>
      <w:r>
        <w:rPr>
          <w:sz w:val="20"/>
        </w:rPr>
        <w:drawing>
          <wp:inline distT="0" distB="0" distL="0" distR="0">
            <wp:extent cx="2476150" cy="1625060"/>
            <wp:effectExtent l="0" t="0" r="0" b="0"/>
            <wp:docPr id="67" name="image109.jpeg" descr=""/>
            <wp:cNvGraphicFramePr>
              <a:graphicFrameLocks noChangeAspect="1"/>
            </wp:cNvGraphicFramePr>
            <a:graphic>
              <a:graphicData uri="http://schemas.openxmlformats.org/drawingml/2006/picture">
                <pic:pic>
                  <pic:nvPicPr>
                    <pic:cNvPr id="68" name="image109.jpeg"/>
                    <pic:cNvPicPr/>
                  </pic:nvPicPr>
                  <pic:blipFill>
                    <a:blip r:embed="rId122" cstate="print"/>
                    <a:stretch>
                      <a:fillRect/>
                    </a:stretch>
                  </pic:blipFill>
                  <pic:spPr>
                    <a:xfrm>
                      <a:off x="0" y="0"/>
                      <a:ext cx="2476150" cy="1625060"/>
                    </a:xfrm>
                    <a:prstGeom prst="rect">
                      <a:avLst/>
                    </a:prstGeom>
                  </pic:spPr>
                </pic:pic>
              </a:graphicData>
            </a:graphic>
          </wp:inline>
        </w:drawing>
      </w:r>
      <w:r>
        <w:rPr>
          <w:sz w:val="20"/>
        </w:rPr>
      </w:r>
    </w:p>
    <w:p>
      <w:pPr>
        <w:spacing w:before="14"/>
        <w:ind w:left="35" w:right="22" w:firstLine="0"/>
        <w:jc w:val="center"/>
        <w:rPr>
          <w:sz w:val="20"/>
        </w:rPr>
      </w:pPr>
      <w:r>
        <w:rPr>
          <w:sz w:val="20"/>
        </w:rPr>
        <w:t>Fuente: Estimaciones propias con base al precio del petróleo (EIA)</w:t>
      </w:r>
    </w:p>
    <w:p>
      <w:pPr>
        <w:pStyle w:val="BodyText"/>
        <w:rPr>
          <w:sz w:val="20"/>
        </w:rPr>
      </w:pPr>
    </w:p>
    <w:p>
      <w:pPr>
        <w:pStyle w:val="BodyText"/>
        <w:spacing w:before="9"/>
        <w:rPr>
          <w:sz w:val="20"/>
        </w:rPr>
      </w:pPr>
    </w:p>
    <w:p>
      <w:pPr>
        <w:pStyle w:val="ListParagraph"/>
        <w:numPr>
          <w:ilvl w:val="0"/>
          <w:numId w:val="17"/>
        </w:numPr>
        <w:tabs>
          <w:tab w:pos="1705" w:val="left" w:leader="none"/>
          <w:tab w:pos="1706" w:val="left" w:leader="none"/>
        </w:tabs>
        <w:spacing w:line="240" w:lineRule="auto" w:before="0" w:after="0"/>
        <w:ind w:left="1706" w:right="0" w:hanging="555"/>
        <w:jc w:val="left"/>
        <w:rPr>
          <w:i/>
          <w:sz w:val="24"/>
        </w:rPr>
      </w:pPr>
      <w:r>
        <w:rPr>
          <w:i/>
          <w:sz w:val="24"/>
        </w:rPr>
        <w:t>Proyección de la producción de gas</w:t>
      </w:r>
      <w:r>
        <w:rPr>
          <w:i/>
          <w:spacing w:val="-5"/>
          <w:sz w:val="24"/>
        </w:rPr>
        <w:t> </w:t>
      </w:r>
      <w:r>
        <w:rPr>
          <w:i/>
          <w:sz w:val="24"/>
        </w:rPr>
        <w:t>natural</w:t>
      </w:r>
    </w:p>
    <w:p>
      <w:pPr>
        <w:pStyle w:val="BodyText"/>
        <w:spacing w:before="5"/>
        <w:rPr>
          <w:i/>
          <w:sz w:val="29"/>
        </w:rPr>
      </w:pPr>
    </w:p>
    <w:p>
      <w:pPr>
        <w:pStyle w:val="BodyText"/>
        <w:spacing w:line="360" w:lineRule="auto"/>
        <w:ind w:left="122" w:right="99" w:firstLine="707"/>
        <w:jc w:val="both"/>
      </w:pPr>
      <w:r>
        <w:rPr/>
        <w:t>Del capítulo II se recapitula la proyección de gas natural, para la cual se consideraron los supuestos de inversiones, producción y exploraciones de  la  empresa estatal hidrocarburífera YPFB (Bol).</w:t>
      </w:r>
    </w:p>
    <w:p>
      <w:pPr>
        <w:pStyle w:val="BodyText"/>
        <w:spacing w:line="360" w:lineRule="auto" w:before="4"/>
        <w:ind w:left="122" w:right="98" w:firstLine="770"/>
        <w:jc w:val="both"/>
      </w:pPr>
      <w:r>
        <w:rPr/>
        <w:t>La planificación de producción gasífera de Bolivia fue realizada para el período 2009  -  2026,  incluyéndose  el  crecimiento  en  la  cantidad  demandada     contractua</w:t>
      </w:r>
      <w:r>
        <w:rPr>
          <w:w w:val="111"/>
        </w:rPr>
        <w:t> </w:t>
      </w:r>
      <w:r>
        <w:rPr/>
        <w:t>  </w:t>
      </w:r>
      <w:r>
        <w:rPr>
          <w:w w:val="188"/>
        </w:rPr>
        <w:t>  </w:t>
      </w:r>
    </w:p>
    <w:p>
      <w:pPr>
        <w:pStyle w:val="BodyText"/>
        <w:spacing w:before="4"/>
        <w:ind w:left="14"/>
        <w:jc w:val="center"/>
      </w:pPr>
      <w:r>
        <w:rPr>
          <w:spacing w:val="-1"/>
          <w:w w:val="177"/>
        </w:rPr>
        <w:t> </w:t>
      </w:r>
      <w:r>
        <w:rPr>
          <w:spacing w:val="2"/>
          <w:w w:val="200"/>
        </w:rPr>
        <w:t> </w:t>
      </w:r>
      <w:r>
        <w:rPr>
          <w:w w:val="164"/>
        </w:rPr>
        <w:t>    </w:t>
      </w:r>
      <w:r>
        <w:rPr>
          <w:spacing w:val="-2"/>
          <w:w w:val="164"/>
        </w:rPr>
        <w:t> </w:t>
      </w:r>
      <w:r>
        <w:rPr>
          <w:spacing w:val="-1"/>
          <w:w w:val="177"/>
        </w:rPr>
        <w:t> </w:t>
      </w:r>
      <w:r>
        <w:rPr>
          <w:w w:val="170"/>
        </w:rPr>
        <w:t>   </w:t>
      </w:r>
      <w:r>
        <w:rPr/>
        <w:t> </w:t>
      </w:r>
      <w:r>
        <w:rPr>
          <w:spacing w:val="-10"/>
        </w:rPr>
        <w:t> </w:t>
      </w:r>
      <w:r>
        <w:rPr>
          <w:spacing w:val="-1"/>
          <w:w w:val="177"/>
        </w:rPr>
        <w:t> </w:t>
      </w:r>
      <w:r>
        <w:rPr>
          <w:w w:val="200"/>
        </w:rPr>
        <w:t>  </w:t>
      </w:r>
      <w:r>
        <w:rPr/>
        <w:t> </w:t>
      </w:r>
      <w:r>
        <w:rPr>
          <w:spacing w:val="-8"/>
        </w:rPr>
        <w:t> </w:t>
      </w:r>
      <w:r>
        <w:rPr>
          <w:spacing w:val="-2"/>
          <w:w w:val="266"/>
        </w:rPr>
        <w:t> </w:t>
      </w:r>
      <w:r>
        <w:rPr>
          <w:spacing w:val="1"/>
          <w:w w:val="133"/>
        </w:rPr>
        <w:t> </w:t>
      </w:r>
      <w:r>
        <w:rPr>
          <w:spacing w:val="-1"/>
          <w:w w:val="177"/>
        </w:rPr>
        <w:t> </w:t>
      </w:r>
      <w:r>
        <w:rPr>
          <w:w w:val="126"/>
        </w:rPr>
        <w:t>   </w:t>
      </w:r>
      <w:r>
        <w:rPr/>
        <w:t> </w:t>
      </w:r>
      <w:r>
        <w:rPr>
          <w:spacing w:val="-9"/>
        </w:rPr>
        <w:t> </w:t>
      </w:r>
      <w:r>
        <w:rPr>
          <w:w w:val="200"/>
        </w:rPr>
        <w:t> </w:t>
      </w:r>
      <w:r>
        <w:rPr/>
        <w:t> </w:t>
      </w:r>
      <w:r>
        <w:rPr>
          <w:spacing w:val="-13"/>
        </w:rPr>
        <w:t> </w:t>
      </w:r>
      <w:r>
        <w:rPr>
          <w:spacing w:val="1"/>
          <w:w w:val="288"/>
        </w:rPr>
        <w:t> </w:t>
      </w:r>
      <w:r>
        <w:rPr>
          <w:spacing w:val="1"/>
          <w:w w:val="133"/>
        </w:rPr>
        <w:t> </w:t>
      </w:r>
      <w:r>
        <w:rPr>
          <w:spacing w:val="-3"/>
          <w:w w:val="200"/>
        </w:rPr>
        <w:t> </w:t>
      </w:r>
      <w:r>
        <w:rPr>
          <w:spacing w:val="-1"/>
          <w:w w:val="177"/>
        </w:rPr>
        <w:t> </w:t>
      </w:r>
      <w:r>
        <w:rPr>
          <w:w w:val="140"/>
        </w:rPr>
        <w:t>   </w:t>
      </w:r>
      <w:r>
        <w:rPr>
          <w:w w:val="188"/>
        </w:rPr>
        <w:t> </w:t>
      </w:r>
      <w:r>
        <w:rPr>
          <w:spacing w:val="-1"/>
          <w:w w:val="188"/>
        </w:rPr>
        <w:t> </w:t>
      </w:r>
      <w:r>
        <w:rPr/>
        <w:t>  </w:t>
      </w:r>
      <w:r>
        <w:rPr>
          <w:spacing w:val="-8"/>
        </w:rPr>
        <w:t> </w:t>
      </w:r>
      <w:r>
        <w:rPr>
          <w:w w:val="185"/>
        </w:rPr>
        <w:t>   </w:t>
      </w:r>
      <w:r>
        <w:rPr/>
        <w:t> </w:t>
      </w:r>
      <w:r>
        <w:rPr>
          <w:spacing w:val="-10"/>
        </w:rPr>
        <w:t> </w:t>
      </w:r>
      <w:r>
        <w:rPr>
          <w:w w:val="177"/>
        </w:rPr>
        <w:t>   </w:t>
      </w:r>
      <w:r>
        <w:rPr/>
        <w:t> </w:t>
      </w:r>
      <w:r>
        <w:rPr>
          <w:spacing w:val="-9"/>
        </w:rPr>
        <w:t> </w:t>
      </w:r>
      <w:r>
        <w:rPr>
          <w:spacing w:val="-1"/>
          <w:w w:val="177"/>
        </w:rPr>
        <w:t> </w:t>
      </w:r>
      <w:r>
        <w:rPr>
          <w:spacing w:val="2"/>
          <w:w w:val="111"/>
        </w:rPr>
        <w:t> </w:t>
      </w:r>
      <w:r>
        <w:rPr>
          <w:spacing w:val="-1"/>
          <w:w w:val="177"/>
        </w:rPr>
        <w:t> </w:t>
      </w:r>
      <w:r>
        <w:rPr>
          <w:w w:val="207"/>
        </w:rPr>
        <w:t>   </w:t>
      </w:r>
      <w:r>
        <w:rPr>
          <w:w w:val="150"/>
        </w:rPr>
        <w:t>  </w:t>
      </w:r>
      <w:r>
        <w:rPr/>
        <w:t> </w:t>
      </w:r>
      <w:r>
        <w:rPr>
          <w:spacing w:val="-10"/>
        </w:rPr>
        <w:t> </w:t>
      </w:r>
      <w:r>
        <w:rPr>
          <w:w w:val="166"/>
        </w:rPr>
        <w:t>  </w:t>
      </w:r>
      <w:r>
        <w:rPr/>
        <w:t> </w:t>
      </w:r>
      <w:r>
        <w:rPr>
          <w:spacing w:val="-11"/>
        </w:rPr>
        <w:t> </w:t>
      </w:r>
      <w:r>
        <w:rPr>
          <w:spacing w:val="-1"/>
          <w:w w:val="177"/>
        </w:rPr>
        <w:t> </w:t>
      </w:r>
      <w:r>
        <w:rPr>
          <w:w w:val="170"/>
        </w:rPr>
        <w:t>  </w:t>
      </w:r>
      <w:r>
        <w:rPr>
          <w:spacing w:val="2"/>
          <w:w w:val="170"/>
        </w:rPr>
        <w:t> </w:t>
      </w:r>
      <w:r>
        <w:rPr>
          <w:spacing w:val="-1"/>
          <w:w w:val="177"/>
        </w:rPr>
        <w:t> </w:t>
      </w:r>
      <w:r>
        <w:rPr>
          <w:w w:val="207"/>
        </w:rPr>
        <w:t>   </w:t>
      </w:r>
      <w:r>
        <w:rPr>
          <w:w w:val="200"/>
        </w:rPr>
        <w:t> </w:t>
      </w:r>
      <w:r>
        <w:rPr/>
        <w:t> </w:t>
      </w:r>
      <w:r>
        <w:rPr>
          <w:spacing w:val="-10"/>
        </w:rPr>
        <w:t> </w:t>
      </w:r>
      <w:r>
        <w:rPr>
          <w:w w:val="200"/>
        </w:rPr>
        <w:t>  </w:t>
      </w:r>
      <w:r>
        <w:rPr/>
        <w:t> </w:t>
      </w:r>
      <w:r>
        <w:rPr>
          <w:spacing w:val="-8"/>
        </w:rPr>
        <w:t> </w:t>
      </w:r>
      <w:r>
        <w:rPr>
          <w:w w:val="155"/>
        </w:rPr>
        <w:t>   </w:t>
      </w:r>
      <w:r>
        <w:rPr>
          <w:spacing w:val="-2"/>
          <w:w w:val="155"/>
        </w:rPr>
        <w:t> </w:t>
      </w:r>
      <w:r>
        <w:rPr>
          <w:spacing w:val="-1"/>
          <w:w w:val="177"/>
        </w:rPr>
        <w:t> </w:t>
      </w:r>
      <w:r>
        <w:rPr>
          <w:w w:val="200"/>
        </w:rPr>
        <w:t>     </w:t>
      </w:r>
      <w:r>
        <w:rPr/>
        <w:t> </w:t>
      </w:r>
      <w:r>
        <w:rPr>
          <w:spacing w:val="-8"/>
        </w:rPr>
        <w:t> </w:t>
      </w:r>
      <w:r>
        <w:rPr>
          <w:w w:val="188"/>
        </w:rPr>
        <w:t> </w:t>
      </w:r>
      <w:r>
        <w:rPr>
          <w:spacing w:val="-1"/>
          <w:w w:val="188"/>
        </w:rPr>
        <w:t> </w:t>
      </w:r>
      <w:r>
        <w:rPr>
          <w:w w:val="111"/>
        </w:rPr>
        <w:t> </w:t>
      </w:r>
    </w:p>
    <w:p>
      <w:pPr>
        <w:pStyle w:val="BodyText"/>
        <w:rPr>
          <w:sz w:val="20"/>
        </w:rPr>
      </w:pPr>
    </w:p>
    <w:p>
      <w:pPr>
        <w:pStyle w:val="BodyText"/>
        <w:rPr>
          <w:sz w:val="20"/>
        </w:rPr>
      </w:pPr>
    </w:p>
    <w:p>
      <w:pPr>
        <w:pStyle w:val="BodyText"/>
        <w:rPr>
          <w:sz w:val="20"/>
        </w:rPr>
      </w:pPr>
    </w:p>
    <w:p>
      <w:pPr>
        <w:pStyle w:val="BodyText"/>
        <w:spacing w:before="4"/>
        <w:rPr>
          <w:sz w:val="19"/>
        </w:rPr>
      </w:pPr>
      <w:r>
        <w:rPr/>
        <w:pict>
          <v:line style="position:absolute;mso-position-horizontal-relative:page;mso-position-vertical-relative:paragraph;z-index:12592;mso-wrap-distance-left:0;mso-wrap-distance-right:0" from="85.103996pt,13.387201pt" to="229.123996pt,13.387201pt" stroked="true" strokeweight=".60004pt" strokecolor="#000000">
            <w10:wrap type="topAndBottom"/>
          </v:line>
        </w:pict>
      </w:r>
    </w:p>
    <w:p>
      <w:pPr>
        <w:spacing w:before="50"/>
        <w:ind w:left="122" w:right="127" w:firstLine="0"/>
        <w:jc w:val="left"/>
        <w:rPr>
          <w:sz w:val="20"/>
        </w:rPr>
      </w:pPr>
      <w:r>
        <w:rPr>
          <w:position w:val="9"/>
          <w:sz w:val="13"/>
        </w:rPr>
        <w:t>69 </w:t>
      </w:r>
      <w:r>
        <w:rPr>
          <w:sz w:val="20"/>
        </w:rPr>
        <w:t>Se incorporó la restricción IGARCH con el propósito de obtener una varianza estable para el pronóstico.</w:t>
      </w:r>
    </w:p>
    <w:p>
      <w:pPr>
        <w:spacing w:after="0"/>
        <w:jc w:val="left"/>
        <w:rPr>
          <w:sz w:val="20"/>
        </w:rPr>
        <w:sectPr>
          <w:pgSz w:w="12250" w:h="15850"/>
          <w:pgMar w:header="0" w:footer="1037" w:top="1360" w:bottom="1220" w:left="1580" w:right="1600"/>
        </w:sectPr>
      </w:pPr>
    </w:p>
    <w:p>
      <w:pPr>
        <w:pStyle w:val="BodyText"/>
        <w:spacing w:before="50"/>
        <w:ind w:right="18"/>
        <w:jc w:val="center"/>
      </w:pPr>
      <w:r>
        <w:rPr>
          <w:w w:val="147"/>
        </w:rPr>
        <w:t>   </w:t>
      </w:r>
      <w:r>
        <w:rPr>
          <w:w w:val="120"/>
        </w:rPr>
        <w:t>%                                        </w:t>
      </w:r>
      <w:r>
        <w:rPr>
          <w:w w:val="105"/>
        </w:rPr>
        <w:t>los  contratos a mediano plazo de </w:t>
      </w:r>
      <w:r>
        <w:rPr>
          <w:w w:val="144"/>
        </w:rPr>
        <w:t>  </w:t>
      </w:r>
      <w:r>
        <w:rPr/>
        <w:t> </w:t>
      </w:r>
      <w:r>
        <w:rPr>
          <w:w w:val="177"/>
        </w:rPr>
        <w:t> </w:t>
      </w:r>
      <w:r>
        <w:rPr>
          <w:w w:val="205"/>
        </w:rPr>
        <w:t>    </w:t>
      </w:r>
      <w:r>
        <w:rPr>
          <w:w w:val="166"/>
        </w:rPr>
        <w:t>  </w:t>
      </w:r>
      <w:r>
        <w:rPr/>
        <w:t> </w:t>
      </w:r>
      <w:r>
        <w:rPr>
          <w:w w:val="155"/>
        </w:rPr>
        <w:t>    </w:t>
      </w:r>
      <w:r>
        <w:rPr>
          <w:w w:val="173"/>
        </w:rPr>
        <w:t>     </w:t>
      </w:r>
    </w:p>
    <w:p>
      <w:pPr>
        <w:pStyle w:val="BodyText"/>
        <w:spacing w:before="137"/>
        <w:ind w:left="102"/>
      </w:pPr>
      <w:r>
        <w:rPr>
          <w:w w:val="188"/>
        </w:rPr>
        <w:t>  </w:t>
      </w:r>
      <w:r>
        <w:rPr>
          <w:spacing w:val="-1"/>
        </w:rPr>
        <w:t> </w:t>
      </w:r>
      <w:r>
        <w:rPr>
          <w:w w:val="170"/>
        </w:rPr>
        <w:t>     </w:t>
      </w:r>
      <w:r>
        <w:rPr>
          <w:spacing w:val="-2"/>
          <w:w w:val="170"/>
        </w:rPr>
        <w:t> </w:t>
      </w:r>
      <w:r>
        <w:rPr>
          <w:spacing w:val="1"/>
          <w:w w:val="177"/>
        </w:rPr>
        <w:t> </w:t>
      </w:r>
      <w:r>
        <w:rPr>
          <w:w w:val="166"/>
        </w:rPr>
        <w:t>   </w:t>
      </w:r>
      <w:r>
        <w:rPr>
          <w:spacing w:val="-2"/>
          <w:w w:val="166"/>
        </w:rPr>
        <w:t> </w:t>
      </w:r>
      <w:r>
        <w:rPr>
          <w:w w:val="177"/>
        </w:rPr>
        <w:t>  </w:t>
      </w:r>
      <w:r>
        <w:rPr/>
        <w:t> </w:t>
      </w:r>
      <w:r>
        <w:rPr>
          <w:w w:val="1"/>
        </w:rPr>
        <w:t> </w:t>
      </w:r>
      <w:r>
        <w:rPr/>
        <w:t>  </w:t>
      </w:r>
      <w:r>
        <w:rPr>
          <w:spacing w:val="-1"/>
          <w:w w:val="177"/>
        </w:rPr>
        <w:t> </w:t>
      </w:r>
      <w:r>
        <w:rPr>
          <w:w w:val="200"/>
        </w:rPr>
        <w:t>  </w:t>
      </w:r>
      <w:r>
        <w:rPr>
          <w:spacing w:val="2"/>
        </w:rPr>
        <w:t> </w:t>
      </w:r>
      <w:r>
        <w:rPr>
          <w:spacing w:val="-1"/>
          <w:w w:val="177"/>
        </w:rPr>
        <w:t> </w:t>
      </w:r>
      <w:r>
        <w:rPr>
          <w:w w:val="111"/>
        </w:rPr>
        <w:t> </w:t>
      </w:r>
      <w:r>
        <w:rPr/>
        <w:t> </w:t>
      </w:r>
      <w:r>
        <w:rPr>
          <w:w w:val="311"/>
        </w:rPr>
        <w:t> </w:t>
      </w:r>
      <w:r>
        <w:rPr>
          <w:spacing w:val="-1"/>
          <w:w w:val="177"/>
        </w:rPr>
        <w:t> </w:t>
      </w:r>
      <w:r>
        <w:rPr>
          <w:w w:val="155"/>
        </w:rPr>
        <w:t> </w:t>
      </w:r>
      <w:r>
        <w:rPr>
          <w:spacing w:val="-2"/>
          <w:w w:val="155"/>
        </w:rPr>
        <w:t> </w:t>
      </w:r>
      <w:r>
        <w:rPr>
          <w:spacing w:val="-1"/>
          <w:w w:val="177"/>
        </w:rPr>
        <w:t> </w:t>
      </w:r>
      <w:r>
        <w:rPr>
          <w:w w:val="200"/>
        </w:rPr>
        <w:t>  </w:t>
      </w:r>
      <w:r>
        <w:rPr/>
        <w:t> </w:t>
      </w:r>
      <w:r>
        <w:rPr>
          <w:spacing w:val="2"/>
          <w:w w:val="200"/>
        </w:rPr>
        <w:t> </w:t>
      </w:r>
      <w:r>
        <w:rPr>
          <w:w w:val="155"/>
        </w:rPr>
        <w:t> </w:t>
      </w:r>
      <w:r>
        <w:rPr>
          <w:spacing w:val="-2"/>
          <w:w w:val="155"/>
        </w:rPr>
        <w:t> </w:t>
      </w:r>
      <w:r>
        <w:rPr>
          <w:w w:val="126"/>
        </w:rPr>
        <w:t>   </w:t>
      </w:r>
      <w:r>
        <w:rPr>
          <w:spacing w:val="-1"/>
          <w:w w:val="177"/>
        </w:rPr>
        <w:t> </w:t>
      </w:r>
      <w:r>
        <w:rPr>
          <w:w w:val="166"/>
        </w:rPr>
        <w:t>   </w:t>
      </w:r>
    </w:p>
    <w:p>
      <w:pPr>
        <w:pStyle w:val="BodyText"/>
      </w:pPr>
    </w:p>
    <w:p>
      <w:pPr>
        <w:pStyle w:val="BodyText"/>
        <w:spacing w:before="9"/>
        <w:rPr>
          <w:sz w:val="23"/>
        </w:rPr>
      </w:pPr>
    </w:p>
    <w:p>
      <w:pPr>
        <w:pStyle w:val="BodyText"/>
        <w:spacing w:after="8"/>
        <w:ind w:right="18"/>
        <w:jc w:val="center"/>
      </w:pPr>
      <w:bookmarkStart w:name="_bookmark123" w:id="169"/>
      <w:bookmarkEnd w:id="169"/>
      <w:r>
        <w:rPr/>
      </w:r>
      <w:r>
        <w:rPr/>
        <w:t>Figura 4. 4: Proyección de la producción de gas natural (en Bpc) hasta 2016</w:t>
      </w:r>
    </w:p>
    <w:p>
      <w:pPr>
        <w:pStyle w:val="BodyText"/>
        <w:ind w:left="2850"/>
        <w:rPr>
          <w:sz w:val="20"/>
        </w:rPr>
      </w:pPr>
      <w:r>
        <w:rPr>
          <w:sz w:val="20"/>
        </w:rPr>
        <w:drawing>
          <wp:inline distT="0" distB="0" distL="0" distR="0">
            <wp:extent cx="2554620" cy="1571339"/>
            <wp:effectExtent l="0" t="0" r="0" b="0"/>
            <wp:docPr id="69" name="image128.jpeg" descr=""/>
            <wp:cNvGraphicFramePr>
              <a:graphicFrameLocks noChangeAspect="1"/>
            </wp:cNvGraphicFramePr>
            <a:graphic>
              <a:graphicData uri="http://schemas.openxmlformats.org/drawingml/2006/picture">
                <pic:pic>
                  <pic:nvPicPr>
                    <pic:cNvPr id="70" name="image128.jpeg"/>
                    <pic:cNvPicPr/>
                  </pic:nvPicPr>
                  <pic:blipFill>
                    <a:blip r:embed="rId142" cstate="print"/>
                    <a:stretch>
                      <a:fillRect/>
                    </a:stretch>
                  </pic:blipFill>
                  <pic:spPr>
                    <a:xfrm>
                      <a:off x="0" y="0"/>
                      <a:ext cx="2554620" cy="1571339"/>
                    </a:xfrm>
                    <a:prstGeom prst="rect">
                      <a:avLst/>
                    </a:prstGeom>
                  </pic:spPr>
                </pic:pic>
              </a:graphicData>
            </a:graphic>
          </wp:inline>
        </w:drawing>
      </w:r>
      <w:r>
        <w:rPr>
          <w:sz w:val="20"/>
        </w:rPr>
      </w:r>
    </w:p>
    <w:p>
      <w:pPr>
        <w:spacing w:before="19"/>
        <w:ind w:left="0" w:right="25" w:firstLine="0"/>
        <w:jc w:val="center"/>
        <w:rPr>
          <w:sz w:val="20"/>
        </w:rPr>
      </w:pPr>
      <w:r>
        <w:rPr>
          <w:sz w:val="20"/>
        </w:rPr>
        <w:t>Fuente: Basado en supuestos de proyección de YPFB</w:t>
      </w:r>
    </w:p>
    <w:p>
      <w:pPr>
        <w:pStyle w:val="BodyText"/>
        <w:rPr>
          <w:sz w:val="20"/>
        </w:rPr>
      </w:pPr>
    </w:p>
    <w:p>
      <w:pPr>
        <w:pStyle w:val="BodyText"/>
        <w:spacing w:before="9"/>
        <w:rPr>
          <w:sz w:val="20"/>
        </w:rPr>
      </w:pPr>
    </w:p>
    <w:p>
      <w:pPr>
        <w:pStyle w:val="ListParagraph"/>
        <w:numPr>
          <w:ilvl w:val="0"/>
          <w:numId w:val="17"/>
        </w:numPr>
        <w:tabs>
          <w:tab w:pos="1685" w:val="left" w:leader="none"/>
          <w:tab w:pos="1686" w:val="left" w:leader="none"/>
        </w:tabs>
        <w:spacing w:line="240" w:lineRule="auto" w:before="0" w:after="0"/>
        <w:ind w:left="1686" w:right="0" w:hanging="620"/>
        <w:jc w:val="left"/>
        <w:rPr>
          <w:i/>
          <w:sz w:val="24"/>
        </w:rPr>
      </w:pPr>
      <w:r>
        <w:rPr>
          <w:i/>
          <w:sz w:val="24"/>
        </w:rPr>
        <w:t>Proyección de la brecha del</w:t>
      </w:r>
      <w:r>
        <w:rPr>
          <w:i/>
          <w:spacing w:val="-6"/>
          <w:sz w:val="24"/>
        </w:rPr>
        <w:t> </w:t>
      </w:r>
      <w:r>
        <w:rPr>
          <w:i/>
          <w:sz w:val="24"/>
        </w:rPr>
        <w:t>producto</w:t>
      </w:r>
    </w:p>
    <w:p>
      <w:pPr>
        <w:pStyle w:val="BodyText"/>
        <w:spacing w:before="4"/>
        <w:rPr>
          <w:i/>
          <w:sz w:val="29"/>
        </w:rPr>
      </w:pPr>
    </w:p>
    <w:p>
      <w:pPr>
        <w:pStyle w:val="BodyText"/>
        <w:spacing w:line="360" w:lineRule="auto" w:before="1"/>
        <w:ind w:left="102" w:right="118" w:firstLine="707"/>
        <w:jc w:val="both"/>
      </w:pPr>
      <w:r>
        <w:rPr/>
        <w:t>Para la estimación de la brecha del producto (2013 – 2017), se consideró el crecimiento proyectado para el producto real según el Ministerio de Economía y Finanzas Públicas de Bolivia (5% para el 2013) y las estimaciones del FMI para años posteriores  (5% anual hasta el</w:t>
      </w:r>
      <w:r>
        <w:rPr>
          <w:spacing w:val="-6"/>
        </w:rPr>
        <w:t> </w:t>
      </w:r>
      <w:r>
        <w:rPr/>
        <w:t>2018).</w:t>
      </w:r>
    </w:p>
    <w:p>
      <w:pPr>
        <w:pStyle w:val="BodyText"/>
        <w:spacing w:before="4" w:after="7"/>
        <w:ind w:right="18"/>
        <w:jc w:val="center"/>
      </w:pPr>
      <w:bookmarkStart w:name="_bookmark124" w:id="170"/>
      <w:bookmarkEnd w:id="170"/>
      <w:r>
        <w:rPr/>
      </w:r>
      <w:r>
        <w:rPr/>
        <w:t>Figura 4. 5: Proyección de la brecha del producto hasta 2017</w:t>
      </w:r>
    </w:p>
    <w:p>
      <w:pPr>
        <w:pStyle w:val="BodyText"/>
        <w:ind w:left="2436"/>
        <w:rPr>
          <w:sz w:val="20"/>
        </w:rPr>
      </w:pPr>
      <w:r>
        <w:rPr>
          <w:sz w:val="20"/>
        </w:rPr>
        <w:drawing>
          <wp:inline distT="0" distB="0" distL="0" distR="0">
            <wp:extent cx="2666672" cy="1551622"/>
            <wp:effectExtent l="0" t="0" r="0" b="0"/>
            <wp:docPr id="71" name="image294.jpeg" descr=""/>
            <wp:cNvGraphicFramePr>
              <a:graphicFrameLocks noChangeAspect="1"/>
            </wp:cNvGraphicFramePr>
            <a:graphic>
              <a:graphicData uri="http://schemas.openxmlformats.org/drawingml/2006/picture">
                <pic:pic>
                  <pic:nvPicPr>
                    <pic:cNvPr id="72" name="image294.jpeg"/>
                    <pic:cNvPicPr/>
                  </pic:nvPicPr>
                  <pic:blipFill>
                    <a:blip r:embed="rId310" cstate="print"/>
                    <a:stretch>
                      <a:fillRect/>
                    </a:stretch>
                  </pic:blipFill>
                  <pic:spPr>
                    <a:xfrm>
                      <a:off x="0" y="0"/>
                      <a:ext cx="2666672" cy="1551622"/>
                    </a:xfrm>
                    <a:prstGeom prst="rect">
                      <a:avLst/>
                    </a:prstGeom>
                  </pic:spPr>
                </pic:pic>
              </a:graphicData>
            </a:graphic>
          </wp:inline>
        </w:drawing>
      </w:r>
      <w:r>
        <w:rPr>
          <w:sz w:val="20"/>
        </w:rPr>
      </w:r>
    </w:p>
    <w:p>
      <w:pPr>
        <w:spacing w:before="133"/>
        <w:ind w:left="0" w:right="26" w:firstLine="0"/>
        <w:jc w:val="center"/>
        <w:rPr>
          <w:sz w:val="20"/>
        </w:rPr>
      </w:pPr>
      <w:r>
        <w:rPr>
          <w:sz w:val="20"/>
        </w:rPr>
        <w:t>Fuente: Basado en supuestos del Ministerio de Economía y Finanzas de Bolivia y el FMI (2013)</w:t>
      </w:r>
    </w:p>
    <w:p>
      <w:pPr>
        <w:pStyle w:val="BodyText"/>
        <w:rPr>
          <w:sz w:val="20"/>
        </w:rPr>
      </w:pPr>
    </w:p>
    <w:p>
      <w:pPr>
        <w:pStyle w:val="BodyText"/>
        <w:rPr>
          <w:sz w:val="16"/>
        </w:rPr>
      </w:pPr>
    </w:p>
    <w:p>
      <w:pPr>
        <w:pStyle w:val="BodyText"/>
        <w:spacing w:line="360" w:lineRule="auto"/>
        <w:ind w:left="102" w:right="117" w:firstLine="707"/>
        <w:jc w:val="both"/>
      </w:pPr>
      <w:r>
        <w:rPr/>
        <w:t>Las proyecciones del PIB real reflejaron un prospecto de crecimiento en torno a su producto potencial, lo cual concuerda con los resultados de Valdivia &amp; Yujra (2009), quienes mostraron que la economía boliviana presenta una tasa natural de crecimiento del 5%, para el mediano y largo plazo, con base en el período trimestral 1990 – 2008 al  emplear el filtro de Cristiano y</w:t>
      </w:r>
      <w:r>
        <w:rPr>
          <w:spacing w:val="-12"/>
        </w:rPr>
        <w:t> </w:t>
      </w:r>
      <w:r>
        <w:rPr/>
        <w:t>Fitzgerald.</w:t>
      </w:r>
    </w:p>
    <w:p>
      <w:pPr>
        <w:spacing w:after="0" w:line="360" w:lineRule="auto"/>
        <w:jc w:val="both"/>
        <w:sectPr>
          <w:pgSz w:w="12250" w:h="15850"/>
          <w:pgMar w:header="0" w:footer="1037" w:top="1360" w:bottom="1220" w:left="1600" w:right="1580"/>
        </w:sectPr>
      </w:pPr>
    </w:p>
    <w:p>
      <w:pPr>
        <w:pStyle w:val="ListParagraph"/>
        <w:numPr>
          <w:ilvl w:val="0"/>
          <w:numId w:val="17"/>
        </w:numPr>
        <w:tabs>
          <w:tab w:pos="1685" w:val="left" w:leader="none"/>
          <w:tab w:pos="1686" w:val="left" w:leader="none"/>
        </w:tabs>
        <w:spacing w:line="240" w:lineRule="auto" w:before="48" w:after="0"/>
        <w:ind w:left="1686" w:right="0" w:hanging="593"/>
        <w:jc w:val="left"/>
        <w:rPr>
          <w:i/>
          <w:sz w:val="24"/>
        </w:rPr>
      </w:pPr>
      <w:r>
        <w:rPr>
          <w:i/>
          <w:sz w:val="24"/>
        </w:rPr>
        <w:t>Proyección del costo real de la deuda</w:t>
      </w:r>
      <w:r>
        <w:rPr>
          <w:i/>
          <w:spacing w:val="-5"/>
          <w:sz w:val="24"/>
        </w:rPr>
        <w:t> </w:t>
      </w:r>
      <w:r>
        <w:rPr>
          <w:i/>
          <w:sz w:val="24"/>
        </w:rPr>
        <w:t>pública</w:t>
      </w:r>
    </w:p>
    <w:p>
      <w:pPr>
        <w:pStyle w:val="BodyText"/>
        <w:spacing w:before="4"/>
        <w:rPr>
          <w:i/>
          <w:sz w:val="29"/>
        </w:rPr>
      </w:pPr>
    </w:p>
    <w:p>
      <w:pPr>
        <w:pStyle w:val="BodyText"/>
        <w:spacing w:line="360" w:lineRule="auto" w:before="1"/>
        <w:ind w:left="102" w:right="118" w:firstLine="707"/>
        <w:jc w:val="both"/>
      </w:pPr>
      <w:r>
        <w:rPr/>
        <w:t>Con base a la prospectiva de la tasa de crecimiento del producto real (FMI, </w:t>
      </w:r>
      <w:r>
        <w:rPr>
          <w:i/>
        </w:rPr>
        <w:t>World </w:t>
      </w:r>
      <w:r>
        <w:rPr>
          <w:i/>
        </w:rPr>
        <w:t>Economic Outlook</w:t>
      </w:r>
      <w:r>
        <w:rPr/>
        <w:t>), se estimó un modelo VAR irrestricto para obtener un pronóstico multivariado con el fin de proyectar el costo real estimado de la deuda pública, incluyéndose las siguientes</w:t>
      </w:r>
      <w:r>
        <w:rPr>
          <w:spacing w:val="-9"/>
        </w:rPr>
        <w:t> </w:t>
      </w:r>
      <w:r>
        <w:rPr/>
        <w:t>variables:</w:t>
      </w:r>
    </w:p>
    <w:p>
      <w:pPr>
        <w:pStyle w:val="BodyText"/>
        <w:tabs>
          <w:tab w:pos="1864" w:val="left" w:leader="none"/>
        </w:tabs>
        <w:spacing w:line="285" w:lineRule="exact"/>
        <w:ind w:right="17"/>
        <w:jc w:val="center"/>
      </w:pPr>
      <w:r>
        <w:rPr>
          <w:rFonts w:ascii="Cambria Math"/>
          <w:spacing w:val="4"/>
          <w:w w:val="219"/>
        </w:rPr>
        <w:t> </w:t>
      </w:r>
      <w:r>
        <w:rPr>
          <w:rFonts w:ascii="Cambria Math"/>
          <w:w w:val="177"/>
          <w:position w:val="-4"/>
          <w:sz w:val="17"/>
        </w:rPr>
        <w:t> </w:t>
      </w:r>
      <w:r>
        <w:rPr>
          <w:rFonts w:ascii="Cambria Math"/>
          <w:position w:val="-4"/>
          <w:sz w:val="17"/>
        </w:rPr>
        <w:t> </w:t>
      </w:r>
      <w:r>
        <w:rPr>
          <w:rFonts w:ascii="Cambria Math"/>
          <w:spacing w:val="2"/>
          <w:position w:val="-4"/>
          <w:sz w:val="17"/>
        </w:rPr>
        <w:t> </w:t>
      </w:r>
      <w:r>
        <w:rPr>
          <w:rFonts w:ascii="Cambria Math"/>
          <w:w w:val="339"/>
        </w:rPr>
        <w:t> </w:t>
      </w:r>
      <w:r>
        <w:rPr>
          <w:rFonts w:ascii="Cambria Math"/>
          <w:spacing w:val="12"/>
        </w:rPr>
        <w:t> </w:t>
      </w:r>
      <w:r>
        <w:rPr>
          <w:rFonts w:ascii="Cambria Math"/>
          <w:position w:val="1"/>
        </w:rPr>
        <w:t>{               </w:t>
      </w:r>
      <w:r>
        <w:rPr>
          <w:rFonts w:ascii="Cambria Math"/>
          <w:spacing w:val="21"/>
          <w:position w:val="1"/>
        </w:rPr>
        <w:t> </w:t>
      </w:r>
      <w:r>
        <w:rPr>
          <w:rFonts w:ascii="Cambria Math"/>
          <w:position w:val="1"/>
        </w:rPr>
        <w:t>}</w:t>
        <w:tab/>
      </w:r>
      <w:r>
        <w:rPr/>
        <w:t>(4.11)</w:t>
      </w:r>
    </w:p>
    <w:p>
      <w:pPr>
        <w:pStyle w:val="BodyText"/>
        <w:spacing w:line="364" w:lineRule="auto" w:before="146"/>
        <w:ind w:left="102" w:right="118" w:firstLine="707"/>
        <w:jc w:val="both"/>
      </w:pPr>
      <w:r>
        <w:rPr/>
        <w:t>Donde: es la tasa de crecimiento real del producto; es el costo real de la deuda pública;      corresponde a la tasa de inflación como variación del IPC.</w:t>
      </w:r>
    </w:p>
    <w:p>
      <w:pPr>
        <w:pStyle w:val="BodyText"/>
        <w:spacing w:line="360" w:lineRule="auto" w:before="6"/>
        <w:ind w:left="102" w:right="120" w:firstLine="707"/>
        <w:jc w:val="both"/>
      </w:pPr>
      <w:r>
        <w:rPr/>
        <w:t>Como criterios exógenos de proyección, se consideró la inflación objetivo para el 2013 (según el Banco Central de Bolivia: 4.8% anual) y las estimaciones inflacionarias del FMI para años posteriores (alrededor del 4% anual hasta el 2018).</w:t>
      </w:r>
    </w:p>
    <w:p>
      <w:pPr>
        <w:pStyle w:val="BodyText"/>
      </w:pPr>
    </w:p>
    <w:p>
      <w:pPr>
        <w:pStyle w:val="BodyText"/>
        <w:spacing w:before="140" w:after="8"/>
        <w:ind w:right="16"/>
        <w:jc w:val="center"/>
      </w:pPr>
      <w:bookmarkStart w:name="_bookmark125" w:id="171"/>
      <w:bookmarkEnd w:id="171"/>
      <w:r>
        <w:rPr/>
      </w:r>
      <w:r>
        <w:rPr/>
        <w:t>Figura 4. 6: Proyección del costo real de la deuda pública</w:t>
      </w:r>
    </w:p>
    <w:p>
      <w:pPr>
        <w:pStyle w:val="BodyText"/>
        <w:ind w:left="2601"/>
        <w:rPr>
          <w:sz w:val="20"/>
        </w:rPr>
      </w:pPr>
      <w:r>
        <w:rPr>
          <w:sz w:val="20"/>
        </w:rPr>
        <w:drawing>
          <wp:inline distT="0" distB="0" distL="0" distR="0">
            <wp:extent cx="2432659" cy="1684877"/>
            <wp:effectExtent l="0" t="0" r="0" b="0"/>
            <wp:docPr id="73" name="image295.jpeg" descr=""/>
            <wp:cNvGraphicFramePr>
              <a:graphicFrameLocks noChangeAspect="1"/>
            </wp:cNvGraphicFramePr>
            <a:graphic>
              <a:graphicData uri="http://schemas.openxmlformats.org/drawingml/2006/picture">
                <pic:pic>
                  <pic:nvPicPr>
                    <pic:cNvPr id="74" name="image295.jpeg"/>
                    <pic:cNvPicPr/>
                  </pic:nvPicPr>
                  <pic:blipFill>
                    <a:blip r:embed="rId311" cstate="print"/>
                    <a:stretch>
                      <a:fillRect/>
                    </a:stretch>
                  </pic:blipFill>
                  <pic:spPr>
                    <a:xfrm>
                      <a:off x="0" y="0"/>
                      <a:ext cx="2432659" cy="1684877"/>
                    </a:xfrm>
                    <a:prstGeom prst="rect">
                      <a:avLst/>
                    </a:prstGeom>
                  </pic:spPr>
                </pic:pic>
              </a:graphicData>
            </a:graphic>
          </wp:inline>
        </w:drawing>
      </w:r>
      <w:r>
        <w:rPr>
          <w:sz w:val="20"/>
        </w:rPr>
      </w:r>
    </w:p>
    <w:p>
      <w:pPr>
        <w:spacing w:before="11"/>
        <w:ind w:left="0" w:right="17" w:firstLine="0"/>
        <w:jc w:val="center"/>
        <w:rPr>
          <w:sz w:val="20"/>
        </w:rPr>
      </w:pPr>
      <w:r>
        <w:rPr>
          <w:sz w:val="20"/>
        </w:rPr>
        <w:t>Fuente: Estimaciones propias</w:t>
      </w:r>
    </w:p>
    <w:p>
      <w:pPr>
        <w:pStyle w:val="BodyText"/>
        <w:rPr>
          <w:sz w:val="20"/>
        </w:rPr>
      </w:pPr>
    </w:p>
    <w:p>
      <w:pPr>
        <w:pStyle w:val="BodyText"/>
        <w:rPr>
          <w:sz w:val="16"/>
        </w:rPr>
      </w:pPr>
    </w:p>
    <w:p>
      <w:pPr>
        <w:pStyle w:val="BodyText"/>
        <w:spacing w:line="360" w:lineRule="auto"/>
        <w:ind w:left="102" w:right="120" w:firstLine="707"/>
        <w:jc w:val="both"/>
      </w:pPr>
      <w:r>
        <w:rPr/>
        <w:t>Se utilizó la estimación fuera de muestra para el período 2012, así por ejemplo a Dic./2012 el costo real estimado de la deuda pública fue de 2.43% anual y el  dato observado fue del 2.36% anual (después de ajuste estacional).</w:t>
      </w:r>
    </w:p>
    <w:p>
      <w:pPr>
        <w:pStyle w:val="BodyText"/>
        <w:spacing w:before="7"/>
        <w:rPr>
          <w:sz w:val="21"/>
        </w:rPr>
      </w:pPr>
    </w:p>
    <w:p>
      <w:pPr>
        <w:pStyle w:val="Heading4"/>
        <w:numPr>
          <w:ilvl w:val="1"/>
          <w:numId w:val="15"/>
        </w:numPr>
        <w:tabs>
          <w:tab w:pos="677" w:val="left" w:leader="none"/>
          <w:tab w:pos="678" w:val="left" w:leader="none"/>
        </w:tabs>
        <w:spacing w:line="240" w:lineRule="auto" w:before="0" w:after="0"/>
        <w:ind w:left="678" w:right="0" w:hanging="576"/>
        <w:jc w:val="left"/>
      </w:pPr>
      <w:bookmarkStart w:name="_bookmark126" w:id="172"/>
      <w:bookmarkEnd w:id="172"/>
      <w:r>
        <w:rPr>
          <w:b w:val="0"/>
        </w:rPr>
      </w:r>
      <w:bookmarkStart w:name="_bookmark126" w:id="173"/>
      <w:bookmarkEnd w:id="173"/>
      <w:r>
        <w:rPr/>
        <w:t>Hallazgos</w:t>
      </w:r>
      <w:r>
        <w:rPr/>
        <w:t> y</w:t>
      </w:r>
      <w:r>
        <w:rPr>
          <w:spacing w:val="-5"/>
        </w:rPr>
        <w:t> </w:t>
      </w:r>
      <w:r>
        <w:rPr/>
        <w:t>resultados</w:t>
      </w:r>
    </w:p>
    <w:p>
      <w:pPr>
        <w:pStyle w:val="BodyText"/>
        <w:rPr>
          <w:b/>
        </w:rPr>
      </w:pPr>
    </w:p>
    <w:p>
      <w:pPr>
        <w:pStyle w:val="BodyText"/>
        <w:spacing w:line="360" w:lineRule="auto" w:before="194"/>
        <w:ind w:left="102" w:right="115" w:firstLine="707"/>
        <w:jc w:val="both"/>
      </w:pPr>
      <w:r>
        <w:rPr/>
        <w:t>El primer paso fue determinar el orden de integración de las variables (raíz unitaria) a través de tres pruebas convencionales: Dickey Fuller Aumentada (DFA), Phillips – Perron (Ph-P)  y Kwiatkowski-Phillips-Schmidt-Shin  (KPSS).  De acuerdo  con  el  anexo  4.1, las</w:t>
      </w:r>
    </w:p>
    <w:p>
      <w:pPr>
        <w:spacing w:after="0" w:line="360" w:lineRule="auto"/>
        <w:jc w:val="both"/>
        <w:sectPr>
          <w:pgSz w:w="12250" w:h="15850"/>
          <w:pgMar w:header="0" w:footer="1037" w:top="1360" w:bottom="1220" w:left="1600" w:right="1580"/>
        </w:sectPr>
      </w:pPr>
    </w:p>
    <w:p>
      <w:pPr>
        <w:pStyle w:val="BodyText"/>
        <w:spacing w:line="328" w:lineRule="auto" w:before="50"/>
        <w:ind w:left="122" w:right="148"/>
      </w:pPr>
      <w:r>
        <w:rPr/>
        <w:t>variables consideradas fueron estacionarias en primeras diferencias [I(1)] con excepción de la brecha del producto [I(0)]</w:t>
      </w:r>
      <w:r>
        <w:rPr>
          <w:position w:val="11"/>
          <w:sz w:val="16"/>
        </w:rPr>
        <w:t>70</w:t>
      </w:r>
      <w:r>
        <w:rPr/>
        <w:t>.</w:t>
      </w:r>
    </w:p>
    <w:p>
      <w:pPr>
        <w:pStyle w:val="BodyText"/>
        <w:spacing w:line="360" w:lineRule="auto" w:before="26"/>
        <w:ind w:left="122" w:right="136" w:firstLine="707"/>
        <w:jc w:val="both"/>
      </w:pPr>
      <w:r>
        <w:rPr/>
        <w:t>Las pruebas mencionadas de estacionariedad sobre el balance primario (con y sin  gas natural) al igual que sobre la deuda pública reflejaron que la posición fiscal de Bolivia no es estacionaria, lo cual se indica como un elemento de insostenibilidad fiscal (Hamilton &amp; Flavin, 1986); sin embargo, con el propósito de confirmar la sostenibilidad o insostenibilidad de la posición fiscal de Bolivia se necesita de un período más amplio para observar una relación de largo</w:t>
      </w:r>
      <w:r>
        <w:rPr>
          <w:spacing w:val="-8"/>
        </w:rPr>
        <w:t> </w:t>
      </w:r>
      <w:r>
        <w:rPr/>
        <w:t>plazo..</w:t>
      </w:r>
    </w:p>
    <w:p>
      <w:pPr>
        <w:pStyle w:val="BodyText"/>
        <w:spacing w:line="362" w:lineRule="auto" w:before="7"/>
        <w:ind w:left="122" w:right="136" w:firstLine="707"/>
        <w:jc w:val="both"/>
      </w:pPr>
      <w:r>
        <w:rPr/>
        <w:t>Por otra parte, el orden de integración de las variables permitió analizar la  causalidad de las variables en el sentido de Granger con dos especificaciones de uno a  cinco  rezagos     :  de  corto  plazo  (variables  en  diferencias)  y  de  largo  plazo  (variables en niveles con el mismo orden de integración) (</w:t>
      </w:r>
      <w:r>
        <w:rPr>
          <w:i/>
        </w:rPr>
        <w:t>cuadro</w:t>
      </w:r>
      <w:r>
        <w:rPr>
          <w:i/>
          <w:spacing w:val="-9"/>
        </w:rPr>
        <w:t> </w:t>
      </w:r>
      <w:r>
        <w:rPr>
          <w:i/>
        </w:rPr>
        <w:t>4.5</w:t>
      </w:r>
      <w:r>
        <w:rPr/>
        <w:t>):</w:t>
      </w:r>
    </w:p>
    <w:p>
      <w:pPr>
        <w:pStyle w:val="BodyText"/>
      </w:pPr>
    </w:p>
    <w:p>
      <w:pPr>
        <w:pStyle w:val="BodyText"/>
        <w:spacing w:before="138"/>
        <w:ind w:left="573" w:right="148"/>
      </w:pPr>
      <w:bookmarkStart w:name="_bookmark127" w:id="174"/>
      <w:bookmarkEnd w:id="174"/>
      <w:r>
        <w:rPr/>
      </w:r>
      <w:r>
        <w:rPr/>
        <w:t>Cuadro 4. 5: Causalidad en el sentido de Granger para la posición fiscal de Bolivia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7"/>
        </w:rPr>
      </w:pPr>
    </w:p>
    <w:tbl>
      <w:tblPr>
        <w:tblW w:w="0" w:type="auto"/>
        <w:jc w:val="left"/>
        <w:tblInd w:w="15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180"/>
        <w:gridCol w:w="1994"/>
        <w:gridCol w:w="1316"/>
        <w:gridCol w:w="2333"/>
      </w:tblGrid>
      <w:tr>
        <w:trPr>
          <w:trHeight w:val="378" w:hRule="exact"/>
        </w:trPr>
        <w:tc>
          <w:tcPr>
            <w:tcW w:w="3180" w:type="dxa"/>
            <w:vMerge w:val="restart"/>
            <w:tcBorders>
              <w:right w:val="single" w:sz="4" w:space="0" w:color="000000"/>
            </w:tcBorders>
          </w:tcPr>
          <w:p>
            <w:pPr>
              <w:pStyle w:val="TableParagraph"/>
              <w:jc w:val="left"/>
              <w:rPr>
                <w:sz w:val="18"/>
              </w:rPr>
            </w:pPr>
          </w:p>
          <w:p>
            <w:pPr>
              <w:pStyle w:val="TableParagraph"/>
              <w:jc w:val="left"/>
              <w:rPr>
                <w:sz w:val="18"/>
              </w:rPr>
            </w:pPr>
          </w:p>
          <w:p>
            <w:pPr>
              <w:pStyle w:val="TableParagraph"/>
              <w:spacing w:before="130"/>
              <w:ind w:left="584"/>
              <w:jc w:val="left"/>
              <w:rPr>
                <w:rFonts w:ascii="Constantia"/>
                <w:b/>
                <w:sz w:val="19"/>
              </w:rPr>
            </w:pPr>
            <w:r>
              <w:rPr>
                <w:rFonts w:ascii="Constantia"/>
                <w:b/>
                <w:sz w:val="19"/>
              </w:rPr>
              <w:t>Variables explicativas:</w:t>
            </w:r>
          </w:p>
        </w:tc>
        <w:tc>
          <w:tcPr>
            <w:tcW w:w="5643" w:type="dxa"/>
            <w:gridSpan w:val="3"/>
            <w:tcBorders>
              <w:left w:val="single" w:sz="4" w:space="0" w:color="000000"/>
              <w:bottom w:val="double" w:sz="4" w:space="0" w:color="000000"/>
            </w:tcBorders>
          </w:tcPr>
          <w:p>
            <w:pPr>
              <w:pStyle w:val="TableParagraph"/>
              <w:spacing w:before="71"/>
              <w:ind w:left="1703"/>
              <w:jc w:val="left"/>
              <w:rPr>
                <w:rFonts w:ascii="Constantia" w:hAnsi="Constantia"/>
                <w:b/>
                <w:sz w:val="19"/>
              </w:rPr>
            </w:pPr>
            <w:r>
              <w:rPr>
                <w:rFonts w:ascii="Constantia" w:hAnsi="Constantia"/>
                <w:b/>
                <w:sz w:val="19"/>
              </w:rPr>
              <w:t>Posición fiscal de Bolivia</w:t>
            </w:r>
          </w:p>
        </w:tc>
      </w:tr>
      <w:tr>
        <w:trPr>
          <w:trHeight w:val="554" w:hRule="exact"/>
        </w:trPr>
        <w:tc>
          <w:tcPr>
            <w:tcW w:w="3180" w:type="dxa"/>
            <w:vMerge/>
            <w:tcBorders>
              <w:bottom w:val="double" w:sz="4" w:space="0" w:color="000000"/>
              <w:right w:val="single" w:sz="4" w:space="0" w:color="000000"/>
            </w:tcBorders>
          </w:tcPr>
          <w:p>
            <w:pPr/>
          </w:p>
        </w:tc>
        <w:tc>
          <w:tcPr>
            <w:tcW w:w="1994" w:type="dxa"/>
            <w:tcBorders>
              <w:top w:val="double" w:sz="4" w:space="0" w:color="000000"/>
              <w:left w:val="single" w:sz="4" w:space="0" w:color="000000"/>
              <w:bottom w:val="double" w:sz="4" w:space="0" w:color="000000"/>
            </w:tcBorders>
          </w:tcPr>
          <w:p>
            <w:pPr>
              <w:pStyle w:val="TableParagraph"/>
              <w:spacing w:before="151"/>
              <w:ind w:left="423"/>
              <w:jc w:val="left"/>
              <w:rPr>
                <w:rFonts w:ascii="Constantia"/>
                <w:b/>
                <w:sz w:val="19"/>
              </w:rPr>
            </w:pPr>
            <w:r>
              <w:rPr>
                <w:rFonts w:ascii="Constantia"/>
                <w:b/>
                <w:sz w:val="19"/>
              </w:rPr>
              <w:t>BPNG/ PIB</w:t>
            </w:r>
          </w:p>
        </w:tc>
        <w:tc>
          <w:tcPr>
            <w:tcW w:w="1316" w:type="dxa"/>
            <w:tcBorders>
              <w:top w:val="double" w:sz="4" w:space="0" w:color="000000"/>
              <w:bottom w:val="double" w:sz="4" w:space="0" w:color="000000"/>
            </w:tcBorders>
          </w:tcPr>
          <w:p>
            <w:pPr>
              <w:pStyle w:val="TableParagraph"/>
              <w:spacing w:before="151"/>
              <w:ind w:left="244" w:right="300"/>
              <w:rPr>
                <w:rFonts w:ascii="Constantia"/>
                <w:b/>
                <w:sz w:val="19"/>
              </w:rPr>
            </w:pPr>
            <w:r>
              <w:rPr>
                <w:rFonts w:ascii="Constantia"/>
                <w:b/>
                <w:sz w:val="19"/>
              </w:rPr>
              <w:t>BP/ PIB</w:t>
            </w:r>
          </w:p>
        </w:tc>
        <w:tc>
          <w:tcPr>
            <w:tcW w:w="2333" w:type="dxa"/>
            <w:tcBorders>
              <w:top w:val="double" w:sz="4" w:space="0" w:color="000000"/>
              <w:bottom w:val="double" w:sz="4" w:space="0" w:color="000000"/>
            </w:tcBorders>
          </w:tcPr>
          <w:p>
            <w:pPr>
              <w:pStyle w:val="TableParagraph"/>
              <w:spacing w:before="151"/>
              <w:ind w:left="285" w:right="206"/>
              <w:rPr>
                <w:rFonts w:ascii="Constantia" w:hAnsi="Constantia"/>
                <w:b/>
                <w:sz w:val="19"/>
              </w:rPr>
            </w:pPr>
            <w:r>
              <w:rPr>
                <w:rFonts w:ascii="Constantia" w:hAnsi="Constantia"/>
                <w:b/>
                <w:sz w:val="19"/>
              </w:rPr>
              <w:t>Deuda pública/ PIB</w:t>
            </w:r>
          </w:p>
        </w:tc>
      </w:tr>
      <w:tr>
        <w:trPr>
          <w:trHeight w:val="509" w:hRule="exact"/>
        </w:trPr>
        <w:tc>
          <w:tcPr>
            <w:tcW w:w="3180" w:type="dxa"/>
            <w:tcBorders>
              <w:top w:val="double" w:sz="4" w:space="0" w:color="000000"/>
              <w:right w:val="single" w:sz="4" w:space="0" w:color="000000"/>
            </w:tcBorders>
            <w:shd w:val="clear" w:color="auto" w:fill="F1F1F1"/>
          </w:tcPr>
          <w:p>
            <w:pPr>
              <w:pStyle w:val="TableParagraph"/>
              <w:spacing w:before="121"/>
              <w:ind w:left="30"/>
              <w:jc w:val="left"/>
              <w:rPr>
                <w:rFonts w:ascii="Constantia"/>
                <w:sz w:val="19"/>
              </w:rPr>
            </w:pPr>
            <w:r>
              <w:rPr>
                <w:rFonts w:ascii="Constantia"/>
                <w:sz w:val="19"/>
              </w:rPr>
              <w:t>Precios del gas natural</w:t>
            </w:r>
          </w:p>
        </w:tc>
        <w:tc>
          <w:tcPr>
            <w:tcW w:w="1994" w:type="dxa"/>
            <w:tcBorders>
              <w:top w:val="double" w:sz="4" w:space="0" w:color="000000"/>
              <w:left w:val="single" w:sz="4" w:space="0" w:color="000000"/>
            </w:tcBorders>
            <w:shd w:val="clear" w:color="auto" w:fill="F1F1F1"/>
          </w:tcPr>
          <w:p>
            <w:pPr>
              <w:pStyle w:val="TableParagraph"/>
              <w:spacing w:before="121"/>
              <w:ind w:left="120"/>
              <w:jc w:val="left"/>
              <w:rPr>
                <w:rFonts w:ascii="Constantia"/>
                <w:sz w:val="19"/>
              </w:rPr>
            </w:pPr>
            <w:r>
              <w:rPr>
                <w:rFonts w:ascii="Constantia"/>
                <w:sz w:val="19"/>
              </w:rPr>
              <w:t>C.P.**(5);  L.P.**(4)</w:t>
            </w:r>
          </w:p>
        </w:tc>
        <w:tc>
          <w:tcPr>
            <w:tcW w:w="1316" w:type="dxa"/>
            <w:tcBorders>
              <w:top w:val="double" w:sz="4" w:space="0" w:color="000000"/>
            </w:tcBorders>
            <w:shd w:val="clear" w:color="auto" w:fill="F1F1F1"/>
          </w:tcPr>
          <w:p>
            <w:pPr>
              <w:pStyle w:val="TableParagraph"/>
              <w:spacing w:before="121"/>
              <w:ind w:left="248" w:right="300"/>
              <w:rPr>
                <w:rFonts w:ascii="Constantia"/>
                <w:sz w:val="19"/>
              </w:rPr>
            </w:pPr>
            <w:r>
              <w:rPr>
                <w:rFonts w:ascii="Constantia"/>
                <w:sz w:val="19"/>
              </w:rPr>
              <w:t>C.P.**(5)</w:t>
            </w:r>
          </w:p>
        </w:tc>
        <w:tc>
          <w:tcPr>
            <w:tcW w:w="2333" w:type="dxa"/>
            <w:tcBorders>
              <w:top w:val="double" w:sz="4" w:space="0" w:color="000000"/>
              <w:right w:val="single" w:sz="4" w:space="0" w:color="FFFFFF"/>
            </w:tcBorders>
            <w:shd w:val="clear" w:color="auto" w:fill="F1F1F1"/>
          </w:tcPr>
          <w:p>
            <w:pPr>
              <w:pStyle w:val="TableParagraph"/>
              <w:spacing w:before="121"/>
              <w:ind w:left="643" w:right="495"/>
              <w:rPr>
                <w:rFonts w:ascii="Constantia"/>
                <w:sz w:val="19"/>
              </w:rPr>
            </w:pPr>
            <w:r>
              <w:rPr>
                <w:rFonts w:ascii="Constantia"/>
                <w:sz w:val="19"/>
              </w:rPr>
              <w:t>L.P.**(1,3 y 5)</w:t>
            </w:r>
          </w:p>
        </w:tc>
      </w:tr>
      <w:tr>
        <w:trPr>
          <w:trHeight w:val="554" w:hRule="exact"/>
        </w:trPr>
        <w:tc>
          <w:tcPr>
            <w:tcW w:w="3180" w:type="dxa"/>
            <w:tcBorders>
              <w:right w:val="single" w:sz="4" w:space="0" w:color="000000"/>
            </w:tcBorders>
          </w:tcPr>
          <w:p>
            <w:pPr>
              <w:pStyle w:val="TableParagraph"/>
              <w:spacing w:before="161"/>
              <w:ind w:left="30"/>
              <w:jc w:val="left"/>
              <w:rPr>
                <w:rFonts w:ascii="Constantia" w:hAnsi="Constantia"/>
                <w:sz w:val="19"/>
              </w:rPr>
            </w:pPr>
            <w:r>
              <w:rPr>
                <w:rFonts w:ascii="Constantia" w:hAnsi="Constantia"/>
                <w:sz w:val="19"/>
              </w:rPr>
              <w:t>Asignac. De Ing. Fisc. Gasíf.</w:t>
            </w:r>
          </w:p>
        </w:tc>
        <w:tc>
          <w:tcPr>
            <w:tcW w:w="1994" w:type="dxa"/>
            <w:tcBorders>
              <w:left w:val="single" w:sz="4" w:space="0" w:color="000000"/>
            </w:tcBorders>
          </w:tcPr>
          <w:p>
            <w:pPr>
              <w:pStyle w:val="TableParagraph"/>
              <w:spacing w:before="161"/>
              <w:ind w:left="704"/>
              <w:jc w:val="left"/>
              <w:rPr>
                <w:rFonts w:ascii="Constantia"/>
                <w:sz w:val="19"/>
              </w:rPr>
            </w:pPr>
            <w:r>
              <w:rPr>
                <w:rFonts w:ascii="Constantia"/>
                <w:sz w:val="19"/>
              </w:rPr>
              <w:t>L.P.**(1)</w:t>
            </w:r>
          </w:p>
        </w:tc>
        <w:tc>
          <w:tcPr>
            <w:tcW w:w="1316" w:type="dxa"/>
          </w:tcPr>
          <w:p>
            <w:pPr>
              <w:pStyle w:val="TableParagraph"/>
              <w:spacing w:before="161"/>
              <w:ind w:left="248" w:right="281"/>
              <w:rPr>
                <w:rFonts w:ascii="Constantia"/>
                <w:sz w:val="19"/>
              </w:rPr>
            </w:pPr>
            <w:r>
              <w:rPr>
                <w:rFonts w:ascii="Constantia"/>
                <w:sz w:val="19"/>
              </w:rPr>
              <w:t>N.S.</w:t>
            </w:r>
          </w:p>
        </w:tc>
        <w:tc>
          <w:tcPr>
            <w:tcW w:w="2333" w:type="dxa"/>
          </w:tcPr>
          <w:p>
            <w:pPr>
              <w:pStyle w:val="TableParagraph"/>
              <w:spacing w:before="161"/>
              <w:ind w:left="310" w:right="168"/>
              <w:rPr>
                <w:rFonts w:ascii="Constantia"/>
                <w:sz w:val="19"/>
              </w:rPr>
            </w:pPr>
            <w:r>
              <w:rPr>
                <w:rFonts w:ascii="Constantia"/>
                <w:sz w:val="19"/>
              </w:rPr>
              <w:t>C.P.*(2 y 4); L.P.**(5)</w:t>
            </w:r>
          </w:p>
        </w:tc>
      </w:tr>
      <w:tr>
        <w:trPr>
          <w:trHeight w:val="464" w:hRule="exact"/>
        </w:trPr>
        <w:tc>
          <w:tcPr>
            <w:tcW w:w="3180" w:type="dxa"/>
            <w:tcBorders>
              <w:right w:val="single" w:sz="4" w:space="0" w:color="000000"/>
            </w:tcBorders>
            <w:shd w:val="clear" w:color="auto" w:fill="F1F1F1"/>
          </w:tcPr>
          <w:p>
            <w:pPr>
              <w:pStyle w:val="TableParagraph"/>
              <w:spacing w:before="121"/>
              <w:ind w:left="30"/>
              <w:jc w:val="left"/>
              <w:rPr>
                <w:rFonts w:ascii="Constantia" w:hAnsi="Constantia"/>
                <w:sz w:val="19"/>
              </w:rPr>
            </w:pPr>
            <w:r>
              <w:rPr>
                <w:rFonts w:ascii="Constantia" w:hAnsi="Constantia"/>
                <w:sz w:val="19"/>
              </w:rPr>
              <w:t>Asignac. De Ing. Fisc. No  Gasíf.</w:t>
            </w:r>
          </w:p>
        </w:tc>
        <w:tc>
          <w:tcPr>
            <w:tcW w:w="1994" w:type="dxa"/>
            <w:tcBorders>
              <w:left w:val="single" w:sz="4" w:space="0" w:color="000000"/>
            </w:tcBorders>
            <w:shd w:val="clear" w:color="auto" w:fill="F1F1F1"/>
          </w:tcPr>
          <w:p>
            <w:pPr>
              <w:pStyle w:val="TableParagraph"/>
              <w:spacing w:before="121"/>
              <w:ind w:left="739" w:right="873"/>
              <w:rPr>
                <w:rFonts w:ascii="Constantia"/>
                <w:sz w:val="19"/>
              </w:rPr>
            </w:pPr>
            <w:r>
              <w:rPr>
                <w:rFonts w:ascii="Constantia"/>
                <w:sz w:val="19"/>
              </w:rPr>
              <w:t>N.S.</w:t>
            </w:r>
          </w:p>
        </w:tc>
        <w:tc>
          <w:tcPr>
            <w:tcW w:w="1316" w:type="dxa"/>
            <w:shd w:val="clear" w:color="auto" w:fill="F1F1F1"/>
          </w:tcPr>
          <w:p>
            <w:pPr>
              <w:pStyle w:val="TableParagraph"/>
              <w:spacing w:before="121"/>
              <w:ind w:left="248" w:right="281"/>
              <w:rPr>
                <w:rFonts w:ascii="Constantia"/>
                <w:sz w:val="19"/>
              </w:rPr>
            </w:pPr>
            <w:r>
              <w:rPr>
                <w:rFonts w:ascii="Constantia"/>
                <w:sz w:val="19"/>
              </w:rPr>
              <w:t>N.S.</w:t>
            </w:r>
          </w:p>
        </w:tc>
        <w:tc>
          <w:tcPr>
            <w:tcW w:w="2333" w:type="dxa"/>
            <w:tcBorders>
              <w:right w:val="single" w:sz="4" w:space="0" w:color="FFFFFF"/>
            </w:tcBorders>
            <w:shd w:val="clear" w:color="auto" w:fill="F1F1F1"/>
          </w:tcPr>
          <w:p>
            <w:pPr>
              <w:pStyle w:val="TableParagraph"/>
              <w:spacing w:before="121"/>
              <w:ind w:left="604" w:right="495"/>
              <w:rPr>
                <w:rFonts w:ascii="Constantia"/>
                <w:sz w:val="19"/>
              </w:rPr>
            </w:pPr>
            <w:r>
              <w:rPr>
                <w:rFonts w:ascii="Constantia"/>
                <w:sz w:val="19"/>
              </w:rPr>
              <w:t>N.S.</w:t>
            </w:r>
          </w:p>
        </w:tc>
      </w:tr>
      <w:tr>
        <w:trPr>
          <w:trHeight w:val="494" w:hRule="exact"/>
        </w:trPr>
        <w:tc>
          <w:tcPr>
            <w:tcW w:w="3180" w:type="dxa"/>
            <w:tcBorders>
              <w:right w:val="single" w:sz="4" w:space="0" w:color="000000"/>
            </w:tcBorders>
          </w:tcPr>
          <w:p>
            <w:pPr>
              <w:pStyle w:val="TableParagraph"/>
              <w:spacing w:before="131"/>
              <w:ind w:left="30"/>
              <w:jc w:val="left"/>
              <w:rPr>
                <w:rFonts w:ascii="Constantia" w:hAnsi="Constantia"/>
                <w:sz w:val="19"/>
              </w:rPr>
            </w:pPr>
            <w:r>
              <w:rPr>
                <w:rFonts w:ascii="Constantia" w:hAnsi="Constantia"/>
                <w:sz w:val="19"/>
              </w:rPr>
              <w:t>Bal. Prim. No Gasíf. (BPNG) / PIB real</w:t>
            </w:r>
          </w:p>
        </w:tc>
        <w:tc>
          <w:tcPr>
            <w:tcW w:w="1994" w:type="dxa"/>
            <w:tcBorders>
              <w:left w:val="single" w:sz="4" w:space="0" w:color="000000"/>
            </w:tcBorders>
          </w:tcPr>
          <w:p>
            <w:pPr>
              <w:pStyle w:val="TableParagraph"/>
              <w:spacing w:before="131"/>
              <w:ind w:right="144"/>
              <w:rPr>
                <w:rFonts w:ascii="Constantia"/>
                <w:sz w:val="19"/>
              </w:rPr>
            </w:pPr>
            <w:r>
              <w:rPr>
                <w:rFonts w:ascii="Constantia"/>
                <w:w w:val="101"/>
                <w:sz w:val="19"/>
              </w:rPr>
              <w:t>-</w:t>
            </w:r>
          </w:p>
        </w:tc>
        <w:tc>
          <w:tcPr>
            <w:tcW w:w="1316" w:type="dxa"/>
          </w:tcPr>
          <w:p>
            <w:pPr>
              <w:pStyle w:val="TableParagraph"/>
              <w:spacing w:before="131"/>
              <w:ind w:right="42"/>
              <w:rPr>
                <w:rFonts w:ascii="Constantia"/>
                <w:sz w:val="19"/>
              </w:rPr>
            </w:pPr>
            <w:r>
              <w:rPr>
                <w:rFonts w:ascii="Constantia"/>
                <w:w w:val="101"/>
                <w:sz w:val="19"/>
              </w:rPr>
              <w:t>-</w:t>
            </w:r>
          </w:p>
        </w:tc>
        <w:tc>
          <w:tcPr>
            <w:tcW w:w="2333" w:type="dxa"/>
          </w:tcPr>
          <w:p>
            <w:pPr>
              <w:pStyle w:val="TableParagraph"/>
              <w:spacing w:before="131"/>
              <w:ind w:left="310" w:right="206"/>
              <w:rPr>
                <w:rFonts w:ascii="Constantia"/>
                <w:sz w:val="19"/>
              </w:rPr>
            </w:pPr>
            <w:r>
              <w:rPr>
                <w:rFonts w:ascii="Constantia"/>
                <w:sz w:val="19"/>
              </w:rPr>
              <w:t>N.S.</w:t>
            </w:r>
          </w:p>
        </w:tc>
      </w:tr>
      <w:tr>
        <w:trPr>
          <w:trHeight w:val="559" w:hRule="exact"/>
        </w:trPr>
        <w:tc>
          <w:tcPr>
            <w:tcW w:w="3180" w:type="dxa"/>
            <w:tcBorders>
              <w:bottom w:val="single" w:sz="4" w:space="0" w:color="FFFFFF"/>
              <w:right w:val="single" w:sz="4" w:space="0" w:color="000000"/>
            </w:tcBorders>
            <w:shd w:val="clear" w:color="auto" w:fill="F1F1F1"/>
          </w:tcPr>
          <w:p>
            <w:pPr>
              <w:pStyle w:val="TableParagraph"/>
              <w:spacing w:before="10"/>
              <w:jc w:val="left"/>
              <w:rPr>
                <w:sz w:val="14"/>
              </w:rPr>
            </w:pPr>
          </w:p>
          <w:p>
            <w:pPr>
              <w:pStyle w:val="TableParagraph"/>
              <w:spacing w:before="1"/>
              <w:ind w:left="30"/>
              <w:jc w:val="left"/>
              <w:rPr>
                <w:rFonts w:ascii="Constantia"/>
                <w:sz w:val="19"/>
              </w:rPr>
            </w:pPr>
            <w:r>
              <w:rPr>
                <w:rFonts w:ascii="Constantia"/>
                <w:sz w:val="19"/>
              </w:rPr>
              <w:t>Bal. Prim. (BP) / PIB real</w:t>
            </w:r>
          </w:p>
        </w:tc>
        <w:tc>
          <w:tcPr>
            <w:tcW w:w="1994" w:type="dxa"/>
            <w:tcBorders>
              <w:left w:val="single" w:sz="4" w:space="0" w:color="000000"/>
              <w:bottom w:val="single" w:sz="4" w:space="0" w:color="FFFFFF"/>
            </w:tcBorders>
            <w:shd w:val="clear" w:color="auto" w:fill="F1F1F1"/>
          </w:tcPr>
          <w:p>
            <w:pPr>
              <w:pStyle w:val="TableParagraph"/>
              <w:spacing w:before="10"/>
              <w:jc w:val="left"/>
              <w:rPr>
                <w:sz w:val="12"/>
              </w:rPr>
            </w:pPr>
          </w:p>
          <w:p>
            <w:pPr>
              <w:pStyle w:val="TableParagraph"/>
              <w:ind w:right="145"/>
              <w:rPr>
                <w:rFonts w:ascii="Constantia"/>
                <w:sz w:val="13"/>
              </w:rPr>
            </w:pPr>
            <w:r>
              <w:rPr>
                <w:rFonts w:ascii="Constantia"/>
                <w:w w:val="100"/>
                <w:sz w:val="13"/>
              </w:rPr>
              <w:t>-</w:t>
            </w:r>
          </w:p>
        </w:tc>
        <w:tc>
          <w:tcPr>
            <w:tcW w:w="1316" w:type="dxa"/>
            <w:tcBorders>
              <w:bottom w:val="single" w:sz="4" w:space="0" w:color="FFFFFF"/>
            </w:tcBorders>
            <w:shd w:val="clear" w:color="auto" w:fill="F1F1F1"/>
          </w:tcPr>
          <w:p>
            <w:pPr>
              <w:pStyle w:val="TableParagraph"/>
              <w:spacing w:before="10"/>
              <w:jc w:val="left"/>
              <w:rPr>
                <w:sz w:val="12"/>
              </w:rPr>
            </w:pPr>
          </w:p>
          <w:p>
            <w:pPr>
              <w:pStyle w:val="TableParagraph"/>
              <w:ind w:right="44"/>
              <w:rPr>
                <w:rFonts w:ascii="Constantia"/>
                <w:sz w:val="13"/>
              </w:rPr>
            </w:pPr>
            <w:r>
              <w:rPr>
                <w:rFonts w:ascii="Constantia"/>
                <w:w w:val="100"/>
                <w:sz w:val="13"/>
              </w:rPr>
              <w:t>-</w:t>
            </w:r>
          </w:p>
        </w:tc>
        <w:tc>
          <w:tcPr>
            <w:tcW w:w="2333" w:type="dxa"/>
            <w:tcBorders>
              <w:bottom w:val="single" w:sz="4" w:space="0" w:color="FFFFFF"/>
              <w:right w:val="single" w:sz="4" w:space="0" w:color="FFFFFF"/>
            </w:tcBorders>
            <w:shd w:val="clear" w:color="auto" w:fill="F1F1F1"/>
          </w:tcPr>
          <w:p>
            <w:pPr>
              <w:pStyle w:val="TableParagraph"/>
              <w:spacing w:before="10"/>
              <w:jc w:val="left"/>
              <w:rPr>
                <w:sz w:val="14"/>
              </w:rPr>
            </w:pPr>
          </w:p>
          <w:p>
            <w:pPr>
              <w:pStyle w:val="TableParagraph"/>
              <w:spacing w:before="1"/>
              <w:ind w:left="653" w:right="495"/>
              <w:rPr>
                <w:rFonts w:ascii="Constantia"/>
                <w:sz w:val="19"/>
              </w:rPr>
            </w:pPr>
            <w:r>
              <w:rPr>
                <w:rFonts w:ascii="Constantia"/>
                <w:sz w:val="19"/>
              </w:rPr>
              <w:t>L.P.**(1, 2 y 3)</w:t>
            </w:r>
          </w:p>
        </w:tc>
      </w:tr>
    </w:tbl>
    <w:p>
      <w:pPr>
        <w:spacing w:line="207" w:lineRule="exact" w:before="135"/>
        <w:ind w:left="122" w:right="148" w:firstLine="0"/>
        <w:jc w:val="left"/>
        <w:rPr>
          <w:sz w:val="18"/>
        </w:rPr>
      </w:pPr>
      <w:r>
        <w:rPr>
          <w:sz w:val="18"/>
        </w:rPr>
        <w:t>C.P.: Corto Plazo; L.P.: Largo Plazo: N.S.: No significativo</w:t>
      </w:r>
    </w:p>
    <w:p>
      <w:pPr>
        <w:spacing w:before="0"/>
        <w:ind w:left="122" w:right="1100" w:firstLine="0"/>
        <w:jc w:val="left"/>
        <w:rPr>
          <w:sz w:val="18"/>
        </w:rPr>
      </w:pPr>
      <w:r>
        <w:rPr>
          <w:sz w:val="18"/>
        </w:rPr>
        <w:t>Se indica el nivel de significancia estadística: ** al 1% y * al 5% con base en la prueba de Wald [Estad. F]. Se indica el número de rezago(s) observado(s) más significativo(s) entre paréntesis (</w:t>
      </w:r>
      <w:r>
        <w:rPr>
          <w:i/>
          <w:sz w:val="18"/>
        </w:rPr>
        <w:t>j</w:t>
      </w:r>
      <w:r>
        <w:rPr>
          <w:sz w:val="18"/>
        </w:rPr>
        <w:t>).</w:t>
      </w:r>
    </w:p>
    <w:p>
      <w:pPr>
        <w:spacing w:before="0"/>
        <w:ind w:left="122" w:right="2834" w:firstLine="0"/>
        <w:jc w:val="left"/>
        <w:rPr>
          <w:sz w:val="18"/>
        </w:rPr>
      </w:pPr>
      <w:r>
        <w:rPr>
          <w:sz w:val="18"/>
        </w:rPr>
        <w:t>Asignac. De Ing. Fisc. Gasíf. es la razón Gasto de capital/ Ing. Fisc. Gasíferos Asignac. De Ing. Fisc. No Gasíf. es la razón  Gasto corriente/ Ing. Fisc. No Gasíferos</w:t>
      </w:r>
    </w:p>
    <w:p>
      <w:pPr>
        <w:pStyle w:val="BodyText"/>
        <w:spacing w:before="6"/>
        <w:rPr>
          <w:sz w:val="19"/>
        </w:rPr>
      </w:pPr>
      <w:r>
        <w:rPr/>
        <w:pict>
          <v:line style="position:absolute;mso-position-horizontal-relative:page;mso-position-vertical-relative:paragraph;z-index:12616;mso-wrap-distance-left:0;mso-wrap-distance-right:0" from="85.103996pt,13.473196pt" to="229.123996pt,13.473196pt" stroked="true" strokeweight=".60004pt" strokecolor="#000000">
            <w10:wrap type="topAndBottom"/>
          </v:line>
        </w:pict>
      </w:r>
    </w:p>
    <w:p>
      <w:pPr>
        <w:spacing w:before="50"/>
        <w:ind w:left="122" w:right="145" w:firstLine="0"/>
        <w:jc w:val="both"/>
        <w:rPr>
          <w:sz w:val="20"/>
        </w:rPr>
      </w:pPr>
      <w:r>
        <w:rPr>
          <w:position w:val="9"/>
          <w:sz w:val="13"/>
        </w:rPr>
        <w:t>70 </w:t>
      </w:r>
      <w:r>
        <w:rPr>
          <w:sz w:val="20"/>
        </w:rPr>
        <w:t>Cuando existieron resultados contrarios se empleó el criterio de confirmación con dos pruebas estadísticas (DFA, Ph-P y/o KPSS). El término de estacionariedad implica que la media y la varianza de cada variable analizada sea independiente del tiempo. La variable es integrada de orden 0 cuando es estacionaria en nivel (tal como está la variable). Es integrada de orden 1 cuando es estacionaria después de restarle su valor anterior.</w:t>
      </w:r>
    </w:p>
    <w:p>
      <w:pPr>
        <w:spacing w:after="0"/>
        <w:jc w:val="both"/>
        <w:rPr>
          <w:sz w:val="20"/>
        </w:rPr>
        <w:sectPr>
          <w:pgSz w:w="12250" w:h="15850"/>
          <w:pgMar w:header="0" w:footer="1037" w:top="1360" w:bottom="1220" w:left="1580" w:right="1560"/>
        </w:sectPr>
      </w:pPr>
    </w:p>
    <w:p>
      <w:pPr>
        <w:pStyle w:val="BodyText"/>
        <w:spacing w:before="1"/>
        <w:rPr>
          <w:sz w:val="22"/>
        </w:rPr>
      </w:pPr>
    </w:p>
    <w:p>
      <w:pPr>
        <w:pStyle w:val="BodyText"/>
        <w:spacing w:line="350" w:lineRule="auto" w:before="69"/>
        <w:ind w:left="122" w:right="121" w:firstLine="707"/>
        <w:jc w:val="both"/>
        <w:rPr>
          <w:sz w:val="16"/>
        </w:rPr>
      </w:pPr>
      <w:r>
        <w:rPr/>
        <w:t>De acuerdo con el </w:t>
      </w:r>
      <w:r>
        <w:rPr>
          <w:i/>
        </w:rPr>
        <w:t>cuadro 4.5</w:t>
      </w:r>
      <w:r>
        <w:rPr/>
        <w:t>, se observa que la mayoría de las variables generan,  de forma predominante, un efecto de largo plazo sobre la posición fiscal en comparación con los efectos de corto plazo, lo cual mostró una justificación para la inclusión de restricción de largo plazo sobre la modelación</w:t>
      </w:r>
      <w:r>
        <w:rPr>
          <w:spacing w:val="-4"/>
        </w:rPr>
        <w:t> </w:t>
      </w:r>
      <w:r>
        <w:rPr/>
        <w:t>SVAR.</w:t>
      </w:r>
      <w:r>
        <w:rPr>
          <w:position w:val="11"/>
          <w:sz w:val="16"/>
        </w:rPr>
        <w:t>71</w:t>
      </w:r>
    </w:p>
    <w:p>
      <w:pPr>
        <w:pStyle w:val="BodyText"/>
        <w:spacing w:line="360" w:lineRule="auto"/>
        <w:ind w:left="122" w:right="119" w:firstLine="707"/>
        <w:jc w:val="both"/>
      </w:pPr>
      <w:r>
        <w:rPr/>
        <w:t>El siguiente paso consistió en determinar el tamaño óptimo del rezago para las variables incluidas en cada modelo (anexo 4.4). Para cada especificación se sugiere un tamaño óptimo de cuatro rezagos en el modelo irrestricto [VAR(4)].</w:t>
      </w:r>
    </w:p>
    <w:p>
      <w:pPr>
        <w:pStyle w:val="BodyText"/>
        <w:spacing w:line="360" w:lineRule="auto" w:before="7"/>
        <w:ind w:left="122" w:right="117" w:firstLine="707"/>
        <w:jc w:val="both"/>
      </w:pPr>
      <w:r>
        <w:rPr/>
        <w:t>Para analizar la estabilidad de los modelos se evaluó que las raíces de las características polinomiales estuvieran dentro del círculo unitario. Se comenzó por una especificación de cuatro rezagos [VAR (4)] de acuerdo a los criterios mencionados de forma previa, concluyéndose que para esta longitud de tiempo cada modelo mostró un resultado inestable (</w:t>
      </w:r>
      <w:r>
        <w:rPr>
          <w:i/>
        </w:rPr>
        <w:t>anexo</w:t>
      </w:r>
      <w:r>
        <w:rPr>
          <w:i/>
          <w:spacing w:val="-5"/>
        </w:rPr>
        <w:t> </w:t>
      </w:r>
      <w:r>
        <w:rPr>
          <w:i/>
        </w:rPr>
        <w:t>4.5</w:t>
      </w:r>
      <w:r>
        <w:rPr/>
        <w:t>).</w:t>
      </w:r>
    </w:p>
    <w:p>
      <w:pPr>
        <w:pStyle w:val="BodyText"/>
        <w:spacing w:line="360" w:lineRule="auto" w:before="4"/>
        <w:ind w:left="122" w:right="121" w:firstLine="707"/>
        <w:jc w:val="both"/>
      </w:pPr>
      <w:r>
        <w:rPr/>
        <w:t>Dada la inestabilidad del modelo VAR sin restricciones para cuatro rezagos, se procedió a emplear la prueba del ratio de verosimilitud, como un contraste formal para evaluar el tamaño del rezago, cuya prueba sugirió un rezago [VAR (1)] (</w:t>
      </w:r>
      <w:r>
        <w:rPr>
          <w:i/>
        </w:rPr>
        <w:t>anexo 4.6</w:t>
      </w:r>
      <w:r>
        <w:rPr/>
        <w:t>).</w:t>
      </w:r>
    </w:p>
    <w:p>
      <w:pPr>
        <w:pStyle w:val="BodyText"/>
        <w:spacing w:line="360" w:lineRule="auto" w:before="6"/>
        <w:ind w:left="122" w:right="120" w:firstLine="707"/>
        <w:jc w:val="both"/>
      </w:pPr>
      <w:r>
        <w:rPr/>
        <w:t>De forma final, se procedió a verificar el cumplimiento de las respectivas pruebas de especificación en cuanto a: normalidad de los residuos (errores), no autocorrelación serial e igual varianza de los residuos (homocedasticidad). Cada modelo cumplió la correcta especificación de los supuestos econométricos (</w:t>
      </w:r>
      <w:r>
        <w:rPr>
          <w:i/>
        </w:rPr>
        <w:t>anexo 4.7</w:t>
      </w:r>
      <w:r>
        <w:rPr/>
        <w:t>).</w:t>
      </w:r>
    </w:p>
    <w:p>
      <w:pPr>
        <w:pStyle w:val="BodyText"/>
        <w:spacing w:line="360" w:lineRule="auto" w:before="6"/>
        <w:ind w:left="122" w:right="115" w:firstLine="767"/>
        <w:jc w:val="both"/>
      </w:pPr>
      <w:r>
        <w:rPr/>
        <w:t>De forma complementaria, se empleó la prueba de normalidad Shapiro – Wilk en  su versión univariada a cada serie de residuos. En consecuencia,  el modelo A  </w:t>
      </w:r>
      <w:r>
        <w:rPr>
          <w:spacing w:val="39"/>
        </w:rPr>
        <w:t> </w:t>
      </w:r>
      <w:r>
        <w:rPr/>
        <w:t>con</w:t>
      </w:r>
      <w:r>
        <w:rPr>
          <w:spacing w:val="5"/>
        </w:rPr>
        <w:t> </w:t>
      </w:r>
      <w:r>
        <w:rPr>
          <w:w w:val="188"/>
        </w:rPr>
        <w:t> </w:t>
      </w:r>
      <w:r>
        <w:rPr>
          <w:spacing w:val="-1"/>
          <w:w w:val="188"/>
        </w:rPr>
        <w:t> </w:t>
      </w:r>
      <w:r>
        <w:rPr>
          <w:w w:val="166"/>
        </w:rPr>
        <w:t>   </w:t>
      </w:r>
      <w:r>
        <w:rPr>
          <w:spacing w:val="-2"/>
          <w:w w:val="166"/>
        </w:rPr>
        <w:t> </w:t>
      </w:r>
      <w:r>
        <w:rPr>
          <w:w w:val="177"/>
        </w:rPr>
        <w:t> </w:t>
      </w:r>
    </w:p>
    <w:p>
      <w:pPr>
        <w:pStyle w:val="BodyText"/>
        <w:spacing w:line="328" w:lineRule="auto" w:before="6"/>
        <w:ind w:left="122" w:right="115"/>
        <w:rPr>
          <w:sz w:val="16"/>
        </w:rPr>
      </w:pPr>
      <w:r>
        <w:rPr>
          <w:w w:val="144"/>
        </w:rPr>
        <w:t>    </w:t>
      </w:r>
      <w:r>
        <w:rPr>
          <w:w w:val="177"/>
        </w:rPr>
        <w:t> </w:t>
      </w:r>
      <w:r>
        <w:rPr>
          <w:w w:val="111"/>
        </w:rPr>
        <w:t> </w:t>
      </w:r>
      <w:r>
        <w:rPr/>
        <w:t>  </w:t>
      </w:r>
      <w:r>
        <w:rPr>
          <w:w w:val="166"/>
        </w:rPr>
        <w:t>  </w:t>
      </w:r>
      <w:r>
        <w:rPr>
          <w:w w:val="211"/>
        </w:rPr>
        <w:t>  </w:t>
      </w:r>
      <w:r>
        <w:rPr>
          <w:w w:val="177"/>
        </w:rPr>
        <w:t> </w:t>
      </w:r>
      <w:r>
        <w:rPr>
          <w:w w:val="148"/>
        </w:rPr>
        <w:t>   </w:t>
      </w:r>
      <w:r>
        <w:rPr/>
        <w:t>  </w:t>
      </w:r>
      <w:r>
        <w:rPr>
          <w:w w:val="150"/>
        </w:rPr>
        <w:t>    </w:t>
      </w:r>
      <w:r>
        <w:rPr/>
        <w:t>  </w:t>
      </w:r>
      <w:r>
        <w:rPr>
          <w:w w:val="200"/>
        </w:rPr>
        <w:t> </w:t>
      </w:r>
      <w:r>
        <w:rPr>
          <w:w w:val="177"/>
        </w:rPr>
        <w:t> </w:t>
      </w:r>
      <w:r>
        <w:rPr>
          <w:w w:val="155"/>
        </w:rPr>
        <w:t> </w:t>
      </w:r>
      <w:r>
        <w:rPr/>
        <w:t>  </w:t>
      </w:r>
      <w:r>
        <w:rPr>
          <w:w w:val="188"/>
        </w:rPr>
        <w:t>  </w:t>
      </w:r>
      <w:r>
        <w:rPr>
          <w:w w:val="155"/>
        </w:rPr>
        <w:t>    </w:t>
      </w:r>
      <w:r>
        <w:rPr>
          <w:w w:val="122"/>
        </w:rPr>
        <w:t>  </w:t>
      </w:r>
      <w:r>
        <w:rPr/>
        <w:t> </w:t>
      </w:r>
      <w:r>
        <w:rPr>
          <w:w w:val="1"/>
        </w:rPr>
        <w:t> </w:t>
      </w:r>
      <w:r>
        <w:rPr/>
        <w:t>  presentó la mejor especificación frente a las demás especificaciones alternativas (modelos B, C y D: </w:t>
      </w:r>
      <w:r>
        <w:rPr>
          <w:i/>
        </w:rPr>
        <w:t>véase anexo 4.7 A2)</w:t>
      </w:r>
      <w:r>
        <w:rPr/>
        <w:t>. </w:t>
      </w:r>
      <w:r>
        <w:rPr>
          <w:position w:val="11"/>
          <w:sz w:val="16"/>
        </w:rPr>
        <w:t>72</w:t>
      </w:r>
    </w:p>
    <w:p>
      <w:pPr>
        <w:pStyle w:val="BodyText"/>
        <w:spacing w:line="360" w:lineRule="auto" w:before="24"/>
        <w:ind w:left="263" w:right="115" w:firstLine="566"/>
      </w:pPr>
      <w:r>
        <w:rPr/>
        <w:t>En esta sección se evaluó el rol de los choques de precios del gas natural y de la asignación de ingresos fiscales, con    y sin gas natural, sobre la posición fiscal (resultados</w:t>
      </w:r>
    </w:p>
    <w:p>
      <w:pPr>
        <w:pStyle w:val="BodyText"/>
        <w:rPr>
          <w:sz w:val="20"/>
        </w:rPr>
      </w:pPr>
    </w:p>
    <w:p>
      <w:pPr>
        <w:pStyle w:val="BodyText"/>
        <w:spacing w:before="10"/>
        <w:rPr>
          <w:sz w:val="21"/>
        </w:rPr>
      </w:pPr>
      <w:r>
        <w:rPr/>
        <w:pict>
          <v:line style="position:absolute;mso-position-horizontal-relative:page;mso-position-vertical-relative:paragraph;z-index:12640;mso-wrap-distance-left:0;mso-wrap-distance-right:0" from="85.103996pt,14.840757pt" to="229.123996pt,14.840757pt" stroked="true" strokeweight=".599980pt" strokecolor="#000000">
            <w10:wrap type="topAndBottom"/>
          </v:line>
        </w:pict>
      </w:r>
    </w:p>
    <w:p>
      <w:pPr>
        <w:spacing w:before="50"/>
        <w:ind w:left="122" w:right="124" w:firstLine="0"/>
        <w:jc w:val="both"/>
        <w:rPr>
          <w:sz w:val="20"/>
        </w:rPr>
      </w:pPr>
      <w:r>
        <w:rPr>
          <w:position w:val="9"/>
          <w:sz w:val="13"/>
        </w:rPr>
        <w:t>71 </w:t>
      </w:r>
      <w:r>
        <w:rPr>
          <w:sz w:val="20"/>
        </w:rPr>
        <w:t>De forma adicional, la asignación de ingresos fiscales no gasíferos y el balance primario no gasífero no evidenciaron ningún efecto significativo sobre las variables de la posición fiscal, lo cual limitaría la importancia de estas variables sobre la modelación. Para mayor detalle véase los  anexos 4.2 y 4.3.</w:t>
      </w:r>
    </w:p>
    <w:p>
      <w:pPr>
        <w:pStyle w:val="BodyText"/>
        <w:spacing w:before="10"/>
        <w:rPr>
          <w:sz w:val="17"/>
        </w:rPr>
      </w:pPr>
    </w:p>
    <w:p>
      <w:pPr>
        <w:spacing w:before="0"/>
        <w:ind w:left="122" w:right="599" w:firstLine="0"/>
        <w:jc w:val="both"/>
        <w:rPr>
          <w:sz w:val="20"/>
        </w:rPr>
      </w:pPr>
      <w:r>
        <w:rPr>
          <w:position w:val="9"/>
          <w:sz w:val="13"/>
        </w:rPr>
        <w:t>72 </w:t>
      </w:r>
      <w:r>
        <w:rPr>
          <w:sz w:val="20"/>
        </w:rPr>
        <w:t>El resto de los modelos (B,C y D) presentaron al menos dos ecuaciones con problemas de normalidad individual en las ecuaciones. Una gran limitante de la evaluación fue el no haber incluido una prueba de normalidad multivariada, la cual incluye la ordenación estructural de los residuos.</w:t>
      </w:r>
    </w:p>
    <w:p>
      <w:pPr>
        <w:spacing w:after="0"/>
        <w:jc w:val="both"/>
        <w:rPr>
          <w:sz w:val="20"/>
        </w:rPr>
        <w:sectPr>
          <w:pgSz w:w="12250" w:h="15850"/>
          <w:pgMar w:header="0" w:footer="1037" w:top="1500" w:bottom="1220" w:left="1580" w:right="1580"/>
        </w:sectPr>
      </w:pPr>
    </w:p>
    <w:p>
      <w:pPr>
        <w:pStyle w:val="BodyText"/>
        <w:spacing w:line="360" w:lineRule="auto" w:before="50"/>
        <w:ind w:left="243" w:right="127"/>
      </w:pPr>
      <w:r>
        <w:rPr/>
        <w:t>fiscales y deuda pública), al considerar el impacto de las perturbaciones en dos mecanismos: con efectos contemporáneos y respuestas dinámicos.</w:t>
      </w:r>
    </w:p>
    <w:p>
      <w:pPr>
        <w:pStyle w:val="BodyText"/>
        <w:spacing w:line="360" w:lineRule="auto" w:before="6"/>
        <w:ind w:left="243" w:right="127" w:firstLine="566"/>
      </w:pPr>
      <w:r>
        <w:rPr/>
        <w:t>De forma final, se compararon reglas fiscales alternativas relacionadas con la asignación de los ingresos fiscales en comparación con un escenario base.</w:t>
      </w:r>
    </w:p>
    <w:p>
      <w:pPr>
        <w:pStyle w:val="BodyText"/>
        <w:spacing w:before="7"/>
        <w:rPr>
          <w:sz w:val="21"/>
        </w:rPr>
      </w:pPr>
    </w:p>
    <w:p>
      <w:pPr>
        <w:pStyle w:val="Heading4"/>
        <w:numPr>
          <w:ilvl w:val="2"/>
          <w:numId w:val="18"/>
        </w:numPr>
        <w:tabs>
          <w:tab w:pos="963" w:val="left" w:leader="none"/>
          <w:tab w:pos="964" w:val="left" w:leader="none"/>
        </w:tabs>
        <w:spacing w:line="240" w:lineRule="auto" w:before="0" w:after="0"/>
        <w:ind w:left="963" w:right="0" w:hanging="720"/>
        <w:jc w:val="left"/>
      </w:pPr>
      <w:bookmarkStart w:name="_bookmark128" w:id="175"/>
      <w:bookmarkEnd w:id="175"/>
      <w:r>
        <w:rPr>
          <w:b w:val="0"/>
        </w:rPr>
      </w:r>
      <w:bookmarkStart w:name="_bookmark128" w:id="176"/>
      <w:bookmarkEnd w:id="176"/>
      <w:r>
        <w:rPr/>
        <w:t>Cho</w:t>
      </w:r>
      <w:r>
        <w:rPr/>
        <w:t>ques y sus efectos contemporáneos  sobre la posición</w:t>
      </w:r>
      <w:r>
        <w:rPr>
          <w:spacing w:val="-10"/>
        </w:rPr>
        <w:t> </w:t>
      </w:r>
      <w:r>
        <w:rPr/>
        <w:t>fiscal</w:t>
      </w:r>
    </w:p>
    <w:p>
      <w:pPr>
        <w:pStyle w:val="BodyText"/>
        <w:rPr>
          <w:b/>
          <w:sz w:val="29"/>
        </w:rPr>
      </w:pPr>
    </w:p>
    <w:p>
      <w:pPr>
        <w:pStyle w:val="BodyText"/>
        <w:spacing w:line="360" w:lineRule="auto"/>
        <w:ind w:left="102" w:right="118" w:firstLine="707"/>
        <w:jc w:val="both"/>
      </w:pPr>
      <w:r>
        <w:rPr/>
        <w:t>En                                    el                                    </w:t>
      </w:r>
      <w:r>
        <w:rPr>
          <w:i/>
        </w:rPr>
        <w:t>cuadro                                    4.6 </w:t>
      </w:r>
      <w:r>
        <w:rPr/>
        <w:t>de los choques de precios del gas natural y de la asignación de ingresos fiscales sobre las innovaciones de la posición fiscal, empleándose cuatro regímenes alternativos para la medición de resultados fiscales (Modelo A, B, C y</w:t>
      </w:r>
      <w:r>
        <w:rPr>
          <w:spacing w:val="-7"/>
        </w:rPr>
        <w:t> </w:t>
      </w:r>
      <w:r>
        <w:rPr/>
        <w:t>D).</w:t>
      </w:r>
    </w:p>
    <w:p>
      <w:pPr>
        <w:pStyle w:val="BodyText"/>
        <w:spacing w:line="360" w:lineRule="auto" w:before="6"/>
        <w:ind w:left="102" w:right="119" w:firstLine="707"/>
        <w:jc w:val="both"/>
      </w:pPr>
      <w:r>
        <w:rPr/>
        <w:t>En el cuadro señalado, se observan tres aspectos: 1 la magnitud y significancia de los choques; 2) el impacto diferenciado sobre cada régimen fiscal alternativo; 3) la importancia de los choques y la respuesta discrecional de la política</w:t>
      </w:r>
      <w:r>
        <w:rPr>
          <w:spacing w:val="-15"/>
        </w:rPr>
        <w:t> </w:t>
      </w:r>
      <w:r>
        <w:rPr/>
        <w:t>fiscal.</w:t>
      </w:r>
    </w:p>
    <w:p>
      <w:pPr>
        <w:pStyle w:val="BodyText"/>
        <w:spacing w:line="360" w:lineRule="auto" w:before="4"/>
        <w:ind w:left="102" w:right="117" w:firstLine="707"/>
        <w:jc w:val="both"/>
      </w:pPr>
      <w:r>
        <w:rPr/>
        <w:t>En cuanto al gasto público, se evidenció que un incremento del 1% en los choques de precios del gas natural disminuye, en promedio, 0.26% las innovación de la razón Gasto de             Capital/             Ingresos             fiscales             gasíferos                                </w:t>
      </w:r>
      <w:r>
        <w:rPr>
          <w:w w:val="110"/>
        </w:rPr>
        <w:t>β </w:t>
      </w:r>
      <w:r>
        <w:rPr/>
        <w:t>las</w:t>
      </w:r>
      <w:r>
        <w:rPr>
          <w:spacing w:val="50"/>
        </w:rPr>
        <w:t> </w:t>
      </w:r>
      <w:r>
        <w:rPr/>
        <w:t>innovaciones</w:t>
      </w:r>
      <w:r>
        <w:rPr>
          <w:spacing w:val="50"/>
        </w:rPr>
        <w:t> </w:t>
      </w:r>
      <w:r>
        <w:rPr/>
        <w:t>de</w:t>
      </w:r>
      <w:r>
        <w:rPr>
          <w:spacing w:val="49"/>
        </w:rPr>
        <w:t> </w:t>
      </w:r>
      <w:r>
        <w:rPr/>
        <w:t>la</w:t>
      </w:r>
      <w:r>
        <w:rPr>
          <w:spacing w:val="52"/>
        </w:rPr>
        <w:t> </w:t>
      </w:r>
      <w:r>
        <w:rPr/>
        <w:t>razón</w:t>
      </w:r>
      <w:r>
        <w:rPr>
          <w:spacing w:val="50"/>
        </w:rPr>
        <w:t> </w:t>
      </w:r>
      <w:r>
        <w:rPr/>
        <w:t>Gasto</w:t>
      </w:r>
      <w:r>
        <w:rPr>
          <w:spacing w:val="51"/>
        </w:rPr>
        <w:t> </w:t>
      </w:r>
      <w:r>
        <w:rPr/>
        <w:t>Corriente/</w:t>
      </w:r>
      <w:r>
        <w:rPr>
          <w:spacing w:val="53"/>
        </w:rPr>
        <w:t> </w:t>
      </w:r>
      <w:r>
        <w:rPr/>
        <w:t>Ingresos</w:t>
      </w:r>
      <w:r>
        <w:rPr>
          <w:spacing w:val="51"/>
        </w:rPr>
        <w:t> </w:t>
      </w:r>
      <w:r>
        <w:rPr/>
        <w:t>fiscales</w:t>
      </w:r>
      <w:r>
        <w:rPr>
          <w:spacing w:val="50"/>
        </w:rPr>
        <w:t> </w:t>
      </w:r>
      <w:r>
        <w:rPr/>
        <w:t>no</w:t>
      </w:r>
      <w:r>
        <w:rPr>
          <w:spacing w:val="52"/>
        </w:rPr>
        <w:t> </w:t>
      </w:r>
      <w:r>
        <w:rPr/>
        <w:t>gasíferos</w:t>
      </w:r>
      <w:r>
        <w:rPr>
          <w:spacing w:val="50"/>
        </w:rPr>
        <w:t> </w:t>
      </w:r>
      <w:r>
        <w:rPr/>
        <w:t>en</w:t>
      </w:r>
      <w:r>
        <w:rPr>
          <w:spacing w:val="50"/>
        </w:rPr>
        <w:t> </w:t>
      </w:r>
      <w:r>
        <w:rPr/>
        <w:t>0.06%</w:t>
      </w:r>
    </w:p>
    <w:p>
      <w:pPr>
        <w:pStyle w:val="BodyText"/>
        <w:spacing w:line="360" w:lineRule="auto" w:before="4"/>
        <w:ind w:left="102" w:right="120"/>
        <w:jc w:val="both"/>
      </w:pPr>
      <w:r>
        <w:rPr>
          <w:w w:val="170"/>
        </w:rPr>
        <w:t>  </w:t>
      </w:r>
      <w:r>
        <w:rPr>
          <w:spacing w:val="-2"/>
          <w:w w:val="170"/>
        </w:rPr>
        <w:t> </w:t>
      </w:r>
      <w:r>
        <w:rPr>
          <w:w w:val="155"/>
        </w:rPr>
        <w:t> </w:t>
      </w:r>
      <w:r>
        <w:rPr>
          <w:spacing w:val="-2"/>
          <w:w w:val="155"/>
        </w:rPr>
        <w:t> </w:t>
      </w:r>
      <w:r>
        <w:rPr>
          <w:spacing w:val="2"/>
          <w:w w:val="311"/>
        </w:rPr>
        <w:t> </w:t>
      </w:r>
      <w:r>
        <w:rPr>
          <w:spacing w:val="-1"/>
          <w:w w:val="177"/>
        </w:rPr>
        <w:t> </w:t>
      </w:r>
      <w:r>
        <w:rPr>
          <w:w w:val="148"/>
        </w:rPr>
        <w:t>   </w:t>
      </w:r>
      <w:r>
        <w:rPr/>
        <w:t> </w:t>
      </w:r>
      <w:r>
        <w:rPr>
          <w:spacing w:val="-23"/>
        </w:rPr>
        <w:t> </w:t>
      </w:r>
      <w:r>
        <w:rPr>
          <w:w w:val="110"/>
        </w:rPr>
        <w:t>β                                                                                                          </w:t>
      </w:r>
      <w:r>
        <w:rPr/>
        <w:t>mayor gasto corriente, lo cual se apreció en los cuatro regímenes fiscales</w:t>
      </w:r>
      <w:r>
        <w:rPr>
          <w:spacing w:val="-13"/>
        </w:rPr>
        <w:t> </w:t>
      </w:r>
      <w:r>
        <w:rPr/>
        <w:t>alternativos.</w:t>
      </w:r>
    </w:p>
    <w:p>
      <w:pPr>
        <w:pStyle w:val="BodyText"/>
        <w:spacing w:before="4"/>
        <w:ind w:left="810" w:right="127"/>
      </w:pPr>
      <w:r>
        <w:rPr/>
        <w:t>Para el resultado fiscal sin recurso natural (modelo A), no se evidenció un efecto</w:t>
      </w:r>
    </w:p>
    <w:p>
      <w:pPr>
        <w:pStyle w:val="BodyText"/>
        <w:spacing w:line="360" w:lineRule="auto" w:before="139"/>
        <w:ind w:left="102" w:right="119"/>
        <w:jc w:val="both"/>
      </w:pPr>
      <w:r>
        <w:rPr>
          <w:w w:val="155"/>
        </w:rPr>
        <w:t>    </w:t>
      </w:r>
      <w:r>
        <w:rPr>
          <w:w w:val="177"/>
        </w:rPr>
        <w:t> </w:t>
      </w:r>
      <w:r>
        <w:rPr>
          <w:w w:val="155"/>
        </w:rPr>
        <w:t>  </w:t>
      </w:r>
      <w:r>
        <w:rPr/>
        <w:t> </w:t>
      </w:r>
      <w:r>
        <w:rPr>
          <w:w w:val="188"/>
        </w:rPr>
        <w:t>  </w:t>
      </w:r>
      <w:r>
        <w:rPr/>
        <w:t> </w:t>
      </w:r>
      <w:r>
        <w:rPr>
          <w:w w:val="155"/>
        </w:rPr>
        <w:t>   </w:t>
      </w:r>
      <w:r>
        <w:rPr/>
        <w:t> </w:t>
      </w:r>
      <w:r>
        <w:rPr>
          <w:w w:val="177"/>
        </w:rPr>
        <w:t> </w:t>
      </w:r>
      <w:r>
        <w:rPr>
          <w:w w:val="195"/>
        </w:rPr>
        <w:t>     </w:t>
      </w:r>
      <w:r>
        <w:rPr>
          <w:w w:val="155"/>
        </w:rPr>
        <w:t> </w:t>
      </w:r>
      <w:r>
        <w:rPr/>
        <w:t> </w:t>
      </w:r>
      <w:r>
        <w:rPr>
          <w:w w:val="200"/>
        </w:rPr>
        <w:t> </w:t>
      </w:r>
      <w:r>
        <w:rPr>
          <w:w w:val="177"/>
        </w:rPr>
        <w:t> </w:t>
      </w:r>
      <w:r>
        <w:rPr/>
        <w:t> </w:t>
      </w:r>
      <w:r>
        <w:rPr>
          <w:w w:val="166"/>
        </w:rPr>
        <w:t>  </w:t>
      </w:r>
      <w:r>
        <w:rPr>
          <w:w w:val="177"/>
        </w:rPr>
        <w:t>  </w:t>
      </w:r>
      <w:r>
        <w:rPr>
          <w:w w:val="155"/>
        </w:rPr>
        <w:t>   </w:t>
      </w:r>
      <w:r>
        <w:rPr/>
        <w:t> </w:t>
      </w:r>
      <w:r>
        <w:rPr>
          <w:w w:val="188"/>
        </w:rPr>
        <w:t>  </w:t>
      </w:r>
      <w:r>
        <w:rPr>
          <w:w w:val="111"/>
        </w:rPr>
        <w:t> </w:t>
      </w:r>
      <w:r>
        <w:rPr/>
        <w:t> </w:t>
      </w:r>
      <w:r>
        <w:rPr>
          <w:w w:val="188"/>
        </w:rPr>
        <w:t>  </w:t>
      </w:r>
      <w:r>
        <w:rPr>
          <w:w w:val="155"/>
        </w:rPr>
        <w:t> </w:t>
      </w:r>
      <w:r>
        <w:rPr/>
        <w:t> </w:t>
      </w:r>
      <w:r>
        <w:rPr>
          <w:w w:val="188"/>
        </w:rPr>
        <w:t>  </w:t>
      </w:r>
      <w:r>
        <w:rPr>
          <w:w w:val="155"/>
        </w:rPr>
        <w:t>    </w:t>
      </w:r>
      <w:r>
        <w:rPr>
          <w:w w:val="111"/>
        </w:rPr>
        <w:t> </w:t>
      </w:r>
      <w:r>
        <w:rPr/>
        <w:t> </w:t>
      </w:r>
      <w:r>
        <w:rPr>
          <w:w w:val="173"/>
        </w:rPr>
        <w:t>     </w:t>
      </w:r>
      <w:r>
        <w:rPr/>
        <w:t> </w:t>
      </w:r>
      <w:r>
        <w:rPr>
          <w:w w:val="170"/>
        </w:rPr>
        <w:t>   </w:t>
      </w:r>
      <w:r>
        <w:rPr/>
        <w:t> </w:t>
      </w:r>
      <w:r>
        <w:rPr>
          <w:w w:val="180"/>
        </w:rPr>
        <w:t>       </w:t>
      </w:r>
      <w:r>
        <w:rPr>
          <w:w w:val="168"/>
        </w:rPr>
        <w:t>     </w:t>
      </w:r>
      <w:r>
        <w:rPr/>
        <w:t> </w:t>
      </w:r>
      <w:r>
        <w:rPr>
          <w:w w:val="170"/>
        </w:rPr>
        <w:t>   </w:t>
      </w:r>
      <w:r>
        <w:rPr>
          <w:w w:val="155"/>
        </w:rPr>
        <w:t>  </w:t>
      </w:r>
      <w:r>
        <w:rPr>
          <w:w w:val="311"/>
        </w:rPr>
        <w:t> </w:t>
      </w:r>
      <w:r>
        <w:rPr>
          <w:w w:val="177"/>
        </w:rPr>
        <w:t> </w:t>
      </w:r>
      <w:r>
        <w:rPr>
          <w:w w:val="148"/>
        </w:rPr>
        <w:t>   </w:t>
      </w:r>
      <w:r>
        <w:rPr/>
        <w:t> β4 ; en consecuencia, los choques estructurales de los precios afectan de forma positiva en la</w:t>
      </w:r>
    </w:p>
    <w:p>
      <w:pPr>
        <w:pStyle w:val="BodyText"/>
        <w:spacing w:line="360" w:lineRule="auto" w:before="6"/>
        <w:ind w:left="102" w:right="125"/>
        <w:jc w:val="both"/>
      </w:pPr>
      <w:r>
        <w:rPr>
          <w:spacing w:val="-1"/>
          <w:w w:val="177"/>
        </w:rPr>
        <w:t> </w:t>
      </w:r>
      <w:r>
        <w:rPr>
          <w:w w:val="155"/>
        </w:rPr>
        <w:t>  </w:t>
      </w:r>
      <w:r>
        <w:rPr>
          <w:spacing w:val="-2"/>
          <w:w w:val="155"/>
        </w:rPr>
        <w:t> </w:t>
      </w:r>
      <w:r>
        <w:rPr>
          <w:w w:val="188"/>
        </w:rPr>
        <w:t> </w:t>
      </w:r>
      <w:r>
        <w:rPr>
          <w:spacing w:val="1"/>
          <w:w w:val="188"/>
        </w:rPr>
        <w:t> </w:t>
      </w:r>
      <w:r>
        <w:rPr>
          <w:spacing w:val="-1"/>
          <w:w w:val="177"/>
        </w:rPr>
        <w:t> </w:t>
      </w:r>
      <w:r>
        <w:rPr>
          <w:w w:val="170"/>
        </w:rPr>
        <w:t>   </w:t>
      </w:r>
      <w:r>
        <w:rPr/>
        <w:t> </w:t>
      </w:r>
      <w:r>
        <w:rPr>
          <w:spacing w:val="-10"/>
        </w:rPr>
        <w:t> </w:t>
      </w:r>
      <w:r>
        <w:rPr>
          <w:w w:val="188"/>
        </w:rPr>
        <w:t>  </w:t>
      </w:r>
      <w:r>
        <w:rPr/>
        <w:t> </w:t>
      </w:r>
      <w:r>
        <w:rPr>
          <w:spacing w:val="-9"/>
        </w:rPr>
        <w:t> </w:t>
      </w:r>
      <w:r>
        <w:rPr>
          <w:w w:val="164"/>
        </w:rPr>
        <w:t>    </w:t>
      </w:r>
      <w:r>
        <w:rPr>
          <w:spacing w:val="-2"/>
          <w:w w:val="164"/>
        </w:rPr>
        <w:t> </w:t>
      </w:r>
      <w:r>
        <w:rPr>
          <w:w w:val="170"/>
        </w:rPr>
        <w:t>   </w:t>
      </w:r>
      <w:r>
        <w:rPr/>
        <w:t> </w:t>
      </w:r>
      <w:r>
        <w:rPr>
          <w:spacing w:val="-7"/>
        </w:rPr>
        <w:t> </w:t>
      </w:r>
      <w:r>
        <w:rPr>
          <w:w w:val="144"/>
        </w:rPr>
        <w:t>   </w:t>
      </w:r>
      <w:r>
        <w:rPr>
          <w:spacing w:val="-1"/>
          <w:w w:val="144"/>
        </w:rPr>
        <w:t> </w:t>
      </w:r>
      <w:r>
        <w:rPr>
          <w:spacing w:val="-1"/>
          <w:w w:val="177"/>
        </w:rPr>
        <w:t> </w:t>
      </w:r>
      <w:r>
        <w:rPr>
          <w:w w:val="148"/>
        </w:rPr>
        <w:t>   </w:t>
      </w:r>
      <w:r>
        <w:rPr/>
        <w:t> </w:t>
      </w:r>
      <w:r>
        <w:rPr>
          <w:spacing w:val="-11"/>
        </w:rPr>
        <w:t> </w:t>
      </w:r>
      <w:r>
        <w:rPr>
          <w:w w:val="200"/>
        </w:rPr>
        <w:t>  </w:t>
      </w:r>
      <w:r>
        <w:rPr/>
        <w:t> </w:t>
      </w:r>
      <w:r>
        <w:rPr>
          <w:spacing w:val="-6"/>
        </w:rPr>
        <w:t> </w:t>
      </w:r>
      <w:r>
        <w:rPr>
          <w:spacing w:val="-3"/>
          <w:w w:val="200"/>
        </w:rPr>
        <w:t> </w:t>
      </w:r>
      <w:r>
        <w:rPr>
          <w:spacing w:val="-1"/>
          <w:w w:val="177"/>
        </w:rPr>
        <w:t> </w:t>
      </w:r>
      <w:r>
        <w:rPr>
          <w:w w:val="144"/>
        </w:rPr>
        <w:t>   </w:t>
      </w:r>
      <w:r>
        <w:rPr>
          <w:spacing w:val="1"/>
          <w:w w:val="144"/>
        </w:rPr>
        <w:t> </w:t>
      </w:r>
      <w:r>
        <w:rPr>
          <w:w w:val="162"/>
        </w:rPr>
        <w:t>   </w:t>
      </w:r>
      <w:r>
        <w:rPr/>
        <w:t> </w:t>
      </w:r>
      <w:r>
        <w:rPr>
          <w:spacing w:val="-11"/>
        </w:rPr>
        <w:t> </w:t>
      </w:r>
      <w:r>
        <w:rPr>
          <w:spacing w:val="-1"/>
          <w:w w:val="177"/>
        </w:rPr>
        <w:t> </w:t>
      </w:r>
      <w:r>
        <w:rPr>
          <w:w w:val="111"/>
        </w:rPr>
        <w:t> </w:t>
      </w:r>
      <w:r>
        <w:rPr/>
        <w:t> </w:t>
      </w:r>
      <w:r>
        <w:rPr>
          <w:spacing w:val="-7"/>
        </w:rPr>
        <w:t> </w:t>
      </w:r>
      <w:r>
        <w:rPr>
          <w:spacing w:val="-3"/>
          <w:w w:val="200"/>
        </w:rPr>
        <w:t> </w:t>
      </w:r>
      <w:r>
        <w:rPr>
          <w:spacing w:val="-1"/>
          <w:w w:val="177"/>
        </w:rPr>
        <w:t> </w:t>
      </w:r>
      <w:r>
        <w:rPr>
          <w:w w:val="155"/>
        </w:rPr>
        <w:t>   </w:t>
      </w:r>
      <w:r>
        <w:rPr/>
        <w:t> </w:t>
      </w:r>
      <w:r>
        <w:rPr>
          <w:spacing w:val="-7"/>
        </w:rPr>
        <w:t> </w:t>
      </w:r>
      <w:r>
        <w:rPr>
          <w:spacing w:val="-1"/>
          <w:w w:val="177"/>
        </w:rPr>
        <w:t> </w:t>
      </w:r>
      <w:r>
        <w:rPr>
          <w:w w:val="166"/>
        </w:rPr>
        <w:t> </w:t>
      </w:r>
      <w:r>
        <w:rPr>
          <w:spacing w:val="-1"/>
          <w:w w:val="166"/>
        </w:rPr>
        <w:t> </w:t>
      </w:r>
      <w:r>
        <w:rPr>
          <w:w w:val="122"/>
        </w:rPr>
        <w:t> </w:t>
      </w:r>
      <w:r>
        <w:rPr>
          <w:spacing w:val="1"/>
          <w:w w:val="122"/>
        </w:rPr>
        <w:t> </w:t>
      </w:r>
      <w:r>
        <w:rPr>
          <w:spacing w:val="-1"/>
          <w:w w:val="177"/>
        </w:rPr>
        <w:t> </w:t>
      </w:r>
      <w:r>
        <w:rPr>
          <w:w w:val="162"/>
        </w:rPr>
        <w:t>   </w:t>
      </w:r>
      <w:r>
        <w:rPr/>
        <w:t> </w:t>
      </w:r>
      <w:r>
        <w:rPr>
          <w:spacing w:val="-11"/>
        </w:rPr>
        <w:t> </w:t>
      </w:r>
      <w:r>
        <w:rPr>
          <w:w w:val="166"/>
        </w:rPr>
        <w:t> </w:t>
      </w:r>
      <w:r>
        <w:rPr>
          <w:spacing w:val="1"/>
          <w:w w:val="166"/>
        </w:rPr>
        <w:t> </w:t>
      </w:r>
      <w:r>
        <w:rPr>
          <w:spacing w:val="-1"/>
          <w:w w:val="177"/>
        </w:rPr>
        <w:t> </w:t>
      </w:r>
      <w:r>
        <w:rPr>
          <w:w w:val="155"/>
        </w:rPr>
        <w:t> </w:t>
      </w:r>
      <w:r>
        <w:rPr>
          <w:spacing w:val="-2"/>
          <w:w w:val="155"/>
        </w:rPr>
        <w:t> </w:t>
      </w:r>
      <w:r>
        <w:rPr>
          <w:spacing w:val="2"/>
          <w:w w:val="311"/>
        </w:rPr>
        <w:t> </w:t>
      </w:r>
      <w:r>
        <w:rPr>
          <w:spacing w:val="-1"/>
          <w:w w:val="177"/>
        </w:rPr>
        <w:t> </w:t>
      </w:r>
      <w:r>
        <w:rPr>
          <w:w w:val="148"/>
        </w:rPr>
        <w:t>   </w:t>
      </w:r>
      <w:r>
        <w:rPr/>
        <w:t> </w:t>
      </w:r>
      <w:r>
        <w:rPr>
          <w:spacing w:val="-11"/>
        </w:rPr>
        <w:t> </w:t>
      </w:r>
      <w:r>
        <w:rPr>
          <w:w w:val="115"/>
        </w:rPr>
        <w:t>β       </w:t>
      </w:r>
      <w:r>
        <w:rPr>
          <w:w w:val="105"/>
        </w:rPr>
        <w:t>últimos impactan negativa y significativamente sobre el resultado fiscal sin ingresos</w:t>
      </w:r>
      <w:r>
        <w:rPr>
          <w:spacing w:val="-25"/>
          <w:w w:val="105"/>
        </w:rPr>
        <w:t> </w:t>
      </w:r>
      <w:r>
        <w:rPr>
          <w:w w:val="105"/>
        </w:rPr>
        <w:t>del recurso natu                     </w:t>
      </w:r>
      <w:r>
        <w:rPr>
          <w:spacing w:val="9"/>
          <w:w w:val="105"/>
        </w:rPr>
        <w:t> </w:t>
      </w:r>
      <w:r>
        <w:rPr>
          <w:w w:val="105"/>
        </w:rPr>
        <w:t>β4   </w:t>
      </w:r>
    </w:p>
    <w:p>
      <w:pPr>
        <w:pStyle w:val="BodyText"/>
        <w:spacing w:before="6"/>
        <w:ind w:left="810"/>
      </w:pPr>
      <w:r>
        <w:rPr/>
        <w:t>Para  resultados  fiscales  con  ingresos  del  gas  natural  (modelos  B,  C  y  D  en el</w:t>
      </w:r>
    </w:p>
    <w:p>
      <w:pPr>
        <w:pStyle w:val="BodyText"/>
        <w:spacing w:line="360" w:lineRule="auto" w:before="137"/>
        <w:ind w:left="102" w:right="118"/>
        <w:jc w:val="both"/>
      </w:pPr>
      <w:r>
        <w:rPr>
          <w:w w:val="188"/>
        </w:rPr>
        <w:t>  </w:t>
      </w:r>
      <w:r>
        <w:rPr>
          <w:w w:val="155"/>
        </w:rPr>
        <w:t>  </w:t>
      </w:r>
      <w:r>
        <w:rPr>
          <w:w w:val="186"/>
        </w:rPr>
        <w:t>     </w:t>
      </w:r>
      <w:r>
        <w:rPr/>
        <w:t>  β41), los choques de precios del gas natural, de forma instantánea, incidieron positiva y significativa sobre las innovaciones de los balances fiscales con gas natural: primario, balance global y cíclicamente ajustado.</w:t>
      </w:r>
    </w:p>
    <w:p>
      <w:pPr>
        <w:pStyle w:val="BodyText"/>
        <w:spacing w:line="360" w:lineRule="auto" w:before="6"/>
        <w:ind w:left="102" w:right="117" w:firstLine="707"/>
        <w:jc w:val="both"/>
      </w:pPr>
      <w:r>
        <w:rPr/>
        <w:t>Para la deuda pública, los choques de precios del gas naturales influyen negativamente sobre sus innovaciones (disminución del endeudamiento público,  parámetro</w:t>
      </w:r>
    </w:p>
    <w:p>
      <w:pPr>
        <w:spacing w:after="0" w:line="360" w:lineRule="auto"/>
        <w:jc w:val="both"/>
        <w:sectPr>
          <w:pgSz w:w="12250" w:h="15850"/>
          <w:pgMar w:header="0" w:footer="1037" w:top="1360" w:bottom="1220" w:left="1600" w:right="1580"/>
        </w:sectPr>
      </w:pPr>
    </w:p>
    <w:p>
      <w:pPr>
        <w:pStyle w:val="BodyText"/>
        <w:spacing w:line="360" w:lineRule="auto" w:before="50"/>
        <w:ind w:left="122" w:right="99"/>
        <w:jc w:val="both"/>
      </w:pPr>
      <w:r>
        <w:rPr/>
        <w:t>β5 ). Otro elemento que incidió en las innovaciones contemporáneas de la deuda pública  fue el efecto positivo de los choques de la asignación de ingresos fiscales gasíferos, por tanto, cuando se incrementa la razón gasto de capital en términos de ingresos fiscales gasíferos, se incrementa de forma instantánea la deuda pública                    β5  </w:t>
      </w:r>
      <w:r>
        <w:rPr>
          <w:spacing w:val="44"/>
        </w:rPr>
        <w:t> </w:t>
      </w:r>
      <w:r>
        <w:rPr/>
        <w:t>.</w:t>
      </w:r>
    </w:p>
    <w:p>
      <w:pPr>
        <w:pStyle w:val="BodyText"/>
        <w:spacing w:line="350" w:lineRule="auto" w:before="6"/>
        <w:ind w:left="122" w:right="98" w:firstLine="707"/>
        <w:jc w:val="both"/>
        <w:rPr>
          <w:sz w:val="16"/>
        </w:rPr>
      </w:pPr>
      <w:r>
        <w:rPr/>
        <w:t>De forma contemporánea, existe un desacoplamiento entre las innovaciones de la deuda pública y los choques de los resultados fiscales                β54 ,  lo cual implica que las fluctuaciones de la deuda pública no se originan por los choques positivos de superávit fiscal                                    </w:t>
      </w:r>
      <w:r>
        <w:rPr>
          <w:spacing w:val="21"/>
        </w:rPr>
        <w:t> </w:t>
      </w:r>
      <w:r>
        <w:rPr/>
        <w:t>.</w:t>
      </w:r>
      <w:r>
        <w:rPr>
          <w:position w:val="11"/>
          <w:sz w:val="16"/>
        </w:rPr>
        <w:t>73</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9"/>
        </w:rPr>
      </w:pPr>
      <w:r>
        <w:rPr/>
        <w:pict>
          <v:line style="position:absolute;mso-position-horizontal-relative:page;mso-position-vertical-relative:paragraph;z-index:12664;mso-wrap-distance-left:0;mso-wrap-distance-right:0" from="85.103996pt,19.174049pt" to="229.123996pt,19.174049pt" stroked="true" strokeweight=".60004pt" strokecolor="#000000">
            <w10:wrap type="topAndBottom"/>
          </v:line>
        </w:pict>
      </w:r>
    </w:p>
    <w:p>
      <w:pPr>
        <w:spacing w:before="50"/>
        <w:ind w:left="122" w:right="127" w:firstLine="0"/>
        <w:jc w:val="left"/>
        <w:rPr>
          <w:sz w:val="20"/>
        </w:rPr>
      </w:pPr>
      <w:r>
        <w:rPr>
          <w:position w:val="9"/>
          <w:sz w:val="13"/>
        </w:rPr>
        <w:t>73 </w:t>
      </w:r>
      <w:r>
        <w:rPr>
          <w:sz w:val="20"/>
        </w:rPr>
        <w:t>Un análisis complementario requiere evaluar la magnitud de tres efectos: i) crecimiento del producto, ii) costo de la deuda pública y iii) balance primario.</w:t>
      </w:r>
    </w:p>
    <w:p>
      <w:pPr>
        <w:spacing w:after="0"/>
        <w:jc w:val="left"/>
        <w:rPr>
          <w:sz w:val="20"/>
        </w:rPr>
        <w:sectPr>
          <w:pgSz w:w="12250" w:h="15850"/>
          <w:pgMar w:header="0" w:footer="1037" w:top="1360" w:bottom="1220" w:left="1580" w:right="1600"/>
        </w:sectPr>
      </w:pPr>
    </w:p>
    <w:p>
      <w:pPr>
        <w:pStyle w:val="BodyText"/>
        <w:spacing w:line="276" w:lineRule="auto" w:before="50"/>
        <w:ind w:left="975" w:right="1024" w:firstLine="940"/>
      </w:pPr>
      <w:bookmarkStart w:name="_bookmark129" w:id="177"/>
      <w:bookmarkEnd w:id="177"/>
      <w:r>
        <w:rPr/>
      </w:r>
      <w:r>
        <w:rPr/>
        <w:t>Cuadro 4. 6: Resultados de la factorización estructural Respuesta de innovaciones de las variables  frente a choques estructurales</w:t>
      </w:r>
    </w:p>
    <w:p>
      <w:pPr>
        <w:pStyle w:val="BodyText"/>
        <w:spacing w:before="1"/>
        <w:ind w:left="2608" w:right="148"/>
      </w:pPr>
      <w:r>
        <w:rPr/>
        <w:t>Efectos contemporáneos de los choques</w:t>
      </w:r>
    </w:p>
    <w:p>
      <w:pPr>
        <w:pStyle w:val="BodyText"/>
        <w:spacing w:before="5"/>
        <w:rPr>
          <w:sz w:val="14"/>
        </w:rPr>
      </w:pPr>
    </w:p>
    <w:p>
      <w:pPr>
        <w:spacing w:before="0" w:after="6"/>
        <w:ind w:left="0" w:right="674" w:firstLine="0"/>
        <w:jc w:val="right"/>
        <w:rPr>
          <w:sz w:val="16"/>
        </w:rPr>
      </w:pPr>
      <w:r>
        <w:rPr>
          <w:sz w:val="16"/>
        </w:rPr>
        <w:t>Especifiaciones  alternativas (SVAR)</w:t>
      </w:r>
    </w:p>
    <w:tbl>
      <w:tblPr>
        <w:tblW w:w="0" w:type="auto"/>
        <w:jc w:val="left"/>
        <w:tblInd w:w="449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62"/>
        <w:gridCol w:w="1036"/>
        <w:gridCol w:w="1171"/>
        <w:gridCol w:w="1086"/>
      </w:tblGrid>
      <w:tr>
        <w:trPr>
          <w:trHeight w:val="566" w:hRule="exact"/>
        </w:trPr>
        <w:tc>
          <w:tcPr>
            <w:tcW w:w="1162" w:type="dxa"/>
            <w:tcBorders>
              <w:bottom w:val="double" w:sz="4" w:space="0" w:color="000000"/>
            </w:tcBorders>
          </w:tcPr>
          <w:p>
            <w:pPr>
              <w:pStyle w:val="TableParagraph"/>
              <w:spacing w:before="60"/>
              <w:ind w:left="96" w:right="97"/>
              <w:rPr>
                <w:b/>
                <w:sz w:val="19"/>
              </w:rPr>
            </w:pPr>
            <w:r>
              <w:rPr>
                <w:b/>
                <w:sz w:val="19"/>
              </w:rPr>
              <w:t>SVAR</w:t>
            </w:r>
          </w:p>
          <w:p>
            <w:pPr>
              <w:pStyle w:val="TableParagraph"/>
              <w:spacing w:before="34"/>
              <w:ind w:left="96" w:right="102"/>
              <w:rPr>
                <w:b/>
                <w:sz w:val="19"/>
              </w:rPr>
            </w:pPr>
            <w:r>
              <w:rPr>
                <w:b/>
                <w:sz w:val="19"/>
              </w:rPr>
              <w:t>(Modelo A)</w:t>
            </w:r>
          </w:p>
        </w:tc>
        <w:tc>
          <w:tcPr>
            <w:tcW w:w="1036" w:type="dxa"/>
            <w:tcBorders>
              <w:top w:val="double" w:sz="4" w:space="0" w:color="000000"/>
              <w:bottom w:val="double" w:sz="4" w:space="0" w:color="000000"/>
            </w:tcBorders>
            <w:shd w:val="clear" w:color="auto" w:fill="EAF0DD"/>
          </w:tcPr>
          <w:p>
            <w:pPr>
              <w:pStyle w:val="TableParagraph"/>
              <w:spacing w:before="45"/>
              <w:ind w:left="49" w:right="28"/>
              <w:rPr>
                <w:b/>
                <w:sz w:val="19"/>
              </w:rPr>
            </w:pPr>
            <w:r>
              <w:rPr>
                <w:b/>
                <w:sz w:val="19"/>
              </w:rPr>
              <w:t>SVAR</w:t>
            </w:r>
          </w:p>
          <w:p>
            <w:pPr>
              <w:pStyle w:val="TableParagraph"/>
              <w:spacing w:before="34"/>
              <w:ind w:left="49" w:right="34"/>
              <w:rPr>
                <w:b/>
                <w:sz w:val="19"/>
              </w:rPr>
            </w:pPr>
            <w:r>
              <w:rPr>
                <w:b/>
                <w:sz w:val="19"/>
              </w:rPr>
              <w:t>(Modelo B)</w:t>
            </w:r>
          </w:p>
        </w:tc>
        <w:tc>
          <w:tcPr>
            <w:tcW w:w="1171" w:type="dxa"/>
            <w:tcBorders>
              <w:top w:val="double" w:sz="4" w:space="0" w:color="000000"/>
              <w:bottom w:val="double" w:sz="4" w:space="0" w:color="000000"/>
            </w:tcBorders>
            <w:shd w:val="clear" w:color="auto" w:fill="EAF0DD"/>
          </w:tcPr>
          <w:p>
            <w:pPr>
              <w:pStyle w:val="TableParagraph"/>
              <w:spacing w:before="45"/>
              <w:ind w:left="129" w:right="72"/>
              <w:rPr>
                <w:b/>
                <w:sz w:val="19"/>
              </w:rPr>
            </w:pPr>
            <w:r>
              <w:rPr>
                <w:b/>
                <w:sz w:val="19"/>
              </w:rPr>
              <w:t>SVAR</w:t>
            </w:r>
          </w:p>
          <w:p>
            <w:pPr>
              <w:pStyle w:val="TableParagraph"/>
              <w:spacing w:before="34"/>
              <w:ind w:left="134" w:right="72"/>
              <w:rPr>
                <w:b/>
                <w:sz w:val="19"/>
              </w:rPr>
            </w:pPr>
            <w:r>
              <w:rPr>
                <w:b/>
                <w:sz w:val="19"/>
              </w:rPr>
              <w:t>(Modelo C)</w:t>
            </w:r>
          </w:p>
        </w:tc>
        <w:tc>
          <w:tcPr>
            <w:tcW w:w="1086" w:type="dxa"/>
            <w:tcBorders>
              <w:top w:val="double" w:sz="4" w:space="0" w:color="000000"/>
              <w:bottom w:val="double" w:sz="4" w:space="0" w:color="000000"/>
            </w:tcBorders>
            <w:shd w:val="clear" w:color="auto" w:fill="EAF0DD"/>
          </w:tcPr>
          <w:p>
            <w:pPr>
              <w:pStyle w:val="TableParagraph"/>
              <w:spacing w:before="45"/>
              <w:ind w:left="80" w:right="38"/>
              <w:rPr>
                <w:b/>
                <w:sz w:val="19"/>
              </w:rPr>
            </w:pPr>
            <w:r>
              <w:rPr>
                <w:b/>
                <w:sz w:val="19"/>
              </w:rPr>
              <w:t>SVAR</w:t>
            </w:r>
          </w:p>
          <w:p>
            <w:pPr>
              <w:pStyle w:val="TableParagraph"/>
              <w:spacing w:before="34"/>
              <w:ind w:left="85" w:right="38"/>
              <w:rPr>
                <w:b/>
                <w:sz w:val="19"/>
              </w:rPr>
            </w:pPr>
            <w:r>
              <w:rPr>
                <w:b/>
                <w:sz w:val="19"/>
              </w:rPr>
              <w:t>(Modelo D)</w:t>
            </w:r>
          </w:p>
        </w:tc>
      </w:tr>
      <w:tr>
        <w:trPr>
          <w:trHeight w:val="688" w:hRule="exact"/>
        </w:trPr>
        <w:tc>
          <w:tcPr>
            <w:tcW w:w="1162" w:type="dxa"/>
            <w:tcBorders>
              <w:top w:val="double" w:sz="4" w:space="0" w:color="000000"/>
              <w:bottom w:val="double" w:sz="4" w:space="0" w:color="000000"/>
            </w:tcBorders>
          </w:tcPr>
          <w:p>
            <w:pPr>
              <w:pStyle w:val="TableParagraph"/>
              <w:spacing w:line="276" w:lineRule="auto" w:before="22"/>
              <w:ind w:left="20" w:right="411"/>
              <w:jc w:val="both"/>
              <w:rPr>
                <w:sz w:val="16"/>
              </w:rPr>
            </w:pPr>
            <w:r>
              <w:rPr>
                <w:sz w:val="16"/>
              </w:rPr>
              <w:t>y</w:t>
            </w:r>
            <w:r>
              <w:rPr>
                <w:sz w:val="11"/>
              </w:rPr>
              <w:t>4t</w:t>
            </w:r>
            <w:r>
              <w:rPr>
                <w:sz w:val="16"/>
              </w:rPr>
              <w:t>: </w:t>
            </w:r>
            <w:r>
              <w:rPr>
                <w:spacing w:val="-6"/>
                <w:sz w:val="16"/>
              </w:rPr>
              <w:t>Balance </w:t>
            </w:r>
            <w:r>
              <w:rPr>
                <w:spacing w:val="-7"/>
                <w:sz w:val="16"/>
              </w:rPr>
              <w:t>primario </w:t>
            </w:r>
            <w:r>
              <w:rPr>
                <w:spacing w:val="-6"/>
                <w:sz w:val="16"/>
              </w:rPr>
              <w:t>no </w:t>
            </w:r>
            <w:r>
              <w:rPr>
                <w:spacing w:val="-7"/>
                <w:sz w:val="16"/>
              </w:rPr>
              <w:t>gasífero</w:t>
            </w:r>
          </w:p>
        </w:tc>
        <w:tc>
          <w:tcPr>
            <w:tcW w:w="1036" w:type="dxa"/>
            <w:tcBorders>
              <w:top w:val="double" w:sz="4" w:space="0" w:color="000000"/>
              <w:bottom w:val="double" w:sz="4" w:space="0" w:color="000000"/>
            </w:tcBorders>
            <w:shd w:val="clear" w:color="auto" w:fill="EAF0DD"/>
          </w:tcPr>
          <w:p>
            <w:pPr>
              <w:pStyle w:val="TableParagraph"/>
              <w:spacing w:line="276" w:lineRule="auto" w:before="134"/>
              <w:ind w:left="30"/>
              <w:jc w:val="left"/>
              <w:rPr>
                <w:sz w:val="16"/>
              </w:rPr>
            </w:pPr>
            <w:r>
              <w:rPr>
                <w:b/>
                <w:sz w:val="16"/>
              </w:rPr>
              <w:t>y</w:t>
            </w:r>
            <w:r>
              <w:rPr>
                <w:b/>
                <w:sz w:val="11"/>
              </w:rPr>
              <w:t>4t</w:t>
            </w:r>
            <w:r>
              <w:rPr>
                <w:b/>
                <w:sz w:val="16"/>
              </w:rPr>
              <w:t>*</w:t>
            </w:r>
            <w:r>
              <w:rPr>
                <w:sz w:val="16"/>
              </w:rPr>
              <w:t>: Balance primario</w:t>
            </w:r>
          </w:p>
        </w:tc>
        <w:tc>
          <w:tcPr>
            <w:tcW w:w="1171" w:type="dxa"/>
            <w:tcBorders>
              <w:top w:val="double" w:sz="4" w:space="0" w:color="000000"/>
              <w:bottom w:val="double" w:sz="4" w:space="0" w:color="000000"/>
            </w:tcBorders>
            <w:shd w:val="clear" w:color="auto" w:fill="EAF0DD"/>
          </w:tcPr>
          <w:p>
            <w:pPr>
              <w:pStyle w:val="TableParagraph"/>
              <w:spacing w:line="276" w:lineRule="auto" w:before="134"/>
              <w:ind w:left="44"/>
              <w:jc w:val="left"/>
              <w:rPr>
                <w:sz w:val="16"/>
              </w:rPr>
            </w:pPr>
            <w:r>
              <w:rPr>
                <w:b/>
                <w:sz w:val="16"/>
              </w:rPr>
              <w:t>y</w:t>
            </w:r>
            <w:r>
              <w:rPr>
                <w:b/>
                <w:sz w:val="11"/>
              </w:rPr>
              <w:t>4t</w:t>
            </w:r>
            <w:r>
              <w:rPr>
                <w:sz w:val="16"/>
              </w:rPr>
              <w:t>*: </w:t>
            </w:r>
            <w:r>
              <w:rPr>
                <w:spacing w:val="-6"/>
                <w:sz w:val="16"/>
              </w:rPr>
              <w:t>Balance </w:t>
            </w:r>
            <w:r>
              <w:rPr>
                <w:spacing w:val="-5"/>
                <w:sz w:val="16"/>
              </w:rPr>
              <w:t>global </w:t>
            </w:r>
            <w:r>
              <w:rPr>
                <w:spacing w:val="-7"/>
                <w:sz w:val="16"/>
              </w:rPr>
              <w:t>cícl. </w:t>
            </w:r>
            <w:r>
              <w:rPr>
                <w:spacing w:val="-6"/>
                <w:sz w:val="16"/>
              </w:rPr>
              <w:t>Ajust.</w:t>
            </w:r>
          </w:p>
        </w:tc>
        <w:tc>
          <w:tcPr>
            <w:tcW w:w="1086" w:type="dxa"/>
            <w:tcBorders>
              <w:top w:val="double" w:sz="4" w:space="0" w:color="000000"/>
              <w:bottom w:val="double" w:sz="4" w:space="0" w:color="000000"/>
            </w:tcBorders>
            <w:shd w:val="clear" w:color="auto" w:fill="EAF0DD"/>
          </w:tcPr>
          <w:p>
            <w:pPr>
              <w:pStyle w:val="TableParagraph"/>
              <w:spacing w:line="276" w:lineRule="auto" w:before="134"/>
              <w:ind w:left="76"/>
              <w:jc w:val="left"/>
              <w:rPr>
                <w:sz w:val="16"/>
              </w:rPr>
            </w:pPr>
            <w:r>
              <w:rPr>
                <w:b/>
                <w:sz w:val="16"/>
              </w:rPr>
              <w:t>y</w:t>
            </w:r>
            <w:r>
              <w:rPr>
                <w:b/>
                <w:sz w:val="11"/>
              </w:rPr>
              <w:t>4t</w:t>
            </w:r>
            <w:r>
              <w:rPr>
                <w:sz w:val="16"/>
              </w:rPr>
              <w:t>*: Balance global</w:t>
            </w:r>
          </w:p>
        </w:tc>
      </w:tr>
    </w:tbl>
    <w:p>
      <w:pPr>
        <w:spacing w:after="0" w:line="276" w:lineRule="auto"/>
        <w:jc w:val="left"/>
        <w:rPr>
          <w:sz w:val="16"/>
        </w:rPr>
        <w:sectPr>
          <w:pgSz w:w="12250" w:h="15850"/>
          <w:pgMar w:header="0" w:footer="1037" w:top="1360" w:bottom="1220" w:left="1600" w:right="1540"/>
        </w:sectPr>
      </w:pPr>
    </w:p>
    <w:p>
      <w:pPr>
        <w:spacing w:before="12"/>
        <w:ind w:left="161" w:right="0" w:firstLine="0"/>
        <w:jc w:val="left"/>
        <w:rPr>
          <w:b/>
          <w:sz w:val="16"/>
        </w:rPr>
      </w:pPr>
      <w:r>
        <w:rPr>
          <w:b/>
          <w:sz w:val="16"/>
        </w:rPr>
        <w:t>Respuesta estructural de  los precios  del gas natural(y</w:t>
      </w:r>
      <w:r>
        <w:rPr>
          <w:b/>
          <w:sz w:val="11"/>
        </w:rPr>
        <w:t>1t</w:t>
      </w:r>
      <w:r>
        <w:rPr>
          <w:b/>
          <w:sz w:val="16"/>
        </w:rPr>
        <w:t>)</w:t>
      </w:r>
    </w:p>
    <w:p>
      <w:pPr>
        <w:tabs>
          <w:tab w:pos="3312" w:val="left" w:leader="none"/>
        </w:tabs>
        <w:spacing w:before="28"/>
        <w:ind w:left="161" w:right="0" w:firstLine="0"/>
        <w:jc w:val="left"/>
        <w:rPr>
          <w:sz w:val="16"/>
        </w:rPr>
      </w:pPr>
      <w:r>
        <w:rPr>
          <w:spacing w:val="-7"/>
          <w:sz w:val="16"/>
        </w:rPr>
        <w:t>Impulso </w:t>
      </w:r>
      <w:r>
        <w:rPr>
          <w:sz w:val="16"/>
        </w:rPr>
        <w:t>a </w:t>
      </w:r>
      <w:r>
        <w:rPr>
          <w:spacing w:val="-6"/>
          <w:sz w:val="16"/>
        </w:rPr>
        <w:t>un </w:t>
      </w:r>
      <w:r>
        <w:rPr>
          <w:spacing w:val="-5"/>
          <w:sz w:val="16"/>
        </w:rPr>
        <w:t>choque</w:t>
      </w:r>
      <w:r>
        <w:rPr>
          <w:spacing w:val="28"/>
          <w:sz w:val="16"/>
        </w:rPr>
        <w:t> </w:t>
      </w:r>
      <w:r>
        <w:rPr>
          <w:spacing w:val="-7"/>
          <w:sz w:val="16"/>
        </w:rPr>
        <w:t>positivo</w:t>
      </w:r>
      <w:r>
        <w:rPr>
          <w:spacing w:val="7"/>
          <w:sz w:val="16"/>
        </w:rPr>
        <w:t> </w:t>
      </w:r>
      <w:r>
        <w:rPr>
          <w:spacing w:val="-6"/>
          <w:sz w:val="16"/>
        </w:rPr>
        <w:t>estructural:</w:t>
        <w:tab/>
      </w:r>
      <w:r>
        <w:rPr>
          <w:spacing w:val="-4"/>
          <w:sz w:val="16"/>
        </w:rPr>
        <w:t>Parametros:</w:t>
      </w:r>
    </w:p>
    <w:p>
      <w:pPr>
        <w:pStyle w:val="BodyText"/>
        <w:spacing w:before="6"/>
        <w:rPr>
          <w:sz w:val="19"/>
        </w:rPr>
      </w:pPr>
      <w:r>
        <w:rPr/>
        <w:br w:type="column"/>
      </w:r>
      <w:r>
        <w:rPr>
          <w:sz w:val="19"/>
        </w:rPr>
      </w:r>
    </w:p>
    <w:p>
      <w:pPr>
        <w:spacing w:before="0"/>
        <w:ind w:left="161" w:right="0" w:firstLine="0"/>
        <w:jc w:val="left"/>
        <w:rPr>
          <w:sz w:val="16"/>
        </w:rPr>
      </w:pPr>
      <w:r>
        <w:rPr>
          <w:sz w:val="16"/>
        </w:rPr>
        <w:t>Coeficientes</w:t>
      </w:r>
    </w:p>
    <w:p>
      <w:pPr>
        <w:spacing w:after="0"/>
        <w:jc w:val="left"/>
        <w:rPr>
          <w:sz w:val="16"/>
        </w:rPr>
        <w:sectPr>
          <w:type w:val="continuous"/>
          <w:pgSz w:w="12250" w:h="15850"/>
          <w:pgMar w:top="1500" w:bottom="280" w:left="1600" w:right="1540"/>
          <w:cols w:num="2" w:equalWidth="0">
            <w:col w:w="4055" w:space="2148"/>
            <w:col w:w="2907"/>
          </w:cols>
        </w:sectPr>
      </w:pPr>
    </w:p>
    <w:tbl>
      <w:tblPr>
        <w:tblW w:w="0" w:type="auto"/>
        <w:jc w:val="left"/>
        <w:tblInd w:w="125"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2357"/>
        <w:gridCol w:w="1952"/>
        <w:gridCol w:w="1227"/>
        <w:gridCol w:w="1328"/>
        <w:gridCol w:w="1116"/>
        <w:gridCol w:w="849"/>
      </w:tblGrid>
      <w:tr>
        <w:trPr>
          <w:trHeight w:val="233" w:hRule="exact"/>
        </w:trPr>
        <w:tc>
          <w:tcPr>
            <w:tcW w:w="2357" w:type="dxa"/>
            <w:tcBorders>
              <w:left w:val="nil"/>
              <w:right w:val="nil"/>
            </w:tcBorders>
          </w:tcPr>
          <w:p>
            <w:pPr>
              <w:pStyle w:val="TableParagraph"/>
              <w:spacing w:before="9"/>
              <w:ind w:left="70"/>
              <w:jc w:val="left"/>
              <w:rPr>
                <w:rFonts w:ascii="Calibri"/>
                <w:sz w:val="16"/>
              </w:rPr>
            </w:pPr>
            <w:r>
              <w:rPr>
                <w:rFonts w:ascii="Calibri"/>
                <w:sz w:val="16"/>
              </w:rPr>
              <w:t>La misma variable</w:t>
            </w:r>
          </w:p>
        </w:tc>
        <w:tc>
          <w:tcPr>
            <w:tcW w:w="1952" w:type="dxa"/>
            <w:tcBorders>
              <w:left w:val="nil"/>
              <w:right w:val="nil"/>
            </w:tcBorders>
          </w:tcPr>
          <w:p>
            <w:pPr>
              <w:pStyle w:val="TableParagraph"/>
              <w:spacing w:before="9"/>
              <w:ind w:left="1083" w:right="662"/>
              <w:rPr>
                <w:rFonts w:ascii="Calibri" w:hAnsi="Calibri"/>
                <w:sz w:val="16"/>
              </w:rPr>
            </w:pPr>
            <w:r>
              <w:rPr>
                <w:rFonts w:ascii="Calibri" w:hAnsi="Calibri"/>
                <w:sz w:val="16"/>
              </w:rPr>
              <w:t>β1</w:t>
            </w:r>
          </w:p>
        </w:tc>
        <w:tc>
          <w:tcPr>
            <w:tcW w:w="1227" w:type="dxa"/>
            <w:tcBorders>
              <w:left w:val="nil"/>
              <w:right w:val="nil"/>
            </w:tcBorders>
          </w:tcPr>
          <w:p>
            <w:pPr>
              <w:pStyle w:val="TableParagraph"/>
              <w:spacing w:before="12"/>
              <w:ind w:left="681"/>
              <w:jc w:val="left"/>
              <w:rPr>
                <w:sz w:val="16"/>
              </w:rPr>
            </w:pPr>
            <w:r>
              <w:rPr>
                <w:sz w:val="16"/>
              </w:rPr>
              <w:t>0.29**</w:t>
            </w:r>
          </w:p>
        </w:tc>
        <w:tc>
          <w:tcPr>
            <w:tcW w:w="1328" w:type="dxa"/>
            <w:tcBorders>
              <w:left w:val="nil"/>
              <w:right w:val="nil"/>
            </w:tcBorders>
            <w:shd w:val="clear" w:color="auto" w:fill="DBEDF3"/>
          </w:tcPr>
          <w:p>
            <w:pPr>
              <w:pStyle w:val="TableParagraph"/>
              <w:spacing w:before="12"/>
              <w:ind w:left="504"/>
              <w:jc w:val="left"/>
              <w:rPr>
                <w:sz w:val="16"/>
              </w:rPr>
            </w:pPr>
            <w:r>
              <w:rPr>
                <w:sz w:val="16"/>
              </w:rPr>
              <w:t>0.25**</w:t>
            </w:r>
          </w:p>
        </w:tc>
        <w:tc>
          <w:tcPr>
            <w:tcW w:w="1116" w:type="dxa"/>
            <w:tcBorders>
              <w:left w:val="nil"/>
              <w:right w:val="nil"/>
            </w:tcBorders>
            <w:shd w:val="clear" w:color="auto" w:fill="DBEDF3"/>
          </w:tcPr>
          <w:p>
            <w:pPr>
              <w:pStyle w:val="TableParagraph"/>
              <w:spacing w:before="12"/>
              <w:ind w:left="378"/>
              <w:jc w:val="left"/>
              <w:rPr>
                <w:sz w:val="16"/>
              </w:rPr>
            </w:pPr>
            <w:r>
              <w:rPr>
                <w:sz w:val="16"/>
              </w:rPr>
              <w:t>0.23**</w:t>
            </w:r>
          </w:p>
        </w:tc>
        <w:tc>
          <w:tcPr>
            <w:tcW w:w="849" w:type="dxa"/>
            <w:tcBorders>
              <w:left w:val="nil"/>
              <w:right w:val="nil"/>
            </w:tcBorders>
            <w:shd w:val="clear" w:color="auto" w:fill="DBEDF3"/>
          </w:tcPr>
          <w:p>
            <w:pPr>
              <w:pStyle w:val="TableParagraph"/>
              <w:spacing w:before="12"/>
              <w:ind w:left="292"/>
              <w:jc w:val="left"/>
              <w:rPr>
                <w:sz w:val="16"/>
              </w:rPr>
            </w:pPr>
            <w:r>
              <w:rPr>
                <w:sz w:val="16"/>
              </w:rPr>
              <w:t>0.25**</w:t>
            </w:r>
          </w:p>
        </w:tc>
      </w:tr>
    </w:tbl>
    <w:p>
      <w:pPr>
        <w:pStyle w:val="BodyText"/>
        <w:spacing w:before="10"/>
        <w:rPr>
          <w:sz w:val="13"/>
        </w:rPr>
      </w:pPr>
    </w:p>
    <w:p>
      <w:pPr>
        <w:spacing w:after="0"/>
        <w:rPr>
          <w:sz w:val="13"/>
        </w:rPr>
        <w:sectPr>
          <w:type w:val="continuous"/>
          <w:pgSz w:w="12250" w:h="15850"/>
          <w:pgMar w:top="1500" w:bottom="280" w:left="1600" w:right="1540"/>
        </w:sectPr>
      </w:pPr>
    </w:p>
    <w:p>
      <w:pPr>
        <w:spacing w:line="278" w:lineRule="auto" w:before="82"/>
        <w:ind w:left="2171" w:right="0" w:hanging="1859"/>
        <w:jc w:val="left"/>
        <w:rPr>
          <w:b/>
          <w:sz w:val="16"/>
        </w:rPr>
      </w:pPr>
      <w:r>
        <w:rPr>
          <w:b/>
          <w:sz w:val="16"/>
        </w:rPr>
        <w:t>Respuesta </w:t>
      </w:r>
      <w:r>
        <w:rPr>
          <w:b/>
          <w:spacing w:val="-4"/>
          <w:sz w:val="16"/>
        </w:rPr>
        <w:t>estructural </w:t>
      </w:r>
      <w:r>
        <w:rPr>
          <w:b/>
          <w:spacing w:val="-6"/>
          <w:sz w:val="16"/>
        </w:rPr>
        <w:t>de </w:t>
      </w:r>
      <w:r>
        <w:rPr>
          <w:b/>
          <w:spacing w:val="-3"/>
          <w:sz w:val="16"/>
        </w:rPr>
        <w:t>la Asignac. </w:t>
      </w:r>
      <w:r>
        <w:rPr>
          <w:b/>
          <w:sz w:val="16"/>
        </w:rPr>
        <w:t>De </w:t>
      </w:r>
      <w:r>
        <w:rPr>
          <w:b/>
          <w:spacing w:val="-4"/>
          <w:sz w:val="16"/>
        </w:rPr>
        <w:t>Ing. </w:t>
      </w:r>
      <w:r>
        <w:rPr>
          <w:b/>
          <w:sz w:val="16"/>
        </w:rPr>
        <w:t>Fisc. Gasíferos (y2t)</w:t>
      </w:r>
    </w:p>
    <w:p>
      <w:pPr>
        <w:tabs>
          <w:tab w:pos="3312" w:val="left" w:leader="none"/>
        </w:tabs>
        <w:spacing w:line="164" w:lineRule="exact" w:before="0"/>
        <w:ind w:left="161" w:right="0" w:firstLine="0"/>
        <w:jc w:val="left"/>
        <w:rPr>
          <w:sz w:val="16"/>
        </w:rPr>
      </w:pPr>
      <w:r>
        <w:rPr>
          <w:spacing w:val="-8"/>
          <w:sz w:val="16"/>
        </w:rPr>
        <w:t>Impulso  </w:t>
      </w:r>
      <w:r>
        <w:rPr>
          <w:sz w:val="16"/>
        </w:rPr>
        <w:t>a </w:t>
      </w:r>
      <w:r>
        <w:rPr>
          <w:spacing w:val="-6"/>
          <w:sz w:val="16"/>
        </w:rPr>
        <w:t>un </w:t>
      </w:r>
      <w:r>
        <w:rPr>
          <w:spacing w:val="-5"/>
          <w:sz w:val="16"/>
        </w:rPr>
        <w:t>choque</w:t>
      </w:r>
      <w:r>
        <w:rPr>
          <w:spacing w:val="2"/>
          <w:sz w:val="16"/>
        </w:rPr>
        <w:t> </w:t>
      </w:r>
      <w:r>
        <w:rPr>
          <w:spacing w:val="-7"/>
          <w:sz w:val="16"/>
        </w:rPr>
        <w:t>positivo</w:t>
      </w:r>
      <w:r>
        <w:rPr>
          <w:spacing w:val="9"/>
          <w:sz w:val="16"/>
        </w:rPr>
        <w:t> </w:t>
      </w:r>
      <w:r>
        <w:rPr>
          <w:spacing w:val="-6"/>
          <w:sz w:val="16"/>
        </w:rPr>
        <w:t>estructural:</w:t>
        <w:tab/>
      </w:r>
      <w:r>
        <w:rPr>
          <w:spacing w:val="-4"/>
          <w:sz w:val="16"/>
        </w:rPr>
        <w:t>Parametros:</w:t>
      </w:r>
    </w:p>
    <w:p>
      <w:pPr>
        <w:pStyle w:val="BodyText"/>
        <w:rPr>
          <w:sz w:val="15"/>
        </w:rPr>
      </w:pPr>
      <w:r>
        <w:rPr/>
        <w:br w:type="column"/>
      </w:r>
      <w:r>
        <w:rPr>
          <w:sz w:val="15"/>
        </w:rPr>
      </w:r>
    </w:p>
    <w:p>
      <w:pPr>
        <w:spacing w:before="0"/>
        <w:ind w:left="115" w:right="984" w:firstLine="0"/>
        <w:jc w:val="center"/>
        <w:rPr>
          <w:b/>
          <w:sz w:val="16"/>
        </w:rPr>
      </w:pPr>
      <w:r>
        <w:rPr>
          <w:b/>
          <w:sz w:val="16"/>
        </w:rPr>
        <w:t>(Gasto de  capital/ Ing. Fisc. Gasíferos)</w:t>
      </w:r>
    </w:p>
    <w:p>
      <w:pPr>
        <w:spacing w:before="130"/>
        <w:ind w:left="35" w:right="984" w:firstLine="0"/>
        <w:jc w:val="center"/>
        <w:rPr>
          <w:sz w:val="16"/>
        </w:rPr>
      </w:pPr>
      <w:r>
        <w:rPr>
          <w:sz w:val="16"/>
        </w:rPr>
        <w:t>Coeficientes</w:t>
      </w:r>
    </w:p>
    <w:p>
      <w:pPr>
        <w:spacing w:after="0"/>
        <w:jc w:val="center"/>
        <w:rPr>
          <w:sz w:val="16"/>
        </w:rPr>
        <w:sectPr>
          <w:type w:val="continuous"/>
          <w:pgSz w:w="12250" w:h="15850"/>
          <w:pgMar w:top="1500" w:bottom="280" w:left="1600" w:right="1540"/>
          <w:cols w:num="2" w:equalWidth="0">
            <w:col w:w="4360" w:space="962"/>
            <w:col w:w="3788"/>
          </w:cols>
        </w:sectPr>
      </w:pPr>
    </w:p>
    <w:tbl>
      <w:tblPr>
        <w:tblW w:w="0" w:type="auto"/>
        <w:jc w:val="left"/>
        <w:tblInd w:w="125"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2486"/>
        <w:gridCol w:w="1812"/>
        <w:gridCol w:w="1236"/>
        <w:gridCol w:w="1298"/>
        <w:gridCol w:w="1116"/>
        <w:gridCol w:w="879"/>
      </w:tblGrid>
      <w:tr>
        <w:trPr>
          <w:trHeight w:val="239" w:hRule="exact"/>
        </w:trPr>
        <w:tc>
          <w:tcPr>
            <w:tcW w:w="2486" w:type="dxa"/>
            <w:tcBorders>
              <w:left w:val="nil"/>
              <w:bottom w:val="nil"/>
              <w:right w:val="nil"/>
            </w:tcBorders>
          </w:tcPr>
          <w:p>
            <w:pPr>
              <w:pStyle w:val="TableParagraph"/>
              <w:spacing w:before="10"/>
              <w:ind w:left="70"/>
              <w:jc w:val="left"/>
              <w:rPr>
                <w:rFonts w:ascii="Calibri"/>
                <w:sz w:val="16"/>
              </w:rPr>
            </w:pPr>
            <w:r>
              <w:rPr>
                <w:rFonts w:ascii="Calibri"/>
                <w:sz w:val="16"/>
              </w:rPr>
              <w:t>Precios del gas  natural</w:t>
            </w:r>
          </w:p>
        </w:tc>
        <w:tc>
          <w:tcPr>
            <w:tcW w:w="1812" w:type="dxa"/>
            <w:tcBorders>
              <w:left w:val="nil"/>
              <w:bottom w:val="nil"/>
              <w:right w:val="nil"/>
            </w:tcBorders>
          </w:tcPr>
          <w:p>
            <w:pPr>
              <w:pStyle w:val="TableParagraph"/>
              <w:spacing w:before="10"/>
              <w:ind w:right="628"/>
              <w:jc w:val="right"/>
              <w:rPr>
                <w:rFonts w:ascii="Calibri" w:hAnsi="Calibri"/>
                <w:sz w:val="16"/>
              </w:rPr>
            </w:pPr>
            <w:r>
              <w:rPr>
                <w:rFonts w:ascii="Calibri" w:hAnsi="Calibri"/>
                <w:sz w:val="16"/>
              </w:rPr>
              <w:t>β21</w:t>
            </w:r>
          </w:p>
        </w:tc>
        <w:tc>
          <w:tcPr>
            <w:tcW w:w="1236" w:type="dxa"/>
            <w:tcBorders>
              <w:left w:val="nil"/>
              <w:bottom w:val="nil"/>
              <w:right w:val="nil"/>
            </w:tcBorders>
          </w:tcPr>
          <w:p>
            <w:pPr>
              <w:pStyle w:val="TableParagraph"/>
              <w:spacing w:before="13"/>
              <w:ind w:right="99"/>
              <w:jc w:val="right"/>
              <w:rPr>
                <w:sz w:val="16"/>
              </w:rPr>
            </w:pPr>
            <w:r>
              <w:rPr>
                <w:sz w:val="16"/>
              </w:rPr>
              <w:t>-0.33**</w:t>
            </w:r>
          </w:p>
        </w:tc>
        <w:tc>
          <w:tcPr>
            <w:tcW w:w="1298" w:type="dxa"/>
            <w:tcBorders>
              <w:left w:val="nil"/>
              <w:bottom w:val="nil"/>
              <w:right w:val="nil"/>
            </w:tcBorders>
            <w:shd w:val="clear" w:color="auto" w:fill="DBEDF3"/>
          </w:tcPr>
          <w:p>
            <w:pPr>
              <w:pStyle w:val="TableParagraph"/>
              <w:spacing w:before="13"/>
              <w:ind w:right="346"/>
              <w:jc w:val="right"/>
              <w:rPr>
                <w:sz w:val="16"/>
              </w:rPr>
            </w:pPr>
            <w:r>
              <w:rPr>
                <w:sz w:val="16"/>
              </w:rPr>
              <w:t>-0.26**</w:t>
            </w:r>
          </w:p>
        </w:tc>
        <w:tc>
          <w:tcPr>
            <w:tcW w:w="1116" w:type="dxa"/>
            <w:tcBorders>
              <w:left w:val="nil"/>
              <w:bottom w:val="nil"/>
              <w:right w:val="nil"/>
            </w:tcBorders>
            <w:shd w:val="clear" w:color="auto" w:fill="DBEDF3"/>
          </w:tcPr>
          <w:p>
            <w:pPr>
              <w:pStyle w:val="TableParagraph"/>
              <w:spacing w:before="13"/>
              <w:ind w:right="260"/>
              <w:jc w:val="right"/>
              <w:rPr>
                <w:sz w:val="16"/>
              </w:rPr>
            </w:pPr>
            <w:r>
              <w:rPr>
                <w:sz w:val="16"/>
              </w:rPr>
              <w:t>-0.23**</w:t>
            </w:r>
          </w:p>
        </w:tc>
        <w:tc>
          <w:tcPr>
            <w:tcW w:w="879" w:type="dxa"/>
            <w:tcBorders>
              <w:left w:val="nil"/>
              <w:bottom w:val="nil"/>
              <w:right w:val="nil"/>
            </w:tcBorders>
            <w:shd w:val="clear" w:color="auto" w:fill="DBEDF3"/>
          </w:tcPr>
          <w:p>
            <w:pPr>
              <w:pStyle w:val="TableParagraph"/>
              <w:spacing w:before="13"/>
              <w:ind w:right="109"/>
              <w:jc w:val="right"/>
              <w:rPr>
                <w:sz w:val="16"/>
              </w:rPr>
            </w:pPr>
            <w:r>
              <w:rPr>
                <w:sz w:val="16"/>
              </w:rPr>
              <w:t>-0.29**</w:t>
            </w:r>
          </w:p>
        </w:tc>
      </w:tr>
      <w:tr>
        <w:trPr>
          <w:trHeight w:val="207" w:hRule="exact"/>
        </w:trPr>
        <w:tc>
          <w:tcPr>
            <w:tcW w:w="2486" w:type="dxa"/>
            <w:tcBorders>
              <w:top w:val="nil"/>
              <w:left w:val="nil"/>
              <w:right w:val="nil"/>
            </w:tcBorders>
          </w:tcPr>
          <w:p>
            <w:pPr>
              <w:pStyle w:val="TableParagraph"/>
              <w:spacing w:line="194" w:lineRule="exact"/>
              <w:ind w:left="70"/>
              <w:jc w:val="left"/>
              <w:rPr>
                <w:rFonts w:ascii="Calibri"/>
                <w:sz w:val="16"/>
              </w:rPr>
            </w:pPr>
            <w:r>
              <w:rPr>
                <w:rFonts w:ascii="Calibri"/>
                <w:sz w:val="16"/>
              </w:rPr>
              <w:t>La misma variable</w:t>
            </w:r>
          </w:p>
        </w:tc>
        <w:tc>
          <w:tcPr>
            <w:tcW w:w="1812" w:type="dxa"/>
            <w:tcBorders>
              <w:top w:val="nil"/>
              <w:left w:val="nil"/>
              <w:right w:val="nil"/>
            </w:tcBorders>
          </w:tcPr>
          <w:p>
            <w:pPr>
              <w:pStyle w:val="TableParagraph"/>
              <w:spacing w:line="194" w:lineRule="exact"/>
              <w:ind w:right="628"/>
              <w:jc w:val="right"/>
              <w:rPr>
                <w:rFonts w:ascii="Calibri" w:hAnsi="Calibri"/>
                <w:sz w:val="16"/>
              </w:rPr>
            </w:pPr>
            <w:r>
              <w:rPr>
                <w:rFonts w:ascii="Calibri" w:hAnsi="Calibri"/>
                <w:sz w:val="16"/>
              </w:rPr>
              <w:t>β22</w:t>
            </w:r>
          </w:p>
        </w:tc>
        <w:tc>
          <w:tcPr>
            <w:tcW w:w="1236" w:type="dxa"/>
            <w:tcBorders>
              <w:top w:val="nil"/>
              <w:left w:val="nil"/>
              <w:right w:val="nil"/>
            </w:tcBorders>
          </w:tcPr>
          <w:p>
            <w:pPr>
              <w:pStyle w:val="TableParagraph"/>
              <w:spacing w:before="2"/>
              <w:ind w:right="98"/>
              <w:jc w:val="right"/>
              <w:rPr>
                <w:sz w:val="16"/>
              </w:rPr>
            </w:pPr>
            <w:r>
              <w:rPr>
                <w:sz w:val="16"/>
              </w:rPr>
              <w:t>0.24**</w:t>
            </w:r>
          </w:p>
        </w:tc>
        <w:tc>
          <w:tcPr>
            <w:tcW w:w="1298" w:type="dxa"/>
            <w:tcBorders>
              <w:top w:val="nil"/>
              <w:left w:val="nil"/>
              <w:right w:val="nil"/>
            </w:tcBorders>
            <w:shd w:val="clear" w:color="auto" w:fill="DBEDF3"/>
          </w:tcPr>
          <w:p>
            <w:pPr>
              <w:pStyle w:val="TableParagraph"/>
              <w:spacing w:before="2"/>
              <w:ind w:right="346"/>
              <w:jc w:val="right"/>
              <w:rPr>
                <w:sz w:val="16"/>
              </w:rPr>
            </w:pPr>
            <w:r>
              <w:rPr>
                <w:sz w:val="16"/>
              </w:rPr>
              <w:t>0.25**</w:t>
            </w:r>
          </w:p>
        </w:tc>
        <w:tc>
          <w:tcPr>
            <w:tcW w:w="1116" w:type="dxa"/>
            <w:tcBorders>
              <w:top w:val="nil"/>
              <w:left w:val="nil"/>
              <w:right w:val="nil"/>
            </w:tcBorders>
            <w:shd w:val="clear" w:color="auto" w:fill="DBEDF3"/>
          </w:tcPr>
          <w:p>
            <w:pPr>
              <w:pStyle w:val="TableParagraph"/>
              <w:spacing w:before="2"/>
              <w:ind w:right="260"/>
              <w:jc w:val="right"/>
              <w:rPr>
                <w:sz w:val="16"/>
              </w:rPr>
            </w:pPr>
            <w:r>
              <w:rPr>
                <w:sz w:val="16"/>
              </w:rPr>
              <w:t>0.23**</w:t>
            </w:r>
          </w:p>
        </w:tc>
        <w:tc>
          <w:tcPr>
            <w:tcW w:w="879" w:type="dxa"/>
            <w:tcBorders>
              <w:top w:val="nil"/>
              <w:left w:val="nil"/>
              <w:right w:val="nil"/>
            </w:tcBorders>
            <w:shd w:val="clear" w:color="auto" w:fill="DBEDF3"/>
          </w:tcPr>
          <w:p>
            <w:pPr>
              <w:pStyle w:val="TableParagraph"/>
              <w:spacing w:before="2"/>
              <w:ind w:right="108"/>
              <w:jc w:val="right"/>
              <w:rPr>
                <w:sz w:val="16"/>
              </w:rPr>
            </w:pPr>
            <w:r>
              <w:rPr>
                <w:sz w:val="16"/>
              </w:rPr>
              <w:t>0.25**</w:t>
            </w:r>
          </w:p>
        </w:tc>
      </w:tr>
    </w:tbl>
    <w:p>
      <w:pPr>
        <w:pStyle w:val="BodyText"/>
        <w:spacing w:before="11"/>
        <w:rPr>
          <w:sz w:val="13"/>
        </w:rPr>
      </w:pPr>
    </w:p>
    <w:p>
      <w:pPr>
        <w:spacing w:after="0"/>
        <w:rPr>
          <w:sz w:val="13"/>
        </w:rPr>
        <w:sectPr>
          <w:type w:val="continuous"/>
          <w:pgSz w:w="12250" w:h="15850"/>
          <w:pgMar w:top="1500" w:bottom="280" w:left="1600" w:right="1540"/>
        </w:sectPr>
      </w:pPr>
    </w:p>
    <w:p>
      <w:pPr>
        <w:spacing w:line="276" w:lineRule="auto" w:before="80"/>
        <w:ind w:left="2161" w:right="-18" w:hanging="1778"/>
        <w:jc w:val="left"/>
        <w:rPr>
          <w:b/>
          <w:sz w:val="16"/>
        </w:rPr>
      </w:pPr>
      <w:r>
        <w:rPr>
          <w:b/>
          <w:sz w:val="16"/>
        </w:rPr>
        <w:t>Respuesta estructural de la Asignac. De Ing. No gasíferos (y3t)</w:t>
      </w:r>
    </w:p>
    <w:p>
      <w:pPr>
        <w:tabs>
          <w:tab w:pos="3312" w:val="left" w:leader="none"/>
        </w:tabs>
        <w:spacing w:before="12"/>
        <w:ind w:left="161" w:right="0" w:firstLine="0"/>
        <w:jc w:val="left"/>
        <w:rPr>
          <w:sz w:val="16"/>
        </w:rPr>
      </w:pPr>
      <w:r>
        <w:rPr>
          <w:spacing w:val="-7"/>
          <w:sz w:val="16"/>
        </w:rPr>
        <w:t>Impulso </w:t>
      </w:r>
      <w:r>
        <w:rPr>
          <w:sz w:val="16"/>
        </w:rPr>
        <w:t>a </w:t>
      </w:r>
      <w:r>
        <w:rPr>
          <w:spacing w:val="-6"/>
          <w:sz w:val="16"/>
        </w:rPr>
        <w:t>un </w:t>
      </w:r>
      <w:r>
        <w:rPr>
          <w:spacing w:val="-4"/>
          <w:sz w:val="16"/>
        </w:rPr>
        <w:t>choque</w:t>
      </w:r>
      <w:r>
        <w:rPr>
          <w:spacing w:val="24"/>
          <w:sz w:val="16"/>
        </w:rPr>
        <w:t> </w:t>
      </w:r>
      <w:r>
        <w:rPr>
          <w:spacing w:val="-7"/>
          <w:sz w:val="16"/>
        </w:rPr>
        <w:t>positivo</w:t>
      </w:r>
      <w:r>
        <w:rPr>
          <w:spacing w:val="6"/>
          <w:sz w:val="16"/>
        </w:rPr>
        <w:t> </w:t>
      </w:r>
      <w:r>
        <w:rPr>
          <w:spacing w:val="-6"/>
          <w:sz w:val="16"/>
        </w:rPr>
        <w:t>estructural:</w:t>
        <w:tab/>
      </w:r>
      <w:r>
        <w:rPr>
          <w:spacing w:val="-4"/>
          <w:sz w:val="16"/>
        </w:rPr>
        <w:t>Parametros:</w:t>
      </w:r>
    </w:p>
    <w:p>
      <w:pPr>
        <w:pStyle w:val="BodyText"/>
        <w:spacing w:before="9"/>
        <w:rPr>
          <w:sz w:val="15"/>
        </w:rPr>
      </w:pPr>
      <w:r>
        <w:rPr/>
        <w:br w:type="column"/>
      </w:r>
      <w:r>
        <w:rPr>
          <w:sz w:val="15"/>
        </w:rPr>
      </w:r>
    </w:p>
    <w:p>
      <w:pPr>
        <w:spacing w:before="0"/>
        <w:ind w:left="118" w:right="846" w:firstLine="0"/>
        <w:jc w:val="center"/>
        <w:rPr>
          <w:b/>
          <w:sz w:val="16"/>
        </w:rPr>
      </w:pPr>
      <w:r>
        <w:rPr>
          <w:b/>
          <w:sz w:val="16"/>
        </w:rPr>
        <w:t>(Gasto corriente  / Ing. Fisc. No  Gasíferos)</w:t>
      </w:r>
    </w:p>
    <w:p>
      <w:pPr>
        <w:pStyle w:val="BodyText"/>
        <w:rPr>
          <w:b/>
          <w:sz w:val="13"/>
        </w:rPr>
      </w:pPr>
    </w:p>
    <w:p>
      <w:pPr>
        <w:spacing w:before="0"/>
        <w:ind w:left="40" w:right="846" w:firstLine="0"/>
        <w:jc w:val="center"/>
        <w:rPr>
          <w:sz w:val="16"/>
        </w:rPr>
      </w:pPr>
      <w:r>
        <w:rPr>
          <w:sz w:val="16"/>
        </w:rPr>
        <w:t>Coeficientes</w:t>
      </w:r>
    </w:p>
    <w:p>
      <w:pPr>
        <w:spacing w:after="0"/>
        <w:jc w:val="center"/>
        <w:rPr>
          <w:sz w:val="16"/>
        </w:rPr>
        <w:sectPr>
          <w:type w:val="continuous"/>
          <w:pgSz w:w="12250" w:h="15850"/>
          <w:pgMar w:top="1500" w:bottom="280" w:left="1600" w:right="1540"/>
          <w:cols w:num="2" w:equalWidth="0">
            <w:col w:w="4279" w:space="903"/>
            <w:col w:w="3928"/>
          </w:cols>
        </w:sectPr>
      </w:pPr>
    </w:p>
    <w:tbl>
      <w:tblPr>
        <w:tblW w:w="0" w:type="auto"/>
        <w:jc w:val="left"/>
        <w:tblInd w:w="125"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2882"/>
        <w:gridCol w:w="1416"/>
        <w:gridCol w:w="1155"/>
        <w:gridCol w:w="82"/>
        <w:gridCol w:w="1298"/>
        <w:gridCol w:w="1116"/>
        <w:gridCol w:w="879"/>
      </w:tblGrid>
      <w:tr>
        <w:trPr>
          <w:trHeight w:val="238" w:hRule="exact"/>
        </w:trPr>
        <w:tc>
          <w:tcPr>
            <w:tcW w:w="2882" w:type="dxa"/>
            <w:tcBorders>
              <w:left w:val="nil"/>
              <w:bottom w:val="nil"/>
              <w:right w:val="nil"/>
            </w:tcBorders>
          </w:tcPr>
          <w:p>
            <w:pPr>
              <w:pStyle w:val="TableParagraph"/>
              <w:spacing w:before="9"/>
              <w:ind w:left="70"/>
              <w:jc w:val="left"/>
              <w:rPr>
                <w:rFonts w:ascii="Calibri"/>
                <w:sz w:val="16"/>
              </w:rPr>
            </w:pPr>
            <w:r>
              <w:rPr>
                <w:rFonts w:ascii="Calibri"/>
                <w:sz w:val="16"/>
              </w:rPr>
              <w:t>Precios del gas natural</w:t>
            </w:r>
          </w:p>
        </w:tc>
        <w:tc>
          <w:tcPr>
            <w:tcW w:w="1416" w:type="dxa"/>
            <w:tcBorders>
              <w:left w:val="nil"/>
              <w:bottom w:val="nil"/>
              <w:right w:val="nil"/>
            </w:tcBorders>
          </w:tcPr>
          <w:p>
            <w:pPr>
              <w:pStyle w:val="TableParagraph"/>
              <w:spacing w:before="9"/>
              <w:ind w:left="532"/>
              <w:jc w:val="left"/>
              <w:rPr>
                <w:rFonts w:ascii="Calibri" w:hAnsi="Calibri"/>
                <w:sz w:val="16"/>
              </w:rPr>
            </w:pPr>
            <w:r>
              <w:rPr>
                <w:rFonts w:ascii="Calibri" w:hAnsi="Calibri"/>
                <w:sz w:val="16"/>
              </w:rPr>
              <w:t>β31</w:t>
            </w:r>
          </w:p>
        </w:tc>
        <w:tc>
          <w:tcPr>
            <w:tcW w:w="1155" w:type="dxa"/>
            <w:tcBorders>
              <w:left w:val="nil"/>
              <w:bottom w:val="nil"/>
              <w:right w:val="nil"/>
            </w:tcBorders>
          </w:tcPr>
          <w:p>
            <w:pPr>
              <w:pStyle w:val="TableParagraph"/>
              <w:spacing w:before="12"/>
              <w:ind w:right="18"/>
              <w:jc w:val="right"/>
              <w:rPr>
                <w:sz w:val="16"/>
              </w:rPr>
            </w:pPr>
            <w:r>
              <w:rPr>
                <w:sz w:val="16"/>
              </w:rPr>
              <w:t>0.06**</w:t>
            </w:r>
          </w:p>
        </w:tc>
        <w:tc>
          <w:tcPr>
            <w:tcW w:w="82" w:type="dxa"/>
            <w:tcBorders>
              <w:left w:val="nil"/>
              <w:bottom w:val="nil"/>
              <w:right w:val="nil"/>
            </w:tcBorders>
          </w:tcPr>
          <w:p>
            <w:pPr/>
          </w:p>
        </w:tc>
        <w:tc>
          <w:tcPr>
            <w:tcW w:w="1298" w:type="dxa"/>
            <w:tcBorders>
              <w:left w:val="nil"/>
              <w:bottom w:val="nil"/>
              <w:right w:val="nil"/>
            </w:tcBorders>
            <w:shd w:val="clear" w:color="auto" w:fill="DBEDF3"/>
          </w:tcPr>
          <w:p>
            <w:pPr>
              <w:pStyle w:val="TableParagraph"/>
              <w:spacing w:before="12"/>
              <w:ind w:right="346"/>
              <w:jc w:val="right"/>
              <w:rPr>
                <w:sz w:val="16"/>
              </w:rPr>
            </w:pPr>
            <w:r>
              <w:rPr>
                <w:sz w:val="16"/>
              </w:rPr>
              <w:t>0.05**</w:t>
            </w:r>
          </w:p>
        </w:tc>
        <w:tc>
          <w:tcPr>
            <w:tcW w:w="1116" w:type="dxa"/>
            <w:tcBorders>
              <w:left w:val="nil"/>
              <w:bottom w:val="nil"/>
              <w:right w:val="nil"/>
            </w:tcBorders>
            <w:shd w:val="clear" w:color="auto" w:fill="DBEDF3"/>
          </w:tcPr>
          <w:p>
            <w:pPr>
              <w:pStyle w:val="TableParagraph"/>
              <w:spacing w:before="12"/>
              <w:ind w:right="261"/>
              <w:jc w:val="right"/>
              <w:rPr>
                <w:sz w:val="16"/>
              </w:rPr>
            </w:pPr>
            <w:r>
              <w:rPr>
                <w:sz w:val="16"/>
              </w:rPr>
              <w:t>0.05**</w:t>
            </w:r>
          </w:p>
        </w:tc>
        <w:tc>
          <w:tcPr>
            <w:tcW w:w="879" w:type="dxa"/>
            <w:tcBorders>
              <w:left w:val="nil"/>
              <w:bottom w:val="nil"/>
              <w:right w:val="nil"/>
            </w:tcBorders>
            <w:shd w:val="clear" w:color="auto" w:fill="DBEDF3"/>
          </w:tcPr>
          <w:p>
            <w:pPr>
              <w:pStyle w:val="TableParagraph"/>
              <w:spacing w:before="12"/>
              <w:ind w:right="109"/>
              <w:jc w:val="right"/>
              <w:rPr>
                <w:sz w:val="16"/>
              </w:rPr>
            </w:pPr>
            <w:r>
              <w:rPr>
                <w:sz w:val="16"/>
              </w:rPr>
              <w:t>0.06**</w:t>
            </w:r>
          </w:p>
        </w:tc>
      </w:tr>
      <w:tr>
        <w:trPr>
          <w:trHeight w:val="212" w:hRule="exact"/>
        </w:trPr>
        <w:tc>
          <w:tcPr>
            <w:tcW w:w="2882" w:type="dxa"/>
            <w:tcBorders>
              <w:top w:val="nil"/>
              <w:left w:val="nil"/>
              <w:bottom w:val="nil"/>
              <w:right w:val="nil"/>
            </w:tcBorders>
          </w:tcPr>
          <w:p>
            <w:pPr>
              <w:pStyle w:val="TableParagraph"/>
              <w:spacing w:line="194" w:lineRule="exact"/>
              <w:ind w:left="70"/>
              <w:jc w:val="left"/>
              <w:rPr>
                <w:rFonts w:ascii="Calibri" w:hAnsi="Calibri"/>
                <w:sz w:val="16"/>
              </w:rPr>
            </w:pPr>
            <w:r>
              <w:rPr>
                <w:rFonts w:ascii="Calibri" w:hAnsi="Calibri"/>
                <w:sz w:val="16"/>
              </w:rPr>
              <w:t>Asignac. De Ing. Fiscales  Gasíferos</w:t>
            </w:r>
          </w:p>
        </w:tc>
        <w:tc>
          <w:tcPr>
            <w:tcW w:w="1416" w:type="dxa"/>
            <w:tcBorders>
              <w:top w:val="nil"/>
              <w:left w:val="nil"/>
              <w:bottom w:val="nil"/>
              <w:right w:val="nil"/>
            </w:tcBorders>
          </w:tcPr>
          <w:p>
            <w:pPr>
              <w:pStyle w:val="TableParagraph"/>
              <w:spacing w:line="194" w:lineRule="exact"/>
              <w:ind w:left="532"/>
              <w:jc w:val="left"/>
              <w:rPr>
                <w:rFonts w:ascii="Calibri" w:hAnsi="Calibri"/>
                <w:sz w:val="16"/>
              </w:rPr>
            </w:pPr>
            <w:r>
              <w:rPr>
                <w:rFonts w:ascii="Calibri" w:hAnsi="Calibri"/>
                <w:sz w:val="16"/>
              </w:rPr>
              <w:t>β32</w:t>
            </w:r>
          </w:p>
        </w:tc>
        <w:tc>
          <w:tcPr>
            <w:tcW w:w="1155" w:type="dxa"/>
            <w:tcBorders>
              <w:top w:val="nil"/>
              <w:left w:val="nil"/>
              <w:bottom w:val="nil"/>
              <w:right w:val="nil"/>
            </w:tcBorders>
          </w:tcPr>
          <w:p>
            <w:pPr>
              <w:pStyle w:val="TableParagraph"/>
              <w:spacing w:before="1"/>
              <w:ind w:right="18"/>
              <w:jc w:val="right"/>
              <w:rPr>
                <w:sz w:val="16"/>
              </w:rPr>
            </w:pPr>
            <w:r>
              <w:rPr>
                <w:sz w:val="16"/>
              </w:rPr>
              <w:t>-0.04**</w:t>
            </w:r>
          </w:p>
        </w:tc>
        <w:tc>
          <w:tcPr>
            <w:tcW w:w="82" w:type="dxa"/>
            <w:tcBorders>
              <w:top w:val="nil"/>
              <w:left w:val="nil"/>
              <w:bottom w:val="nil"/>
              <w:right w:val="nil"/>
            </w:tcBorders>
          </w:tcPr>
          <w:p>
            <w:pPr/>
          </w:p>
        </w:tc>
        <w:tc>
          <w:tcPr>
            <w:tcW w:w="1298" w:type="dxa"/>
            <w:tcBorders>
              <w:top w:val="nil"/>
              <w:left w:val="nil"/>
              <w:bottom w:val="nil"/>
              <w:right w:val="nil"/>
            </w:tcBorders>
            <w:shd w:val="clear" w:color="auto" w:fill="DBEDF3"/>
          </w:tcPr>
          <w:p>
            <w:pPr>
              <w:pStyle w:val="TableParagraph"/>
              <w:spacing w:before="1"/>
              <w:ind w:right="346"/>
              <w:jc w:val="right"/>
              <w:rPr>
                <w:sz w:val="16"/>
              </w:rPr>
            </w:pPr>
            <w:r>
              <w:rPr>
                <w:sz w:val="16"/>
              </w:rPr>
              <w:t>-0.05**</w:t>
            </w:r>
          </w:p>
        </w:tc>
        <w:tc>
          <w:tcPr>
            <w:tcW w:w="1116" w:type="dxa"/>
            <w:tcBorders>
              <w:top w:val="nil"/>
              <w:left w:val="nil"/>
              <w:bottom w:val="nil"/>
              <w:right w:val="nil"/>
            </w:tcBorders>
            <w:shd w:val="clear" w:color="auto" w:fill="DBEDF3"/>
          </w:tcPr>
          <w:p>
            <w:pPr>
              <w:pStyle w:val="TableParagraph"/>
              <w:spacing w:before="1"/>
              <w:ind w:right="260"/>
              <w:jc w:val="right"/>
              <w:rPr>
                <w:sz w:val="16"/>
              </w:rPr>
            </w:pPr>
            <w:r>
              <w:rPr>
                <w:sz w:val="16"/>
              </w:rPr>
              <w:t>-0.04**</w:t>
            </w:r>
          </w:p>
        </w:tc>
        <w:tc>
          <w:tcPr>
            <w:tcW w:w="879" w:type="dxa"/>
            <w:tcBorders>
              <w:top w:val="nil"/>
              <w:left w:val="nil"/>
              <w:bottom w:val="nil"/>
              <w:right w:val="nil"/>
            </w:tcBorders>
            <w:shd w:val="clear" w:color="auto" w:fill="DBEDF3"/>
          </w:tcPr>
          <w:p>
            <w:pPr>
              <w:pStyle w:val="TableParagraph"/>
              <w:spacing w:before="1"/>
              <w:ind w:right="109"/>
              <w:jc w:val="right"/>
              <w:rPr>
                <w:sz w:val="16"/>
              </w:rPr>
            </w:pPr>
            <w:r>
              <w:rPr>
                <w:sz w:val="16"/>
              </w:rPr>
              <w:t>-0.04**</w:t>
            </w:r>
          </w:p>
        </w:tc>
      </w:tr>
      <w:tr>
        <w:trPr>
          <w:trHeight w:val="207" w:hRule="exact"/>
        </w:trPr>
        <w:tc>
          <w:tcPr>
            <w:tcW w:w="2882" w:type="dxa"/>
            <w:tcBorders>
              <w:top w:val="nil"/>
              <w:left w:val="nil"/>
              <w:right w:val="nil"/>
            </w:tcBorders>
          </w:tcPr>
          <w:p>
            <w:pPr>
              <w:pStyle w:val="TableParagraph"/>
              <w:spacing w:line="194" w:lineRule="exact"/>
              <w:ind w:left="70"/>
              <w:jc w:val="left"/>
              <w:rPr>
                <w:rFonts w:ascii="Calibri"/>
                <w:sz w:val="16"/>
              </w:rPr>
            </w:pPr>
            <w:r>
              <w:rPr>
                <w:rFonts w:ascii="Calibri"/>
                <w:sz w:val="16"/>
              </w:rPr>
              <w:t>La misma variable</w:t>
            </w:r>
          </w:p>
        </w:tc>
        <w:tc>
          <w:tcPr>
            <w:tcW w:w="1416" w:type="dxa"/>
            <w:tcBorders>
              <w:top w:val="nil"/>
              <w:left w:val="nil"/>
              <w:right w:val="nil"/>
            </w:tcBorders>
          </w:tcPr>
          <w:p>
            <w:pPr>
              <w:pStyle w:val="TableParagraph"/>
              <w:spacing w:line="194" w:lineRule="exact"/>
              <w:ind w:left="532"/>
              <w:jc w:val="left"/>
              <w:rPr>
                <w:rFonts w:ascii="Calibri" w:hAnsi="Calibri"/>
                <w:sz w:val="16"/>
              </w:rPr>
            </w:pPr>
            <w:r>
              <w:rPr>
                <w:rFonts w:ascii="Calibri" w:hAnsi="Calibri"/>
                <w:sz w:val="16"/>
              </w:rPr>
              <w:t>β33</w:t>
            </w:r>
          </w:p>
        </w:tc>
        <w:tc>
          <w:tcPr>
            <w:tcW w:w="1155" w:type="dxa"/>
            <w:tcBorders>
              <w:top w:val="nil"/>
              <w:left w:val="nil"/>
              <w:right w:val="nil"/>
            </w:tcBorders>
          </w:tcPr>
          <w:p>
            <w:pPr>
              <w:pStyle w:val="TableParagraph"/>
              <w:spacing w:before="1"/>
              <w:ind w:right="58"/>
              <w:jc w:val="right"/>
              <w:rPr>
                <w:sz w:val="16"/>
              </w:rPr>
            </w:pPr>
            <w:r>
              <w:rPr>
                <w:sz w:val="16"/>
              </w:rPr>
              <w:t>0.07**</w:t>
            </w:r>
          </w:p>
        </w:tc>
        <w:tc>
          <w:tcPr>
            <w:tcW w:w="82" w:type="dxa"/>
            <w:tcBorders>
              <w:top w:val="nil"/>
              <w:left w:val="nil"/>
              <w:right w:val="nil"/>
            </w:tcBorders>
          </w:tcPr>
          <w:p>
            <w:pPr/>
          </w:p>
        </w:tc>
        <w:tc>
          <w:tcPr>
            <w:tcW w:w="1298" w:type="dxa"/>
            <w:tcBorders>
              <w:top w:val="nil"/>
              <w:left w:val="nil"/>
              <w:right w:val="nil"/>
            </w:tcBorders>
            <w:shd w:val="clear" w:color="auto" w:fill="DBEDF3"/>
          </w:tcPr>
          <w:p>
            <w:pPr>
              <w:pStyle w:val="TableParagraph"/>
              <w:spacing w:before="1"/>
              <w:ind w:right="347"/>
              <w:jc w:val="right"/>
              <w:rPr>
                <w:sz w:val="16"/>
              </w:rPr>
            </w:pPr>
            <w:r>
              <w:rPr>
                <w:sz w:val="16"/>
              </w:rPr>
              <w:t>0.07**</w:t>
            </w:r>
          </w:p>
        </w:tc>
        <w:tc>
          <w:tcPr>
            <w:tcW w:w="1116" w:type="dxa"/>
            <w:tcBorders>
              <w:top w:val="nil"/>
              <w:left w:val="nil"/>
              <w:right w:val="nil"/>
            </w:tcBorders>
            <w:shd w:val="clear" w:color="auto" w:fill="DBEDF3"/>
          </w:tcPr>
          <w:p>
            <w:pPr>
              <w:pStyle w:val="TableParagraph"/>
              <w:spacing w:before="1"/>
              <w:ind w:right="261"/>
              <w:jc w:val="right"/>
              <w:rPr>
                <w:sz w:val="16"/>
              </w:rPr>
            </w:pPr>
            <w:r>
              <w:rPr>
                <w:sz w:val="16"/>
              </w:rPr>
              <w:t>0.05**</w:t>
            </w:r>
          </w:p>
        </w:tc>
        <w:tc>
          <w:tcPr>
            <w:tcW w:w="879" w:type="dxa"/>
            <w:tcBorders>
              <w:top w:val="nil"/>
              <w:left w:val="nil"/>
              <w:right w:val="nil"/>
            </w:tcBorders>
            <w:shd w:val="clear" w:color="auto" w:fill="DBEDF3"/>
          </w:tcPr>
          <w:p>
            <w:pPr>
              <w:pStyle w:val="TableParagraph"/>
              <w:spacing w:before="1"/>
              <w:ind w:right="109"/>
              <w:jc w:val="right"/>
              <w:rPr>
                <w:sz w:val="16"/>
              </w:rPr>
            </w:pPr>
            <w:r>
              <w:rPr>
                <w:sz w:val="16"/>
              </w:rPr>
              <w:t>0.06**</w:t>
            </w:r>
          </w:p>
        </w:tc>
      </w:tr>
    </w:tbl>
    <w:p>
      <w:pPr>
        <w:pStyle w:val="BodyText"/>
        <w:spacing w:before="11"/>
        <w:rPr>
          <w:sz w:val="12"/>
        </w:rPr>
      </w:pPr>
    </w:p>
    <w:p>
      <w:pPr>
        <w:spacing w:after="0"/>
        <w:rPr>
          <w:sz w:val="12"/>
        </w:rPr>
        <w:sectPr>
          <w:type w:val="continuous"/>
          <w:pgSz w:w="12250" w:h="15850"/>
          <w:pgMar w:top="1500" w:bottom="280" w:left="1600" w:right="1540"/>
        </w:sectPr>
      </w:pPr>
    </w:p>
    <w:p>
      <w:pPr>
        <w:pStyle w:val="BodyText"/>
        <w:rPr>
          <w:sz w:val="16"/>
        </w:rPr>
      </w:pPr>
    </w:p>
    <w:p>
      <w:pPr>
        <w:pStyle w:val="BodyText"/>
        <w:rPr>
          <w:sz w:val="16"/>
        </w:rPr>
      </w:pPr>
    </w:p>
    <w:p>
      <w:pPr>
        <w:spacing w:before="137"/>
        <w:ind w:left="211" w:right="0" w:firstLine="0"/>
        <w:jc w:val="left"/>
        <w:rPr>
          <w:b/>
          <w:sz w:val="16"/>
        </w:rPr>
      </w:pPr>
      <w:r>
        <w:rPr>
          <w:b/>
          <w:sz w:val="16"/>
        </w:rPr>
        <w:t>Respuesta </w:t>
      </w:r>
      <w:r>
        <w:rPr>
          <w:b/>
          <w:spacing w:val="-4"/>
          <w:sz w:val="16"/>
        </w:rPr>
        <w:t>estructural </w:t>
      </w:r>
      <w:r>
        <w:rPr>
          <w:b/>
          <w:sz w:val="16"/>
        </w:rPr>
        <w:t>del </w:t>
      </w:r>
      <w:r>
        <w:rPr>
          <w:b/>
          <w:spacing w:val="-3"/>
          <w:sz w:val="16"/>
        </w:rPr>
        <w:t>resultado </w:t>
      </w:r>
      <w:r>
        <w:rPr>
          <w:b/>
          <w:sz w:val="16"/>
        </w:rPr>
        <w:t>fiscal (y4t)</w:t>
      </w:r>
    </w:p>
    <w:p>
      <w:pPr>
        <w:spacing w:line="276" w:lineRule="auto" w:before="81"/>
        <w:ind w:left="211" w:right="0" w:firstLine="32"/>
        <w:jc w:val="center"/>
        <w:rPr>
          <w:b/>
          <w:sz w:val="16"/>
        </w:rPr>
      </w:pPr>
      <w:r>
        <w:rPr/>
        <w:br w:type="column"/>
      </w:r>
      <w:r>
        <w:rPr>
          <w:b/>
          <w:spacing w:val="-3"/>
          <w:sz w:val="16"/>
        </w:rPr>
        <w:t>Balance </w:t>
      </w:r>
      <w:r>
        <w:rPr>
          <w:b/>
          <w:spacing w:val="-8"/>
          <w:sz w:val="16"/>
        </w:rPr>
        <w:t>primario </w:t>
      </w:r>
      <w:r>
        <w:rPr>
          <w:b/>
          <w:spacing w:val="-5"/>
          <w:sz w:val="16"/>
        </w:rPr>
        <w:t>no </w:t>
      </w:r>
      <w:r>
        <w:rPr>
          <w:b/>
          <w:sz w:val="16"/>
        </w:rPr>
        <w:t>gasífero</w:t>
      </w:r>
    </w:p>
    <w:p>
      <w:pPr>
        <w:pStyle w:val="BodyText"/>
        <w:spacing w:before="9"/>
        <w:rPr>
          <w:b/>
          <w:sz w:val="15"/>
        </w:rPr>
      </w:pPr>
      <w:r>
        <w:rPr/>
        <w:br w:type="column"/>
      </w:r>
      <w:r>
        <w:rPr>
          <w:b/>
          <w:sz w:val="15"/>
        </w:rPr>
      </w:r>
    </w:p>
    <w:p>
      <w:pPr>
        <w:spacing w:line="276" w:lineRule="auto" w:before="1"/>
        <w:ind w:left="211" w:right="-5" w:firstLine="30"/>
        <w:jc w:val="left"/>
        <w:rPr>
          <w:b/>
          <w:sz w:val="16"/>
        </w:rPr>
      </w:pPr>
      <w:r>
        <w:rPr>
          <w:b/>
          <w:spacing w:val="-3"/>
          <w:sz w:val="16"/>
        </w:rPr>
        <w:t>Balance </w:t>
      </w:r>
      <w:r>
        <w:rPr>
          <w:b/>
          <w:spacing w:val="-8"/>
          <w:sz w:val="16"/>
        </w:rPr>
        <w:t>primario</w:t>
      </w:r>
    </w:p>
    <w:p>
      <w:pPr>
        <w:pStyle w:val="BodyText"/>
        <w:spacing w:before="9"/>
        <w:rPr>
          <w:b/>
          <w:sz w:val="15"/>
        </w:rPr>
      </w:pPr>
      <w:r>
        <w:rPr/>
        <w:br w:type="column"/>
      </w:r>
      <w:r>
        <w:rPr>
          <w:b/>
          <w:sz w:val="15"/>
        </w:rPr>
      </w:r>
    </w:p>
    <w:p>
      <w:pPr>
        <w:spacing w:line="276" w:lineRule="auto" w:before="1"/>
        <w:ind w:left="241" w:right="0" w:hanging="31"/>
        <w:jc w:val="left"/>
        <w:rPr>
          <w:b/>
          <w:sz w:val="16"/>
        </w:rPr>
      </w:pPr>
      <w:r>
        <w:rPr>
          <w:b/>
          <w:spacing w:val="-3"/>
          <w:sz w:val="16"/>
        </w:rPr>
        <w:t>Balance global cícl. </w:t>
      </w:r>
      <w:r>
        <w:rPr>
          <w:b/>
          <w:spacing w:val="-5"/>
          <w:sz w:val="16"/>
        </w:rPr>
        <w:t>Ajustado</w:t>
      </w:r>
    </w:p>
    <w:p>
      <w:pPr>
        <w:pStyle w:val="BodyText"/>
        <w:spacing w:before="9"/>
        <w:rPr>
          <w:b/>
          <w:sz w:val="15"/>
        </w:rPr>
      </w:pPr>
      <w:r>
        <w:rPr/>
        <w:br w:type="column"/>
      </w:r>
      <w:r>
        <w:rPr>
          <w:b/>
          <w:sz w:val="15"/>
        </w:rPr>
      </w:r>
    </w:p>
    <w:p>
      <w:pPr>
        <w:spacing w:line="276" w:lineRule="auto" w:before="1"/>
        <w:ind w:left="262" w:right="355" w:hanging="51"/>
        <w:jc w:val="left"/>
        <w:rPr>
          <w:b/>
          <w:sz w:val="16"/>
        </w:rPr>
      </w:pPr>
      <w:r>
        <w:rPr>
          <w:b/>
          <w:sz w:val="16"/>
        </w:rPr>
        <w:t>Balance global</w:t>
      </w:r>
    </w:p>
    <w:p>
      <w:pPr>
        <w:spacing w:after="0" w:line="276" w:lineRule="auto"/>
        <w:jc w:val="left"/>
        <w:rPr>
          <w:sz w:val="16"/>
        </w:rPr>
        <w:sectPr>
          <w:type w:val="continuous"/>
          <w:pgSz w:w="12250" w:h="15850"/>
          <w:pgMar w:top="1500" w:bottom="280" w:left="1600" w:right="1540"/>
          <w:cols w:num="5" w:equalWidth="0">
            <w:col w:w="3352" w:space="1143"/>
            <w:col w:w="979" w:space="234"/>
            <w:col w:w="778" w:space="161"/>
            <w:col w:w="1206" w:space="128"/>
            <w:col w:w="1129"/>
          </w:cols>
        </w:sectPr>
      </w:pPr>
    </w:p>
    <w:p>
      <w:pPr>
        <w:tabs>
          <w:tab w:pos="3312" w:val="left" w:leader="none"/>
          <w:tab w:pos="6363" w:val="left" w:leader="none"/>
        </w:tabs>
        <w:spacing w:before="2" w:after="6"/>
        <w:ind w:left="161" w:right="148" w:firstLine="0"/>
        <w:jc w:val="left"/>
        <w:rPr>
          <w:sz w:val="16"/>
        </w:rPr>
      </w:pPr>
      <w:r>
        <w:rPr>
          <w:spacing w:val="-7"/>
          <w:sz w:val="16"/>
        </w:rPr>
        <w:t>Impulso </w:t>
      </w:r>
      <w:r>
        <w:rPr>
          <w:sz w:val="16"/>
        </w:rPr>
        <w:t>a </w:t>
      </w:r>
      <w:r>
        <w:rPr>
          <w:spacing w:val="-6"/>
          <w:sz w:val="16"/>
        </w:rPr>
        <w:t>un </w:t>
      </w:r>
      <w:r>
        <w:rPr>
          <w:spacing w:val="-4"/>
          <w:sz w:val="16"/>
        </w:rPr>
        <w:t>choque</w:t>
      </w:r>
      <w:r>
        <w:rPr>
          <w:spacing w:val="24"/>
          <w:sz w:val="16"/>
        </w:rPr>
        <w:t> </w:t>
      </w:r>
      <w:r>
        <w:rPr>
          <w:spacing w:val="-7"/>
          <w:sz w:val="16"/>
        </w:rPr>
        <w:t>positivo</w:t>
      </w:r>
      <w:r>
        <w:rPr>
          <w:spacing w:val="6"/>
          <w:sz w:val="16"/>
        </w:rPr>
        <w:t> </w:t>
      </w:r>
      <w:r>
        <w:rPr>
          <w:spacing w:val="-6"/>
          <w:sz w:val="16"/>
        </w:rPr>
        <w:t>estructural:</w:t>
        <w:tab/>
      </w:r>
      <w:r>
        <w:rPr>
          <w:spacing w:val="-4"/>
          <w:sz w:val="16"/>
        </w:rPr>
        <w:t>Parametros:</w:t>
        <w:tab/>
      </w:r>
      <w:r>
        <w:rPr>
          <w:spacing w:val="-6"/>
          <w:sz w:val="16"/>
        </w:rPr>
        <w:t>Coeficientes</w:t>
      </w:r>
    </w:p>
    <w:tbl>
      <w:tblPr>
        <w:tblW w:w="0" w:type="auto"/>
        <w:jc w:val="left"/>
        <w:tblInd w:w="125"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2993"/>
        <w:gridCol w:w="1305"/>
        <w:gridCol w:w="1237"/>
        <w:gridCol w:w="1298"/>
        <w:gridCol w:w="1116"/>
        <w:gridCol w:w="879"/>
      </w:tblGrid>
      <w:tr>
        <w:trPr>
          <w:trHeight w:val="238" w:hRule="exact"/>
        </w:trPr>
        <w:tc>
          <w:tcPr>
            <w:tcW w:w="2993" w:type="dxa"/>
            <w:tcBorders>
              <w:left w:val="nil"/>
              <w:bottom w:val="nil"/>
              <w:right w:val="nil"/>
            </w:tcBorders>
          </w:tcPr>
          <w:p>
            <w:pPr>
              <w:pStyle w:val="TableParagraph"/>
              <w:spacing w:before="9"/>
              <w:ind w:left="70"/>
              <w:jc w:val="left"/>
              <w:rPr>
                <w:rFonts w:ascii="Calibri"/>
                <w:sz w:val="16"/>
              </w:rPr>
            </w:pPr>
            <w:r>
              <w:rPr>
                <w:rFonts w:ascii="Calibri"/>
                <w:sz w:val="16"/>
              </w:rPr>
              <w:t>Precios del gas natural</w:t>
            </w:r>
          </w:p>
        </w:tc>
        <w:tc>
          <w:tcPr>
            <w:tcW w:w="1305" w:type="dxa"/>
            <w:tcBorders>
              <w:left w:val="nil"/>
              <w:bottom w:val="nil"/>
              <w:right w:val="nil"/>
            </w:tcBorders>
          </w:tcPr>
          <w:p>
            <w:pPr>
              <w:pStyle w:val="TableParagraph"/>
              <w:spacing w:before="9"/>
              <w:ind w:left="421"/>
              <w:jc w:val="left"/>
              <w:rPr>
                <w:rFonts w:ascii="Calibri" w:hAnsi="Calibri"/>
                <w:sz w:val="16"/>
              </w:rPr>
            </w:pPr>
            <w:r>
              <w:rPr>
                <w:rFonts w:ascii="Calibri" w:hAnsi="Calibri"/>
                <w:sz w:val="16"/>
              </w:rPr>
              <w:t>β41</w:t>
            </w:r>
          </w:p>
        </w:tc>
        <w:tc>
          <w:tcPr>
            <w:tcW w:w="1237" w:type="dxa"/>
            <w:tcBorders>
              <w:left w:val="nil"/>
              <w:bottom w:val="nil"/>
              <w:right w:val="nil"/>
            </w:tcBorders>
          </w:tcPr>
          <w:p>
            <w:pPr>
              <w:pStyle w:val="TableParagraph"/>
              <w:spacing w:before="12"/>
              <w:ind w:left="671"/>
              <w:jc w:val="left"/>
              <w:rPr>
                <w:sz w:val="16"/>
              </w:rPr>
            </w:pPr>
            <w:r>
              <w:rPr>
                <w:sz w:val="16"/>
              </w:rPr>
              <w:t>-0.00</w:t>
            </w:r>
          </w:p>
        </w:tc>
        <w:tc>
          <w:tcPr>
            <w:tcW w:w="1298" w:type="dxa"/>
            <w:tcBorders>
              <w:left w:val="nil"/>
              <w:bottom w:val="nil"/>
              <w:right w:val="nil"/>
            </w:tcBorders>
            <w:shd w:val="clear" w:color="auto" w:fill="DBEDF3"/>
          </w:tcPr>
          <w:p>
            <w:pPr>
              <w:pStyle w:val="TableParagraph"/>
              <w:spacing w:before="12"/>
              <w:ind w:right="346"/>
              <w:jc w:val="right"/>
              <w:rPr>
                <w:sz w:val="16"/>
              </w:rPr>
            </w:pPr>
            <w:r>
              <w:rPr>
                <w:sz w:val="16"/>
              </w:rPr>
              <w:t>0.01**</w:t>
            </w:r>
          </w:p>
        </w:tc>
        <w:tc>
          <w:tcPr>
            <w:tcW w:w="1116" w:type="dxa"/>
            <w:tcBorders>
              <w:left w:val="nil"/>
              <w:bottom w:val="nil"/>
              <w:right w:val="nil"/>
            </w:tcBorders>
            <w:shd w:val="clear" w:color="auto" w:fill="DBEDF3"/>
          </w:tcPr>
          <w:p>
            <w:pPr>
              <w:pStyle w:val="TableParagraph"/>
              <w:spacing w:before="12"/>
              <w:ind w:right="261"/>
              <w:jc w:val="right"/>
              <w:rPr>
                <w:sz w:val="16"/>
              </w:rPr>
            </w:pPr>
            <w:r>
              <w:rPr>
                <w:sz w:val="16"/>
              </w:rPr>
              <w:t>0.01**</w:t>
            </w:r>
          </w:p>
        </w:tc>
        <w:tc>
          <w:tcPr>
            <w:tcW w:w="879" w:type="dxa"/>
            <w:tcBorders>
              <w:left w:val="nil"/>
              <w:bottom w:val="nil"/>
              <w:right w:val="nil"/>
            </w:tcBorders>
            <w:shd w:val="clear" w:color="auto" w:fill="DBEDF3"/>
          </w:tcPr>
          <w:p>
            <w:pPr>
              <w:pStyle w:val="TableParagraph"/>
              <w:spacing w:before="12"/>
              <w:ind w:right="109"/>
              <w:jc w:val="right"/>
              <w:rPr>
                <w:sz w:val="16"/>
              </w:rPr>
            </w:pPr>
            <w:r>
              <w:rPr>
                <w:sz w:val="16"/>
              </w:rPr>
              <w:t>0.01**</w:t>
            </w:r>
          </w:p>
        </w:tc>
      </w:tr>
      <w:tr>
        <w:trPr>
          <w:trHeight w:val="212" w:hRule="exact"/>
        </w:trPr>
        <w:tc>
          <w:tcPr>
            <w:tcW w:w="2993" w:type="dxa"/>
            <w:tcBorders>
              <w:top w:val="nil"/>
              <w:left w:val="nil"/>
              <w:bottom w:val="nil"/>
              <w:right w:val="nil"/>
            </w:tcBorders>
          </w:tcPr>
          <w:p>
            <w:pPr>
              <w:pStyle w:val="TableParagraph"/>
              <w:spacing w:line="194" w:lineRule="exact"/>
              <w:ind w:left="70"/>
              <w:jc w:val="left"/>
              <w:rPr>
                <w:rFonts w:ascii="Calibri" w:hAnsi="Calibri"/>
                <w:sz w:val="16"/>
              </w:rPr>
            </w:pPr>
            <w:r>
              <w:rPr>
                <w:rFonts w:ascii="Calibri" w:hAnsi="Calibri"/>
                <w:sz w:val="16"/>
              </w:rPr>
              <w:t>Asignac. De Ing. Fiscales  Gasíferos</w:t>
            </w:r>
          </w:p>
        </w:tc>
        <w:tc>
          <w:tcPr>
            <w:tcW w:w="1305" w:type="dxa"/>
            <w:tcBorders>
              <w:top w:val="nil"/>
              <w:left w:val="nil"/>
              <w:bottom w:val="nil"/>
              <w:right w:val="nil"/>
            </w:tcBorders>
          </w:tcPr>
          <w:p>
            <w:pPr>
              <w:pStyle w:val="TableParagraph"/>
              <w:spacing w:line="194" w:lineRule="exact"/>
              <w:ind w:left="421"/>
              <w:jc w:val="left"/>
              <w:rPr>
                <w:rFonts w:ascii="Calibri" w:hAnsi="Calibri"/>
                <w:sz w:val="16"/>
              </w:rPr>
            </w:pPr>
            <w:r>
              <w:rPr>
                <w:rFonts w:ascii="Calibri" w:hAnsi="Calibri"/>
                <w:sz w:val="16"/>
              </w:rPr>
              <w:t>β42</w:t>
            </w:r>
          </w:p>
        </w:tc>
        <w:tc>
          <w:tcPr>
            <w:tcW w:w="1237" w:type="dxa"/>
            <w:tcBorders>
              <w:top w:val="nil"/>
              <w:left w:val="nil"/>
              <w:bottom w:val="nil"/>
              <w:right w:val="nil"/>
            </w:tcBorders>
          </w:tcPr>
          <w:p>
            <w:pPr>
              <w:pStyle w:val="TableParagraph"/>
              <w:spacing w:before="1"/>
              <w:ind w:left="731"/>
              <w:jc w:val="left"/>
              <w:rPr>
                <w:sz w:val="16"/>
              </w:rPr>
            </w:pPr>
            <w:r>
              <w:rPr>
                <w:sz w:val="16"/>
              </w:rPr>
              <w:t>0.00</w:t>
            </w:r>
          </w:p>
        </w:tc>
        <w:tc>
          <w:tcPr>
            <w:tcW w:w="1298" w:type="dxa"/>
            <w:tcBorders>
              <w:top w:val="nil"/>
              <w:left w:val="nil"/>
              <w:bottom w:val="nil"/>
              <w:right w:val="nil"/>
            </w:tcBorders>
            <w:shd w:val="clear" w:color="auto" w:fill="DBEDF3"/>
          </w:tcPr>
          <w:p>
            <w:pPr>
              <w:pStyle w:val="TableParagraph"/>
              <w:spacing w:before="1"/>
              <w:ind w:right="346"/>
              <w:jc w:val="right"/>
              <w:rPr>
                <w:sz w:val="16"/>
              </w:rPr>
            </w:pPr>
            <w:r>
              <w:rPr>
                <w:sz w:val="16"/>
              </w:rPr>
              <w:t>-0.01**</w:t>
            </w:r>
          </w:p>
        </w:tc>
        <w:tc>
          <w:tcPr>
            <w:tcW w:w="1116" w:type="dxa"/>
            <w:tcBorders>
              <w:top w:val="nil"/>
              <w:left w:val="nil"/>
              <w:bottom w:val="nil"/>
              <w:right w:val="nil"/>
            </w:tcBorders>
            <w:shd w:val="clear" w:color="auto" w:fill="DBEDF3"/>
          </w:tcPr>
          <w:p>
            <w:pPr>
              <w:pStyle w:val="TableParagraph"/>
              <w:spacing w:before="1"/>
              <w:ind w:right="260"/>
              <w:jc w:val="right"/>
              <w:rPr>
                <w:sz w:val="16"/>
              </w:rPr>
            </w:pPr>
            <w:r>
              <w:rPr>
                <w:sz w:val="16"/>
              </w:rPr>
              <w:t>-0.01**</w:t>
            </w:r>
          </w:p>
        </w:tc>
        <w:tc>
          <w:tcPr>
            <w:tcW w:w="879" w:type="dxa"/>
            <w:tcBorders>
              <w:top w:val="nil"/>
              <w:left w:val="nil"/>
              <w:bottom w:val="nil"/>
              <w:right w:val="nil"/>
            </w:tcBorders>
            <w:shd w:val="clear" w:color="auto" w:fill="DBEDF3"/>
          </w:tcPr>
          <w:p>
            <w:pPr>
              <w:pStyle w:val="TableParagraph"/>
              <w:spacing w:before="1"/>
              <w:ind w:right="109"/>
              <w:jc w:val="right"/>
              <w:rPr>
                <w:sz w:val="16"/>
              </w:rPr>
            </w:pPr>
            <w:r>
              <w:rPr>
                <w:sz w:val="16"/>
              </w:rPr>
              <w:t>-0.01**</w:t>
            </w:r>
          </w:p>
        </w:tc>
      </w:tr>
      <w:tr>
        <w:trPr>
          <w:trHeight w:val="212" w:hRule="exact"/>
        </w:trPr>
        <w:tc>
          <w:tcPr>
            <w:tcW w:w="2993" w:type="dxa"/>
            <w:tcBorders>
              <w:top w:val="nil"/>
              <w:left w:val="nil"/>
              <w:bottom w:val="nil"/>
              <w:right w:val="nil"/>
            </w:tcBorders>
          </w:tcPr>
          <w:p>
            <w:pPr>
              <w:pStyle w:val="TableParagraph"/>
              <w:spacing w:line="194" w:lineRule="exact"/>
              <w:ind w:left="70"/>
              <w:jc w:val="left"/>
              <w:rPr>
                <w:rFonts w:ascii="Calibri" w:hAnsi="Calibri"/>
                <w:sz w:val="16"/>
              </w:rPr>
            </w:pPr>
            <w:r>
              <w:rPr>
                <w:rFonts w:ascii="Calibri" w:hAnsi="Calibri"/>
                <w:sz w:val="16"/>
              </w:rPr>
              <w:t>Asignac. De Ing. Fiscales  No Gasíferos</w:t>
            </w:r>
          </w:p>
        </w:tc>
        <w:tc>
          <w:tcPr>
            <w:tcW w:w="1305" w:type="dxa"/>
            <w:tcBorders>
              <w:top w:val="nil"/>
              <w:left w:val="nil"/>
              <w:bottom w:val="nil"/>
              <w:right w:val="nil"/>
            </w:tcBorders>
          </w:tcPr>
          <w:p>
            <w:pPr>
              <w:pStyle w:val="TableParagraph"/>
              <w:spacing w:line="194" w:lineRule="exact"/>
              <w:ind w:left="421"/>
              <w:jc w:val="left"/>
              <w:rPr>
                <w:rFonts w:ascii="Calibri" w:hAnsi="Calibri"/>
                <w:sz w:val="16"/>
              </w:rPr>
            </w:pPr>
            <w:r>
              <w:rPr>
                <w:rFonts w:ascii="Calibri" w:hAnsi="Calibri"/>
                <w:sz w:val="16"/>
              </w:rPr>
              <w:t>β43</w:t>
            </w:r>
          </w:p>
        </w:tc>
        <w:tc>
          <w:tcPr>
            <w:tcW w:w="1237" w:type="dxa"/>
            <w:tcBorders>
              <w:top w:val="nil"/>
              <w:left w:val="nil"/>
              <w:bottom w:val="nil"/>
              <w:right w:val="nil"/>
            </w:tcBorders>
          </w:tcPr>
          <w:p>
            <w:pPr>
              <w:pStyle w:val="TableParagraph"/>
              <w:spacing w:before="1"/>
              <w:ind w:right="99"/>
              <w:jc w:val="right"/>
              <w:rPr>
                <w:sz w:val="16"/>
              </w:rPr>
            </w:pPr>
            <w:r>
              <w:rPr>
                <w:sz w:val="16"/>
              </w:rPr>
              <w:t>-0.02**</w:t>
            </w:r>
          </w:p>
        </w:tc>
        <w:tc>
          <w:tcPr>
            <w:tcW w:w="1298" w:type="dxa"/>
            <w:tcBorders>
              <w:top w:val="nil"/>
              <w:left w:val="nil"/>
              <w:bottom w:val="nil"/>
              <w:right w:val="nil"/>
            </w:tcBorders>
            <w:shd w:val="clear" w:color="auto" w:fill="DBEDF3"/>
          </w:tcPr>
          <w:p>
            <w:pPr>
              <w:pStyle w:val="TableParagraph"/>
              <w:spacing w:before="1"/>
              <w:ind w:right="346"/>
              <w:jc w:val="right"/>
              <w:rPr>
                <w:sz w:val="16"/>
              </w:rPr>
            </w:pPr>
            <w:r>
              <w:rPr>
                <w:sz w:val="16"/>
              </w:rPr>
              <w:t>-0.01**</w:t>
            </w:r>
          </w:p>
        </w:tc>
        <w:tc>
          <w:tcPr>
            <w:tcW w:w="1116" w:type="dxa"/>
            <w:tcBorders>
              <w:top w:val="nil"/>
              <w:left w:val="nil"/>
              <w:bottom w:val="nil"/>
              <w:right w:val="nil"/>
            </w:tcBorders>
            <w:shd w:val="clear" w:color="auto" w:fill="DBEDF3"/>
          </w:tcPr>
          <w:p>
            <w:pPr>
              <w:pStyle w:val="TableParagraph"/>
              <w:spacing w:before="1"/>
              <w:ind w:right="260"/>
              <w:jc w:val="right"/>
              <w:rPr>
                <w:sz w:val="16"/>
              </w:rPr>
            </w:pPr>
            <w:r>
              <w:rPr>
                <w:sz w:val="16"/>
              </w:rPr>
              <w:t>-0.03**</w:t>
            </w:r>
          </w:p>
        </w:tc>
        <w:tc>
          <w:tcPr>
            <w:tcW w:w="879" w:type="dxa"/>
            <w:tcBorders>
              <w:top w:val="nil"/>
              <w:left w:val="nil"/>
              <w:bottom w:val="nil"/>
              <w:right w:val="nil"/>
            </w:tcBorders>
            <w:shd w:val="clear" w:color="auto" w:fill="DBEDF3"/>
          </w:tcPr>
          <w:p>
            <w:pPr>
              <w:pStyle w:val="TableParagraph"/>
              <w:spacing w:before="1"/>
              <w:ind w:right="109"/>
              <w:jc w:val="right"/>
              <w:rPr>
                <w:sz w:val="16"/>
              </w:rPr>
            </w:pPr>
            <w:r>
              <w:rPr>
                <w:sz w:val="16"/>
              </w:rPr>
              <w:t>-0.01**</w:t>
            </w:r>
          </w:p>
        </w:tc>
      </w:tr>
      <w:tr>
        <w:trPr>
          <w:trHeight w:val="207" w:hRule="exact"/>
        </w:trPr>
        <w:tc>
          <w:tcPr>
            <w:tcW w:w="2993" w:type="dxa"/>
            <w:tcBorders>
              <w:top w:val="nil"/>
              <w:left w:val="nil"/>
              <w:right w:val="nil"/>
            </w:tcBorders>
          </w:tcPr>
          <w:p>
            <w:pPr>
              <w:pStyle w:val="TableParagraph"/>
              <w:spacing w:line="194" w:lineRule="exact"/>
              <w:ind w:left="70"/>
              <w:jc w:val="left"/>
              <w:rPr>
                <w:rFonts w:ascii="Calibri"/>
                <w:sz w:val="16"/>
              </w:rPr>
            </w:pPr>
            <w:r>
              <w:rPr>
                <w:rFonts w:ascii="Calibri"/>
                <w:sz w:val="16"/>
              </w:rPr>
              <w:t>La misma variable</w:t>
            </w:r>
          </w:p>
        </w:tc>
        <w:tc>
          <w:tcPr>
            <w:tcW w:w="1305" w:type="dxa"/>
            <w:tcBorders>
              <w:top w:val="nil"/>
              <w:left w:val="nil"/>
              <w:right w:val="nil"/>
            </w:tcBorders>
          </w:tcPr>
          <w:p>
            <w:pPr>
              <w:pStyle w:val="TableParagraph"/>
              <w:spacing w:line="194" w:lineRule="exact"/>
              <w:ind w:left="421"/>
              <w:jc w:val="left"/>
              <w:rPr>
                <w:rFonts w:ascii="Calibri" w:hAnsi="Calibri"/>
                <w:sz w:val="16"/>
              </w:rPr>
            </w:pPr>
            <w:r>
              <w:rPr>
                <w:rFonts w:ascii="Calibri" w:hAnsi="Calibri"/>
                <w:sz w:val="16"/>
              </w:rPr>
              <w:t>β44</w:t>
            </w:r>
          </w:p>
        </w:tc>
        <w:tc>
          <w:tcPr>
            <w:tcW w:w="1237" w:type="dxa"/>
            <w:tcBorders>
              <w:top w:val="nil"/>
              <w:left w:val="nil"/>
              <w:right w:val="nil"/>
            </w:tcBorders>
          </w:tcPr>
          <w:p>
            <w:pPr>
              <w:pStyle w:val="TableParagraph"/>
              <w:spacing w:before="1"/>
              <w:ind w:right="99"/>
              <w:jc w:val="right"/>
              <w:rPr>
                <w:sz w:val="16"/>
              </w:rPr>
            </w:pPr>
            <w:r>
              <w:rPr>
                <w:sz w:val="16"/>
              </w:rPr>
              <w:t>0.01**</w:t>
            </w:r>
          </w:p>
        </w:tc>
        <w:tc>
          <w:tcPr>
            <w:tcW w:w="1298" w:type="dxa"/>
            <w:tcBorders>
              <w:top w:val="nil"/>
              <w:left w:val="nil"/>
              <w:right w:val="nil"/>
            </w:tcBorders>
            <w:shd w:val="clear" w:color="auto" w:fill="DBEDF3"/>
          </w:tcPr>
          <w:p>
            <w:pPr>
              <w:pStyle w:val="TableParagraph"/>
              <w:spacing w:before="1"/>
              <w:ind w:right="346"/>
              <w:jc w:val="right"/>
              <w:rPr>
                <w:sz w:val="16"/>
              </w:rPr>
            </w:pPr>
            <w:r>
              <w:rPr>
                <w:sz w:val="16"/>
              </w:rPr>
              <w:t>0.01**</w:t>
            </w:r>
          </w:p>
        </w:tc>
        <w:tc>
          <w:tcPr>
            <w:tcW w:w="1116" w:type="dxa"/>
            <w:tcBorders>
              <w:top w:val="nil"/>
              <w:left w:val="nil"/>
              <w:right w:val="nil"/>
            </w:tcBorders>
            <w:shd w:val="clear" w:color="auto" w:fill="DBEDF3"/>
          </w:tcPr>
          <w:p>
            <w:pPr>
              <w:pStyle w:val="TableParagraph"/>
              <w:spacing w:before="1"/>
              <w:ind w:right="261"/>
              <w:jc w:val="right"/>
              <w:rPr>
                <w:sz w:val="16"/>
              </w:rPr>
            </w:pPr>
            <w:r>
              <w:rPr>
                <w:sz w:val="16"/>
              </w:rPr>
              <w:t>0.01**</w:t>
            </w:r>
          </w:p>
        </w:tc>
        <w:tc>
          <w:tcPr>
            <w:tcW w:w="879" w:type="dxa"/>
            <w:tcBorders>
              <w:top w:val="nil"/>
              <w:left w:val="nil"/>
              <w:right w:val="nil"/>
            </w:tcBorders>
            <w:shd w:val="clear" w:color="auto" w:fill="DBEDF3"/>
          </w:tcPr>
          <w:p>
            <w:pPr>
              <w:pStyle w:val="TableParagraph"/>
              <w:spacing w:before="1"/>
              <w:ind w:right="109"/>
              <w:jc w:val="right"/>
              <w:rPr>
                <w:sz w:val="16"/>
              </w:rPr>
            </w:pPr>
            <w:r>
              <w:rPr>
                <w:sz w:val="16"/>
              </w:rPr>
              <w:t>0.01**</w:t>
            </w:r>
          </w:p>
        </w:tc>
      </w:tr>
    </w:tbl>
    <w:p>
      <w:pPr>
        <w:pStyle w:val="BodyText"/>
        <w:spacing w:before="4"/>
        <w:rPr>
          <w:sz w:val="13"/>
        </w:rPr>
      </w:pPr>
    </w:p>
    <w:p>
      <w:pPr>
        <w:spacing w:after="0"/>
        <w:rPr>
          <w:sz w:val="13"/>
        </w:rPr>
        <w:sectPr>
          <w:type w:val="continuous"/>
          <w:pgSz w:w="12250" w:h="15850"/>
          <w:pgMar w:top="1500" w:bottom="280" w:left="1600" w:right="1540"/>
        </w:sectPr>
      </w:pPr>
    </w:p>
    <w:p>
      <w:pPr>
        <w:spacing w:before="81"/>
        <w:ind w:left="211" w:right="0" w:firstLine="0"/>
        <w:jc w:val="left"/>
        <w:rPr>
          <w:b/>
          <w:sz w:val="16"/>
        </w:rPr>
      </w:pPr>
      <w:r>
        <w:rPr>
          <w:b/>
          <w:sz w:val="16"/>
        </w:rPr>
        <w:t>Respuesta estructural de  la deuda  pública(y5t)</w:t>
      </w:r>
    </w:p>
    <w:p>
      <w:pPr>
        <w:tabs>
          <w:tab w:pos="3312" w:val="left" w:leader="none"/>
        </w:tabs>
        <w:spacing w:before="28"/>
        <w:ind w:left="161" w:right="0" w:firstLine="0"/>
        <w:jc w:val="left"/>
        <w:rPr>
          <w:sz w:val="16"/>
        </w:rPr>
      </w:pPr>
      <w:r>
        <w:rPr>
          <w:spacing w:val="-7"/>
          <w:sz w:val="16"/>
        </w:rPr>
        <w:t>Impulso </w:t>
      </w:r>
      <w:r>
        <w:rPr>
          <w:sz w:val="16"/>
        </w:rPr>
        <w:t>a </w:t>
      </w:r>
      <w:r>
        <w:rPr>
          <w:spacing w:val="-6"/>
          <w:sz w:val="16"/>
        </w:rPr>
        <w:t>un </w:t>
      </w:r>
      <w:r>
        <w:rPr>
          <w:spacing w:val="-4"/>
          <w:sz w:val="16"/>
        </w:rPr>
        <w:t>choque</w:t>
      </w:r>
      <w:r>
        <w:rPr>
          <w:spacing w:val="24"/>
          <w:sz w:val="16"/>
        </w:rPr>
        <w:t> </w:t>
      </w:r>
      <w:r>
        <w:rPr>
          <w:spacing w:val="-7"/>
          <w:sz w:val="16"/>
        </w:rPr>
        <w:t>positivo</w:t>
      </w:r>
      <w:r>
        <w:rPr>
          <w:spacing w:val="6"/>
          <w:sz w:val="16"/>
        </w:rPr>
        <w:t> </w:t>
      </w:r>
      <w:r>
        <w:rPr>
          <w:spacing w:val="-6"/>
          <w:sz w:val="16"/>
        </w:rPr>
        <w:t>estructural:</w:t>
        <w:tab/>
      </w:r>
      <w:r>
        <w:rPr>
          <w:spacing w:val="-4"/>
          <w:sz w:val="16"/>
        </w:rPr>
        <w:t>Parametros:</w:t>
      </w:r>
    </w:p>
    <w:p>
      <w:pPr>
        <w:pStyle w:val="BodyText"/>
        <w:rPr>
          <w:sz w:val="16"/>
        </w:rPr>
      </w:pPr>
      <w:r>
        <w:rPr/>
        <w:br w:type="column"/>
      </w:r>
      <w:r>
        <w:rPr>
          <w:sz w:val="16"/>
        </w:rPr>
      </w:r>
    </w:p>
    <w:p>
      <w:pPr>
        <w:spacing w:before="109"/>
        <w:ind w:left="161" w:right="0" w:firstLine="0"/>
        <w:jc w:val="left"/>
        <w:rPr>
          <w:sz w:val="16"/>
        </w:rPr>
      </w:pPr>
      <w:r>
        <w:rPr>
          <w:sz w:val="16"/>
        </w:rPr>
        <w:t>Coeficientes</w:t>
      </w:r>
    </w:p>
    <w:p>
      <w:pPr>
        <w:spacing w:after="0"/>
        <w:jc w:val="left"/>
        <w:rPr>
          <w:sz w:val="16"/>
        </w:rPr>
        <w:sectPr>
          <w:type w:val="continuous"/>
          <w:pgSz w:w="12250" w:h="15850"/>
          <w:pgMar w:top="1500" w:bottom="280" w:left="1600" w:right="1540"/>
          <w:cols w:num="2" w:equalWidth="0">
            <w:col w:w="4055" w:space="2148"/>
            <w:col w:w="2907"/>
          </w:cols>
        </w:sectPr>
      </w:pPr>
    </w:p>
    <w:tbl>
      <w:tblPr>
        <w:tblW w:w="0" w:type="auto"/>
        <w:jc w:val="left"/>
        <w:tblInd w:w="125"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2993"/>
        <w:gridCol w:w="1305"/>
        <w:gridCol w:w="1237"/>
        <w:gridCol w:w="1298"/>
        <w:gridCol w:w="1116"/>
        <w:gridCol w:w="879"/>
      </w:tblGrid>
      <w:tr>
        <w:trPr>
          <w:trHeight w:val="238" w:hRule="exact"/>
        </w:trPr>
        <w:tc>
          <w:tcPr>
            <w:tcW w:w="2993" w:type="dxa"/>
            <w:tcBorders>
              <w:left w:val="nil"/>
              <w:bottom w:val="nil"/>
              <w:right w:val="nil"/>
            </w:tcBorders>
          </w:tcPr>
          <w:p>
            <w:pPr>
              <w:pStyle w:val="TableParagraph"/>
              <w:spacing w:before="9"/>
              <w:ind w:left="70"/>
              <w:jc w:val="left"/>
              <w:rPr>
                <w:rFonts w:ascii="Calibri"/>
                <w:sz w:val="16"/>
              </w:rPr>
            </w:pPr>
            <w:r>
              <w:rPr>
                <w:rFonts w:ascii="Calibri"/>
                <w:sz w:val="16"/>
              </w:rPr>
              <w:t>Precios del gas natural</w:t>
            </w:r>
          </w:p>
        </w:tc>
        <w:tc>
          <w:tcPr>
            <w:tcW w:w="1305" w:type="dxa"/>
            <w:tcBorders>
              <w:left w:val="nil"/>
              <w:bottom w:val="nil"/>
              <w:right w:val="nil"/>
            </w:tcBorders>
          </w:tcPr>
          <w:p>
            <w:pPr>
              <w:pStyle w:val="TableParagraph"/>
              <w:spacing w:before="9"/>
              <w:ind w:left="421"/>
              <w:jc w:val="left"/>
              <w:rPr>
                <w:rFonts w:ascii="Calibri" w:hAnsi="Calibri"/>
                <w:sz w:val="16"/>
              </w:rPr>
            </w:pPr>
            <w:r>
              <w:rPr>
                <w:rFonts w:ascii="Calibri" w:hAnsi="Calibri"/>
                <w:sz w:val="16"/>
              </w:rPr>
              <w:t>β51</w:t>
            </w:r>
          </w:p>
        </w:tc>
        <w:tc>
          <w:tcPr>
            <w:tcW w:w="1237" w:type="dxa"/>
            <w:tcBorders>
              <w:left w:val="nil"/>
              <w:bottom w:val="nil"/>
              <w:right w:val="nil"/>
            </w:tcBorders>
          </w:tcPr>
          <w:p>
            <w:pPr>
              <w:pStyle w:val="TableParagraph"/>
              <w:spacing w:before="12"/>
              <w:ind w:right="99"/>
              <w:jc w:val="right"/>
              <w:rPr>
                <w:sz w:val="16"/>
              </w:rPr>
            </w:pPr>
            <w:r>
              <w:rPr>
                <w:sz w:val="16"/>
              </w:rPr>
              <w:t>-0.12**</w:t>
            </w:r>
          </w:p>
        </w:tc>
        <w:tc>
          <w:tcPr>
            <w:tcW w:w="1298" w:type="dxa"/>
            <w:tcBorders>
              <w:left w:val="nil"/>
              <w:bottom w:val="nil"/>
              <w:right w:val="nil"/>
            </w:tcBorders>
            <w:shd w:val="clear" w:color="auto" w:fill="DBEDF3"/>
          </w:tcPr>
          <w:p>
            <w:pPr>
              <w:pStyle w:val="TableParagraph"/>
              <w:spacing w:before="12"/>
              <w:ind w:left="444"/>
              <w:jc w:val="left"/>
              <w:rPr>
                <w:sz w:val="16"/>
              </w:rPr>
            </w:pPr>
            <w:r>
              <w:rPr>
                <w:sz w:val="16"/>
              </w:rPr>
              <w:t>-0.11**</w:t>
            </w:r>
          </w:p>
        </w:tc>
        <w:tc>
          <w:tcPr>
            <w:tcW w:w="1116" w:type="dxa"/>
            <w:tcBorders>
              <w:left w:val="nil"/>
              <w:bottom w:val="nil"/>
              <w:right w:val="nil"/>
            </w:tcBorders>
            <w:shd w:val="clear" w:color="auto" w:fill="DBEDF3"/>
          </w:tcPr>
          <w:p>
            <w:pPr>
              <w:pStyle w:val="TableParagraph"/>
              <w:spacing w:before="12"/>
              <w:ind w:left="348"/>
              <w:jc w:val="left"/>
              <w:rPr>
                <w:sz w:val="16"/>
              </w:rPr>
            </w:pPr>
            <w:r>
              <w:rPr>
                <w:sz w:val="16"/>
              </w:rPr>
              <w:t>-0.09**</w:t>
            </w:r>
          </w:p>
        </w:tc>
        <w:tc>
          <w:tcPr>
            <w:tcW w:w="879" w:type="dxa"/>
            <w:tcBorders>
              <w:left w:val="nil"/>
              <w:bottom w:val="nil"/>
              <w:right w:val="nil"/>
            </w:tcBorders>
            <w:shd w:val="clear" w:color="auto" w:fill="DBEDF3"/>
          </w:tcPr>
          <w:p>
            <w:pPr>
              <w:pStyle w:val="TableParagraph"/>
              <w:spacing w:before="12"/>
              <w:ind w:right="109"/>
              <w:jc w:val="right"/>
              <w:rPr>
                <w:sz w:val="16"/>
              </w:rPr>
            </w:pPr>
            <w:r>
              <w:rPr>
                <w:sz w:val="16"/>
              </w:rPr>
              <w:t>-0.12**</w:t>
            </w:r>
          </w:p>
        </w:tc>
      </w:tr>
      <w:tr>
        <w:trPr>
          <w:trHeight w:val="212" w:hRule="exact"/>
        </w:trPr>
        <w:tc>
          <w:tcPr>
            <w:tcW w:w="2993" w:type="dxa"/>
            <w:tcBorders>
              <w:top w:val="nil"/>
              <w:left w:val="nil"/>
              <w:bottom w:val="nil"/>
              <w:right w:val="nil"/>
            </w:tcBorders>
          </w:tcPr>
          <w:p>
            <w:pPr>
              <w:pStyle w:val="TableParagraph"/>
              <w:spacing w:line="194" w:lineRule="exact"/>
              <w:ind w:left="70"/>
              <w:jc w:val="left"/>
              <w:rPr>
                <w:rFonts w:ascii="Calibri" w:hAnsi="Calibri"/>
                <w:sz w:val="16"/>
              </w:rPr>
            </w:pPr>
            <w:r>
              <w:rPr>
                <w:rFonts w:ascii="Calibri" w:hAnsi="Calibri"/>
                <w:sz w:val="16"/>
              </w:rPr>
              <w:t>Asignac. De Ing. Fiscales  Gasíferos</w:t>
            </w:r>
          </w:p>
        </w:tc>
        <w:tc>
          <w:tcPr>
            <w:tcW w:w="1305" w:type="dxa"/>
            <w:tcBorders>
              <w:top w:val="nil"/>
              <w:left w:val="nil"/>
              <w:bottom w:val="nil"/>
              <w:right w:val="nil"/>
            </w:tcBorders>
          </w:tcPr>
          <w:p>
            <w:pPr>
              <w:pStyle w:val="TableParagraph"/>
              <w:spacing w:line="194" w:lineRule="exact"/>
              <w:ind w:left="421"/>
              <w:jc w:val="left"/>
              <w:rPr>
                <w:rFonts w:ascii="Calibri" w:hAnsi="Calibri"/>
                <w:sz w:val="16"/>
              </w:rPr>
            </w:pPr>
            <w:r>
              <w:rPr>
                <w:rFonts w:ascii="Calibri" w:hAnsi="Calibri"/>
                <w:sz w:val="16"/>
              </w:rPr>
              <w:t>β52</w:t>
            </w:r>
          </w:p>
        </w:tc>
        <w:tc>
          <w:tcPr>
            <w:tcW w:w="1237" w:type="dxa"/>
            <w:tcBorders>
              <w:top w:val="nil"/>
              <w:left w:val="nil"/>
              <w:bottom w:val="nil"/>
              <w:right w:val="nil"/>
            </w:tcBorders>
          </w:tcPr>
          <w:p>
            <w:pPr>
              <w:pStyle w:val="TableParagraph"/>
              <w:spacing w:before="1"/>
              <w:ind w:right="180"/>
              <w:jc w:val="right"/>
              <w:rPr>
                <w:sz w:val="16"/>
              </w:rPr>
            </w:pPr>
            <w:r>
              <w:rPr>
                <w:sz w:val="16"/>
              </w:rPr>
              <w:t>0.04*</w:t>
            </w:r>
          </w:p>
        </w:tc>
        <w:tc>
          <w:tcPr>
            <w:tcW w:w="1298" w:type="dxa"/>
            <w:tcBorders>
              <w:top w:val="nil"/>
              <w:left w:val="nil"/>
              <w:bottom w:val="nil"/>
              <w:right w:val="nil"/>
            </w:tcBorders>
            <w:shd w:val="clear" w:color="auto" w:fill="DBEDF3"/>
          </w:tcPr>
          <w:p>
            <w:pPr>
              <w:pStyle w:val="TableParagraph"/>
              <w:spacing w:before="1"/>
              <w:ind w:left="504"/>
              <w:jc w:val="left"/>
              <w:rPr>
                <w:sz w:val="16"/>
              </w:rPr>
            </w:pPr>
            <w:r>
              <w:rPr>
                <w:sz w:val="16"/>
              </w:rPr>
              <w:t>0.05**</w:t>
            </w:r>
          </w:p>
        </w:tc>
        <w:tc>
          <w:tcPr>
            <w:tcW w:w="1116" w:type="dxa"/>
            <w:tcBorders>
              <w:top w:val="nil"/>
              <w:left w:val="nil"/>
              <w:bottom w:val="nil"/>
              <w:right w:val="nil"/>
            </w:tcBorders>
            <w:shd w:val="clear" w:color="auto" w:fill="DBEDF3"/>
          </w:tcPr>
          <w:p>
            <w:pPr>
              <w:pStyle w:val="TableParagraph"/>
              <w:spacing w:before="1"/>
              <w:ind w:left="409"/>
              <w:jc w:val="left"/>
              <w:rPr>
                <w:sz w:val="16"/>
              </w:rPr>
            </w:pPr>
            <w:r>
              <w:rPr>
                <w:sz w:val="16"/>
              </w:rPr>
              <w:t>0.04**</w:t>
            </w:r>
          </w:p>
        </w:tc>
        <w:tc>
          <w:tcPr>
            <w:tcW w:w="879" w:type="dxa"/>
            <w:tcBorders>
              <w:top w:val="nil"/>
              <w:left w:val="nil"/>
              <w:bottom w:val="nil"/>
              <w:right w:val="nil"/>
            </w:tcBorders>
            <w:shd w:val="clear" w:color="auto" w:fill="DBEDF3"/>
          </w:tcPr>
          <w:p>
            <w:pPr>
              <w:pStyle w:val="TableParagraph"/>
              <w:spacing w:before="1"/>
              <w:ind w:right="109"/>
              <w:jc w:val="right"/>
              <w:rPr>
                <w:sz w:val="16"/>
              </w:rPr>
            </w:pPr>
            <w:r>
              <w:rPr>
                <w:sz w:val="16"/>
              </w:rPr>
              <w:t>0.04**</w:t>
            </w:r>
          </w:p>
        </w:tc>
      </w:tr>
      <w:tr>
        <w:trPr>
          <w:trHeight w:val="212" w:hRule="exact"/>
        </w:trPr>
        <w:tc>
          <w:tcPr>
            <w:tcW w:w="2993" w:type="dxa"/>
            <w:tcBorders>
              <w:top w:val="nil"/>
              <w:left w:val="nil"/>
              <w:bottom w:val="nil"/>
              <w:right w:val="nil"/>
            </w:tcBorders>
          </w:tcPr>
          <w:p>
            <w:pPr>
              <w:pStyle w:val="TableParagraph"/>
              <w:spacing w:line="194" w:lineRule="exact"/>
              <w:ind w:left="70"/>
              <w:jc w:val="left"/>
              <w:rPr>
                <w:rFonts w:ascii="Calibri" w:hAnsi="Calibri"/>
                <w:sz w:val="16"/>
              </w:rPr>
            </w:pPr>
            <w:r>
              <w:rPr>
                <w:rFonts w:ascii="Calibri" w:hAnsi="Calibri"/>
                <w:sz w:val="16"/>
              </w:rPr>
              <w:t>Asignac. De Ing. Fiscales  No Gasíferos</w:t>
            </w:r>
          </w:p>
        </w:tc>
        <w:tc>
          <w:tcPr>
            <w:tcW w:w="1305" w:type="dxa"/>
            <w:tcBorders>
              <w:top w:val="nil"/>
              <w:left w:val="nil"/>
              <w:bottom w:val="nil"/>
              <w:right w:val="nil"/>
            </w:tcBorders>
          </w:tcPr>
          <w:p>
            <w:pPr>
              <w:pStyle w:val="TableParagraph"/>
              <w:spacing w:line="194" w:lineRule="exact"/>
              <w:ind w:left="421"/>
              <w:jc w:val="left"/>
              <w:rPr>
                <w:rFonts w:ascii="Calibri" w:hAnsi="Calibri"/>
                <w:sz w:val="16"/>
              </w:rPr>
            </w:pPr>
            <w:r>
              <w:rPr>
                <w:rFonts w:ascii="Calibri" w:hAnsi="Calibri"/>
                <w:sz w:val="16"/>
              </w:rPr>
              <w:t>β53</w:t>
            </w:r>
          </w:p>
        </w:tc>
        <w:tc>
          <w:tcPr>
            <w:tcW w:w="1237" w:type="dxa"/>
            <w:tcBorders>
              <w:top w:val="nil"/>
              <w:left w:val="nil"/>
              <w:bottom w:val="nil"/>
              <w:right w:val="nil"/>
            </w:tcBorders>
          </w:tcPr>
          <w:p>
            <w:pPr>
              <w:pStyle w:val="TableParagraph"/>
              <w:spacing w:before="1"/>
              <w:ind w:left="630"/>
              <w:jc w:val="left"/>
              <w:rPr>
                <w:sz w:val="16"/>
              </w:rPr>
            </w:pPr>
            <w:r>
              <w:rPr>
                <w:sz w:val="16"/>
              </w:rPr>
              <w:t>-0.02</w:t>
            </w:r>
          </w:p>
        </w:tc>
        <w:tc>
          <w:tcPr>
            <w:tcW w:w="1298" w:type="dxa"/>
            <w:tcBorders>
              <w:top w:val="nil"/>
              <w:left w:val="nil"/>
              <w:bottom w:val="nil"/>
              <w:right w:val="nil"/>
            </w:tcBorders>
            <w:shd w:val="clear" w:color="auto" w:fill="DBEDF3"/>
          </w:tcPr>
          <w:p>
            <w:pPr>
              <w:pStyle w:val="TableParagraph"/>
              <w:spacing w:before="1"/>
              <w:ind w:left="545"/>
              <w:jc w:val="left"/>
              <w:rPr>
                <w:sz w:val="16"/>
              </w:rPr>
            </w:pPr>
            <w:r>
              <w:rPr>
                <w:sz w:val="16"/>
              </w:rPr>
              <w:t>0.01</w:t>
            </w:r>
          </w:p>
        </w:tc>
        <w:tc>
          <w:tcPr>
            <w:tcW w:w="1116" w:type="dxa"/>
            <w:tcBorders>
              <w:top w:val="nil"/>
              <w:left w:val="nil"/>
              <w:bottom w:val="nil"/>
              <w:right w:val="nil"/>
            </w:tcBorders>
            <w:shd w:val="clear" w:color="auto" w:fill="DBEDF3"/>
          </w:tcPr>
          <w:p>
            <w:pPr>
              <w:pStyle w:val="TableParagraph"/>
              <w:spacing w:before="1"/>
              <w:ind w:left="389"/>
              <w:jc w:val="left"/>
              <w:rPr>
                <w:sz w:val="16"/>
              </w:rPr>
            </w:pPr>
            <w:r>
              <w:rPr>
                <w:sz w:val="16"/>
              </w:rPr>
              <w:t>-0.02</w:t>
            </w:r>
          </w:p>
        </w:tc>
        <w:tc>
          <w:tcPr>
            <w:tcW w:w="879" w:type="dxa"/>
            <w:tcBorders>
              <w:top w:val="nil"/>
              <w:left w:val="nil"/>
              <w:bottom w:val="nil"/>
              <w:right w:val="nil"/>
            </w:tcBorders>
            <w:shd w:val="clear" w:color="auto" w:fill="DBEDF3"/>
          </w:tcPr>
          <w:p>
            <w:pPr>
              <w:pStyle w:val="TableParagraph"/>
              <w:spacing w:before="1"/>
              <w:ind w:left="262"/>
              <w:jc w:val="left"/>
              <w:rPr>
                <w:sz w:val="16"/>
              </w:rPr>
            </w:pPr>
            <w:r>
              <w:rPr>
                <w:sz w:val="16"/>
              </w:rPr>
              <w:t>-0.02</w:t>
            </w:r>
          </w:p>
        </w:tc>
      </w:tr>
      <w:tr>
        <w:trPr>
          <w:trHeight w:val="212" w:hRule="exact"/>
        </w:trPr>
        <w:tc>
          <w:tcPr>
            <w:tcW w:w="2993" w:type="dxa"/>
            <w:tcBorders>
              <w:top w:val="nil"/>
              <w:left w:val="nil"/>
              <w:bottom w:val="nil"/>
              <w:right w:val="nil"/>
            </w:tcBorders>
          </w:tcPr>
          <w:p>
            <w:pPr>
              <w:pStyle w:val="TableParagraph"/>
              <w:spacing w:line="194" w:lineRule="exact"/>
              <w:ind w:left="70"/>
              <w:jc w:val="left"/>
              <w:rPr>
                <w:rFonts w:ascii="Calibri"/>
                <w:sz w:val="16"/>
              </w:rPr>
            </w:pPr>
            <w:r>
              <w:rPr>
                <w:rFonts w:ascii="Calibri"/>
                <w:sz w:val="16"/>
              </w:rPr>
              <w:t>Resultado fiscal (y4t or y4t*)</w:t>
            </w:r>
          </w:p>
        </w:tc>
        <w:tc>
          <w:tcPr>
            <w:tcW w:w="1305" w:type="dxa"/>
            <w:tcBorders>
              <w:top w:val="nil"/>
              <w:left w:val="nil"/>
              <w:bottom w:val="nil"/>
              <w:right w:val="nil"/>
            </w:tcBorders>
          </w:tcPr>
          <w:p>
            <w:pPr>
              <w:pStyle w:val="TableParagraph"/>
              <w:spacing w:line="194" w:lineRule="exact"/>
              <w:ind w:left="421"/>
              <w:jc w:val="left"/>
              <w:rPr>
                <w:rFonts w:ascii="Calibri" w:hAnsi="Calibri"/>
                <w:sz w:val="16"/>
              </w:rPr>
            </w:pPr>
            <w:r>
              <w:rPr>
                <w:rFonts w:ascii="Calibri" w:hAnsi="Calibri"/>
                <w:sz w:val="16"/>
              </w:rPr>
              <w:t>β54</w:t>
            </w:r>
          </w:p>
        </w:tc>
        <w:tc>
          <w:tcPr>
            <w:tcW w:w="1237" w:type="dxa"/>
            <w:tcBorders>
              <w:top w:val="nil"/>
              <w:left w:val="nil"/>
              <w:bottom w:val="nil"/>
              <w:right w:val="nil"/>
            </w:tcBorders>
          </w:tcPr>
          <w:p>
            <w:pPr>
              <w:pStyle w:val="TableParagraph"/>
              <w:spacing w:before="1"/>
              <w:ind w:left="691"/>
              <w:jc w:val="left"/>
              <w:rPr>
                <w:sz w:val="16"/>
              </w:rPr>
            </w:pPr>
            <w:r>
              <w:rPr>
                <w:sz w:val="16"/>
              </w:rPr>
              <w:t>0.00</w:t>
            </w:r>
          </w:p>
        </w:tc>
        <w:tc>
          <w:tcPr>
            <w:tcW w:w="1298" w:type="dxa"/>
            <w:tcBorders>
              <w:top w:val="nil"/>
              <w:left w:val="nil"/>
              <w:bottom w:val="nil"/>
              <w:right w:val="nil"/>
            </w:tcBorders>
            <w:shd w:val="clear" w:color="auto" w:fill="DBEDF3"/>
          </w:tcPr>
          <w:p>
            <w:pPr>
              <w:pStyle w:val="TableParagraph"/>
              <w:spacing w:before="1"/>
              <w:ind w:left="545"/>
              <w:jc w:val="left"/>
              <w:rPr>
                <w:sz w:val="16"/>
              </w:rPr>
            </w:pPr>
            <w:r>
              <w:rPr>
                <w:sz w:val="16"/>
              </w:rPr>
              <w:t>0.01</w:t>
            </w:r>
          </w:p>
        </w:tc>
        <w:tc>
          <w:tcPr>
            <w:tcW w:w="1116" w:type="dxa"/>
            <w:tcBorders>
              <w:top w:val="nil"/>
              <w:left w:val="nil"/>
              <w:bottom w:val="nil"/>
              <w:right w:val="nil"/>
            </w:tcBorders>
            <w:shd w:val="clear" w:color="auto" w:fill="DBEDF3"/>
          </w:tcPr>
          <w:p>
            <w:pPr>
              <w:pStyle w:val="TableParagraph"/>
              <w:spacing w:before="1"/>
              <w:ind w:left="389"/>
              <w:jc w:val="left"/>
              <w:rPr>
                <w:sz w:val="16"/>
              </w:rPr>
            </w:pPr>
            <w:r>
              <w:rPr>
                <w:sz w:val="16"/>
              </w:rPr>
              <w:t>-0.00</w:t>
            </w:r>
          </w:p>
        </w:tc>
        <w:tc>
          <w:tcPr>
            <w:tcW w:w="879" w:type="dxa"/>
            <w:tcBorders>
              <w:top w:val="nil"/>
              <w:left w:val="nil"/>
              <w:bottom w:val="nil"/>
              <w:right w:val="nil"/>
            </w:tcBorders>
            <w:shd w:val="clear" w:color="auto" w:fill="DBEDF3"/>
          </w:tcPr>
          <w:p>
            <w:pPr>
              <w:pStyle w:val="TableParagraph"/>
              <w:spacing w:before="1"/>
              <w:ind w:left="262"/>
              <w:jc w:val="left"/>
              <w:rPr>
                <w:sz w:val="16"/>
              </w:rPr>
            </w:pPr>
            <w:r>
              <w:rPr>
                <w:sz w:val="16"/>
              </w:rPr>
              <w:t>-0.00</w:t>
            </w:r>
          </w:p>
        </w:tc>
      </w:tr>
      <w:tr>
        <w:trPr>
          <w:trHeight w:val="206" w:hRule="exact"/>
        </w:trPr>
        <w:tc>
          <w:tcPr>
            <w:tcW w:w="2993" w:type="dxa"/>
            <w:tcBorders>
              <w:top w:val="nil"/>
              <w:left w:val="nil"/>
              <w:right w:val="nil"/>
            </w:tcBorders>
          </w:tcPr>
          <w:p>
            <w:pPr>
              <w:pStyle w:val="TableParagraph"/>
              <w:spacing w:line="194" w:lineRule="exact"/>
              <w:ind w:left="70"/>
              <w:jc w:val="left"/>
              <w:rPr>
                <w:rFonts w:ascii="Calibri"/>
                <w:sz w:val="16"/>
              </w:rPr>
            </w:pPr>
            <w:r>
              <w:rPr>
                <w:rFonts w:ascii="Calibri"/>
                <w:sz w:val="16"/>
              </w:rPr>
              <w:t>La misma variable</w:t>
            </w:r>
          </w:p>
        </w:tc>
        <w:tc>
          <w:tcPr>
            <w:tcW w:w="1305" w:type="dxa"/>
            <w:tcBorders>
              <w:top w:val="nil"/>
              <w:left w:val="nil"/>
              <w:right w:val="nil"/>
            </w:tcBorders>
          </w:tcPr>
          <w:p>
            <w:pPr>
              <w:pStyle w:val="TableParagraph"/>
              <w:spacing w:line="194" w:lineRule="exact"/>
              <w:ind w:left="421"/>
              <w:jc w:val="left"/>
              <w:rPr>
                <w:rFonts w:ascii="Calibri" w:hAnsi="Calibri"/>
                <w:sz w:val="16"/>
              </w:rPr>
            </w:pPr>
            <w:r>
              <w:rPr>
                <w:rFonts w:ascii="Calibri" w:hAnsi="Calibri"/>
                <w:sz w:val="16"/>
              </w:rPr>
              <w:t>β55</w:t>
            </w:r>
          </w:p>
        </w:tc>
        <w:tc>
          <w:tcPr>
            <w:tcW w:w="1237" w:type="dxa"/>
            <w:tcBorders>
              <w:top w:val="nil"/>
              <w:left w:val="nil"/>
              <w:right w:val="nil"/>
            </w:tcBorders>
          </w:tcPr>
          <w:p>
            <w:pPr>
              <w:pStyle w:val="TableParagraph"/>
              <w:spacing w:before="1"/>
              <w:ind w:right="99"/>
              <w:jc w:val="right"/>
              <w:rPr>
                <w:sz w:val="16"/>
              </w:rPr>
            </w:pPr>
            <w:r>
              <w:rPr>
                <w:sz w:val="16"/>
              </w:rPr>
              <w:t>0.08**</w:t>
            </w:r>
          </w:p>
        </w:tc>
        <w:tc>
          <w:tcPr>
            <w:tcW w:w="1298" w:type="dxa"/>
            <w:tcBorders>
              <w:top w:val="nil"/>
              <w:left w:val="nil"/>
              <w:right w:val="nil"/>
            </w:tcBorders>
            <w:shd w:val="clear" w:color="auto" w:fill="DBEDF3"/>
          </w:tcPr>
          <w:p>
            <w:pPr>
              <w:pStyle w:val="TableParagraph"/>
              <w:spacing w:before="1"/>
              <w:ind w:left="504"/>
              <w:jc w:val="left"/>
              <w:rPr>
                <w:sz w:val="16"/>
              </w:rPr>
            </w:pPr>
            <w:r>
              <w:rPr>
                <w:sz w:val="16"/>
              </w:rPr>
              <w:t>0.08**</w:t>
            </w:r>
          </w:p>
        </w:tc>
        <w:tc>
          <w:tcPr>
            <w:tcW w:w="1116" w:type="dxa"/>
            <w:tcBorders>
              <w:top w:val="nil"/>
              <w:left w:val="nil"/>
              <w:right w:val="nil"/>
            </w:tcBorders>
            <w:shd w:val="clear" w:color="auto" w:fill="DBEDF3"/>
          </w:tcPr>
          <w:p>
            <w:pPr>
              <w:pStyle w:val="TableParagraph"/>
              <w:spacing w:before="1"/>
              <w:ind w:left="409"/>
              <w:jc w:val="left"/>
              <w:rPr>
                <w:sz w:val="16"/>
              </w:rPr>
            </w:pPr>
            <w:r>
              <w:rPr>
                <w:sz w:val="16"/>
              </w:rPr>
              <w:t>0.08**</w:t>
            </w:r>
          </w:p>
        </w:tc>
        <w:tc>
          <w:tcPr>
            <w:tcW w:w="879" w:type="dxa"/>
            <w:tcBorders>
              <w:top w:val="nil"/>
              <w:left w:val="nil"/>
              <w:right w:val="nil"/>
            </w:tcBorders>
            <w:shd w:val="clear" w:color="auto" w:fill="DBEDF3"/>
          </w:tcPr>
          <w:p>
            <w:pPr>
              <w:pStyle w:val="TableParagraph"/>
              <w:spacing w:before="1"/>
              <w:ind w:right="109"/>
              <w:jc w:val="right"/>
              <w:rPr>
                <w:sz w:val="16"/>
              </w:rPr>
            </w:pPr>
            <w:r>
              <w:rPr>
                <w:sz w:val="16"/>
              </w:rPr>
              <w:t>0.08**</w:t>
            </w:r>
          </w:p>
        </w:tc>
      </w:tr>
    </w:tbl>
    <w:p>
      <w:pPr>
        <w:spacing w:line="145" w:lineRule="exact" w:before="0"/>
        <w:ind w:left="161" w:right="148" w:firstLine="0"/>
        <w:jc w:val="left"/>
        <w:rPr>
          <w:sz w:val="13"/>
        </w:rPr>
      </w:pPr>
      <w:r>
        <w:rPr>
          <w:sz w:val="13"/>
        </w:rPr>
        <w:t>Nivel de significancia:: ** al 1%; * al 5% de forma respectiva.</w:t>
      </w:r>
    </w:p>
    <w:p>
      <w:pPr>
        <w:pStyle w:val="BodyText"/>
        <w:spacing w:before="8"/>
        <w:rPr>
          <w:sz w:val="19"/>
        </w:rPr>
      </w:pPr>
    </w:p>
    <w:p>
      <w:pPr>
        <w:pStyle w:val="BodyText"/>
        <w:spacing w:line="360" w:lineRule="auto" w:before="69"/>
        <w:ind w:left="102" w:right="148" w:firstLine="707"/>
      </w:pPr>
      <w:r>
        <w:rPr/>
        <w:t>A manera de resumen, la magnitud y significancia de los coeficientes permiten concluir los efectos contemporáneos más importantes sobre  la posición fiscal de Bolivia:</w:t>
      </w:r>
    </w:p>
    <w:p>
      <w:pPr>
        <w:pStyle w:val="BodyText"/>
      </w:pPr>
    </w:p>
    <w:p>
      <w:pPr>
        <w:pStyle w:val="ListParagraph"/>
        <w:numPr>
          <w:ilvl w:val="3"/>
          <w:numId w:val="18"/>
        </w:numPr>
        <w:tabs>
          <w:tab w:pos="822" w:val="left" w:leader="none"/>
        </w:tabs>
        <w:spacing w:line="360" w:lineRule="auto" w:before="143" w:after="0"/>
        <w:ind w:left="822" w:right="158" w:hanging="360"/>
        <w:jc w:val="both"/>
        <w:rPr>
          <w:sz w:val="24"/>
        </w:rPr>
      </w:pPr>
      <w:r>
        <w:rPr>
          <w:sz w:val="24"/>
        </w:rPr>
        <w:t>Para los distintos resultados fiscales, los choques en la asignación de los ingresos fiscales (con y sin gas natural) ejercieron un rol más relevante que los choques de precios</w:t>
      </w:r>
      <w:r>
        <w:rPr>
          <w:spacing w:val="52"/>
          <w:sz w:val="24"/>
        </w:rPr>
        <w:t> </w:t>
      </w:r>
      <w:r>
        <w:rPr>
          <w:sz w:val="24"/>
        </w:rPr>
        <w:t>del</w:t>
      </w:r>
      <w:r>
        <w:rPr>
          <w:spacing w:val="56"/>
          <w:sz w:val="24"/>
        </w:rPr>
        <w:t> </w:t>
      </w:r>
      <w:r>
        <w:rPr>
          <w:sz w:val="24"/>
        </w:rPr>
        <w:t>gas</w:t>
      </w:r>
      <w:r>
        <w:rPr>
          <w:spacing w:val="51"/>
          <w:sz w:val="24"/>
        </w:rPr>
        <w:t> </w:t>
      </w:r>
      <w:r>
        <w:rPr>
          <w:sz w:val="24"/>
        </w:rPr>
        <w:t>natural.</w:t>
      </w:r>
      <w:r>
        <w:rPr>
          <w:spacing w:val="54"/>
          <w:sz w:val="24"/>
        </w:rPr>
        <w:t> </w:t>
      </w:r>
      <w:r>
        <w:rPr>
          <w:sz w:val="24"/>
        </w:rPr>
        <w:t>Asimismo,</w:t>
      </w:r>
      <w:r>
        <w:rPr>
          <w:spacing w:val="54"/>
          <w:sz w:val="24"/>
        </w:rPr>
        <w:t> </w:t>
      </w:r>
      <w:r>
        <w:rPr>
          <w:sz w:val="24"/>
        </w:rPr>
        <w:t>la</w:t>
      </w:r>
      <w:r>
        <w:rPr>
          <w:spacing w:val="51"/>
          <w:sz w:val="24"/>
        </w:rPr>
        <w:t> </w:t>
      </w:r>
      <w:r>
        <w:rPr>
          <w:sz w:val="24"/>
        </w:rPr>
        <w:t>forma</w:t>
      </w:r>
      <w:r>
        <w:rPr>
          <w:spacing w:val="53"/>
          <w:sz w:val="24"/>
        </w:rPr>
        <w:t> </w:t>
      </w:r>
      <w:r>
        <w:rPr>
          <w:sz w:val="24"/>
        </w:rPr>
        <w:t>en</w:t>
      </w:r>
      <w:r>
        <w:rPr>
          <w:spacing w:val="51"/>
          <w:sz w:val="24"/>
        </w:rPr>
        <w:t> </w:t>
      </w:r>
      <w:r>
        <w:rPr>
          <w:sz w:val="24"/>
        </w:rPr>
        <w:t>que</w:t>
      </w:r>
      <w:r>
        <w:rPr>
          <w:spacing w:val="50"/>
          <w:sz w:val="24"/>
        </w:rPr>
        <w:t> </w:t>
      </w:r>
      <w:r>
        <w:rPr>
          <w:sz w:val="24"/>
        </w:rPr>
        <w:t>son</w:t>
      </w:r>
      <w:r>
        <w:rPr>
          <w:spacing w:val="54"/>
          <w:sz w:val="24"/>
        </w:rPr>
        <w:t> </w:t>
      </w:r>
      <w:r>
        <w:rPr>
          <w:sz w:val="24"/>
        </w:rPr>
        <w:t>asignados</w:t>
      </w:r>
      <w:r>
        <w:rPr>
          <w:spacing w:val="52"/>
          <w:sz w:val="24"/>
        </w:rPr>
        <w:t> </w:t>
      </w:r>
      <w:r>
        <w:rPr>
          <w:sz w:val="24"/>
        </w:rPr>
        <w:t>los</w:t>
      </w:r>
      <w:r>
        <w:rPr>
          <w:spacing w:val="51"/>
          <w:sz w:val="24"/>
        </w:rPr>
        <w:t> </w:t>
      </w:r>
      <w:r>
        <w:rPr>
          <w:sz w:val="24"/>
        </w:rPr>
        <w:t>ingresos</w:t>
      </w:r>
    </w:p>
    <w:p>
      <w:pPr>
        <w:spacing w:after="0" w:line="360" w:lineRule="auto"/>
        <w:jc w:val="both"/>
        <w:rPr>
          <w:sz w:val="24"/>
        </w:rPr>
        <w:sectPr>
          <w:type w:val="continuous"/>
          <w:pgSz w:w="12250" w:h="15850"/>
          <w:pgMar w:top="1500" w:bottom="280" w:left="1600" w:right="1540"/>
        </w:sectPr>
      </w:pPr>
    </w:p>
    <w:p>
      <w:pPr>
        <w:pStyle w:val="BodyText"/>
        <w:spacing w:line="360" w:lineRule="auto" w:before="50"/>
        <w:ind w:left="821" w:right="127"/>
      </w:pPr>
      <w:r>
        <w:rPr/>
        <w:t>fiscales al gasto público ejerció un impacto negativo y significativo sobre las innovaciones de cada resultado fiscal modelado.</w:t>
      </w:r>
    </w:p>
    <w:p>
      <w:pPr>
        <w:pStyle w:val="BodyText"/>
      </w:pPr>
    </w:p>
    <w:p>
      <w:pPr>
        <w:pStyle w:val="ListParagraph"/>
        <w:numPr>
          <w:ilvl w:val="3"/>
          <w:numId w:val="18"/>
        </w:numPr>
        <w:tabs>
          <w:tab w:pos="822" w:val="left" w:leader="none"/>
        </w:tabs>
        <w:spacing w:line="360" w:lineRule="auto" w:before="143" w:after="0"/>
        <w:ind w:left="822" w:right="115" w:hanging="360"/>
        <w:jc w:val="both"/>
        <w:rPr>
          <w:sz w:val="24"/>
        </w:rPr>
      </w:pPr>
      <w:r>
        <w:rPr>
          <w:sz w:val="24"/>
        </w:rPr>
        <w:t>Para la deuda pública, los choques de precios del gas natural ejercieron un impacto negativo y significativo sobre las innovaciones de la razón Deuda pública/ PIB, y fueron más importantes que los choques de la asignación de los ingresos fiscales al gasto</w:t>
      </w:r>
      <w:r>
        <w:rPr>
          <w:spacing w:val="-6"/>
          <w:sz w:val="24"/>
        </w:rPr>
        <w:t> </w:t>
      </w:r>
      <w:r>
        <w:rPr>
          <w:sz w:val="24"/>
        </w:rPr>
        <w:t>público.</w:t>
      </w:r>
    </w:p>
    <w:p>
      <w:pPr>
        <w:pStyle w:val="BodyText"/>
      </w:pPr>
    </w:p>
    <w:p>
      <w:pPr>
        <w:pStyle w:val="ListParagraph"/>
        <w:numPr>
          <w:ilvl w:val="3"/>
          <w:numId w:val="18"/>
        </w:numPr>
        <w:tabs>
          <w:tab w:pos="822" w:val="left" w:leader="none"/>
        </w:tabs>
        <w:spacing w:line="360" w:lineRule="auto" w:before="143" w:after="0"/>
        <w:ind w:left="822" w:right="117" w:hanging="360"/>
        <w:jc w:val="both"/>
        <w:rPr>
          <w:sz w:val="24"/>
        </w:rPr>
      </w:pPr>
      <w:r>
        <w:rPr>
          <w:sz w:val="24"/>
        </w:rPr>
        <w:t>De forma contemporánea, un choque positivo en el resultado fiscal no presentó ningún efecto significativo sobre las innovaciones de la deuda</w:t>
      </w:r>
      <w:r>
        <w:rPr>
          <w:spacing w:val="-12"/>
          <w:sz w:val="24"/>
        </w:rPr>
        <w:t> </w:t>
      </w:r>
      <w:r>
        <w:rPr>
          <w:sz w:val="24"/>
        </w:rPr>
        <w:t>pública.</w:t>
      </w:r>
    </w:p>
    <w:p>
      <w:pPr>
        <w:pStyle w:val="BodyText"/>
      </w:pPr>
    </w:p>
    <w:p>
      <w:pPr>
        <w:pStyle w:val="BodyText"/>
        <w:spacing w:before="6"/>
        <w:rPr>
          <w:sz w:val="33"/>
        </w:rPr>
      </w:pPr>
    </w:p>
    <w:p>
      <w:pPr>
        <w:pStyle w:val="Heading4"/>
        <w:numPr>
          <w:ilvl w:val="2"/>
          <w:numId w:val="18"/>
        </w:numPr>
        <w:tabs>
          <w:tab w:pos="963" w:val="left" w:leader="none"/>
          <w:tab w:pos="964" w:val="left" w:leader="none"/>
        </w:tabs>
        <w:spacing w:line="240" w:lineRule="auto" w:before="0" w:after="0"/>
        <w:ind w:left="963" w:right="0" w:hanging="720"/>
        <w:jc w:val="left"/>
      </w:pPr>
      <w:bookmarkStart w:name="_bookmark130" w:id="178"/>
      <w:bookmarkEnd w:id="178"/>
      <w:r>
        <w:rPr>
          <w:b w:val="0"/>
        </w:rPr>
      </w:r>
      <w:bookmarkStart w:name="_bookmark130" w:id="179"/>
      <w:bookmarkEnd w:id="179"/>
      <w:r>
        <w:rPr/>
        <w:t>Cho</w:t>
      </w:r>
      <w:r>
        <w:rPr/>
        <w:t>ques y sus efectos dinámicos sobre la posición</w:t>
      </w:r>
      <w:r>
        <w:rPr>
          <w:spacing w:val="-7"/>
        </w:rPr>
        <w:t> </w:t>
      </w:r>
      <w:r>
        <w:rPr/>
        <w:t>fiscal</w:t>
      </w:r>
    </w:p>
    <w:p>
      <w:pPr>
        <w:pStyle w:val="BodyText"/>
        <w:rPr>
          <w:b/>
          <w:sz w:val="29"/>
        </w:rPr>
      </w:pPr>
    </w:p>
    <w:p>
      <w:pPr>
        <w:pStyle w:val="BodyText"/>
        <w:spacing w:line="360" w:lineRule="auto"/>
        <w:ind w:left="102" w:right="117" w:firstLine="707"/>
        <w:jc w:val="both"/>
      </w:pPr>
      <w:r>
        <w:rPr/>
        <w:t>Los efectos dinámicos de la asignación de ingresos fiscales gasíferos, evidenciaron que un choque positivo en los precios del gas natural influye de forma negativa sobre el gasto de capital y de forma positiva sobre el gasto corriente [</w:t>
      </w:r>
      <w:r>
        <w:rPr>
          <w:i/>
        </w:rPr>
        <w:t>figura 4.7, inciso a) y b)</w:t>
      </w:r>
      <w:r>
        <w:rPr/>
        <w:t>],  estos efectos tuvieron una persistencia promedio de tres años antes de su convergencia a cero, y su mayor impacto (de los choques de precios) se presentó en el segundo</w:t>
      </w:r>
      <w:r>
        <w:rPr>
          <w:spacing w:val="-17"/>
        </w:rPr>
        <w:t> </w:t>
      </w:r>
      <w:r>
        <w:rPr/>
        <w:t>trimestre.</w:t>
      </w:r>
    </w:p>
    <w:p>
      <w:pPr>
        <w:pStyle w:val="BodyText"/>
        <w:spacing w:line="360" w:lineRule="auto" w:before="6"/>
        <w:ind w:left="102" w:right="121" w:firstLine="707"/>
        <w:jc w:val="both"/>
      </w:pPr>
      <w:r>
        <w:rPr/>
        <w:t>Cuando se incrementó el gasto de capital, en términos de ingresos fiscales gasíferos, se relacionó con una disminución en la razón gasto corriente/ ingresos fiscales no gasíferos, lo cual sugiere la presencia de un </w:t>
      </w:r>
      <w:r>
        <w:rPr>
          <w:i/>
        </w:rPr>
        <w:t>trade-off </w:t>
      </w:r>
      <w:r>
        <w:rPr/>
        <w:t>entre el gasto de capital y el gasto corriente [</w:t>
      </w:r>
      <w:r>
        <w:rPr>
          <w:i/>
        </w:rPr>
        <w:t>figura 4.7, inciso c)</w:t>
      </w:r>
      <w:r>
        <w:rPr/>
        <w:t>]</w:t>
      </w:r>
    </w:p>
    <w:p>
      <w:pPr>
        <w:spacing w:after="0" w:line="360" w:lineRule="auto"/>
        <w:jc w:val="both"/>
        <w:sectPr>
          <w:pgSz w:w="12250" w:h="15850"/>
          <w:pgMar w:header="0" w:footer="1037" w:top="1360" w:bottom="1220" w:left="1600" w:right="1580"/>
        </w:sectPr>
      </w:pPr>
    </w:p>
    <w:p>
      <w:pPr>
        <w:pStyle w:val="Heading4"/>
        <w:spacing w:before="53"/>
        <w:ind w:left="370" w:right="368" w:firstLine="0"/>
        <w:jc w:val="center"/>
      </w:pPr>
      <w:bookmarkStart w:name="_bookmark131" w:id="180"/>
      <w:bookmarkEnd w:id="180"/>
      <w:r>
        <w:rPr>
          <w:b w:val="0"/>
        </w:rPr>
      </w:r>
      <w:r>
        <w:rPr/>
        <w:t>Figura 4. 7: Respuesta estructural de la Asignación de ingresos fiscales al gasto público</w:t>
      </w:r>
    </w:p>
    <w:p>
      <w:pPr>
        <w:pStyle w:val="BodyText"/>
        <w:spacing w:before="2"/>
        <w:rPr>
          <w:b/>
        </w:rPr>
      </w:pPr>
    </w:p>
    <w:p>
      <w:pPr>
        <w:spacing w:before="0"/>
        <w:ind w:left="369" w:right="368" w:firstLine="0"/>
        <w:jc w:val="center"/>
        <w:rPr>
          <w:b/>
          <w:sz w:val="24"/>
        </w:rPr>
      </w:pPr>
      <w:r>
        <w:rPr>
          <w:b/>
          <w:sz w:val="24"/>
        </w:rPr>
        <w:t>a)  Dinámica de la Asignación de Ing. Fisc. Gasíferos al gasto de capital</w:t>
      </w:r>
    </w:p>
    <w:p>
      <w:pPr>
        <w:pStyle w:val="BodyText"/>
        <w:spacing w:line="360" w:lineRule="auto" w:before="132"/>
        <w:ind w:left="1261" w:right="1261"/>
        <w:jc w:val="center"/>
      </w:pPr>
      <w:r>
        <w:rPr/>
        <w:t>Respuesta de la razón Gasto de capital/Ingresos fiscales gasíferos A un choque positivo en el  precio del gas natural</w:t>
      </w:r>
    </w:p>
    <w:p>
      <w:pPr>
        <w:spacing w:after="0" w:line="360" w:lineRule="auto"/>
        <w:jc w:val="center"/>
        <w:sectPr>
          <w:pgSz w:w="12250" w:h="15850"/>
          <w:pgMar w:header="0" w:footer="1037" w:top="1360" w:bottom="1220" w:left="1720" w:right="1720"/>
        </w:sectPr>
      </w:pPr>
    </w:p>
    <w:p>
      <w:pPr>
        <w:spacing w:before="109"/>
        <w:ind w:left="0" w:right="1" w:firstLine="0"/>
        <w:jc w:val="right"/>
        <w:rPr>
          <w:rFonts w:ascii="Constantia"/>
          <w:sz w:val="21"/>
        </w:rPr>
      </w:pPr>
      <w:r>
        <w:rPr>
          <w:rFonts w:ascii="Constantia"/>
          <w:w w:val="115"/>
          <w:sz w:val="21"/>
        </w:rPr>
        <w:t>0.01</w:t>
      </w:r>
    </w:p>
    <w:p>
      <w:pPr>
        <w:spacing w:before="106"/>
        <w:ind w:left="0" w:right="0" w:firstLine="0"/>
        <w:jc w:val="right"/>
        <w:rPr>
          <w:rFonts w:ascii="Constantia"/>
          <w:sz w:val="21"/>
        </w:rPr>
      </w:pPr>
      <w:r>
        <w:rPr>
          <w:rFonts w:ascii="Constantia"/>
          <w:w w:val="115"/>
          <w:sz w:val="21"/>
        </w:rPr>
        <w:t>0.00</w:t>
      </w:r>
    </w:p>
    <w:p>
      <w:pPr>
        <w:spacing w:before="106"/>
        <w:ind w:left="0" w:right="1" w:firstLine="0"/>
        <w:jc w:val="right"/>
        <w:rPr>
          <w:rFonts w:ascii="Constantia"/>
          <w:sz w:val="21"/>
        </w:rPr>
      </w:pPr>
      <w:r>
        <w:rPr>
          <w:rFonts w:ascii="Constantia"/>
          <w:w w:val="115"/>
          <w:sz w:val="21"/>
        </w:rPr>
        <w:t>-0.01</w:t>
      </w:r>
    </w:p>
    <w:p>
      <w:pPr>
        <w:spacing w:before="105"/>
        <w:ind w:left="0" w:right="0" w:firstLine="0"/>
        <w:jc w:val="right"/>
        <w:rPr>
          <w:rFonts w:ascii="Constantia"/>
          <w:sz w:val="21"/>
        </w:rPr>
      </w:pPr>
      <w:r>
        <w:rPr>
          <w:rFonts w:ascii="Constantia"/>
          <w:w w:val="115"/>
          <w:sz w:val="21"/>
        </w:rPr>
        <w:t>-0.02</w:t>
      </w:r>
    </w:p>
    <w:p>
      <w:pPr>
        <w:spacing w:before="106"/>
        <w:ind w:left="0" w:right="6" w:firstLine="0"/>
        <w:jc w:val="right"/>
        <w:rPr>
          <w:rFonts w:ascii="Constantia"/>
          <w:sz w:val="21"/>
        </w:rPr>
      </w:pPr>
      <w:r>
        <w:rPr>
          <w:rFonts w:ascii="Constantia"/>
          <w:w w:val="115"/>
          <w:sz w:val="21"/>
        </w:rPr>
        <w:t>-0.03</w:t>
      </w:r>
    </w:p>
    <w:p>
      <w:pPr>
        <w:pStyle w:val="BodyText"/>
        <w:rPr>
          <w:rFonts w:ascii="Constantia"/>
          <w:sz w:val="18"/>
        </w:rPr>
      </w:pPr>
      <w:r>
        <w:rPr/>
        <w:br w:type="column"/>
      </w:r>
      <w:r>
        <w:rPr>
          <w:rFonts w:ascii="Constantia"/>
          <w:sz w:val="18"/>
        </w:rPr>
      </w:r>
    </w:p>
    <w:p>
      <w:pPr>
        <w:pStyle w:val="BodyText"/>
        <w:rPr>
          <w:rFonts w:ascii="Constantia"/>
          <w:sz w:val="18"/>
        </w:rPr>
      </w:pPr>
    </w:p>
    <w:p>
      <w:pPr>
        <w:pStyle w:val="BodyText"/>
        <w:spacing w:before="11"/>
        <w:rPr>
          <w:rFonts w:ascii="Constantia"/>
          <w:sz w:val="23"/>
        </w:rPr>
      </w:pPr>
    </w:p>
    <w:p>
      <w:pPr>
        <w:tabs>
          <w:tab w:pos="710" w:val="left" w:leader="none"/>
          <w:tab w:pos="1164" w:val="left" w:leader="none"/>
          <w:tab w:pos="1617" w:val="left" w:leader="none"/>
          <w:tab w:pos="2059" w:val="left" w:leader="none"/>
          <w:tab w:pos="2500" w:val="left" w:leader="none"/>
          <w:tab w:pos="2942" w:val="left" w:leader="none"/>
          <w:tab w:pos="3396" w:val="left" w:leader="none"/>
          <w:tab w:pos="3849" w:val="left" w:leader="none"/>
          <w:tab w:pos="4290" w:val="left" w:leader="none"/>
        </w:tabs>
        <w:spacing w:before="0"/>
        <w:ind w:left="269" w:right="1719" w:firstLine="0"/>
        <w:jc w:val="left"/>
        <w:rPr>
          <w:rFonts w:ascii="Constantia"/>
          <w:sz w:val="19"/>
        </w:rPr>
      </w:pPr>
      <w:r>
        <w:rPr>
          <w:rFonts w:ascii="Constantia"/>
          <w:w w:val="115"/>
          <w:sz w:val="19"/>
        </w:rPr>
        <w:t>1</w:t>
        <w:tab/>
        <w:t>3</w:t>
        <w:tab/>
        <w:t>5</w:t>
        <w:tab/>
        <w:t>7</w:t>
        <w:tab/>
        <w:t>9</w:t>
        <w:tab/>
        <w:t>11</w:t>
        <w:tab/>
        <w:t>13</w:t>
        <w:tab/>
        <w:t>15</w:t>
        <w:tab/>
        <w:t>17</w:t>
        <w:tab/>
        <w:t>19</w:t>
      </w:r>
    </w:p>
    <w:p>
      <w:pPr>
        <w:spacing w:before="73"/>
        <w:ind w:left="3507" w:right="1719" w:firstLine="0"/>
        <w:jc w:val="left"/>
        <w:rPr>
          <w:rFonts w:ascii="Constantia"/>
          <w:sz w:val="19"/>
        </w:rPr>
      </w:pPr>
      <w:r>
        <w:rPr/>
        <w:pict>
          <v:group style="position:absolute;margin-left:208.436905pt;margin-top:-36.244209pt;width:230.6pt;height:145.35pt;mso-position-horizontal-relative:page;mso-position-vertical-relative:paragraph;z-index:-559432" coordorigin="4169,-725" coordsize="4612,2907">
            <v:shape style="position:absolute;left:1170;top:6660;width:5865;height:4328" coordorigin="1170,6660" coordsize="5865,4328" path="m4255,2175l8770,2175m4249,1810l8775,1810m4249,1449l8775,1449m4249,1089l8775,1089m4249,728l8775,728m4249,368l8775,368m4249,7l8775,7m4249,-714l8775,-714e" filled="false" stroked="true" strokeweight=".539795pt" strokecolor="#858585">
              <v:path arrowok="t"/>
              <v:stroke dashstyle="dash"/>
            </v:shape>
            <v:shape style="position:absolute;left:1073;top:6653;width:5956;height:4335" coordorigin="1073,6653" coordsize="5956,4335" path="m4255,2175l4255,-719m4174,2175l4255,2175m4174,1815l4255,1815m4174,1454l4255,1454m4174,1094l4255,1094m4174,733l4255,733m4174,373l4255,373m4174,12l4255,12m4174,-348l4255,-348m4174,-719l4255,-719m4255,-348l8770,-348m4255,-348l4255,-298m4475,-348l4475,-298m4706,-348l4706,-298m4926,-348l4926,-298m5158,-348l5158,-298m5378,-348l5378,-298m5609,-348l5609,-298m5841,-348l5841,-298m6061,-348l6061,-298m6292,-348l6292,-298m6512,-348l6512,-298m6744,-348l6744,-298m6964,-348l6964,-298m7195,-348l7195,-298m7415,-348l7415,-298m7647,-348l7647,-298m7867,-348l7867,-298m8098,-348l8098,-298m8318,-348l8318,-298m8550,-348l8550,-298m8770,-348l8770,-298e" filled="false" stroked="true" strokeweight=".539795pt" strokecolor="#858585">
              <v:path arrowok="t"/>
            </v:shape>
            <v:shape style="position:absolute;left:4371;top:-318;width:4296;height:2115" coordorigin="4371,-318" coordsize="4296,2115" path="m4371,941l4397,1050,4410,1109,4424,1171,4437,1234,4450,1298,4464,1361,4477,1423,4490,1484,4517,1595,4543,1688,4570,1756,4614,1796,4631,1783,4666,1720,4701,1620,4718,1563,4736,1503,4753,1444,4788,1335,4823,1255,4860,1199,4936,1121,4973,1090,5011,1057,5081,977,5146,889,5178,844,5210,801,5275,721,5320,674,5365,632,5456,556,5501,519,5591,444,5682,373,5783,302,5840,268,5896,235,5953,204,6009,174,6066,145,6122,117,6179,91,6235,67,6292,44,6349,23,6405,3,6518,-35,6631,-69,6744,-99,6857,-126,6970,-150,7083,-172,7196,-192,7309,-209,7422,-225,7535,-239,7648,-251,7761,-262,7874,-272,7987,-281,8100,-289,8213,-296,8326,-303,8439,-309,8552,-314,8609,-316,8666,-318e" filled="false" stroked="true" strokeweight="1.547947pt" strokecolor="#000000">
              <v:path arrowok="t"/>
            </v:shape>
            <v:shape style="position:absolute;left:4371;top:-338;width:4296;height:1963" coordorigin="4371,-338" coordsize="4296,1963" path="m4371,1625l4591,1434,4822,954,5042,683,5273,403,5494,233,5725,82,5945,-18,6177,-108,6397,-168,6628,-218,6848,-248,7080,-278,7311,-298,7531,-308,7763,-318,7983,-328,8214,-338,8434,-338,8666,-338e" filled="false" stroked="true" strokeweight="1.542728pt" strokecolor="#bd4a47">
              <v:path arrowok="t"/>
              <v:stroke dashstyle="longDash"/>
            </v:shape>
            <v:line style="position:absolute" from="4330,1631" to="4411,1631" stroked="true" strokeweight="3.505259pt" strokecolor="#c0504d"/>
            <v:rect style="position:absolute;left:4330;top:1596;width:81;height:70" filled="false" stroked="true" strokeweight=".53471pt" strokecolor="#bd4a47"/>
            <v:line style="position:absolute" from="4556,1444" to="4637,1444" stroked="true" strokeweight="3.505259pt" strokecolor="#c0504d"/>
            <v:rect style="position:absolute;left:4556;top:1409;width:81;height:70" filled="false" stroked="true" strokeweight=".53471pt" strokecolor="#bd4a47"/>
            <v:line style="position:absolute" from="4783,962" to="4864,962" stroked="true" strokeweight="3.505259pt" strokecolor="#c0504d"/>
            <v:rect style="position:absolute;left:4783;top:927;width:81;height:70" filled="false" stroked="true" strokeweight=".53471pt" strokecolor="#bd4a47"/>
            <v:line style="position:absolute" from="5009,689" to="5090,689" stroked="true" strokeweight="3.505259pt" strokecolor="#c0504d"/>
            <v:rect style="position:absolute;left:5009;top:654;width:81;height:70" filled="false" stroked="true" strokeweight=".53471pt" strokecolor="#bd4a47"/>
            <v:line style="position:absolute" from="5235,412" to="5316,412" stroked="true" strokeweight="3.505259pt" strokecolor="#c0504d"/>
            <v:rect style="position:absolute;left:5235;top:377;width:81;height:70" filled="false" stroked="true" strokeweight=".53471pt" strokecolor="#bd4a47"/>
            <v:line style="position:absolute" from="5461,239" to="5542,239" stroked="true" strokeweight="3.505259pt" strokecolor="#c0504d"/>
            <v:rect style="position:absolute;left:5461;top:204;width:81;height:70" filled="false" stroked="true" strokeweight=".53471pt" strokecolor="#bd4a47"/>
            <v:line style="position:absolute" from="5687,87" to="5768,87" stroked="true" strokeweight="3.505259pt" strokecolor="#c0504d"/>
            <v:rect style="position:absolute;left:5687;top:52;width:81;height:70" filled="false" stroked="true" strokeweight=".53471pt" strokecolor="#bd4a47"/>
            <v:line style="position:absolute" from="5913,-17" to="5994,-17" stroked="true" strokeweight="3.505259pt" strokecolor="#c0504d"/>
            <v:rect style="position:absolute;left:5913;top:-52;width:81;height:70" filled="false" stroked="true" strokeweight=".53471pt" strokecolor="#bd4a47"/>
            <v:line style="position:absolute" from="6140,-100" to="6221,-100" stroked="true" strokeweight="3.505259pt" strokecolor="#c0504d"/>
            <v:rect style="position:absolute;left:6140;top:-135;width:81;height:70" filled="false" stroked="true" strokeweight=".53471pt" strokecolor="#bd4a47"/>
            <v:line style="position:absolute" from="6366,-161" to="6447,-161" stroked="true" strokeweight="3.505259pt" strokecolor="#c0504d"/>
            <v:rect style="position:absolute;left:6366;top:-196;width:81;height:70" filled="false" stroked="true" strokeweight=".53471pt" strokecolor="#bd4a47"/>
            <v:line style="position:absolute" from="6592,-207" to="6673,-207" stroked="true" strokeweight="3.505259pt" strokecolor="#c0504d"/>
            <v:rect style="position:absolute;left:6592;top:-242;width:81;height:70" filled="false" stroked="true" strokeweight=".53471pt" strokecolor="#bd4a47"/>
            <v:line style="position:absolute" from="6818,-242" to="6899,-242" stroked="true" strokeweight="3.505259pt" strokecolor="#c0504d"/>
            <v:rect style="position:absolute;left:6818;top:-277;width:81;height:70" filled="false" stroked="true" strokeweight=".53471pt" strokecolor="#bd4a47"/>
            <v:line style="position:absolute" from="7044,-268" to="7125,-268" stroked="true" strokeweight="3.505259pt" strokecolor="#c0504d"/>
            <v:rect style="position:absolute;left:7044;top:-303;width:81;height:70" filled="false" stroked="true" strokeweight=".53471pt" strokecolor="#bd4a47"/>
            <v:line style="position:absolute" from="7271,-287" to="7352,-287" stroked="true" strokeweight="3.505259pt" strokecolor="#c0504d"/>
            <v:rect style="position:absolute;left:7271;top:-322;width:81;height:70" filled="false" stroked="true" strokeweight=".53471pt" strokecolor="#bd4a47"/>
            <v:line style="position:absolute" from="7497,-302" to="7578,-302" stroked="true" strokeweight="3.505259pt" strokecolor="#c0504d"/>
            <v:rect style="position:absolute;left:7497;top:-337;width:81;height:70" filled="false" stroked="true" strokeweight=".53471pt" strokecolor="#bd4a47"/>
            <v:line style="position:absolute" from="7723,-313" to="7804,-313" stroked="true" strokeweight="3.505259pt" strokecolor="#c0504d"/>
            <v:rect style="position:absolute;left:7723;top:-348;width:81;height:70" filled="false" stroked="true" strokeweight=".53471pt" strokecolor="#bd4a47"/>
            <v:line style="position:absolute" from="7949,-321" to="8030,-321" stroked="true" strokeweight="3.505259pt" strokecolor="#c0504d"/>
            <v:rect style="position:absolute;left:7949;top:-356;width:81;height:70" filled="false" stroked="true" strokeweight=".53471pt" strokecolor="#bd4a47"/>
            <v:line style="position:absolute" from="8175,-328" to="8256,-328" stroked="true" strokeweight="3.505259pt" strokecolor="#c0504d"/>
            <v:rect style="position:absolute;left:8175;top:-363;width:81;height:70" filled="false" stroked="true" strokeweight=".53471pt" strokecolor="#bd4a47"/>
            <v:line style="position:absolute" from="8401,-332" to="8483,-332" stroked="true" strokeweight="3.505259pt" strokecolor="#c0504d"/>
            <v:rect style="position:absolute;left:8401;top:-367;width:81;height:70" filled="false" stroked="true" strokeweight=".53471pt" strokecolor="#bd4a47"/>
            <v:line style="position:absolute" from="8628,-336" to="8709,-336" stroked="true" strokeweight="3.505259pt" strokecolor="#c0504d"/>
            <v:rect style="position:absolute;left:8628;top:-371;width:81;height:70" filled="false" stroked="true" strokeweight=".53471pt" strokecolor="#bd4a47"/>
            <v:shape style="position:absolute;left:4371;top:-348;width:4296;height:2124" coordorigin="4371,-348" coordsize="4296,2124" path="m4371,1775l4591,1484,4822,1054,5042,533,5273,333,5494,82,5725,-28,5945,-138,6177,-198,6397,-248,6628,-278,6848,-298,7080,-318,7311,-328,7531,-338,7763,-338,7983,-348,8214,-348,8434,-348,8666,-348e" filled="false" stroked="true" strokeweight="1.548256pt" strokecolor="#97b853">
              <v:path arrowok="t"/>
              <v:stroke dashstyle="longDash"/>
            </v:shape>
            <v:shape style="position:absolute;left:4330;top:1741;width:82;height:71" coordorigin="4330,1741" coordsize="82,71" path="m4371,1741l4355,1744,4342,1751,4333,1763,4330,1776,4333,1790,4342,1801,4355,1809,4371,1811,4386,1809,4399,1801,4408,1790,4411,1776,4408,1763,4399,1751,4386,1744,4371,1741xe" filled="true" fillcolor="#9bba58" stroked="false">
              <v:path arrowok="t"/>
              <v:fill type="solid"/>
            </v:shape>
            <v:shape style="position:absolute;left:4330;top:1741;width:82;height:71" coordorigin="4330,1741" coordsize="82,71" path="m4411,1776l4408,1790,4399,1801,4386,1809,4371,1811,4355,1809,4342,1801,4333,1790,4330,1776,4333,1763,4342,1751,4355,1744,4371,1741,4386,1744,4399,1751,4408,1763,4411,1776xe" filled="false" stroked="true" strokeweight=".53471pt" strokecolor="#97b853">
              <v:path arrowok="t"/>
            </v:shape>
            <v:shape style="position:absolute;left:4556;top:1457;width:82;height:71" coordorigin="4556,1457" coordsize="82,71" path="m4597,1457l4581,1460,4568,1467,4560,1478,4556,1492,4560,1506,4568,1517,4581,1524,4597,1527,4613,1524,4626,1517,4634,1506,4637,1492,4634,1478,4626,1467,4613,1460,4597,1457xe" filled="true" fillcolor="#9bba58" stroked="false">
              <v:path arrowok="t"/>
              <v:fill type="solid"/>
            </v:shape>
            <v:shape style="position:absolute;left:4556;top:1457;width:82;height:71" coordorigin="4556,1457" coordsize="82,71" path="m4637,1492l4634,1506,4626,1517,4613,1524,4597,1527,4581,1524,4568,1517,4560,1506,4556,1492,4560,1478,4568,1467,4581,1460,4597,1457,4613,1460,4626,1467,4634,1478,4637,1492xe" filled="false" stroked="true" strokeweight=".53471pt" strokecolor="#97b853">
              <v:path arrowok="t"/>
            </v:shape>
            <v:shape style="position:absolute;left:4783;top:1028;width:82;height:71" coordorigin="4783,1028" coordsize="82,71" path="m4823,1028l4807,1031,4794,1039,4786,1050,4783,1063,4786,1077,4794,1088,4807,1096,4823,1098,4839,1096,4852,1088,4860,1077,4864,1063,4860,1050,4852,1039,4839,1031,4823,1028xe" filled="true" fillcolor="#9bba58" stroked="false">
              <v:path arrowok="t"/>
              <v:fill type="solid"/>
            </v:shape>
            <v:shape style="position:absolute;left:4783;top:1028;width:82;height:71" coordorigin="4783,1028" coordsize="82,71" path="m4864,1063l4860,1077,4852,1088,4839,1096,4823,1098,4807,1096,4794,1088,4786,1077,4783,1063,4786,1050,4794,1039,4807,1031,4823,1028,4839,1031,4852,1039,4860,1050,4864,1063xe" filled="false" stroked="true" strokeweight=".53471pt" strokecolor="#97b853">
              <v:path arrowok="t"/>
            </v:shape>
            <v:shape style="position:absolute;left:5009;top:501;width:82;height:71" coordorigin="5009,501" coordsize="82,71" path="m5049,501l5034,504,5021,511,5012,523,5009,536,5012,550,5021,561,5034,569,5049,571,5065,569,5078,561,5087,550,5090,536,5087,523,5078,511,5065,504,5049,501xe" filled="true" fillcolor="#9bba58" stroked="false">
              <v:path arrowok="t"/>
              <v:fill type="solid"/>
            </v:shape>
            <v:shape style="position:absolute;left:5009;top:501;width:82;height:71" coordorigin="5009,501" coordsize="82,71" path="m5090,536l5087,550,5078,561,5065,569,5049,571,5034,569,5021,561,5012,550,5009,536,5012,523,5021,511,5034,504,5049,501,5065,504,5078,511,5087,523,5090,536xe" filled="false" stroked="true" strokeweight=".53471pt" strokecolor="#97b853">
              <v:path arrowok="t"/>
            </v:shape>
            <v:shape style="position:absolute;left:5235;top:305;width:82;height:71" coordorigin="5235,305" coordsize="82,71" path="m5275,305l5260,307,5247,315,5238,326,5235,340,5238,353,5247,364,5260,372,5275,375,5291,372,5304,364,5313,353,5316,340,5313,326,5304,315,5291,307,5275,305xe" filled="true" fillcolor="#9bba58" stroked="false">
              <v:path arrowok="t"/>
              <v:fill type="solid"/>
            </v:shape>
            <v:shape style="position:absolute;left:5235;top:305;width:82;height:71" coordorigin="5235,305" coordsize="82,71" path="m5316,340l5313,353,5304,364,5291,372,5275,375,5260,372,5247,364,5238,353,5235,340,5238,326,5247,315,5260,307,5275,305,5291,307,5304,315,5313,326,5316,340xe" filled="false" stroked="true" strokeweight=".53471pt" strokecolor="#97b853">
              <v:path arrowok="t"/>
            </v:shape>
            <v:shape style="position:absolute;left:5461;top:54;width:82;height:71" coordorigin="5461,54" coordsize="82,71" path="m5502,54l5486,57,5473,64,5464,75,5461,89,5464,102,5473,114,5486,121,5502,124,5517,121,5530,114,5539,102,5542,89,5539,75,5530,64,5517,57,5502,54xe" filled="true" fillcolor="#9bba58" stroked="false">
              <v:path arrowok="t"/>
              <v:fill type="solid"/>
            </v:shape>
            <v:shape style="position:absolute;left:5461;top:54;width:82;height:71" coordorigin="5461,54" coordsize="82,71" path="m5542,89l5539,102,5530,114,5517,121,5502,124,5486,121,5473,114,5464,102,5461,89,5464,75,5473,64,5486,57,5502,54,5517,57,5530,64,5539,75,5542,89xe" filled="false" stroked="true" strokeweight=".53471pt" strokecolor="#97b853">
              <v:path arrowok="t"/>
            </v:shape>
            <v:shape style="position:absolute;left:5687;top:-54;width:82;height:71" coordorigin="5687,-54" coordsize="82,71" path="m5728,-54l5712,-51,5699,-44,5690,-32,5687,-19,5690,-5,5699,6,5712,13,5728,16,5744,13,5756,6,5765,-5,5768,-19,5765,-32,5756,-44,5744,-51,5728,-54xe" filled="true" fillcolor="#9bba58" stroked="false">
              <v:path arrowok="t"/>
              <v:fill type="solid"/>
            </v:shape>
            <v:shape style="position:absolute;left:5687;top:-54;width:82;height:71" coordorigin="5687,-54" coordsize="82,71" path="m5768,-19l5765,-5,5756,6,5744,13,5728,16,5712,13,5699,6,5690,-5,5687,-19,5690,-32,5699,-44,5712,-51,5728,-54,5744,-51,5756,-44,5765,-32,5768,-19xe" filled="false" stroked="true" strokeweight=".53471pt" strokecolor="#97b853">
              <v:path arrowok="t"/>
            </v:shape>
            <v:shape style="position:absolute;left:5913;top:-168;width:82;height:71" coordorigin="5913,-168" coordsize="82,71" path="m5954,-168l5938,-165,5925,-158,5917,-147,5913,-133,5917,-120,5925,-108,5938,-101,5954,-98,5970,-101,5983,-108,5991,-120,5994,-133,5991,-147,5983,-158,5970,-165,5954,-168xe" filled="true" fillcolor="#9bba58" stroked="false">
              <v:path arrowok="t"/>
              <v:fill type="solid"/>
            </v:shape>
            <v:shape style="position:absolute;left:5913;top:-168;width:82;height:71" coordorigin="5913,-168" coordsize="82,71" path="m5994,-133l5991,-120,5983,-108,5970,-101,5954,-98,5938,-101,5925,-108,5917,-120,5913,-133,5917,-147,5925,-158,5938,-165,5954,-168,5970,-165,5983,-158,5991,-147,5994,-133xe" filled="false" stroked="true" strokeweight=".53471pt" strokecolor="#97b853">
              <v:path arrowok="t"/>
            </v:shape>
            <v:shape style="position:absolute;left:6140;top:-225;width:82;height:71" coordorigin="6140,-225" coordsize="82,71" path="m6180,-225l6164,-222,6152,-215,6143,-204,6140,-190,6143,-176,6152,-165,6164,-158,6180,-155,6196,-158,6209,-165,6218,-176,6221,-190,6218,-204,6209,-215,6196,-222,6180,-225xe" filled="true" fillcolor="#9bba58" stroked="false">
              <v:path arrowok="t"/>
              <v:fill type="solid"/>
            </v:shape>
            <v:shape style="position:absolute;left:6140;top:-225;width:82;height:71" coordorigin="6140,-225" coordsize="82,71" path="m6221,-190l6218,-176,6209,-165,6196,-158,6180,-155,6164,-158,6152,-165,6143,-176,6140,-190,6143,-204,6152,-215,6164,-222,6180,-225,6196,-222,6209,-215,6218,-204,6221,-190xe" filled="false" stroked="true" strokeweight=".53471pt" strokecolor="#97b853">
              <v:path arrowok="t"/>
            </v:shape>
            <v:shape style="position:absolute;left:6366;top:-278;width:82;height:71" coordorigin="6366,-278" coordsize="82,71" path="m6406,-278l6391,-275,6378,-267,6369,-256,6366,-243,6369,-229,6378,-218,6391,-210,6406,-208,6422,-210,6435,-218,6444,-229,6447,-243,6444,-256,6435,-267,6422,-275,6406,-278xe" filled="true" fillcolor="#9bba58" stroked="false">
              <v:path arrowok="t"/>
              <v:fill type="solid"/>
            </v:shape>
            <v:shape style="position:absolute;left:6366;top:-278;width:82;height:71" coordorigin="6366,-278" coordsize="82,71" path="m6447,-243l6444,-229,6435,-218,6422,-210,6406,-208,6391,-210,6378,-218,6369,-229,6366,-243,6369,-256,6378,-267,6391,-275,6406,-278,6422,-275,6435,-267,6444,-256,6447,-243xe" filled="false" stroked="true" strokeweight=".53471pt" strokecolor="#97b853">
              <v:path arrowok="t"/>
            </v:shape>
            <v:shape style="position:absolute;left:6592;top:-307;width:82;height:71" coordorigin="6592,-307" coordsize="82,71" path="m6633,-307l6617,-304,6604,-296,6595,-285,6592,-272,6595,-258,6604,-247,6617,-239,6633,-237,6648,-239,6661,-247,6670,-258,6673,-272,6670,-285,6661,-296,6648,-304,6633,-307xe" filled="true" fillcolor="#9bba58" stroked="false">
              <v:path arrowok="t"/>
              <v:fill type="solid"/>
            </v:shape>
            <v:shape style="position:absolute;left:6592;top:-307;width:82;height:71" coordorigin="6592,-307" coordsize="82,71" path="m6673,-272l6670,-258,6661,-247,6648,-239,6633,-237,6617,-239,6604,-247,6595,-258,6592,-272,6595,-285,6604,-296,6617,-304,6633,-307,6648,-304,6661,-296,6670,-285,6673,-272xe" filled="false" stroked="true" strokeweight=".53471pt" strokecolor="#97b853">
              <v:path arrowok="t"/>
            </v:shape>
            <v:shape style="position:absolute;left:6818;top:-331;width:82;height:71" coordorigin="6818,-331" coordsize="82,71" path="m6859,-331l6843,-328,6830,-321,6821,-310,6818,-296,6821,-282,6830,-271,6843,-264,6859,-261,6874,-264,6887,-271,6896,-282,6899,-296,6896,-310,6887,-321,6874,-328,6859,-331xe" filled="true" fillcolor="#9bba58" stroked="false">
              <v:path arrowok="t"/>
              <v:fill type="solid"/>
            </v:shape>
            <v:shape style="position:absolute;left:6818;top:-331;width:82;height:71" coordorigin="6818,-331" coordsize="82,71" path="m6899,-296l6896,-282,6887,-271,6874,-264,6859,-261,6843,-264,6830,-271,6821,-282,6818,-296,6821,-310,6830,-321,6843,-328,6859,-331,6874,-328,6887,-321,6896,-310,6899,-296xe" filled="false" stroked="true" strokeweight=".53471pt" strokecolor="#97b853">
              <v:path arrowok="t"/>
            </v:shape>
            <v:shape style="position:absolute;left:7044;top:-346;width:82;height:71" coordorigin="7044,-346" coordsize="82,71" path="m7085,-346l7069,-343,7056,-335,7048,-324,7044,-311,7048,-297,7056,-286,7069,-278,7085,-276,7101,-278,7114,-286,7122,-297,7125,-311,7122,-324,7114,-335,7101,-343,7085,-346xe" filled="true" fillcolor="#9bba58" stroked="false">
              <v:path arrowok="t"/>
              <v:fill type="solid"/>
            </v:shape>
            <v:shape style="position:absolute;left:7044;top:-346;width:82;height:71" coordorigin="7044,-346" coordsize="82,71" path="m7125,-311l7122,-297,7114,-286,7101,-278,7085,-276,7069,-278,7056,-286,7048,-297,7044,-311,7048,-324,7056,-335,7069,-343,7085,-346,7101,-343,7114,-335,7122,-324,7125,-311xe" filled="false" stroked="true" strokeweight=".53471pt" strokecolor="#97b853">
              <v:path arrowok="t"/>
            </v:shape>
            <v:shape style="position:absolute;left:7271;top:-357;width:82;height:71" coordorigin="7271,-357" coordsize="82,71" path="m7311,-357l7295,-354,7282,-347,7274,-336,7271,-322,7274,-308,7282,-297,7295,-290,7311,-287,7327,-290,7340,-297,7348,-308,7352,-322,7348,-336,7340,-347,7327,-354,7311,-357xe" filled="true" fillcolor="#9bba58" stroked="false">
              <v:path arrowok="t"/>
              <v:fill type="solid"/>
            </v:shape>
            <v:shape style="position:absolute;left:7271;top:-357;width:82;height:71" coordorigin="7271,-357" coordsize="82,71" path="m7352,-322l7348,-308,7340,-297,7327,-290,7311,-287,7295,-290,7282,-297,7274,-308,7271,-322,7274,-336,7282,-347,7295,-354,7311,-357,7327,-354,7340,-347,7348,-336,7352,-322xe" filled="false" stroked="true" strokeweight=".53471pt" strokecolor="#97b853">
              <v:path arrowok="t"/>
            </v:shape>
            <v:shape style="position:absolute;left:7497;top:-364;width:82;height:71" coordorigin="7497,-364" coordsize="82,71" path="m7537,-364l7521,-362,7509,-354,7500,-343,7497,-329,7500,-316,7509,-305,7521,-297,7537,-294,7553,-297,7566,-305,7575,-316,7578,-329,7575,-343,7566,-354,7553,-362,7537,-364xe" filled="true" fillcolor="#9bba58" stroked="false">
              <v:path arrowok="t"/>
              <v:fill type="solid"/>
            </v:shape>
            <v:shape style="position:absolute;left:7497;top:-364;width:82;height:71" coordorigin="7497,-364" coordsize="82,71" path="m7578,-329l7575,-316,7566,-305,7553,-297,7537,-294,7521,-297,7509,-305,7500,-316,7497,-329,7500,-343,7509,-354,7521,-362,7537,-364,7553,-362,7566,-354,7575,-343,7578,-329xe" filled="false" stroked="true" strokeweight=".53471pt" strokecolor="#97b853">
              <v:path arrowok="t"/>
            </v:shape>
            <v:shape style="position:absolute;left:7723;top:-370;width:82;height:71" coordorigin="7723,-370" coordsize="82,71" path="m7763,-370l7748,-367,7735,-360,7726,-348,7723,-335,7726,-321,7735,-310,7748,-302,7763,-300,7779,-302,7792,-310,7801,-321,7804,-335,7801,-348,7792,-360,7779,-367,7763,-370xe" filled="true" fillcolor="#9bba58" stroked="false">
              <v:path arrowok="t"/>
              <v:fill type="solid"/>
            </v:shape>
            <v:shape style="position:absolute;left:7723;top:-370;width:82;height:71" coordorigin="7723,-370" coordsize="82,71" path="m7804,-335l7801,-321,7792,-310,7779,-302,7763,-300,7748,-302,7735,-310,7726,-321,7723,-335,7726,-348,7735,-360,7748,-367,7763,-370,7779,-367,7792,-360,7801,-348,7804,-335xe" filled="false" stroked="true" strokeweight=".53471pt" strokecolor="#97b853">
              <v:path arrowok="t"/>
            </v:shape>
            <v:shape style="position:absolute;left:7949;top:-373;width:82;height:71" coordorigin="7949,-373" coordsize="82,71" path="m7990,-373l7974,-371,7961,-363,7952,-352,7949,-338,7952,-325,7961,-314,7974,-306,7990,-303,8005,-306,8018,-314,8027,-325,8030,-338,8027,-352,8018,-363,8005,-371,7990,-373xe" filled="true" fillcolor="#9bba58" stroked="false">
              <v:path arrowok="t"/>
              <v:fill type="solid"/>
            </v:shape>
            <v:shape style="position:absolute;left:7949;top:-373;width:82;height:71" coordorigin="7949,-373" coordsize="82,71" path="m8030,-338l8027,-325,8018,-314,8005,-306,7990,-303,7974,-306,7961,-314,7952,-325,7949,-338,7952,-352,7961,-363,7974,-371,7990,-373,8005,-371,8018,-363,8027,-352,8030,-338xe" filled="false" stroked="true" strokeweight=".53471pt" strokecolor="#97b853">
              <v:path arrowok="t"/>
            </v:shape>
            <v:shape style="position:absolute;left:8175;top:-376;width:82;height:71" coordorigin="8175,-376" coordsize="82,71" path="m8216,-376l8200,-373,8187,-366,8179,-355,8175,-341,8179,-327,8187,-316,8200,-309,8216,-306,8232,-309,8244,-316,8253,-327,8256,-341,8253,-355,8244,-366,8232,-373,8216,-376xe" filled="true" fillcolor="#9bba58" stroked="false">
              <v:path arrowok="t"/>
              <v:fill type="solid"/>
            </v:shape>
            <v:shape style="position:absolute;left:8175;top:-376;width:82;height:71" coordorigin="8175,-376" coordsize="82,71" path="m8256,-341l8253,-327,8244,-316,8232,-309,8216,-306,8200,-309,8187,-316,8179,-327,8175,-341,8179,-355,8187,-366,8200,-373,8216,-376,8232,-373,8244,-366,8253,-355,8256,-341xe" filled="false" stroked="true" strokeweight=".53471pt" strokecolor="#97b853">
              <v:path arrowok="t"/>
            </v:shape>
            <v:shape style="position:absolute;left:8401;top:-378;width:82;height:71" coordorigin="8401,-378" coordsize="82,71" path="m8442,-378l8426,-375,8413,-367,8405,-356,8401,-343,8405,-329,8413,-318,8426,-310,8442,-308,8458,-310,8471,-318,8479,-329,8483,-343,8479,-356,8471,-367,8458,-375,8442,-378xe" filled="true" fillcolor="#9bba58" stroked="false">
              <v:path arrowok="t"/>
              <v:fill type="solid"/>
            </v:shape>
            <v:shape style="position:absolute;left:8401;top:-378;width:82;height:71" coordorigin="8401,-378" coordsize="82,71" path="m8483,-343l8479,-329,8471,-318,8458,-310,8442,-308,8426,-310,8413,-318,8405,-329,8401,-343,8405,-356,8413,-367,8426,-375,8442,-378,8458,-375,8471,-367,8479,-356,8483,-343xe" filled="false" stroked="true" strokeweight=".53471pt" strokecolor="#97b853">
              <v:path arrowok="t"/>
            </v:shape>
            <v:shape style="position:absolute;left:8628;top:-379;width:82;height:71" coordorigin="8628,-379" coordsize="82,71" path="m8668,-379l8652,-376,8640,-369,8631,-358,8628,-344,8631,-330,8640,-319,8652,-312,8668,-309,8684,-312,8697,-319,8705,-330,8709,-344,8705,-358,8697,-369,8684,-376,8668,-379xe" filled="true" fillcolor="#9bba58" stroked="false">
              <v:path arrowok="t"/>
              <v:fill type="solid"/>
            </v:shape>
            <v:shape style="position:absolute;left:8628;top:-379;width:82;height:71" coordorigin="8628,-379" coordsize="82,71" path="m8709,-344l8705,-330,8697,-319,8684,-312,8668,-309,8652,-312,8640,-319,8631,-330,8628,-344,8631,-358,8640,-369,8652,-376,8668,-379,8684,-376,8697,-369,8705,-358,8709,-344xe" filled="false" stroked="true" strokeweight=".53471pt" strokecolor="#97b853">
              <v:path arrowok="t"/>
            </v:shape>
            <v:shape style="position:absolute;left:4371;top:-328;width:4296;height:1813" coordorigin="4371,-328" coordsize="4296,1813" path="m4371,1484l4591,1234,4822,1214,5042,924,5273,593,5494,433,5725,233,5945,122,6177,12,6397,-68,6628,-138,6848,-178,7080,-218,7311,-248,7531,-268,7763,-288,7983,-308,8214,-318,8434,-318,8666,-328e" filled="false" stroked="true" strokeweight="1.537671pt" strokecolor="#7c5f9f">
              <v:path arrowok="t"/>
              <v:stroke dashstyle="longDash"/>
            </v:shape>
            <v:shape style="position:absolute;left:4330;top:1457;width:82;height:71" coordorigin="4330,1457" coordsize="82,71" path="m4371,1492l4330,1527,4411,1527,4371,1492xm4411,1457l4330,1457,4371,1492,4411,1457xe" filled="true" fillcolor="#8063a1" stroked="false">
              <v:path arrowok="t"/>
              <v:fill type="solid"/>
            </v:shape>
            <v:shape style="position:absolute;left:1275;top:9911;width:105;height:105" coordorigin="1275,9911" coordsize="105,105" path="m4411,1527l4330,1457m4330,1527l4411,1457e" filled="false" stroked="true" strokeweight=".540334pt" strokecolor="#7c5f9f">
              <v:path arrowok="t"/>
            </v:shape>
            <v:shape style="position:absolute;left:4556;top:1202;width:82;height:71" coordorigin="4556,1202" coordsize="82,71" path="m4597,1237l4556,1272,4637,1272,4597,1237xm4637,1202l4556,1202,4597,1237,4637,1202xe" filled="true" fillcolor="#8063a1" stroked="false">
              <v:path arrowok="t"/>
              <v:fill type="solid"/>
            </v:shape>
            <v:shape style="position:absolute;left:1568;top:9529;width:105;height:105" coordorigin="1568,9529" coordsize="105,105" path="m4637,1272l4556,1202m4556,1272l4637,1202e" filled="false" stroked="true" strokeweight=".540334pt" strokecolor="#7c5f9f">
              <v:path arrowok="t"/>
            </v:shape>
            <v:shape style="position:absolute;left:4783;top:1186;width:82;height:71" coordorigin="4783,1186" coordsize="82,71" path="m4823,1221l4783,1256,4864,1256,4823,1221xm4864,1186l4783,1186,4823,1221,4864,1186xe" filled="true" fillcolor="#8063a1" stroked="false">
              <v:path arrowok="t"/>
              <v:fill type="solid"/>
            </v:shape>
            <v:shape style="position:absolute;left:1861;top:9506;width:105;height:105" coordorigin="1861,9506" coordsize="105,105" path="m4864,1256l4783,1186m4783,1256l4864,1186e" filled="false" stroked="true" strokeweight=".540334pt" strokecolor="#7c5f9f">
              <v:path arrowok="t"/>
            </v:shape>
            <v:shape style="position:absolute;left:5009;top:895;width:82;height:71" coordorigin="5009,895" coordsize="82,71" path="m5049,930l5009,965,5090,965,5049,930xm5090,895l5009,895,5049,930,5090,895xe" filled="true" fillcolor="#8063a1" stroked="false">
              <v:path arrowok="t"/>
              <v:fill type="solid"/>
            </v:shape>
            <v:shape style="position:absolute;left:2154;top:9070;width:105;height:105" coordorigin="2154,9070" coordsize="105,105" path="m5090,965l5009,895m5009,965l5090,895e" filled="false" stroked="true" strokeweight=".540334pt" strokecolor="#7c5f9f">
              <v:path arrowok="t"/>
            </v:shape>
            <v:shape style="position:absolute;left:5235;top:567;width:82;height:71" coordorigin="5235,567" coordsize="82,71" path="m5275,602l5235,637,5316,637,5275,602xm5316,567l5235,567,5275,602,5316,567xe" filled="true" fillcolor="#8063a1" stroked="false">
              <v:path arrowok="t"/>
              <v:fill type="solid"/>
            </v:shape>
            <v:shape style="position:absolute;left:2447;top:8579;width:105;height:105" coordorigin="2447,8579" coordsize="105,105" path="m5316,637l5235,567m5235,637l5316,567e" filled="false" stroked="true" strokeweight=".540334pt" strokecolor="#7c5f9f">
              <v:path arrowok="t"/>
            </v:shape>
            <v:shape style="position:absolute;left:5461;top:402;width:82;height:71" coordorigin="5461,402" coordsize="82,71" path="m5502,437l5461,472,5542,472,5502,437xm5542,402l5461,402,5502,437,5542,402xe" filled="true" fillcolor="#8063a1" stroked="false">
              <v:path arrowok="t"/>
              <v:fill type="solid"/>
            </v:shape>
            <v:shape style="position:absolute;left:2741;top:8332;width:105;height:105" coordorigin="2741,8332" coordsize="105,105" path="m5542,472l5461,402m5461,472l5542,402e" filled="false" stroked="true" strokeweight=".540334pt" strokecolor="#7c5f9f">
              <v:path arrowok="t"/>
            </v:shape>
            <v:shape style="position:absolute;left:5687;top:207;width:82;height:71" coordorigin="5687,207" coordsize="82,71" path="m5728,242l5687,278,5768,278,5728,242xm5768,207l5687,207,5728,242,5768,207xe" filled="true" fillcolor="#8063a1" stroked="false">
              <v:path arrowok="t"/>
              <v:fill type="solid"/>
            </v:shape>
            <v:shape style="position:absolute;left:3034;top:8040;width:105;height:105" coordorigin="3034,8040" coordsize="105,105" path="m5768,278l5687,207m5687,278l5768,207e" filled="false" stroked="true" strokeweight=".540334pt" strokecolor="#7c5f9f">
              <v:path arrowok="t"/>
            </v:shape>
            <v:shape style="position:absolute;left:5913;top:89;width:82;height:71" coordorigin="5913,89" coordsize="82,71" path="m5954,124l5913,159,5994,159,5954,124xm5994,89l5913,89,5954,124,5994,89xe" filled="true" fillcolor="#8063a1" stroked="false">
              <v:path arrowok="t"/>
              <v:fill type="solid"/>
            </v:shape>
            <v:shape style="position:absolute;left:3327;top:7863;width:105;height:105" coordorigin="3327,7863" coordsize="105,105" path="m5994,159l5913,89m5913,159l5994,89e" filled="false" stroked="true" strokeweight=".540334pt" strokecolor="#7c5f9f">
              <v:path arrowok="t"/>
            </v:shape>
            <v:shape style="position:absolute;left:6140;top:-21;width:82;height:71" coordorigin="6140,-21" coordsize="82,71" path="m6180,14l6140,49,6221,49,6180,14xm6221,-21l6140,-21,6180,14,6221,-21xe" filled="true" fillcolor="#8063a1" stroked="false">
              <v:path arrowok="t"/>
              <v:fill type="solid"/>
            </v:shape>
            <v:shape style="position:absolute;left:3620;top:7698;width:105;height:105" coordorigin="3620,7698" coordsize="105,105" path="m6221,49l6140,-21m6140,49l6221,-21e" filled="false" stroked="true" strokeweight=".540334pt" strokecolor="#7c5f9f">
              <v:path arrowok="t"/>
            </v:shape>
            <v:shape style="position:absolute;left:6366;top:-98;width:82;height:71" coordorigin="6366,-98" coordsize="82,71" path="m6406,-63l6366,-28,6447,-28,6406,-63xm6447,-98l6366,-98,6406,-63,6447,-98xe" filled="true" fillcolor="#8063a1" stroked="false">
              <v:path arrowok="t"/>
              <v:fill type="solid"/>
            </v:shape>
            <v:shape style="position:absolute;left:3913;top:7583;width:105;height:105" coordorigin="3913,7583" coordsize="105,105" path="m6447,-28l6366,-98m6366,-28l6447,-98e" filled="false" stroked="true" strokeweight=".540334pt" strokecolor="#7c5f9f">
              <v:path arrowok="t"/>
            </v:shape>
            <v:shape style="position:absolute;left:6592;top:-162;width:82;height:71" coordorigin="6592,-162" coordsize="82,71" path="m6632,-127l6592,-92,6673,-92,6632,-127xm6673,-162l6592,-162,6632,-127,6673,-162xe" filled="true" fillcolor="#8063a1" stroked="false">
              <v:path arrowok="t"/>
              <v:fill type="solid"/>
            </v:shape>
            <v:shape style="position:absolute;left:4206;top:7487;width:105;height:105" coordorigin="4206,7487" coordsize="105,105" path="m6673,-92l6592,-162m6592,-92l6673,-162e" filled="false" stroked="true" strokeweight=".540334pt" strokecolor="#7c5f9f">
              <v:path arrowok="t"/>
            </v:shape>
            <v:shape style="position:absolute;left:6818;top:-210;width:82;height:71" coordorigin="6818,-210" coordsize="82,71" path="m6859,-175l6818,-140,6899,-140,6859,-175xm6899,-210l6818,-210,6859,-175,6899,-210xe" filled="true" fillcolor="#8063a1" stroked="false">
              <v:path arrowok="t"/>
              <v:fill type="solid"/>
            </v:shape>
            <v:shape style="position:absolute;left:4499;top:7415;width:105;height:105" coordorigin="4499,7415" coordsize="105,105" path="m6899,-140l6818,-210m6818,-140l6899,-210e" filled="false" stroked="true" strokeweight=".540334pt" strokecolor="#7c5f9f">
              <v:path arrowok="t"/>
            </v:shape>
            <v:shape style="position:absolute;left:7044;top:-248;width:82;height:71" coordorigin="7044,-248" coordsize="82,71" path="m7085,-213l7044,-178,7125,-178,7085,-213xm7125,-248l7044,-248,7085,-213,7125,-248xe" filled="true" fillcolor="#8063a1" stroked="false">
              <v:path arrowok="t"/>
              <v:fill type="solid"/>
            </v:shape>
            <v:shape style="position:absolute;left:4792;top:7358;width:105;height:105" coordorigin="4792,7358" coordsize="105,105" path="m7125,-178l7044,-248m7044,-178l7125,-248e" filled="false" stroked="true" strokeweight=".540334pt" strokecolor="#7c5f9f">
              <v:path arrowok="t"/>
            </v:shape>
            <v:shape style="position:absolute;left:7271;top:-278;width:82;height:71" coordorigin="7271,-278" coordsize="82,71" path="m7311,-243l7271,-208,7352,-208,7311,-243xm7352,-278l7271,-278,7311,-243,7352,-278xe" filled="true" fillcolor="#8063a1" stroked="false">
              <v:path arrowok="t"/>
              <v:fill type="solid"/>
            </v:shape>
            <v:shape style="position:absolute;left:5085;top:7314;width:105;height:105" coordorigin="5085,7314" coordsize="105,105" path="m7352,-208l7271,-278m7271,-208l7352,-278e" filled="false" stroked="true" strokeweight=".540334pt" strokecolor="#7c5f9f">
              <v:path arrowok="t"/>
            </v:shape>
            <v:shape style="position:absolute;left:7497;top:-301;width:82;height:71" coordorigin="7497,-301" coordsize="82,71" path="m7537,-266l7497,-231,7578,-231,7537,-266xm7578,-301l7497,-301,7537,-266,7578,-301xe" filled="true" fillcolor="#8063a1" stroked="false">
              <v:path arrowok="t"/>
              <v:fill type="solid"/>
            </v:shape>
            <v:shape style="position:absolute;left:5378;top:7279;width:105;height:105" coordorigin="5378,7279" coordsize="105,105" path="m7578,-231l7497,-301m7497,-231l7578,-301e" filled="false" stroked="true" strokeweight=".540334pt" strokecolor="#7c5f9f">
              <v:path arrowok="t"/>
            </v:shape>
            <v:shape style="position:absolute;left:7723;top:-319;width:82;height:71" coordorigin="7723,-319" coordsize="82,71" path="m7763,-284l7723,-249,7804,-249,7763,-284xm7804,-319l7723,-319,7763,-284,7804,-319xe" filled="true" fillcolor="#8063a1" stroked="false">
              <v:path arrowok="t"/>
              <v:fill type="solid"/>
            </v:shape>
            <v:shape style="position:absolute;left:5671;top:7252;width:105;height:105" coordorigin="5671,7252" coordsize="105,105" path="m7804,-249l7723,-319m7723,-249l7804,-319e" filled="false" stroked="true" strokeweight=".540334pt" strokecolor="#7c5f9f">
              <v:path arrowok="t"/>
            </v:shape>
            <v:shape style="position:absolute;left:7949;top:-333;width:82;height:71" coordorigin="7949,-333" coordsize="82,71" path="m7990,-298l7949,-263,8030,-263,7990,-298xm8030,-333l7949,-333,7990,-298,8030,-333xe" filled="true" fillcolor="#8063a1" stroked="false">
              <v:path arrowok="t"/>
              <v:fill type="solid"/>
            </v:shape>
            <v:shape style="position:absolute;left:5964;top:7231;width:105;height:105" coordorigin="5964,7231" coordsize="105,105" path="m8030,-263l7949,-333m7949,-263l8030,-333e" filled="false" stroked="true" strokeweight=".540334pt" strokecolor="#7c5f9f">
              <v:path arrowok="t"/>
            </v:shape>
            <v:shape style="position:absolute;left:8175;top:-344;width:82;height:71" coordorigin="8175,-344" coordsize="82,71" path="m8216,-308l8175,-273,8256,-273,8216,-308xm8256,-344l8175,-344,8216,-308,8256,-344xe" filled="true" fillcolor="#8063a1" stroked="false">
              <v:path arrowok="t"/>
              <v:fill type="solid"/>
            </v:shape>
            <v:shape style="position:absolute;left:6257;top:7215;width:105;height:105" coordorigin="6257,7215" coordsize="105,105" path="m8256,-273l8175,-344m8175,-273l8256,-344e" filled="false" stroked="true" strokeweight=".540334pt" strokecolor="#7c5f9f">
              <v:path arrowok="t"/>
            </v:shape>
            <v:shape style="position:absolute;left:8401;top:-352;width:82;height:71" coordorigin="8401,-352" coordsize="82,71" path="m8442,-317l8401,-282,8483,-282,8442,-317xm8483,-352l8401,-352,8442,-317,8483,-352xe" filled="true" fillcolor="#8063a1" stroked="false">
              <v:path arrowok="t"/>
              <v:fill type="solid"/>
            </v:shape>
            <v:shape style="position:absolute;left:6550;top:7202;width:105;height:105" coordorigin="6550,7202" coordsize="105,105" path="m8483,-282l8401,-352m8401,-282l8483,-352e" filled="false" stroked="true" strokeweight=".540334pt" strokecolor="#7c5f9f">
              <v:path arrowok="t"/>
            </v:shape>
            <v:shape style="position:absolute;left:8628;top:-359;width:82;height:71" coordorigin="8628,-359" coordsize="82,71" path="m8668,-324l8628,-289,8709,-289,8668,-324xm8709,-359l8628,-359,8668,-324,8709,-359xe" filled="true" fillcolor="#8063a1" stroked="false">
              <v:path arrowok="t"/>
              <v:fill type="solid"/>
            </v:shape>
            <v:shape style="position:absolute;left:6843;top:7193;width:105;height:105" coordorigin="6843,7193" coordsize="105,105" path="m8709,-289l8628,-359m8628,-289l8709,-359e" filled="false" stroked="true" strokeweight=".540334pt" strokecolor="#7c5f9f">
              <v:path arrowok="t"/>
            </v:shape>
            <v:line style="position:absolute" from="7763,633" to="8156,633" stroked="true" strokeweight="1.502254pt" strokecolor="#000000"/>
            <v:line style="position:absolute" from="7763,924" to="8156,924" stroked="true" strokeweight="1.502254pt" strokecolor="#bd4a47">
              <v:stroke dashstyle="longDash"/>
            </v:line>
            <v:line style="position:absolute" from="7925,919" to="7994,919" stroked="true" strokeweight="3.505259pt" strokecolor="#c0504d"/>
            <v:rect style="position:absolute;left:7925;top:884;width:69;height:70" filled="false" stroked="true" strokeweight=".540155pt" strokecolor="#bd4a47"/>
            <v:shape style="position:absolute;left:7925;top:1164;width:70;height:71" coordorigin="7925,1164" coordsize="70,71" path="m7959,1164l7946,1167,7935,1174,7927,1185,7925,1199,7927,1213,7935,1224,7946,1231,7959,1234,7973,1231,7984,1224,7991,1213,7994,1199,7991,1185,7984,1174,7973,1167,7959,1164xe" filled="true" fillcolor="#9bba58" stroked="false">
              <v:path arrowok="t"/>
              <v:fill type="solid"/>
            </v:shape>
            <v:shape style="position:absolute;left:7925;top:1164;width:70;height:71" coordorigin="7925,1164" coordsize="70,71" path="m7994,1199l7991,1213,7984,1224,7973,1231,7959,1234,7946,1231,7935,1224,7927,1213,7925,1199,7927,1185,7935,1174,7946,1167,7959,1164,7973,1167,7984,1174,7991,1185,7994,1199xe" filled="false" stroked="true" strokeweight=".540155pt" strokecolor="#97b853">
              <v:path arrowok="t"/>
            </v:shape>
            <v:line style="position:absolute" from="7763,1484" to="8156,1484" stroked="true" strokeweight="1.502254pt" strokecolor="#7c5f9f">
              <v:stroke dashstyle="longDash"/>
            </v:line>
            <v:shape style="position:absolute;left:7925;top:1454;width:70;height:61" coordorigin="7925,1454" coordsize="70,61" path="m7959,1484l7925,1514,7994,1514,7959,1484xm7994,1454l7925,1454,7959,1484,7994,1454xe" filled="true" fillcolor="#8063a1" stroked="false">
              <v:path arrowok="t"/>
              <v:fill type="solid"/>
            </v:shape>
            <v:shape style="position:absolute;left:5933;top:9908;width:90;height:90" coordorigin="5933,9908" coordsize="90,90" path="m7994,1514l7925,1454m7925,1514l7994,1454e" filled="false" stroked="true" strokeweight=".539795pt" strokecolor="#7c5f9f">
              <v:path arrowok="t"/>
            </v:shape>
            <w10:wrap type="none"/>
          </v:group>
        </w:pict>
      </w:r>
      <w:r>
        <w:rPr>
          <w:rFonts w:ascii="Constantia"/>
          <w:w w:val="115"/>
          <w:sz w:val="19"/>
        </w:rPr>
        <w:t>Trimestre</w:t>
      </w:r>
    </w:p>
    <w:p>
      <w:pPr>
        <w:spacing w:line="280" w:lineRule="atLeast" w:before="126"/>
        <w:ind w:left="4149" w:right="1719" w:firstLine="0"/>
        <w:jc w:val="left"/>
        <w:rPr>
          <w:rFonts w:ascii="Constantia"/>
          <w:sz w:val="12"/>
        </w:rPr>
      </w:pPr>
      <w:r>
        <w:rPr>
          <w:rFonts w:ascii="Constantia"/>
          <w:w w:val="115"/>
          <w:sz w:val="12"/>
        </w:rPr>
        <w:t>Modelo A Modelo B</w:t>
      </w:r>
    </w:p>
    <w:p>
      <w:pPr>
        <w:spacing w:after="0" w:line="280" w:lineRule="atLeast"/>
        <w:jc w:val="left"/>
        <w:rPr>
          <w:rFonts w:ascii="Constantia"/>
          <w:sz w:val="12"/>
        </w:rPr>
        <w:sectPr>
          <w:type w:val="continuous"/>
          <w:pgSz w:w="12250" w:h="15850"/>
          <w:pgMar w:top="1500" w:bottom="280" w:left="1720" w:right="1720"/>
          <w:cols w:num="2" w:equalWidth="0">
            <w:col w:w="2297" w:space="40"/>
            <w:col w:w="6473"/>
          </w:cols>
        </w:sectPr>
      </w:pPr>
    </w:p>
    <w:p>
      <w:pPr>
        <w:tabs>
          <w:tab w:pos="6042" w:val="left" w:leader="none"/>
          <w:tab w:pos="6493" w:val="left" w:leader="none"/>
        </w:tabs>
        <w:spacing w:line="177" w:lineRule="exact" w:before="0"/>
        <w:ind w:left="1763" w:right="0" w:firstLine="0"/>
        <w:jc w:val="left"/>
        <w:rPr>
          <w:rFonts w:ascii="Constantia"/>
          <w:sz w:val="21"/>
        </w:rPr>
      </w:pPr>
      <w:r>
        <w:rPr>
          <w:rFonts w:ascii="Constantia"/>
          <w:w w:val="115"/>
          <w:sz w:val="21"/>
        </w:rPr>
        <w:t>-0.04</w:t>
      </w:r>
      <w:r>
        <w:rPr>
          <w:rFonts w:ascii="Constantia"/>
          <w:sz w:val="21"/>
        </w:rPr>
        <w:tab/>
      </w:r>
      <w:r>
        <w:rPr>
          <w:rFonts w:ascii="Constantia"/>
          <w:w w:val="116"/>
          <w:sz w:val="21"/>
          <w:u w:val="thick" w:color="97B853"/>
        </w:rPr>
        <w:t> </w:t>
      </w:r>
      <w:r>
        <w:rPr>
          <w:rFonts w:ascii="Constantia"/>
          <w:sz w:val="21"/>
          <w:u w:val="thick" w:color="97B853"/>
        </w:rPr>
        <w:tab/>
      </w:r>
    </w:p>
    <w:p>
      <w:pPr>
        <w:spacing w:line="107" w:lineRule="exact" w:before="0"/>
        <w:ind w:left="0" w:right="1725" w:firstLine="0"/>
        <w:jc w:val="right"/>
        <w:rPr>
          <w:rFonts w:ascii="Constantia"/>
          <w:sz w:val="12"/>
        </w:rPr>
      </w:pPr>
      <w:r>
        <w:rPr>
          <w:rFonts w:ascii="Constantia"/>
          <w:w w:val="115"/>
          <w:sz w:val="12"/>
        </w:rPr>
        <w:t>Modelo C</w:t>
      </w:r>
    </w:p>
    <w:p>
      <w:pPr>
        <w:spacing w:after="0" w:line="107" w:lineRule="exact"/>
        <w:jc w:val="right"/>
        <w:rPr>
          <w:rFonts w:ascii="Constantia"/>
          <w:sz w:val="12"/>
        </w:rPr>
        <w:sectPr>
          <w:type w:val="continuous"/>
          <w:pgSz w:w="12250" w:h="15850"/>
          <w:pgMar w:top="1500" w:bottom="280" w:left="1720" w:right="1720"/>
        </w:sectPr>
      </w:pPr>
    </w:p>
    <w:p>
      <w:pPr>
        <w:spacing w:before="39"/>
        <w:ind w:left="0" w:right="6" w:firstLine="0"/>
        <w:jc w:val="right"/>
        <w:rPr>
          <w:rFonts w:ascii="Constantia"/>
          <w:sz w:val="21"/>
        </w:rPr>
      </w:pPr>
      <w:r>
        <w:rPr>
          <w:rFonts w:ascii="Constantia"/>
          <w:w w:val="115"/>
          <w:sz w:val="21"/>
        </w:rPr>
        <w:t>-0.05</w:t>
      </w:r>
    </w:p>
    <w:p>
      <w:pPr>
        <w:spacing w:before="106"/>
        <w:ind w:left="0" w:right="0" w:firstLine="0"/>
        <w:jc w:val="right"/>
        <w:rPr>
          <w:rFonts w:ascii="Constantia"/>
          <w:sz w:val="21"/>
        </w:rPr>
      </w:pPr>
      <w:r>
        <w:rPr>
          <w:rFonts w:ascii="Constantia"/>
          <w:w w:val="115"/>
          <w:sz w:val="21"/>
        </w:rPr>
        <w:t>-0.06</w:t>
      </w:r>
    </w:p>
    <w:p>
      <w:pPr>
        <w:spacing w:before="106"/>
        <w:ind w:left="0" w:right="5" w:firstLine="0"/>
        <w:jc w:val="right"/>
        <w:rPr>
          <w:rFonts w:ascii="Constantia"/>
          <w:sz w:val="21"/>
        </w:rPr>
      </w:pPr>
      <w:r>
        <w:rPr>
          <w:rFonts w:ascii="Constantia"/>
          <w:w w:val="115"/>
          <w:sz w:val="21"/>
        </w:rPr>
        <w:t>-0.07</w:t>
      </w:r>
    </w:p>
    <w:p>
      <w:pPr>
        <w:pStyle w:val="BodyText"/>
        <w:spacing w:before="3"/>
        <w:rPr>
          <w:rFonts w:ascii="Constantia"/>
          <w:sz w:val="11"/>
        </w:rPr>
      </w:pPr>
      <w:r>
        <w:rPr/>
        <w:br w:type="column"/>
      </w:r>
      <w:r>
        <w:rPr>
          <w:rFonts w:ascii="Constantia"/>
          <w:sz w:val="11"/>
        </w:rPr>
      </w:r>
    </w:p>
    <w:p>
      <w:pPr>
        <w:tabs>
          <w:tab w:pos="490" w:val="left" w:leader="none"/>
        </w:tabs>
        <w:spacing w:before="0"/>
        <w:ind w:left="47" w:right="0" w:firstLine="0"/>
        <w:jc w:val="center"/>
        <w:rPr>
          <w:rFonts w:ascii="Constantia"/>
          <w:sz w:val="12"/>
        </w:rPr>
      </w:pPr>
      <w:r>
        <w:rPr>
          <w:rFonts w:ascii="Constantia"/>
          <w:w w:val="116"/>
          <w:sz w:val="12"/>
        </w:rPr>
        <w:t> </w:t>
      </w:r>
      <w:r>
        <w:rPr>
          <w:rFonts w:ascii="Constantia"/>
          <w:sz w:val="12"/>
        </w:rPr>
        <w:tab/>
      </w:r>
      <w:r>
        <w:rPr>
          <w:rFonts w:ascii="Constantia"/>
          <w:w w:val="115"/>
          <w:sz w:val="12"/>
        </w:rPr>
        <w:t>Modelo</w:t>
      </w:r>
      <w:r>
        <w:rPr>
          <w:rFonts w:ascii="Constantia"/>
          <w:spacing w:val="2"/>
          <w:w w:val="115"/>
          <w:sz w:val="12"/>
        </w:rPr>
        <w:t> </w:t>
      </w:r>
      <w:r>
        <w:rPr>
          <w:rFonts w:ascii="Constantia"/>
          <w:w w:val="115"/>
          <w:sz w:val="12"/>
        </w:rPr>
        <w:t>D</w:t>
      </w:r>
    </w:p>
    <w:p>
      <w:pPr>
        <w:spacing w:after="0"/>
        <w:jc w:val="center"/>
        <w:rPr>
          <w:rFonts w:ascii="Constantia"/>
          <w:sz w:val="12"/>
        </w:rPr>
        <w:sectPr>
          <w:type w:val="continuous"/>
          <w:pgSz w:w="12250" w:h="15850"/>
          <w:pgMar w:top="1500" w:bottom="280" w:left="1720" w:right="1720"/>
          <w:cols w:num="2" w:equalWidth="0">
            <w:col w:w="2300" w:space="1982"/>
            <w:col w:w="4528"/>
          </w:cols>
        </w:sectPr>
      </w:pPr>
    </w:p>
    <w:p>
      <w:pPr>
        <w:spacing w:before="145"/>
        <w:ind w:left="366" w:right="368" w:firstLine="0"/>
        <w:jc w:val="center"/>
        <w:rPr>
          <w:sz w:val="20"/>
        </w:rPr>
      </w:pPr>
      <w:r>
        <w:rPr>
          <w:sz w:val="20"/>
        </w:rPr>
        <w:t>Estimaciones mediante funciones de impulso-respuesta en su definición estructural.</w:t>
      </w:r>
    </w:p>
    <w:p>
      <w:pPr>
        <w:pStyle w:val="BodyText"/>
        <w:rPr>
          <w:sz w:val="20"/>
        </w:rPr>
      </w:pPr>
    </w:p>
    <w:p>
      <w:pPr>
        <w:pStyle w:val="BodyText"/>
        <w:spacing w:before="7"/>
      </w:pPr>
    </w:p>
    <w:p>
      <w:pPr>
        <w:pStyle w:val="Heading4"/>
        <w:ind w:left="368" w:right="368" w:firstLine="0"/>
        <w:jc w:val="center"/>
      </w:pPr>
      <w:r>
        <w:rPr/>
        <w:t>b)  Dinámica de la Asignación de Ing. Fisc. No Gasíferos al gasto corriente</w:t>
      </w:r>
    </w:p>
    <w:p>
      <w:pPr>
        <w:pStyle w:val="BodyText"/>
        <w:spacing w:line="360" w:lineRule="auto" w:before="132"/>
        <w:ind w:left="1107" w:right="1105"/>
        <w:jc w:val="center"/>
      </w:pPr>
      <w:r>
        <w:rPr/>
        <w:t>Respuesta de la razón Gasto Corriente/Ingresos fiscales no gasíferos A un choque positivo en el  precio del gas natural</w:t>
      </w:r>
    </w:p>
    <w:p>
      <w:pPr>
        <w:pStyle w:val="BodyText"/>
        <w:spacing w:before="7"/>
        <w:rPr>
          <w:sz w:val="17"/>
        </w:rPr>
      </w:pPr>
    </w:p>
    <w:p>
      <w:pPr>
        <w:spacing w:before="57"/>
        <w:ind w:left="1886" w:right="0" w:firstLine="0"/>
        <w:jc w:val="left"/>
        <w:rPr>
          <w:rFonts w:ascii="Constantia"/>
          <w:sz w:val="22"/>
        </w:rPr>
      </w:pPr>
      <w:r>
        <w:rPr/>
        <w:pict>
          <v:group style="position:absolute;margin-left:209.424866pt;margin-top:9.715701pt;width:226.95pt;height:162pt;mso-position-horizontal-relative:page;mso-position-vertical-relative:paragraph;z-index:12760" coordorigin="4188,194" coordsize="4539,3240">
            <v:shape style="position:absolute;left:1148;top:1933;width:5873;height:4598" coordorigin="1148,1933" coordsize="5873,4598" path="m4262,3428l8716,3428m4268,2886l8722,2886m4268,1814l8722,1814m4268,1278l8722,1278m4268,742l8722,742m4268,206l8722,206e" filled="false" stroked="true" strokeweight=".547563pt" strokecolor="#858585">
              <v:path arrowok="t"/>
              <v:stroke dashstyle="dash"/>
            </v:shape>
            <v:shape style="position:absolute;left:1058;top:1925;width:5956;height:4605" coordorigin="1058,1925" coordsize="5956,4605" path="m4262,3428l4262,200m4194,3428l4262,3428m4194,2891l4262,2891m4194,2355l4262,2355m4194,1819l4262,1819m4194,1283l4262,1283m4194,736l4262,736m4194,200l4262,200m4262,2355l8716,2355m4262,2355l4262,2418m4490,2355l4490,2418m4707,2355l4707,2418m4934,2355l4934,2418m5162,2355l5162,2418m5379,2355l5379,2418m5606,2355l5606,2418m5823,2355l5823,2418m6051,2355l6051,2418m6267,2355l6267,2418m6495,2355l6495,2418m6711,2355l6711,2418m6939,2355l6939,2418m7155,2355l7155,2418m7383,2355l7383,2418m7600,2355l7600,2418m7827,2355l7827,2418m8055,2355l8055,2418m8272,2355l8272,2418m8500,2355l8500,2418m8716,2355l8716,2418e" filled="false" stroked="true" strokeweight=".547563pt" strokecolor="#858585">
              <v:path arrowok="t"/>
            </v:shape>
            <v:shape style="position:absolute;left:4376;top:1434;width:4226;height:891" coordorigin="4376,1434" coordsize="4226,891" path="m4376,1622l4432,1591,4487,1559,4543,1529,4599,1503,4654,1480,4765,1443,4877,1434,4932,1438,5043,1475,5132,1546,5177,1591,5221,1634,5266,1670,5321,1702,5377,1728,5433,1751,5488,1777,5544,1808,5599,1841,5655,1874,5711,1902,5766,1926,5822,1946,5877,1965,5933,1984,6044,2024,6155,2060,6267,2090,6378,2116,6489,2140,6600,2163,6711,2182,6823,2199,6934,2215,7045,2229,7156,2242,7268,2253,7379,2263,7490,2272,7601,2280,7712,2288,7824,2294,7935,2300,8046,2305,8157,2310,8268,2314,8380,2317,8491,2321,8546,2322,8602,2324e" filled="false" stroked="true" strokeweight="1.582464pt" strokecolor="#000000">
              <v:path arrowok="t"/>
            </v:shape>
            <v:shape style="position:absolute;left:4344;top:1600;width:40;height:64" coordorigin="4344,1600" coordsize="40,64" path="m4384,1631l4344,1663,4384,1663,4384,1631xm4384,1600l4344,1600,4384,1631,4384,1600xe" filled="true" fillcolor="#4f81bc" stroked="false">
              <v:path arrowok="t"/>
              <v:fill type="solid"/>
            </v:shape>
            <v:shape style="position:absolute;left:1255;top:3922;width:105;height:90" coordorigin="1255,3922" coordsize="105,90" path="m4424,1663l4344,1600m4384,1600l4384,1663m4344,1663l4424,1600e" filled="false" stroked="true" strokeweight=".54811pt" strokecolor="#497dba">
              <v:path arrowok="t"/>
            </v:shape>
            <v:shape style="position:absolute;left:4567;top:1480;width:40;height:64" coordorigin="4567,1480" coordsize="40,64" path="m4607,1512l4567,1543,4607,1543,4607,1512xm4607,1480l4567,1480,4607,1512,4607,1480xe" filled="true" fillcolor="#4f81bc" stroked="false">
              <v:path arrowok="t"/>
              <v:fill type="solid"/>
            </v:shape>
            <v:shape style="position:absolute;left:1548;top:3751;width:105;height:90" coordorigin="1548,3751" coordsize="105,90" path="m4646,1543l4567,1480m4607,1480l4607,1543m4567,1543l4646,1480e" filled="false" stroked="true" strokeweight=".54811pt" strokecolor="#497dba">
              <v:path arrowok="t"/>
            </v:shape>
            <v:shape style="position:absolute;left:4789;top:1412;width:40;height:64" coordorigin="4789,1412" coordsize="40,64" path="m4829,1444l4789,1475,4829,1475,4829,1444xm4829,1412l4789,1412,4829,1444,4829,1412xe" filled="true" fillcolor="#4f81bc" stroked="false">
              <v:path arrowok="t"/>
              <v:fill type="solid"/>
            </v:shape>
            <v:shape style="position:absolute;left:1841;top:3654;width:105;height:90" coordorigin="1841,3654" coordsize="105,90" path="m4869,1475l4789,1412m4829,1412l4829,1475m4789,1475l4869,1412e" filled="false" stroked="true" strokeweight=".54811pt" strokecolor="#497dba">
              <v:path arrowok="t"/>
            </v:shape>
            <v:shape style="position:absolute;left:5012;top:1452;width:40;height:64" coordorigin="5012,1452" coordsize="40,64" path="m5052,1484l5012,1515,5052,1515,5052,1484xm5052,1452l5012,1452,5052,1484,5052,1452xe" filled="true" fillcolor="#4f81bc" stroked="false">
              <v:path arrowok="t"/>
              <v:fill type="solid"/>
            </v:shape>
            <v:shape style="position:absolute;left:2134;top:3712;width:105;height:90" coordorigin="2134,3712" coordsize="105,90" path="m5091,1515l5012,1452m5052,1452l5052,1515m5012,1515l5091,1452e" filled="false" stroked="true" strokeweight=".54811pt" strokecolor="#497dba">
              <v:path arrowok="t"/>
            </v:shape>
            <v:shape style="position:absolute;left:5234;top:1647;width:40;height:64" coordorigin="5234,1647" coordsize="40,64" path="m5274,1679l5234,1710,5274,1710,5274,1679xm5274,1647l5234,1647,5274,1679,5274,1647xe" filled="true" fillcolor="#4f81bc" stroked="false">
              <v:path arrowok="t"/>
              <v:fill type="solid"/>
            </v:shape>
            <v:shape style="position:absolute;left:2427;top:3990;width:105;height:90" coordorigin="2427,3990" coordsize="105,90" path="m5314,1710l5234,1647m5274,1647l5274,1710m5234,1710l5314,1647e" filled="false" stroked="true" strokeweight=".54811pt" strokecolor="#497dba">
              <v:path arrowok="t"/>
            </v:shape>
            <v:shape style="position:absolute;left:5457;top:1755;width:40;height:64" coordorigin="5457,1755" coordsize="40,64" path="m5497,1786l5457,1818,5497,1818,5497,1786xm5497,1755l5457,1755,5497,1786,5497,1755xe" filled="true" fillcolor="#4f81bc" stroked="false">
              <v:path arrowok="t"/>
              <v:fill type="solid"/>
            </v:shape>
            <v:shape style="position:absolute;left:2721;top:4143;width:105;height:90" coordorigin="2721,4143" coordsize="105,90" path="m5537,1818l5457,1755m5497,1755l5497,1818m5457,1818l5537,1755e" filled="false" stroked="true" strokeweight=".54811pt" strokecolor="#497dba">
              <v:path arrowok="t"/>
            </v:shape>
            <v:shape style="position:absolute;left:5679;top:1880;width:40;height:64" coordorigin="5679,1880" coordsize="40,64" path="m5719,1912l5679,1943,5719,1943,5719,1912xm5719,1880l5679,1880,5719,1912,5719,1880xe" filled="true" fillcolor="#4f81bc" stroked="false">
              <v:path arrowok="t"/>
              <v:fill type="solid"/>
            </v:shape>
            <v:shape style="position:absolute;left:3014;top:4323;width:105;height:90" coordorigin="3014,4323" coordsize="105,90" path="m5759,1943l5679,1880m5719,1880l5719,1943m5679,1943l5759,1880e" filled="false" stroked="true" strokeweight=".54811pt" strokecolor="#497dba">
              <v:path arrowok="t"/>
            </v:shape>
            <v:shape style="position:absolute;left:5902;top:1962;width:40;height:64" coordorigin="5902,1962" coordsize="40,64" path="m5942,1994l5902,2025,5942,2025,5942,1994xm5942,1962l5902,1962,5942,1994,5942,1962xe" filled="true" fillcolor="#4f81bc" stroked="false">
              <v:path arrowok="t"/>
              <v:fill type="solid"/>
            </v:shape>
            <v:shape style="position:absolute;left:3307;top:4439;width:105;height:90" coordorigin="3307,4439" coordsize="105,90" path="m5982,2025l5902,1962m5942,1962l5942,2025m5902,2025l5982,1962e" filled="false" stroked="true" strokeweight=".54811pt" strokecolor="#497dba">
              <v:path arrowok="t"/>
            </v:shape>
            <v:shape style="position:absolute;left:6124;top:2038;width:40;height:64" coordorigin="6124,2038" coordsize="40,64" path="m6164,2070l6124,2101,6164,2101,6164,2070xm6164,2038l6124,2038,6164,2070,6164,2038xe" filled="true" fillcolor="#4f81bc" stroked="false">
              <v:path arrowok="t"/>
              <v:fill type="solid"/>
            </v:shape>
            <v:shape style="position:absolute;left:3600;top:4548;width:105;height:90" coordorigin="3600,4548" coordsize="105,90" path="m6204,2101l6124,2038m6164,2038l6164,2101m6124,2101l6204,2038e" filled="false" stroked="true" strokeweight=".54811pt" strokecolor="#497dba">
              <v:path arrowok="t"/>
            </v:shape>
            <v:shape style="position:absolute;left:6347;top:2094;width:40;height:64" coordorigin="6347,2094" coordsize="40,64" path="m6387,2125l6347,2157,6387,2157,6387,2125xm6387,2094l6347,2094,6387,2125,6387,2094xe" filled="true" fillcolor="#4f81bc" stroked="false">
              <v:path arrowok="t"/>
              <v:fill type="solid"/>
            </v:shape>
            <v:shape style="position:absolute;left:3893;top:4627;width:105;height:90" coordorigin="3893,4627" coordsize="105,90" path="m6427,2157l6347,2094m6387,2094l6387,2157m6347,2157l6427,2094e" filled="false" stroked="true" strokeweight=".54811pt" strokecolor="#497dba">
              <v:path arrowok="t"/>
            </v:shape>
            <v:shape style="position:absolute;left:6569;top:2141;width:40;height:64" coordorigin="6569,2141" coordsize="40,64" path="m6609,2173l6569,2204,6609,2204,6609,2173xm6609,2141l6569,2141,6609,2173,6609,2141xe" filled="true" fillcolor="#4f81bc" stroked="false">
              <v:path arrowok="t"/>
              <v:fill type="solid"/>
            </v:shape>
            <v:shape style="position:absolute;left:4186;top:4695;width:105;height:91" coordorigin="4186,4695" coordsize="105,91" path="m6649,2204l6569,2141m6609,2141l6609,2204m6569,2204l6649,2141e" filled="false" stroked="true" strokeweight=".54811pt" strokecolor="#497dba">
              <v:path arrowok="t"/>
            </v:shape>
            <v:shape style="position:absolute;left:6792;top:2178;width:40;height:64" coordorigin="6792,2178" coordsize="40,64" path="m6832,2209l6792,2241,6832,2241,6832,2209xm6832,2178l6792,2178,6832,2209,6832,2178xe" filled="true" fillcolor="#4f81bc" stroked="false">
              <v:path arrowok="t"/>
              <v:fill type="solid"/>
            </v:shape>
            <v:shape style="position:absolute;left:4479;top:4747;width:105;height:91" coordorigin="4479,4747" coordsize="105,91" path="m6872,2241l6792,2178m6832,2178l6832,2241m6792,2241l6872,2178e" filled="false" stroked="true" strokeweight=".54811pt" strokecolor="#497dba">
              <v:path arrowok="t"/>
            </v:shape>
            <v:shape style="position:absolute;left:7015;top:2208;width:40;height:64" coordorigin="7015,2208" coordsize="40,64" path="m7054,2239l7015,2271,7054,2271,7054,2239xm7054,2208l7015,2208,7054,2239,7054,2208xe" filled="true" fillcolor="#4f81bc" stroked="false">
              <v:path arrowok="t"/>
              <v:fill type="solid"/>
            </v:shape>
            <v:shape style="position:absolute;left:4772;top:4790;width:105;height:90" coordorigin="4772,4790" coordsize="105,90" path="m7094,2271l7015,2208m7054,2208l7054,2271m7015,2271l7094,2208e" filled="false" stroked="true" strokeweight=".54811pt" strokecolor="#497dba">
              <v:path arrowok="t"/>
            </v:shape>
            <v:shape style="position:absolute;left:7237;top:2232;width:40;height:64" coordorigin="7237,2232" coordsize="40,64" path="m7277,2263l7237,2295,7277,2295,7277,2263xm7277,2232l7237,2232,7277,2263,7277,2232xe" filled="true" fillcolor="#4f81bc" stroked="false">
              <v:path arrowok="t"/>
              <v:fill type="solid"/>
            </v:shape>
            <v:shape style="position:absolute;left:5065;top:4824;width:105;height:90" coordorigin="5065,4824" coordsize="105,90" path="m7317,2295l7237,2232m7277,2232l7277,2295m7237,2295l7317,2232e" filled="false" stroked="true" strokeweight=".54811pt" strokecolor="#497dba">
              <v:path arrowok="t"/>
            </v:shape>
            <v:shape style="position:absolute;left:7460;top:2251;width:40;height:64" coordorigin="7460,2251" coordsize="40,64" path="m7499,2282l7460,2314,7499,2314,7499,2282xm7499,2251l7460,2251,7499,2282,7499,2251xe" filled="true" fillcolor="#4f81bc" stroked="false">
              <v:path arrowok="t"/>
              <v:fill type="solid"/>
            </v:shape>
            <v:shape style="position:absolute;left:5358;top:4851;width:105;height:90" coordorigin="5358,4851" coordsize="105,90" path="m7539,2314l7460,2251m7499,2251l7499,2314m7460,2314l7539,2251e" filled="false" stroked="true" strokeweight=".54811pt" strokecolor="#497dba">
              <v:path arrowok="t"/>
            </v:shape>
            <v:shape style="position:absolute;left:7682;top:2266;width:40;height:64" coordorigin="7682,2266" coordsize="40,64" path="m7722,2298l7682,2329,7722,2329,7722,2298xm7722,2266l7682,2266,7722,2298,7722,2266xe" filled="true" fillcolor="#4f81bc" stroked="false">
              <v:path arrowok="t"/>
              <v:fill type="solid"/>
            </v:shape>
            <v:shape style="position:absolute;left:5651;top:4873;width:105;height:90" coordorigin="5651,4873" coordsize="105,90" path="m7762,2329l7682,2266m7722,2266l7722,2329m7682,2329l7762,2266e" filled="false" stroked="true" strokeweight=".54811pt" strokecolor="#497dba">
              <v:path arrowok="t"/>
            </v:shape>
            <v:shape style="position:absolute;left:7905;top:2278;width:40;height:64" coordorigin="7905,2278" coordsize="40,64" path="m7945,2310l7905,2341,7945,2341,7945,2310xm7945,2278l7905,2278,7945,2310,7945,2278xe" filled="true" fillcolor="#4f81bc" stroked="false">
              <v:path arrowok="t"/>
              <v:fill type="solid"/>
            </v:shape>
            <v:shape style="position:absolute;left:5944;top:4890;width:105;height:90" coordorigin="5944,4890" coordsize="105,90" path="m7984,2341l7905,2278m7945,2278l7945,2341m7905,2341l7984,2278e" filled="false" stroked="true" strokeweight=".54811pt" strokecolor="#497dba">
              <v:path arrowok="t"/>
            </v:shape>
            <v:shape style="position:absolute;left:8127;top:2288;width:40;height:64" coordorigin="8127,2288" coordsize="40,64" path="m8167,2320l8127,2351,8167,2351,8167,2320xm8167,2288l8127,2288,8167,2320,8167,2288xe" filled="true" fillcolor="#4f81bc" stroked="false">
              <v:path arrowok="t"/>
              <v:fill type="solid"/>
            </v:shape>
            <v:shape style="position:absolute;left:6237;top:4905;width:105;height:90" coordorigin="6237,4905" coordsize="105,90" path="m8207,2351l8127,2288m8167,2288l8167,2351m8127,2351l8207,2288e" filled="false" stroked="true" strokeweight=".54811pt" strokecolor="#497dba">
              <v:path arrowok="t"/>
            </v:shape>
            <v:shape style="position:absolute;left:8350;top:2296;width:40;height:64" coordorigin="8350,2296" coordsize="40,64" path="m8390,2328l8350,2359,8390,2359,8390,2328xm8390,2296l8350,2296,8390,2328,8390,2296xe" filled="true" fillcolor="#4f81bc" stroked="false">
              <v:path arrowok="t"/>
              <v:fill type="solid"/>
            </v:shape>
            <v:shape style="position:absolute;left:6530;top:4916;width:105;height:90" coordorigin="6530,4916" coordsize="105,90" path="m8429,2359l8350,2296m8390,2296l8390,2359m8350,2359l8429,2296e" filled="false" stroked="true" strokeweight=".54811pt" strokecolor="#497dba">
              <v:path arrowok="t"/>
            </v:shape>
            <v:shape style="position:absolute;left:8572;top:2302;width:40;height:64" coordorigin="8572,2302" coordsize="40,64" path="m8612,2334l8572,2365,8612,2365,8612,2334xm8612,2302l8572,2302,8612,2334,8612,2302xe" filled="true" fillcolor="#4f81bc" stroked="false">
              <v:path arrowok="t"/>
              <v:fill type="solid"/>
            </v:shape>
            <v:shape style="position:absolute;left:6823;top:4925;width:105;height:90" coordorigin="6823,4925" coordsize="105,90" path="m8652,2365l8572,2302m8612,2302l8612,2365m8572,2365l8652,2302e" filled="false" stroked="true" strokeweight=".54811pt" strokecolor="#497dba">
              <v:path arrowok="t"/>
            </v:shape>
            <v:shape style="position:absolute;left:4376;top:1472;width:4226;height:873" coordorigin="4376,1472" coordsize="4226,873" path="m4376,1851l4604,1472,4820,1535,5048,1609,5265,1788,5493,1893,5709,2008,5937,2093,6153,2156,6381,2208,6609,2240,6825,2271,7053,2292,7269,2303,7497,2313,7714,2324,7941,2334,8158,2334,8386,2345,8602,2345e" filled="false" stroked="true" strokeweight="1.582254pt" strokecolor="#bd4a47">
              <v:path arrowok="t"/>
              <v:stroke dashstyle="longDash"/>
            </v:shape>
            <v:shape style="position:absolute;left:4313;top:225;width:4371;height:2169" type="#_x0000_t75" stroked="false">
              <v:imagedata r:id="rId312" o:title=""/>
            </v:shape>
            <v:shape style="position:absolute;left:7868;top:485;width:594;height:1077" type="#_x0000_t202" filled="false" stroked="false">
              <v:textbox inset="0,0,0,0">
                <w:txbxContent>
                  <w:p>
                    <w:pPr>
                      <w:spacing w:line="127" w:lineRule="exact" w:before="0"/>
                      <w:ind w:left="0" w:right="0" w:firstLine="0"/>
                      <w:jc w:val="both"/>
                      <w:rPr>
                        <w:rFonts w:ascii="Constantia"/>
                        <w:sz w:val="12"/>
                      </w:rPr>
                    </w:pPr>
                    <w:r>
                      <w:rPr>
                        <w:rFonts w:ascii="Constantia"/>
                        <w:w w:val="115"/>
                        <w:sz w:val="12"/>
                      </w:rPr>
                      <w:t>Modelo A</w:t>
                    </w:r>
                  </w:p>
                  <w:p>
                    <w:pPr>
                      <w:spacing w:line="310" w:lineRule="atLeast" w:before="6"/>
                      <w:ind w:left="0" w:right="0" w:firstLine="0"/>
                      <w:jc w:val="both"/>
                      <w:rPr>
                        <w:rFonts w:ascii="Constantia"/>
                        <w:sz w:val="12"/>
                      </w:rPr>
                    </w:pPr>
                    <w:r>
                      <w:rPr>
                        <w:rFonts w:ascii="Constantia"/>
                        <w:w w:val="115"/>
                        <w:sz w:val="12"/>
                      </w:rPr>
                      <w:t>Modelo B Modelo C Modelo</w:t>
                    </w:r>
                    <w:r>
                      <w:rPr>
                        <w:rFonts w:ascii="Constantia"/>
                        <w:spacing w:val="-5"/>
                        <w:w w:val="115"/>
                        <w:sz w:val="12"/>
                      </w:rPr>
                      <w:t> </w:t>
                    </w:r>
                    <w:r>
                      <w:rPr>
                        <w:rFonts w:ascii="Constantia"/>
                        <w:w w:val="115"/>
                        <w:sz w:val="12"/>
                      </w:rPr>
                      <w:t>D</w:t>
                    </w:r>
                  </w:p>
                </w:txbxContent>
              </v:textbox>
              <w10:wrap type="none"/>
            </v:shape>
            <v:shape style="position:absolute;left:4340;top:2523;width:4162;height:640" type="#_x0000_t202" filled="false" stroked="false">
              <v:textbox inset="0,0,0,0">
                <w:txbxContent>
                  <w:p>
                    <w:pPr>
                      <w:tabs>
                        <w:tab w:pos="434" w:val="left" w:leader="none"/>
                        <w:tab w:pos="880" w:val="left" w:leader="none"/>
                        <w:tab w:pos="1326" w:val="left" w:leader="none"/>
                        <w:tab w:pos="1760" w:val="left" w:leader="none"/>
                        <w:tab w:pos="2195" w:val="left" w:leader="none"/>
                        <w:tab w:pos="2630" w:val="left" w:leader="none"/>
                        <w:tab w:pos="3076" w:val="left" w:leader="none"/>
                        <w:tab w:pos="3522" w:val="left" w:leader="none"/>
                        <w:tab w:pos="3956" w:val="left" w:leader="none"/>
                      </w:tabs>
                      <w:spacing w:line="204" w:lineRule="exact" w:before="0"/>
                      <w:ind w:left="0" w:right="14" w:firstLine="0"/>
                      <w:jc w:val="right"/>
                      <w:rPr>
                        <w:rFonts w:ascii="Constantia"/>
                        <w:sz w:val="20"/>
                      </w:rPr>
                    </w:pPr>
                    <w:r>
                      <w:rPr>
                        <w:rFonts w:ascii="Constantia"/>
                        <w:w w:val="110"/>
                        <w:sz w:val="20"/>
                      </w:rPr>
                      <w:t>1</w:t>
                      <w:tab/>
                      <w:t>3</w:t>
                      <w:tab/>
                      <w:t>5</w:t>
                      <w:tab/>
                      <w:t>7</w:t>
                      <w:tab/>
                      <w:t>9</w:t>
                      <w:tab/>
                      <w:t>11</w:t>
                      <w:tab/>
                      <w:t>13</w:t>
                      <w:tab/>
                      <w:t>15</w:t>
                      <w:tab/>
                      <w:t>17</w:t>
                      <w:tab/>
                    </w:r>
                    <w:r>
                      <w:rPr>
                        <w:rFonts w:ascii="Constantia"/>
                        <w:w w:val="105"/>
                        <w:sz w:val="20"/>
                      </w:rPr>
                      <w:t>19</w:t>
                    </w:r>
                  </w:p>
                  <w:p>
                    <w:pPr>
                      <w:spacing w:line="240" w:lineRule="auto" w:before="11"/>
                      <w:rPr>
                        <w:sz w:val="16"/>
                      </w:rPr>
                    </w:pPr>
                  </w:p>
                  <w:p>
                    <w:pPr>
                      <w:spacing w:line="240" w:lineRule="exact" w:before="0"/>
                      <w:ind w:left="0" w:right="0" w:firstLine="0"/>
                      <w:jc w:val="right"/>
                      <w:rPr>
                        <w:rFonts w:ascii="Constantia"/>
                        <w:sz w:val="20"/>
                      </w:rPr>
                    </w:pPr>
                    <w:r>
                      <w:rPr>
                        <w:rFonts w:ascii="Constantia"/>
                        <w:w w:val="105"/>
                        <w:sz w:val="20"/>
                      </w:rPr>
                      <w:t>Trimestre</w:t>
                    </w:r>
                  </w:p>
                </w:txbxContent>
              </v:textbox>
              <w10:wrap type="none"/>
            </v:shape>
            <w10:wrap type="none"/>
          </v:group>
        </w:pict>
      </w:r>
      <w:r>
        <w:rPr>
          <w:rFonts w:ascii="Constantia"/>
          <w:w w:val="110"/>
          <w:sz w:val="22"/>
        </w:rPr>
        <w:t>0.02</w:t>
      </w:r>
    </w:p>
    <w:p>
      <w:pPr>
        <w:pStyle w:val="BodyText"/>
        <w:spacing w:before="5"/>
        <w:rPr>
          <w:rFonts w:ascii="Constantia"/>
          <w:sz w:val="17"/>
        </w:rPr>
      </w:pPr>
    </w:p>
    <w:p>
      <w:pPr>
        <w:spacing w:before="57"/>
        <w:ind w:left="1886" w:right="0" w:firstLine="0"/>
        <w:jc w:val="left"/>
        <w:rPr>
          <w:rFonts w:ascii="Constantia"/>
          <w:sz w:val="22"/>
        </w:rPr>
      </w:pPr>
      <w:r>
        <w:rPr>
          <w:rFonts w:ascii="Constantia"/>
          <w:w w:val="110"/>
          <w:sz w:val="22"/>
        </w:rPr>
        <w:t>0.02</w:t>
      </w:r>
    </w:p>
    <w:p>
      <w:pPr>
        <w:pStyle w:val="BodyText"/>
        <w:spacing w:before="5"/>
        <w:rPr>
          <w:rFonts w:ascii="Constantia"/>
          <w:sz w:val="17"/>
        </w:rPr>
      </w:pPr>
    </w:p>
    <w:p>
      <w:pPr>
        <w:spacing w:before="57"/>
        <w:ind w:left="1928" w:right="0" w:firstLine="0"/>
        <w:jc w:val="left"/>
        <w:rPr>
          <w:rFonts w:ascii="Constantia"/>
          <w:sz w:val="22"/>
        </w:rPr>
      </w:pPr>
      <w:r>
        <w:rPr>
          <w:rFonts w:ascii="Constantia"/>
          <w:w w:val="110"/>
          <w:sz w:val="22"/>
        </w:rPr>
        <w:t>0.01</w:t>
      </w:r>
    </w:p>
    <w:p>
      <w:pPr>
        <w:pStyle w:val="BodyText"/>
        <w:spacing w:before="5"/>
        <w:rPr>
          <w:rFonts w:ascii="Constantia"/>
          <w:sz w:val="17"/>
        </w:rPr>
      </w:pPr>
    </w:p>
    <w:p>
      <w:pPr>
        <w:spacing w:before="57"/>
        <w:ind w:left="1928" w:right="0" w:firstLine="0"/>
        <w:jc w:val="left"/>
        <w:rPr>
          <w:rFonts w:ascii="Constantia"/>
          <w:sz w:val="22"/>
        </w:rPr>
      </w:pPr>
      <w:r>
        <w:rPr>
          <w:rFonts w:ascii="Constantia"/>
          <w:w w:val="110"/>
          <w:sz w:val="22"/>
        </w:rPr>
        <w:t>0.01</w:t>
      </w:r>
    </w:p>
    <w:p>
      <w:pPr>
        <w:pStyle w:val="BodyText"/>
        <w:spacing w:before="5"/>
        <w:rPr>
          <w:rFonts w:ascii="Constantia"/>
          <w:sz w:val="17"/>
        </w:rPr>
      </w:pPr>
    </w:p>
    <w:p>
      <w:pPr>
        <w:spacing w:before="57"/>
        <w:ind w:left="1878" w:right="0" w:firstLine="0"/>
        <w:jc w:val="left"/>
        <w:rPr>
          <w:rFonts w:ascii="Constantia"/>
          <w:sz w:val="22"/>
        </w:rPr>
      </w:pPr>
      <w:r>
        <w:rPr>
          <w:rFonts w:ascii="Constantia"/>
          <w:w w:val="110"/>
          <w:sz w:val="22"/>
        </w:rPr>
        <w:t>0.00</w:t>
      </w:r>
    </w:p>
    <w:p>
      <w:pPr>
        <w:pStyle w:val="BodyText"/>
        <w:spacing w:before="5"/>
        <w:rPr>
          <w:rFonts w:ascii="Constantia"/>
          <w:sz w:val="17"/>
        </w:rPr>
      </w:pPr>
    </w:p>
    <w:p>
      <w:pPr>
        <w:spacing w:before="57"/>
        <w:ind w:left="1839" w:right="0" w:firstLine="0"/>
        <w:jc w:val="left"/>
        <w:rPr>
          <w:rFonts w:ascii="Constantia"/>
          <w:sz w:val="22"/>
        </w:rPr>
      </w:pPr>
      <w:r>
        <w:rPr>
          <w:rFonts w:ascii="Constantia"/>
          <w:w w:val="110"/>
          <w:sz w:val="22"/>
        </w:rPr>
        <w:t>-0.01</w:t>
      </w:r>
    </w:p>
    <w:p>
      <w:pPr>
        <w:pStyle w:val="BodyText"/>
        <w:spacing w:before="5"/>
        <w:rPr>
          <w:rFonts w:ascii="Constantia"/>
          <w:sz w:val="17"/>
        </w:rPr>
      </w:pPr>
    </w:p>
    <w:p>
      <w:pPr>
        <w:spacing w:before="57"/>
        <w:ind w:left="1839" w:right="0" w:firstLine="0"/>
        <w:jc w:val="left"/>
        <w:rPr>
          <w:rFonts w:ascii="Constantia"/>
          <w:sz w:val="22"/>
        </w:rPr>
      </w:pPr>
      <w:r>
        <w:rPr>
          <w:rFonts w:ascii="Constantia"/>
          <w:w w:val="110"/>
          <w:sz w:val="22"/>
        </w:rPr>
        <w:t>-0.01</w:t>
      </w:r>
    </w:p>
    <w:p>
      <w:pPr>
        <w:spacing w:before="39"/>
        <w:ind w:left="1054" w:right="0" w:firstLine="0"/>
        <w:jc w:val="left"/>
        <w:rPr>
          <w:sz w:val="20"/>
        </w:rPr>
      </w:pPr>
      <w:r>
        <w:rPr>
          <w:sz w:val="20"/>
        </w:rPr>
        <w:t>Estimaciones mediante funciones de impulso-respuesta en su definición estructural.</w:t>
      </w:r>
    </w:p>
    <w:p>
      <w:pPr>
        <w:spacing w:after="0"/>
        <w:jc w:val="left"/>
        <w:rPr>
          <w:sz w:val="20"/>
        </w:rPr>
        <w:sectPr>
          <w:type w:val="continuous"/>
          <w:pgSz w:w="12250" w:h="15850"/>
          <w:pgMar w:top="1500" w:bottom="280" w:left="1720" w:right="1720"/>
        </w:sectPr>
      </w:pPr>
    </w:p>
    <w:p>
      <w:pPr>
        <w:pStyle w:val="BodyText"/>
        <w:spacing w:before="7"/>
        <w:rPr>
          <w:sz w:val="10"/>
        </w:rPr>
      </w:pPr>
    </w:p>
    <w:p>
      <w:pPr>
        <w:pStyle w:val="Heading4"/>
        <w:spacing w:before="69"/>
        <w:ind w:left="0" w:right="17" w:firstLine="0"/>
        <w:jc w:val="center"/>
      </w:pPr>
      <w:r>
        <w:rPr/>
        <w:t>c)  Dinámica de la Asignación de Ing. Fisc. No Gasíferos al gasto corriente</w:t>
      </w:r>
    </w:p>
    <w:p>
      <w:pPr>
        <w:pStyle w:val="BodyText"/>
        <w:spacing w:before="132"/>
        <w:ind w:right="18"/>
        <w:jc w:val="center"/>
      </w:pPr>
      <w:r>
        <w:rPr/>
        <w:t>Respuesta de la razón Gasto Corriente/Ingresos fiscales no gasíferos</w:t>
      </w:r>
    </w:p>
    <w:p>
      <w:pPr>
        <w:pStyle w:val="BodyText"/>
        <w:spacing w:before="139"/>
        <w:ind w:right="16"/>
        <w:jc w:val="center"/>
      </w:pPr>
      <w:r>
        <w:rPr/>
        <w:t>A un choque positivo en la razón Gasto de capital/Ingresos fiscales gasíferos</w:t>
      </w:r>
    </w:p>
    <w:p>
      <w:pPr>
        <w:pStyle w:val="BodyText"/>
        <w:spacing w:before="5"/>
        <w:rPr>
          <w:sz w:val="15"/>
        </w:rPr>
      </w:pPr>
    </w:p>
    <w:p>
      <w:pPr>
        <w:spacing w:before="67"/>
        <w:ind w:left="0" w:right="4252" w:firstLine="0"/>
        <w:jc w:val="center"/>
        <w:rPr>
          <w:rFonts w:ascii="Constantia"/>
          <w:sz w:val="19"/>
        </w:rPr>
      </w:pPr>
      <w:r>
        <w:rPr/>
        <w:pict>
          <v:group style="position:absolute;margin-left:216.238174pt;margin-top:9.214787pt;width:211.45pt;height:120.95pt;mso-position-horizontal-relative:page;mso-position-vertical-relative:paragraph;z-index:12808" coordorigin="4325,184" coordsize="4229,2419">
            <v:shape style="position:absolute;left:1170;top:8131;width:5865;height:3863" coordorigin="1170,8131" coordsize="5865,3863" path="m4404,2598l8543,2598m4399,2294l8548,2294m4399,1994l8548,1994m4399,1695l8548,1695m4399,1396l8548,1396m4399,1097l8548,1097m4399,489l8548,489m4399,189l8548,189e" filled="false" stroked="true" strokeweight=".499128pt" strokecolor="#858585">
              <v:path arrowok="t"/>
              <v:stroke dashstyle="dash"/>
            </v:shape>
            <v:shape style="position:absolute;left:1073;top:8139;width:5956;height:3855" coordorigin="1073,8139" coordsize="5956,3855" path="m4404,2598l4404,194m4330,2598l4404,2598m4330,2298l4404,2298m4330,1990l4404,1990m4330,1691l4404,1691m4330,1391l4404,1391m4330,1092l4404,1092m4330,793l4404,793m4330,493l4404,493m4330,194l4404,194m4404,793l8543,793m4404,793l4404,849m4606,793l4606,849m4818,793l4818,849m5019,793l5019,849m5232,793l5232,849m5433,793l5433,849m5646,793l5646,849m5858,793l5858,849m6060,793l6060,849m6272,793l6272,849m6473,793l6473,849m6686,793l6686,849m6887,793l6887,849m7100,793l7100,849m7301,793l7301,849m7513,793l7513,849m7715,793l7715,849m7927,793l7927,849m8129,793l8129,849m8341,793l8341,849m8543,793l8543,849e" filled="false" stroked="true" strokeweight=".499128pt" strokecolor="#858585">
              <v:path arrowok="t"/>
            </v:shape>
            <v:shape style="position:absolute;left:4510;top:802;width:3938;height:1151" coordorigin="4510,802" coordsize="3938,1151" path="m4510,852l4528,953,4546,1064,4564,1182,4573,1242,4582,1302,4591,1362,4600,1422,4618,1537,4636,1646,4654,1743,4672,1826,4690,1890,4717,1946,4730,1952,4742,1946,4778,1868,4803,1778,4827,1671,4851,1557,4864,1501,4888,1397,4912,1312,4954,1220,5013,1126,5073,1058,5132,1006,5184,974,5287,949,5339,939,5443,915,5546,897,5650,886,5702,882,5753,878,5857,868,5961,860,6064,854,6168,848,6220,845,6323,840,6427,836,6530,832,6634,828,6738,825,6841,822,6945,819,7049,817,7152,815,7256,813,7359,812,7463,810,7567,809,7670,808,7774,807,7877,806,7981,805,8033,804,8085,804,8136,804,8188,803,8240,803,8292,803,8344,802,8395,802,8447,802e" filled="false" stroked="true" strokeweight="1.417813pt" strokecolor="#000000">
              <v:path arrowok="t"/>
            </v:shape>
            <v:shape style="position:absolute;left:4510;top:662;width:3938;height:1553" coordorigin="4510,662" coordsize="3938,1553" path="m4510,662l4712,2214,4924,1429,5126,1073,5338,1055,5540,914,5752,914,5953,858,6166,849,6367,830,6580,821,6781,811,6993,811,7206,802,7407,802,7620,802,7821,802,8033,802,8235,793,8447,793e" filled="false" stroked="true" strokeweight="1.42837pt" strokecolor="#497dba">
              <v:path arrowok="t"/>
            </v:shape>
            <v:shape style="position:absolute;left:4440;top:680;width:4079;height:1444" type="#_x0000_t75" stroked="false">
              <v:imagedata r:id="rId313" o:title=""/>
            </v:shape>
            <v:line style="position:absolute" from="7460,2280" to="7821,2280" stroked="true" strokeweight="1.402955pt" strokecolor="#497dba"/>
            <v:line style="position:absolute" from="7460,2560" to="7821,2560" stroked="true" strokeweight="1.402955pt" strokecolor="#97b853">
              <v:stroke dashstyle="longDash"/>
            </v:line>
            <v:shape style="position:absolute;left:7609;top:2523;width:64;height:66" coordorigin="7609,2523" coordsize="64,66" path="m7641,2523l7628,2525,7618,2532,7611,2543,7609,2556,7611,2568,7618,2579,7628,2586,7641,2588,7653,2586,7663,2579,7670,2568,7673,2556,7670,2543,7663,2532,7653,2525,7641,2523xe" filled="true" fillcolor="#9bba58" stroked="false">
              <v:path arrowok="t"/>
              <v:fill type="solid"/>
            </v:shape>
            <v:shape style="position:absolute;left:7609;top:2523;width:64;height:66" coordorigin="7609,2523" coordsize="64,66" path="m7673,2556l7670,2568,7663,2579,7653,2586,7641,2588,7628,2586,7618,2579,7611,2568,7609,2556,7611,2543,7618,2532,7628,2525,7641,2523,7653,2525,7663,2532,7670,2543,7673,2556xe" filled="false" stroked="true" strokeweight=".500004pt" strokecolor="#97b853">
              <v:path arrowok="t"/>
            </v:shape>
            <v:shape style="position:absolute;left:4325;top:185;width:4228;height:2419" type="#_x0000_t202" filled="false" stroked="false">
              <v:textbox inset="0,0,0,0">
                <w:txbxContent>
                  <w:p>
                    <w:pPr>
                      <w:spacing w:line="240" w:lineRule="auto" w:before="0"/>
                      <w:rPr>
                        <w:sz w:val="18"/>
                      </w:rPr>
                    </w:pPr>
                  </w:p>
                  <w:p>
                    <w:pPr>
                      <w:spacing w:line="240" w:lineRule="auto" w:before="0"/>
                      <w:rPr>
                        <w:sz w:val="18"/>
                      </w:rPr>
                    </w:pPr>
                  </w:p>
                  <w:p>
                    <w:pPr>
                      <w:spacing w:line="240" w:lineRule="auto" w:before="6"/>
                      <w:rPr>
                        <w:sz w:val="26"/>
                      </w:rPr>
                    </w:pPr>
                  </w:p>
                  <w:p>
                    <w:pPr>
                      <w:tabs>
                        <w:tab w:pos="404" w:val="left" w:leader="none"/>
                        <w:tab w:pos="820" w:val="left" w:leader="none"/>
                        <w:tab w:pos="1235" w:val="left" w:leader="none"/>
                        <w:tab w:pos="1640" w:val="left" w:leader="none"/>
                        <w:tab w:pos="2045" w:val="left" w:leader="none"/>
                        <w:tab w:pos="2450" w:val="left" w:leader="none"/>
                        <w:tab w:pos="2866" w:val="left" w:leader="none"/>
                        <w:tab w:pos="3281" w:val="left" w:leader="none"/>
                        <w:tab w:pos="3686" w:val="left" w:leader="none"/>
                      </w:tabs>
                      <w:spacing w:before="0"/>
                      <w:ind w:left="0" w:right="219" w:firstLine="0"/>
                      <w:jc w:val="right"/>
                      <w:rPr>
                        <w:rFonts w:ascii="Constantia"/>
                        <w:sz w:val="18"/>
                      </w:rPr>
                    </w:pPr>
                    <w:r>
                      <w:rPr>
                        <w:rFonts w:ascii="Constantia"/>
                        <w:w w:val="110"/>
                        <w:sz w:val="18"/>
                      </w:rPr>
                      <w:t>1</w:t>
                      <w:tab/>
                      <w:t>3</w:t>
                      <w:tab/>
                      <w:t>5</w:t>
                      <w:tab/>
                      <w:t>7</w:t>
                      <w:tab/>
                      <w:t>9</w:t>
                      <w:tab/>
                      <w:t>11</w:t>
                      <w:tab/>
                      <w:t>13</w:t>
                      <w:tab/>
                      <w:t>15</w:t>
                      <w:tab/>
                      <w:t>17</w:t>
                      <w:tab/>
                      <w:t>19</w:t>
                    </w:r>
                  </w:p>
                  <w:p>
                    <w:pPr>
                      <w:spacing w:line="240" w:lineRule="auto" w:before="0"/>
                      <w:rPr>
                        <w:sz w:val="23"/>
                      </w:rPr>
                    </w:pPr>
                  </w:p>
                  <w:p>
                    <w:pPr>
                      <w:spacing w:before="1"/>
                      <w:ind w:left="0" w:right="251" w:firstLine="0"/>
                      <w:jc w:val="right"/>
                      <w:rPr>
                        <w:rFonts w:ascii="Constantia"/>
                        <w:sz w:val="18"/>
                      </w:rPr>
                    </w:pPr>
                    <w:r>
                      <w:rPr>
                        <w:rFonts w:ascii="Constantia"/>
                        <w:w w:val="110"/>
                        <w:sz w:val="18"/>
                      </w:rPr>
                      <w:t>Trimestre</w:t>
                    </w:r>
                  </w:p>
                  <w:p>
                    <w:pPr>
                      <w:spacing w:line="240" w:lineRule="auto" w:before="0"/>
                      <w:rPr>
                        <w:sz w:val="18"/>
                      </w:rPr>
                    </w:pPr>
                  </w:p>
                  <w:p>
                    <w:pPr>
                      <w:spacing w:before="107"/>
                      <w:ind w:left="0" w:right="93" w:firstLine="0"/>
                      <w:jc w:val="right"/>
                      <w:rPr>
                        <w:rFonts w:ascii="Constantia"/>
                        <w:sz w:val="12"/>
                      </w:rPr>
                    </w:pPr>
                    <w:r>
                      <w:rPr>
                        <w:rFonts w:ascii="Constantia"/>
                        <w:w w:val="115"/>
                        <w:sz w:val="12"/>
                      </w:rPr>
                      <w:t>Modelo A</w:t>
                    </w:r>
                  </w:p>
                  <w:p>
                    <w:pPr>
                      <w:spacing w:line="240" w:lineRule="auto" w:before="10"/>
                      <w:rPr>
                        <w:sz w:val="11"/>
                      </w:rPr>
                    </w:pPr>
                  </w:p>
                  <w:p>
                    <w:pPr>
                      <w:spacing w:before="0"/>
                      <w:ind w:left="0" w:right="103" w:firstLine="0"/>
                      <w:jc w:val="right"/>
                      <w:rPr>
                        <w:rFonts w:ascii="Constantia"/>
                        <w:sz w:val="12"/>
                      </w:rPr>
                    </w:pPr>
                    <w:r>
                      <w:rPr>
                        <w:rFonts w:ascii="Constantia"/>
                        <w:w w:val="115"/>
                        <w:sz w:val="12"/>
                      </w:rPr>
                      <w:t>Modelo B</w:t>
                    </w:r>
                  </w:p>
                  <w:p>
                    <w:pPr>
                      <w:spacing w:line="240" w:lineRule="auto" w:before="9"/>
                      <w:rPr>
                        <w:sz w:val="11"/>
                      </w:rPr>
                    </w:pPr>
                  </w:p>
                  <w:p>
                    <w:pPr>
                      <w:tabs>
                        <w:tab w:pos="405" w:val="left" w:leader="none"/>
                      </w:tabs>
                      <w:spacing w:line="113" w:lineRule="exact" w:before="0"/>
                      <w:ind w:left="0" w:right="96" w:firstLine="0"/>
                      <w:jc w:val="right"/>
                      <w:rPr>
                        <w:rFonts w:ascii="Constantia"/>
                        <w:sz w:val="12"/>
                      </w:rPr>
                    </w:pPr>
                    <w:r>
                      <w:rPr>
                        <w:rFonts w:ascii="Constantia"/>
                        <w:w w:val="115"/>
                        <w:sz w:val="12"/>
                      </w:rPr>
                      <w:t> </w:t>
                    </w:r>
                    <w:r>
                      <w:rPr>
                        <w:rFonts w:ascii="Constantia"/>
                        <w:sz w:val="12"/>
                      </w:rPr>
                      <w:tab/>
                    </w:r>
                    <w:r>
                      <w:rPr>
                        <w:rFonts w:ascii="Constantia"/>
                        <w:w w:val="115"/>
                        <w:sz w:val="12"/>
                      </w:rPr>
                      <w:t>Modelo</w:t>
                    </w:r>
                    <w:r>
                      <w:rPr>
                        <w:rFonts w:ascii="Constantia"/>
                        <w:spacing w:val="3"/>
                        <w:w w:val="115"/>
                        <w:sz w:val="12"/>
                      </w:rPr>
                      <w:t> </w:t>
                    </w:r>
                    <w:r>
                      <w:rPr>
                        <w:rFonts w:ascii="Constantia"/>
                        <w:w w:val="115"/>
                        <w:sz w:val="12"/>
                      </w:rPr>
                      <w:t>C</w:t>
                    </w:r>
                  </w:p>
                </w:txbxContent>
              </v:textbox>
              <w10:wrap type="none"/>
            </v:shape>
            <w10:wrap type="none"/>
          </v:group>
        </w:pict>
      </w:r>
      <w:r>
        <w:rPr>
          <w:rFonts w:ascii="Constantia"/>
          <w:w w:val="120"/>
          <w:sz w:val="19"/>
        </w:rPr>
        <w:t>0.01</w:t>
      </w:r>
    </w:p>
    <w:p>
      <w:pPr>
        <w:spacing w:before="69"/>
        <w:ind w:left="0" w:right="4252" w:firstLine="0"/>
        <w:jc w:val="center"/>
        <w:rPr>
          <w:rFonts w:ascii="Constantia"/>
          <w:sz w:val="19"/>
        </w:rPr>
      </w:pPr>
      <w:r>
        <w:rPr>
          <w:rFonts w:ascii="Constantia"/>
          <w:w w:val="120"/>
          <w:sz w:val="19"/>
        </w:rPr>
        <w:t>0.01</w:t>
      </w:r>
    </w:p>
    <w:p>
      <w:pPr>
        <w:spacing w:before="69"/>
        <w:ind w:left="2178" w:right="127" w:firstLine="0"/>
        <w:jc w:val="left"/>
        <w:rPr>
          <w:rFonts w:ascii="Constantia"/>
          <w:sz w:val="19"/>
        </w:rPr>
      </w:pPr>
      <w:r>
        <w:rPr>
          <w:rFonts w:ascii="Constantia"/>
          <w:w w:val="120"/>
          <w:sz w:val="19"/>
        </w:rPr>
        <w:t>0.00</w:t>
      </w:r>
    </w:p>
    <w:p>
      <w:pPr>
        <w:spacing w:before="69"/>
        <w:ind w:left="2141" w:right="127" w:firstLine="0"/>
        <w:jc w:val="left"/>
        <w:rPr>
          <w:rFonts w:ascii="Constantia"/>
          <w:sz w:val="19"/>
        </w:rPr>
      </w:pPr>
      <w:r>
        <w:rPr>
          <w:rFonts w:ascii="Constantia"/>
          <w:w w:val="115"/>
          <w:sz w:val="19"/>
        </w:rPr>
        <w:t>-0.01</w:t>
      </w:r>
    </w:p>
    <w:p>
      <w:pPr>
        <w:spacing w:before="69"/>
        <w:ind w:left="2141" w:right="127" w:firstLine="0"/>
        <w:jc w:val="left"/>
        <w:rPr>
          <w:rFonts w:ascii="Constantia"/>
          <w:sz w:val="19"/>
        </w:rPr>
      </w:pPr>
      <w:r>
        <w:rPr>
          <w:rFonts w:ascii="Constantia"/>
          <w:w w:val="115"/>
          <w:sz w:val="19"/>
        </w:rPr>
        <w:t>-0.01</w:t>
      </w:r>
    </w:p>
    <w:p>
      <w:pPr>
        <w:spacing w:before="69"/>
        <w:ind w:left="0" w:right="4374" w:firstLine="0"/>
        <w:jc w:val="center"/>
        <w:rPr>
          <w:rFonts w:ascii="Constantia"/>
          <w:sz w:val="19"/>
        </w:rPr>
      </w:pPr>
      <w:r>
        <w:rPr>
          <w:rFonts w:ascii="Constantia"/>
          <w:w w:val="115"/>
          <w:sz w:val="19"/>
        </w:rPr>
        <w:t>-0.02</w:t>
      </w:r>
    </w:p>
    <w:p>
      <w:pPr>
        <w:spacing w:before="69"/>
        <w:ind w:left="0" w:right="4374" w:firstLine="0"/>
        <w:jc w:val="center"/>
        <w:rPr>
          <w:rFonts w:ascii="Constantia"/>
          <w:sz w:val="19"/>
        </w:rPr>
      </w:pPr>
      <w:r>
        <w:rPr>
          <w:rFonts w:ascii="Constantia"/>
          <w:w w:val="120"/>
          <w:sz w:val="19"/>
        </w:rPr>
        <w:t>-0.02</w:t>
      </w:r>
    </w:p>
    <w:p>
      <w:pPr>
        <w:spacing w:before="69"/>
        <w:ind w:left="0" w:right="4377" w:firstLine="0"/>
        <w:jc w:val="center"/>
        <w:rPr>
          <w:rFonts w:ascii="Constantia"/>
          <w:sz w:val="19"/>
        </w:rPr>
      </w:pPr>
      <w:r>
        <w:rPr>
          <w:rFonts w:ascii="Constantia"/>
          <w:w w:val="120"/>
          <w:sz w:val="19"/>
        </w:rPr>
        <w:t>-0.03</w:t>
      </w:r>
    </w:p>
    <w:p>
      <w:pPr>
        <w:spacing w:before="69"/>
        <w:ind w:left="0" w:right="4377" w:firstLine="0"/>
        <w:jc w:val="center"/>
        <w:rPr>
          <w:rFonts w:ascii="Constantia"/>
          <w:sz w:val="19"/>
        </w:rPr>
      </w:pPr>
      <w:r>
        <w:rPr>
          <w:rFonts w:ascii="Constantia"/>
          <w:w w:val="120"/>
          <w:sz w:val="19"/>
        </w:rPr>
        <w:t>-0.03</w:t>
      </w:r>
    </w:p>
    <w:p>
      <w:pPr>
        <w:spacing w:before="64"/>
        <w:ind w:left="0" w:right="2192" w:firstLine="0"/>
        <w:jc w:val="right"/>
        <w:rPr>
          <w:rFonts w:ascii="Constantia"/>
          <w:sz w:val="12"/>
        </w:rPr>
      </w:pPr>
      <w:r>
        <w:rPr/>
        <w:pict>
          <v:group style="position:absolute;margin-left:372.29483pt;margin-top:4.968434pt;width:19.5pt;height:3.35pt;mso-position-horizontal-relative:page;mso-position-vertical-relative:paragraph;z-index:12832" coordorigin="7446,99" coordsize="390,67">
            <v:line style="position:absolute" from="7460,132" to="7821,132" stroked="true" strokeweight="1.402955pt" strokecolor="#7c5f9f">
              <v:stroke dashstyle="longDash"/>
            </v:line>
            <v:line style="position:absolute" from="7609,132" to="7673,132" stroked="true" strokeweight="2.80591pt" strokecolor="#8063a1"/>
            <v:rect style="position:absolute;left:7609;top:104;width:64;height:56" filled="false" stroked="true" strokeweight=".495174pt" strokecolor="#7c5f9f"/>
            <w10:wrap type="none"/>
          </v:group>
        </w:pict>
      </w:r>
      <w:r>
        <w:rPr>
          <w:rFonts w:ascii="Constantia"/>
          <w:w w:val="115"/>
          <w:sz w:val="12"/>
        </w:rPr>
        <w:t>Modelo D</w:t>
      </w:r>
    </w:p>
    <w:p>
      <w:pPr>
        <w:pStyle w:val="BodyText"/>
        <w:spacing w:before="11"/>
        <w:rPr>
          <w:rFonts w:ascii="Constantia"/>
          <w:sz w:val="11"/>
        </w:rPr>
      </w:pPr>
    </w:p>
    <w:p>
      <w:pPr>
        <w:spacing w:before="74"/>
        <w:ind w:left="1174" w:right="127" w:firstLine="0"/>
        <w:jc w:val="left"/>
        <w:rPr>
          <w:sz w:val="20"/>
        </w:rPr>
      </w:pPr>
      <w:r>
        <w:rPr>
          <w:sz w:val="20"/>
        </w:rPr>
        <w:t>Estimaciones mediante funciones de impulso-respuesta en su definición estructural.</w:t>
      </w:r>
    </w:p>
    <w:p>
      <w:pPr>
        <w:pStyle w:val="BodyText"/>
        <w:rPr>
          <w:sz w:val="20"/>
        </w:rPr>
      </w:pPr>
    </w:p>
    <w:p>
      <w:pPr>
        <w:pStyle w:val="BodyText"/>
        <w:spacing w:before="1"/>
        <w:rPr>
          <w:sz w:val="28"/>
        </w:rPr>
      </w:pPr>
    </w:p>
    <w:p>
      <w:pPr>
        <w:pStyle w:val="BodyText"/>
        <w:spacing w:line="360" w:lineRule="auto"/>
        <w:ind w:left="102" w:right="119" w:firstLine="707"/>
        <w:jc w:val="both"/>
      </w:pPr>
      <w:r>
        <w:rPr/>
        <w:t>El efecto promedio de un choque positivo en los precios del gas natural fue una mejora de los resultados fiscales (balance primario, balance global y balance global cíclicamente ajustado) y presentó su mayor impacto un trimestre después de haber ocurrido el choque; sin embargo, el efecto de los choques de precios sobre el balance primario no gasífero se aproximó a cero [</w:t>
      </w:r>
      <w:r>
        <w:rPr>
          <w:i/>
        </w:rPr>
        <w:t>figura 4.8, inciso a) al d)</w:t>
      </w:r>
      <w:r>
        <w:rPr/>
        <w:t>].</w:t>
      </w:r>
    </w:p>
    <w:p>
      <w:pPr>
        <w:pStyle w:val="BodyText"/>
        <w:spacing w:line="360" w:lineRule="auto" w:before="6"/>
        <w:ind w:left="102" w:right="117" w:firstLine="707"/>
        <w:jc w:val="both"/>
      </w:pPr>
      <w:r>
        <w:rPr/>
        <w:t>Un choque positivo en las razones de gasto de capital/ Ingresos fiscales gasíferos (Asignac. De Ing. Fisc. Gasíferos) y gasto corriente/ Ing. Fisc. No Gasíferos (Asignac. De Ing. Fisc. No gasíferos) el mayor impacto, en promedio fue un deterioro de las distintas mediciones de resultados fiscales. La convergencia de los choques a cero fue de corto  plazo.</w:t>
      </w:r>
    </w:p>
    <w:p>
      <w:pPr>
        <w:spacing w:after="0" w:line="360" w:lineRule="auto"/>
        <w:jc w:val="both"/>
        <w:sectPr>
          <w:pgSz w:w="12250" w:h="15850"/>
          <w:pgMar w:header="0" w:footer="1037" w:top="1500" w:bottom="1220" w:left="1600" w:right="1580"/>
        </w:sectPr>
      </w:pPr>
    </w:p>
    <w:p>
      <w:pPr>
        <w:pStyle w:val="BodyText"/>
        <w:spacing w:before="5"/>
        <w:rPr>
          <w:sz w:val="10"/>
        </w:rPr>
      </w:pPr>
    </w:p>
    <w:p>
      <w:pPr>
        <w:pStyle w:val="Heading4"/>
        <w:spacing w:before="69"/>
        <w:ind w:left="0" w:right="16" w:firstLine="0"/>
        <w:jc w:val="center"/>
      </w:pPr>
      <w:bookmarkStart w:name="_bookmark132" w:id="181"/>
      <w:bookmarkEnd w:id="181"/>
      <w:r>
        <w:rPr>
          <w:b w:val="0"/>
        </w:rPr>
      </w:r>
      <w:r>
        <w:rPr/>
        <w:t>Figura 4. 8: Respuesta estructural de los distintas mediciones de resultado fiscal</w:t>
      </w:r>
    </w:p>
    <w:p>
      <w:pPr>
        <w:pStyle w:val="BodyText"/>
        <w:spacing w:before="6"/>
        <w:rPr>
          <w:b/>
          <w:sz w:val="23"/>
        </w:rPr>
      </w:pPr>
    </w:p>
    <w:p>
      <w:pPr>
        <w:pStyle w:val="BodyText"/>
        <w:ind w:right="21"/>
        <w:jc w:val="center"/>
      </w:pPr>
      <w:r>
        <w:rPr/>
        <w:t>Impulso-respuesta frente a una desviación estándar de choque estructural</w:t>
      </w:r>
    </w:p>
    <w:p>
      <w:pPr>
        <w:pStyle w:val="BodyText"/>
      </w:pPr>
    </w:p>
    <w:p>
      <w:pPr>
        <w:pStyle w:val="BodyText"/>
        <w:spacing w:before="4"/>
      </w:pPr>
    </w:p>
    <w:p>
      <w:pPr>
        <w:pStyle w:val="Heading4"/>
        <w:tabs>
          <w:tab w:pos="5633" w:val="left" w:leader="none"/>
        </w:tabs>
        <w:spacing w:before="1"/>
        <w:ind w:left="881" w:right="501" w:hanging="780"/>
      </w:pPr>
      <w:r>
        <w:rPr/>
        <w:t>a) Respuesta del balance fiscal primario b)  Respuesta del balance fiscal primario no gasífero</w:t>
      </w:r>
      <w:r>
        <w:rPr>
          <w:spacing w:val="-2"/>
        </w:rPr>
        <w:t> </w:t>
      </w:r>
      <w:r>
        <w:rPr/>
        <w:t>(Modelo</w:t>
      </w:r>
      <w:r>
        <w:rPr>
          <w:spacing w:val="-1"/>
        </w:rPr>
        <w:t> </w:t>
      </w:r>
      <w:r>
        <w:rPr/>
        <w:t>A)</w:t>
        <w:tab/>
        <w:t>(Modelo</w:t>
      </w:r>
      <w:r>
        <w:rPr>
          <w:spacing w:val="-4"/>
        </w:rPr>
        <w:t> </w:t>
      </w:r>
      <w:r>
        <w:rPr/>
        <w:t>B)</w:t>
      </w:r>
    </w:p>
    <w:p>
      <w:pPr>
        <w:tabs>
          <w:tab w:pos="4848" w:val="left" w:leader="none"/>
        </w:tabs>
        <w:spacing w:before="96"/>
        <w:ind w:left="441" w:right="127" w:firstLine="0"/>
        <w:jc w:val="left"/>
        <w:rPr>
          <w:rFonts w:ascii="Constantia"/>
          <w:sz w:val="20"/>
        </w:rPr>
      </w:pPr>
      <w:r>
        <w:rPr/>
        <w:pict>
          <v:group style="position:absolute;margin-left:122.785019pt;margin-top:10.963037pt;width:175.55pt;height:138.15pt;mso-position-horizontal-relative:page;mso-position-vertical-relative:paragraph;z-index:-559240" coordorigin="2456,219" coordsize="3511,2763">
            <v:shape style="position:absolute;left:1170;top:7464;width:5865;height:4358" coordorigin="1170,7464" coordsize="5865,4358" path="m2522,2976l5957,2976m2518,2433l5961,2433m2518,1875l5961,1875m2518,778l5961,778m2518,229l5961,229e" filled="false" stroked="true" strokeweight=".456618pt" strokecolor="#858585">
              <v:path arrowok="t"/>
              <v:stroke dashstyle="dash"/>
            </v:shape>
            <v:shape style="position:absolute;left:1073;top:7456;width:5956;height:4366" coordorigin="1073,7456" coordsize="5956,4366" path="m2522,2976l2522,224m2461,2976l2522,2976m2461,2428l2522,2428m2461,1879l2522,1879m2461,1331l2522,1331m2461,782l2522,782m2461,224l2522,224m2522,1331l5957,1331m2522,1331l2522,1388m2690,1331l2690,1388m2866,1331l2866,1388m3033,1331l3033,1388m3209,1331l3209,1388m3377,1331l3377,1388m3553,1331l3553,1388m3729,1331l3729,1388m3896,1331l3896,1388m4072,1331l4072,1388m4240,1331l4240,1388m4416,1331l4416,1388m4583,1331l4583,1388m4759,1331l4759,1388m4927,1331l4927,1388m5103,1331l5103,1388m5270,1331l5270,1388m5446,1331l5446,1388m5614,1331l5614,1388m5790,1331l5790,1388m5957,1331l5957,1388e" filled="false" stroked="true" strokeweight=".456618pt" strokecolor="#858585">
              <v:path arrowok="t"/>
            </v:shape>
            <v:shape style="position:absolute;left:2610;top:1255;width:3268;height:132" coordorigin="2610,1255" coordsize="3268,132" path="m2610,1255l2653,1265,2696,1275,2739,1286,2782,1298,2825,1316,2868,1336,2911,1355,2997,1378,3083,1386,3126,1387,3169,1386,3212,1383,3255,1379,3298,1376,3341,1374,3384,1373,3427,1371,3470,1370,3513,1367,3556,1365,3599,1363,3642,1360,3685,1359,3728,1357,3771,1356,3814,1355,3857,1353,3900,1352,3943,1350,4029,1348,4115,1346,4201,1344,4287,1342,4373,1341,4459,1339,4502,1339,4545,1338,4631,1337,4717,1336,4760,1336,4803,1335,4846,1335,4889,1334,4932,1334,4975,1334,5061,1333,5147,1333,5233,1332,5276,1332,5362,1331,5448,1331,5534,1331,5577,1331,5620,1330,5663,1330,5706,1330,5749,1330,5792,1330,5835,1330,5878,1330e" filled="false" stroked="true" strokeweight="1.41850pt" strokecolor="#497dba">
              <v:path arrowok="t"/>
            </v:shape>
            <v:line style="position:absolute" from="2580,1259" to="2641,1259" stroked="true" strokeweight="2.837316pt" strokecolor="#4f81bc"/>
            <v:rect style="position:absolute;left:2580;top:1230;width:62;height:57" filled="false" stroked="true" strokeweight=".458421pt" strokecolor="#497dba"/>
            <v:line style="position:absolute" from="2752,1305" to="2813,1305" stroked="true" strokeweight="2.837316pt" strokecolor="#4f81bc"/>
            <v:rect style="position:absolute;left:2752;top:1276;width:62;height:57" filled="false" stroked="true" strokeweight=".458421pt" strokecolor="#497dba"/>
            <v:line style="position:absolute" from="2924,1381" to="2986,1381" stroked="true" strokeweight="2.837316pt" strokecolor="#4f81bc"/>
            <v:rect style="position:absolute;left:2924;top:1352;width:62;height:57" filled="false" stroked="true" strokeweight=".458421pt" strokecolor="#497dba"/>
            <v:line style="position:absolute" from="3096,1399" to="3158,1399" stroked="true" strokeweight="2.837316pt" strokecolor="#4f81bc"/>
            <v:rect style="position:absolute;left:3096;top:1370;width:62;height:57" filled="false" stroked="true" strokeweight=".458421pt" strokecolor="#497dba"/>
            <v:line style="position:absolute" from="3268,1387" to="3330,1387" stroked="true" strokeweight="2.837316pt" strokecolor="#4f81bc"/>
            <v:rect style="position:absolute;left:3268;top:1359;width:62;height:57" filled="false" stroked="true" strokeweight=".458421pt" strokecolor="#497dba"/>
            <v:line style="position:absolute" from="3440,1380" to="3502,1380" stroked="true" strokeweight="2.837316pt" strokecolor="#4f81bc"/>
            <v:rect style="position:absolute;left:3440;top:1352;width:62;height:57" filled="false" stroked="true" strokeweight=".458421pt" strokecolor="#497dba"/>
            <v:line style="position:absolute" from="3612,1371" to="3674,1371" stroked="true" strokeweight="2.837316pt" strokecolor="#4f81bc"/>
            <v:rect style="position:absolute;left:3612;top:1342;width:62;height:57" filled="false" stroked="true" strokeweight=".458421pt" strokecolor="#497dba"/>
            <v:line style="position:absolute" from="3784,1365" to="3846,1365" stroked="true" strokeweight="2.837316pt" strokecolor="#4f81bc"/>
            <v:rect style="position:absolute;left:3784;top:1336;width:62;height:57" filled="false" stroked="true" strokeweight=".458421pt" strokecolor="#497dba"/>
            <v:line style="position:absolute" from="3956,1359" to="4018,1359" stroked="true" strokeweight="2.837316pt" strokecolor="#4f81bc"/>
            <v:rect style="position:absolute;left:3956;top:1330;width:62;height:57" filled="false" stroked="true" strokeweight=".458421pt" strokecolor="#497dba"/>
            <v:line style="position:absolute" from="4128,1354" to="4190,1354" stroked="true" strokeweight="2.837316pt" strokecolor="#4f81bc"/>
            <v:rect style="position:absolute;left:4128;top:1326;width:62;height:57" filled="false" stroked="true" strokeweight=".458421pt" strokecolor="#497dba"/>
            <v:line style="position:absolute" from="4300,1351" to="4362,1351" stroked="true" strokeweight="2.837316pt" strokecolor="#4f81bc"/>
            <v:rect style="position:absolute;left:4300;top:1322;width:62;height:57" filled="false" stroked="true" strokeweight=".458421pt" strokecolor="#497dba"/>
            <v:line style="position:absolute" from="4473,1348" to="4534,1348" stroked="true" strokeweight="2.837316pt" strokecolor="#4f81bc"/>
            <v:rect style="position:absolute;left:4473;top:1319;width:62;height:57" filled="false" stroked="true" strokeweight=".458421pt" strokecolor="#497dba"/>
            <v:line style="position:absolute" from="4645,1345" to="4706,1345" stroked="true" strokeweight="2.837316pt" strokecolor="#4f81bc"/>
            <v:rect style="position:absolute;left:4645;top:1317;width:62;height:57" filled="false" stroked="true" strokeweight=".458421pt" strokecolor="#497dba"/>
            <v:line style="position:absolute" from="4817,1344" to="4878,1344" stroked="true" strokeweight="2.837316pt" strokecolor="#4f81bc"/>
            <v:rect style="position:absolute;left:4817;top:1315;width:62;height:57" filled="false" stroked="true" strokeweight=".458421pt" strokecolor="#497dba"/>
            <v:line style="position:absolute" from="4989,1342" to="5050,1342" stroked="true" strokeweight="2.837316pt" strokecolor="#4f81bc"/>
            <v:rect style="position:absolute;left:4989;top:1314;width:62;height:57" filled="false" stroked="true" strokeweight=".458421pt" strokecolor="#497dba"/>
            <v:line style="position:absolute" from="5161,1341" to="5222,1341" stroked="true" strokeweight="2.837316pt" strokecolor="#4f81bc"/>
            <v:rect style="position:absolute;left:5161;top:1313;width:62;height:57" filled="false" stroked="true" strokeweight=".458421pt" strokecolor="#497dba"/>
            <v:line style="position:absolute" from="5333,1340" to="5394,1340" stroked="true" strokeweight="2.837316pt" strokecolor="#4f81bc"/>
            <v:rect style="position:absolute;left:5333;top:1312;width:62;height:57" filled="false" stroked="true" strokeweight=".458421pt" strokecolor="#497dba"/>
            <v:line style="position:absolute" from="5505,1339" to="5567,1339" stroked="true" strokeweight="2.837316pt" strokecolor="#4f81bc"/>
            <v:rect style="position:absolute;left:5505;top:1311;width:62;height:57" filled="false" stroked="true" strokeweight=".458421pt" strokecolor="#497dba"/>
            <v:line style="position:absolute" from="5677,1339" to="5739,1339" stroked="true" strokeweight="2.837316pt" strokecolor="#4f81bc"/>
            <v:rect style="position:absolute;left:5677;top:1310;width:62;height:57" filled="false" stroked="true" strokeweight=".458421pt" strokecolor="#497dba"/>
            <v:line style="position:absolute" from="5849,1338" to="5911,1338" stroked="true" strokeweight="2.837316pt" strokecolor="#4f81bc"/>
            <v:rect style="position:absolute;left:5849;top:1310;width:62;height:57" filled="false" stroked="true" strokeweight=".458421pt" strokecolor="#497dba"/>
            <v:shape style="position:absolute;left:2610;top:849;width:3268;height:1030" coordorigin="2610,849" coordsize="3268,1030" path="m2610,1879l2628,1773,2645,1657,2653,1597,2662,1536,2671,1475,2679,1414,2688,1353,2705,1237,2722,1128,2739,1032,2757,953,2774,893,2814,849,2829,864,2845,892,2861,930,2876,974,2892,1021,2907,1067,2939,1145,2997,1212,3083,1261,3169,1290,3255,1300,3298,1304,3384,1310,3470,1314,3556,1316,3599,1317,3642,1317,3728,1319,3814,1320,3900,1321,3986,1322,4072,1322,4115,1323,4158,1323,4201,1323,4244,1324,4287,1324,4330,1324,4373,1324,4416,1325,4459,1325,4502,1325,4545,1325,4588,1326,4631,1326,4674,1326,4717,1326,4760,1326,4803,1326,4846,1326,4889,1326,4932,1327,4975,1327,5018,1327,5061,1327,5104,1327,5147,1327,5190,1327,5233,1327,5276,1327,5319,1327,5362,1328,5405,1328,5448,1328,5491,1328,5534,1328,5577,1328,5620,1328,5663,1328,5706,1328,5749,1328,5792,1328,5835,1328,5878,1328e" filled="false" stroked="true" strokeweight="1.409836pt" strokecolor="#bd4a47">
              <v:path arrowok="t"/>
            </v:shape>
            <v:shape style="position:absolute;left:2610;top:1325;width:3268;height:1586" coordorigin="2610,1325" coordsize="3268,1586" path="m2610,2910l2622,2809,2634,2703,2646,2593,2658,2480,2670,2367,2676,2310,2688,2197,2699,2087,2711,1980,2723,1878,2735,1782,2747,1693,2759,1613,2771,1543,2782,1484,2846,1405,2930,1384,2954,1379,3040,1347,3126,1329,3169,1326,3212,1328,3255,1331,3298,1332,3341,1331,3384,1329,3427,1327,3470,1326,3513,1326,3556,1326,3599,1327,3642,1328,3685,1327,3728,1327,3771,1326,3814,1326,3857,1326,3900,1326,3943,1326,3986,1326,4029,1326,4072,1326,4115,1326,4158,1326,4201,1326,4244,1326,4287,1326,4330,1326,4373,1326,4416,1326,4459,1326,4502,1326,4545,1325,4588,1325,4631,1325,4674,1325,4717,1325,4760,1325,4803,1325,4846,1325,4889,1325,4932,1325,4975,1325,5018,1325,5061,1325,5104,1325,5147,1325,5190,1325,5233,1325,5534,1325,5577,1325,5620,1325,5663,1325,5706,1325,5749,1325,5792,1325,5835,1325,5878,1325e" filled="false" stroked="true" strokeweight="1.40006pt" strokecolor="#ff0000">
              <v:path arrowok="t"/>
              <v:stroke dashstyle="longDash"/>
            </v:shape>
            <v:line style="position:absolute" from="3024,2343" to="3315,2343" stroked="true" strokeweight="1.418658pt" strokecolor="#497dba"/>
            <v:line style="position:absolute" from="3139,2338" to="3200,2338" stroked="true" strokeweight="3.310201pt" strokecolor="#4f81bc"/>
            <v:rect style="position:absolute;left:3139;top:2305;width:62;height:66" filled="false" stroked="true" strokeweight=".45546pt" strokecolor="#497dba"/>
            <v:line style="position:absolute" from="3024,2778" to="3315,2778" stroked="true" strokeweight="1.418658pt" strokecolor="#ff0000">
              <v:stroke dashstyle="longDash"/>
            </v:line>
            <v:shape style="position:absolute;left:2456;top:220;width:3511;height:2762" type="#_x0000_t202" filled="false" stroked="false">
              <v:textbox inset="0,0,0,0">
                <w:txbxContent>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5"/>
                      <w:rPr>
                        <w:sz w:val="16"/>
                      </w:rPr>
                    </w:pPr>
                  </w:p>
                  <w:p>
                    <w:pPr>
                      <w:tabs>
                        <w:tab w:pos="335" w:val="left" w:leader="none"/>
                        <w:tab w:pos="680" w:val="left" w:leader="none"/>
                        <w:tab w:pos="1025" w:val="left" w:leader="none"/>
                        <w:tab w:pos="1361" w:val="left" w:leader="none"/>
                        <w:tab w:pos="1697" w:val="left" w:leader="none"/>
                        <w:tab w:pos="2033" w:val="left" w:leader="none"/>
                        <w:tab w:pos="2378" w:val="left" w:leader="none"/>
                        <w:tab w:pos="2723" w:val="left" w:leader="none"/>
                        <w:tab w:pos="3059" w:val="left" w:leader="none"/>
                      </w:tabs>
                      <w:spacing w:before="0"/>
                      <w:ind w:left="0" w:right="182" w:firstLine="0"/>
                      <w:jc w:val="right"/>
                      <w:rPr>
                        <w:rFonts w:ascii="Constantia"/>
                        <w:sz w:val="18"/>
                      </w:rPr>
                    </w:pPr>
                    <w:r>
                      <w:rPr>
                        <w:rFonts w:ascii="Constantia"/>
                        <w:sz w:val="18"/>
                      </w:rPr>
                      <w:t>1</w:t>
                      <w:tab/>
                      <w:t>3</w:t>
                      <w:tab/>
                      <w:t>5</w:t>
                      <w:tab/>
                      <w:t>7</w:t>
                      <w:tab/>
                      <w:t>9</w:t>
                      <w:tab/>
                      <w:t>11</w:t>
                      <w:tab/>
                      <w:t>13</w:t>
                      <w:tab/>
                      <w:t>15</w:t>
                      <w:tab/>
                      <w:t>17</w:t>
                      <w:tab/>
                    </w:r>
                    <w:r>
                      <w:rPr>
                        <w:rFonts w:ascii="Constantia"/>
                        <w:spacing w:val="-1"/>
                        <w:w w:val="90"/>
                        <w:sz w:val="18"/>
                      </w:rPr>
                      <w:t>19</w:t>
                    </w:r>
                  </w:p>
                  <w:p>
                    <w:pPr>
                      <w:spacing w:before="47"/>
                      <w:ind w:left="0" w:right="195" w:firstLine="0"/>
                      <w:jc w:val="right"/>
                      <w:rPr>
                        <w:rFonts w:ascii="Constantia"/>
                        <w:sz w:val="18"/>
                      </w:rPr>
                    </w:pPr>
                    <w:r>
                      <w:rPr>
                        <w:rFonts w:ascii="Constantia"/>
                        <w:w w:val="90"/>
                        <w:sz w:val="18"/>
                      </w:rPr>
                      <w:t>Trimestre</w:t>
                    </w:r>
                  </w:p>
                  <w:p>
                    <w:pPr>
                      <w:spacing w:line="240" w:lineRule="auto" w:before="0"/>
                      <w:rPr>
                        <w:sz w:val="18"/>
                      </w:rPr>
                    </w:pPr>
                  </w:p>
                  <w:p>
                    <w:pPr>
                      <w:tabs>
                        <w:tab w:pos="896" w:val="left" w:leader="none"/>
                      </w:tabs>
                      <w:spacing w:before="132"/>
                      <w:ind w:left="568" w:right="0" w:firstLine="0"/>
                      <w:jc w:val="left"/>
                      <w:rPr>
                        <w:rFonts w:ascii="Constantia"/>
                        <w:sz w:val="12"/>
                      </w:rPr>
                    </w:pPr>
                    <w:r>
                      <w:rPr>
                        <w:rFonts w:ascii="Constantia"/>
                        <w:w w:val="92"/>
                        <w:position w:val="-10"/>
                        <w:sz w:val="20"/>
                        <w:u w:val="thick" w:color="BD4A47"/>
                      </w:rPr>
                      <w:t> </w:t>
                    </w:r>
                    <w:r>
                      <w:rPr>
                        <w:rFonts w:ascii="Constantia"/>
                        <w:position w:val="-10"/>
                        <w:sz w:val="20"/>
                        <w:u w:val="thick" w:color="BD4A47"/>
                      </w:rPr>
                      <w:tab/>
                    </w:r>
                    <w:r>
                      <w:rPr>
                        <w:rFonts w:ascii="Constantia"/>
                        <w:spacing w:val="-3"/>
                        <w:sz w:val="12"/>
                      </w:rPr>
                      <w:t>Choque</w:t>
                    </w:r>
                    <w:r>
                      <w:rPr>
                        <w:rFonts w:ascii="Constantia"/>
                        <w:spacing w:val="-14"/>
                        <w:sz w:val="12"/>
                      </w:rPr>
                      <w:t> </w:t>
                    </w:r>
                    <w:r>
                      <w:rPr>
                        <w:rFonts w:ascii="Constantia"/>
                        <w:spacing w:val="-4"/>
                        <w:sz w:val="12"/>
                      </w:rPr>
                      <w:t>de</w:t>
                    </w:r>
                    <w:r>
                      <w:rPr>
                        <w:rFonts w:ascii="Constantia"/>
                        <w:spacing w:val="-14"/>
                        <w:sz w:val="12"/>
                      </w:rPr>
                      <w:t> </w:t>
                    </w:r>
                    <w:r>
                      <w:rPr>
                        <w:rFonts w:ascii="Constantia"/>
                        <w:spacing w:val="-3"/>
                        <w:sz w:val="12"/>
                      </w:rPr>
                      <w:t>precios</w:t>
                    </w:r>
                    <w:r>
                      <w:rPr>
                        <w:rFonts w:ascii="Constantia"/>
                        <w:spacing w:val="-4"/>
                        <w:sz w:val="12"/>
                      </w:rPr>
                      <w:t> del</w:t>
                    </w:r>
                    <w:r>
                      <w:rPr>
                        <w:rFonts w:ascii="Constantia"/>
                        <w:spacing w:val="-11"/>
                        <w:sz w:val="12"/>
                      </w:rPr>
                      <w:t> </w:t>
                    </w:r>
                    <w:r>
                      <w:rPr>
                        <w:rFonts w:ascii="Constantia"/>
                        <w:sz w:val="12"/>
                      </w:rPr>
                      <w:t>gas</w:t>
                    </w:r>
                    <w:r>
                      <w:rPr>
                        <w:rFonts w:ascii="Constantia"/>
                        <w:spacing w:val="-14"/>
                        <w:sz w:val="12"/>
                      </w:rPr>
                      <w:t> </w:t>
                    </w:r>
                    <w:r>
                      <w:rPr>
                        <w:rFonts w:ascii="Constantia"/>
                        <w:spacing w:val="-3"/>
                        <w:sz w:val="12"/>
                      </w:rPr>
                      <w:t>natural</w:t>
                    </w:r>
                  </w:p>
                  <w:p>
                    <w:pPr>
                      <w:spacing w:before="73"/>
                      <w:ind w:left="808" w:right="451" w:firstLine="0"/>
                      <w:jc w:val="center"/>
                      <w:rPr>
                        <w:rFonts w:ascii="Constantia" w:hAnsi="Constantia"/>
                        <w:sz w:val="12"/>
                      </w:rPr>
                    </w:pPr>
                    <w:r>
                      <w:rPr>
                        <w:rFonts w:ascii="Constantia" w:hAnsi="Constantia"/>
                        <w:sz w:val="12"/>
                      </w:rPr>
                      <w:t>Choque de Asignac. De Ing. Fisc. Gasíferos</w:t>
                    </w:r>
                  </w:p>
                  <w:p>
                    <w:pPr>
                      <w:tabs>
                        <w:tab w:pos="896" w:val="left" w:leader="none"/>
                      </w:tabs>
                      <w:spacing w:before="74"/>
                      <w:ind w:left="568" w:right="0" w:firstLine="0"/>
                      <w:jc w:val="left"/>
                      <w:rPr>
                        <w:rFonts w:ascii="Constantia" w:hAnsi="Constantia"/>
                        <w:sz w:val="12"/>
                      </w:rPr>
                    </w:pPr>
                    <w:r>
                      <w:rPr>
                        <w:rFonts w:ascii="Constantia" w:hAnsi="Constantia"/>
                        <w:w w:val="95"/>
                        <w:sz w:val="12"/>
                      </w:rPr>
                      <w:t> </w:t>
                    </w:r>
                    <w:r>
                      <w:rPr>
                        <w:rFonts w:ascii="Constantia" w:hAnsi="Constantia"/>
                        <w:sz w:val="12"/>
                      </w:rPr>
                      <w:tab/>
                    </w:r>
                    <w:r>
                      <w:rPr>
                        <w:rFonts w:ascii="Constantia" w:hAnsi="Constantia"/>
                        <w:spacing w:val="-3"/>
                        <w:sz w:val="12"/>
                      </w:rPr>
                      <w:t>Choque</w:t>
                    </w:r>
                    <w:r>
                      <w:rPr>
                        <w:rFonts w:ascii="Constantia" w:hAnsi="Constantia"/>
                        <w:spacing w:val="-18"/>
                        <w:sz w:val="12"/>
                      </w:rPr>
                      <w:t> </w:t>
                    </w:r>
                    <w:r>
                      <w:rPr>
                        <w:rFonts w:ascii="Constantia" w:hAnsi="Constantia"/>
                        <w:spacing w:val="-3"/>
                        <w:sz w:val="12"/>
                      </w:rPr>
                      <w:t>de</w:t>
                    </w:r>
                    <w:r>
                      <w:rPr>
                        <w:rFonts w:ascii="Constantia" w:hAnsi="Constantia"/>
                        <w:spacing w:val="-18"/>
                        <w:sz w:val="12"/>
                      </w:rPr>
                      <w:t> </w:t>
                    </w:r>
                    <w:r>
                      <w:rPr>
                        <w:rFonts w:ascii="Constantia" w:hAnsi="Constantia"/>
                        <w:sz w:val="12"/>
                      </w:rPr>
                      <w:t>Asignac.</w:t>
                    </w:r>
                    <w:r>
                      <w:rPr>
                        <w:rFonts w:ascii="Constantia" w:hAnsi="Constantia"/>
                        <w:spacing w:val="-14"/>
                        <w:sz w:val="12"/>
                      </w:rPr>
                      <w:t> </w:t>
                    </w:r>
                    <w:r>
                      <w:rPr>
                        <w:rFonts w:ascii="Constantia" w:hAnsi="Constantia"/>
                        <w:sz w:val="12"/>
                      </w:rPr>
                      <w:t>De</w:t>
                    </w:r>
                    <w:r>
                      <w:rPr>
                        <w:rFonts w:ascii="Constantia" w:hAnsi="Constantia"/>
                        <w:spacing w:val="-18"/>
                        <w:sz w:val="12"/>
                      </w:rPr>
                      <w:t> </w:t>
                    </w:r>
                    <w:r>
                      <w:rPr>
                        <w:rFonts w:ascii="Constantia" w:hAnsi="Constantia"/>
                        <w:sz w:val="12"/>
                      </w:rPr>
                      <w:t>Ing.</w:t>
                    </w:r>
                    <w:r>
                      <w:rPr>
                        <w:rFonts w:ascii="Constantia" w:hAnsi="Constantia"/>
                        <w:spacing w:val="-18"/>
                        <w:sz w:val="12"/>
                      </w:rPr>
                      <w:t> </w:t>
                    </w:r>
                    <w:r>
                      <w:rPr>
                        <w:rFonts w:ascii="Constantia" w:hAnsi="Constantia"/>
                        <w:spacing w:val="-3"/>
                        <w:sz w:val="12"/>
                      </w:rPr>
                      <w:t>Fisc.</w:t>
                    </w:r>
                    <w:r>
                      <w:rPr>
                        <w:rFonts w:ascii="Constantia" w:hAnsi="Constantia"/>
                        <w:spacing w:val="-18"/>
                        <w:sz w:val="12"/>
                      </w:rPr>
                      <w:t> </w:t>
                    </w:r>
                    <w:r>
                      <w:rPr>
                        <w:rFonts w:ascii="Constantia" w:hAnsi="Constantia"/>
                        <w:sz w:val="12"/>
                      </w:rPr>
                      <w:t>No</w:t>
                    </w:r>
                    <w:r>
                      <w:rPr>
                        <w:rFonts w:ascii="Constantia" w:hAnsi="Constantia"/>
                        <w:spacing w:val="-17"/>
                        <w:sz w:val="12"/>
                      </w:rPr>
                      <w:t> </w:t>
                    </w:r>
                    <w:r>
                      <w:rPr>
                        <w:rFonts w:ascii="Constantia" w:hAnsi="Constantia"/>
                        <w:spacing w:val="-4"/>
                        <w:sz w:val="12"/>
                      </w:rPr>
                      <w:t>Gasíferos</w:t>
                    </w:r>
                  </w:p>
                </w:txbxContent>
              </v:textbox>
              <w10:wrap type="none"/>
            </v:shape>
            <w10:wrap type="none"/>
          </v:group>
        </w:pict>
      </w:r>
      <w:r>
        <w:rPr/>
        <w:pict>
          <v:group style="position:absolute;margin-left:342.83963pt;margin-top:11.202633pt;width:173.1pt;height:138.35pt;mso-position-horizontal-relative:page;mso-position-vertical-relative:paragraph;z-index:12928" coordorigin="6857,224" coordsize="3462,2767">
            <v:shape style="position:absolute;left:1170;top:7464;width:5865;height:4373" coordorigin="1170,7464" coordsize="5865,4373" path="m6923,2986l10309,2986m6918,2433l10313,2433m6918,1884l10313,1884m6918,778l10313,778m6918,229l10313,229e" filled="false" stroked="true" strokeweight=".453503pt" strokecolor="#858585">
              <v:path arrowok="t"/>
              <v:stroke dashstyle="dash"/>
            </v:shape>
            <v:shape style="position:absolute;left:1073;top:7471;width:5956;height:4366" coordorigin="1073,7471" coordsize="5956,4366" path="m6923,2986l6923,234m6862,2986l6923,2986m6862,2428l6923,2428m6862,1879l6923,1879m6862,1331l6923,1331m6862,782l6923,782m6862,234l6923,234m6923,1331l10309,1331m6923,1331l6923,1388m7088,1331l7088,1388m7261,1331l7261,1388m7426,1331l7426,1388m7600,1331l7600,1388m7765,1331l7765,1388m7938,1331l7938,1388m8112,1331l8112,1388m8277,1331l8277,1388m8451,1331l8451,1388m8616,1331l8616,1388m8789,1331l8789,1388m8954,1331l8954,1388m9128,1331l9128,1388m9293,1331l9293,1388m9467,1331l9467,1388m9632,1331l9632,1388m9805,1331l9805,1388m9970,1331l9970,1388m10144,1331l10144,1388m10309,1331l10309,1388e" filled="false" stroked="true" strokeweight=".453503pt" strokecolor="#858585">
              <v:path arrowok="t"/>
            </v:shape>
            <v:shape style="position:absolute;left:7009;top:905;width:3222;height:426" coordorigin="7009,905" coordsize="3222,426" path="m7009,905l7052,930,7094,953,7137,978,7179,1007,7213,1035,7247,1066,7281,1099,7315,1129,7348,1153,7391,1172,7433,1185,7476,1194,7518,1204,7603,1226,7687,1245,7772,1258,7857,1268,7942,1277,8027,1285,8111,1291,8196,1297,8281,1302,8366,1306,8450,1309,8535,1312,8620,1315,8705,1317,8790,1319,8874,1321,8917,1322,8959,1322,9001,1323,9044,1324,9086,1324,9171,1325,9256,1326,9298,1327,9341,1327,9425,1328,9510,1328,9552,1328,9595,1329,9680,1329,9764,1329,9849,1330,9892,1330,9934,1330,9976,1330,10019,1330,10061,1330,10103,1331,10146,1331,10188,1331,10231,1331e" filled="false" stroked="true" strokeweight="1.416663pt" strokecolor="#497dba">
              <v:path arrowok="t"/>
            </v:shape>
            <v:line style="position:absolute" from="6979,913" to="7040,913" stroked="true" strokeweight="3.310138pt" strokecolor="#4f81bc"/>
            <v:rect style="position:absolute;left:6979;top:880;width:61;height:66" filled="false" stroked="true" strokeweight=".452302pt" strokecolor="#497dba"/>
            <v:line style="position:absolute" from="7149,1013" to="7210,1013" stroked="true" strokeweight="3.310138pt" strokecolor="#4f81bc"/>
            <v:rect style="position:absolute;left:7149;top:980;width:61;height:66" filled="false" stroked="true" strokeweight=".452302pt" strokecolor="#497dba"/>
            <v:line style="position:absolute" from="7318,1158" to="7379,1158" stroked="true" strokeweight="3.310138pt" strokecolor="#4f81bc"/>
            <v:rect style="position:absolute;left:7318;top:1125;width:61;height:66" filled="false" stroked="true" strokeweight=".452302pt" strokecolor="#497dba"/>
            <v:line style="position:absolute" from="7488,1209" to="7549,1209" stroked="true" strokeweight="3.310138pt" strokecolor="#4f81bc"/>
            <v:rect style="position:absolute;left:7488;top:1176;width:61;height:66" filled="false" stroked="true" strokeweight=".452302pt" strokecolor="#497dba"/>
            <v:line style="position:absolute" from="7658,1249" to="7718,1249" stroked="true" strokeweight="3.310138pt" strokecolor="#4f81bc"/>
            <v:rect style="position:absolute;left:7658;top:1216;width:61;height:66" filled="false" stroked="true" strokeweight=".452302pt" strokecolor="#497dba"/>
            <v:line style="position:absolute" from="7827,1272" to="7888,1272" stroked="true" strokeweight="3.310138pt" strokecolor="#4f81bc"/>
            <v:rect style="position:absolute;left:7827;top:1239;width:61;height:66" filled="false" stroked="true" strokeweight=".452302pt" strokecolor="#497dba"/>
            <v:line style="position:absolute" from="7997,1289" to="8058,1289" stroked="true" strokeweight="3.310138pt" strokecolor="#4f81bc"/>
            <v:rect style="position:absolute;left:7997;top:1256;width:61;height:66" filled="false" stroked="true" strokeweight=".452302pt" strokecolor="#497dba"/>
            <v:line style="position:absolute" from="8167,1301" to="8227,1301" stroked="true" strokeweight="3.310138pt" strokecolor="#4f81bc"/>
            <v:rect style="position:absolute;left:8167;top:1268;width:61;height:66" filled="false" stroked="true" strokeweight=".452302pt" strokecolor="#497dba"/>
            <v:line style="position:absolute" from="8336,1310" to="8397,1310" stroked="true" strokeweight="3.310138pt" strokecolor="#4f81bc"/>
            <v:rect style="position:absolute;left:8336;top:1277;width:61;height:66" filled="false" stroked="true" strokeweight=".452302pt" strokecolor="#497dba"/>
            <v:line style="position:absolute" from="8506,1317" to="8567,1317" stroked="true" strokeweight="3.310138pt" strokecolor="#4f81bc"/>
            <v:rect style="position:absolute;left:8506;top:1283;width:61;height:66" filled="false" stroked="true" strokeweight=".452302pt" strokecolor="#497dba"/>
            <v:line style="position:absolute" from="8675,1321" to="8736,1321" stroked="true" strokeweight="3.310138pt" strokecolor="#4f81bc"/>
            <v:rect style="position:absolute;left:8675;top:1288;width:61;height:66" filled="false" stroked="true" strokeweight=".452302pt" strokecolor="#497dba"/>
            <v:line style="position:absolute" from="8845,1325" to="8906,1325" stroked="true" strokeweight="3.310138pt" strokecolor="#4f81bc"/>
            <v:rect style="position:absolute;left:8845;top:1292;width:61;height:66" filled="false" stroked="true" strokeweight=".452302pt" strokecolor="#497dba"/>
            <v:line style="position:absolute" from="9015,1328" to="9076,1328" stroked="true" strokeweight="3.310138pt" strokecolor="#4f81bc"/>
            <v:rect style="position:absolute;left:9015;top:1295;width:61;height:66" filled="false" stroked="true" strokeweight=".452302pt" strokecolor="#497dba"/>
            <v:line style="position:absolute" from="9184,1330" to="9245,1330" stroked="true" strokeweight="3.310138pt" strokecolor="#4f81bc"/>
            <v:rect style="position:absolute;left:9184;top:1297;width:61;height:66" filled="false" stroked="true" strokeweight=".452302pt" strokecolor="#497dba"/>
            <v:line style="position:absolute" from="9354,1331" to="9415,1331" stroked="true" strokeweight="3.310138pt" strokecolor="#4f81bc"/>
            <v:rect style="position:absolute;left:9354;top:1298;width:61;height:66" filled="false" stroked="true" strokeweight=".452302pt" strokecolor="#497dba"/>
            <v:line style="position:absolute" from="9524,1333" to="9584,1333" stroked="true" strokeweight="3.310138pt" strokecolor="#4f81bc"/>
            <v:rect style="position:absolute;left:9524;top:1299;width:61;height:66" filled="false" stroked="true" strokeweight=".452302pt" strokecolor="#497dba"/>
            <v:line style="position:absolute" from="9693,1333" to="9754,1333" stroked="true" strokeweight="3.310138pt" strokecolor="#4f81bc"/>
            <v:rect style="position:absolute;left:9693;top:1300;width:61;height:66" filled="false" stroked="true" strokeweight=".452302pt" strokecolor="#497dba"/>
            <v:line style="position:absolute" from="9863,1334" to="9924,1334" stroked="true" strokeweight="3.310138pt" strokecolor="#4f81bc"/>
            <v:rect style="position:absolute;left:9863;top:1301;width:61;height:66" filled="false" stroked="true" strokeweight=".452302pt" strokecolor="#497dba"/>
            <v:line style="position:absolute" from="10033,1335" to="10093,1335" stroked="true" strokeweight="3.310138pt" strokecolor="#4f81bc"/>
            <v:rect style="position:absolute;left:10033;top:1301;width:61;height:66" filled="false" stroked="true" strokeweight=".452302pt" strokecolor="#497dba"/>
            <v:line style="position:absolute" from="10202,1335" to="10263,1335" stroked="true" strokeweight="3.310138pt" strokecolor="#4f81bc"/>
            <v:rect style="position:absolute;left:10202;top:1302;width:61;height:66" filled="false" stroked="true" strokeweight=".452302pt" strokecolor="#497dba"/>
            <v:shape style="position:absolute;left:7009;top:752;width:3222;height:2055" coordorigin="7009,752" coordsize="3222,2055" path="m7009,2806l7018,2702,7026,2593,7035,2479,7043,2361,7048,2301,7052,2241,7056,2180,7060,2119,7064,2057,7069,1996,7073,1934,7077,1873,7081,1813,7086,1752,7094,1634,7103,1518,7111,1407,7120,1301,7128,1202,7137,1109,7145,1026,7154,951,7162,887,7175,812,7194,755,7202,752,7210,759,7233,828,7248,906,7264,998,7279,1098,7287,1149,7302,1246,7318,1332,7333,1398,7370,1455,7391,1452,7412,1432,7433,1401,7454,1367,7476,1334,7497,1308,7518,1295,7552,1299,7586,1317,7620,1341,7654,1363,7687,1376,7730,1376,7772,1367,7815,1355,7857,1348,7899,1348,7942,1350,7984,1353,8027,1354,8069,1353,8111,1351,8154,1349,8196,1347,8239,1346,8281,1345,8323,1344,8366,1344,8408,1343,8450,1342,8493,1341,8578,1340,8662,1339,8705,1339,8747,1338,8832,1337,8917,1336,9001,1336,9086,1335,9171,1335,9213,1334,9256,1334,9298,1334,9341,1334,9383,1334,9425,1333,9468,1333,9510,1333,9552,1333,9595,1333,9637,1333,9680,1333,9722,1333,9764,1333,9849,1332,9934,1332,10019,1332,10061,1332,10103,1332,10146,1332,10188,1332,10231,1332e" filled="false" stroked="true" strokeweight="1.385035pt" strokecolor="#bd4a47">
              <v:path arrowok="t"/>
            </v:shape>
            <v:shape style="position:absolute;left:7009;top:1183;width:3222;height:1604" coordorigin="7009,1183" coordsize="3222,1604" path="m7009,2787l7020,2682,7031,2572,7042,2456,7053,2337,7059,2277,7064,2217,7070,2157,7075,2097,7080,2037,7091,1918,7102,1804,7113,1694,7124,1590,7135,1494,7146,1407,7157,1331,7168,1266,7190,1189,7204,1183,7219,1195,7237,1219,7255,1253,7273,1292,7291,1334,7308,1373,7324,1406,7337,1430,7348,1441,7382,1434,7416,1404,7450,1363,7484,1326,7518,1304,7560,1302,7603,1316,7645,1332,7687,1342,7730,1340,7772,1333,7815,1325,7857,1320,7899,1320,7942,1323,7984,1326,8027,1328,8069,1328,8111,1327,8154,1326,8196,1326,8239,1326,8281,1326,8323,1327,8366,1328,8408,1328,8450,1328,8493,1328,8535,1328,8578,1328,8620,1328,8662,1328,8705,1329,8747,1329,8790,1329,8832,1329,8874,1329,8917,1329,8959,1329,9001,1329,9044,1329,9086,1329,9129,1329,9171,1329,9213,1330,9256,1330,9298,1330,9341,1330,9383,1330,9425,1330,9468,1330,9510,1330,9552,1330,9595,1330,9637,1330,9680,1330,9722,1330,9764,1330,9807,1330,9849,1330,9892,1330,9934,1330,9976,1330,10019,1330,10061,1330,10103,1330,10146,1330,10188,1330,10231,1330e" filled="false" stroked="true" strokeweight="1.395553pt" strokecolor="#ff0000">
              <v:path arrowok="t"/>
              <v:stroke dashstyle="longDash"/>
            </v:shape>
            <v:line style="position:absolute" from="7417,2343" to="7704,2343" stroked="true" strokeweight="1.418658pt" strokecolor="#497dba"/>
            <v:line style="position:absolute" from="7530,2343" to="7591,2343" stroked="true" strokeweight="2.837316pt" strokecolor="#4f81bc"/>
            <v:rect style="position:absolute;left:7530;top:2314;width:61;height:57" filled="false" stroked="true" strokeweight=".454831pt" strokecolor="#497dba"/>
            <v:line style="position:absolute" from="7417,2778" to="7704,2778" stroked="true" strokeweight="1.418658pt" strokecolor="#ff0000">
              <v:stroke dashstyle="longDash"/>
            </v:line>
            <v:shape style="position:absolute;left:6857;top:224;width:3461;height:2767" type="#_x0000_t202" filled="false" stroked="false">
              <v:textbox inset="0,0,0,0">
                <w:txbxContent>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3"/>
                      <w:rPr>
                        <w:sz w:val="16"/>
                      </w:rPr>
                    </w:pPr>
                  </w:p>
                  <w:p>
                    <w:pPr>
                      <w:tabs>
                        <w:tab w:pos="331" w:val="left" w:leader="none"/>
                        <w:tab w:pos="671" w:val="left" w:leader="none"/>
                        <w:tab w:pos="1011" w:val="left" w:leader="none"/>
                        <w:tab w:pos="1342" w:val="left" w:leader="none"/>
                        <w:tab w:pos="1673" w:val="left" w:leader="none"/>
                        <w:tab w:pos="2004" w:val="left" w:leader="none"/>
                        <w:tab w:pos="2345" w:val="left" w:leader="none"/>
                        <w:tab w:pos="2684" w:val="left" w:leader="none"/>
                      </w:tabs>
                      <w:spacing w:before="0"/>
                      <w:ind w:left="0" w:right="180" w:firstLine="0"/>
                      <w:jc w:val="right"/>
                      <w:rPr>
                        <w:rFonts w:ascii="Constantia"/>
                        <w:sz w:val="18"/>
                      </w:rPr>
                    </w:pPr>
                    <w:r>
                      <w:rPr>
                        <w:rFonts w:ascii="Constantia"/>
                        <w:sz w:val="18"/>
                      </w:rPr>
                      <w:t>1</w:t>
                      <w:tab/>
                      <w:t>3</w:t>
                      <w:tab/>
                      <w:t>5</w:t>
                      <w:tab/>
                      <w:t>7</w:t>
                      <w:tab/>
                      <w:t>9</w:t>
                      <w:tab/>
                      <w:t>11</w:t>
                      <w:tab/>
                      <w:t>13</w:t>
                      <w:tab/>
                      <w:t>15</w:t>
                      <w:tab/>
                      <w:t>17  </w:t>
                    </w:r>
                    <w:r>
                      <w:rPr>
                        <w:rFonts w:ascii="Constantia"/>
                        <w:spacing w:val="38"/>
                        <w:sz w:val="18"/>
                      </w:rPr>
                      <w:t> </w:t>
                    </w:r>
                    <w:r>
                      <w:rPr>
                        <w:rFonts w:ascii="Constantia"/>
                        <w:sz w:val="18"/>
                      </w:rPr>
                      <w:t>19</w:t>
                    </w:r>
                  </w:p>
                  <w:p>
                    <w:pPr>
                      <w:spacing w:before="47"/>
                      <w:ind w:left="0" w:right="192" w:firstLine="0"/>
                      <w:jc w:val="right"/>
                      <w:rPr>
                        <w:rFonts w:ascii="Constantia"/>
                        <w:sz w:val="18"/>
                      </w:rPr>
                    </w:pPr>
                    <w:r>
                      <w:rPr>
                        <w:rFonts w:ascii="Constantia"/>
                        <w:w w:val="90"/>
                        <w:sz w:val="18"/>
                      </w:rPr>
                      <w:t>Trimestre</w:t>
                    </w:r>
                  </w:p>
                  <w:p>
                    <w:pPr>
                      <w:spacing w:line="240" w:lineRule="auto" w:before="0"/>
                      <w:rPr>
                        <w:sz w:val="18"/>
                      </w:rPr>
                    </w:pPr>
                  </w:p>
                  <w:p>
                    <w:pPr>
                      <w:tabs>
                        <w:tab w:pos="883" w:val="left" w:leader="none"/>
                      </w:tabs>
                      <w:spacing w:before="132"/>
                      <w:ind w:left="560" w:right="0" w:firstLine="0"/>
                      <w:jc w:val="left"/>
                      <w:rPr>
                        <w:rFonts w:ascii="Constantia"/>
                        <w:sz w:val="12"/>
                      </w:rPr>
                    </w:pPr>
                    <w:r>
                      <w:rPr>
                        <w:rFonts w:ascii="Constantia"/>
                        <w:w w:val="91"/>
                        <w:position w:val="-10"/>
                        <w:sz w:val="20"/>
                        <w:u w:val="thick" w:color="BD4A47"/>
                      </w:rPr>
                      <w:t> </w:t>
                    </w:r>
                    <w:r>
                      <w:rPr>
                        <w:rFonts w:ascii="Constantia"/>
                        <w:position w:val="-10"/>
                        <w:sz w:val="20"/>
                        <w:u w:val="thick" w:color="BD4A47"/>
                      </w:rPr>
                      <w:tab/>
                    </w:r>
                    <w:r>
                      <w:rPr>
                        <w:rFonts w:ascii="Constantia"/>
                        <w:spacing w:val="-3"/>
                        <w:sz w:val="12"/>
                      </w:rPr>
                      <w:t>Choque</w:t>
                    </w:r>
                    <w:r>
                      <w:rPr>
                        <w:rFonts w:ascii="Constantia"/>
                        <w:spacing w:val="-19"/>
                        <w:sz w:val="12"/>
                      </w:rPr>
                      <w:t> </w:t>
                    </w:r>
                    <w:r>
                      <w:rPr>
                        <w:rFonts w:ascii="Constantia"/>
                        <w:spacing w:val="-3"/>
                        <w:sz w:val="12"/>
                      </w:rPr>
                      <w:t>de</w:t>
                    </w:r>
                    <w:r>
                      <w:rPr>
                        <w:rFonts w:ascii="Constantia"/>
                        <w:spacing w:val="-19"/>
                        <w:sz w:val="12"/>
                      </w:rPr>
                      <w:t> </w:t>
                    </w:r>
                    <w:r>
                      <w:rPr>
                        <w:rFonts w:ascii="Constantia"/>
                        <w:spacing w:val="-3"/>
                        <w:sz w:val="12"/>
                      </w:rPr>
                      <w:t>precios</w:t>
                    </w:r>
                    <w:r>
                      <w:rPr>
                        <w:rFonts w:ascii="Constantia"/>
                        <w:spacing w:val="-11"/>
                        <w:sz w:val="12"/>
                      </w:rPr>
                      <w:t> </w:t>
                    </w:r>
                    <w:r>
                      <w:rPr>
                        <w:rFonts w:ascii="Constantia"/>
                        <w:spacing w:val="-4"/>
                        <w:sz w:val="12"/>
                      </w:rPr>
                      <w:t>del</w:t>
                    </w:r>
                    <w:r>
                      <w:rPr>
                        <w:rFonts w:ascii="Constantia"/>
                        <w:spacing w:val="-16"/>
                        <w:sz w:val="12"/>
                      </w:rPr>
                      <w:t> </w:t>
                    </w:r>
                    <w:r>
                      <w:rPr>
                        <w:rFonts w:ascii="Constantia"/>
                        <w:sz w:val="12"/>
                      </w:rPr>
                      <w:t>gas</w:t>
                    </w:r>
                    <w:r>
                      <w:rPr>
                        <w:rFonts w:ascii="Constantia"/>
                        <w:spacing w:val="-19"/>
                        <w:sz w:val="12"/>
                      </w:rPr>
                      <w:t> </w:t>
                    </w:r>
                    <w:r>
                      <w:rPr>
                        <w:rFonts w:ascii="Constantia"/>
                        <w:spacing w:val="-3"/>
                        <w:sz w:val="12"/>
                      </w:rPr>
                      <w:t>natural</w:t>
                    </w:r>
                  </w:p>
                  <w:p>
                    <w:pPr>
                      <w:spacing w:before="74"/>
                      <w:ind w:left="781" w:right="429" w:firstLine="0"/>
                      <w:jc w:val="center"/>
                      <w:rPr>
                        <w:rFonts w:ascii="Constantia" w:hAnsi="Constantia"/>
                        <w:sz w:val="12"/>
                      </w:rPr>
                    </w:pPr>
                    <w:r>
                      <w:rPr>
                        <w:rFonts w:ascii="Constantia" w:hAnsi="Constantia"/>
                        <w:sz w:val="12"/>
                      </w:rPr>
                      <w:t>Choque de Asignac. De Ing. Fisc. Gasíferos</w:t>
                    </w:r>
                  </w:p>
                  <w:p>
                    <w:pPr>
                      <w:tabs>
                        <w:tab w:pos="883" w:val="left" w:leader="none"/>
                      </w:tabs>
                      <w:spacing w:before="74"/>
                      <w:ind w:left="560" w:right="0" w:firstLine="0"/>
                      <w:jc w:val="left"/>
                      <w:rPr>
                        <w:rFonts w:ascii="Constantia" w:hAnsi="Constantia"/>
                        <w:sz w:val="12"/>
                      </w:rPr>
                    </w:pPr>
                    <w:r>
                      <w:rPr>
                        <w:rFonts w:ascii="Constantia" w:hAnsi="Constantia"/>
                        <w:w w:val="94"/>
                        <w:sz w:val="12"/>
                      </w:rPr>
                      <w:t> </w:t>
                    </w:r>
                    <w:r>
                      <w:rPr>
                        <w:rFonts w:ascii="Constantia" w:hAnsi="Constantia"/>
                        <w:sz w:val="12"/>
                      </w:rPr>
                      <w:tab/>
                    </w:r>
                    <w:r>
                      <w:rPr>
                        <w:rFonts w:ascii="Constantia" w:hAnsi="Constantia"/>
                        <w:spacing w:val="-3"/>
                        <w:w w:val="95"/>
                        <w:sz w:val="12"/>
                      </w:rPr>
                      <w:t>Choque de </w:t>
                    </w:r>
                    <w:r>
                      <w:rPr>
                        <w:rFonts w:ascii="Constantia" w:hAnsi="Constantia"/>
                        <w:w w:val="95"/>
                        <w:sz w:val="12"/>
                      </w:rPr>
                      <w:t>Asignac. De Ing. </w:t>
                    </w:r>
                    <w:r>
                      <w:rPr>
                        <w:rFonts w:ascii="Constantia" w:hAnsi="Constantia"/>
                        <w:spacing w:val="-3"/>
                        <w:w w:val="95"/>
                        <w:sz w:val="12"/>
                      </w:rPr>
                      <w:t>Fisc. </w:t>
                    </w:r>
                    <w:r>
                      <w:rPr>
                        <w:rFonts w:ascii="Constantia" w:hAnsi="Constantia"/>
                        <w:w w:val="95"/>
                        <w:sz w:val="12"/>
                      </w:rPr>
                      <w:t>No</w:t>
                    </w:r>
                    <w:r>
                      <w:rPr>
                        <w:rFonts w:ascii="Constantia" w:hAnsi="Constantia"/>
                        <w:spacing w:val="-18"/>
                        <w:w w:val="95"/>
                        <w:sz w:val="12"/>
                      </w:rPr>
                      <w:t> </w:t>
                    </w:r>
                    <w:r>
                      <w:rPr>
                        <w:rFonts w:ascii="Constantia" w:hAnsi="Constantia"/>
                        <w:spacing w:val="-4"/>
                        <w:w w:val="95"/>
                        <w:sz w:val="12"/>
                      </w:rPr>
                      <w:t>Gasíferos</w:t>
                    </w:r>
                  </w:p>
                </w:txbxContent>
              </v:textbox>
              <w10:wrap type="none"/>
            </v:shape>
            <w10:wrap type="none"/>
          </v:group>
        </w:pict>
      </w:r>
      <w:r>
        <w:rPr>
          <w:rFonts w:ascii="Constantia"/>
          <w:spacing w:val="-5"/>
          <w:sz w:val="20"/>
        </w:rPr>
        <w:t>0.01</w:t>
        <w:tab/>
        <w:t>0.01</w:t>
      </w:r>
    </w:p>
    <w:p>
      <w:pPr>
        <w:pStyle w:val="BodyText"/>
        <w:spacing w:before="1"/>
        <w:rPr>
          <w:rFonts w:ascii="Constantia"/>
          <w:sz w:val="20"/>
        </w:rPr>
      </w:pPr>
    </w:p>
    <w:p>
      <w:pPr>
        <w:tabs>
          <w:tab w:pos="4848" w:val="left" w:leader="none"/>
        </w:tabs>
        <w:spacing w:before="62"/>
        <w:ind w:left="441" w:right="127" w:firstLine="0"/>
        <w:jc w:val="left"/>
        <w:rPr>
          <w:rFonts w:ascii="Constantia"/>
          <w:sz w:val="20"/>
        </w:rPr>
      </w:pPr>
      <w:r>
        <w:rPr>
          <w:rFonts w:ascii="Constantia"/>
          <w:spacing w:val="-5"/>
          <w:sz w:val="20"/>
        </w:rPr>
        <w:t>0.01</w:t>
        <w:tab/>
        <w:t>0.01</w:t>
      </w:r>
    </w:p>
    <w:p>
      <w:pPr>
        <w:pStyle w:val="BodyText"/>
        <w:spacing w:before="1"/>
        <w:rPr>
          <w:rFonts w:ascii="Constantia"/>
          <w:sz w:val="20"/>
        </w:rPr>
      </w:pPr>
    </w:p>
    <w:p>
      <w:pPr>
        <w:tabs>
          <w:tab w:pos="4810" w:val="left" w:leader="none"/>
        </w:tabs>
        <w:spacing w:before="62"/>
        <w:ind w:left="403" w:right="127" w:firstLine="0"/>
        <w:jc w:val="left"/>
        <w:rPr>
          <w:rFonts w:ascii="Constantia"/>
          <w:sz w:val="20"/>
        </w:rPr>
      </w:pPr>
      <w:r>
        <w:rPr>
          <w:rFonts w:ascii="Constantia"/>
          <w:spacing w:val="-5"/>
          <w:sz w:val="20"/>
        </w:rPr>
        <w:t>0.00</w:t>
        <w:tab/>
        <w:t>0.00</w:t>
      </w:r>
    </w:p>
    <w:p>
      <w:pPr>
        <w:pStyle w:val="BodyText"/>
        <w:spacing w:before="1"/>
        <w:rPr>
          <w:rFonts w:ascii="Constantia"/>
          <w:sz w:val="20"/>
        </w:rPr>
      </w:pPr>
    </w:p>
    <w:p>
      <w:pPr>
        <w:tabs>
          <w:tab w:pos="4780" w:val="left" w:leader="none"/>
        </w:tabs>
        <w:spacing w:before="62"/>
        <w:ind w:left="372" w:right="127" w:firstLine="0"/>
        <w:jc w:val="left"/>
        <w:rPr>
          <w:rFonts w:ascii="Constantia"/>
          <w:sz w:val="20"/>
        </w:rPr>
      </w:pPr>
      <w:r>
        <w:rPr>
          <w:rFonts w:ascii="Constantia"/>
          <w:spacing w:val="-3"/>
          <w:sz w:val="20"/>
        </w:rPr>
        <w:t>-0.01</w:t>
        <w:tab/>
        <w:t>-0.01</w:t>
      </w:r>
    </w:p>
    <w:p>
      <w:pPr>
        <w:pStyle w:val="BodyText"/>
        <w:spacing w:before="1"/>
        <w:rPr>
          <w:rFonts w:ascii="Constantia"/>
          <w:sz w:val="20"/>
        </w:rPr>
      </w:pPr>
    </w:p>
    <w:p>
      <w:pPr>
        <w:tabs>
          <w:tab w:pos="4780" w:val="left" w:leader="none"/>
        </w:tabs>
        <w:spacing w:before="62"/>
        <w:ind w:left="372" w:right="127" w:firstLine="0"/>
        <w:jc w:val="left"/>
        <w:rPr>
          <w:rFonts w:ascii="Constantia"/>
          <w:sz w:val="20"/>
        </w:rPr>
      </w:pPr>
      <w:r>
        <w:rPr>
          <w:rFonts w:ascii="Constantia"/>
          <w:spacing w:val="-3"/>
          <w:sz w:val="20"/>
        </w:rPr>
        <w:t>-0.01</w:t>
        <w:tab/>
        <w:t>-0.01</w:t>
      </w:r>
    </w:p>
    <w:p>
      <w:pPr>
        <w:pStyle w:val="BodyText"/>
        <w:spacing w:before="1"/>
        <w:rPr>
          <w:rFonts w:ascii="Constantia"/>
          <w:sz w:val="20"/>
        </w:rPr>
      </w:pPr>
    </w:p>
    <w:p>
      <w:pPr>
        <w:tabs>
          <w:tab w:pos="4748" w:val="left" w:leader="none"/>
        </w:tabs>
        <w:spacing w:before="62"/>
        <w:ind w:left="340" w:right="127" w:firstLine="0"/>
        <w:jc w:val="left"/>
        <w:rPr>
          <w:rFonts w:ascii="Constantia"/>
          <w:sz w:val="20"/>
        </w:rPr>
      </w:pPr>
      <w:r>
        <w:rPr>
          <w:rFonts w:ascii="Constantia"/>
          <w:spacing w:val="-4"/>
          <w:sz w:val="20"/>
        </w:rPr>
        <w:t>-0.02</w:t>
        <w:tab/>
        <w:t>-0.02</w:t>
      </w:r>
    </w:p>
    <w:p>
      <w:pPr>
        <w:spacing w:before="122"/>
        <w:ind w:left="102" w:right="1829" w:firstLine="0"/>
        <w:jc w:val="left"/>
        <w:rPr>
          <w:sz w:val="20"/>
        </w:rPr>
      </w:pPr>
      <w:r>
        <w:rPr>
          <w:sz w:val="20"/>
        </w:rPr>
        <w:t>Asignac. De Ing. Fisc. Gasíferos es la razón de Gasto de capital/ Ing. Fisc. Gasíferos Asignac. De Ing. Fisc. No Gasíferos es la razón Gasto corriente/ Ing. Fisc. No Gasíferos Estimaciones mediante funciones de impulso-respuesta en su definición estructural.</w:t>
      </w:r>
    </w:p>
    <w:p>
      <w:pPr>
        <w:pStyle w:val="BodyText"/>
        <w:rPr>
          <w:sz w:val="20"/>
        </w:rPr>
      </w:pPr>
    </w:p>
    <w:p>
      <w:pPr>
        <w:pStyle w:val="BodyText"/>
        <w:spacing w:before="4"/>
        <w:rPr>
          <w:sz w:val="28"/>
        </w:rPr>
      </w:pPr>
    </w:p>
    <w:p>
      <w:pPr>
        <w:pStyle w:val="Heading4"/>
        <w:tabs>
          <w:tab w:pos="4780" w:val="left" w:leader="none"/>
          <w:tab w:pos="6234" w:val="left" w:leader="none"/>
        </w:tabs>
        <w:ind w:left="401" w:right="473" w:hanging="300"/>
      </w:pPr>
      <w:r>
        <w:rPr/>
        <w:t>c)  Respuesta del balance</w:t>
      </w:r>
      <w:r>
        <w:rPr>
          <w:spacing w:val="-4"/>
        </w:rPr>
        <w:t> </w:t>
      </w:r>
      <w:r>
        <w:rPr/>
        <w:t>fiscal</w:t>
      </w:r>
      <w:r>
        <w:rPr>
          <w:spacing w:val="-2"/>
        </w:rPr>
        <w:t> </w:t>
      </w:r>
      <w:r>
        <w:rPr/>
        <w:t>global</w:t>
        <w:tab/>
        <w:t>d) Respuesta del balance</w:t>
      </w:r>
      <w:r>
        <w:rPr>
          <w:spacing w:val="-6"/>
        </w:rPr>
        <w:t> </w:t>
      </w:r>
      <w:r>
        <w:rPr/>
        <w:t>fiscal</w:t>
      </w:r>
      <w:r>
        <w:rPr>
          <w:spacing w:val="-3"/>
        </w:rPr>
        <w:t> </w:t>
      </w:r>
      <w:r>
        <w:rPr/>
        <w:t>global</w:t>
      </w:r>
      <w:r>
        <w:rPr>
          <w:w w:val="99"/>
        </w:rPr>
        <w:t> </w:t>
      </w:r>
      <w:r>
        <w:rPr/>
        <w:t>cíclicamente ajustado</w:t>
      </w:r>
      <w:r>
        <w:rPr>
          <w:spacing w:val="-4"/>
        </w:rPr>
        <w:t> </w:t>
      </w:r>
      <w:r>
        <w:rPr/>
        <w:t>(Modelo</w:t>
      </w:r>
      <w:r>
        <w:rPr>
          <w:spacing w:val="-2"/>
        </w:rPr>
        <w:t> </w:t>
      </w:r>
      <w:r>
        <w:rPr/>
        <w:t>C)</w:t>
        <w:tab/>
        <w:tab/>
        <w:t>(Modelo</w:t>
      </w:r>
      <w:r>
        <w:rPr>
          <w:spacing w:val="-2"/>
        </w:rPr>
        <w:t> </w:t>
      </w:r>
      <w:r>
        <w:rPr/>
        <w:t>D)</w:t>
      </w:r>
    </w:p>
    <w:p>
      <w:pPr>
        <w:pStyle w:val="BodyText"/>
        <w:tabs>
          <w:tab w:pos="4580" w:val="left" w:leader="none"/>
        </w:tabs>
        <w:spacing w:before="85"/>
        <w:ind w:left="385" w:right="127"/>
        <w:rPr>
          <w:rFonts w:ascii="Constantia"/>
        </w:rPr>
      </w:pPr>
      <w:r>
        <w:rPr/>
        <w:pict>
          <v:group style="position:absolute;margin-left:118.816727pt;margin-top:11.814246pt;width:166.4pt;height:145.65pt;mso-position-horizontal-relative:page;mso-position-vertical-relative:paragraph;z-index:-559072" coordorigin="2376,236" coordsize="3328,2913">
            <v:shape style="position:absolute;left:1170;top:3164;width:5865;height:3698" coordorigin="1170,3164" coordsize="5865,3698" path="m2441,3142l5694,3142m2437,2561l5698,2561m2437,1986l5698,1986m2437,824l5698,824m2437,248l5698,248e" filled="false" stroked="true" strokeweight=".502041pt" strokecolor="#858585">
              <v:path arrowok="t"/>
              <v:stroke dashstyle="dash"/>
            </v:shape>
            <v:shape style="position:absolute;left:1073;top:3157;width:5956;height:3705" coordorigin="1073,3157" coordsize="5956,3705" path="m2441,3142l2441,242m2382,3142l2441,3142m2382,2567l2441,2567m2382,1980l2441,1980m2382,1405l2441,1405m2382,829l2441,829m2382,242l2441,242m2441,1405l5694,1405m2441,1405l2441,1475m2599,1405l2599,1475m2766,1405l2766,1475m2924,1405l2924,1475m3091,1405l3091,1475m3250,1405l3250,1475m3417,1405l3417,1475m3583,1405l3583,1475m3742,1405l3742,1475m3909,1405l3909,1475m4067,1405l4067,1475m4234,1405l4234,1475m4392,1405l4392,1475m4559,1405l4559,1475m4718,1405l4718,1475m4884,1405l4884,1475m5043,1405l5043,1475m5210,1405l5210,1475m5368,1405l5368,1475m5535,1405l5535,1475m5694,1405l5694,1475e" filled="false" stroked="true" strokeweight=".502041pt" strokecolor="#858585">
              <v:path arrowok="t"/>
            </v:shape>
            <v:shape style="position:absolute;left:2524;top:606;width:3095;height:1312" coordorigin="2524,606" coordsize="3095,1312" path="m2524,606l2532,669,2540,736,2547,805,2555,877,2563,950,2571,1024,2578,1099,2586,1174,2594,1248,2602,1321,2609,1393,2617,1462,2625,1529,2633,1592,2648,1706,2664,1800,2679,1870,2701,1918,2714,1917,2741,1862,2768,1760,2782,1700,2796,1640,2809,1583,2823,1534,2836,1495,2850,1471,2882,1454,2915,1466,2948,1492,2980,1519,3013,1530,3053,1521,3094,1500,3135,1478,3176,1463,3216,1458,3257,1458,3298,1459,3338,1458,3379,1453,3420,1446,3461,1440,3501,1435,3542,1432,3583,1431,3623,1430,3664,1429,3705,1426,3746,1424,3786,1421,3827,1419,3868,1418,3908,1417,3949,1416,3990,1415,4031,1414,4071,1413,4112,1412,4153,1411,4193,1410,4234,1410,4275,1410,4316,1409,4356,1409,4397,1408,4438,1408,4478,1407,4519,1407,4560,1407,4601,1406,4641,1406,4682,1406,4723,1406,4763,1406,4845,1405,4926,1405,4967,1405,5008,1405,5048,1405,5089,1404,5130,1404,5171,1404,5211,1404,5252,1404,5293,1404,5333,1404,5374,1404,5415,1404,5456,1404,5496,1404,5537,1404,5578,1404,5618,1404e" filled="false" stroked="true" strokeweight="1.683519pt" strokecolor="#497dba">
              <v:path arrowok="t"/>
            </v:shape>
            <v:line style="position:absolute" from="2524,568" to="2524,651" stroked="true" strokeweight="2.91912pt" strokecolor="#4f81bc"/>
            <v:rect style="position:absolute;left:2495;top:568;width:58;height:82" filled="false" stroked="true" strokeweight=".474521pt" strokecolor="#497dba"/>
            <v:line style="position:absolute" from="2687,1864" to="2687,1946" stroked="true" strokeweight="2.91912pt" strokecolor="#4f81bc"/>
            <v:rect style="position:absolute;left:2658;top:1864;width:58;height:82" filled="false" stroked="true" strokeweight=".474521pt" strokecolor="#497dba"/>
            <v:line style="position:absolute" from="2850,1438" to="2850,1521" stroked="true" strokeweight="2.91912pt" strokecolor="#4f81bc"/>
            <v:rect style="position:absolute;left:2821;top:1438;width:58;height:82" filled="false" stroked="true" strokeweight=".474521pt" strokecolor="#497dba"/>
            <v:line style="position:absolute" from="3013,1497" to="3013,1579" stroked="true" strokeweight="2.91912pt" strokecolor="#4f81bc"/>
            <v:rect style="position:absolute;left:2984;top:1497;width:58;height:82" filled="false" stroked="true" strokeweight=".474521pt" strokecolor="#497dba"/>
            <v:line style="position:absolute" from="3176,1430" to="3176,1512" stroked="true" strokeweight="2.91912pt" strokecolor="#4f81bc"/>
            <v:rect style="position:absolute;left:3147;top:1430;width:58;height:82" filled="false" stroked="true" strokeweight=".474521pt" strokecolor="#497dba"/>
            <v:line style="position:absolute" from="3339,1425" to="3339,1507" stroked="true" strokeweight="2.91912pt" strokecolor="#4f81bc"/>
            <v:rect style="position:absolute;left:3310;top:1425;width:58;height:82" filled="false" stroked="true" strokeweight=".474521pt" strokecolor="#497dba"/>
            <v:line style="position:absolute" from="3502,1401" to="3502,1484" stroked="true" strokeweight="2.91912pt" strokecolor="#4f81bc"/>
            <v:rect style="position:absolute;left:3473;top:1401;width:58;height:82" filled="false" stroked="true" strokeweight=".474521pt" strokecolor="#497dba"/>
            <v:line style="position:absolute" from="3665,1395" to="3665,1478" stroked="true" strokeweight="2.91912pt" strokecolor="#4f81bc"/>
            <v:rect style="position:absolute;left:3636;top:1395;width:58;height:82" filled="false" stroked="true" strokeweight=".474521pt" strokecolor="#497dba"/>
            <v:line style="position:absolute" from="3828,1386" to="3828,1468" stroked="true" strokeweight="2.91912pt" strokecolor="#4f81bc"/>
            <v:rect style="position:absolute;left:3799;top:1386;width:58;height:82" filled="false" stroked="true" strokeweight=".474521pt" strokecolor="#497dba"/>
            <v:line style="position:absolute" from="3991,1382" to="3991,1464" stroked="true" strokeweight="2.91912pt" strokecolor="#4f81bc"/>
            <v:rect style="position:absolute;left:3962;top:1382;width:58;height:82" filled="false" stroked="true" strokeweight=".474521pt" strokecolor="#497dba"/>
            <v:line style="position:absolute" from="4154,1378" to="4154,1460" stroked="true" strokeweight="2.91912pt" strokecolor="#4f81bc"/>
            <v:rect style="position:absolute;left:4125;top:1378;width:58;height:82" filled="false" stroked="true" strokeweight=".474521pt" strokecolor="#497dba"/>
            <v:line style="position:absolute" from="4317,1376" to="4317,1458" stroked="true" strokeweight="2.91912pt" strokecolor="#4f81bc"/>
            <v:rect style="position:absolute;left:4288;top:1376;width:58;height:82" filled="false" stroked="true" strokeweight=".474521pt" strokecolor="#497dba"/>
            <v:line style="position:absolute" from="4480,1374" to="4480,1456" stroked="true" strokeweight="2.91912pt" strokecolor="#4f81bc"/>
            <v:rect style="position:absolute;left:4450;top:1374;width:58;height:82" filled="false" stroked="true" strokeweight=".474521pt" strokecolor="#497dba"/>
            <v:line style="position:absolute" from="4643,1373" to="4643,1455" stroked="true" strokeweight="2.91912pt" strokecolor="#4f81bc"/>
            <v:rect style="position:absolute;left:4613;top:1373;width:58;height:82" filled="false" stroked="true" strokeweight=".474521pt" strokecolor="#497dba"/>
            <v:line style="position:absolute" from="4806,1372" to="4806,1454" stroked="true" strokeweight="2.91912pt" strokecolor="#4f81bc"/>
            <v:rect style="position:absolute;left:4776;top:1372;width:58;height:82" filled="false" stroked="true" strokeweight=".474521pt" strokecolor="#497dba"/>
            <v:line style="position:absolute" from="4969,1371" to="4969,1454" stroked="true" strokeweight="2.91912pt" strokecolor="#4f81bc"/>
            <v:rect style="position:absolute;left:4939;top:1371;width:58;height:82" filled="false" stroked="true" strokeweight=".474521pt" strokecolor="#497dba"/>
            <v:line style="position:absolute" from="5131,1371" to="5131,1453" stroked="true" strokeweight="2.91912pt" strokecolor="#4f81bc"/>
            <v:rect style="position:absolute;left:5102;top:1371;width:58;height:82" filled="false" stroked="true" strokeweight=".474521pt" strokecolor="#497dba"/>
            <v:line style="position:absolute" from="5294,1371" to="5294,1453" stroked="true" strokeweight="2.91912pt" strokecolor="#4f81bc"/>
            <v:rect style="position:absolute;left:5265;top:1371;width:58;height:82" filled="false" stroked="true" strokeweight=".474521pt" strokecolor="#497dba"/>
            <v:line style="position:absolute" from="5457,1371" to="5457,1453" stroked="true" strokeweight="2.91912pt" strokecolor="#4f81bc"/>
            <v:rect style="position:absolute;left:5428;top:1371;width:58;height:82" filled="false" stroked="true" strokeweight=".474521pt" strokecolor="#497dba"/>
            <v:line style="position:absolute" from="5620,1370" to="5620,1453" stroked="true" strokeweight="2.91912pt" strokecolor="#4f81bc"/>
            <v:rect style="position:absolute;left:5591;top:1370;width:58;height:82" filled="false" stroked="true" strokeweight=".474521pt" strokecolor="#497dba"/>
            <v:shape style="position:absolute;left:2524;top:1269;width:3095;height:1639" coordorigin="2524,1269" coordsize="3095,1639" path="m2524,2908l2532,2846,2540,2782,2549,2717,2557,2650,2565,2583,2573,2515,2581,2448,2589,2380,2597,2312,2606,2246,2614,2180,2622,2116,2630,2053,2638,1993,2654,1878,2671,1775,2687,1686,2705,1607,2725,1535,2746,1472,2790,1371,2832,1303,2882,1269,2915,1285,2948,1315,2980,1346,3013,1364,3053,1366,3094,1361,3135,1353,3176,1350,3216,1354,3257,1361,3298,1369,3338,1374,3379,1376,3420,1376,3461,1376,3501,1377,3542,1379,3583,1382,3623,1385,3664,1387,3705,1388,3746,1389,3786,1389,3827,1390,3868,1391,3908,1392,3949,1393,3990,1394,4031,1395,4071,1395,4112,1395,4153,1396,4193,1396,4234,1397,4275,1397,4316,1398,4356,1398,4397,1398,4438,1398,4478,1399,4519,1399,4560,1399,4601,1399,4641,1399,4682,1400,4723,1400,4763,1400,4804,1400,4886,1400,4967,1400,5048,1400,5089,1401,5130,1401,5171,1401,5211,1401,5252,1401,5293,1401,5333,1401,5374,1401,5415,1401,5456,1401,5496,1401,5537,1401,5578,1401,5618,1401e" filled="false" stroked="true" strokeweight="1.649476pt" strokecolor="#bd4a47">
              <v:path arrowok="t"/>
            </v:shape>
            <v:shape style="position:absolute;left:2524;top:1310;width:3095;height:999" coordorigin="2524,1310" coordsize="3095,999" path="m2524,2309l2534,2246,2544,2180,2555,2112,2565,2041,2575,1970,2585,1898,2595,1827,2606,1757,2616,1689,2626,1624,2636,1563,2656,1455,2677,1371,2707,1310,2730,1310,2755,1331,2781,1364,2807,1400,2830,1429,2850,1444,2891,1447,2931,1440,2972,1429,3013,1421,3094,1417,3176,1416,3216,1416,3257,1416,3298,1416,3338,1415,3379,1414,3420,1413,3461,1412,3501,1411,3542,1410,3583,1410,3623,1410,3664,1410,3705,1410,3746,1409,3786,1408,3827,1408,3868,1408,3908,1408,3949,1407,3990,1407,4031,1407,4071,1407,4112,1407,4153,1406,4193,1406,4234,1406,4275,1406,4316,1406,4356,1406,4397,1406,4438,1406,4478,1406,4519,1406,4560,1406,4601,1406,4641,1406,4682,1406,4723,1405,4763,1405,4804,1405,4845,1405,4886,1405,4926,1405,4967,1405,5008,1405,5048,1405,5089,1405,5130,1405,5171,1405,5211,1405,5456,1405,5496,1405,5537,1405,5578,1405,5618,1405e" filled="false" stroked="true" strokeweight="1.713049pt" strokecolor="#ff0000">
              <v:path arrowok="t"/>
              <v:stroke dashstyle="longDash"/>
            </v:shape>
            <v:line style="position:absolute" from="2916,2473" to="3191,2473" stroked="true" strokeweight="1.761196pt" strokecolor="#497dba"/>
            <v:line style="position:absolute" from="3024,2473" to="3083,2473" stroked="true" strokeweight="3.522391pt" strokecolor="#4f81bc"/>
            <v:rect style="position:absolute;left:3024;top:2438;width:58;height:70" filled="false" stroked="true" strokeweight=".486254pt" strokecolor="#497dba"/>
            <v:line style="position:absolute" from="2916,2931" to="3191,2931" stroked="true" strokeweight="1.761196pt" strokecolor="#ff0000">
              <v:stroke dashstyle="longDash"/>
            </v:line>
            <v:shape style="position:absolute;left:2492;top:1594;width:3036;height:488" type="#_x0000_t202" filled="false" stroked="false">
              <v:textbox inset="0,0,0,0">
                <w:txbxContent>
                  <w:p>
                    <w:pPr>
                      <w:tabs>
                        <w:tab w:pos="317" w:val="left" w:leader="none"/>
                        <w:tab w:pos="644" w:val="left" w:leader="none"/>
                        <w:tab w:pos="971" w:val="left" w:leader="none"/>
                        <w:tab w:pos="1289" w:val="left" w:leader="none"/>
                        <w:tab w:pos="1607" w:val="left" w:leader="none"/>
                        <w:tab w:pos="1925" w:val="left" w:leader="none"/>
                        <w:tab w:pos="2252" w:val="left" w:leader="none"/>
                        <w:tab w:pos="2578" w:val="left" w:leader="none"/>
                      </w:tabs>
                      <w:spacing w:line="225" w:lineRule="exact" w:before="0"/>
                      <w:ind w:left="0" w:right="0" w:firstLine="0"/>
                      <w:jc w:val="right"/>
                      <w:rPr>
                        <w:rFonts w:ascii="Constantia"/>
                        <w:sz w:val="22"/>
                      </w:rPr>
                    </w:pPr>
                    <w:r>
                      <w:rPr>
                        <w:rFonts w:ascii="Constantia"/>
                        <w:w w:val="80"/>
                        <w:sz w:val="22"/>
                      </w:rPr>
                      <w:t>1</w:t>
                      <w:tab/>
                      <w:t>3</w:t>
                      <w:tab/>
                      <w:t>5</w:t>
                      <w:tab/>
                      <w:t>7</w:t>
                      <w:tab/>
                      <w:t>9</w:t>
                      <w:tab/>
                      <w:t>11</w:t>
                      <w:tab/>
                      <w:t>13</w:t>
                      <w:tab/>
                      <w:t>15</w:t>
                      <w:tab/>
                      <w:t>17  </w:t>
                    </w:r>
                    <w:r>
                      <w:rPr>
                        <w:rFonts w:ascii="Constantia"/>
                        <w:spacing w:val="30"/>
                        <w:w w:val="80"/>
                        <w:sz w:val="22"/>
                      </w:rPr>
                      <w:t> </w:t>
                    </w:r>
                    <w:r>
                      <w:rPr>
                        <w:rFonts w:ascii="Constantia"/>
                        <w:w w:val="80"/>
                        <w:sz w:val="22"/>
                      </w:rPr>
                      <w:t>19</w:t>
                    </w:r>
                  </w:p>
                  <w:p>
                    <w:pPr>
                      <w:spacing w:line="263" w:lineRule="exact" w:before="0"/>
                      <w:ind w:left="0" w:right="11" w:firstLine="0"/>
                      <w:jc w:val="right"/>
                      <w:rPr>
                        <w:rFonts w:ascii="Constantia"/>
                        <w:sz w:val="22"/>
                      </w:rPr>
                    </w:pPr>
                    <w:r>
                      <w:rPr>
                        <w:rFonts w:ascii="Constantia"/>
                        <w:w w:val="70"/>
                        <w:sz w:val="22"/>
                      </w:rPr>
                      <w:t>Trimestre</w:t>
                    </w:r>
                  </w:p>
                </w:txbxContent>
              </v:textbox>
              <w10:wrap type="none"/>
            </v:shape>
            <v:shape style="position:absolute;left:2916;top:2412;width:1857;height:293" type="#_x0000_t202" filled="false" stroked="false">
              <v:textbox inset="0,0,0,0">
                <w:txbxContent>
                  <w:p>
                    <w:pPr>
                      <w:tabs>
                        <w:tab w:pos="310" w:val="left" w:leader="none"/>
                      </w:tabs>
                      <w:spacing w:line="155" w:lineRule="exact" w:before="0"/>
                      <w:ind w:left="0" w:right="0" w:firstLine="0"/>
                      <w:jc w:val="left"/>
                      <w:rPr>
                        <w:rFonts w:ascii="Constantia"/>
                        <w:sz w:val="15"/>
                      </w:rPr>
                    </w:pPr>
                    <w:r>
                      <w:rPr>
                        <w:rFonts w:ascii="Constantia"/>
                        <w:w w:val="73"/>
                        <w:position w:val="-11"/>
                        <w:sz w:val="24"/>
                        <w:u w:val="thick" w:color="BD4A47"/>
                      </w:rPr>
                      <w:t> </w:t>
                    </w:r>
                    <w:r>
                      <w:rPr>
                        <w:rFonts w:ascii="Constantia"/>
                        <w:position w:val="-11"/>
                        <w:sz w:val="24"/>
                        <w:u w:val="thick" w:color="BD4A47"/>
                      </w:rPr>
                      <w:tab/>
                    </w:r>
                    <w:r>
                      <w:rPr>
                        <w:rFonts w:ascii="Constantia"/>
                        <w:spacing w:val="-3"/>
                        <w:w w:val="75"/>
                        <w:sz w:val="15"/>
                      </w:rPr>
                      <w:t>Choque de precios </w:t>
                    </w:r>
                    <w:r>
                      <w:rPr>
                        <w:rFonts w:ascii="Constantia"/>
                        <w:spacing w:val="-4"/>
                        <w:w w:val="75"/>
                        <w:sz w:val="15"/>
                      </w:rPr>
                      <w:t>del </w:t>
                    </w:r>
                    <w:r>
                      <w:rPr>
                        <w:rFonts w:ascii="Constantia"/>
                        <w:w w:val="75"/>
                        <w:sz w:val="15"/>
                      </w:rPr>
                      <w:t>gas</w:t>
                    </w:r>
                    <w:r>
                      <w:rPr>
                        <w:rFonts w:ascii="Constantia"/>
                        <w:spacing w:val="-22"/>
                        <w:w w:val="75"/>
                        <w:sz w:val="15"/>
                      </w:rPr>
                      <w:t> </w:t>
                    </w:r>
                    <w:r>
                      <w:rPr>
                        <w:rFonts w:ascii="Constantia"/>
                        <w:spacing w:val="-3"/>
                        <w:w w:val="75"/>
                        <w:sz w:val="15"/>
                      </w:rPr>
                      <w:t>natural</w:t>
                    </w:r>
                  </w:p>
                </w:txbxContent>
              </v:textbox>
              <w10:wrap type="none"/>
            </v:shape>
            <v:shape style="position:absolute;left:3227;top:2645;width:1965;height:154" type="#_x0000_t202" filled="false" stroked="false">
              <v:textbox inset="0,0,0,0">
                <w:txbxContent>
                  <w:p>
                    <w:pPr>
                      <w:spacing w:line="153" w:lineRule="exact" w:before="0"/>
                      <w:ind w:left="0" w:right="-5" w:firstLine="0"/>
                      <w:jc w:val="left"/>
                      <w:rPr>
                        <w:rFonts w:ascii="Constantia" w:hAnsi="Constantia"/>
                        <w:sz w:val="15"/>
                      </w:rPr>
                    </w:pPr>
                    <w:r>
                      <w:rPr>
                        <w:rFonts w:ascii="Constantia" w:hAnsi="Constantia"/>
                        <w:spacing w:val="-3"/>
                        <w:w w:val="75"/>
                        <w:sz w:val="15"/>
                      </w:rPr>
                      <w:t>Choque</w:t>
                    </w:r>
                    <w:r>
                      <w:rPr>
                        <w:rFonts w:ascii="Constantia" w:hAnsi="Constantia"/>
                        <w:spacing w:val="-12"/>
                        <w:w w:val="75"/>
                        <w:sz w:val="15"/>
                      </w:rPr>
                      <w:t> </w:t>
                    </w:r>
                    <w:r>
                      <w:rPr>
                        <w:rFonts w:ascii="Constantia" w:hAnsi="Constantia"/>
                        <w:spacing w:val="-3"/>
                        <w:w w:val="75"/>
                        <w:sz w:val="15"/>
                      </w:rPr>
                      <w:t>de</w:t>
                    </w:r>
                    <w:r>
                      <w:rPr>
                        <w:rFonts w:ascii="Constantia" w:hAnsi="Constantia"/>
                        <w:spacing w:val="-12"/>
                        <w:w w:val="75"/>
                        <w:sz w:val="15"/>
                      </w:rPr>
                      <w:t> </w:t>
                    </w:r>
                    <w:r>
                      <w:rPr>
                        <w:rFonts w:ascii="Constantia" w:hAnsi="Constantia"/>
                        <w:w w:val="75"/>
                        <w:sz w:val="15"/>
                      </w:rPr>
                      <w:t>Asignac.</w:t>
                    </w:r>
                    <w:r>
                      <w:rPr>
                        <w:rFonts w:ascii="Constantia" w:hAnsi="Constantia"/>
                        <w:spacing w:val="-7"/>
                        <w:w w:val="75"/>
                        <w:sz w:val="15"/>
                      </w:rPr>
                      <w:t> </w:t>
                    </w:r>
                    <w:r>
                      <w:rPr>
                        <w:rFonts w:ascii="Constantia" w:hAnsi="Constantia"/>
                        <w:w w:val="75"/>
                        <w:sz w:val="15"/>
                      </w:rPr>
                      <w:t>De</w:t>
                    </w:r>
                    <w:r>
                      <w:rPr>
                        <w:rFonts w:ascii="Constantia" w:hAnsi="Constantia"/>
                        <w:spacing w:val="3"/>
                        <w:w w:val="75"/>
                        <w:sz w:val="15"/>
                      </w:rPr>
                      <w:t> </w:t>
                    </w:r>
                    <w:r>
                      <w:rPr>
                        <w:rFonts w:ascii="Constantia" w:hAnsi="Constantia"/>
                        <w:w w:val="75"/>
                        <w:sz w:val="15"/>
                      </w:rPr>
                      <w:t>Ing.</w:t>
                    </w:r>
                    <w:r>
                      <w:rPr>
                        <w:rFonts w:ascii="Constantia" w:hAnsi="Constantia"/>
                        <w:spacing w:val="-13"/>
                        <w:w w:val="75"/>
                        <w:sz w:val="15"/>
                      </w:rPr>
                      <w:t> </w:t>
                    </w:r>
                    <w:r>
                      <w:rPr>
                        <w:rFonts w:ascii="Constantia" w:hAnsi="Constantia"/>
                        <w:spacing w:val="-3"/>
                        <w:w w:val="75"/>
                        <w:sz w:val="15"/>
                      </w:rPr>
                      <w:t>Fisc.</w:t>
                    </w:r>
                    <w:r>
                      <w:rPr>
                        <w:rFonts w:ascii="Constantia" w:hAnsi="Constantia"/>
                        <w:spacing w:val="-7"/>
                        <w:w w:val="75"/>
                        <w:sz w:val="15"/>
                      </w:rPr>
                      <w:t> </w:t>
                    </w:r>
                    <w:r>
                      <w:rPr>
                        <w:rFonts w:ascii="Constantia" w:hAnsi="Constantia"/>
                        <w:spacing w:val="-4"/>
                        <w:w w:val="75"/>
                        <w:sz w:val="15"/>
                      </w:rPr>
                      <w:t>Gasíferos</w:t>
                    </w:r>
                  </w:p>
                </w:txbxContent>
              </v:textbox>
              <w10:wrap type="none"/>
            </v:shape>
            <v:shape style="position:absolute;left:2916;top:2877;width:2413;height:154" type="#_x0000_t202" filled="false" stroked="false">
              <v:textbox inset="0,0,0,0">
                <w:txbxContent>
                  <w:p>
                    <w:pPr>
                      <w:tabs>
                        <w:tab w:pos="310" w:val="left" w:leader="none"/>
                      </w:tabs>
                      <w:spacing w:line="153" w:lineRule="exact" w:before="0"/>
                      <w:ind w:left="0" w:right="0" w:firstLine="0"/>
                      <w:jc w:val="left"/>
                      <w:rPr>
                        <w:rFonts w:ascii="Constantia" w:hAnsi="Constantia"/>
                        <w:sz w:val="15"/>
                      </w:rPr>
                    </w:pPr>
                    <w:r>
                      <w:rPr>
                        <w:rFonts w:ascii="Constantia" w:hAnsi="Constantia"/>
                        <w:w w:val="72"/>
                        <w:sz w:val="15"/>
                      </w:rPr>
                      <w:t> </w:t>
                    </w:r>
                    <w:r>
                      <w:rPr>
                        <w:rFonts w:ascii="Constantia" w:hAnsi="Constantia"/>
                        <w:sz w:val="15"/>
                      </w:rPr>
                      <w:tab/>
                    </w:r>
                    <w:r>
                      <w:rPr>
                        <w:rFonts w:ascii="Constantia" w:hAnsi="Constantia"/>
                        <w:w w:val="75"/>
                        <w:sz w:val="15"/>
                      </w:rPr>
                      <w:t>Choque</w:t>
                    </w:r>
                    <w:r>
                      <w:rPr>
                        <w:rFonts w:ascii="Constantia" w:hAnsi="Constantia"/>
                        <w:spacing w:val="-16"/>
                        <w:w w:val="75"/>
                        <w:sz w:val="15"/>
                      </w:rPr>
                      <w:t> </w:t>
                    </w:r>
                    <w:r>
                      <w:rPr>
                        <w:rFonts w:ascii="Constantia" w:hAnsi="Constantia"/>
                        <w:spacing w:val="-3"/>
                        <w:w w:val="75"/>
                        <w:sz w:val="15"/>
                      </w:rPr>
                      <w:t>de</w:t>
                    </w:r>
                    <w:r>
                      <w:rPr>
                        <w:rFonts w:ascii="Constantia" w:hAnsi="Constantia"/>
                        <w:spacing w:val="-16"/>
                        <w:w w:val="75"/>
                        <w:sz w:val="15"/>
                      </w:rPr>
                      <w:t> </w:t>
                    </w:r>
                    <w:r>
                      <w:rPr>
                        <w:rFonts w:ascii="Constantia" w:hAnsi="Constantia"/>
                        <w:w w:val="75"/>
                        <w:sz w:val="15"/>
                      </w:rPr>
                      <w:t>Asignac.</w:t>
                    </w:r>
                    <w:r>
                      <w:rPr>
                        <w:rFonts w:ascii="Constantia" w:hAnsi="Constantia"/>
                        <w:spacing w:val="-12"/>
                        <w:w w:val="75"/>
                        <w:sz w:val="15"/>
                      </w:rPr>
                      <w:t> </w:t>
                    </w:r>
                    <w:r>
                      <w:rPr>
                        <w:rFonts w:ascii="Constantia" w:hAnsi="Constantia"/>
                        <w:w w:val="75"/>
                        <w:sz w:val="15"/>
                      </w:rPr>
                      <w:t>De</w:t>
                    </w:r>
                    <w:r>
                      <w:rPr>
                        <w:rFonts w:ascii="Constantia" w:hAnsi="Constantia"/>
                        <w:spacing w:val="-16"/>
                        <w:w w:val="75"/>
                        <w:sz w:val="15"/>
                      </w:rPr>
                      <w:t> </w:t>
                    </w:r>
                    <w:r>
                      <w:rPr>
                        <w:rFonts w:ascii="Constantia" w:hAnsi="Constantia"/>
                        <w:w w:val="75"/>
                        <w:sz w:val="15"/>
                      </w:rPr>
                      <w:t>Ing.</w:t>
                    </w:r>
                    <w:r>
                      <w:rPr>
                        <w:rFonts w:ascii="Constantia" w:hAnsi="Constantia"/>
                        <w:spacing w:val="-17"/>
                        <w:w w:val="75"/>
                        <w:sz w:val="15"/>
                      </w:rPr>
                      <w:t> </w:t>
                    </w:r>
                    <w:r>
                      <w:rPr>
                        <w:rFonts w:ascii="Constantia" w:hAnsi="Constantia"/>
                        <w:spacing w:val="-3"/>
                        <w:w w:val="75"/>
                        <w:sz w:val="15"/>
                      </w:rPr>
                      <w:t>Fisc.</w:t>
                    </w:r>
                    <w:r>
                      <w:rPr>
                        <w:rFonts w:ascii="Constantia" w:hAnsi="Constantia"/>
                        <w:spacing w:val="-17"/>
                        <w:w w:val="75"/>
                        <w:sz w:val="15"/>
                      </w:rPr>
                      <w:t> </w:t>
                    </w:r>
                    <w:r>
                      <w:rPr>
                        <w:rFonts w:ascii="Constantia" w:hAnsi="Constantia"/>
                        <w:w w:val="75"/>
                        <w:sz w:val="15"/>
                      </w:rPr>
                      <w:t>No</w:t>
                    </w:r>
                    <w:r>
                      <w:rPr>
                        <w:rFonts w:ascii="Constantia" w:hAnsi="Constantia"/>
                        <w:spacing w:val="-15"/>
                        <w:w w:val="75"/>
                        <w:sz w:val="15"/>
                      </w:rPr>
                      <w:t> </w:t>
                    </w:r>
                    <w:r>
                      <w:rPr>
                        <w:rFonts w:ascii="Constantia" w:hAnsi="Constantia"/>
                        <w:spacing w:val="-4"/>
                        <w:w w:val="75"/>
                        <w:sz w:val="15"/>
                      </w:rPr>
                      <w:t>Gasíferos</w:t>
                    </w:r>
                  </w:p>
                </w:txbxContent>
              </v:textbox>
              <w10:wrap type="none"/>
            </v:shape>
            <w10:wrap type="none"/>
          </v:group>
        </w:pict>
      </w:r>
      <w:r>
        <w:rPr/>
        <w:pict>
          <v:group style="position:absolute;margin-left:330.98761pt;margin-top:13.908566pt;width:186.8pt;height:143.7pt;mso-position-horizontal-relative:page;mso-position-vertical-relative:paragraph;z-index:13168" coordorigin="6620,278" coordsize="3736,2874">
            <v:shape style="position:absolute;left:1170;top:3164;width:5865;height:3698" coordorigin="1170,3164" coordsize="5865,3698" path="m6691,3146l10345,3146m6687,2572l10349,2572m6687,2005l10349,2005m6687,858l10349,858m6687,290l10349,290e" filled="false" stroked="true" strokeweight=".523826pt" strokecolor="#858585">
              <v:path arrowok="t"/>
              <v:stroke dashstyle="dash"/>
            </v:shape>
            <v:shape style="position:absolute;left:1073;top:3157;width:5956;height:3705" coordorigin="1073,3157" coordsize="5956,3705" path="m6691,3146l6691,284m6626,3146l6691,3146m6626,2578l6691,2578m6626,1999l6691,1999m6626,1431l6691,1431m6626,863l6691,863m6626,284l6691,284m6691,1431l10345,1431m6691,1431l6691,1501m6869,1431l6869,1501m7057,1431l7057,1501m7235,1431l7235,1501m7422,1431l7422,1501m7600,1431l7600,1501m7787,1431l7787,1501m7975,1431l7975,1501m8153,1431l8153,1501m8340,1431l8340,1501m8518,1431l8518,1501m8705,1431l8705,1501m8883,1431l8883,1501m9071,1431l9071,1501m9249,1431l9249,1501m9436,1431l9436,1501m9614,1431l9614,1501m9801,1431l9801,1501m9979,1431l9979,1501m10167,1431l10167,1501m10345,1431l10345,1501e" filled="false" stroked="true" strokeweight=".523826pt" strokecolor="#858585">
              <v:path arrowok="t"/>
            </v:shape>
            <v:shape style="position:absolute;left:6785;top:868;width:3476;height:564" coordorigin="6785,868" coordsize="3476,564" path="m6785,1287l6808,1230,6831,1167,6854,1100,6876,1035,6899,976,6922,925,6945,888,6968,868,6994,870,7020,896,7046,938,7072,989,7099,1042,7125,1089,7197,1161,7288,1207,7379,1242,7471,1266,7562,1287,7654,1305,7745,1321,7837,1336,7928,1348,8020,1358,8111,1367,8202,1375,8294,1382,8385,1388,8477,1394,8568,1399,8660,1403,8751,1407,8843,1410,8934,1413,9026,1415,9117,1418,9209,1420,9300,1421,9346,1422,9391,1423,9437,1424,9483,1424,9529,1425,9574,1426,9666,1427,9757,1428,9849,1428,9940,1429,10032,1430,10077,1430,10123,1430,10169,1431,10214,1431,10260,1431e" filled="false" stroked="true" strokeweight="1.729356pt" strokecolor="#497dba">
              <v:path arrowok="t"/>
            </v:shape>
            <v:line style="position:absolute" from="6785,1251" to="6785,1332" stroked="true" strokeweight="3.278508pt" strokecolor="#4f81bc"/>
            <v:rect style="position:absolute;left:6752;top:1251;width:66;height:81" filled="false" stroked="true" strokeweight=".512721pt" strokecolor="#497dba"/>
            <v:line style="position:absolute" from="6968,836" to="6968,917" stroked="true" strokeweight="3.278508pt" strokecolor="#4f81bc"/>
            <v:rect style="position:absolute;left:6935;top:836;width:66;height:81" filled="false" stroked="true" strokeweight=".512721pt" strokecolor="#497dba"/>
            <v:line style="position:absolute" from="7151,1089" to="7151,1170" stroked="true" strokeweight="3.278508pt" strokecolor="#4f81bc"/>
            <v:rect style="position:absolute;left:7118;top:1089;width:66;height:81" filled="false" stroked="true" strokeweight=".512721pt" strokecolor="#497dba"/>
            <v:line style="position:absolute" from="7334,1190" to="7334,1271" stroked="true" strokeweight="3.278508pt" strokecolor="#4f81bc"/>
            <v:rect style="position:absolute;left:7301;top:1190;width:66;height:81" filled="false" stroked="true" strokeweight=".512721pt" strokecolor="#497dba"/>
            <v:line style="position:absolute" from="7517,1240" to="7517,1321" stroked="true" strokeweight="3.278508pt" strokecolor="#4f81bc"/>
            <v:rect style="position:absolute;left:7484;top:1240;width:66;height:81" filled="false" stroked="true" strokeweight=".512721pt" strokecolor="#497dba"/>
            <v:line style="position:absolute" from="7700,1277" to="7700,1358" stroked="true" strokeweight="3.278508pt" strokecolor="#4f81bc"/>
            <v:rect style="position:absolute;left:7667;top:1277;width:66;height:81" filled="false" stroked="true" strokeweight=".512721pt" strokecolor="#497dba"/>
            <v:line style="position:absolute" from="7883,1306" to="7883,1387" stroked="true" strokeweight="3.278508pt" strokecolor="#4f81bc"/>
            <v:rect style="position:absolute;left:7850;top:1306;width:66;height:81" filled="false" stroked="true" strokeweight=".512721pt" strokecolor="#497dba"/>
            <v:line style="position:absolute" from="8066,1326" to="8066,1407" stroked="true" strokeweight="3.278508pt" strokecolor="#4f81bc"/>
            <v:rect style="position:absolute;left:8033;top:1326;width:66;height:81" filled="false" stroked="true" strokeweight=".512721pt" strokecolor="#497dba"/>
            <v:line style="position:absolute" from="8249,1342" to="8249,1423" stroked="true" strokeweight="3.278508pt" strokecolor="#4f81bc"/>
            <v:rect style="position:absolute;left:8216;top:1342;width:66;height:81" filled="false" stroked="true" strokeweight=".512721pt" strokecolor="#497dba"/>
            <v:line style="position:absolute" from="8432,1354" to="8432,1435" stroked="true" strokeweight="3.278508pt" strokecolor="#4f81bc"/>
            <v:rect style="position:absolute;left:8399;top:1354;width:66;height:81" filled="false" stroked="true" strokeweight=".512721pt" strokecolor="#497dba"/>
            <v:line style="position:absolute" from="8615,1364" to="8615,1445" stroked="true" strokeweight="3.278508pt" strokecolor="#4f81bc"/>
            <v:rect style="position:absolute;left:8582;top:1364;width:66;height:81" filled="false" stroked="true" strokeweight=".512721pt" strokecolor="#497dba"/>
            <v:line style="position:absolute" from="8798,1371" to="8798,1452" stroked="true" strokeweight="3.278508pt" strokecolor="#4f81bc"/>
            <v:rect style="position:absolute;left:8766;top:1371;width:66;height:81" filled="false" stroked="true" strokeweight=".512721pt" strokecolor="#497dba"/>
            <v:line style="position:absolute" from="8981,1377" to="8981,1458" stroked="true" strokeweight="3.278508pt" strokecolor="#4f81bc"/>
            <v:rect style="position:absolute;left:8948;top:1377;width:66;height:81" filled="false" stroked="true" strokeweight=".512721pt" strokecolor="#497dba"/>
            <v:line style="position:absolute" from="9164,1381" to="9164,1462" stroked="true" strokeweight="3.278508pt" strokecolor="#4f81bc"/>
            <v:rect style="position:absolute;left:9131;top:1381;width:66;height:81" filled="false" stroked="true" strokeweight=".512721pt" strokecolor="#497dba"/>
            <v:line style="position:absolute" from="9347,1385" to="9347,1466" stroked="true" strokeweight="3.278508pt" strokecolor="#4f81bc"/>
            <v:rect style="position:absolute;left:9315;top:1385;width:66;height:81" filled="false" stroked="true" strokeweight=".512721pt" strokecolor="#497dba"/>
            <v:line style="position:absolute" from="9530,1387" to="9530,1469" stroked="true" strokeweight="3.278508pt" strokecolor="#4f81bc"/>
            <v:rect style="position:absolute;left:9498;top:1387;width:66;height:81" filled="false" stroked="true" strokeweight=".512721pt" strokecolor="#497dba"/>
            <v:line style="position:absolute" from="9713,1390" to="9713,1471" stroked="true" strokeweight="3.278508pt" strokecolor="#4f81bc"/>
            <v:rect style="position:absolute;left:9681;top:1390;width:66;height:81" filled="false" stroked="true" strokeweight=".512721pt" strokecolor="#497dba"/>
            <v:line style="position:absolute" from="9896,1391" to="9896,1472" stroked="true" strokeweight="3.278508pt" strokecolor="#4f81bc"/>
            <v:rect style="position:absolute;left:9864;top:1391;width:66;height:81" filled="false" stroked="true" strokeweight=".512721pt" strokecolor="#497dba"/>
            <v:line style="position:absolute" from="10079,1393" to="10079,1474" stroked="true" strokeweight="3.278508pt" strokecolor="#4f81bc"/>
            <v:rect style="position:absolute;left:10047;top:1393;width:66;height:81" filled="false" stroked="true" strokeweight=".512721pt" strokecolor="#497dba"/>
            <v:line style="position:absolute" from="10262,1393" to="10262,1475" stroked="true" strokeweight="3.278508pt" strokecolor="#4f81bc"/>
            <v:rect style="position:absolute;left:10230;top:1393;width:66;height:81" filled="false" stroked="true" strokeweight=".512721pt" strokecolor="#497dba"/>
            <v:shape style="position:absolute;left:6785;top:952;width:3476;height:2020" coordorigin="6785,952" coordsize="3476,2020" path="m6785,2972l6791,2910,6796,2845,6802,2778,6808,2710,6814,2640,6819,2569,6825,2497,6831,2424,6836,2350,6842,2276,6848,2202,6854,2128,6859,2055,6865,1981,6871,1909,6876,1838,6882,1767,6888,1698,6894,1631,6899,1566,6905,1503,6911,1442,6922,1327,6934,1225,6945,1137,6956,1064,6979,971,7002,952,7014,965,7036,1027,7059,1121,7082,1230,7094,1285,7117,1386,7139,1460,7187,1513,7224,1520,7261,1512,7297,1499,7334,1492,7379,1491,7425,1489,7471,1485,7517,1482,7562,1480,7608,1479,7654,1477,7700,1475,7791,1472,7882,1468,7974,1463,8020,1461,8065,1459,8111,1457,8157,1456,8202,1455,8248,1453,8340,1451,8431,1448,8523,1446,8568,1445,8614,1444,8706,1443,8797,1441,8843,1441,8888,1440,8934,1440,8980,1439,9026,1439,9071,1438,9117,1438,9163,1437,9209,1437,9254,1437,9300,1436,9346,1436,9391,1436,9437,1435,9529,1435,9620,1434,9711,1434,9757,1434,9803,1434,9849,1433,9894,1433,9940,1433,9986,1433,10032,1433,10077,1433,10123,1433,10169,1432,10214,1432,10260,1432e" filled="false" stroked="true" strokeweight="1.653844pt" strokecolor="#bd4a47">
              <v:path arrowok="t"/>
            </v:shape>
            <v:shape style="position:absolute;left:6785;top:1257;width:3476;height:1854" coordorigin="6785,1257" coordsize="3476,1854" path="m6785,3111l6791,3049,6797,2986,6803,2920,6809,2853,6815,2785,6822,2715,6828,2645,6834,2574,6840,2502,6846,2430,6852,2358,6858,2287,6864,2216,6870,2145,6876,2076,6883,2008,6889,1940,6895,1875,6901,1811,6907,1749,6919,1633,6931,1527,6944,1433,6956,1353,6968,1290,7005,1257,7031,1281,7059,1320,7088,1366,7114,1411,7135,1445,7151,1462,7197,1470,7242,1463,7288,1449,7334,1439,7379,1434,7425,1428,7471,1424,7517,1421,7562,1421,7608,1423,7654,1425,7700,1426,7745,1427,7791,1426,7837,1426,7882,1426,7928,1426,7974,1427,8020,1427,8065,1428,8111,1428,8157,1429,8202,1429,8248,1429,8294,1429,8340,1430,8385,1430,8431,1430,8477,1430,8523,1431,8568,1431,8614,1431,8660,1431,8706,1431,8751,1431,8797,1432,8843,1432,8888,1432,8934,1432,9026,1432,9117,1432,9163,1432,9209,1433,9254,1433,9300,1433,9346,1433,9391,1433,9437,1433,9483,1433,9529,1433,9574,1433,9620,1433,9666,1433,9711,1433,9757,1433,9803,1433,9849,1433,9894,1433,9940,1433,9986,1433,10032,1433,10077,1433,10123,1433,10169,1433,10214,1433,10260,1433e" filled="false" stroked="true" strokeweight="1.664159pt" strokecolor="#ff0000">
              <v:path arrowok="t"/>
              <v:stroke dashstyle="longDash"/>
            </v:shape>
            <v:line style="position:absolute" from="7225,2486" to="7534,2486" stroked="true" strokeweight="1.737883pt" strokecolor="#497dba"/>
            <v:line style="position:absolute" from="7347,2486" to="7413,2486" stroked="true" strokeweight="3.475765pt" strokecolor="#4f81bc"/>
            <v:rect style="position:absolute;left:7347;top:2451;width:66;height:70" filled="false" stroked="true" strokeweight=".520589pt" strokecolor="#497dba"/>
            <v:line style="position:absolute" from="7225,2937" to="7534,2937" stroked="true" strokeweight="1.737883pt" strokecolor="#ff0000">
              <v:stroke dashstyle="longDash"/>
            </v:line>
            <v:shape style="position:absolute;left:6749;top:1618;width:3409;height:482" type="#_x0000_t202" filled="false" stroked="false">
              <v:textbox inset="0,0,0,0">
                <w:txbxContent>
                  <w:p>
                    <w:pPr>
                      <w:tabs>
                        <w:tab w:pos="357" w:val="left" w:leader="none"/>
                        <w:tab w:pos="723" w:val="left" w:leader="none"/>
                        <w:tab w:pos="1090" w:val="left" w:leader="none"/>
                        <w:tab w:pos="1448" w:val="left" w:leader="none"/>
                        <w:tab w:pos="1805" w:val="left" w:leader="none"/>
                        <w:tab w:pos="2163" w:val="left" w:leader="none"/>
                        <w:tab w:pos="2530" w:val="left" w:leader="none"/>
                        <w:tab w:pos="2896" w:val="left" w:leader="none"/>
                        <w:tab w:pos="3254" w:val="left" w:leader="none"/>
                      </w:tabs>
                      <w:spacing w:line="221" w:lineRule="exact" w:before="0"/>
                      <w:ind w:left="0" w:right="0" w:firstLine="0"/>
                      <w:jc w:val="right"/>
                      <w:rPr>
                        <w:rFonts w:ascii="Constantia"/>
                        <w:sz w:val="22"/>
                      </w:rPr>
                    </w:pPr>
                    <w:r>
                      <w:rPr>
                        <w:rFonts w:ascii="Constantia"/>
                        <w:w w:val="90"/>
                        <w:sz w:val="22"/>
                      </w:rPr>
                      <w:t>1</w:t>
                      <w:tab/>
                      <w:t>3</w:t>
                      <w:tab/>
                      <w:t>5</w:t>
                      <w:tab/>
                      <w:t>7</w:t>
                      <w:tab/>
                      <w:t>9</w:t>
                      <w:tab/>
                      <w:t>11</w:t>
                      <w:tab/>
                      <w:t>13</w:t>
                      <w:tab/>
                      <w:t>15</w:t>
                      <w:tab/>
                      <w:t>17</w:t>
                      <w:tab/>
                    </w:r>
                    <w:r>
                      <w:rPr>
                        <w:rFonts w:ascii="Constantia"/>
                        <w:w w:val="80"/>
                        <w:sz w:val="22"/>
                      </w:rPr>
                      <w:t>19</w:t>
                    </w:r>
                  </w:p>
                  <w:p>
                    <w:pPr>
                      <w:spacing w:line="260" w:lineRule="exact" w:before="0"/>
                      <w:ind w:left="0" w:right="11" w:firstLine="0"/>
                      <w:jc w:val="right"/>
                      <w:rPr>
                        <w:rFonts w:ascii="Constantia"/>
                        <w:sz w:val="22"/>
                      </w:rPr>
                    </w:pPr>
                    <w:r>
                      <w:rPr>
                        <w:rFonts w:ascii="Constantia"/>
                        <w:w w:val="80"/>
                        <w:sz w:val="22"/>
                      </w:rPr>
                      <w:t>Trimestre</w:t>
                    </w:r>
                  </w:p>
                </w:txbxContent>
              </v:textbox>
              <w10:wrap type="none"/>
            </v:shape>
            <v:shape style="position:absolute;left:7225;top:2425;width:2086;height:289" type="#_x0000_t202" filled="false" stroked="false">
              <v:textbox inset="0,0,0,0">
                <w:txbxContent>
                  <w:p>
                    <w:pPr>
                      <w:tabs>
                        <w:tab w:pos="349" w:val="left" w:leader="none"/>
                      </w:tabs>
                      <w:spacing w:line="154" w:lineRule="exact" w:before="0"/>
                      <w:ind w:left="0" w:right="0" w:firstLine="0"/>
                      <w:jc w:val="left"/>
                      <w:rPr>
                        <w:rFonts w:ascii="Constantia"/>
                        <w:sz w:val="15"/>
                      </w:rPr>
                    </w:pPr>
                    <w:r>
                      <w:rPr>
                        <w:rFonts w:ascii="Constantia"/>
                        <w:w w:val="82"/>
                        <w:position w:val="-10"/>
                        <w:sz w:val="24"/>
                        <w:u w:val="thick" w:color="BD4A47"/>
                      </w:rPr>
                      <w:t> </w:t>
                    </w:r>
                    <w:r>
                      <w:rPr>
                        <w:rFonts w:ascii="Constantia"/>
                        <w:position w:val="-10"/>
                        <w:sz w:val="24"/>
                        <w:u w:val="thick" w:color="BD4A47"/>
                      </w:rPr>
                      <w:tab/>
                    </w:r>
                    <w:r>
                      <w:rPr>
                        <w:rFonts w:ascii="Constantia"/>
                        <w:spacing w:val="-3"/>
                        <w:w w:val="85"/>
                        <w:sz w:val="15"/>
                      </w:rPr>
                      <w:t>Choque</w:t>
                    </w:r>
                    <w:r>
                      <w:rPr>
                        <w:rFonts w:ascii="Constantia"/>
                        <w:spacing w:val="-13"/>
                        <w:w w:val="85"/>
                        <w:sz w:val="15"/>
                      </w:rPr>
                      <w:t> </w:t>
                    </w:r>
                    <w:r>
                      <w:rPr>
                        <w:rFonts w:ascii="Constantia"/>
                        <w:spacing w:val="-4"/>
                        <w:w w:val="85"/>
                        <w:sz w:val="15"/>
                      </w:rPr>
                      <w:t>de</w:t>
                    </w:r>
                    <w:r>
                      <w:rPr>
                        <w:rFonts w:ascii="Constantia"/>
                        <w:spacing w:val="-13"/>
                        <w:w w:val="85"/>
                        <w:sz w:val="15"/>
                      </w:rPr>
                      <w:t> </w:t>
                    </w:r>
                    <w:r>
                      <w:rPr>
                        <w:rFonts w:ascii="Constantia"/>
                        <w:spacing w:val="-4"/>
                        <w:w w:val="85"/>
                        <w:sz w:val="15"/>
                      </w:rPr>
                      <w:t>precios</w:t>
                    </w:r>
                    <w:r>
                      <w:rPr>
                        <w:rFonts w:ascii="Constantia"/>
                        <w:w w:val="85"/>
                        <w:sz w:val="15"/>
                      </w:rPr>
                      <w:t> </w:t>
                    </w:r>
                    <w:r>
                      <w:rPr>
                        <w:rFonts w:ascii="Constantia"/>
                        <w:spacing w:val="-5"/>
                        <w:w w:val="85"/>
                        <w:sz w:val="15"/>
                      </w:rPr>
                      <w:t>del</w:t>
                    </w:r>
                    <w:r>
                      <w:rPr>
                        <w:rFonts w:ascii="Constantia"/>
                        <w:spacing w:val="-9"/>
                        <w:w w:val="85"/>
                        <w:sz w:val="15"/>
                      </w:rPr>
                      <w:t> </w:t>
                    </w:r>
                    <w:r>
                      <w:rPr>
                        <w:rFonts w:ascii="Constantia"/>
                        <w:w w:val="85"/>
                        <w:sz w:val="15"/>
                      </w:rPr>
                      <w:t>gas</w:t>
                    </w:r>
                    <w:r>
                      <w:rPr>
                        <w:rFonts w:ascii="Constantia"/>
                        <w:spacing w:val="-13"/>
                        <w:w w:val="85"/>
                        <w:sz w:val="15"/>
                      </w:rPr>
                      <w:t> </w:t>
                    </w:r>
                    <w:r>
                      <w:rPr>
                        <w:rFonts w:ascii="Constantia"/>
                        <w:spacing w:val="-4"/>
                        <w:w w:val="85"/>
                        <w:sz w:val="15"/>
                      </w:rPr>
                      <w:t>natural</w:t>
                    </w:r>
                  </w:p>
                </w:txbxContent>
              </v:textbox>
              <w10:wrap type="none"/>
            </v:shape>
            <v:shape style="position:absolute;left:7574;top:2655;width:2207;height:152" type="#_x0000_t202" filled="false" stroked="false">
              <v:textbox inset="0,0,0,0">
                <w:txbxContent>
                  <w:p>
                    <w:pPr>
                      <w:spacing w:line="151" w:lineRule="exact" w:before="0"/>
                      <w:ind w:left="0" w:right="0" w:firstLine="0"/>
                      <w:jc w:val="left"/>
                      <w:rPr>
                        <w:rFonts w:ascii="Constantia" w:hAnsi="Constantia"/>
                        <w:sz w:val="15"/>
                      </w:rPr>
                    </w:pPr>
                    <w:r>
                      <w:rPr>
                        <w:rFonts w:ascii="Constantia" w:hAnsi="Constantia"/>
                        <w:spacing w:val="-3"/>
                        <w:w w:val="85"/>
                        <w:sz w:val="15"/>
                      </w:rPr>
                      <w:t>Choque</w:t>
                    </w:r>
                    <w:r>
                      <w:rPr>
                        <w:rFonts w:ascii="Constantia" w:hAnsi="Constantia"/>
                        <w:spacing w:val="-14"/>
                        <w:w w:val="85"/>
                        <w:sz w:val="15"/>
                      </w:rPr>
                      <w:t> </w:t>
                    </w:r>
                    <w:r>
                      <w:rPr>
                        <w:rFonts w:ascii="Constantia" w:hAnsi="Constantia"/>
                        <w:spacing w:val="-4"/>
                        <w:w w:val="85"/>
                        <w:sz w:val="15"/>
                      </w:rPr>
                      <w:t>de</w:t>
                    </w:r>
                    <w:r>
                      <w:rPr>
                        <w:rFonts w:ascii="Constantia" w:hAnsi="Constantia"/>
                        <w:spacing w:val="-14"/>
                        <w:w w:val="85"/>
                        <w:sz w:val="15"/>
                      </w:rPr>
                      <w:t> </w:t>
                    </w:r>
                    <w:r>
                      <w:rPr>
                        <w:rFonts w:ascii="Constantia" w:hAnsi="Constantia"/>
                        <w:spacing w:val="-3"/>
                        <w:w w:val="85"/>
                        <w:sz w:val="15"/>
                      </w:rPr>
                      <w:t>Asignac.</w:t>
                    </w:r>
                    <w:r>
                      <w:rPr>
                        <w:rFonts w:ascii="Constantia" w:hAnsi="Constantia"/>
                        <w:spacing w:val="-8"/>
                        <w:w w:val="85"/>
                        <w:sz w:val="15"/>
                      </w:rPr>
                      <w:t> </w:t>
                    </w:r>
                    <w:r>
                      <w:rPr>
                        <w:rFonts w:ascii="Constantia" w:hAnsi="Constantia"/>
                        <w:w w:val="85"/>
                        <w:sz w:val="15"/>
                      </w:rPr>
                      <w:t>De</w:t>
                    </w:r>
                    <w:r>
                      <w:rPr>
                        <w:rFonts w:ascii="Constantia" w:hAnsi="Constantia"/>
                        <w:spacing w:val="3"/>
                        <w:w w:val="85"/>
                        <w:sz w:val="15"/>
                      </w:rPr>
                      <w:t> </w:t>
                    </w:r>
                    <w:r>
                      <w:rPr>
                        <w:rFonts w:ascii="Constantia" w:hAnsi="Constantia"/>
                        <w:w w:val="85"/>
                        <w:sz w:val="15"/>
                      </w:rPr>
                      <w:t>Ing.</w:t>
                    </w:r>
                    <w:r>
                      <w:rPr>
                        <w:rFonts w:ascii="Constantia" w:hAnsi="Constantia"/>
                        <w:spacing w:val="-15"/>
                        <w:w w:val="85"/>
                        <w:sz w:val="15"/>
                      </w:rPr>
                      <w:t> </w:t>
                    </w:r>
                    <w:r>
                      <w:rPr>
                        <w:rFonts w:ascii="Constantia" w:hAnsi="Constantia"/>
                        <w:spacing w:val="-3"/>
                        <w:w w:val="85"/>
                        <w:sz w:val="15"/>
                      </w:rPr>
                      <w:t>Fisc.</w:t>
                    </w:r>
                    <w:r>
                      <w:rPr>
                        <w:rFonts w:ascii="Constantia" w:hAnsi="Constantia"/>
                        <w:spacing w:val="-8"/>
                        <w:w w:val="85"/>
                        <w:sz w:val="15"/>
                      </w:rPr>
                      <w:t> </w:t>
                    </w:r>
                    <w:r>
                      <w:rPr>
                        <w:rFonts w:ascii="Constantia" w:hAnsi="Constantia"/>
                        <w:spacing w:val="-5"/>
                        <w:w w:val="85"/>
                        <w:sz w:val="15"/>
                      </w:rPr>
                      <w:t>Gasíferos</w:t>
                    </w:r>
                  </w:p>
                </w:txbxContent>
              </v:textbox>
              <w10:wrap type="none"/>
            </v:shape>
            <v:shape style="position:absolute;left:7225;top:2884;width:2710;height:151" type="#_x0000_t202" filled="false" stroked="false">
              <v:textbox inset="0,0,0,0">
                <w:txbxContent>
                  <w:p>
                    <w:pPr>
                      <w:tabs>
                        <w:tab w:pos="349" w:val="left" w:leader="none"/>
                      </w:tabs>
                      <w:spacing w:line="151" w:lineRule="exact" w:before="0"/>
                      <w:ind w:left="0" w:right="0" w:firstLine="0"/>
                      <w:jc w:val="left"/>
                      <w:rPr>
                        <w:rFonts w:ascii="Constantia" w:hAnsi="Constantia"/>
                        <w:sz w:val="15"/>
                      </w:rPr>
                    </w:pPr>
                    <w:r>
                      <w:rPr>
                        <w:rFonts w:ascii="Constantia" w:hAnsi="Constantia"/>
                        <w:w w:val="81"/>
                        <w:sz w:val="15"/>
                      </w:rPr>
                      <w:t> </w:t>
                    </w:r>
                    <w:r>
                      <w:rPr>
                        <w:rFonts w:ascii="Constantia" w:hAnsi="Constantia"/>
                        <w:sz w:val="15"/>
                      </w:rPr>
                      <w:tab/>
                    </w:r>
                    <w:r>
                      <w:rPr>
                        <w:rFonts w:ascii="Constantia" w:hAnsi="Constantia"/>
                        <w:spacing w:val="-3"/>
                        <w:w w:val="85"/>
                        <w:sz w:val="15"/>
                      </w:rPr>
                      <w:t>Choque</w:t>
                    </w:r>
                    <w:r>
                      <w:rPr>
                        <w:rFonts w:ascii="Constantia" w:hAnsi="Constantia"/>
                        <w:spacing w:val="-18"/>
                        <w:w w:val="85"/>
                        <w:sz w:val="15"/>
                      </w:rPr>
                      <w:t> </w:t>
                    </w:r>
                    <w:r>
                      <w:rPr>
                        <w:rFonts w:ascii="Constantia" w:hAnsi="Constantia"/>
                        <w:spacing w:val="-4"/>
                        <w:w w:val="85"/>
                        <w:sz w:val="15"/>
                      </w:rPr>
                      <w:t>de</w:t>
                    </w:r>
                    <w:r>
                      <w:rPr>
                        <w:rFonts w:ascii="Constantia" w:hAnsi="Constantia"/>
                        <w:spacing w:val="-18"/>
                        <w:w w:val="85"/>
                        <w:sz w:val="15"/>
                      </w:rPr>
                      <w:t> </w:t>
                    </w:r>
                    <w:r>
                      <w:rPr>
                        <w:rFonts w:ascii="Constantia" w:hAnsi="Constantia"/>
                        <w:w w:val="85"/>
                        <w:sz w:val="15"/>
                      </w:rPr>
                      <w:t>Asignac.</w:t>
                    </w:r>
                    <w:r>
                      <w:rPr>
                        <w:rFonts w:ascii="Constantia" w:hAnsi="Constantia"/>
                        <w:spacing w:val="-15"/>
                        <w:w w:val="85"/>
                        <w:sz w:val="15"/>
                      </w:rPr>
                      <w:t> </w:t>
                    </w:r>
                    <w:r>
                      <w:rPr>
                        <w:rFonts w:ascii="Constantia" w:hAnsi="Constantia"/>
                        <w:w w:val="85"/>
                        <w:sz w:val="15"/>
                      </w:rPr>
                      <w:t>De</w:t>
                    </w:r>
                    <w:r>
                      <w:rPr>
                        <w:rFonts w:ascii="Constantia" w:hAnsi="Constantia"/>
                        <w:spacing w:val="-18"/>
                        <w:w w:val="85"/>
                        <w:sz w:val="15"/>
                      </w:rPr>
                      <w:t> </w:t>
                    </w:r>
                    <w:r>
                      <w:rPr>
                        <w:rFonts w:ascii="Constantia" w:hAnsi="Constantia"/>
                        <w:w w:val="85"/>
                        <w:sz w:val="15"/>
                      </w:rPr>
                      <w:t>Ing.</w:t>
                    </w:r>
                    <w:r>
                      <w:rPr>
                        <w:rFonts w:ascii="Constantia" w:hAnsi="Constantia"/>
                        <w:spacing w:val="-19"/>
                        <w:w w:val="85"/>
                        <w:sz w:val="15"/>
                      </w:rPr>
                      <w:t> </w:t>
                    </w:r>
                    <w:r>
                      <w:rPr>
                        <w:rFonts w:ascii="Constantia" w:hAnsi="Constantia"/>
                        <w:spacing w:val="-3"/>
                        <w:w w:val="85"/>
                        <w:sz w:val="15"/>
                      </w:rPr>
                      <w:t>Fisc.</w:t>
                    </w:r>
                    <w:r>
                      <w:rPr>
                        <w:rFonts w:ascii="Constantia" w:hAnsi="Constantia"/>
                        <w:spacing w:val="-19"/>
                        <w:w w:val="85"/>
                        <w:sz w:val="15"/>
                      </w:rPr>
                      <w:t> </w:t>
                    </w:r>
                    <w:r>
                      <w:rPr>
                        <w:rFonts w:ascii="Constantia" w:hAnsi="Constantia"/>
                        <w:w w:val="85"/>
                        <w:sz w:val="15"/>
                      </w:rPr>
                      <w:t>No</w:t>
                    </w:r>
                    <w:r>
                      <w:rPr>
                        <w:rFonts w:ascii="Constantia" w:hAnsi="Constantia"/>
                        <w:spacing w:val="-18"/>
                        <w:w w:val="85"/>
                        <w:sz w:val="15"/>
                      </w:rPr>
                      <w:t> </w:t>
                    </w:r>
                    <w:r>
                      <w:rPr>
                        <w:rFonts w:ascii="Constantia" w:hAnsi="Constantia"/>
                        <w:spacing w:val="-4"/>
                        <w:w w:val="85"/>
                        <w:sz w:val="15"/>
                      </w:rPr>
                      <w:t>Gasíferos</w:t>
                    </w:r>
                  </w:p>
                </w:txbxContent>
              </v:textbox>
              <w10:wrap type="none"/>
            </v:shape>
            <w10:wrap type="none"/>
          </v:group>
        </w:pict>
      </w:r>
      <w:r>
        <w:rPr>
          <w:rFonts w:ascii="Constantia"/>
          <w:spacing w:val="-5"/>
          <w:w w:val="90"/>
        </w:rPr>
        <w:t>0.01</w:t>
        <w:tab/>
      </w:r>
      <w:r>
        <w:rPr>
          <w:rFonts w:ascii="Constantia"/>
          <w:spacing w:val="-6"/>
          <w:w w:val="90"/>
          <w:position w:val="-3"/>
        </w:rPr>
        <w:t>0.01</w:t>
      </w:r>
    </w:p>
    <w:p>
      <w:pPr>
        <w:pStyle w:val="BodyText"/>
        <w:spacing w:before="9"/>
        <w:rPr>
          <w:rFonts w:ascii="Constantia"/>
          <w:sz w:val="15"/>
        </w:rPr>
      </w:pPr>
    </w:p>
    <w:p>
      <w:pPr>
        <w:pStyle w:val="BodyText"/>
        <w:tabs>
          <w:tab w:pos="4580" w:val="left" w:leader="none"/>
        </w:tabs>
        <w:spacing w:before="57"/>
        <w:ind w:left="385" w:right="127"/>
        <w:rPr>
          <w:rFonts w:ascii="Constantia"/>
        </w:rPr>
      </w:pPr>
      <w:r>
        <w:rPr>
          <w:rFonts w:ascii="Constantia"/>
          <w:spacing w:val="-5"/>
          <w:w w:val="90"/>
        </w:rPr>
        <w:t>0.01</w:t>
        <w:tab/>
      </w:r>
      <w:r>
        <w:rPr>
          <w:rFonts w:ascii="Constantia"/>
          <w:spacing w:val="-5"/>
          <w:w w:val="90"/>
          <w:position w:val="-2"/>
        </w:rPr>
        <w:t>0.01</w:t>
      </w:r>
    </w:p>
    <w:p>
      <w:pPr>
        <w:pStyle w:val="BodyText"/>
        <w:spacing w:before="6"/>
        <w:rPr>
          <w:rFonts w:ascii="Constantia"/>
          <w:sz w:val="16"/>
        </w:rPr>
      </w:pPr>
    </w:p>
    <w:p>
      <w:pPr>
        <w:pStyle w:val="BodyText"/>
        <w:tabs>
          <w:tab w:pos="4538" w:val="left" w:leader="none"/>
        </w:tabs>
        <w:spacing w:before="58"/>
        <w:ind w:left="348" w:right="127"/>
        <w:rPr>
          <w:rFonts w:ascii="Constantia"/>
        </w:rPr>
      </w:pPr>
      <w:r>
        <w:rPr>
          <w:rFonts w:ascii="Constantia"/>
          <w:spacing w:val="-5"/>
          <w:w w:val="90"/>
        </w:rPr>
        <w:t>0.00</w:t>
        <w:tab/>
      </w:r>
      <w:r>
        <w:rPr>
          <w:rFonts w:ascii="Constantia"/>
          <w:spacing w:val="-5"/>
          <w:w w:val="90"/>
          <w:position w:val="-2"/>
        </w:rPr>
        <w:t>0.00</w:t>
      </w:r>
    </w:p>
    <w:p>
      <w:pPr>
        <w:pStyle w:val="BodyText"/>
        <w:spacing w:before="6"/>
        <w:rPr>
          <w:rFonts w:ascii="Constantia"/>
          <w:sz w:val="16"/>
        </w:rPr>
      </w:pPr>
    </w:p>
    <w:p>
      <w:pPr>
        <w:spacing w:after="0"/>
        <w:rPr>
          <w:rFonts w:ascii="Constantia"/>
          <w:sz w:val="16"/>
        </w:rPr>
        <w:sectPr>
          <w:pgSz w:w="12250" w:h="15850"/>
          <w:pgMar w:header="0" w:footer="1037" w:top="1500" w:bottom="1220" w:left="1600" w:right="1580"/>
        </w:sectPr>
      </w:pPr>
    </w:p>
    <w:p>
      <w:pPr>
        <w:pStyle w:val="BodyText"/>
        <w:spacing w:before="58"/>
        <w:ind w:left="320" w:right="-16"/>
        <w:rPr>
          <w:rFonts w:ascii="Constantia"/>
        </w:rPr>
      </w:pPr>
      <w:r>
        <w:rPr>
          <w:rFonts w:ascii="Constantia"/>
          <w:w w:val="70"/>
        </w:rPr>
        <w:t>-0.01</w:t>
      </w:r>
    </w:p>
    <w:p>
      <w:pPr>
        <w:pStyle w:val="BodyText"/>
        <w:spacing w:before="8"/>
        <w:rPr>
          <w:rFonts w:ascii="Constantia"/>
          <w:sz w:val="23"/>
        </w:rPr>
      </w:pPr>
    </w:p>
    <w:p>
      <w:pPr>
        <w:pStyle w:val="BodyText"/>
        <w:ind w:left="320" w:right="-16"/>
        <w:rPr>
          <w:rFonts w:ascii="Constantia"/>
        </w:rPr>
      </w:pPr>
      <w:r>
        <w:rPr>
          <w:rFonts w:ascii="Constantia"/>
          <w:w w:val="70"/>
        </w:rPr>
        <w:t>-0.01</w:t>
      </w:r>
    </w:p>
    <w:p>
      <w:pPr>
        <w:pStyle w:val="BodyText"/>
        <w:spacing w:before="76"/>
        <w:ind w:left="320"/>
        <w:rPr>
          <w:rFonts w:ascii="Constantia"/>
        </w:rPr>
      </w:pPr>
      <w:r>
        <w:rPr/>
        <w:br w:type="column"/>
      </w:r>
      <w:r>
        <w:rPr>
          <w:rFonts w:ascii="Constantia"/>
          <w:w w:val="90"/>
        </w:rPr>
        <w:t>-0.01</w:t>
      </w:r>
    </w:p>
    <w:p>
      <w:pPr>
        <w:pStyle w:val="BodyText"/>
        <w:rPr>
          <w:rFonts w:ascii="Constantia"/>
          <w:sz w:val="23"/>
        </w:rPr>
      </w:pPr>
    </w:p>
    <w:p>
      <w:pPr>
        <w:pStyle w:val="BodyText"/>
        <w:spacing w:before="1"/>
        <w:ind w:left="320"/>
        <w:rPr>
          <w:rFonts w:ascii="Constantia"/>
        </w:rPr>
      </w:pPr>
      <w:r>
        <w:rPr>
          <w:rFonts w:ascii="Constantia"/>
          <w:w w:val="90"/>
        </w:rPr>
        <w:t>-0.01</w:t>
      </w:r>
    </w:p>
    <w:p>
      <w:pPr>
        <w:spacing w:after="0"/>
        <w:rPr>
          <w:rFonts w:ascii="Constantia"/>
        </w:rPr>
        <w:sectPr>
          <w:type w:val="continuous"/>
          <w:pgSz w:w="12250" w:h="15850"/>
          <w:pgMar w:top="1500" w:bottom="280" w:left="1600" w:right="1580"/>
          <w:cols w:num="2" w:equalWidth="0">
            <w:col w:w="661" w:space="3526"/>
            <w:col w:w="4883"/>
          </w:cols>
        </w:sectPr>
      </w:pPr>
    </w:p>
    <w:p>
      <w:pPr>
        <w:pStyle w:val="BodyText"/>
        <w:spacing w:before="2"/>
        <w:rPr>
          <w:rFonts w:ascii="Constantia"/>
          <w:sz w:val="18"/>
        </w:rPr>
      </w:pPr>
    </w:p>
    <w:p>
      <w:pPr>
        <w:pStyle w:val="BodyText"/>
        <w:tabs>
          <w:tab w:pos="4472" w:val="left" w:leader="none"/>
        </w:tabs>
        <w:spacing w:before="60"/>
        <w:ind w:left="289" w:right="127"/>
        <w:rPr>
          <w:rFonts w:ascii="Constantia"/>
        </w:rPr>
      </w:pPr>
      <w:r>
        <w:rPr>
          <w:rFonts w:ascii="Constantia"/>
          <w:spacing w:val="-3"/>
          <w:w w:val="90"/>
        </w:rPr>
        <w:t>-0.02</w:t>
        <w:tab/>
        <w:t>-0.02</w:t>
      </w:r>
    </w:p>
    <w:p>
      <w:pPr>
        <w:spacing w:before="110"/>
        <w:ind w:left="404" w:right="1204" w:firstLine="50"/>
        <w:jc w:val="left"/>
        <w:rPr>
          <w:sz w:val="20"/>
        </w:rPr>
      </w:pPr>
      <w:r>
        <w:rPr>
          <w:sz w:val="20"/>
        </w:rPr>
        <w:t>Asignac. De Ing. Fisc. Gasíferos es la razón de Gasto de capital/ Ing. Fisc. Gasíferos Asignac. De Ing. Fisc. No Gasíferos es la razón  Gasto corriente/ Ing. Fisc. No Gasíferos</w:t>
      </w:r>
    </w:p>
    <w:p>
      <w:pPr>
        <w:pStyle w:val="BodyText"/>
        <w:spacing w:before="9"/>
        <w:rPr>
          <w:sz w:val="19"/>
        </w:rPr>
      </w:pPr>
    </w:p>
    <w:p>
      <w:pPr>
        <w:spacing w:before="1"/>
        <w:ind w:left="404" w:right="127" w:firstLine="0"/>
        <w:jc w:val="left"/>
        <w:rPr>
          <w:sz w:val="20"/>
        </w:rPr>
      </w:pPr>
      <w:r>
        <w:rPr>
          <w:sz w:val="20"/>
        </w:rPr>
        <w:t>Estimaciones mediante funciones de impulso-respuesta en su definición estructural.</w:t>
      </w:r>
    </w:p>
    <w:p>
      <w:pPr>
        <w:pStyle w:val="BodyText"/>
        <w:rPr>
          <w:sz w:val="20"/>
        </w:rPr>
      </w:pPr>
    </w:p>
    <w:p>
      <w:pPr>
        <w:pStyle w:val="BodyText"/>
        <w:spacing w:before="1"/>
        <w:rPr>
          <w:sz w:val="28"/>
        </w:rPr>
      </w:pPr>
    </w:p>
    <w:p>
      <w:pPr>
        <w:pStyle w:val="BodyText"/>
        <w:spacing w:line="360" w:lineRule="auto"/>
        <w:ind w:left="102" w:right="112" w:firstLine="707"/>
      </w:pPr>
      <w:r>
        <w:rPr/>
        <w:t>En la </w:t>
      </w:r>
      <w:r>
        <w:rPr>
          <w:i/>
        </w:rPr>
        <w:t>figura 4.9</w:t>
      </w:r>
      <w:r>
        <w:rPr/>
        <w:t>, se observó que la deuda pública reacciona de forma positiva ante  un   choque  de  la  asignación   de  ingresos   fiscales   gasíferos   al   gasto   de  capital    </w:t>
      </w:r>
      <w:r>
        <w:rPr>
          <w:spacing w:val="37"/>
        </w:rPr>
        <w:t> </w:t>
      </w:r>
      <w:r>
        <w:rPr/>
        <w:t>y</w:t>
      </w:r>
    </w:p>
    <w:p>
      <w:pPr>
        <w:spacing w:after="0" w:line="360" w:lineRule="auto"/>
        <w:sectPr>
          <w:type w:val="continuous"/>
          <w:pgSz w:w="12250" w:h="15850"/>
          <w:pgMar w:top="1500" w:bottom="280" w:left="1600" w:right="1580"/>
        </w:sectPr>
      </w:pPr>
    </w:p>
    <w:p>
      <w:pPr>
        <w:pStyle w:val="BodyText"/>
        <w:spacing w:line="360" w:lineRule="auto" w:before="50"/>
        <w:ind w:left="102" w:right="99"/>
        <w:jc w:val="both"/>
      </w:pPr>
      <w:r>
        <w:rPr/>
        <w:t>negativamente ante un choque de precio del gas natural. Lo anterior significa, que la inversión pública genera mayor endeudamiento público y que el manejo de la  deuda pública fue contracíclico a los movimientos de precios del gas natural. Estos choques desaparecen después de tres años. Finalmente, se observa una mayor persistencia de la deuda pública frente a los choques del balance primario fiscal en comparación con las distintas mediciones de resultados fiscales con una duración de dos años (inciso</w:t>
      </w:r>
      <w:r>
        <w:rPr>
          <w:spacing w:val="-9"/>
        </w:rPr>
        <w:t> </w:t>
      </w:r>
      <w:r>
        <w:rPr/>
        <w:t>b).</w:t>
      </w:r>
    </w:p>
    <w:p>
      <w:pPr>
        <w:pStyle w:val="BodyText"/>
      </w:pPr>
    </w:p>
    <w:p>
      <w:pPr>
        <w:pStyle w:val="Heading4"/>
        <w:spacing w:before="145"/>
        <w:ind w:left="280" w:right="280" w:firstLine="0"/>
        <w:jc w:val="center"/>
      </w:pPr>
      <w:bookmarkStart w:name="_bookmark133" w:id="182"/>
      <w:bookmarkEnd w:id="182"/>
      <w:r>
        <w:rPr>
          <w:b w:val="0"/>
        </w:rPr>
      </w:r>
      <w:r>
        <w:rPr/>
        <w:t>Figura 4. 9: Respuesta de largo plazo de la deuda pública</w:t>
      </w:r>
    </w:p>
    <w:p>
      <w:pPr>
        <w:pStyle w:val="BodyText"/>
        <w:spacing w:before="7"/>
        <w:rPr>
          <w:b/>
          <w:sz w:val="23"/>
        </w:rPr>
      </w:pPr>
    </w:p>
    <w:p>
      <w:pPr>
        <w:pStyle w:val="BodyText"/>
        <w:ind w:left="279" w:right="280"/>
        <w:jc w:val="center"/>
      </w:pPr>
      <w:r>
        <w:rPr/>
        <w:t>Impulso-respuesta frente a una desviación estándar de choque estructural</w:t>
      </w:r>
    </w:p>
    <w:p>
      <w:pPr>
        <w:pStyle w:val="BodyText"/>
      </w:pPr>
    </w:p>
    <w:p>
      <w:pPr>
        <w:pStyle w:val="BodyText"/>
        <w:spacing w:before="4"/>
      </w:pPr>
    </w:p>
    <w:p>
      <w:pPr>
        <w:pStyle w:val="Heading4"/>
        <w:tabs>
          <w:tab w:pos="4636" w:val="left" w:leader="none"/>
          <w:tab w:pos="5591" w:val="left" w:leader="none"/>
        </w:tabs>
        <w:spacing w:before="1"/>
        <w:ind w:left="1722" w:right="145" w:hanging="1620"/>
      </w:pPr>
      <w:r>
        <w:rPr/>
        <w:t>a)  Respuesta frente a</w:t>
      </w:r>
      <w:r>
        <w:rPr>
          <w:spacing w:val="-8"/>
        </w:rPr>
        <w:t> </w:t>
      </w:r>
      <w:r>
        <w:rPr/>
        <w:t>diferentes</w:t>
      </w:r>
      <w:r>
        <w:rPr>
          <w:spacing w:val="-1"/>
        </w:rPr>
        <w:t> </w:t>
      </w:r>
      <w:r>
        <w:rPr/>
        <w:t>choques</w:t>
        <w:tab/>
        <w:t>b) Respuesta frente a</w:t>
      </w:r>
      <w:r>
        <w:rPr>
          <w:spacing w:val="-11"/>
        </w:rPr>
        <w:t> </w:t>
      </w:r>
      <w:r>
        <w:rPr/>
        <w:t>diversas</w:t>
      </w:r>
      <w:r>
        <w:rPr>
          <w:spacing w:val="-1"/>
        </w:rPr>
        <w:t> </w:t>
      </w:r>
      <w:r>
        <w:rPr/>
        <w:t>mediciones</w:t>
      </w:r>
      <w:r>
        <w:rPr>
          <w:w w:val="99"/>
        </w:rPr>
        <w:t> </w:t>
      </w:r>
      <w:r>
        <w:rPr/>
        <w:t>(Modelo</w:t>
      </w:r>
      <w:r>
        <w:rPr>
          <w:spacing w:val="-1"/>
        </w:rPr>
        <w:t> </w:t>
      </w:r>
      <w:r>
        <w:rPr/>
        <w:t>A)</w:t>
        <w:tab/>
        <w:tab/>
        <w:t>de resultados</w:t>
      </w:r>
      <w:r>
        <w:rPr>
          <w:spacing w:val="-6"/>
        </w:rPr>
        <w:t> </w:t>
      </w:r>
      <w:r>
        <w:rPr/>
        <w:t>fiscales</w:t>
      </w:r>
    </w:p>
    <w:p>
      <w:pPr>
        <w:spacing w:before="0"/>
        <w:ind w:left="5262" w:right="0" w:firstLine="0"/>
        <w:jc w:val="left"/>
        <w:rPr>
          <w:b/>
          <w:sz w:val="24"/>
        </w:rPr>
      </w:pPr>
      <w:r>
        <w:rPr/>
        <w:pict>
          <v:group style="position:absolute;margin-left:338.434509pt;margin-top:23.30065pt;width:176.85pt;height:115.65pt;mso-position-horizontal-relative:page;mso-position-vertical-relative:paragraph;z-index:-558880" coordorigin="6769,466" coordsize="3537,2313">
            <v:shape style="position:absolute;left:1050;top:5638;width:5865;height:3128" coordorigin="1050,5638" coordsize="5865,3128" path="m6836,2773l10295,2773m6832,2547l10300,2547m6832,2316l10300,2316m6832,2085l10300,2085m6832,1853l10300,1853m6832,1402l10300,1402m6832,1171l10300,1171m6832,939l10300,939m6832,708l10300,708m6832,477l10300,477e" filled="false" stroked="true" strokeweight=".497pt" strokecolor="#858585">
              <v:path arrowok="t"/>
              <v:stroke dashstyle="dash"/>
            </v:shape>
            <v:shape style="position:absolute;left:953;top:5630;width:5956;height:3135" coordorigin="953,5630" coordsize="5956,3135" path="m6836,2773l6836,472m6774,2773l6836,2773m6774,2541l6836,2541m6774,2321l6836,2321m6774,2090l6836,2090m6774,1859l6836,1859m6774,1628l6836,1628m6774,1396l6836,1396m6774,1165l6836,1165m6774,934l6836,934m6774,703l6836,703m6774,472l6836,472m6836,1628l10295,1628m6836,1628l6836,1694m7005,1628l7005,1694m7182,1628l7182,1694m7351,1628l7351,1694m7528,1628l7528,1694m7697,1628l7697,1694m7874,1628l7874,1694m8051,1628l8051,1694m8220,1628l8220,1694m8397,1628l8397,1694m8566,1628l8566,1694m8743,1628l8743,1694m8912,1628l8912,1694m9089,1628l9089,1694m9258,1628l9258,1694m9435,1628l9435,1694m9604,1628l9604,1694m9781,1628l9781,1694m9949,1628l9949,1694m10127,1628l10127,1694m10295,1628l10295,1694e" filled="false" stroked="true" strokeweight=".497pt" strokecolor="#858585">
              <v:path arrowok="t"/>
            </v:shape>
            <v:shape style="position:absolute;left:6925;top:1441;width:3291;height:744" coordorigin="6925,1441" coordsize="3291,744" path="m6925,1441l6950,1560,6962,1627,6974,1696,6987,1767,6999,1837,7012,1904,7024,1969,7036,2027,7061,2122,7098,2185,7111,2176,7135,2108,7160,1992,7172,1923,7185,1850,7197,1776,7209,1703,7222,1636,7234,1575,7259,1488,7289,1462,7306,1480,7323,1515,7341,1564,7358,1619,7375,1677,7393,1732,7410,1779,7427,1813,7445,1830,7469,1822,7494,1791,7519,1744,7543,1690,7568,1638,7593,1597,7618,1575,7652,1579,7687,1608,7722,1647,7756,1682,7791,1699,7834,1690,7877,1661,7921,1631,7964,1613,8007,1616,8051,1629,8094,1645,8137,1653,8181,1650,8224,1640,8267,1630,8310,1624,8354,1624,8397,1629,8440,1634,8484,1636,8527,1635,8570,1632,8613,1628,8657,1626,8700,1626,8743,1627,8787,1629,8830,1630,8873,1629,8917,1628,8960,1627,9003,1626,9046,1626,9090,1626,9133,1627,9176,1627,9220,1627,9263,1627,9306,1626,9349,1626,9393,1626,9436,1626,9479,1626,9523,1626,9566,1626,9609,1626,9653,1626,9696,1626,9739,1626,9782,1626,9826,1626,9869,1626,9912,1626,9956,1626,9999,1626,10042,1625,10086,1625,10129,1625,10172,1625,10215,1625e" filled="false" stroked="true" strokeweight="1.636014pt" strokecolor="#7c5f9f">
              <v:path arrowok="t"/>
              <v:stroke dashstyle="longDash"/>
            </v:shape>
            <v:shape style="position:absolute;left:6925;top:1330;width:3291;height:640" coordorigin="6925,1330" coordsize="3291,640" path="m6925,1330l6954,1450,6968,1517,6983,1586,6997,1655,7012,1722,7026,1785,7055,1890,7084,1956,7098,1969,7114,1963,7145,1891,7177,1770,7193,1701,7208,1634,7224,1571,7240,1518,7256,1480,7271,1459,7293,1461,7315,1488,7336,1533,7358,1588,7380,1646,7401,1698,7423,1738,7445,1758,7473,1752,7502,1723,7531,1680,7560,1634,7589,1596,7618,1576,7652,1579,7687,1600,7722,1628,7756,1654,7791,1667,7834,1662,7877,1645,7921,1626,7964,1616,8007,1617,8051,1625,8094,1635,8137,1640,8181,1638,8224,1634,8267,1628,8310,1625,8354,1625,8397,1628,8440,1630,8484,1631,8527,1631,8570,1629,8613,1628,8657,1627,8700,1627,8743,1627,8787,1628,8830,1628,8873,1628,8917,1628,8960,1627,9003,1627,9046,1627,9090,1627,9133,1627,9176,1627,9220,1627,9263,1627,9306,1627,9349,1626,9393,1626,9436,1626,9479,1626,9523,1626,9566,1626,9609,1626,9653,1626,9696,1626,9739,1626,9782,1626,9826,1626,9869,1626,9912,1626,9956,1626,9999,1626,10042,1626,10086,1626,10129,1626,10172,1626,10215,1626e" filled="false" stroked="true" strokeweight="1.63995pt" strokecolor="#497dba">
              <v:path arrowok="t"/>
              <v:stroke dashstyle="longDash"/>
            </v:shape>
            <v:line style="position:absolute" from="6894,1334" to="6956,1334" stroked="true" strokeweight="3.853871pt" strokecolor="#4f81bc"/>
            <v:rect style="position:absolute;left:6894;top:1296;width:62;height:77" filled="false" stroked="true" strokeweight=".48608pt" strokecolor="#497dba"/>
            <v:line style="position:absolute" from="7067,1968" to="7129,1968" stroked="true" strokeweight="3.853871pt" strokecolor="#4f81bc"/>
            <v:rect style="position:absolute;left:7067;top:1929;width:62;height:77" filled="false" stroked="true" strokeweight=".48608pt" strokecolor="#497dba"/>
            <v:line style="position:absolute" from="7241,1462" to="7303,1462" stroked="true" strokeweight="3.853871pt" strokecolor="#4f81bc"/>
            <v:rect style="position:absolute;left:7241;top:1424;width:62;height:77" filled="false" stroked="true" strokeweight=".48608pt" strokecolor="#497dba"/>
            <v:line style="position:absolute" from="7414,1758" to="7476,1758" stroked="true" strokeweight="3.853871pt" strokecolor="#4f81bc"/>
            <v:rect style="position:absolute;left:7414;top:1719;width:62;height:77" filled="false" stroked="true" strokeweight=".48608pt" strokecolor="#497dba"/>
            <v:line style="position:absolute" from="7587,1578" to="7649,1578" stroked="true" strokeweight="3.853871pt" strokecolor="#4f81bc"/>
            <v:rect style="position:absolute;left:7587;top:1539;width:62;height:77" filled="false" stroked="true" strokeweight=".48608pt" strokecolor="#497dba"/>
            <v:line style="position:absolute" from="7760,1668" to="7823,1668" stroked="true" strokeweight="3.853871pt" strokecolor="#4f81bc"/>
            <v:rect style="position:absolute;left:7760;top:1629;width:62;height:77" filled="false" stroked="true" strokeweight=".48608pt" strokecolor="#497dba"/>
            <v:line style="position:absolute" from="7934,1617" to="7996,1617" stroked="true" strokeweight="3.853871pt" strokecolor="#4f81bc"/>
            <v:rect style="position:absolute;left:7934;top:1578;width:62;height:77" filled="false" stroked="true" strokeweight=".48608pt" strokecolor="#497dba"/>
            <v:line style="position:absolute" from="8107,1641" to="8169,1641" stroked="true" strokeweight="3.853871pt" strokecolor="#4f81bc"/>
            <v:rect style="position:absolute;left:8107;top:1602;width:62;height:77" filled="false" stroked="true" strokeweight=".48608pt" strokecolor="#497dba"/>
            <v:line style="position:absolute" from="8280,1626" to="8342,1626" stroked="true" strokeweight="3.853871pt" strokecolor="#4f81bc"/>
            <v:rect style="position:absolute;left:8280;top:1588;width:62;height:77" filled="false" stroked="true" strokeweight=".48608pt" strokecolor="#497dba"/>
            <v:line style="position:absolute" from="8454,1632" to="8516,1632" stroked="true" strokeweight="3.853871pt" strokecolor="#4f81bc"/>
            <v:rect style="position:absolute;left:8454;top:1594;width:62;height:77" filled="false" stroked="true" strokeweight=".48608pt" strokecolor="#497dba"/>
            <v:line style="position:absolute" from="8627,1628" to="8689,1628" stroked="true" strokeweight="3.853871pt" strokecolor="#4f81bc"/>
            <v:rect style="position:absolute;left:8627;top:1590;width:62;height:77" filled="false" stroked="true" strokeweight=".48608pt" strokecolor="#497dba"/>
            <v:line style="position:absolute" from="8800,1629" to="8862,1629" stroked="true" strokeweight="3.853871pt" strokecolor="#4f81bc"/>
            <v:rect style="position:absolute;left:8800;top:1591;width:62;height:77" filled="false" stroked="true" strokeweight=".48608pt" strokecolor="#497dba"/>
            <v:line style="position:absolute" from="8973,1628" to="9036,1628" stroked="true" strokeweight="3.853871pt" strokecolor="#4f81bc"/>
            <v:rect style="position:absolute;left:8973;top:1589;width:62;height:77" filled="false" stroked="true" strokeweight=".48608pt" strokecolor="#497dba"/>
            <v:line style="position:absolute" from="9147,1628" to="9209,1628" stroked="true" strokeweight="3.853871pt" strokecolor="#4f81bc"/>
            <v:rect style="position:absolute;left:9147;top:1590;width:62;height:77" filled="false" stroked="true" strokeweight=".48608pt" strokecolor="#497dba"/>
            <v:line style="position:absolute" from="9320,1628" to="9382,1628" stroked="true" strokeweight="3.853871pt" strokecolor="#4f81bc"/>
            <v:rect style="position:absolute;left:9320;top:1589;width:62;height:77" filled="false" stroked="true" strokeweight=".48608pt" strokecolor="#497dba"/>
            <v:line style="position:absolute" from="9493,1628" to="9555,1628" stroked="true" strokeweight="3.853871pt" strokecolor="#4f81bc"/>
            <v:rect style="position:absolute;left:9493;top:1589;width:62;height:77" filled="false" stroked="true" strokeweight=".48608pt" strokecolor="#497dba"/>
            <v:line style="position:absolute" from="9667,1627" to="9729,1627" stroked="true" strokeweight="3.853871pt" strokecolor="#4f81bc"/>
            <v:rect style="position:absolute;left:9667;top:1589;width:62;height:77" filled="false" stroked="true" strokeweight=".48608pt" strokecolor="#497dba"/>
            <v:line style="position:absolute" from="9840,1627" to="9902,1627" stroked="true" strokeweight="3.853871pt" strokecolor="#4f81bc"/>
            <v:rect style="position:absolute;left:9840;top:1589;width:62;height:77" filled="false" stroked="true" strokeweight=".48608pt" strokecolor="#497dba"/>
            <v:line style="position:absolute" from="10013,1627" to="10075,1627" stroked="true" strokeweight="3.853871pt" strokecolor="#4f81bc"/>
            <v:rect style="position:absolute;left:10013;top:1589;width:62;height:77" filled="false" stroked="true" strokeweight=".48608pt" strokecolor="#497dba"/>
            <v:line style="position:absolute" from="10186,1627" to="10248,1627" stroked="true" strokeweight="3.853871pt" strokecolor="#4f81bc"/>
            <v:rect style="position:absolute;left:10186;top:1589;width:62;height:77" filled="false" stroked="true" strokeweight=".48608pt" strokecolor="#497dba"/>
            <v:shape style="position:absolute;left:6925;top:780;width:3291;height:1796" coordorigin="6925,780" coordsize="3291,1796" path="m6925,780l6936,902,6942,968,6947,1036,6953,1106,6958,1178,6964,1251,6970,1325,6975,1401,6981,1476,6986,1552,6992,1628,6998,1703,7003,1777,7009,1850,7014,1921,7020,1991,7026,2058,7031,2122,7037,2184,7048,2297,7059,2395,7070,2475,7087,2553,7098,2575,7104,2574,7122,2514,7134,2432,7146,2323,7152,2261,7158,2195,7164,2124,7170,2051,7176,1975,7182,1898,7188,1820,7194,1741,7200,1664,7206,1588,7212,1513,7218,1442,7224,1374,7230,1310,7241,1197,7253,1110,7271,1040,7280,1034,7288,1041,7313,1132,7329,1236,7337,1297,7346,1363,7354,1432,7362,1502,7370,1573,7379,1643,7387,1711,7395,1775,7403,1835,7420,1934,7436,1998,7458,2018,7471,2002,7498,1922,7524,1801,7538,1734,7551,1666,7564,1601,7578,1542,7604,1457,7639,1436,7661,1462,7683,1507,7704,1562,7726,1621,7748,1676,7769,1718,7791,1739,7820,1737,7849,1712,7877,1674,7906,1634,7935,1599,7964,1581,8007,1586,8051,1611,8094,1639,8137,1656,8181,1653,8224,1641,8267,1627,8310,1618,8354,1619,8397,1624,8440,1631,8484,1634,8527,1634,8570,1631,8613,1628,8657,1626,8700,1626,8743,1627,8787,1628,8830,1629,8873,1629,8917,1628,8960,1627,9003,1627,9046,1627,9090,1627,9133,1627,9176,1627,9220,1627,9263,1627,9306,1627,9349,1627,9393,1627,9436,1627,9479,1627,9523,1627,9566,1627,9609,1627,9653,1627,9696,1627,9739,1627,9782,1627,9826,1627,9869,1627,9912,1627,10172,1627,10215,1627e" filled="false" stroked="true" strokeweight="1.577926pt" strokecolor="#bd4a47">
              <v:path arrowok="t"/>
            </v:shape>
            <v:shape style="position:absolute;left:6925;top:1407;width:3291;height:374" coordorigin="6925,1407" coordsize="3291,374" path="m6925,1407l6968,1429,7012,1448,7055,1472,7098,1509,7127,1550,7156,1605,7185,1664,7214,1719,7242,1761,7271,1781,7300,1771,7329,1737,7358,1690,7387,1641,7416,1600,7445,1578,7479,1582,7514,1606,7548,1638,7583,1667,7618,1682,7661,1675,7704,1654,7748,1631,7791,1618,7834,1620,7877,1630,7921,1641,7964,1647,8007,1645,8051,1639,8094,1632,8137,1628,8181,1628,8224,1631,8267,1634,8310,1635,8354,1634,8397,1632,8440,1630,8484,1629,8527,1629,8570,1629,8613,1630,8657,1630,8700,1630,8743,1629,8787,1629,8830,1628,8873,1628,8917,1628,8960,1628,9003,1628,9046,1628,9090,1628,9133,1627,9176,1627,9220,1627,9263,1627,9306,1627,9349,1627,9393,1627,9436,1627,9523,1626,9609,1626,9653,1626,9696,1626,9739,1626,9782,1626,9826,1626,9869,1626,9912,1626,9956,1626,9999,1626,10042,1626,10086,1626,10129,1626,10172,1626,10215,1625e" filled="false" stroked="true" strokeweight="1.647535pt" strokecolor="#97b853">
              <v:path arrowok="t"/>
              <v:stroke dashstyle="longDash"/>
            </v:shape>
            <v:shape style="position:absolute;left:6894;top:1367;width:63;height:78" coordorigin="6894,1367" coordsize="63,78" path="m6925,1367l6894,1406,6925,1444,6956,1406,6925,1367xe" filled="true" fillcolor="#9bba58" stroked="false">
              <v:path arrowok="t"/>
              <v:fill type="solid"/>
            </v:shape>
            <v:shape style="position:absolute;left:6894;top:1367;width:63;height:78" coordorigin="6894,1367" coordsize="63,78" path="m6925,1444l6894,1406,6925,1367,6956,1406,6925,1444xe" filled="false" stroked="true" strokeweight=".486081pt" strokecolor="#97b853">
              <v:path arrowok="t"/>
            </v:shape>
            <v:shape style="position:absolute;left:7067;top:1471;width:63;height:78" coordorigin="7067,1471" coordsize="63,78" path="m7098,1471l7067,1509,7098,1548,7129,1509,7098,1471xe" filled="true" fillcolor="#9bba58" stroked="false">
              <v:path arrowok="t"/>
              <v:fill type="solid"/>
            </v:shape>
            <v:shape style="position:absolute;left:7067;top:1471;width:63;height:78" coordorigin="7067,1471" coordsize="63,78" path="m7098,1548l7067,1509,7098,1471,7129,1509,7098,1548xe" filled="false" stroked="true" strokeweight=".486081pt" strokecolor="#97b853">
              <v:path arrowok="t"/>
            </v:shape>
            <v:shape style="position:absolute;left:7241;top:1748;width:63;height:78" coordorigin="7241,1748" coordsize="63,78" path="m7272,1748l7241,1786,7272,1825,7303,1786,7272,1748xe" filled="true" fillcolor="#9bba58" stroked="false">
              <v:path arrowok="t"/>
              <v:fill type="solid"/>
            </v:shape>
            <v:shape style="position:absolute;left:7241;top:1748;width:63;height:78" coordorigin="7241,1748" coordsize="63,78" path="m7272,1825l7241,1786,7272,1748,7303,1786,7272,1825xe" filled="false" stroked="true" strokeweight=".486081pt" strokecolor="#97b853">
              <v:path arrowok="t"/>
            </v:shape>
            <v:shape style="position:absolute;left:7414;top:1541;width:63;height:78" coordorigin="7414,1541" coordsize="63,78" path="m7445,1541l7414,1580,7445,1618,7476,1580,7445,1541xe" filled="true" fillcolor="#9bba58" stroked="false">
              <v:path arrowok="t"/>
              <v:fill type="solid"/>
            </v:shape>
            <v:shape style="position:absolute;left:7414;top:1541;width:63;height:78" coordorigin="7414,1541" coordsize="63,78" path="m7445,1618l7414,1580,7445,1541,7476,1580,7445,1618xe" filled="false" stroked="true" strokeweight=".486081pt" strokecolor="#97b853">
              <v:path arrowok="t"/>
            </v:shape>
            <v:shape style="position:absolute;left:7587;top:1646;width:63;height:78" coordorigin="7587,1646" coordsize="63,78" path="m7618,1646l7587,1685,7618,1724,7649,1685,7618,1646xe" filled="true" fillcolor="#9bba58" stroked="false">
              <v:path arrowok="t"/>
              <v:fill type="solid"/>
            </v:shape>
            <v:shape style="position:absolute;left:7587;top:1646;width:63;height:78" coordorigin="7587,1646" coordsize="63,78" path="m7618,1724l7587,1685,7618,1646,7649,1685,7618,1724xe" filled="false" stroked="true" strokeweight=".486081pt" strokecolor="#97b853">
              <v:path arrowok="t"/>
            </v:shape>
            <v:shape style="position:absolute;left:7760;top:1581;width:63;height:78" coordorigin="7760,1581" coordsize="63,78" path="m7791,1581l7760,1620,7791,1658,7823,1620,7791,1581xe" filled="true" fillcolor="#9bba58" stroked="false">
              <v:path arrowok="t"/>
              <v:fill type="solid"/>
            </v:shape>
            <v:shape style="position:absolute;left:7760;top:1581;width:63;height:78" coordorigin="7760,1581" coordsize="63,78" path="m7791,1658l7760,1620,7791,1581,7823,1620,7791,1658xe" filled="false" stroked="true" strokeweight=".486081pt" strokecolor="#97b853">
              <v:path arrowok="t"/>
            </v:shape>
            <v:shape style="position:absolute;left:7934;top:1611;width:63;height:78" coordorigin="7934,1611" coordsize="63,78" path="m7965,1611l7934,1650,7965,1688,7996,1650,7965,1611xe" filled="true" fillcolor="#9bba58" stroked="false">
              <v:path arrowok="t"/>
              <v:fill type="solid"/>
            </v:shape>
            <v:shape style="position:absolute;left:7934;top:1611;width:63;height:78" coordorigin="7934,1611" coordsize="63,78" path="m7965,1688l7934,1650,7965,1611,7996,1650,7965,1688xe" filled="false" stroked="true" strokeweight=".486081pt" strokecolor="#97b853">
              <v:path arrowok="t"/>
            </v:shape>
            <v:shape style="position:absolute;left:8107;top:1591;width:63;height:78" coordorigin="8107,1591" coordsize="63,78" path="m8138,1591l8107,1630,8138,1668,8169,1630,8138,1591xe" filled="true" fillcolor="#9bba58" stroked="false">
              <v:path arrowok="t"/>
              <v:fill type="solid"/>
            </v:shape>
            <v:shape style="position:absolute;left:8107;top:1591;width:63;height:78" coordorigin="8107,1591" coordsize="63,78" path="m8138,1668l8107,1630,8138,1591,8169,1630,8138,1668xe" filled="false" stroked="true" strokeweight=".486081pt" strokecolor="#97b853">
              <v:path arrowok="t"/>
            </v:shape>
            <v:shape style="position:absolute;left:8280;top:1599;width:63;height:78" coordorigin="8280,1599" coordsize="63,78" path="m8311,1599l8280,1637,8311,1676,8342,1637,8311,1599xe" filled="true" fillcolor="#9bba58" stroked="false">
              <v:path arrowok="t"/>
              <v:fill type="solid"/>
            </v:shape>
            <v:shape style="position:absolute;left:8280;top:1599;width:63;height:78" coordorigin="8280,1599" coordsize="63,78" path="m8311,1676l8280,1637,8311,1599,8342,1637,8311,1676xe" filled="false" stroked="true" strokeweight=".486081pt" strokecolor="#97b853">
              <v:path arrowok="t"/>
            </v:shape>
            <v:shape style="position:absolute;left:8454;top:1593;width:63;height:78" coordorigin="8454,1593" coordsize="63,78" path="m8485,1593l8454,1631,8485,1670,8516,1631,8485,1593xe" filled="true" fillcolor="#9bba58" stroked="false">
              <v:path arrowok="t"/>
              <v:fill type="solid"/>
            </v:shape>
            <v:shape style="position:absolute;left:8454;top:1593;width:63;height:78" coordorigin="8454,1593" coordsize="63,78" path="m8485,1670l8454,1631,8485,1593,8516,1631,8485,1670xe" filled="false" stroked="true" strokeweight=".486081pt" strokecolor="#97b853">
              <v:path arrowok="t"/>
            </v:shape>
            <v:shape style="position:absolute;left:8627;top:1594;width:63;height:78" coordorigin="8627,1594" coordsize="63,78" path="m8658,1594l8627,1632,8658,1671,8689,1632,8658,1594xe" filled="true" fillcolor="#9bba58" stroked="false">
              <v:path arrowok="t"/>
              <v:fill type="solid"/>
            </v:shape>
            <v:shape style="position:absolute;left:8627;top:1594;width:63;height:78" coordorigin="8627,1594" coordsize="63,78" path="m8658,1671l8627,1632,8658,1594,8689,1632,8658,1671xe" filled="false" stroked="true" strokeweight=".486081pt" strokecolor="#97b853">
              <v:path arrowok="t"/>
            </v:shape>
            <v:shape style="position:absolute;left:8800;top:1592;width:63;height:78" coordorigin="8800,1592" coordsize="63,78" path="m8831,1592l8800,1630,8831,1669,8862,1630,8831,1592xe" filled="true" fillcolor="#9bba58" stroked="false">
              <v:path arrowok="t"/>
              <v:fill type="solid"/>
            </v:shape>
            <v:shape style="position:absolute;left:8800;top:1592;width:63;height:78" coordorigin="8800,1592" coordsize="63,78" path="m8831,1669l8800,1630,8831,1592,8862,1630,8831,1669xe" filled="false" stroked="true" strokeweight=".486081pt" strokecolor="#97b853">
              <v:path arrowok="t"/>
            </v:shape>
            <v:shape style="position:absolute;left:8973;top:1592;width:63;height:78" coordorigin="8973,1592" coordsize="63,78" path="m9005,1592l8973,1630,9005,1669,9036,1630,9005,1592xe" filled="true" fillcolor="#9bba58" stroked="false">
              <v:path arrowok="t"/>
              <v:fill type="solid"/>
            </v:shape>
            <v:shape style="position:absolute;left:8973;top:1592;width:63;height:78" coordorigin="8973,1592" coordsize="63,78" path="m9005,1669l8973,1630,9005,1592,9036,1630,9005,1669xe" filled="false" stroked="true" strokeweight=".486081pt" strokecolor="#97b853">
              <v:path arrowok="t"/>
            </v:shape>
            <v:shape style="position:absolute;left:9147;top:1591;width:63;height:78" coordorigin="9147,1591" coordsize="63,78" path="m9178,1591l9147,1629,9178,1668,9209,1629,9178,1591xe" filled="true" fillcolor="#9bba58" stroked="false">
              <v:path arrowok="t"/>
              <v:fill type="solid"/>
            </v:shape>
            <v:shape style="position:absolute;left:9147;top:1591;width:63;height:78" coordorigin="9147,1591" coordsize="63,78" path="m9178,1668l9147,1629,9178,1591,9209,1629,9178,1668xe" filled="false" stroked="true" strokeweight=".486081pt" strokecolor="#97b853">
              <v:path arrowok="t"/>
            </v:shape>
            <v:shape style="position:absolute;left:9320;top:1590;width:63;height:78" coordorigin="9320,1590" coordsize="63,78" path="m9351,1590l9320,1629,9351,1667,9382,1629,9351,1590xe" filled="true" fillcolor="#9bba58" stroked="false">
              <v:path arrowok="t"/>
              <v:fill type="solid"/>
            </v:shape>
            <v:shape style="position:absolute;left:9320;top:1590;width:63;height:78" coordorigin="9320,1590" coordsize="63,78" path="m9351,1667l9320,1629,9351,1590,9382,1629,9351,1667xe" filled="false" stroked="true" strokeweight=".486081pt" strokecolor="#97b853">
              <v:path arrowok="t"/>
            </v:shape>
            <v:shape style="position:absolute;left:9493;top:1590;width:63;height:78" coordorigin="9493,1590" coordsize="63,78" path="m9524,1590l9493,1628,9524,1667,9555,1628,9524,1590xe" filled="true" fillcolor="#9bba58" stroked="false">
              <v:path arrowok="t"/>
              <v:fill type="solid"/>
            </v:shape>
            <v:shape style="position:absolute;left:9493;top:1590;width:63;height:78" coordorigin="9493,1590" coordsize="63,78" path="m9524,1667l9493,1628,9524,1590,9555,1628,9524,1667xe" filled="false" stroked="true" strokeweight=".486081pt" strokecolor="#97b853">
              <v:path arrowok="t"/>
            </v:shape>
            <v:shape style="position:absolute;left:9667;top:1590;width:63;height:78" coordorigin="9667,1590" coordsize="63,78" path="m9698,1590l9667,1628,9698,1667,9729,1628,9698,1590xe" filled="true" fillcolor="#9bba58" stroked="false">
              <v:path arrowok="t"/>
              <v:fill type="solid"/>
            </v:shape>
            <v:shape style="position:absolute;left:9667;top:1590;width:63;height:78" coordorigin="9667,1590" coordsize="63,78" path="m9698,1667l9667,1628,9698,1590,9729,1628,9698,1667xe" filled="false" stroked="true" strokeweight=".486081pt" strokecolor="#97b853">
              <v:path arrowok="t"/>
            </v:shape>
            <v:shape style="position:absolute;left:9840;top:1589;width:63;height:78" coordorigin="9840,1589" coordsize="63,78" path="m9871,1589l9840,1628,9871,1666,9902,1628,9871,1589xe" filled="true" fillcolor="#9bba58" stroked="false">
              <v:path arrowok="t"/>
              <v:fill type="solid"/>
            </v:shape>
            <v:shape style="position:absolute;left:9840;top:1589;width:63;height:78" coordorigin="9840,1589" coordsize="63,78" path="m9871,1666l9840,1628,9871,1589,9902,1628,9871,1666xe" filled="false" stroked="true" strokeweight=".486081pt" strokecolor="#97b853">
              <v:path arrowok="t"/>
            </v:shape>
            <v:shape style="position:absolute;left:10013;top:1589;width:63;height:78" coordorigin="10013,1589" coordsize="63,78" path="m10044,1589l10013,1628,10044,1666,10075,1628,10044,1589xe" filled="true" fillcolor="#9bba58" stroked="false">
              <v:path arrowok="t"/>
              <v:fill type="solid"/>
            </v:shape>
            <v:shape style="position:absolute;left:10013;top:1589;width:63;height:78" coordorigin="10013,1589" coordsize="63,78" path="m10044,1666l10013,1628,10044,1589,10075,1628,10044,1666xe" filled="false" stroked="true" strokeweight=".486081pt" strokecolor="#97b853">
              <v:path arrowok="t"/>
            </v:shape>
            <v:shape style="position:absolute;left:10186;top:1589;width:63;height:78" coordorigin="10186,1589" coordsize="63,78" path="m10217,1589l10186,1628,10217,1666,10248,1628,10217,1589xe" filled="true" fillcolor="#9bba58" stroked="false">
              <v:path arrowok="t"/>
              <v:fill type="solid"/>
            </v:shape>
            <v:shape style="position:absolute;left:10186;top:1589;width:63;height:78" coordorigin="10186,1589" coordsize="63,78" path="m10217,1666l10186,1628,10217,1589,10248,1628,10217,1666xe" filled="false" stroked="true" strokeweight=".486081pt" strokecolor="#97b853">
              <v:path arrowok="t"/>
            </v:shape>
            <v:line style="position:absolute" from="7626,2530" to="7927,2530" stroked="true" strokeweight="1.651628pt" strokecolor="#497dba">
              <v:stroke dashstyle="longDash"/>
            </v:line>
            <v:line style="position:absolute" from="7741,2525" to="7803,2525" stroked="true" strokeweight="3.853798pt" strokecolor="#4f81bc"/>
            <v:rect style="position:absolute;left:7741;top:2486;width:62;height:77" filled="false" stroked="true" strokeweight=".485596pt" strokecolor="#497dba"/>
            <w10:wrap type="none"/>
          </v:group>
        </w:pict>
      </w:r>
      <w:r>
        <w:rPr>
          <w:b/>
          <w:sz w:val="24"/>
        </w:rPr>
        <w:t>(Modelo A, B, C y D)</w:t>
      </w:r>
    </w:p>
    <w:p>
      <w:pPr>
        <w:spacing w:after="0"/>
        <w:jc w:val="left"/>
        <w:rPr>
          <w:sz w:val="24"/>
        </w:rPr>
        <w:sectPr>
          <w:pgSz w:w="12250" w:h="15850"/>
          <w:pgMar w:header="0" w:footer="1037" w:top="1360" w:bottom="1220" w:left="1600" w:right="1600"/>
        </w:sectPr>
      </w:pPr>
    </w:p>
    <w:p>
      <w:pPr>
        <w:spacing w:before="96"/>
        <w:ind w:left="343" w:right="-16" w:firstLine="0"/>
        <w:jc w:val="left"/>
        <w:rPr>
          <w:rFonts w:ascii="Constantia"/>
          <w:sz w:val="19"/>
        </w:rPr>
      </w:pPr>
      <w:r>
        <w:rPr/>
        <w:pict>
          <v:group style="position:absolute;margin-left:118.672112pt;margin-top:10.847734pt;width:169.4pt;height:135.4pt;mso-position-horizontal-relative:page;mso-position-vertical-relative:paragraph;z-index:13216" coordorigin="2373,217" coordsize="3388,2708">
            <v:shape style="position:absolute;left:1170;top:4596;width:5865;height:4253" coordorigin="1170,4596" coordsize="5865,4253" path="m2438,2818l5751,2818m2434,2292l5755,2292m2434,1779l5755,1779m2434,744l5755,744m2434,222l5755,222e" filled="false" stroked="true" strokeweight=".441365pt" strokecolor="#858585">
              <v:path arrowok="t"/>
              <v:stroke dashstyle="dash"/>
            </v:shape>
            <v:shape style="position:absolute;left:1073;top:4603;width:5956;height:4245" coordorigin="1073,4603" coordsize="5956,4245" path="m2438,2818l2438,226m2378,2818l2438,2818m2378,2296l2438,2296m2378,1774l2438,1774m2378,1261l2438,1261m2378,739l2438,739m2378,226l2438,226m2438,1261l5751,1261m2438,1261l2438,1316m2599,1261l2599,1316m2769,1261l2769,1316m2931,1261l2931,1316m3101,1261l3101,1316m3262,1261l3262,1316m3432,1261l3432,1316m3602,1261l3602,1316m3763,1261l3763,1316m3933,1261l3933,1316m4095,1261l4095,1316m4265,1261l4265,1316m4426,1261l4426,1316m4596,1261l4596,1316m4757,1261l4757,1316m4927,1261l4927,1316m5089,1261l5089,1316m5259,1261l5259,1316m5420,1261l5420,1316m5590,1261l5590,1316m5751,1261l5751,1316e" filled="false" stroked="true" strokeweight=".441365pt" strokecolor="#858585">
              <v:path arrowok="t"/>
            </v:shape>
            <v:shape style="position:absolute;left:2524;top:1280;width:3151;height:1548" coordorigin="2524,1280" coordsize="3151,1548" path="m2524,2828l2539,2738,2556,2630,2573,2517,2581,2460,2589,2404,2606,2292,2622,2187,2639,2092,2656,2010,2672,1945,2703,1886,2716,1888,2758,1974,2786,2063,2799,2107,2813,2146,2827,2177,2841,2197,2855,2203,2873,2189,2892,2159,2910,2116,2928,2064,2947,2009,2965,1954,2984,1903,3002,1862,3021,1833,3054,1811,3087,1813,3120,1825,3153,1834,3186,1829,3220,1804,3253,1768,3286,1728,3319,1690,3352,1662,3394,1642,3435,1631,3477,1624,3518,1611,3560,1592,3601,1569,3643,1546,3684,1527,3726,1513,3767,1502,3808,1492,3850,1482,3891,1470,3933,1457,3974,1445,4016,1434,4057,1425,4099,1416,4140,1409,4182,1401,4265,1386,4348,1372,4431,1361,4514,1351,4596,1341,4679,1333,4762,1325,4845,1318,4928,1312,5011,1307,5094,1302,5177,1298,5260,1294,5343,1290,5426,1287,5509,1285,5592,1282,5633,1281,5675,1280e" filled="false" stroked="true" strokeweight="1.354489pt" strokecolor="#497dba">
              <v:path arrowok="t"/>
            </v:shape>
            <v:line style="position:absolute" from="2659,1906" to="2719,1906" stroked="true" strokeweight="3.205673pt" strokecolor="#4f81bc"/>
            <v:rect style="position:absolute;left:2659;top:1874;width:59;height:64" filled="false" stroked="true" strokeweight=".440561pt" strokecolor="#497dba"/>
            <v:line style="position:absolute" from="2825,2207" to="2885,2207" stroked="true" strokeweight="3.205673pt" strokecolor="#4f81bc"/>
            <v:rect style="position:absolute;left:2825;top:2175;width:59;height:64" filled="false" stroked="true" strokeweight=".440561pt" strokecolor="#497dba"/>
            <v:line style="position:absolute" from="2991,1837" to="3051,1837" stroked="true" strokeweight="3.205673pt" strokecolor="#4f81bc"/>
            <v:rect style="position:absolute;left:2991;top:1804;width:59;height:64" filled="false" stroked="true" strokeweight=".440561pt" strokecolor="#497dba"/>
            <v:line style="position:absolute" from="3157,1833" to="3217,1833" stroked="true" strokeweight="3.205673pt" strokecolor="#4f81bc"/>
            <v:rect style="position:absolute;left:3157;top:1801;width:59;height:64" filled="false" stroked="true" strokeweight=".440561pt" strokecolor="#497dba"/>
            <v:line style="position:absolute" from="3323,1665" to="3383,1665" stroked="true" strokeweight="3.205673pt" strokecolor="#4f81bc"/>
            <v:rect style="position:absolute;left:3323;top:1633;width:59;height:64" filled="false" stroked="true" strokeweight=".440561pt" strokecolor="#497dba"/>
            <v:line style="position:absolute" from="3489,1615" to="3549,1615" stroked="true" strokeweight="3.205673pt" strokecolor="#4f81bc"/>
            <v:rect style="position:absolute;left:3489;top:1582;width:59;height:64" filled="false" stroked="true" strokeweight=".440561pt" strokecolor="#497dba"/>
            <v:line style="position:absolute" from="3655,1530" to="3715,1530" stroked="true" strokeweight="3.205673pt" strokecolor="#4f81bc"/>
            <v:rect style="position:absolute;left:3655;top:1498;width:59;height:64" filled="false" stroked="true" strokeweight=".440561pt" strokecolor="#497dba"/>
            <v:line style="position:absolute" from="3821,1485" to="3881,1485" stroked="true" strokeweight="3.205673pt" strokecolor="#4f81bc"/>
            <v:rect style="position:absolute;left:3821;top:1453;width:59;height:64" filled="false" stroked="true" strokeweight=".440561pt" strokecolor="#497dba"/>
            <v:line style="position:absolute" from="3987,1437" to="4047,1437" stroked="true" strokeweight="3.205673pt" strokecolor="#4f81bc"/>
            <v:rect style="position:absolute;left:3987;top:1405;width:59;height:64" filled="false" stroked="true" strokeweight=".440561pt" strokecolor="#497dba"/>
            <v:line style="position:absolute" from="4153,1405" to="4213,1405" stroked="true" strokeweight="3.205673pt" strokecolor="#4f81bc"/>
            <v:rect style="position:absolute;left:4153;top:1373;width:59;height:64" filled="false" stroked="true" strokeweight=".440561pt" strokecolor="#497dba"/>
            <v:line style="position:absolute" from="4319,1376" to="4379,1376" stroked="true" strokeweight="3.205673pt" strokecolor="#4f81bc"/>
            <v:rect style="position:absolute;left:4319;top:1343;width:59;height:64" filled="false" stroked="true" strokeweight=".440561pt" strokecolor="#497dba"/>
            <v:line style="position:absolute" from="4485,1354" to="4545,1354" stroked="true" strokeweight="3.205673pt" strokecolor="#4f81bc"/>
            <v:rect style="position:absolute;left:4485;top:1322;width:59;height:64" filled="false" stroked="true" strokeweight=".440561pt" strokecolor="#497dba"/>
            <v:line style="position:absolute" from="4651,1336" to="4711,1336" stroked="true" strokeweight="3.205673pt" strokecolor="#4f81bc"/>
            <v:rect style="position:absolute;left:4651;top:1304;width:59;height:64" filled="false" stroked="true" strokeweight=".440561pt" strokecolor="#497dba"/>
            <v:line style="position:absolute" from="4817,1321" to="4877,1321" stroked="true" strokeweight="3.205673pt" strokecolor="#4f81bc"/>
            <v:rect style="position:absolute;left:4817;top:1289;width:59;height:64" filled="false" stroked="true" strokeweight=".440561pt" strokecolor="#497dba"/>
            <v:line style="position:absolute" from="4983,1310" to="5043,1310" stroked="true" strokeweight="3.205673pt" strokecolor="#4f81bc"/>
            <v:rect style="position:absolute;left:4983;top:1278;width:59;height:64" filled="false" stroked="true" strokeweight=".440561pt" strokecolor="#497dba"/>
            <v:line style="position:absolute" from="5149,1301" to="5208,1301" stroked="true" strokeweight="3.205673pt" strokecolor="#4f81bc"/>
            <v:rect style="position:absolute;left:5149;top:1269;width:59;height:64" filled="false" stroked="true" strokeweight=".440561pt" strokecolor="#497dba"/>
            <v:line style="position:absolute" from="5315,1293" to="5375,1293" stroked="true" strokeweight="3.205673pt" strokecolor="#4f81bc"/>
            <v:rect style="position:absolute;left:5315;top:1261;width:59;height:64" filled="false" stroked="true" strokeweight=".440561pt" strokecolor="#497dba"/>
            <v:line style="position:absolute" from="5481,1287" to="5540,1287" stroked="true" strokeweight="3.205673pt" strokecolor="#4f81bc"/>
            <v:rect style="position:absolute;left:5481;top:1255;width:59;height:64" filled="false" stroked="true" strokeweight=".440561pt" strokecolor="#497dba"/>
            <v:line style="position:absolute" from="5647,1283" to="5706,1283" stroked="true" strokeweight="3.205673pt" strokecolor="#4f81bc"/>
            <v:rect style="position:absolute;left:5647;top:1251;width:59;height:64" filled="false" stroked="true" strokeweight=".440561pt" strokecolor="#497dba"/>
            <v:shape style="position:absolute;left:2523;top:480;width:3152;height:1029" coordorigin="2523,480" coordsize="3152,1029" path="m2523,1509l2539,1406,2554,1293,2570,1175,2578,1114,2586,1054,2594,995,2610,879,2626,770,2641,674,2657,592,2673,530,2701,480,2712,484,2748,568,2772,661,2795,765,2807,816,2831,905,2855,963,2920,1004,2955,1002,2989,999,3021,1004,3062,1028,3103,1058,3145,1087,3186,1108,3228,1117,3269,1119,3311,1119,3352,1122,3394,1130,3435,1141,3477,1152,3518,1161,3560,1166,3601,1170,3643,1172,3684,1176,3726,1181,3767,1186,3808,1191,3850,1196,3891,1200,3933,1202,3974,1205,4016,1208,4057,1211,4099,1214,4140,1217,4223,1222,4306,1226,4348,1228,4389,1230,4472,1233,4555,1236,4638,1239,4721,1242,4804,1244,4887,1246,4970,1248,5053,1249,5136,1251,5177,1251,5219,1252,5260,1253,5302,1253,5343,1254,5385,1254,5426,1255,5467,1255,5509,1255,5550,1256,5592,1256,5633,1257,5675,1257e" filled="false" stroked="true" strokeweight="1.364263pt" strokecolor="#bd4a47">
              <v:path arrowok="t"/>
            </v:shape>
            <v:shape style="position:absolute;left:2523;top:1065;width:3152;height:911" coordorigin="2523,1065" coordsize="3152,911" path="m2523,1378l2545,1468,2567,1575,2578,1631,2589,1687,2611,1793,2633,1884,2656,1948,2678,1975,2689,1972,2715,1901,2732,1811,2750,1698,2759,1636,2767,1572,2776,1507,2785,1443,2794,1379,2802,1319,2820,1210,2837,1127,2868,1065,2882,1070,2924,1163,2951,1257,2965,1305,2979,1349,2993,1386,3007,1413,3021,1427,3044,1424,3068,1401,3092,1363,3115,1320,3139,1277,3163,1243,3186,1225,3220,1227,3253,1247,3286,1276,3319,1303,3352,1316,3394,1311,3435,1293,3477,1274,3518,1262,3560,1263,3601,1271,3643,1280,3684,1284,3726,1283,3767,1278,3808,1272,3850,1268,3891,1268,3933,1270,3974,1272,4016,1273,4057,1272,4099,1271,4140,1269,4182,1268,4223,1268,4265,1268,4306,1268,4348,1268,4389,1268,4431,1267,4472,1267,4514,1266,4555,1266,4596,1266,4638,1266,4679,1266,4721,1266,4762,1265,4804,1265,4845,1265,4887,1265,4928,1265,4970,1265,5011,1265,5053,1264,5094,1264,5136,1264,5177,1264,5219,1264,5260,1264,5302,1264,5343,1264,5385,1264,5426,1264,5467,1263,5509,1263,5550,1263,5592,1263,5633,1263,5675,1263e" filled="false" stroked="true" strokeweight="1.366174pt" strokecolor="#ff0000">
              <v:path arrowok="t"/>
              <v:stroke dashstyle="longDash"/>
            </v:shape>
            <v:line style="position:absolute" from="2837,2150" to="3118,2150" stroked="true" strokeweight="1.373834pt" strokecolor="#497dba"/>
            <v:line style="position:absolute" from="2948,2154" to="3007,2154" stroked="true" strokeweight="3.205612pt" strokecolor="#4f81bc"/>
            <v:rect style="position:absolute;left:2948;top:2122;width:59;height:64" filled="false" stroked="true" strokeweight=".440121pt" strokecolor="#497dba"/>
            <v:line style="position:absolute" from="2837,2480" to="3118,2480" stroked="true" strokeweight="1.373834pt" strokecolor="#bd4a47"/>
            <v:line style="position:absolute" from="2837,2809" to="3118,2809" stroked="true" strokeweight="1.373834pt" strokecolor="#ff0000">
              <v:stroke dashstyle="longDash"/>
            </v:line>
            <v:shape style="position:absolute;left:2374;top:217;width:3387;height:2707" type="#_x0000_t202" filled="false" stroked="false">
              <v:textbox inset="0,0,0,0">
                <w:txbxContent>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8"/>
                      <w:rPr>
                        <w:sz w:val="20"/>
                      </w:rPr>
                    </w:pPr>
                  </w:p>
                  <w:p>
                    <w:pPr>
                      <w:tabs>
                        <w:tab w:pos="323" w:val="left" w:leader="none"/>
                        <w:tab w:pos="656" w:val="left" w:leader="none"/>
                        <w:tab w:pos="989" w:val="left" w:leader="none"/>
                        <w:tab w:pos="1313" w:val="left" w:leader="none"/>
                        <w:tab w:pos="1637" w:val="left" w:leader="none"/>
                        <w:tab w:pos="1961" w:val="left" w:leader="none"/>
                        <w:tab w:pos="2294" w:val="left" w:leader="none"/>
                        <w:tab w:pos="2627" w:val="left" w:leader="none"/>
                      </w:tabs>
                      <w:spacing w:before="0"/>
                      <w:ind w:left="0" w:right="176" w:firstLine="0"/>
                      <w:jc w:val="right"/>
                      <w:rPr>
                        <w:rFonts w:ascii="Constantia"/>
                        <w:sz w:val="17"/>
                      </w:rPr>
                    </w:pPr>
                    <w:r>
                      <w:rPr>
                        <w:rFonts w:ascii="Constantia"/>
                        <w:sz w:val="17"/>
                      </w:rPr>
                      <w:t>1</w:t>
                      <w:tab/>
                      <w:t>3</w:t>
                      <w:tab/>
                      <w:t>5</w:t>
                      <w:tab/>
                      <w:t>7</w:t>
                      <w:tab/>
                      <w:t>9</w:t>
                      <w:tab/>
                      <w:t>11</w:t>
                      <w:tab/>
                      <w:t>13</w:t>
                      <w:tab/>
                      <w:t>15</w:t>
                      <w:tab/>
                      <w:t>17   </w:t>
                    </w:r>
                    <w:r>
                      <w:rPr>
                        <w:rFonts w:ascii="Constantia"/>
                        <w:spacing w:val="10"/>
                        <w:sz w:val="17"/>
                      </w:rPr>
                      <w:t> </w:t>
                    </w:r>
                    <w:r>
                      <w:rPr>
                        <w:rFonts w:ascii="Constantia"/>
                        <w:sz w:val="17"/>
                      </w:rPr>
                      <w:t>19</w:t>
                    </w:r>
                  </w:p>
                  <w:p>
                    <w:pPr>
                      <w:spacing w:before="54"/>
                      <w:ind w:left="0" w:right="201" w:firstLine="0"/>
                      <w:jc w:val="right"/>
                      <w:rPr>
                        <w:rFonts w:ascii="Constantia"/>
                        <w:sz w:val="17"/>
                      </w:rPr>
                    </w:pPr>
                    <w:r>
                      <w:rPr>
                        <w:rFonts w:ascii="Constantia"/>
                        <w:w w:val="95"/>
                        <w:sz w:val="17"/>
                      </w:rPr>
                      <w:t>Trimestre</w:t>
                    </w:r>
                  </w:p>
                  <w:p>
                    <w:pPr>
                      <w:spacing w:line="240" w:lineRule="auto" w:before="5"/>
                      <w:rPr>
                        <w:sz w:val="20"/>
                      </w:rPr>
                    </w:pPr>
                  </w:p>
                  <w:p>
                    <w:pPr>
                      <w:spacing w:before="0"/>
                      <w:ind w:left="779" w:right="0" w:firstLine="0"/>
                      <w:jc w:val="left"/>
                      <w:rPr>
                        <w:rFonts w:ascii="Constantia"/>
                        <w:sz w:val="12"/>
                      </w:rPr>
                    </w:pPr>
                    <w:r>
                      <w:rPr>
                        <w:rFonts w:ascii="Constantia"/>
                        <w:w w:val="95"/>
                        <w:sz w:val="12"/>
                      </w:rPr>
                      <w:t>Choque de precios del gas natural</w:t>
                    </w:r>
                  </w:p>
                  <w:p>
                    <w:pPr>
                      <w:spacing w:line="240" w:lineRule="auto" w:before="9"/>
                      <w:rPr>
                        <w:sz w:val="15"/>
                      </w:rPr>
                    </w:pPr>
                  </w:p>
                  <w:p>
                    <w:pPr>
                      <w:spacing w:before="0"/>
                      <w:ind w:left="779" w:right="0" w:firstLine="0"/>
                      <w:jc w:val="left"/>
                      <w:rPr>
                        <w:rFonts w:ascii="Constantia" w:hAnsi="Constantia"/>
                        <w:sz w:val="12"/>
                      </w:rPr>
                    </w:pPr>
                    <w:r>
                      <w:rPr>
                        <w:rFonts w:ascii="Constantia" w:hAnsi="Constantia"/>
                        <w:w w:val="95"/>
                        <w:sz w:val="12"/>
                      </w:rPr>
                      <w:t>Choque de Asignac. De Ing. Fisc. Gasíferos</w:t>
                    </w:r>
                  </w:p>
                  <w:p>
                    <w:pPr>
                      <w:spacing w:line="240" w:lineRule="auto" w:before="8"/>
                      <w:rPr>
                        <w:sz w:val="15"/>
                      </w:rPr>
                    </w:pPr>
                  </w:p>
                  <w:p>
                    <w:pPr>
                      <w:tabs>
                        <w:tab w:pos="425" w:val="left" w:leader="none"/>
                      </w:tabs>
                      <w:spacing w:before="1"/>
                      <w:ind w:left="108" w:right="0" w:firstLine="0"/>
                      <w:jc w:val="center"/>
                      <w:rPr>
                        <w:rFonts w:ascii="Constantia" w:hAnsi="Constantia"/>
                        <w:sz w:val="12"/>
                      </w:rPr>
                    </w:pPr>
                    <w:r>
                      <w:rPr>
                        <w:rFonts w:ascii="Constantia" w:hAnsi="Constantia"/>
                        <w:spacing w:val="-45"/>
                        <w:w w:val="94"/>
                        <w:position w:val="-1"/>
                        <w:sz w:val="19"/>
                      </w:rPr>
                      <w:t> </w:t>
                    </w:r>
                    <w:r>
                      <w:rPr>
                        <w:rFonts w:ascii="Constantia" w:hAnsi="Constantia"/>
                        <w:w w:val="92"/>
                        <w:sz w:val="12"/>
                      </w:rPr>
                      <w:t> </w:t>
                    </w:r>
                    <w:r>
                      <w:rPr>
                        <w:rFonts w:ascii="Constantia" w:hAnsi="Constantia"/>
                        <w:sz w:val="12"/>
                      </w:rPr>
                      <w:tab/>
                    </w:r>
                    <w:r>
                      <w:rPr>
                        <w:rFonts w:ascii="Constantia" w:hAnsi="Constantia"/>
                        <w:w w:val="95"/>
                        <w:sz w:val="12"/>
                      </w:rPr>
                      <w:t>Choque</w:t>
                    </w:r>
                    <w:r>
                      <w:rPr>
                        <w:rFonts w:ascii="Constantia" w:hAnsi="Constantia"/>
                        <w:spacing w:val="-8"/>
                        <w:w w:val="95"/>
                        <w:sz w:val="12"/>
                      </w:rPr>
                      <w:t> </w:t>
                    </w:r>
                    <w:r>
                      <w:rPr>
                        <w:rFonts w:ascii="Constantia" w:hAnsi="Constantia"/>
                        <w:w w:val="95"/>
                        <w:sz w:val="12"/>
                      </w:rPr>
                      <w:t>de</w:t>
                    </w:r>
                    <w:r>
                      <w:rPr>
                        <w:rFonts w:ascii="Constantia" w:hAnsi="Constantia"/>
                        <w:spacing w:val="-8"/>
                        <w:w w:val="95"/>
                        <w:sz w:val="12"/>
                      </w:rPr>
                      <w:t> </w:t>
                    </w:r>
                    <w:r>
                      <w:rPr>
                        <w:rFonts w:ascii="Constantia" w:hAnsi="Constantia"/>
                        <w:w w:val="95"/>
                        <w:sz w:val="12"/>
                      </w:rPr>
                      <w:t>Asignac.</w:t>
                    </w:r>
                    <w:r>
                      <w:rPr>
                        <w:rFonts w:ascii="Constantia" w:hAnsi="Constantia"/>
                        <w:spacing w:val="-2"/>
                        <w:w w:val="95"/>
                        <w:sz w:val="12"/>
                      </w:rPr>
                      <w:t> </w:t>
                    </w:r>
                    <w:r>
                      <w:rPr>
                        <w:rFonts w:ascii="Constantia" w:hAnsi="Constantia"/>
                        <w:w w:val="95"/>
                        <w:sz w:val="12"/>
                      </w:rPr>
                      <w:t>De</w:t>
                    </w:r>
                    <w:r>
                      <w:rPr>
                        <w:rFonts w:ascii="Constantia" w:hAnsi="Constantia"/>
                        <w:spacing w:val="-8"/>
                        <w:w w:val="95"/>
                        <w:sz w:val="12"/>
                      </w:rPr>
                      <w:t> </w:t>
                    </w:r>
                    <w:r>
                      <w:rPr>
                        <w:rFonts w:ascii="Constantia" w:hAnsi="Constantia"/>
                        <w:w w:val="95"/>
                        <w:sz w:val="12"/>
                      </w:rPr>
                      <w:t>Ing.</w:t>
                    </w:r>
                    <w:r>
                      <w:rPr>
                        <w:rFonts w:ascii="Constantia" w:hAnsi="Constantia"/>
                        <w:spacing w:val="-9"/>
                        <w:w w:val="95"/>
                        <w:sz w:val="12"/>
                      </w:rPr>
                      <w:t> </w:t>
                    </w:r>
                    <w:r>
                      <w:rPr>
                        <w:rFonts w:ascii="Constantia" w:hAnsi="Constantia"/>
                        <w:w w:val="95"/>
                        <w:sz w:val="12"/>
                      </w:rPr>
                      <w:t>Fisc.</w:t>
                    </w:r>
                    <w:r>
                      <w:rPr>
                        <w:rFonts w:ascii="Constantia" w:hAnsi="Constantia"/>
                        <w:spacing w:val="-9"/>
                        <w:w w:val="95"/>
                        <w:sz w:val="12"/>
                      </w:rPr>
                      <w:t> </w:t>
                    </w:r>
                    <w:r>
                      <w:rPr>
                        <w:rFonts w:ascii="Constantia" w:hAnsi="Constantia"/>
                        <w:w w:val="95"/>
                        <w:sz w:val="12"/>
                      </w:rPr>
                      <w:t>No</w:t>
                    </w:r>
                    <w:r>
                      <w:rPr>
                        <w:rFonts w:ascii="Constantia" w:hAnsi="Constantia"/>
                        <w:spacing w:val="-6"/>
                        <w:w w:val="95"/>
                        <w:sz w:val="12"/>
                      </w:rPr>
                      <w:t> </w:t>
                    </w:r>
                    <w:r>
                      <w:rPr>
                        <w:rFonts w:ascii="Constantia" w:hAnsi="Constantia"/>
                        <w:w w:val="95"/>
                        <w:sz w:val="12"/>
                      </w:rPr>
                      <w:t>Gasíferos</w:t>
                    </w:r>
                  </w:p>
                </w:txbxContent>
              </v:textbox>
              <w10:wrap type="none"/>
            </v:shape>
            <w10:wrap type="none"/>
          </v:group>
        </w:pict>
      </w:r>
      <w:r>
        <w:rPr>
          <w:rFonts w:ascii="Constantia"/>
          <w:spacing w:val="-3"/>
          <w:w w:val="95"/>
          <w:sz w:val="19"/>
        </w:rPr>
        <w:t>0.02</w:t>
      </w:r>
    </w:p>
    <w:p>
      <w:pPr>
        <w:pStyle w:val="BodyText"/>
        <w:spacing w:before="7"/>
        <w:rPr>
          <w:rFonts w:ascii="Constantia"/>
          <w:sz w:val="23"/>
        </w:rPr>
      </w:pPr>
    </w:p>
    <w:p>
      <w:pPr>
        <w:spacing w:before="0"/>
        <w:ind w:left="374" w:right="-16" w:firstLine="0"/>
        <w:jc w:val="left"/>
        <w:rPr>
          <w:rFonts w:ascii="Constantia"/>
          <w:sz w:val="19"/>
        </w:rPr>
      </w:pPr>
      <w:r>
        <w:rPr>
          <w:rFonts w:ascii="Constantia"/>
          <w:spacing w:val="-3"/>
          <w:w w:val="95"/>
          <w:sz w:val="19"/>
        </w:rPr>
        <w:t>0.01</w:t>
      </w:r>
    </w:p>
    <w:p>
      <w:pPr>
        <w:pStyle w:val="BodyText"/>
        <w:spacing w:before="6"/>
        <w:rPr>
          <w:rFonts w:ascii="Constantia"/>
          <w:sz w:val="23"/>
        </w:rPr>
      </w:pPr>
    </w:p>
    <w:p>
      <w:pPr>
        <w:spacing w:before="1"/>
        <w:ind w:left="336" w:right="-18" w:firstLine="0"/>
        <w:jc w:val="left"/>
        <w:rPr>
          <w:rFonts w:ascii="Constantia"/>
          <w:sz w:val="19"/>
        </w:rPr>
      </w:pPr>
      <w:r>
        <w:rPr>
          <w:rFonts w:ascii="Constantia"/>
          <w:spacing w:val="-3"/>
          <w:w w:val="95"/>
          <w:sz w:val="19"/>
        </w:rPr>
        <w:t>0.00</w:t>
      </w:r>
    </w:p>
    <w:p>
      <w:pPr>
        <w:spacing w:line="256" w:lineRule="exact" w:before="46"/>
        <w:ind w:left="373" w:right="-17" w:firstLine="0"/>
        <w:jc w:val="left"/>
        <w:rPr>
          <w:rFonts w:ascii="Constantia"/>
          <w:sz w:val="23"/>
        </w:rPr>
      </w:pPr>
      <w:r>
        <w:rPr/>
        <w:br w:type="column"/>
      </w:r>
      <w:r>
        <w:rPr>
          <w:rFonts w:ascii="Constantia"/>
          <w:w w:val="80"/>
          <w:sz w:val="23"/>
        </w:rPr>
        <w:t>0.05</w:t>
      </w:r>
    </w:p>
    <w:p>
      <w:pPr>
        <w:spacing w:line="231" w:lineRule="exact" w:before="0"/>
        <w:ind w:left="368" w:right="-10" w:firstLine="0"/>
        <w:jc w:val="left"/>
        <w:rPr>
          <w:rFonts w:ascii="Constantia"/>
          <w:sz w:val="23"/>
        </w:rPr>
      </w:pPr>
      <w:r>
        <w:rPr>
          <w:rFonts w:ascii="Constantia"/>
          <w:spacing w:val="-3"/>
          <w:w w:val="80"/>
          <w:sz w:val="23"/>
        </w:rPr>
        <w:t>0.04</w:t>
      </w:r>
    </w:p>
    <w:p>
      <w:pPr>
        <w:spacing w:line="231" w:lineRule="exact" w:before="0"/>
        <w:ind w:left="375" w:right="-16" w:firstLine="0"/>
        <w:jc w:val="left"/>
        <w:rPr>
          <w:rFonts w:ascii="Constantia"/>
          <w:sz w:val="23"/>
        </w:rPr>
      </w:pPr>
      <w:r>
        <w:rPr>
          <w:rFonts w:ascii="Constantia"/>
          <w:w w:val="80"/>
          <w:sz w:val="23"/>
        </w:rPr>
        <w:t>0.03</w:t>
      </w:r>
    </w:p>
    <w:p>
      <w:pPr>
        <w:spacing w:line="231" w:lineRule="exact" w:before="0"/>
        <w:ind w:left="373" w:right="-19" w:firstLine="0"/>
        <w:jc w:val="left"/>
        <w:rPr>
          <w:rFonts w:ascii="Constantia"/>
          <w:sz w:val="23"/>
        </w:rPr>
      </w:pPr>
      <w:r>
        <w:rPr>
          <w:rFonts w:ascii="Constantia"/>
          <w:w w:val="80"/>
          <w:sz w:val="23"/>
        </w:rPr>
        <w:t>0.02</w:t>
      </w:r>
    </w:p>
    <w:p>
      <w:pPr>
        <w:spacing w:line="231" w:lineRule="exact" w:before="0"/>
        <w:ind w:left="406" w:right="-20" w:firstLine="0"/>
        <w:jc w:val="left"/>
        <w:rPr>
          <w:rFonts w:ascii="Constantia"/>
          <w:sz w:val="23"/>
        </w:rPr>
      </w:pPr>
      <w:r>
        <w:rPr>
          <w:rFonts w:ascii="Constantia"/>
          <w:w w:val="80"/>
          <w:sz w:val="23"/>
        </w:rPr>
        <w:t>0.01</w:t>
      </w:r>
    </w:p>
    <w:p>
      <w:pPr>
        <w:spacing w:line="231" w:lineRule="exact" w:before="0"/>
        <w:ind w:left="367" w:right="-11" w:firstLine="0"/>
        <w:jc w:val="left"/>
        <w:rPr>
          <w:rFonts w:ascii="Constantia"/>
          <w:sz w:val="23"/>
        </w:rPr>
      </w:pPr>
      <w:r>
        <w:rPr>
          <w:rFonts w:ascii="Constantia"/>
          <w:spacing w:val="-3"/>
          <w:w w:val="80"/>
          <w:sz w:val="23"/>
        </w:rPr>
        <w:t>0.00</w:t>
      </w:r>
    </w:p>
    <w:p>
      <w:pPr>
        <w:spacing w:line="236" w:lineRule="exact" w:before="0"/>
        <w:ind w:left="336" w:right="-16" w:firstLine="0"/>
        <w:jc w:val="left"/>
        <w:rPr>
          <w:rFonts w:ascii="Constantia"/>
          <w:sz w:val="23"/>
        </w:rPr>
      </w:pPr>
      <w:r>
        <w:rPr>
          <w:rFonts w:ascii="Constantia"/>
          <w:w w:val="80"/>
          <w:sz w:val="23"/>
        </w:rPr>
        <w:t>-0.01</w:t>
      </w:r>
    </w:p>
    <w:p>
      <w:pPr>
        <w:pStyle w:val="BodyText"/>
        <w:rPr>
          <w:rFonts w:ascii="Constantia"/>
          <w:sz w:val="20"/>
        </w:rPr>
      </w:pPr>
      <w:r>
        <w:rPr/>
        <w:br w:type="column"/>
      </w:r>
      <w:r>
        <w:rPr>
          <w:rFonts w:ascii="Constantia"/>
          <w:sz w:val="20"/>
        </w:rPr>
      </w: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spacing w:before="8"/>
        <w:rPr>
          <w:rFonts w:ascii="Constantia"/>
          <w:sz w:val="21"/>
        </w:rPr>
      </w:pPr>
    </w:p>
    <w:p>
      <w:pPr>
        <w:tabs>
          <w:tab w:pos="534" w:val="left" w:leader="none"/>
          <w:tab w:pos="882" w:val="left" w:leader="none"/>
          <w:tab w:pos="1229" w:val="left" w:leader="none"/>
          <w:tab w:pos="1567" w:val="left" w:leader="none"/>
          <w:tab w:pos="1906" w:val="left" w:leader="none"/>
          <w:tab w:pos="2244" w:val="left" w:leader="none"/>
          <w:tab w:pos="2591" w:val="left" w:leader="none"/>
        </w:tabs>
        <w:spacing w:line="207" w:lineRule="exact" w:before="0"/>
        <w:ind w:left="196" w:right="0" w:firstLine="0"/>
        <w:jc w:val="left"/>
        <w:rPr>
          <w:rFonts w:ascii="Constantia"/>
          <w:sz w:val="21"/>
        </w:rPr>
      </w:pPr>
      <w:r>
        <w:rPr>
          <w:rFonts w:ascii="Constantia"/>
          <w:w w:val="90"/>
          <w:sz w:val="21"/>
        </w:rPr>
        <w:t>1</w:t>
        <w:tab/>
        <w:t>3</w:t>
        <w:tab/>
        <w:t>5</w:t>
        <w:tab/>
        <w:t>7</w:t>
        <w:tab/>
        <w:t>9</w:t>
        <w:tab/>
        <w:t>11</w:t>
        <w:tab/>
        <w:t>13</w:t>
        <w:tab/>
      </w:r>
      <w:r>
        <w:rPr>
          <w:rFonts w:ascii="Constantia"/>
          <w:w w:val="80"/>
          <w:sz w:val="21"/>
        </w:rPr>
        <w:t>15</w:t>
      </w:r>
    </w:p>
    <w:p>
      <w:pPr>
        <w:pStyle w:val="BodyText"/>
        <w:rPr>
          <w:rFonts w:ascii="Constantia"/>
          <w:sz w:val="20"/>
        </w:rPr>
      </w:pPr>
      <w:r>
        <w:rPr/>
        <w:br w:type="column"/>
      </w:r>
      <w:r>
        <w:rPr>
          <w:rFonts w:ascii="Constantia"/>
          <w:sz w:val="20"/>
        </w:rPr>
      </w: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tabs>
          <w:tab w:pos="510" w:val="left" w:leader="none"/>
        </w:tabs>
        <w:spacing w:line="170" w:lineRule="auto" w:before="141"/>
        <w:ind w:left="172" w:right="407" w:hanging="111"/>
        <w:jc w:val="left"/>
        <w:rPr>
          <w:rFonts w:ascii="Constantia"/>
          <w:sz w:val="21"/>
        </w:rPr>
      </w:pPr>
      <w:r>
        <w:rPr>
          <w:rFonts w:ascii="Constantia"/>
          <w:spacing w:val="-1"/>
          <w:w w:val="80"/>
          <w:sz w:val="21"/>
        </w:rPr>
        <w:t>Trimestre </w:t>
      </w:r>
      <w:r>
        <w:rPr>
          <w:rFonts w:ascii="Constantia"/>
          <w:w w:val="90"/>
          <w:sz w:val="21"/>
        </w:rPr>
        <w:t>17</w:t>
        <w:tab/>
        <w:t>19</w:t>
      </w:r>
    </w:p>
    <w:p>
      <w:pPr>
        <w:spacing w:after="0" w:line="170" w:lineRule="auto"/>
        <w:jc w:val="left"/>
        <w:rPr>
          <w:rFonts w:ascii="Constantia"/>
          <w:sz w:val="21"/>
        </w:rPr>
        <w:sectPr>
          <w:type w:val="continuous"/>
          <w:pgSz w:w="12250" w:h="15850"/>
          <w:pgMar w:top="1500" w:bottom="280" w:left="1600" w:right="1600"/>
          <w:cols w:num="4" w:equalWidth="0">
            <w:col w:w="664" w:space="3682"/>
            <w:col w:w="709" w:space="40"/>
            <w:col w:w="2727" w:space="40"/>
            <w:col w:w="1188"/>
          </w:cols>
        </w:sectPr>
      </w:pPr>
    </w:p>
    <w:p>
      <w:pPr>
        <w:spacing w:line="163" w:lineRule="exact" w:before="0"/>
        <w:ind w:left="307" w:right="-7" w:firstLine="0"/>
        <w:jc w:val="left"/>
        <w:rPr>
          <w:rFonts w:ascii="Constantia"/>
          <w:sz w:val="19"/>
        </w:rPr>
      </w:pPr>
      <w:r>
        <w:rPr>
          <w:rFonts w:ascii="Constantia"/>
          <w:w w:val="90"/>
          <w:sz w:val="19"/>
        </w:rPr>
        <w:t>-0.01</w:t>
      </w:r>
    </w:p>
    <w:p>
      <w:pPr>
        <w:tabs>
          <w:tab w:pos="1683" w:val="left" w:leader="none"/>
          <w:tab w:pos="2028" w:val="left" w:leader="none"/>
        </w:tabs>
        <w:spacing w:line="172" w:lineRule="exact" w:before="0"/>
        <w:ind w:left="307" w:right="0" w:firstLine="0"/>
        <w:jc w:val="left"/>
        <w:rPr>
          <w:rFonts w:ascii="Constantia"/>
          <w:sz w:val="23"/>
        </w:rPr>
      </w:pPr>
      <w:r>
        <w:rPr/>
        <w:br w:type="column"/>
      </w:r>
      <w:r>
        <w:rPr>
          <w:rFonts w:ascii="Constantia"/>
          <w:w w:val="90"/>
          <w:sz w:val="23"/>
        </w:rPr>
        <w:t>-0.02</w:t>
      </w:r>
      <w:r>
        <w:rPr>
          <w:rFonts w:ascii="Constantia"/>
          <w:sz w:val="23"/>
        </w:rPr>
        <w:tab/>
      </w:r>
      <w:r>
        <w:rPr>
          <w:rFonts w:ascii="Constantia"/>
          <w:w w:val="81"/>
          <w:sz w:val="23"/>
          <w:u w:val="thick" w:color="7C5F9F"/>
        </w:rPr>
        <w:t> </w:t>
      </w:r>
      <w:r>
        <w:rPr>
          <w:rFonts w:ascii="Constantia"/>
          <w:sz w:val="23"/>
          <w:u w:val="thick" w:color="7C5F9F"/>
        </w:rPr>
        <w:tab/>
      </w:r>
    </w:p>
    <w:p>
      <w:pPr>
        <w:spacing w:after="0" w:line="172" w:lineRule="exact"/>
        <w:jc w:val="left"/>
        <w:rPr>
          <w:rFonts w:ascii="Constantia"/>
          <w:sz w:val="23"/>
        </w:rPr>
        <w:sectPr>
          <w:type w:val="continuous"/>
          <w:pgSz w:w="12250" w:h="15850"/>
          <w:pgMar w:top="1500" w:bottom="280" w:left="1600" w:right="1600"/>
          <w:cols w:num="2" w:equalWidth="0">
            <w:col w:w="663" w:space="3679"/>
            <w:col w:w="4708"/>
          </w:cols>
        </w:sectPr>
      </w:pPr>
    </w:p>
    <w:p>
      <w:pPr>
        <w:pStyle w:val="BodyText"/>
        <w:spacing w:before="9"/>
        <w:rPr>
          <w:rFonts w:ascii="Constantia"/>
          <w:sz w:val="22"/>
        </w:rPr>
      </w:pPr>
    </w:p>
    <w:p>
      <w:pPr>
        <w:spacing w:line="223" w:lineRule="exact" w:before="1"/>
        <w:ind w:left="276" w:right="-7" w:firstLine="0"/>
        <w:jc w:val="left"/>
        <w:rPr>
          <w:rFonts w:ascii="Constantia"/>
          <w:sz w:val="19"/>
        </w:rPr>
      </w:pPr>
      <w:r>
        <w:rPr>
          <w:rFonts w:ascii="Constantia"/>
          <w:w w:val="90"/>
          <w:sz w:val="19"/>
        </w:rPr>
        <w:t>-0.02</w:t>
      </w:r>
    </w:p>
    <w:p>
      <w:pPr>
        <w:spacing w:line="251" w:lineRule="exact" w:before="0"/>
        <w:ind w:left="282" w:right="-10" w:firstLine="0"/>
        <w:jc w:val="left"/>
        <w:rPr>
          <w:rFonts w:ascii="Constantia"/>
          <w:sz w:val="23"/>
        </w:rPr>
      </w:pPr>
      <w:r>
        <w:rPr/>
        <w:br w:type="column"/>
      </w:r>
      <w:r>
        <w:rPr>
          <w:rFonts w:ascii="Constantia"/>
          <w:w w:val="80"/>
          <w:sz w:val="23"/>
        </w:rPr>
        <w:t>-0.03</w:t>
      </w:r>
    </w:p>
    <w:p>
      <w:pPr>
        <w:spacing w:line="251" w:lineRule="exact" w:before="0"/>
        <w:ind w:left="276" w:right="-18" w:firstLine="0"/>
        <w:jc w:val="left"/>
        <w:rPr>
          <w:rFonts w:ascii="Constantia"/>
          <w:sz w:val="23"/>
        </w:rPr>
      </w:pPr>
      <w:r>
        <w:rPr>
          <w:rFonts w:ascii="Constantia"/>
          <w:w w:val="80"/>
          <w:sz w:val="23"/>
        </w:rPr>
        <w:t>-0.04</w:t>
      </w:r>
    </w:p>
    <w:p>
      <w:pPr>
        <w:spacing w:line="145" w:lineRule="exact" w:before="0"/>
        <w:ind w:left="276" w:right="0" w:firstLine="0"/>
        <w:jc w:val="left"/>
        <w:rPr>
          <w:rFonts w:ascii="Constantia" w:hAnsi="Constantia"/>
          <w:sz w:val="14"/>
        </w:rPr>
      </w:pPr>
      <w:r>
        <w:rPr/>
        <w:br w:type="column"/>
      </w:r>
      <w:r>
        <w:rPr>
          <w:rFonts w:ascii="Constantia" w:hAnsi="Constantia"/>
          <w:w w:val="85"/>
          <w:sz w:val="14"/>
        </w:rPr>
        <w:t>Choque Balance fiscal global cícl. Ajustado</w:t>
      </w:r>
    </w:p>
    <w:p>
      <w:pPr>
        <w:pStyle w:val="BodyText"/>
        <w:spacing w:before="6"/>
        <w:rPr>
          <w:rFonts w:ascii="Constantia"/>
          <w:sz w:val="10"/>
        </w:rPr>
      </w:pPr>
    </w:p>
    <w:p>
      <w:pPr>
        <w:spacing w:before="0"/>
        <w:ind w:left="276" w:right="0" w:firstLine="0"/>
        <w:jc w:val="left"/>
        <w:rPr>
          <w:rFonts w:ascii="Constantia"/>
          <w:sz w:val="14"/>
        </w:rPr>
      </w:pPr>
      <w:r>
        <w:rPr>
          <w:rFonts w:ascii="Constantia"/>
          <w:w w:val="85"/>
          <w:sz w:val="14"/>
        </w:rPr>
        <w:t>Choque Balance fiscal global</w:t>
      </w:r>
    </w:p>
    <w:p>
      <w:pPr>
        <w:spacing w:after="0"/>
        <w:jc w:val="left"/>
        <w:rPr>
          <w:rFonts w:ascii="Constantia"/>
          <w:sz w:val="14"/>
        </w:rPr>
        <w:sectPr>
          <w:type w:val="continuous"/>
          <w:pgSz w:w="12250" w:h="15850"/>
          <w:pgMar w:top="1500" w:bottom="280" w:left="1600" w:right="1600"/>
          <w:cols w:num="3" w:equalWidth="0">
            <w:col w:w="662" w:space="3707"/>
            <w:col w:w="688" w:space="1027"/>
            <w:col w:w="2966"/>
          </w:cols>
        </w:sectPr>
      </w:pPr>
    </w:p>
    <w:p>
      <w:pPr>
        <w:pStyle w:val="BodyText"/>
        <w:spacing w:before="3"/>
        <w:rPr>
          <w:rFonts w:ascii="Constantia"/>
        </w:rPr>
      </w:pPr>
    </w:p>
    <w:p>
      <w:pPr>
        <w:spacing w:before="0"/>
        <w:ind w:left="277" w:right="-7" w:firstLine="0"/>
        <w:jc w:val="left"/>
        <w:rPr>
          <w:rFonts w:ascii="Constantia"/>
          <w:sz w:val="19"/>
        </w:rPr>
      </w:pPr>
      <w:r>
        <w:rPr>
          <w:rFonts w:ascii="Constantia"/>
          <w:w w:val="90"/>
          <w:sz w:val="19"/>
        </w:rPr>
        <w:t>-0.03</w:t>
      </w:r>
    </w:p>
    <w:p>
      <w:pPr>
        <w:tabs>
          <w:tab w:pos="1653" w:val="left" w:leader="none"/>
          <w:tab w:pos="1987" w:val="left" w:leader="none"/>
        </w:tabs>
        <w:spacing w:line="242" w:lineRule="exact" w:before="0"/>
        <w:ind w:left="277" w:right="0" w:firstLine="0"/>
        <w:jc w:val="left"/>
        <w:rPr>
          <w:rFonts w:ascii="Constantia"/>
          <w:sz w:val="14"/>
        </w:rPr>
      </w:pPr>
      <w:r>
        <w:rPr/>
        <w:br w:type="column"/>
      </w:r>
      <w:r>
        <w:rPr>
          <w:rFonts w:ascii="Constantia"/>
          <w:w w:val="90"/>
          <w:position w:val="3"/>
          <w:sz w:val="23"/>
        </w:rPr>
        <w:t>-0.05</w:t>
        <w:tab/>
      </w:r>
      <w:r>
        <w:rPr>
          <w:rFonts w:ascii="Constantia"/>
          <w:w w:val="90"/>
          <w:position w:val="3"/>
          <w:sz w:val="23"/>
          <w:u w:val="thick" w:color="BD4A47"/>
        </w:rPr>
        <w:t> </w:t>
        <w:tab/>
      </w:r>
      <w:r>
        <w:rPr>
          <w:rFonts w:ascii="Constantia"/>
          <w:w w:val="85"/>
          <w:sz w:val="14"/>
        </w:rPr>
        <w:t>Choque</w:t>
      </w:r>
      <w:r>
        <w:rPr>
          <w:rFonts w:ascii="Constantia"/>
          <w:spacing w:val="-18"/>
          <w:w w:val="85"/>
          <w:sz w:val="14"/>
        </w:rPr>
        <w:t> </w:t>
      </w:r>
      <w:r>
        <w:rPr>
          <w:rFonts w:ascii="Constantia"/>
          <w:w w:val="85"/>
          <w:sz w:val="14"/>
        </w:rPr>
        <w:t>Balance</w:t>
      </w:r>
      <w:r>
        <w:rPr>
          <w:rFonts w:ascii="Constantia"/>
          <w:spacing w:val="-18"/>
          <w:w w:val="85"/>
          <w:sz w:val="14"/>
        </w:rPr>
        <w:t> </w:t>
      </w:r>
      <w:r>
        <w:rPr>
          <w:rFonts w:ascii="Constantia"/>
          <w:w w:val="85"/>
          <w:sz w:val="14"/>
        </w:rPr>
        <w:t>primario</w:t>
      </w:r>
    </w:p>
    <w:p>
      <w:pPr>
        <w:tabs>
          <w:tab w:pos="326" w:val="left" w:leader="none"/>
        </w:tabs>
        <w:spacing w:before="128"/>
        <w:ind w:left="0" w:right="288" w:firstLine="0"/>
        <w:jc w:val="center"/>
        <w:rPr>
          <w:rFonts w:ascii="Constantia"/>
          <w:sz w:val="14"/>
        </w:rPr>
      </w:pPr>
      <w:r>
        <w:rPr/>
        <w:pict>
          <v:group style="position:absolute;margin-left:387.242737pt;margin-top:8.190493pt;width:3.2pt;height:4.4pt;mso-position-horizontal-relative:page;mso-position-vertical-relative:paragraph;z-index:-558856" coordorigin="7745,164" coordsize="64,88">
            <v:shape style="position:absolute;left:7750;top:169;width:54;height:78" coordorigin="7750,169" coordsize="54,78" path="m7776,169l7750,207,7776,246,7803,207,7776,169xe" filled="true" fillcolor="#9bba58" stroked="false">
              <v:path arrowok="t"/>
              <v:fill type="solid"/>
            </v:shape>
            <v:shape style="position:absolute;left:7750;top:169;width:54;height:78" coordorigin="7750,169" coordsize="54,78" path="m7776,246l7750,207,7776,169,7803,207,7776,246e" filled="false" stroked="true" strokeweight=".478025pt" strokecolor="#97b853">
              <v:path arrowok="t"/>
            </v:shape>
            <w10:wrap type="none"/>
          </v:group>
        </w:pict>
      </w:r>
      <w:r>
        <w:rPr>
          <w:rFonts w:ascii="Constantia"/>
          <w:w w:val="92"/>
          <w:position w:val="5"/>
          <w:sz w:val="12"/>
          <w:u w:val="thick" w:color="97B853"/>
        </w:rPr>
        <w:t> </w:t>
      </w:r>
      <w:r>
        <w:rPr>
          <w:rFonts w:ascii="Constantia"/>
          <w:position w:val="5"/>
          <w:sz w:val="12"/>
          <w:u w:val="thick" w:color="97B853"/>
        </w:rPr>
        <w:tab/>
      </w:r>
      <w:r>
        <w:rPr>
          <w:rFonts w:ascii="Constantia"/>
          <w:w w:val="85"/>
          <w:sz w:val="14"/>
        </w:rPr>
        <w:t>Choque</w:t>
      </w:r>
      <w:r>
        <w:rPr>
          <w:rFonts w:ascii="Constantia"/>
          <w:spacing w:val="-10"/>
          <w:w w:val="85"/>
          <w:sz w:val="14"/>
        </w:rPr>
        <w:t> </w:t>
      </w:r>
      <w:r>
        <w:rPr>
          <w:rFonts w:ascii="Constantia"/>
          <w:w w:val="85"/>
          <w:sz w:val="14"/>
        </w:rPr>
        <w:t>BPNG</w:t>
      </w:r>
    </w:p>
    <w:p>
      <w:pPr>
        <w:spacing w:after="0"/>
        <w:jc w:val="center"/>
        <w:rPr>
          <w:rFonts w:ascii="Constantia"/>
          <w:sz w:val="14"/>
        </w:rPr>
        <w:sectPr>
          <w:type w:val="continuous"/>
          <w:pgSz w:w="12250" w:h="15850"/>
          <w:pgMar w:top="1500" w:bottom="280" w:left="1600" w:right="1600"/>
          <w:cols w:num="2" w:equalWidth="0">
            <w:col w:w="658" w:space="3714"/>
            <w:col w:w="4678"/>
          </w:cols>
        </w:sectPr>
      </w:pPr>
    </w:p>
    <w:p>
      <w:pPr>
        <w:spacing w:before="162"/>
        <w:ind w:left="102" w:right="1800" w:firstLine="0"/>
        <w:jc w:val="left"/>
        <w:rPr>
          <w:sz w:val="20"/>
        </w:rPr>
      </w:pPr>
      <w:r>
        <w:rPr>
          <w:sz w:val="20"/>
        </w:rPr>
        <w:t>Asignac. De Ing. Fisc. Gasíferos es la razón de Gasto de capital/ Ing. Fisc. Gasíferos Asignac. De Ing. Fisc. No Gasíferos es la razón Gasto corriente/ Ing. Fisc. No Gasíferos Estimaciones mediante funciones de impulso-respuesta en su definición estructural.</w:t>
      </w:r>
    </w:p>
    <w:p>
      <w:pPr>
        <w:spacing w:after="0"/>
        <w:jc w:val="left"/>
        <w:rPr>
          <w:sz w:val="20"/>
        </w:rPr>
        <w:sectPr>
          <w:type w:val="continuous"/>
          <w:pgSz w:w="12250" w:h="15850"/>
          <w:pgMar w:top="1500" w:bottom="280" w:left="1600" w:right="1600"/>
        </w:sectPr>
      </w:pPr>
    </w:p>
    <w:p>
      <w:pPr>
        <w:pStyle w:val="Heading4"/>
        <w:numPr>
          <w:ilvl w:val="2"/>
          <w:numId w:val="18"/>
        </w:numPr>
        <w:tabs>
          <w:tab w:pos="963" w:val="left" w:leader="none"/>
          <w:tab w:pos="964" w:val="left" w:leader="none"/>
        </w:tabs>
        <w:spacing w:line="360" w:lineRule="auto" w:before="55" w:after="0"/>
        <w:ind w:left="963" w:right="118" w:hanging="720"/>
        <w:jc w:val="left"/>
      </w:pPr>
      <w:bookmarkStart w:name="_bookmark134" w:id="183"/>
      <w:bookmarkEnd w:id="183"/>
      <w:r>
        <w:rPr>
          <w:b w:val="0"/>
        </w:rPr>
      </w:r>
      <w:bookmarkStart w:name="_bookmark134" w:id="184"/>
      <w:bookmarkEnd w:id="184"/>
      <w:r>
        <w:rPr/>
        <w:t>I</w:t>
      </w:r>
      <w:r>
        <w:rPr/>
        <w:t>mportancia relativa de los choques de precios y la asignación de ingresos fiscales sobre  la posición</w:t>
      </w:r>
      <w:r>
        <w:rPr>
          <w:spacing w:val="-3"/>
        </w:rPr>
        <w:t> </w:t>
      </w:r>
      <w:r>
        <w:rPr/>
        <w:t>fiscal</w:t>
      </w:r>
    </w:p>
    <w:p>
      <w:pPr>
        <w:pStyle w:val="BodyText"/>
        <w:spacing w:line="360" w:lineRule="auto" w:before="61"/>
        <w:ind w:left="102" w:right="116" w:firstLine="707"/>
        <w:jc w:val="both"/>
      </w:pPr>
      <w:r>
        <w:rPr/>
        <w:t>Para efectos comparativos de las cuatro especificaciones SVAR alternativas, se contrastó la participación relativa que ejercieron sobre la posición fiscal los choques de precios y la asignación de ingresos fiscales sobre al gasto público, bajo la consideración del balance primario no gasífero (Modelo A) y del balance primario (Modelo B) mediante la descomposición de la varianza en su definición estructural.</w:t>
      </w:r>
    </w:p>
    <w:p>
      <w:pPr>
        <w:pStyle w:val="BodyText"/>
        <w:spacing w:line="360" w:lineRule="auto" w:before="4"/>
        <w:ind w:left="102" w:right="117" w:firstLine="707"/>
        <w:jc w:val="both"/>
      </w:pPr>
      <w:r>
        <w:rPr/>
        <w:t>De acuerdo con los resultados de los </w:t>
      </w:r>
      <w:r>
        <w:rPr>
          <w:i/>
        </w:rPr>
        <w:t>cuadros 4.7 </w:t>
      </w:r>
      <w:r>
        <w:rPr/>
        <w:t>y </w:t>
      </w:r>
      <w:r>
        <w:rPr>
          <w:i/>
        </w:rPr>
        <w:t>4.8</w:t>
      </w:r>
      <w:r>
        <w:rPr/>
        <w:t>, se evidenció  que  los choques de asignación de ingresos fiscales al gasto público tuvieron la mayor participación relativa sobre la varianza del balance primario y el balance primario no gasífero de forma respectiva, en comparación con la participación de los choques de precios del gas natural.</w:t>
      </w:r>
    </w:p>
    <w:p>
      <w:pPr>
        <w:pStyle w:val="BodyText"/>
        <w:spacing w:line="360" w:lineRule="auto" w:before="4"/>
        <w:ind w:left="102" w:right="118" w:firstLine="707"/>
        <w:jc w:val="both"/>
      </w:pPr>
      <w:r>
        <w:rPr/>
        <w:t>Cuando se analizó la descomposición de la varianza de la deuda pública a PIB, en ambos modelos (A y B), la mayor fuente de variabilidad fueron los choques propios de la deuda pública. De forma seguida, la segunda mayor fuente de variabilidad sobre la deuda pública derivó de los choques de precios del gas natural (para el modelo A) y del balance primario (en el modelo B).</w:t>
      </w:r>
    </w:p>
    <w:p>
      <w:pPr>
        <w:spacing w:after="0" w:line="360" w:lineRule="auto"/>
        <w:jc w:val="both"/>
        <w:sectPr>
          <w:pgSz w:w="12250" w:h="15850"/>
          <w:pgMar w:header="0" w:footer="1037" w:top="1360" w:bottom="1220" w:left="1600" w:right="1580"/>
        </w:sectPr>
      </w:pPr>
    </w:p>
    <w:p>
      <w:pPr>
        <w:pStyle w:val="BodyText"/>
        <w:spacing w:before="48"/>
        <w:ind w:left="490" w:right="115"/>
      </w:pPr>
      <w:bookmarkStart w:name="_bookmark136" w:id="185"/>
      <w:bookmarkEnd w:id="185"/>
      <w:r>
        <w:rPr/>
      </w:r>
      <w:bookmarkStart w:name="_bookmark135" w:id="186"/>
      <w:bookmarkEnd w:id="186"/>
      <w:r>
        <w:rPr/>
      </w:r>
      <w:r>
        <w:rPr/>
        <w:t>Cuadro 4. 7: Descomposición de la varianza estructural de las variables (Modelo A)</w:t>
      </w:r>
    </w:p>
    <w:p>
      <w:pPr>
        <w:spacing w:line="266" w:lineRule="auto" w:before="141"/>
        <w:ind w:left="3071" w:right="1835" w:firstLine="0"/>
        <w:jc w:val="center"/>
        <w:rPr>
          <w:rFonts w:ascii="Constantia" w:hAnsi="Constantia"/>
          <w:sz w:val="20"/>
        </w:rPr>
      </w:pPr>
      <w:r>
        <w:rPr>
          <w:rFonts w:ascii="Constantia" w:hAnsi="Constantia"/>
          <w:w w:val="115"/>
          <w:sz w:val="20"/>
        </w:rPr>
        <w:t>Varianza de la Asignac. De Ingresos Fisc. Gasíferos (Gasto de Capital/ Ing. Fisc.</w:t>
      </w:r>
    </w:p>
    <w:p>
      <w:pPr>
        <w:spacing w:line="243" w:lineRule="exact" w:before="0"/>
        <w:ind w:left="2689" w:right="1435" w:firstLine="0"/>
        <w:jc w:val="center"/>
        <w:rPr>
          <w:rFonts w:ascii="Constantia" w:hAnsi="Constantia"/>
          <w:sz w:val="20"/>
        </w:rPr>
      </w:pPr>
      <w:r>
        <w:rPr>
          <w:rFonts w:ascii="Constantia" w:hAnsi="Constantia"/>
          <w:w w:val="115"/>
          <w:sz w:val="20"/>
        </w:rPr>
        <w:t>Gasíferos)</w:t>
      </w:r>
    </w:p>
    <w:p>
      <w:pPr>
        <w:pStyle w:val="BodyText"/>
        <w:spacing w:before="1"/>
        <w:rPr>
          <w:rFonts w:ascii="Constantia"/>
          <w:sz w:val="11"/>
        </w:rPr>
      </w:pPr>
    </w:p>
    <w:tbl>
      <w:tblPr>
        <w:tblW w:w="0" w:type="auto"/>
        <w:jc w:val="left"/>
        <w:tblInd w:w="2804"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1393"/>
        <w:gridCol w:w="1656"/>
        <w:gridCol w:w="1691"/>
      </w:tblGrid>
      <w:tr>
        <w:trPr>
          <w:trHeight w:val="449" w:hRule="exact"/>
        </w:trPr>
        <w:tc>
          <w:tcPr>
            <w:tcW w:w="1393" w:type="dxa"/>
            <w:tcBorders>
              <w:left w:val="nil"/>
              <w:bottom w:val="nil"/>
              <w:right w:val="nil"/>
            </w:tcBorders>
          </w:tcPr>
          <w:p>
            <w:pPr>
              <w:pStyle w:val="TableParagraph"/>
              <w:spacing w:before="8"/>
              <w:jc w:val="left"/>
              <w:rPr>
                <w:rFonts w:ascii="Constantia"/>
                <w:sz w:val="18"/>
              </w:rPr>
            </w:pPr>
          </w:p>
          <w:p>
            <w:pPr>
              <w:pStyle w:val="TableParagraph"/>
              <w:ind w:left="310" w:right="248"/>
              <w:rPr>
                <w:rFonts w:ascii="Constantia"/>
                <w:sz w:val="17"/>
              </w:rPr>
            </w:pPr>
            <w:r>
              <w:rPr>
                <w:rFonts w:ascii="Constantia"/>
                <w:w w:val="110"/>
                <w:sz w:val="17"/>
              </w:rPr>
              <w:t>Trimestre</w:t>
            </w:r>
          </w:p>
        </w:tc>
        <w:tc>
          <w:tcPr>
            <w:tcW w:w="1656" w:type="dxa"/>
            <w:tcBorders>
              <w:left w:val="nil"/>
              <w:bottom w:val="nil"/>
              <w:right w:val="nil"/>
            </w:tcBorders>
          </w:tcPr>
          <w:p>
            <w:pPr>
              <w:pStyle w:val="TableParagraph"/>
              <w:spacing w:line="264" w:lineRule="auto"/>
              <w:ind w:left="258" w:firstLine="130"/>
              <w:jc w:val="left"/>
              <w:rPr>
                <w:rFonts w:ascii="Constantia"/>
                <w:sz w:val="17"/>
              </w:rPr>
            </w:pPr>
            <w:r>
              <w:rPr>
                <w:rFonts w:ascii="Constantia"/>
                <w:w w:val="110"/>
                <w:sz w:val="17"/>
              </w:rPr>
              <w:t>Choques de precios del gas</w:t>
            </w:r>
          </w:p>
        </w:tc>
        <w:tc>
          <w:tcPr>
            <w:tcW w:w="1691" w:type="dxa"/>
            <w:tcBorders>
              <w:left w:val="nil"/>
              <w:bottom w:val="nil"/>
              <w:right w:val="nil"/>
            </w:tcBorders>
          </w:tcPr>
          <w:p>
            <w:pPr>
              <w:pStyle w:val="TableParagraph"/>
              <w:spacing w:line="264" w:lineRule="auto"/>
              <w:ind w:left="182" w:right="167" w:firstLine="83"/>
              <w:jc w:val="left"/>
              <w:rPr>
                <w:rFonts w:ascii="Constantia"/>
                <w:sz w:val="17"/>
              </w:rPr>
            </w:pPr>
            <w:r>
              <w:rPr>
                <w:rFonts w:ascii="Constantia"/>
                <w:w w:val="110"/>
                <w:sz w:val="17"/>
              </w:rPr>
              <w:t>Choques de la Asignac. De Ing.</w:t>
            </w:r>
          </w:p>
        </w:tc>
      </w:tr>
      <w:tr>
        <w:trPr>
          <w:trHeight w:val="264" w:hRule="exact"/>
        </w:trPr>
        <w:tc>
          <w:tcPr>
            <w:tcW w:w="4741" w:type="dxa"/>
            <w:gridSpan w:val="3"/>
            <w:tcBorders>
              <w:top w:val="nil"/>
              <w:left w:val="nil"/>
              <w:bottom w:val="nil"/>
              <w:right w:val="nil"/>
            </w:tcBorders>
          </w:tcPr>
          <w:p>
            <w:pPr>
              <w:pStyle w:val="TableParagraph"/>
              <w:tabs>
                <w:tab w:pos="1960" w:val="left" w:leader="none"/>
                <w:tab w:pos="3315" w:val="left" w:leader="none"/>
                <w:tab w:pos="4740" w:val="left" w:leader="none"/>
              </w:tabs>
              <w:spacing w:before="22"/>
              <w:jc w:val="left"/>
              <w:rPr>
                <w:rFonts w:ascii="Constantia" w:hAnsi="Constantia"/>
                <w:sz w:val="17"/>
              </w:rPr>
            </w:pPr>
            <w:r>
              <w:rPr>
                <w:rFonts w:ascii="Constantia" w:hAnsi="Constantia"/>
                <w:w w:val="111"/>
                <w:sz w:val="17"/>
                <w:u w:val="single"/>
              </w:rPr>
              <w:t> </w:t>
            </w:r>
            <w:r>
              <w:rPr>
                <w:rFonts w:ascii="Constantia" w:hAnsi="Constantia"/>
                <w:sz w:val="17"/>
                <w:u w:val="single"/>
              </w:rPr>
              <w:tab/>
            </w:r>
            <w:r>
              <w:rPr>
                <w:rFonts w:ascii="Constantia" w:hAnsi="Constantia"/>
                <w:w w:val="110"/>
                <w:sz w:val="17"/>
                <w:u w:val="single"/>
              </w:rPr>
              <w:t>natural</w:t>
              <w:tab/>
              <w:t>Fisc.</w:t>
            </w:r>
            <w:r>
              <w:rPr>
                <w:rFonts w:ascii="Constantia" w:hAnsi="Constantia"/>
                <w:spacing w:val="17"/>
                <w:w w:val="110"/>
                <w:sz w:val="17"/>
                <w:u w:val="single"/>
              </w:rPr>
              <w:t> </w:t>
            </w:r>
            <w:r>
              <w:rPr>
                <w:rFonts w:ascii="Constantia" w:hAnsi="Constantia"/>
                <w:w w:val="110"/>
                <w:sz w:val="17"/>
                <w:u w:val="single"/>
              </w:rPr>
              <w:t>Gasíferos</w:t>
            </w:r>
            <w:r>
              <w:rPr>
                <w:rFonts w:ascii="Constantia" w:hAnsi="Constantia"/>
                <w:sz w:val="17"/>
                <w:u w:val="single"/>
              </w:rPr>
              <w:tab/>
            </w:r>
          </w:p>
        </w:tc>
      </w:tr>
      <w:tr>
        <w:trPr>
          <w:trHeight w:val="275" w:hRule="exact"/>
        </w:trPr>
        <w:tc>
          <w:tcPr>
            <w:tcW w:w="1393" w:type="dxa"/>
            <w:tcBorders>
              <w:top w:val="nil"/>
              <w:left w:val="nil"/>
              <w:bottom w:val="nil"/>
              <w:right w:val="nil"/>
            </w:tcBorders>
          </w:tcPr>
          <w:p>
            <w:pPr>
              <w:pStyle w:val="TableParagraph"/>
              <w:ind w:left="79"/>
              <w:rPr>
                <w:rFonts w:ascii="Constantia"/>
                <w:sz w:val="20"/>
              </w:rPr>
            </w:pPr>
            <w:r>
              <w:rPr>
                <w:rFonts w:ascii="Constantia"/>
                <w:w w:val="112"/>
                <w:sz w:val="20"/>
              </w:rPr>
              <w:t>1</w:t>
            </w:r>
          </w:p>
        </w:tc>
        <w:tc>
          <w:tcPr>
            <w:tcW w:w="1656" w:type="dxa"/>
            <w:tcBorders>
              <w:top w:val="nil"/>
              <w:left w:val="nil"/>
              <w:bottom w:val="nil"/>
              <w:right w:val="nil"/>
            </w:tcBorders>
          </w:tcPr>
          <w:p>
            <w:pPr>
              <w:pStyle w:val="TableParagraph"/>
              <w:ind w:right="715"/>
              <w:jc w:val="right"/>
              <w:rPr>
                <w:rFonts w:ascii="Constantia"/>
                <w:sz w:val="20"/>
              </w:rPr>
            </w:pPr>
            <w:r>
              <w:rPr>
                <w:rFonts w:ascii="Constantia"/>
                <w:w w:val="112"/>
                <w:sz w:val="20"/>
              </w:rPr>
              <w:t>6</w:t>
            </w:r>
          </w:p>
        </w:tc>
        <w:tc>
          <w:tcPr>
            <w:tcW w:w="1691" w:type="dxa"/>
            <w:tcBorders>
              <w:top w:val="nil"/>
              <w:left w:val="nil"/>
              <w:bottom w:val="nil"/>
              <w:right w:val="nil"/>
            </w:tcBorders>
          </w:tcPr>
          <w:p>
            <w:pPr>
              <w:pStyle w:val="TableParagraph"/>
              <w:ind w:left="714" w:right="689"/>
              <w:rPr>
                <w:rFonts w:ascii="Constantia"/>
                <w:sz w:val="20"/>
              </w:rPr>
            </w:pPr>
            <w:r>
              <w:rPr>
                <w:rFonts w:ascii="Constantia"/>
                <w:w w:val="115"/>
                <w:sz w:val="20"/>
              </w:rPr>
              <w:t>75</w:t>
            </w:r>
          </w:p>
        </w:tc>
      </w:tr>
      <w:tr>
        <w:trPr>
          <w:trHeight w:val="270" w:hRule="exact"/>
        </w:trPr>
        <w:tc>
          <w:tcPr>
            <w:tcW w:w="1393" w:type="dxa"/>
            <w:tcBorders>
              <w:top w:val="nil"/>
              <w:left w:val="nil"/>
              <w:bottom w:val="nil"/>
              <w:right w:val="nil"/>
            </w:tcBorders>
          </w:tcPr>
          <w:p>
            <w:pPr>
              <w:pStyle w:val="TableParagraph"/>
              <w:spacing w:line="241" w:lineRule="exact"/>
              <w:ind w:left="80"/>
              <w:rPr>
                <w:rFonts w:ascii="Constantia"/>
                <w:sz w:val="20"/>
              </w:rPr>
            </w:pPr>
            <w:r>
              <w:rPr>
                <w:rFonts w:ascii="Constantia"/>
                <w:w w:val="112"/>
                <w:sz w:val="20"/>
              </w:rPr>
              <w:t>4</w:t>
            </w:r>
          </w:p>
        </w:tc>
        <w:tc>
          <w:tcPr>
            <w:tcW w:w="1656" w:type="dxa"/>
            <w:tcBorders>
              <w:top w:val="nil"/>
              <w:left w:val="nil"/>
              <w:bottom w:val="nil"/>
              <w:right w:val="nil"/>
            </w:tcBorders>
          </w:tcPr>
          <w:p>
            <w:pPr>
              <w:pStyle w:val="TableParagraph"/>
              <w:spacing w:line="241" w:lineRule="exact"/>
              <w:ind w:right="672"/>
              <w:jc w:val="right"/>
              <w:rPr>
                <w:rFonts w:ascii="Constantia"/>
                <w:sz w:val="20"/>
              </w:rPr>
            </w:pPr>
            <w:r>
              <w:rPr>
                <w:rFonts w:ascii="Constantia"/>
                <w:w w:val="110"/>
                <w:sz w:val="20"/>
              </w:rPr>
              <w:t>24</w:t>
            </w:r>
          </w:p>
        </w:tc>
        <w:tc>
          <w:tcPr>
            <w:tcW w:w="1691" w:type="dxa"/>
            <w:tcBorders>
              <w:top w:val="nil"/>
              <w:left w:val="nil"/>
              <w:bottom w:val="nil"/>
              <w:right w:val="nil"/>
            </w:tcBorders>
          </w:tcPr>
          <w:p>
            <w:pPr>
              <w:pStyle w:val="TableParagraph"/>
              <w:spacing w:line="241" w:lineRule="exact"/>
              <w:ind w:left="714" w:right="687"/>
              <w:rPr>
                <w:rFonts w:ascii="Constantia"/>
                <w:sz w:val="20"/>
              </w:rPr>
            </w:pPr>
            <w:r>
              <w:rPr>
                <w:rFonts w:ascii="Constantia"/>
                <w:w w:val="115"/>
                <w:sz w:val="20"/>
              </w:rPr>
              <w:t>55</w:t>
            </w:r>
          </w:p>
        </w:tc>
      </w:tr>
      <w:tr>
        <w:trPr>
          <w:trHeight w:val="263" w:hRule="exact"/>
        </w:trPr>
        <w:tc>
          <w:tcPr>
            <w:tcW w:w="1393" w:type="dxa"/>
            <w:tcBorders>
              <w:top w:val="nil"/>
              <w:left w:val="nil"/>
              <w:bottom w:val="nil"/>
              <w:right w:val="nil"/>
            </w:tcBorders>
          </w:tcPr>
          <w:p>
            <w:pPr>
              <w:pStyle w:val="TableParagraph"/>
              <w:spacing w:line="241" w:lineRule="exact"/>
              <w:ind w:left="81"/>
              <w:rPr>
                <w:rFonts w:ascii="Constantia"/>
                <w:sz w:val="20"/>
              </w:rPr>
            </w:pPr>
            <w:r>
              <w:rPr>
                <w:rFonts w:ascii="Constantia"/>
                <w:w w:val="112"/>
                <w:sz w:val="20"/>
              </w:rPr>
              <w:t>8</w:t>
            </w:r>
          </w:p>
        </w:tc>
        <w:tc>
          <w:tcPr>
            <w:tcW w:w="1656" w:type="dxa"/>
            <w:tcBorders>
              <w:top w:val="nil"/>
              <w:left w:val="nil"/>
              <w:bottom w:val="nil"/>
              <w:right w:val="nil"/>
            </w:tcBorders>
          </w:tcPr>
          <w:p>
            <w:pPr>
              <w:pStyle w:val="TableParagraph"/>
              <w:spacing w:line="241" w:lineRule="exact"/>
              <w:ind w:right="671"/>
              <w:jc w:val="right"/>
              <w:rPr>
                <w:rFonts w:ascii="Constantia"/>
                <w:sz w:val="20"/>
              </w:rPr>
            </w:pPr>
            <w:r>
              <w:rPr>
                <w:rFonts w:ascii="Constantia"/>
                <w:w w:val="110"/>
                <w:sz w:val="20"/>
              </w:rPr>
              <w:t>28</w:t>
            </w:r>
          </w:p>
        </w:tc>
        <w:tc>
          <w:tcPr>
            <w:tcW w:w="1691" w:type="dxa"/>
            <w:tcBorders>
              <w:top w:val="nil"/>
              <w:left w:val="nil"/>
              <w:bottom w:val="nil"/>
              <w:right w:val="nil"/>
            </w:tcBorders>
          </w:tcPr>
          <w:p>
            <w:pPr>
              <w:pStyle w:val="TableParagraph"/>
              <w:spacing w:line="241" w:lineRule="exact"/>
              <w:ind w:left="714" w:right="685"/>
              <w:rPr>
                <w:rFonts w:ascii="Constantia"/>
                <w:sz w:val="20"/>
              </w:rPr>
            </w:pPr>
            <w:r>
              <w:rPr>
                <w:rFonts w:ascii="Constantia"/>
                <w:w w:val="115"/>
                <w:sz w:val="20"/>
              </w:rPr>
              <w:t>52</w:t>
            </w:r>
          </w:p>
        </w:tc>
      </w:tr>
    </w:tbl>
    <w:p>
      <w:pPr>
        <w:tabs>
          <w:tab w:pos="3433" w:val="left" w:leader="none"/>
          <w:tab w:pos="4943" w:val="left" w:leader="none"/>
          <w:tab w:pos="6594" w:val="left" w:leader="none"/>
          <w:tab w:pos="7533" w:val="left" w:leader="none"/>
        </w:tabs>
        <w:spacing w:before="4"/>
        <w:ind w:left="2792" w:right="115" w:firstLine="0"/>
        <w:jc w:val="left"/>
        <w:rPr>
          <w:rFonts w:ascii="Constantia"/>
          <w:sz w:val="20"/>
        </w:rPr>
      </w:pPr>
      <w:r>
        <w:rPr>
          <w:rFonts w:ascii="Constantia"/>
          <w:w w:val="112"/>
          <w:sz w:val="20"/>
          <w:u w:val="single"/>
        </w:rPr>
        <w:t> </w:t>
      </w:r>
      <w:r>
        <w:rPr>
          <w:rFonts w:ascii="Constantia"/>
          <w:sz w:val="20"/>
          <w:u w:val="single"/>
        </w:rPr>
        <w:tab/>
      </w:r>
      <w:r>
        <w:rPr>
          <w:rFonts w:ascii="Constantia"/>
          <w:w w:val="115"/>
          <w:sz w:val="20"/>
          <w:u w:val="single"/>
        </w:rPr>
        <w:t>12</w:t>
        <w:tab/>
        <w:t>29</w:t>
        <w:tab/>
        <w:t>52</w:t>
      </w:r>
      <w:r>
        <w:rPr>
          <w:rFonts w:ascii="Constantia"/>
          <w:sz w:val="20"/>
          <w:u w:val="single"/>
        </w:rPr>
        <w:tab/>
      </w:r>
    </w:p>
    <w:p>
      <w:pPr>
        <w:pStyle w:val="BodyText"/>
        <w:rPr>
          <w:rFonts w:ascii="Constantia"/>
          <w:sz w:val="19"/>
        </w:rPr>
      </w:pPr>
    </w:p>
    <w:p>
      <w:pPr>
        <w:spacing w:before="65"/>
        <w:ind w:left="1425" w:right="115" w:firstLine="0"/>
        <w:jc w:val="left"/>
        <w:rPr>
          <w:rFonts w:ascii="Constantia" w:hAnsi="Constantia"/>
          <w:sz w:val="20"/>
        </w:rPr>
      </w:pPr>
      <w:r>
        <w:rPr>
          <w:rFonts w:ascii="Constantia" w:hAnsi="Constantia"/>
          <w:w w:val="115"/>
          <w:sz w:val="20"/>
        </w:rPr>
        <w:t>Varianza de la Asignac. De Ingresos Fisc. No Gasíferos (Gasto</w:t>
      </w:r>
    </w:p>
    <w:p>
      <w:pPr>
        <w:tabs>
          <w:tab w:pos="2804" w:val="left" w:leader="none"/>
          <w:tab w:pos="7521" w:val="left" w:leader="none"/>
        </w:tabs>
        <w:spacing w:before="26"/>
        <w:ind w:left="1378" w:right="115" w:firstLine="0"/>
        <w:jc w:val="left"/>
        <w:rPr>
          <w:rFonts w:ascii="Constantia" w:hAnsi="Constantia"/>
          <w:sz w:val="20"/>
        </w:rPr>
      </w:pPr>
      <w:r>
        <w:rPr>
          <w:rFonts w:ascii="Constantia" w:hAnsi="Constantia"/>
          <w:w w:val="112"/>
          <w:sz w:val="20"/>
          <w:u w:val="thick"/>
        </w:rPr>
        <w:t> </w:t>
      </w:r>
      <w:r>
        <w:rPr>
          <w:rFonts w:ascii="Constantia" w:hAnsi="Constantia"/>
          <w:sz w:val="20"/>
          <w:u w:val="thick"/>
        </w:rPr>
        <w:tab/>
      </w:r>
      <w:r>
        <w:rPr>
          <w:rFonts w:ascii="Constantia" w:hAnsi="Constantia"/>
          <w:w w:val="115"/>
          <w:sz w:val="20"/>
          <w:u w:val="thick"/>
        </w:rPr>
        <w:t>corriente/</w:t>
      </w:r>
      <w:r>
        <w:rPr>
          <w:rFonts w:ascii="Constantia" w:hAnsi="Constantia"/>
          <w:spacing w:val="-22"/>
          <w:w w:val="115"/>
          <w:sz w:val="20"/>
          <w:u w:val="thick"/>
        </w:rPr>
        <w:t> </w:t>
      </w:r>
      <w:r>
        <w:rPr>
          <w:rFonts w:ascii="Constantia" w:hAnsi="Constantia"/>
          <w:w w:val="115"/>
          <w:sz w:val="20"/>
          <w:u w:val="thick"/>
        </w:rPr>
        <w:t>Ing.</w:t>
      </w:r>
      <w:r>
        <w:rPr>
          <w:rFonts w:ascii="Constantia" w:hAnsi="Constantia"/>
          <w:spacing w:val="-23"/>
          <w:w w:val="115"/>
          <w:sz w:val="20"/>
          <w:u w:val="thick"/>
        </w:rPr>
        <w:t> </w:t>
      </w:r>
      <w:r>
        <w:rPr>
          <w:rFonts w:ascii="Constantia" w:hAnsi="Constantia"/>
          <w:w w:val="115"/>
          <w:sz w:val="20"/>
          <w:u w:val="thick"/>
        </w:rPr>
        <w:t>Fisc.</w:t>
      </w:r>
      <w:r>
        <w:rPr>
          <w:rFonts w:ascii="Constantia" w:hAnsi="Constantia"/>
          <w:spacing w:val="-23"/>
          <w:w w:val="115"/>
          <w:sz w:val="20"/>
          <w:u w:val="thick"/>
        </w:rPr>
        <w:t> </w:t>
      </w:r>
      <w:r>
        <w:rPr>
          <w:rFonts w:ascii="Constantia" w:hAnsi="Constantia"/>
          <w:w w:val="115"/>
          <w:sz w:val="20"/>
          <w:u w:val="thick"/>
        </w:rPr>
        <w:t>No</w:t>
      </w:r>
      <w:r>
        <w:rPr>
          <w:rFonts w:ascii="Constantia" w:hAnsi="Constantia"/>
          <w:spacing w:val="-26"/>
          <w:w w:val="115"/>
          <w:sz w:val="20"/>
          <w:u w:val="thick"/>
        </w:rPr>
        <w:t> </w:t>
      </w:r>
      <w:r>
        <w:rPr>
          <w:rFonts w:ascii="Constantia" w:hAnsi="Constantia"/>
          <w:w w:val="115"/>
          <w:sz w:val="20"/>
          <w:u w:val="thick"/>
        </w:rPr>
        <w:t>Gasíferos)</w:t>
      </w:r>
      <w:r>
        <w:rPr>
          <w:rFonts w:ascii="Constantia" w:hAnsi="Constantia"/>
          <w:sz w:val="20"/>
          <w:u w:val="thick"/>
        </w:rPr>
        <w:tab/>
      </w:r>
    </w:p>
    <w:p>
      <w:pPr>
        <w:pStyle w:val="BodyText"/>
        <w:spacing w:before="9"/>
        <w:rPr>
          <w:rFonts w:ascii="Constantia"/>
          <w:sz w:val="15"/>
        </w:rPr>
      </w:pPr>
    </w:p>
    <w:tbl>
      <w:tblPr>
        <w:tblW w:w="0" w:type="auto"/>
        <w:jc w:val="left"/>
        <w:tblInd w:w="13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34"/>
        <w:gridCol w:w="1555"/>
        <w:gridCol w:w="1578"/>
        <w:gridCol w:w="1699"/>
      </w:tblGrid>
      <w:tr>
        <w:trPr>
          <w:trHeight w:val="961" w:hRule="exact"/>
        </w:trPr>
        <w:tc>
          <w:tcPr>
            <w:tcW w:w="1334" w:type="dxa"/>
            <w:tcBorders>
              <w:bottom w:val="single" w:sz="4" w:space="0" w:color="000000"/>
            </w:tcBorders>
          </w:tcPr>
          <w:p>
            <w:pPr>
              <w:pStyle w:val="TableParagraph"/>
              <w:jc w:val="left"/>
              <w:rPr>
                <w:rFonts w:ascii="Constantia"/>
                <w:sz w:val="16"/>
              </w:rPr>
            </w:pPr>
          </w:p>
          <w:p>
            <w:pPr>
              <w:pStyle w:val="TableParagraph"/>
              <w:spacing w:before="100"/>
              <w:ind w:left="299" w:right="201"/>
              <w:rPr>
                <w:rFonts w:ascii="Constantia"/>
                <w:sz w:val="17"/>
              </w:rPr>
            </w:pPr>
            <w:r>
              <w:rPr>
                <w:rFonts w:ascii="Constantia"/>
                <w:w w:val="110"/>
                <w:sz w:val="17"/>
              </w:rPr>
              <w:t>Trimestre</w:t>
            </w:r>
          </w:p>
        </w:tc>
        <w:tc>
          <w:tcPr>
            <w:tcW w:w="1555" w:type="dxa"/>
            <w:tcBorders>
              <w:bottom w:val="single" w:sz="4" w:space="0" w:color="000000"/>
            </w:tcBorders>
          </w:tcPr>
          <w:p>
            <w:pPr>
              <w:pStyle w:val="TableParagraph"/>
              <w:spacing w:line="264" w:lineRule="auto" w:before="68"/>
              <w:ind w:left="210" w:right="127" w:firstLine="2"/>
              <w:rPr>
                <w:rFonts w:ascii="Constantia"/>
                <w:sz w:val="17"/>
              </w:rPr>
            </w:pPr>
            <w:r>
              <w:rPr>
                <w:rFonts w:ascii="Constantia"/>
                <w:w w:val="110"/>
                <w:sz w:val="17"/>
              </w:rPr>
              <w:t>Choques de precios del gas natural</w:t>
            </w:r>
          </w:p>
        </w:tc>
        <w:tc>
          <w:tcPr>
            <w:tcW w:w="1578" w:type="dxa"/>
            <w:tcBorders>
              <w:bottom w:val="single" w:sz="4" w:space="0" w:color="000000"/>
            </w:tcBorders>
          </w:tcPr>
          <w:p>
            <w:pPr>
              <w:pStyle w:val="TableParagraph"/>
              <w:spacing w:line="264" w:lineRule="auto" w:before="68"/>
              <w:ind w:left="129" w:right="117" w:hanging="5"/>
              <w:rPr>
                <w:rFonts w:ascii="Constantia" w:hAnsi="Constantia"/>
                <w:sz w:val="17"/>
              </w:rPr>
            </w:pPr>
            <w:r>
              <w:rPr>
                <w:rFonts w:ascii="Constantia" w:hAnsi="Constantia"/>
                <w:w w:val="110"/>
                <w:sz w:val="17"/>
              </w:rPr>
              <w:t>Choques de la Asignac. De Ing. Fisc. Gasíferos</w:t>
            </w:r>
          </w:p>
        </w:tc>
        <w:tc>
          <w:tcPr>
            <w:tcW w:w="1699" w:type="dxa"/>
            <w:tcBorders>
              <w:bottom w:val="single" w:sz="4" w:space="0" w:color="000000"/>
            </w:tcBorders>
          </w:tcPr>
          <w:p>
            <w:pPr>
              <w:pStyle w:val="TableParagraph"/>
              <w:spacing w:line="264" w:lineRule="auto" w:before="68"/>
              <w:ind w:left="119" w:right="102" w:hanging="9"/>
              <w:rPr>
                <w:rFonts w:ascii="Constantia" w:hAnsi="Constantia"/>
                <w:sz w:val="17"/>
              </w:rPr>
            </w:pPr>
            <w:r>
              <w:rPr>
                <w:rFonts w:ascii="Constantia" w:hAnsi="Constantia"/>
                <w:w w:val="110"/>
                <w:sz w:val="17"/>
              </w:rPr>
              <w:t>Choques de la Asignac. De Ing. Fisc. No Gasíferos</w:t>
            </w:r>
          </w:p>
        </w:tc>
      </w:tr>
      <w:tr>
        <w:trPr>
          <w:trHeight w:val="295" w:hRule="exact"/>
        </w:trPr>
        <w:tc>
          <w:tcPr>
            <w:tcW w:w="1334" w:type="dxa"/>
            <w:tcBorders>
              <w:top w:val="single" w:sz="4" w:space="0" w:color="000000"/>
            </w:tcBorders>
          </w:tcPr>
          <w:p>
            <w:pPr>
              <w:pStyle w:val="TableParagraph"/>
              <w:spacing w:before="15"/>
              <w:ind w:left="115"/>
              <w:rPr>
                <w:rFonts w:ascii="Constantia"/>
                <w:sz w:val="20"/>
              </w:rPr>
            </w:pPr>
            <w:r>
              <w:rPr>
                <w:rFonts w:ascii="Constantia"/>
                <w:w w:val="112"/>
                <w:sz w:val="20"/>
              </w:rPr>
              <w:t>1</w:t>
            </w:r>
          </w:p>
        </w:tc>
        <w:tc>
          <w:tcPr>
            <w:tcW w:w="1555" w:type="dxa"/>
            <w:tcBorders>
              <w:top w:val="single" w:sz="4" w:space="0" w:color="000000"/>
            </w:tcBorders>
          </w:tcPr>
          <w:p>
            <w:pPr>
              <w:pStyle w:val="TableParagraph"/>
              <w:spacing w:before="15"/>
              <w:ind w:right="689"/>
              <w:jc w:val="right"/>
              <w:rPr>
                <w:rFonts w:ascii="Constantia"/>
                <w:sz w:val="20"/>
              </w:rPr>
            </w:pPr>
            <w:r>
              <w:rPr>
                <w:rFonts w:ascii="Constantia"/>
                <w:w w:val="112"/>
                <w:sz w:val="20"/>
              </w:rPr>
              <w:t>1</w:t>
            </w:r>
          </w:p>
        </w:tc>
        <w:tc>
          <w:tcPr>
            <w:tcW w:w="1578" w:type="dxa"/>
            <w:tcBorders>
              <w:top w:val="single" w:sz="4" w:space="0" w:color="000000"/>
            </w:tcBorders>
          </w:tcPr>
          <w:p>
            <w:pPr>
              <w:pStyle w:val="TableParagraph"/>
              <w:spacing w:before="15"/>
              <w:ind w:right="707"/>
              <w:jc w:val="right"/>
              <w:rPr>
                <w:rFonts w:ascii="Constantia"/>
                <w:sz w:val="20"/>
              </w:rPr>
            </w:pPr>
            <w:r>
              <w:rPr>
                <w:rFonts w:ascii="Constantia"/>
                <w:w w:val="112"/>
                <w:sz w:val="20"/>
              </w:rPr>
              <w:t>0</w:t>
            </w:r>
          </w:p>
        </w:tc>
        <w:tc>
          <w:tcPr>
            <w:tcW w:w="1699" w:type="dxa"/>
            <w:tcBorders>
              <w:top w:val="single" w:sz="4" w:space="0" w:color="000000"/>
            </w:tcBorders>
          </w:tcPr>
          <w:p>
            <w:pPr>
              <w:pStyle w:val="TableParagraph"/>
              <w:spacing w:before="15"/>
              <w:ind w:left="702" w:right="687"/>
              <w:rPr>
                <w:rFonts w:ascii="Constantia"/>
                <w:sz w:val="20"/>
              </w:rPr>
            </w:pPr>
            <w:r>
              <w:rPr>
                <w:rFonts w:ascii="Constantia"/>
                <w:w w:val="115"/>
                <w:sz w:val="20"/>
              </w:rPr>
              <w:t>93</w:t>
            </w:r>
          </w:p>
        </w:tc>
      </w:tr>
      <w:tr>
        <w:trPr>
          <w:trHeight w:val="270" w:hRule="exact"/>
        </w:trPr>
        <w:tc>
          <w:tcPr>
            <w:tcW w:w="1334" w:type="dxa"/>
          </w:tcPr>
          <w:p>
            <w:pPr>
              <w:pStyle w:val="TableParagraph"/>
              <w:spacing w:line="241" w:lineRule="exact"/>
              <w:ind w:left="117"/>
              <w:rPr>
                <w:rFonts w:ascii="Constantia"/>
                <w:sz w:val="20"/>
              </w:rPr>
            </w:pPr>
            <w:r>
              <w:rPr>
                <w:rFonts w:ascii="Constantia"/>
                <w:w w:val="112"/>
                <w:sz w:val="20"/>
              </w:rPr>
              <w:t>4</w:t>
            </w:r>
          </w:p>
        </w:tc>
        <w:tc>
          <w:tcPr>
            <w:tcW w:w="1555" w:type="dxa"/>
          </w:tcPr>
          <w:p>
            <w:pPr>
              <w:pStyle w:val="TableParagraph"/>
              <w:spacing w:line="241" w:lineRule="exact"/>
              <w:ind w:right="676"/>
              <w:jc w:val="right"/>
              <w:rPr>
                <w:rFonts w:ascii="Constantia"/>
                <w:sz w:val="20"/>
              </w:rPr>
            </w:pPr>
            <w:r>
              <w:rPr>
                <w:rFonts w:ascii="Constantia"/>
                <w:w w:val="112"/>
                <w:sz w:val="20"/>
              </w:rPr>
              <w:t>5</w:t>
            </w:r>
          </w:p>
        </w:tc>
        <w:tc>
          <w:tcPr>
            <w:tcW w:w="1578" w:type="dxa"/>
          </w:tcPr>
          <w:p>
            <w:pPr>
              <w:pStyle w:val="TableParagraph"/>
              <w:spacing w:line="241" w:lineRule="exact"/>
              <w:ind w:right="705"/>
              <w:jc w:val="right"/>
              <w:rPr>
                <w:rFonts w:ascii="Constantia"/>
                <w:sz w:val="20"/>
              </w:rPr>
            </w:pPr>
            <w:r>
              <w:rPr>
                <w:rFonts w:ascii="Constantia"/>
                <w:w w:val="112"/>
                <w:sz w:val="20"/>
              </w:rPr>
              <w:t>9</w:t>
            </w:r>
          </w:p>
        </w:tc>
        <w:tc>
          <w:tcPr>
            <w:tcW w:w="1699" w:type="dxa"/>
          </w:tcPr>
          <w:p>
            <w:pPr>
              <w:pStyle w:val="TableParagraph"/>
              <w:spacing w:line="241" w:lineRule="exact"/>
              <w:ind w:left="721" w:right="687"/>
              <w:rPr>
                <w:rFonts w:ascii="Constantia"/>
                <w:sz w:val="20"/>
              </w:rPr>
            </w:pPr>
            <w:r>
              <w:rPr>
                <w:rFonts w:ascii="Constantia"/>
                <w:w w:val="115"/>
                <w:sz w:val="20"/>
              </w:rPr>
              <w:t>75</w:t>
            </w:r>
          </w:p>
        </w:tc>
      </w:tr>
      <w:tr>
        <w:trPr>
          <w:trHeight w:val="271" w:hRule="exact"/>
        </w:trPr>
        <w:tc>
          <w:tcPr>
            <w:tcW w:w="1334" w:type="dxa"/>
          </w:tcPr>
          <w:p>
            <w:pPr>
              <w:pStyle w:val="TableParagraph"/>
              <w:spacing w:line="241" w:lineRule="exact"/>
              <w:ind w:left="118"/>
              <w:rPr>
                <w:rFonts w:ascii="Constantia"/>
                <w:sz w:val="20"/>
              </w:rPr>
            </w:pPr>
            <w:r>
              <w:rPr>
                <w:rFonts w:ascii="Constantia"/>
                <w:w w:val="112"/>
                <w:sz w:val="20"/>
              </w:rPr>
              <w:t>8</w:t>
            </w:r>
          </w:p>
        </w:tc>
        <w:tc>
          <w:tcPr>
            <w:tcW w:w="1555" w:type="dxa"/>
          </w:tcPr>
          <w:p>
            <w:pPr>
              <w:pStyle w:val="TableParagraph"/>
              <w:spacing w:line="241" w:lineRule="exact"/>
              <w:ind w:right="675"/>
              <w:jc w:val="right"/>
              <w:rPr>
                <w:rFonts w:ascii="Constantia"/>
                <w:sz w:val="20"/>
              </w:rPr>
            </w:pPr>
            <w:r>
              <w:rPr>
                <w:rFonts w:ascii="Constantia"/>
                <w:w w:val="112"/>
                <w:sz w:val="20"/>
              </w:rPr>
              <w:t>7</w:t>
            </w:r>
          </w:p>
        </w:tc>
        <w:tc>
          <w:tcPr>
            <w:tcW w:w="1578" w:type="dxa"/>
          </w:tcPr>
          <w:p>
            <w:pPr>
              <w:pStyle w:val="TableParagraph"/>
              <w:spacing w:line="241" w:lineRule="exact"/>
              <w:ind w:right="705"/>
              <w:jc w:val="right"/>
              <w:rPr>
                <w:rFonts w:ascii="Constantia"/>
                <w:sz w:val="20"/>
              </w:rPr>
            </w:pPr>
            <w:r>
              <w:rPr>
                <w:rFonts w:ascii="Constantia"/>
                <w:w w:val="112"/>
                <w:sz w:val="20"/>
              </w:rPr>
              <w:t>9</w:t>
            </w:r>
          </w:p>
        </w:tc>
        <w:tc>
          <w:tcPr>
            <w:tcW w:w="1699" w:type="dxa"/>
          </w:tcPr>
          <w:p>
            <w:pPr>
              <w:pStyle w:val="TableParagraph"/>
              <w:spacing w:line="241" w:lineRule="exact"/>
              <w:ind w:left="716" w:right="687"/>
              <w:rPr>
                <w:rFonts w:ascii="Constantia"/>
                <w:sz w:val="20"/>
              </w:rPr>
            </w:pPr>
            <w:r>
              <w:rPr>
                <w:rFonts w:ascii="Constantia"/>
                <w:w w:val="115"/>
                <w:sz w:val="20"/>
              </w:rPr>
              <w:t>73</w:t>
            </w:r>
          </w:p>
        </w:tc>
      </w:tr>
      <w:tr>
        <w:trPr>
          <w:trHeight w:val="246" w:hRule="exact"/>
        </w:trPr>
        <w:tc>
          <w:tcPr>
            <w:tcW w:w="1334" w:type="dxa"/>
            <w:tcBorders>
              <w:bottom w:val="single" w:sz="4" w:space="0" w:color="000000"/>
            </w:tcBorders>
          </w:tcPr>
          <w:p>
            <w:pPr>
              <w:pStyle w:val="TableParagraph"/>
              <w:spacing w:line="241" w:lineRule="exact"/>
              <w:ind w:left="299" w:right="193"/>
              <w:rPr>
                <w:rFonts w:ascii="Constantia"/>
                <w:sz w:val="20"/>
              </w:rPr>
            </w:pPr>
            <w:r>
              <w:rPr>
                <w:rFonts w:ascii="Constantia"/>
                <w:w w:val="115"/>
                <w:sz w:val="20"/>
              </w:rPr>
              <w:t>12</w:t>
            </w:r>
          </w:p>
        </w:tc>
        <w:tc>
          <w:tcPr>
            <w:tcW w:w="1555" w:type="dxa"/>
            <w:tcBorders>
              <w:bottom w:val="single" w:sz="4" w:space="0" w:color="000000"/>
            </w:tcBorders>
          </w:tcPr>
          <w:p>
            <w:pPr>
              <w:pStyle w:val="TableParagraph"/>
              <w:spacing w:line="241" w:lineRule="exact"/>
              <w:ind w:right="675"/>
              <w:jc w:val="right"/>
              <w:rPr>
                <w:rFonts w:ascii="Constantia"/>
                <w:sz w:val="20"/>
              </w:rPr>
            </w:pPr>
            <w:r>
              <w:rPr>
                <w:rFonts w:ascii="Constantia"/>
                <w:w w:val="112"/>
                <w:sz w:val="20"/>
              </w:rPr>
              <w:t>7</w:t>
            </w:r>
          </w:p>
        </w:tc>
        <w:tc>
          <w:tcPr>
            <w:tcW w:w="1578" w:type="dxa"/>
            <w:tcBorders>
              <w:bottom w:val="single" w:sz="4" w:space="0" w:color="000000"/>
            </w:tcBorders>
          </w:tcPr>
          <w:p>
            <w:pPr>
              <w:pStyle w:val="TableParagraph"/>
              <w:spacing w:line="241" w:lineRule="exact"/>
              <w:ind w:right="705"/>
              <w:jc w:val="right"/>
              <w:rPr>
                <w:rFonts w:ascii="Constantia"/>
                <w:sz w:val="20"/>
              </w:rPr>
            </w:pPr>
            <w:r>
              <w:rPr>
                <w:rFonts w:ascii="Constantia"/>
                <w:w w:val="112"/>
                <w:sz w:val="20"/>
              </w:rPr>
              <w:t>9</w:t>
            </w:r>
          </w:p>
        </w:tc>
        <w:tc>
          <w:tcPr>
            <w:tcW w:w="1699" w:type="dxa"/>
            <w:tcBorders>
              <w:bottom w:val="single" w:sz="4" w:space="0" w:color="000000"/>
            </w:tcBorders>
          </w:tcPr>
          <w:p>
            <w:pPr>
              <w:pStyle w:val="TableParagraph"/>
              <w:spacing w:line="241" w:lineRule="exact"/>
              <w:ind w:left="716" w:right="687"/>
              <w:rPr>
                <w:rFonts w:ascii="Constantia"/>
                <w:sz w:val="20"/>
              </w:rPr>
            </w:pPr>
            <w:r>
              <w:rPr>
                <w:rFonts w:ascii="Constantia"/>
                <w:w w:val="115"/>
                <w:sz w:val="20"/>
              </w:rPr>
              <w:t>73</w:t>
            </w:r>
          </w:p>
        </w:tc>
      </w:tr>
    </w:tbl>
    <w:p>
      <w:pPr>
        <w:pStyle w:val="BodyText"/>
        <w:rPr>
          <w:rFonts w:ascii="Constantia"/>
          <w:sz w:val="20"/>
        </w:rPr>
      </w:pPr>
    </w:p>
    <w:p>
      <w:pPr>
        <w:spacing w:before="166"/>
        <w:ind w:left="1842" w:right="115" w:firstLine="0"/>
        <w:jc w:val="left"/>
        <w:rPr>
          <w:rFonts w:ascii="Constantia" w:hAnsi="Constantia"/>
          <w:sz w:val="20"/>
        </w:rPr>
      </w:pPr>
      <w:r>
        <w:rPr>
          <w:rFonts w:ascii="Constantia" w:hAnsi="Constantia"/>
          <w:w w:val="115"/>
          <w:sz w:val="20"/>
        </w:rPr>
        <w:t>Varianza del valor del balance primario no gasífero/ PIB (Modelo A)</w:t>
      </w:r>
    </w:p>
    <w:p>
      <w:pPr>
        <w:pStyle w:val="BodyText"/>
        <w:spacing w:before="6"/>
        <w:rPr>
          <w:rFonts w:ascii="Constantia"/>
          <w:sz w:val="11"/>
        </w:rPr>
      </w:pPr>
    </w:p>
    <w:p>
      <w:pPr>
        <w:pStyle w:val="BodyText"/>
        <w:spacing w:line="32" w:lineRule="exact"/>
        <w:ind w:left="1373"/>
        <w:rPr>
          <w:rFonts w:ascii="Constantia"/>
          <w:sz w:val="3"/>
        </w:rPr>
      </w:pPr>
      <w:r>
        <w:rPr>
          <w:rFonts w:ascii="Constantia"/>
          <w:position w:val="0"/>
          <w:sz w:val="3"/>
        </w:rPr>
        <w:pict>
          <v:group style="width:379.6pt;height:1.65pt;mso-position-horizontal-relative:char;mso-position-vertical-relative:line" coordorigin="0,0" coordsize="7592,33">
            <v:line style="position:absolute" from="11,6" to="7580,6" stroked="true" strokeweight=".540695pt" strokecolor="#000000"/>
            <v:line style="position:absolute" from="6,6" to="7586,6" stroked="true" strokeweight=".540695pt" strokecolor="#000000"/>
            <v:line style="position:absolute" from="11,27" to="7580,27" stroked="true" strokeweight=".540695pt" strokecolor="#000000"/>
            <v:line style="position:absolute" from="6,27" to="7586,27" stroked="true" strokeweight=".540695pt" strokecolor="#000000"/>
          </v:group>
        </w:pict>
      </w:r>
      <w:r>
        <w:rPr>
          <w:rFonts w:ascii="Constantia"/>
          <w:position w:val="0"/>
          <w:sz w:val="3"/>
        </w:rPr>
      </w:r>
    </w:p>
    <w:p>
      <w:pPr>
        <w:spacing w:after="0" w:line="32" w:lineRule="exact"/>
        <w:rPr>
          <w:rFonts w:ascii="Constantia"/>
          <w:sz w:val="3"/>
        </w:rPr>
        <w:sectPr>
          <w:pgSz w:w="12250" w:h="15850"/>
          <w:pgMar w:header="0" w:footer="1037" w:top="1360" w:bottom="1220" w:left="1600" w:right="1560"/>
        </w:sectPr>
      </w:pPr>
    </w:p>
    <w:p>
      <w:pPr>
        <w:pStyle w:val="BodyText"/>
        <w:rPr>
          <w:rFonts w:ascii="Constantia"/>
          <w:sz w:val="16"/>
        </w:rPr>
      </w:pPr>
    </w:p>
    <w:p>
      <w:pPr>
        <w:pStyle w:val="BodyText"/>
        <w:spacing w:before="5"/>
        <w:rPr>
          <w:rFonts w:ascii="Constantia"/>
          <w:sz w:val="12"/>
        </w:rPr>
      </w:pPr>
    </w:p>
    <w:p>
      <w:pPr>
        <w:spacing w:before="0"/>
        <w:ind w:left="0" w:right="0" w:firstLine="0"/>
        <w:jc w:val="right"/>
        <w:rPr>
          <w:rFonts w:ascii="Constantia"/>
          <w:sz w:val="17"/>
        </w:rPr>
      </w:pPr>
      <w:r>
        <w:rPr>
          <w:rFonts w:ascii="Constantia"/>
          <w:w w:val="110"/>
          <w:sz w:val="17"/>
        </w:rPr>
        <w:t>Trimestre</w:t>
      </w:r>
    </w:p>
    <w:p>
      <w:pPr>
        <w:spacing w:line="261" w:lineRule="auto" w:before="120"/>
        <w:ind w:left="381" w:right="0" w:firstLine="2"/>
        <w:jc w:val="center"/>
        <w:rPr>
          <w:rFonts w:ascii="Constantia"/>
          <w:sz w:val="17"/>
        </w:rPr>
      </w:pPr>
      <w:r>
        <w:rPr/>
        <w:br w:type="column"/>
      </w:r>
      <w:r>
        <w:rPr>
          <w:rFonts w:ascii="Constantia"/>
          <w:w w:val="110"/>
          <w:sz w:val="17"/>
        </w:rPr>
        <w:t>Choques de precios del gas</w:t>
      </w:r>
    </w:p>
    <w:p>
      <w:pPr>
        <w:spacing w:line="151" w:lineRule="exact" w:before="1"/>
        <w:ind w:left="677" w:right="295" w:firstLine="0"/>
        <w:jc w:val="center"/>
        <w:rPr>
          <w:rFonts w:ascii="Constantia"/>
          <w:sz w:val="17"/>
        </w:rPr>
      </w:pPr>
      <w:r>
        <w:rPr>
          <w:rFonts w:ascii="Constantia"/>
          <w:w w:val="110"/>
          <w:sz w:val="17"/>
        </w:rPr>
        <w:t>natural</w:t>
      </w:r>
    </w:p>
    <w:p>
      <w:pPr>
        <w:spacing w:line="261" w:lineRule="auto" w:before="120"/>
        <w:ind w:left="218" w:right="-12" w:firstLine="83"/>
        <w:jc w:val="left"/>
        <w:rPr>
          <w:rFonts w:ascii="Constantia"/>
          <w:sz w:val="17"/>
        </w:rPr>
      </w:pPr>
      <w:r>
        <w:rPr/>
        <w:br w:type="column"/>
      </w:r>
      <w:r>
        <w:rPr>
          <w:rFonts w:ascii="Constantia"/>
          <w:w w:val="110"/>
          <w:sz w:val="17"/>
        </w:rPr>
        <w:t>Choques de la Asignac. De Ing.</w:t>
      </w:r>
    </w:p>
    <w:p>
      <w:pPr>
        <w:spacing w:line="151" w:lineRule="exact" w:before="1"/>
        <w:ind w:left="301" w:right="-12" w:firstLine="0"/>
        <w:jc w:val="left"/>
        <w:rPr>
          <w:rFonts w:ascii="Constantia" w:hAnsi="Constantia"/>
          <w:sz w:val="17"/>
        </w:rPr>
      </w:pPr>
      <w:r>
        <w:rPr>
          <w:rFonts w:ascii="Constantia" w:hAnsi="Constantia"/>
          <w:w w:val="110"/>
          <w:sz w:val="17"/>
        </w:rPr>
        <w:t>Fisc. Gasíferos</w:t>
      </w:r>
    </w:p>
    <w:p>
      <w:pPr>
        <w:spacing w:line="261" w:lineRule="auto" w:before="120"/>
        <w:ind w:left="198" w:right="0" w:hanging="9"/>
        <w:jc w:val="center"/>
        <w:rPr>
          <w:rFonts w:ascii="Constantia"/>
          <w:sz w:val="17"/>
        </w:rPr>
      </w:pPr>
      <w:r>
        <w:rPr/>
        <w:br w:type="column"/>
      </w:r>
      <w:r>
        <w:rPr>
          <w:rFonts w:ascii="Constantia"/>
          <w:w w:val="110"/>
          <w:sz w:val="17"/>
        </w:rPr>
        <w:t>Choques de la Asignac. De Ing.</w:t>
      </w:r>
    </w:p>
    <w:p>
      <w:pPr>
        <w:spacing w:line="151" w:lineRule="exact" w:before="1"/>
        <w:ind w:left="198" w:right="0" w:firstLine="0"/>
        <w:jc w:val="center"/>
        <w:rPr>
          <w:rFonts w:ascii="Constantia" w:hAnsi="Constantia"/>
          <w:sz w:val="17"/>
        </w:rPr>
      </w:pPr>
      <w:r>
        <w:rPr>
          <w:rFonts w:ascii="Constantia" w:hAnsi="Constantia"/>
          <w:w w:val="110"/>
          <w:sz w:val="17"/>
        </w:rPr>
        <w:t>Fisc. No Gasíferos</w:t>
      </w:r>
    </w:p>
    <w:p>
      <w:pPr>
        <w:spacing w:line="264" w:lineRule="auto" w:before="12"/>
        <w:ind w:left="266" w:right="331" w:firstLine="0"/>
        <w:jc w:val="center"/>
        <w:rPr>
          <w:rFonts w:ascii="Constantia"/>
          <w:sz w:val="17"/>
        </w:rPr>
      </w:pPr>
      <w:r>
        <w:rPr/>
        <w:br w:type="column"/>
      </w:r>
      <w:r>
        <w:rPr>
          <w:rFonts w:ascii="Constantia"/>
          <w:w w:val="110"/>
          <w:sz w:val="17"/>
        </w:rPr>
        <w:t>Choques del Balance primario no</w:t>
      </w:r>
    </w:p>
    <w:p>
      <w:pPr>
        <w:spacing w:after="0" w:line="264" w:lineRule="auto"/>
        <w:jc w:val="center"/>
        <w:rPr>
          <w:rFonts w:ascii="Constantia"/>
          <w:sz w:val="17"/>
        </w:rPr>
        <w:sectPr>
          <w:type w:val="continuous"/>
          <w:pgSz w:w="12250" w:h="15850"/>
          <w:pgMar w:top="1500" w:bottom="280" w:left="1600" w:right="1560"/>
          <w:cols w:num="5" w:equalWidth="0">
            <w:col w:w="2490" w:space="40"/>
            <w:col w:w="1597" w:space="40"/>
            <w:col w:w="1548" w:space="40"/>
            <w:col w:w="1675" w:space="40"/>
            <w:col w:w="1620"/>
          </w:cols>
        </w:sectPr>
      </w:pPr>
    </w:p>
    <w:p>
      <w:pPr>
        <w:tabs>
          <w:tab w:pos="7925" w:val="left" w:leader="none"/>
          <w:tab w:pos="8971" w:val="left" w:leader="none"/>
        </w:tabs>
        <w:spacing w:line="176" w:lineRule="exact" w:before="0" w:after="37"/>
        <w:ind w:left="1366" w:right="0" w:firstLine="0"/>
        <w:jc w:val="left"/>
        <w:rPr>
          <w:rFonts w:ascii="Constantia" w:hAnsi="Constantia"/>
          <w:sz w:val="17"/>
        </w:rPr>
      </w:pPr>
      <w:r>
        <w:rPr>
          <w:rFonts w:ascii="Constantia" w:hAnsi="Constantia"/>
          <w:w w:val="111"/>
          <w:sz w:val="17"/>
          <w:u w:val="single"/>
        </w:rPr>
        <w:t> </w:t>
      </w:r>
      <w:r>
        <w:rPr>
          <w:rFonts w:ascii="Constantia" w:hAnsi="Constantia"/>
          <w:sz w:val="17"/>
          <w:u w:val="single"/>
        </w:rPr>
        <w:tab/>
      </w:r>
      <w:r>
        <w:rPr>
          <w:rFonts w:ascii="Constantia" w:hAnsi="Constantia"/>
          <w:w w:val="110"/>
          <w:sz w:val="17"/>
          <w:u w:val="single"/>
        </w:rPr>
        <w:t>gasífero</w:t>
      </w:r>
      <w:r>
        <w:rPr>
          <w:rFonts w:ascii="Constantia" w:hAnsi="Constantia"/>
          <w:sz w:val="17"/>
          <w:u w:val="single"/>
        </w:rPr>
        <w:tab/>
      </w:r>
    </w:p>
    <w:tbl>
      <w:tblPr>
        <w:tblW w:w="0" w:type="auto"/>
        <w:jc w:val="left"/>
        <w:tblInd w:w="13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57"/>
        <w:gridCol w:w="1456"/>
        <w:gridCol w:w="1583"/>
        <w:gridCol w:w="1617"/>
        <w:gridCol w:w="1492"/>
      </w:tblGrid>
      <w:tr>
        <w:trPr>
          <w:trHeight w:val="271" w:hRule="exact"/>
        </w:trPr>
        <w:tc>
          <w:tcPr>
            <w:tcW w:w="1457" w:type="dxa"/>
          </w:tcPr>
          <w:p>
            <w:pPr>
              <w:pStyle w:val="TableParagraph"/>
              <w:spacing w:line="241" w:lineRule="exact"/>
              <w:ind w:right="5"/>
              <w:rPr>
                <w:rFonts w:ascii="Constantia"/>
                <w:sz w:val="20"/>
              </w:rPr>
            </w:pPr>
            <w:r>
              <w:rPr>
                <w:rFonts w:ascii="Constantia"/>
                <w:w w:val="112"/>
                <w:sz w:val="20"/>
              </w:rPr>
              <w:t>1</w:t>
            </w:r>
          </w:p>
        </w:tc>
        <w:tc>
          <w:tcPr>
            <w:tcW w:w="1456" w:type="dxa"/>
          </w:tcPr>
          <w:p>
            <w:pPr>
              <w:pStyle w:val="TableParagraph"/>
              <w:spacing w:line="241" w:lineRule="exact"/>
              <w:ind w:right="39"/>
              <w:rPr>
                <w:rFonts w:ascii="Constantia"/>
                <w:sz w:val="20"/>
              </w:rPr>
            </w:pPr>
            <w:r>
              <w:rPr>
                <w:rFonts w:ascii="Constantia"/>
                <w:w w:val="112"/>
                <w:sz w:val="20"/>
              </w:rPr>
              <w:t>0</w:t>
            </w:r>
          </w:p>
        </w:tc>
        <w:tc>
          <w:tcPr>
            <w:tcW w:w="1583" w:type="dxa"/>
          </w:tcPr>
          <w:p>
            <w:pPr>
              <w:pStyle w:val="TableParagraph"/>
              <w:spacing w:line="241" w:lineRule="exact"/>
              <w:ind w:right="13"/>
              <w:rPr>
                <w:rFonts w:ascii="Constantia"/>
                <w:sz w:val="20"/>
              </w:rPr>
            </w:pPr>
            <w:r>
              <w:rPr>
                <w:rFonts w:ascii="Constantia"/>
                <w:w w:val="112"/>
                <w:sz w:val="20"/>
              </w:rPr>
              <w:t>8</w:t>
            </w:r>
          </w:p>
        </w:tc>
        <w:tc>
          <w:tcPr>
            <w:tcW w:w="1617" w:type="dxa"/>
          </w:tcPr>
          <w:p>
            <w:pPr>
              <w:pStyle w:val="TableParagraph"/>
              <w:spacing w:line="241" w:lineRule="exact"/>
              <w:ind w:right="658"/>
              <w:jc w:val="right"/>
              <w:rPr>
                <w:rFonts w:ascii="Constantia"/>
                <w:sz w:val="20"/>
              </w:rPr>
            </w:pPr>
            <w:r>
              <w:rPr>
                <w:rFonts w:ascii="Constantia"/>
                <w:w w:val="110"/>
                <w:sz w:val="20"/>
              </w:rPr>
              <w:t>68</w:t>
            </w:r>
          </w:p>
        </w:tc>
        <w:tc>
          <w:tcPr>
            <w:tcW w:w="1492" w:type="dxa"/>
          </w:tcPr>
          <w:p>
            <w:pPr>
              <w:pStyle w:val="TableParagraph"/>
              <w:spacing w:line="241" w:lineRule="exact"/>
              <w:ind w:right="622"/>
              <w:jc w:val="right"/>
              <w:rPr>
                <w:rFonts w:ascii="Constantia"/>
                <w:sz w:val="20"/>
              </w:rPr>
            </w:pPr>
            <w:r>
              <w:rPr>
                <w:rFonts w:ascii="Constantia"/>
                <w:w w:val="110"/>
                <w:sz w:val="20"/>
              </w:rPr>
              <w:t>23</w:t>
            </w:r>
          </w:p>
        </w:tc>
      </w:tr>
      <w:tr>
        <w:trPr>
          <w:trHeight w:val="271" w:hRule="exact"/>
        </w:trPr>
        <w:tc>
          <w:tcPr>
            <w:tcW w:w="1457" w:type="dxa"/>
          </w:tcPr>
          <w:p>
            <w:pPr>
              <w:pStyle w:val="TableParagraph"/>
              <w:spacing w:line="241" w:lineRule="exact"/>
              <w:ind w:right="3"/>
              <w:rPr>
                <w:rFonts w:ascii="Constantia"/>
                <w:sz w:val="20"/>
              </w:rPr>
            </w:pPr>
            <w:r>
              <w:rPr>
                <w:rFonts w:ascii="Constantia"/>
                <w:w w:val="112"/>
                <w:sz w:val="20"/>
              </w:rPr>
              <w:t>4</w:t>
            </w:r>
          </w:p>
        </w:tc>
        <w:tc>
          <w:tcPr>
            <w:tcW w:w="1456" w:type="dxa"/>
          </w:tcPr>
          <w:p>
            <w:pPr>
              <w:pStyle w:val="TableParagraph"/>
              <w:spacing w:line="241" w:lineRule="exact"/>
              <w:ind w:right="39"/>
              <w:rPr>
                <w:rFonts w:ascii="Constantia"/>
                <w:sz w:val="20"/>
              </w:rPr>
            </w:pPr>
            <w:r>
              <w:rPr>
                <w:rFonts w:ascii="Constantia"/>
                <w:w w:val="112"/>
                <w:sz w:val="20"/>
              </w:rPr>
              <w:t>0</w:t>
            </w:r>
          </w:p>
        </w:tc>
        <w:tc>
          <w:tcPr>
            <w:tcW w:w="1583" w:type="dxa"/>
          </w:tcPr>
          <w:p>
            <w:pPr>
              <w:pStyle w:val="TableParagraph"/>
              <w:spacing w:line="241" w:lineRule="exact"/>
              <w:ind w:left="668" w:right="698"/>
              <w:rPr>
                <w:rFonts w:ascii="Constantia"/>
                <w:sz w:val="20"/>
              </w:rPr>
            </w:pPr>
            <w:r>
              <w:rPr>
                <w:rFonts w:ascii="Constantia"/>
                <w:w w:val="115"/>
                <w:sz w:val="20"/>
              </w:rPr>
              <w:t>13</w:t>
            </w:r>
          </w:p>
        </w:tc>
        <w:tc>
          <w:tcPr>
            <w:tcW w:w="1617" w:type="dxa"/>
          </w:tcPr>
          <w:p>
            <w:pPr>
              <w:pStyle w:val="TableParagraph"/>
              <w:spacing w:line="241" w:lineRule="exact"/>
              <w:ind w:right="676"/>
              <w:jc w:val="right"/>
              <w:rPr>
                <w:rFonts w:ascii="Constantia"/>
                <w:sz w:val="20"/>
              </w:rPr>
            </w:pPr>
            <w:r>
              <w:rPr>
                <w:rFonts w:ascii="Constantia"/>
                <w:w w:val="110"/>
                <w:sz w:val="20"/>
              </w:rPr>
              <w:t>63</w:t>
            </w:r>
          </w:p>
        </w:tc>
        <w:tc>
          <w:tcPr>
            <w:tcW w:w="1492" w:type="dxa"/>
          </w:tcPr>
          <w:p>
            <w:pPr>
              <w:pStyle w:val="TableParagraph"/>
              <w:spacing w:line="241" w:lineRule="exact"/>
              <w:ind w:right="630"/>
              <w:jc w:val="right"/>
              <w:rPr>
                <w:rFonts w:ascii="Constantia"/>
                <w:sz w:val="20"/>
              </w:rPr>
            </w:pPr>
            <w:r>
              <w:rPr>
                <w:rFonts w:ascii="Constantia"/>
                <w:w w:val="110"/>
                <w:sz w:val="20"/>
              </w:rPr>
              <w:t>21</w:t>
            </w:r>
          </w:p>
        </w:tc>
      </w:tr>
      <w:tr>
        <w:trPr>
          <w:trHeight w:val="270" w:hRule="exact"/>
        </w:trPr>
        <w:tc>
          <w:tcPr>
            <w:tcW w:w="1457" w:type="dxa"/>
          </w:tcPr>
          <w:p>
            <w:pPr>
              <w:pStyle w:val="TableParagraph"/>
              <w:spacing w:line="241" w:lineRule="exact"/>
              <w:ind w:right="2"/>
              <w:rPr>
                <w:rFonts w:ascii="Constantia"/>
                <w:sz w:val="20"/>
              </w:rPr>
            </w:pPr>
            <w:r>
              <w:rPr>
                <w:rFonts w:ascii="Constantia"/>
                <w:w w:val="112"/>
                <w:sz w:val="20"/>
              </w:rPr>
              <w:t>8</w:t>
            </w:r>
          </w:p>
        </w:tc>
        <w:tc>
          <w:tcPr>
            <w:tcW w:w="1456" w:type="dxa"/>
          </w:tcPr>
          <w:p>
            <w:pPr>
              <w:pStyle w:val="TableParagraph"/>
              <w:spacing w:line="241" w:lineRule="exact"/>
              <w:ind w:right="39"/>
              <w:rPr>
                <w:rFonts w:ascii="Constantia"/>
                <w:sz w:val="20"/>
              </w:rPr>
            </w:pPr>
            <w:r>
              <w:rPr>
                <w:rFonts w:ascii="Constantia"/>
                <w:w w:val="112"/>
                <w:sz w:val="20"/>
              </w:rPr>
              <w:t>0</w:t>
            </w:r>
          </w:p>
        </w:tc>
        <w:tc>
          <w:tcPr>
            <w:tcW w:w="1583" w:type="dxa"/>
          </w:tcPr>
          <w:p>
            <w:pPr>
              <w:pStyle w:val="TableParagraph"/>
              <w:spacing w:line="241" w:lineRule="exact"/>
              <w:ind w:left="668" w:right="698"/>
              <w:rPr>
                <w:rFonts w:ascii="Constantia"/>
                <w:sz w:val="20"/>
              </w:rPr>
            </w:pPr>
            <w:r>
              <w:rPr>
                <w:rFonts w:ascii="Constantia"/>
                <w:w w:val="115"/>
                <w:sz w:val="20"/>
              </w:rPr>
              <w:t>13</w:t>
            </w:r>
          </w:p>
        </w:tc>
        <w:tc>
          <w:tcPr>
            <w:tcW w:w="1617" w:type="dxa"/>
          </w:tcPr>
          <w:p>
            <w:pPr>
              <w:pStyle w:val="TableParagraph"/>
              <w:spacing w:line="241" w:lineRule="exact"/>
              <w:ind w:right="676"/>
              <w:jc w:val="right"/>
              <w:rPr>
                <w:rFonts w:ascii="Constantia"/>
                <w:sz w:val="20"/>
              </w:rPr>
            </w:pPr>
            <w:r>
              <w:rPr>
                <w:rFonts w:ascii="Constantia"/>
                <w:w w:val="110"/>
                <w:sz w:val="20"/>
              </w:rPr>
              <w:t>63</w:t>
            </w:r>
          </w:p>
        </w:tc>
        <w:tc>
          <w:tcPr>
            <w:tcW w:w="1492" w:type="dxa"/>
          </w:tcPr>
          <w:p>
            <w:pPr>
              <w:pStyle w:val="TableParagraph"/>
              <w:spacing w:line="241" w:lineRule="exact"/>
              <w:ind w:right="630"/>
              <w:jc w:val="right"/>
              <w:rPr>
                <w:rFonts w:ascii="Constantia"/>
                <w:sz w:val="20"/>
              </w:rPr>
            </w:pPr>
            <w:r>
              <w:rPr>
                <w:rFonts w:ascii="Constantia"/>
                <w:w w:val="110"/>
                <w:sz w:val="20"/>
              </w:rPr>
              <w:t>21</w:t>
            </w:r>
          </w:p>
        </w:tc>
      </w:tr>
      <w:tr>
        <w:trPr>
          <w:trHeight w:val="246" w:hRule="exact"/>
        </w:trPr>
        <w:tc>
          <w:tcPr>
            <w:tcW w:w="1457" w:type="dxa"/>
            <w:tcBorders>
              <w:bottom w:val="single" w:sz="4" w:space="0" w:color="000000"/>
            </w:tcBorders>
          </w:tcPr>
          <w:p>
            <w:pPr>
              <w:pStyle w:val="TableParagraph"/>
              <w:spacing w:line="241" w:lineRule="exact"/>
              <w:ind w:left="609" w:right="623"/>
              <w:rPr>
                <w:rFonts w:ascii="Constantia"/>
                <w:sz w:val="20"/>
              </w:rPr>
            </w:pPr>
            <w:r>
              <w:rPr>
                <w:rFonts w:ascii="Constantia"/>
                <w:w w:val="115"/>
                <w:sz w:val="20"/>
              </w:rPr>
              <w:t>12</w:t>
            </w:r>
          </w:p>
        </w:tc>
        <w:tc>
          <w:tcPr>
            <w:tcW w:w="1456" w:type="dxa"/>
            <w:tcBorders>
              <w:bottom w:val="single" w:sz="4" w:space="0" w:color="000000"/>
            </w:tcBorders>
          </w:tcPr>
          <w:p>
            <w:pPr>
              <w:pStyle w:val="TableParagraph"/>
              <w:spacing w:line="241" w:lineRule="exact"/>
              <w:ind w:right="42"/>
              <w:rPr>
                <w:rFonts w:ascii="Constantia"/>
                <w:sz w:val="20"/>
              </w:rPr>
            </w:pPr>
            <w:r>
              <w:rPr>
                <w:rFonts w:ascii="Constantia"/>
                <w:w w:val="112"/>
                <w:sz w:val="20"/>
              </w:rPr>
              <w:t>1</w:t>
            </w:r>
          </w:p>
        </w:tc>
        <w:tc>
          <w:tcPr>
            <w:tcW w:w="1583" w:type="dxa"/>
            <w:tcBorders>
              <w:bottom w:val="single" w:sz="4" w:space="0" w:color="000000"/>
            </w:tcBorders>
          </w:tcPr>
          <w:p>
            <w:pPr>
              <w:pStyle w:val="TableParagraph"/>
              <w:spacing w:line="241" w:lineRule="exact"/>
              <w:ind w:left="668" w:right="698"/>
              <w:rPr>
                <w:rFonts w:ascii="Constantia"/>
                <w:sz w:val="20"/>
              </w:rPr>
            </w:pPr>
            <w:r>
              <w:rPr>
                <w:rFonts w:ascii="Constantia"/>
                <w:w w:val="115"/>
                <w:sz w:val="20"/>
              </w:rPr>
              <w:t>13</w:t>
            </w:r>
          </w:p>
        </w:tc>
        <w:tc>
          <w:tcPr>
            <w:tcW w:w="1617" w:type="dxa"/>
            <w:tcBorders>
              <w:bottom w:val="single" w:sz="4" w:space="0" w:color="000000"/>
            </w:tcBorders>
          </w:tcPr>
          <w:p>
            <w:pPr>
              <w:pStyle w:val="TableParagraph"/>
              <w:spacing w:line="241" w:lineRule="exact"/>
              <w:ind w:right="676"/>
              <w:jc w:val="right"/>
              <w:rPr>
                <w:rFonts w:ascii="Constantia"/>
                <w:sz w:val="20"/>
              </w:rPr>
            </w:pPr>
            <w:r>
              <w:rPr>
                <w:rFonts w:ascii="Constantia"/>
                <w:w w:val="110"/>
                <w:sz w:val="20"/>
              </w:rPr>
              <w:t>63</w:t>
            </w:r>
          </w:p>
        </w:tc>
        <w:tc>
          <w:tcPr>
            <w:tcW w:w="1492" w:type="dxa"/>
            <w:tcBorders>
              <w:bottom w:val="single" w:sz="4" w:space="0" w:color="000000"/>
            </w:tcBorders>
          </w:tcPr>
          <w:p>
            <w:pPr>
              <w:pStyle w:val="TableParagraph"/>
              <w:spacing w:line="241" w:lineRule="exact"/>
              <w:ind w:right="630"/>
              <w:jc w:val="right"/>
              <w:rPr>
                <w:rFonts w:ascii="Constantia"/>
                <w:sz w:val="20"/>
              </w:rPr>
            </w:pPr>
            <w:r>
              <w:rPr>
                <w:rFonts w:ascii="Constantia"/>
                <w:w w:val="110"/>
                <w:sz w:val="20"/>
              </w:rPr>
              <w:t>21</w:t>
            </w:r>
          </w:p>
        </w:tc>
      </w:tr>
    </w:tbl>
    <w:p>
      <w:pPr>
        <w:pStyle w:val="BodyText"/>
        <w:spacing w:before="4"/>
        <w:rPr>
          <w:rFonts w:ascii="Constantia"/>
          <w:sz w:val="28"/>
        </w:rPr>
      </w:pPr>
    </w:p>
    <w:p>
      <w:pPr>
        <w:spacing w:before="64"/>
        <w:ind w:left="2269" w:right="115" w:firstLine="0"/>
        <w:jc w:val="left"/>
        <w:rPr>
          <w:rFonts w:ascii="Constantia" w:hAnsi="Constantia"/>
          <w:sz w:val="20"/>
        </w:rPr>
      </w:pPr>
      <w:r>
        <w:rPr/>
        <w:pict>
          <v:shape style="position:absolute;margin-left:86.550003pt;margin-top:23.266821pt;width:442.05pt;height:91.5pt;mso-position-horizontal-relative:page;mso-position-vertical-relative:paragraph;z-index:13312" type="#_x0000_t202" filled="false" stroked="false">
            <v:textbox inset="0,0,0,0">
              <w:txbxContent>
                <w:tbl>
                  <w:tblPr>
                    <w:tblW w:w="0" w:type="auto"/>
                    <w:jc w:val="left"/>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1186"/>
                    <w:gridCol w:w="1454"/>
                    <w:gridCol w:w="1477"/>
                    <w:gridCol w:w="1636"/>
                    <w:gridCol w:w="1754"/>
                    <w:gridCol w:w="1334"/>
                  </w:tblGrid>
                  <w:tr>
                    <w:trPr>
                      <w:trHeight w:val="498" w:hRule="exact"/>
                    </w:trPr>
                    <w:tc>
                      <w:tcPr>
                        <w:tcW w:w="1186" w:type="dxa"/>
                        <w:tcBorders>
                          <w:left w:val="nil"/>
                          <w:bottom w:val="nil"/>
                          <w:right w:val="nil"/>
                        </w:tcBorders>
                      </w:tcPr>
                      <w:p>
                        <w:pPr>
                          <w:pStyle w:val="TableParagraph"/>
                          <w:spacing w:before="7"/>
                          <w:jc w:val="left"/>
                          <w:rPr>
                            <w:sz w:val="21"/>
                          </w:rPr>
                        </w:pPr>
                      </w:p>
                      <w:p>
                        <w:pPr>
                          <w:pStyle w:val="TableParagraph"/>
                          <w:spacing w:before="1"/>
                          <w:ind w:left="203" w:right="147"/>
                          <w:rPr>
                            <w:rFonts w:ascii="Constantia"/>
                            <w:sz w:val="17"/>
                          </w:rPr>
                        </w:pPr>
                        <w:r>
                          <w:rPr>
                            <w:rFonts w:ascii="Constantia"/>
                            <w:w w:val="110"/>
                            <w:sz w:val="17"/>
                          </w:rPr>
                          <w:t>Trimestre</w:t>
                        </w:r>
                      </w:p>
                    </w:tc>
                    <w:tc>
                      <w:tcPr>
                        <w:tcW w:w="1454" w:type="dxa"/>
                        <w:tcBorders>
                          <w:left w:val="nil"/>
                          <w:bottom w:val="nil"/>
                          <w:right w:val="nil"/>
                        </w:tcBorders>
                      </w:tcPr>
                      <w:p>
                        <w:pPr>
                          <w:pStyle w:val="TableParagraph"/>
                          <w:spacing w:line="261" w:lineRule="auto" w:before="22"/>
                          <w:ind w:left="157" w:firstLine="130"/>
                          <w:jc w:val="left"/>
                          <w:rPr>
                            <w:rFonts w:ascii="Constantia"/>
                            <w:sz w:val="17"/>
                          </w:rPr>
                        </w:pPr>
                        <w:r>
                          <w:rPr>
                            <w:rFonts w:ascii="Constantia"/>
                            <w:w w:val="110"/>
                            <w:sz w:val="17"/>
                          </w:rPr>
                          <w:t>Choques de precios del gas</w:t>
                        </w:r>
                      </w:p>
                    </w:tc>
                    <w:tc>
                      <w:tcPr>
                        <w:tcW w:w="1477" w:type="dxa"/>
                        <w:tcBorders>
                          <w:left w:val="nil"/>
                          <w:bottom w:val="nil"/>
                          <w:right w:val="nil"/>
                        </w:tcBorders>
                      </w:tcPr>
                      <w:p>
                        <w:pPr>
                          <w:pStyle w:val="TableParagraph"/>
                          <w:spacing w:line="261" w:lineRule="auto" w:before="22"/>
                          <w:ind w:left="81" w:right="54" w:firstLine="83"/>
                          <w:jc w:val="left"/>
                          <w:rPr>
                            <w:rFonts w:ascii="Constantia"/>
                            <w:sz w:val="17"/>
                          </w:rPr>
                        </w:pPr>
                        <w:r>
                          <w:rPr>
                            <w:rFonts w:ascii="Constantia"/>
                            <w:w w:val="110"/>
                            <w:sz w:val="17"/>
                          </w:rPr>
                          <w:t>Choques de la Asignac. De Ing.</w:t>
                        </w:r>
                      </w:p>
                    </w:tc>
                    <w:tc>
                      <w:tcPr>
                        <w:tcW w:w="1636" w:type="dxa"/>
                        <w:tcBorders>
                          <w:left w:val="nil"/>
                          <w:bottom w:val="nil"/>
                          <w:right w:val="nil"/>
                        </w:tcBorders>
                      </w:tcPr>
                      <w:p>
                        <w:pPr>
                          <w:pStyle w:val="TableParagraph"/>
                          <w:spacing w:line="261" w:lineRule="auto" w:before="22"/>
                          <w:ind w:left="137" w:right="157" w:firstLine="83"/>
                          <w:jc w:val="left"/>
                          <w:rPr>
                            <w:rFonts w:ascii="Constantia"/>
                            <w:sz w:val="17"/>
                          </w:rPr>
                        </w:pPr>
                        <w:r>
                          <w:rPr>
                            <w:rFonts w:ascii="Constantia"/>
                            <w:w w:val="110"/>
                            <w:sz w:val="17"/>
                          </w:rPr>
                          <w:t>Choques de la Asignac. De Ing.</w:t>
                        </w:r>
                      </w:p>
                    </w:tc>
                    <w:tc>
                      <w:tcPr>
                        <w:tcW w:w="3088" w:type="dxa"/>
                        <w:gridSpan w:val="2"/>
                        <w:tcBorders>
                          <w:left w:val="nil"/>
                          <w:bottom w:val="nil"/>
                          <w:right w:val="nil"/>
                        </w:tcBorders>
                      </w:tcPr>
                      <w:p>
                        <w:pPr>
                          <w:pStyle w:val="TableParagraph"/>
                          <w:spacing w:before="22"/>
                          <w:ind w:left="307"/>
                          <w:jc w:val="left"/>
                          <w:rPr>
                            <w:rFonts w:ascii="Constantia"/>
                            <w:sz w:val="17"/>
                          </w:rPr>
                        </w:pPr>
                        <w:r>
                          <w:rPr>
                            <w:rFonts w:ascii="Constantia"/>
                            <w:w w:val="110"/>
                            <w:sz w:val="17"/>
                          </w:rPr>
                          <w:t>Choques del</w:t>
                        </w:r>
                      </w:p>
                    </w:tc>
                  </w:tr>
                  <w:tr>
                    <w:trPr>
                      <w:trHeight w:val="238" w:hRule="exact"/>
                    </w:trPr>
                    <w:tc>
                      <w:tcPr>
                        <w:tcW w:w="1186" w:type="dxa"/>
                        <w:tcBorders>
                          <w:top w:val="nil"/>
                          <w:left w:val="nil"/>
                          <w:bottom w:val="single" w:sz="4" w:space="0" w:color="000000"/>
                          <w:right w:val="nil"/>
                        </w:tcBorders>
                      </w:tcPr>
                      <w:p>
                        <w:pPr/>
                      </w:p>
                    </w:tc>
                    <w:tc>
                      <w:tcPr>
                        <w:tcW w:w="1454" w:type="dxa"/>
                        <w:tcBorders>
                          <w:top w:val="nil"/>
                          <w:left w:val="nil"/>
                          <w:bottom w:val="single" w:sz="4" w:space="0" w:color="000000"/>
                          <w:right w:val="nil"/>
                        </w:tcBorders>
                      </w:tcPr>
                      <w:p>
                        <w:pPr>
                          <w:pStyle w:val="TableParagraph"/>
                          <w:spacing w:line="203" w:lineRule="exact"/>
                          <w:ind w:left="452" w:right="376"/>
                          <w:rPr>
                            <w:rFonts w:ascii="Constantia"/>
                            <w:sz w:val="17"/>
                          </w:rPr>
                        </w:pPr>
                        <w:r>
                          <w:rPr>
                            <w:rFonts w:ascii="Constantia"/>
                            <w:w w:val="110"/>
                            <w:sz w:val="17"/>
                          </w:rPr>
                          <w:t>natural</w:t>
                        </w:r>
                      </w:p>
                    </w:tc>
                    <w:tc>
                      <w:tcPr>
                        <w:tcW w:w="1477" w:type="dxa"/>
                        <w:tcBorders>
                          <w:top w:val="nil"/>
                          <w:left w:val="nil"/>
                          <w:bottom w:val="single" w:sz="4" w:space="0" w:color="000000"/>
                          <w:right w:val="nil"/>
                        </w:tcBorders>
                      </w:tcPr>
                      <w:p>
                        <w:pPr>
                          <w:pStyle w:val="TableParagraph"/>
                          <w:spacing w:line="203" w:lineRule="exact"/>
                          <w:ind w:left="156" w:right="124"/>
                          <w:rPr>
                            <w:rFonts w:ascii="Constantia" w:hAnsi="Constantia"/>
                            <w:sz w:val="17"/>
                          </w:rPr>
                        </w:pPr>
                        <w:r>
                          <w:rPr>
                            <w:rFonts w:ascii="Constantia" w:hAnsi="Constantia"/>
                            <w:w w:val="110"/>
                            <w:sz w:val="17"/>
                          </w:rPr>
                          <w:t>Fisc. Gasíferos</w:t>
                        </w:r>
                      </w:p>
                    </w:tc>
                    <w:tc>
                      <w:tcPr>
                        <w:tcW w:w="1636" w:type="dxa"/>
                        <w:tcBorders>
                          <w:top w:val="nil"/>
                          <w:left w:val="nil"/>
                          <w:bottom w:val="single" w:sz="4" w:space="0" w:color="000000"/>
                          <w:right w:val="nil"/>
                        </w:tcBorders>
                      </w:tcPr>
                      <w:p>
                        <w:pPr>
                          <w:pStyle w:val="TableParagraph"/>
                          <w:spacing w:line="203" w:lineRule="exact"/>
                          <w:ind w:left="63" w:right="88"/>
                          <w:rPr>
                            <w:rFonts w:ascii="Constantia" w:hAnsi="Constantia"/>
                            <w:sz w:val="17"/>
                          </w:rPr>
                        </w:pPr>
                        <w:r>
                          <w:rPr>
                            <w:rFonts w:ascii="Constantia" w:hAnsi="Constantia"/>
                            <w:w w:val="110"/>
                            <w:sz w:val="17"/>
                          </w:rPr>
                          <w:t>Fisc. No Gasíferos</w:t>
                        </w:r>
                      </w:p>
                    </w:tc>
                    <w:tc>
                      <w:tcPr>
                        <w:tcW w:w="1754" w:type="dxa"/>
                        <w:tcBorders>
                          <w:top w:val="nil"/>
                          <w:left w:val="nil"/>
                          <w:bottom w:val="single" w:sz="4" w:space="0" w:color="000000"/>
                          <w:right w:val="nil"/>
                        </w:tcBorders>
                      </w:tcPr>
                      <w:p>
                        <w:pPr>
                          <w:pStyle w:val="TableParagraph"/>
                          <w:spacing w:line="203" w:lineRule="exact"/>
                          <w:ind w:left="345" w:right="478"/>
                          <w:rPr>
                            <w:rFonts w:ascii="Constantia" w:hAnsi="Constantia"/>
                            <w:sz w:val="17"/>
                          </w:rPr>
                        </w:pPr>
                        <w:r>
                          <w:rPr>
                            <w:rFonts w:ascii="Constantia" w:hAnsi="Constantia"/>
                            <w:w w:val="110"/>
                            <w:sz w:val="17"/>
                          </w:rPr>
                          <w:t>no gasífero</w:t>
                        </w:r>
                      </w:p>
                    </w:tc>
                    <w:tc>
                      <w:tcPr>
                        <w:tcW w:w="1334" w:type="dxa"/>
                        <w:tcBorders>
                          <w:top w:val="nil"/>
                          <w:left w:val="nil"/>
                          <w:bottom w:val="single" w:sz="4" w:space="0" w:color="000000"/>
                          <w:right w:val="nil"/>
                        </w:tcBorders>
                      </w:tcPr>
                      <w:p>
                        <w:pPr>
                          <w:pStyle w:val="TableParagraph"/>
                          <w:spacing w:line="95" w:lineRule="exact"/>
                          <w:ind w:left="11" w:right="141"/>
                          <w:rPr>
                            <w:rFonts w:ascii="Constantia" w:hAnsi="Constantia"/>
                            <w:sz w:val="17"/>
                          </w:rPr>
                        </w:pPr>
                        <w:r>
                          <w:rPr>
                            <w:rFonts w:ascii="Constantia" w:hAnsi="Constantia"/>
                            <w:w w:val="110"/>
                            <w:sz w:val="17"/>
                          </w:rPr>
                          <w:t>deuda pública</w:t>
                        </w:r>
                      </w:p>
                    </w:tc>
                  </w:tr>
                  <w:tr>
                    <w:trPr>
                      <w:trHeight w:val="295" w:hRule="exact"/>
                    </w:trPr>
                    <w:tc>
                      <w:tcPr>
                        <w:tcW w:w="1186" w:type="dxa"/>
                        <w:tcBorders>
                          <w:top w:val="single" w:sz="4" w:space="0" w:color="000000"/>
                          <w:left w:val="nil"/>
                          <w:bottom w:val="nil"/>
                          <w:right w:val="nil"/>
                        </w:tcBorders>
                      </w:tcPr>
                      <w:p>
                        <w:pPr>
                          <w:pStyle w:val="TableParagraph"/>
                          <w:spacing w:before="15"/>
                          <w:ind w:left="73"/>
                          <w:rPr>
                            <w:rFonts w:ascii="Constantia"/>
                            <w:sz w:val="20"/>
                          </w:rPr>
                        </w:pPr>
                        <w:r>
                          <w:rPr>
                            <w:rFonts w:ascii="Constantia"/>
                            <w:w w:val="112"/>
                            <w:sz w:val="20"/>
                          </w:rPr>
                          <w:t>1</w:t>
                        </w:r>
                      </w:p>
                    </w:tc>
                    <w:tc>
                      <w:tcPr>
                        <w:tcW w:w="1454" w:type="dxa"/>
                        <w:tcBorders>
                          <w:top w:val="single" w:sz="4" w:space="0" w:color="000000"/>
                          <w:left w:val="nil"/>
                          <w:bottom w:val="nil"/>
                          <w:right w:val="nil"/>
                        </w:tcBorders>
                      </w:tcPr>
                      <w:p>
                        <w:pPr>
                          <w:pStyle w:val="TableParagraph"/>
                          <w:spacing w:before="15"/>
                          <w:ind w:left="99"/>
                          <w:rPr>
                            <w:rFonts w:ascii="Constantia"/>
                            <w:sz w:val="20"/>
                          </w:rPr>
                        </w:pPr>
                        <w:r>
                          <w:rPr>
                            <w:rFonts w:ascii="Constantia"/>
                            <w:w w:val="112"/>
                            <w:sz w:val="20"/>
                          </w:rPr>
                          <w:t>6</w:t>
                        </w:r>
                      </w:p>
                    </w:tc>
                    <w:tc>
                      <w:tcPr>
                        <w:tcW w:w="1477" w:type="dxa"/>
                        <w:tcBorders>
                          <w:top w:val="single" w:sz="4" w:space="0" w:color="000000"/>
                          <w:left w:val="nil"/>
                          <w:bottom w:val="nil"/>
                          <w:right w:val="nil"/>
                        </w:tcBorders>
                      </w:tcPr>
                      <w:p>
                        <w:pPr>
                          <w:pStyle w:val="TableParagraph"/>
                          <w:spacing w:before="15"/>
                          <w:ind w:left="43"/>
                          <w:rPr>
                            <w:rFonts w:ascii="Constantia"/>
                            <w:sz w:val="20"/>
                          </w:rPr>
                        </w:pPr>
                        <w:r>
                          <w:rPr>
                            <w:rFonts w:ascii="Constantia"/>
                            <w:w w:val="112"/>
                            <w:sz w:val="20"/>
                          </w:rPr>
                          <w:t>0</w:t>
                        </w:r>
                      </w:p>
                    </w:tc>
                    <w:tc>
                      <w:tcPr>
                        <w:tcW w:w="1636" w:type="dxa"/>
                        <w:tcBorders>
                          <w:top w:val="single" w:sz="4" w:space="0" w:color="000000"/>
                          <w:left w:val="nil"/>
                          <w:bottom w:val="nil"/>
                          <w:right w:val="nil"/>
                        </w:tcBorders>
                      </w:tcPr>
                      <w:p>
                        <w:pPr>
                          <w:pStyle w:val="TableParagraph"/>
                          <w:spacing w:before="15"/>
                          <w:ind w:right="1"/>
                          <w:rPr>
                            <w:rFonts w:ascii="Constantia"/>
                            <w:sz w:val="20"/>
                          </w:rPr>
                        </w:pPr>
                        <w:r>
                          <w:rPr>
                            <w:rFonts w:ascii="Constantia"/>
                            <w:w w:val="112"/>
                            <w:sz w:val="20"/>
                          </w:rPr>
                          <w:t>0</w:t>
                        </w:r>
                      </w:p>
                    </w:tc>
                    <w:tc>
                      <w:tcPr>
                        <w:tcW w:w="1754" w:type="dxa"/>
                        <w:tcBorders>
                          <w:top w:val="single" w:sz="4" w:space="0" w:color="000000"/>
                          <w:left w:val="nil"/>
                          <w:bottom w:val="nil"/>
                          <w:right w:val="nil"/>
                        </w:tcBorders>
                      </w:tcPr>
                      <w:p>
                        <w:pPr>
                          <w:pStyle w:val="TableParagraph"/>
                          <w:spacing w:before="15"/>
                          <w:ind w:right="115"/>
                          <w:rPr>
                            <w:rFonts w:ascii="Constantia"/>
                            <w:sz w:val="20"/>
                          </w:rPr>
                        </w:pPr>
                        <w:r>
                          <w:rPr>
                            <w:rFonts w:ascii="Constantia"/>
                            <w:w w:val="112"/>
                            <w:sz w:val="20"/>
                          </w:rPr>
                          <w:t>1</w:t>
                        </w:r>
                      </w:p>
                    </w:tc>
                    <w:tc>
                      <w:tcPr>
                        <w:tcW w:w="1334" w:type="dxa"/>
                        <w:tcBorders>
                          <w:top w:val="single" w:sz="4" w:space="0" w:color="000000"/>
                          <w:left w:val="nil"/>
                          <w:bottom w:val="nil"/>
                          <w:right w:val="nil"/>
                        </w:tcBorders>
                      </w:tcPr>
                      <w:p>
                        <w:pPr>
                          <w:pStyle w:val="TableParagraph"/>
                          <w:spacing w:before="15"/>
                          <w:ind w:left="11" w:right="121"/>
                          <w:rPr>
                            <w:rFonts w:ascii="Constantia"/>
                            <w:sz w:val="20"/>
                          </w:rPr>
                        </w:pPr>
                        <w:r>
                          <w:rPr>
                            <w:rFonts w:ascii="Constantia"/>
                            <w:w w:val="115"/>
                            <w:sz w:val="20"/>
                          </w:rPr>
                          <w:t>93</w:t>
                        </w:r>
                      </w:p>
                    </w:tc>
                  </w:tr>
                  <w:tr>
                    <w:trPr>
                      <w:trHeight w:val="271" w:hRule="exact"/>
                    </w:trPr>
                    <w:tc>
                      <w:tcPr>
                        <w:tcW w:w="1186" w:type="dxa"/>
                        <w:tcBorders>
                          <w:top w:val="nil"/>
                          <w:left w:val="nil"/>
                          <w:bottom w:val="nil"/>
                          <w:right w:val="nil"/>
                        </w:tcBorders>
                      </w:tcPr>
                      <w:p>
                        <w:pPr>
                          <w:pStyle w:val="TableParagraph"/>
                          <w:spacing w:line="241" w:lineRule="exact"/>
                          <w:ind w:left="75"/>
                          <w:rPr>
                            <w:rFonts w:ascii="Constantia"/>
                            <w:sz w:val="20"/>
                          </w:rPr>
                        </w:pPr>
                        <w:r>
                          <w:rPr>
                            <w:rFonts w:ascii="Constantia"/>
                            <w:w w:val="112"/>
                            <w:sz w:val="20"/>
                          </w:rPr>
                          <w:t>4</w:t>
                        </w:r>
                      </w:p>
                    </w:tc>
                    <w:tc>
                      <w:tcPr>
                        <w:tcW w:w="1454" w:type="dxa"/>
                        <w:tcBorders>
                          <w:top w:val="nil"/>
                          <w:left w:val="nil"/>
                          <w:bottom w:val="nil"/>
                          <w:right w:val="nil"/>
                        </w:tcBorders>
                      </w:tcPr>
                      <w:p>
                        <w:pPr>
                          <w:pStyle w:val="TableParagraph"/>
                          <w:spacing w:line="241" w:lineRule="exact"/>
                          <w:ind w:left="98"/>
                          <w:rPr>
                            <w:rFonts w:ascii="Constantia"/>
                            <w:sz w:val="20"/>
                          </w:rPr>
                        </w:pPr>
                        <w:r>
                          <w:rPr>
                            <w:rFonts w:ascii="Constantia"/>
                            <w:w w:val="112"/>
                            <w:sz w:val="20"/>
                          </w:rPr>
                          <w:t>8</w:t>
                        </w:r>
                      </w:p>
                    </w:tc>
                    <w:tc>
                      <w:tcPr>
                        <w:tcW w:w="1477" w:type="dxa"/>
                        <w:tcBorders>
                          <w:top w:val="nil"/>
                          <w:left w:val="nil"/>
                          <w:bottom w:val="nil"/>
                          <w:right w:val="nil"/>
                        </w:tcBorders>
                      </w:tcPr>
                      <w:p>
                        <w:pPr>
                          <w:pStyle w:val="TableParagraph"/>
                          <w:spacing w:line="241" w:lineRule="exact"/>
                          <w:ind w:left="40"/>
                          <w:rPr>
                            <w:rFonts w:ascii="Constantia"/>
                            <w:sz w:val="20"/>
                          </w:rPr>
                        </w:pPr>
                        <w:r>
                          <w:rPr>
                            <w:rFonts w:ascii="Constantia"/>
                            <w:w w:val="112"/>
                            <w:sz w:val="20"/>
                          </w:rPr>
                          <w:t>1</w:t>
                        </w:r>
                      </w:p>
                    </w:tc>
                    <w:tc>
                      <w:tcPr>
                        <w:tcW w:w="1636" w:type="dxa"/>
                        <w:tcBorders>
                          <w:top w:val="nil"/>
                          <w:left w:val="nil"/>
                          <w:bottom w:val="nil"/>
                          <w:right w:val="nil"/>
                        </w:tcBorders>
                      </w:tcPr>
                      <w:p>
                        <w:pPr>
                          <w:pStyle w:val="TableParagraph"/>
                          <w:spacing w:line="241" w:lineRule="exact"/>
                          <w:ind w:right="4"/>
                          <w:rPr>
                            <w:rFonts w:ascii="Constantia"/>
                            <w:sz w:val="20"/>
                          </w:rPr>
                        </w:pPr>
                        <w:r>
                          <w:rPr>
                            <w:rFonts w:ascii="Constantia"/>
                            <w:w w:val="112"/>
                            <w:sz w:val="20"/>
                          </w:rPr>
                          <w:t>1</w:t>
                        </w:r>
                      </w:p>
                    </w:tc>
                    <w:tc>
                      <w:tcPr>
                        <w:tcW w:w="1754" w:type="dxa"/>
                        <w:tcBorders>
                          <w:top w:val="nil"/>
                          <w:left w:val="nil"/>
                          <w:bottom w:val="nil"/>
                          <w:right w:val="nil"/>
                        </w:tcBorders>
                      </w:tcPr>
                      <w:p>
                        <w:pPr>
                          <w:pStyle w:val="TableParagraph"/>
                          <w:spacing w:line="241" w:lineRule="exact"/>
                          <w:ind w:right="115"/>
                          <w:rPr>
                            <w:rFonts w:ascii="Constantia"/>
                            <w:sz w:val="20"/>
                          </w:rPr>
                        </w:pPr>
                        <w:r>
                          <w:rPr>
                            <w:rFonts w:ascii="Constantia"/>
                            <w:w w:val="112"/>
                            <w:sz w:val="20"/>
                          </w:rPr>
                          <w:t>1</w:t>
                        </w:r>
                      </w:p>
                    </w:tc>
                    <w:tc>
                      <w:tcPr>
                        <w:tcW w:w="1334" w:type="dxa"/>
                        <w:tcBorders>
                          <w:top w:val="nil"/>
                          <w:left w:val="nil"/>
                          <w:bottom w:val="nil"/>
                          <w:right w:val="nil"/>
                        </w:tcBorders>
                      </w:tcPr>
                      <w:p>
                        <w:pPr>
                          <w:pStyle w:val="TableParagraph"/>
                          <w:spacing w:line="241" w:lineRule="exact"/>
                          <w:ind w:left="11" w:right="124"/>
                          <w:rPr>
                            <w:rFonts w:ascii="Constantia"/>
                            <w:sz w:val="20"/>
                          </w:rPr>
                        </w:pPr>
                        <w:r>
                          <w:rPr>
                            <w:rFonts w:ascii="Constantia"/>
                            <w:w w:val="115"/>
                            <w:sz w:val="20"/>
                          </w:rPr>
                          <w:t>89</w:t>
                        </w:r>
                      </w:p>
                    </w:tc>
                  </w:tr>
                  <w:tr>
                    <w:trPr>
                      <w:trHeight w:val="271" w:hRule="exact"/>
                    </w:trPr>
                    <w:tc>
                      <w:tcPr>
                        <w:tcW w:w="1186" w:type="dxa"/>
                        <w:tcBorders>
                          <w:top w:val="nil"/>
                          <w:left w:val="nil"/>
                          <w:bottom w:val="nil"/>
                          <w:right w:val="nil"/>
                        </w:tcBorders>
                      </w:tcPr>
                      <w:p>
                        <w:pPr>
                          <w:pStyle w:val="TableParagraph"/>
                          <w:spacing w:line="241" w:lineRule="exact"/>
                          <w:ind w:left="76"/>
                          <w:rPr>
                            <w:rFonts w:ascii="Constantia"/>
                            <w:sz w:val="20"/>
                          </w:rPr>
                        </w:pPr>
                        <w:r>
                          <w:rPr>
                            <w:rFonts w:ascii="Constantia"/>
                            <w:w w:val="112"/>
                            <w:sz w:val="20"/>
                          </w:rPr>
                          <w:t>8</w:t>
                        </w:r>
                      </w:p>
                    </w:tc>
                    <w:tc>
                      <w:tcPr>
                        <w:tcW w:w="1454" w:type="dxa"/>
                        <w:tcBorders>
                          <w:top w:val="nil"/>
                          <w:left w:val="nil"/>
                          <w:bottom w:val="nil"/>
                          <w:right w:val="nil"/>
                        </w:tcBorders>
                      </w:tcPr>
                      <w:p>
                        <w:pPr>
                          <w:pStyle w:val="TableParagraph"/>
                          <w:spacing w:line="241" w:lineRule="exact"/>
                          <w:ind w:left="101"/>
                          <w:rPr>
                            <w:rFonts w:ascii="Constantia"/>
                            <w:sz w:val="20"/>
                          </w:rPr>
                        </w:pPr>
                        <w:r>
                          <w:rPr>
                            <w:rFonts w:ascii="Constantia"/>
                            <w:w w:val="112"/>
                            <w:sz w:val="20"/>
                          </w:rPr>
                          <w:t>9</w:t>
                        </w:r>
                      </w:p>
                    </w:tc>
                    <w:tc>
                      <w:tcPr>
                        <w:tcW w:w="1477" w:type="dxa"/>
                        <w:tcBorders>
                          <w:top w:val="nil"/>
                          <w:left w:val="nil"/>
                          <w:bottom w:val="nil"/>
                          <w:right w:val="nil"/>
                        </w:tcBorders>
                      </w:tcPr>
                      <w:p>
                        <w:pPr>
                          <w:pStyle w:val="TableParagraph"/>
                          <w:spacing w:line="241" w:lineRule="exact"/>
                          <w:ind w:left="30"/>
                          <w:rPr>
                            <w:rFonts w:ascii="Constantia"/>
                            <w:sz w:val="20"/>
                          </w:rPr>
                        </w:pPr>
                        <w:r>
                          <w:rPr>
                            <w:rFonts w:ascii="Constantia"/>
                            <w:w w:val="112"/>
                            <w:sz w:val="20"/>
                          </w:rPr>
                          <w:t>2</w:t>
                        </w:r>
                      </w:p>
                    </w:tc>
                    <w:tc>
                      <w:tcPr>
                        <w:tcW w:w="1636" w:type="dxa"/>
                        <w:tcBorders>
                          <w:top w:val="nil"/>
                          <w:left w:val="nil"/>
                          <w:bottom w:val="nil"/>
                          <w:right w:val="nil"/>
                        </w:tcBorders>
                      </w:tcPr>
                      <w:p>
                        <w:pPr>
                          <w:pStyle w:val="TableParagraph"/>
                          <w:spacing w:line="241" w:lineRule="exact"/>
                          <w:ind w:right="4"/>
                          <w:rPr>
                            <w:rFonts w:ascii="Constantia"/>
                            <w:sz w:val="20"/>
                          </w:rPr>
                        </w:pPr>
                        <w:r>
                          <w:rPr>
                            <w:rFonts w:ascii="Constantia"/>
                            <w:w w:val="112"/>
                            <w:sz w:val="20"/>
                          </w:rPr>
                          <w:t>1</w:t>
                        </w:r>
                      </w:p>
                    </w:tc>
                    <w:tc>
                      <w:tcPr>
                        <w:tcW w:w="1754" w:type="dxa"/>
                        <w:tcBorders>
                          <w:top w:val="nil"/>
                          <w:left w:val="nil"/>
                          <w:bottom w:val="nil"/>
                          <w:right w:val="nil"/>
                        </w:tcBorders>
                      </w:tcPr>
                      <w:p>
                        <w:pPr>
                          <w:pStyle w:val="TableParagraph"/>
                          <w:spacing w:line="241" w:lineRule="exact"/>
                          <w:ind w:right="115"/>
                          <w:rPr>
                            <w:rFonts w:ascii="Constantia"/>
                            <w:sz w:val="20"/>
                          </w:rPr>
                        </w:pPr>
                        <w:r>
                          <w:rPr>
                            <w:rFonts w:ascii="Constantia"/>
                            <w:w w:val="112"/>
                            <w:sz w:val="20"/>
                          </w:rPr>
                          <w:t>1</w:t>
                        </w:r>
                      </w:p>
                    </w:tc>
                    <w:tc>
                      <w:tcPr>
                        <w:tcW w:w="1334" w:type="dxa"/>
                        <w:tcBorders>
                          <w:top w:val="nil"/>
                          <w:left w:val="nil"/>
                          <w:bottom w:val="nil"/>
                          <w:right w:val="nil"/>
                        </w:tcBorders>
                      </w:tcPr>
                      <w:p>
                        <w:pPr>
                          <w:pStyle w:val="TableParagraph"/>
                          <w:spacing w:line="241" w:lineRule="exact"/>
                          <w:ind w:left="11" w:right="125"/>
                          <w:rPr>
                            <w:rFonts w:ascii="Constantia"/>
                            <w:sz w:val="20"/>
                          </w:rPr>
                        </w:pPr>
                        <w:r>
                          <w:rPr>
                            <w:rFonts w:ascii="Constantia"/>
                            <w:w w:val="115"/>
                            <w:sz w:val="20"/>
                          </w:rPr>
                          <w:t>88</w:t>
                        </w:r>
                      </w:p>
                    </w:tc>
                  </w:tr>
                  <w:tr>
                    <w:trPr>
                      <w:trHeight w:val="246" w:hRule="exact"/>
                    </w:trPr>
                    <w:tc>
                      <w:tcPr>
                        <w:tcW w:w="1186" w:type="dxa"/>
                        <w:tcBorders>
                          <w:top w:val="nil"/>
                          <w:left w:val="nil"/>
                          <w:bottom w:val="single" w:sz="4" w:space="0" w:color="000000"/>
                          <w:right w:val="nil"/>
                        </w:tcBorders>
                      </w:tcPr>
                      <w:p>
                        <w:pPr>
                          <w:pStyle w:val="TableParagraph"/>
                          <w:spacing w:line="241" w:lineRule="exact"/>
                          <w:ind w:left="203" w:right="138"/>
                          <w:rPr>
                            <w:rFonts w:ascii="Constantia"/>
                            <w:sz w:val="20"/>
                          </w:rPr>
                        </w:pPr>
                        <w:r>
                          <w:rPr>
                            <w:rFonts w:ascii="Constantia"/>
                            <w:w w:val="115"/>
                            <w:sz w:val="20"/>
                          </w:rPr>
                          <w:t>12</w:t>
                        </w:r>
                      </w:p>
                    </w:tc>
                    <w:tc>
                      <w:tcPr>
                        <w:tcW w:w="1454" w:type="dxa"/>
                        <w:tcBorders>
                          <w:top w:val="nil"/>
                          <w:left w:val="nil"/>
                          <w:bottom w:val="single" w:sz="4" w:space="0" w:color="000000"/>
                          <w:right w:val="nil"/>
                        </w:tcBorders>
                      </w:tcPr>
                      <w:p>
                        <w:pPr>
                          <w:pStyle w:val="TableParagraph"/>
                          <w:spacing w:line="241" w:lineRule="exact"/>
                          <w:ind w:left="101"/>
                          <w:rPr>
                            <w:rFonts w:ascii="Constantia"/>
                            <w:sz w:val="20"/>
                          </w:rPr>
                        </w:pPr>
                        <w:r>
                          <w:rPr>
                            <w:rFonts w:ascii="Constantia"/>
                            <w:w w:val="112"/>
                            <w:sz w:val="20"/>
                          </w:rPr>
                          <w:t>9</w:t>
                        </w:r>
                      </w:p>
                    </w:tc>
                    <w:tc>
                      <w:tcPr>
                        <w:tcW w:w="1477" w:type="dxa"/>
                        <w:tcBorders>
                          <w:top w:val="nil"/>
                          <w:left w:val="nil"/>
                          <w:bottom w:val="single" w:sz="4" w:space="0" w:color="000000"/>
                          <w:right w:val="nil"/>
                        </w:tcBorders>
                      </w:tcPr>
                      <w:p>
                        <w:pPr>
                          <w:pStyle w:val="TableParagraph"/>
                          <w:spacing w:line="241" w:lineRule="exact"/>
                          <w:ind w:left="30"/>
                          <w:rPr>
                            <w:rFonts w:ascii="Constantia"/>
                            <w:sz w:val="20"/>
                          </w:rPr>
                        </w:pPr>
                        <w:r>
                          <w:rPr>
                            <w:rFonts w:ascii="Constantia"/>
                            <w:w w:val="112"/>
                            <w:sz w:val="20"/>
                          </w:rPr>
                          <w:t>2</w:t>
                        </w:r>
                      </w:p>
                    </w:tc>
                    <w:tc>
                      <w:tcPr>
                        <w:tcW w:w="1636" w:type="dxa"/>
                        <w:tcBorders>
                          <w:top w:val="nil"/>
                          <w:left w:val="nil"/>
                          <w:bottom w:val="single" w:sz="4" w:space="0" w:color="000000"/>
                          <w:right w:val="nil"/>
                        </w:tcBorders>
                      </w:tcPr>
                      <w:p>
                        <w:pPr>
                          <w:pStyle w:val="TableParagraph"/>
                          <w:spacing w:line="241" w:lineRule="exact"/>
                          <w:ind w:right="4"/>
                          <w:rPr>
                            <w:rFonts w:ascii="Constantia"/>
                            <w:sz w:val="20"/>
                          </w:rPr>
                        </w:pPr>
                        <w:r>
                          <w:rPr>
                            <w:rFonts w:ascii="Constantia"/>
                            <w:w w:val="112"/>
                            <w:sz w:val="20"/>
                          </w:rPr>
                          <w:t>1</w:t>
                        </w:r>
                      </w:p>
                    </w:tc>
                    <w:tc>
                      <w:tcPr>
                        <w:tcW w:w="1754" w:type="dxa"/>
                        <w:tcBorders>
                          <w:top w:val="nil"/>
                          <w:left w:val="nil"/>
                          <w:bottom w:val="single" w:sz="4" w:space="0" w:color="000000"/>
                          <w:right w:val="nil"/>
                        </w:tcBorders>
                      </w:tcPr>
                      <w:p>
                        <w:pPr>
                          <w:pStyle w:val="TableParagraph"/>
                          <w:spacing w:line="241" w:lineRule="exact"/>
                          <w:ind w:right="115"/>
                          <w:rPr>
                            <w:rFonts w:ascii="Constantia"/>
                            <w:sz w:val="20"/>
                          </w:rPr>
                        </w:pPr>
                        <w:r>
                          <w:rPr>
                            <w:rFonts w:ascii="Constantia"/>
                            <w:w w:val="112"/>
                            <w:sz w:val="20"/>
                          </w:rPr>
                          <w:t>1</w:t>
                        </w:r>
                      </w:p>
                    </w:tc>
                    <w:tc>
                      <w:tcPr>
                        <w:tcW w:w="1334" w:type="dxa"/>
                        <w:tcBorders>
                          <w:top w:val="nil"/>
                          <w:left w:val="nil"/>
                          <w:bottom w:val="single" w:sz="4" w:space="0" w:color="000000"/>
                          <w:right w:val="nil"/>
                        </w:tcBorders>
                      </w:tcPr>
                      <w:p>
                        <w:pPr>
                          <w:pStyle w:val="TableParagraph"/>
                          <w:spacing w:line="241" w:lineRule="exact"/>
                          <w:ind w:left="11" w:right="125"/>
                          <w:rPr>
                            <w:rFonts w:ascii="Constantia"/>
                            <w:sz w:val="20"/>
                          </w:rPr>
                        </w:pPr>
                        <w:r>
                          <w:rPr>
                            <w:rFonts w:ascii="Constantia"/>
                            <w:w w:val="115"/>
                            <w:sz w:val="20"/>
                          </w:rPr>
                          <w:t>88</w:t>
                        </w:r>
                      </w:p>
                    </w:tc>
                  </w:tr>
                </w:tbl>
                <w:p>
                  <w:pPr>
                    <w:pStyle w:val="BodyText"/>
                  </w:pPr>
                </w:p>
              </w:txbxContent>
            </v:textbox>
            <w10:wrap type="none"/>
          </v:shape>
        </w:pict>
      </w:r>
      <w:r>
        <w:rPr>
          <w:rFonts w:ascii="Constantia" w:hAnsi="Constantia"/>
          <w:w w:val="115"/>
          <w:sz w:val="20"/>
        </w:rPr>
        <w:t>Varianza del la deuda pública/ PIB (Modelo A)</w:t>
      </w:r>
    </w:p>
    <w:p>
      <w:pPr>
        <w:pStyle w:val="BodyText"/>
        <w:spacing w:before="2"/>
        <w:rPr>
          <w:rFonts w:ascii="Constantia"/>
          <w:sz w:val="20"/>
        </w:rPr>
      </w:pPr>
    </w:p>
    <w:p>
      <w:pPr>
        <w:spacing w:after="0"/>
        <w:rPr>
          <w:rFonts w:ascii="Constantia"/>
          <w:sz w:val="20"/>
        </w:rPr>
        <w:sectPr>
          <w:type w:val="continuous"/>
          <w:pgSz w:w="12250" w:h="15850"/>
          <w:pgMar w:top="1500" w:bottom="280" w:left="1600" w:right="1560"/>
        </w:sectPr>
      </w:pPr>
    </w:p>
    <w:p>
      <w:pPr>
        <w:pStyle w:val="BodyText"/>
        <w:spacing w:before="5"/>
        <w:rPr>
          <w:rFonts w:ascii="Constantia"/>
          <w:sz w:val="14"/>
        </w:rPr>
      </w:pPr>
    </w:p>
    <w:p>
      <w:pPr>
        <w:spacing w:before="1"/>
        <w:ind w:left="0" w:right="0" w:firstLine="0"/>
        <w:jc w:val="right"/>
        <w:rPr>
          <w:rFonts w:ascii="Constantia"/>
          <w:sz w:val="17"/>
        </w:rPr>
      </w:pPr>
      <w:r>
        <w:rPr>
          <w:rFonts w:ascii="Constantia"/>
          <w:w w:val="110"/>
          <w:sz w:val="17"/>
        </w:rPr>
        <w:t>Balance primario</w:t>
      </w:r>
    </w:p>
    <w:p>
      <w:pPr>
        <w:spacing w:before="68"/>
        <w:ind w:left="216" w:right="0" w:firstLine="0"/>
        <w:jc w:val="left"/>
        <w:rPr>
          <w:rFonts w:ascii="Constantia"/>
          <w:sz w:val="17"/>
        </w:rPr>
      </w:pPr>
      <w:r>
        <w:rPr/>
        <w:br w:type="column"/>
      </w:r>
      <w:r>
        <w:rPr>
          <w:rFonts w:ascii="Constantia"/>
          <w:w w:val="110"/>
          <w:sz w:val="17"/>
        </w:rPr>
        <w:t>Choques de la</w:t>
      </w:r>
    </w:p>
    <w:p>
      <w:pPr>
        <w:spacing w:after="0"/>
        <w:jc w:val="left"/>
        <w:rPr>
          <w:rFonts w:ascii="Constantia"/>
          <w:sz w:val="17"/>
        </w:rPr>
        <w:sectPr>
          <w:type w:val="continuous"/>
          <w:pgSz w:w="12250" w:h="15850"/>
          <w:pgMar w:top="1500" w:bottom="280" w:left="1600" w:right="1560"/>
          <w:cols w:num="2" w:equalWidth="0">
            <w:col w:w="7408" w:space="40"/>
            <w:col w:w="1642"/>
          </w:cols>
        </w:sect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spacing w:before="6"/>
        <w:rPr>
          <w:rFonts w:ascii="Constantia"/>
          <w:sz w:val="26"/>
        </w:rPr>
      </w:pPr>
    </w:p>
    <w:p>
      <w:pPr>
        <w:spacing w:before="73"/>
        <w:ind w:left="102" w:right="1853" w:firstLine="0"/>
        <w:jc w:val="left"/>
        <w:rPr>
          <w:sz w:val="20"/>
        </w:rPr>
      </w:pPr>
      <w:r>
        <w:rPr>
          <w:sz w:val="20"/>
        </w:rPr>
        <w:t>Asignac. De Ing. Fisc. Gasíferos es la razón de Gasto de capital/ Ing. Fisc. Gasíferos Asignac. De Ing. Fisc. No Gasíferos es la razón Gasto corriente/ Ing. Fisc. No Gasíferos Estimaciones  propias mediante descomposición de varianza en su definición estructural.</w:t>
      </w:r>
    </w:p>
    <w:p>
      <w:pPr>
        <w:spacing w:after="0"/>
        <w:jc w:val="left"/>
        <w:rPr>
          <w:sz w:val="20"/>
        </w:rPr>
        <w:sectPr>
          <w:type w:val="continuous"/>
          <w:pgSz w:w="12250" w:h="15850"/>
          <w:pgMar w:top="1500" w:bottom="280" w:left="1600" w:right="1560"/>
        </w:sectPr>
      </w:pPr>
    </w:p>
    <w:p>
      <w:pPr>
        <w:pStyle w:val="BodyText"/>
        <w:spacing w:before="48"/>
        <w:ind w:left="498" w:right="115"/>
      </w:pPr>
      <w:r>
        <w:rPr/>
        <w:t>Cuadro 4. 8: Descomposición de la varianza estructural de las variables (Modelo B)</w:t>
      </w:r>
    </w:p>
    <w:p>
      <w:pPr>
        <w:spacing w:line="266" w:lineRule="auto" w:before="141"/>
        <w:ind w:left="3071" w:right="1835" w:firstLine="0"/>
        <w:jc w:val="center"/>
        <w:rPr>
          <w:rFonts w:ascii="Constantia" w:hAnsi="Constantia"/>
          <w:sz w:val="20"/>
        </w:rPr>
      </w:pPr>
      <w:r>
        <w:rPr>
          <w:rFonts w:ascii="Constantia" w:hAnsi="Constantia"/>
          <w:w w:val="115"/>
          <w:sz w:val="20"/>
        </w:rPr>
        <w:t>Varianza de la Asignac. De Ingresos Fisc. Gasíferos (Gasto de Capital/ Ing. Fisc.</w:t>
      </w:r>
    </w:p>
    <w:p>
      <w:pPr>
        <w:spacing w:line="243" w:lineRule="exact" w:before="0"/>
        <w:ind w:left="2689" w:right="1435" w:firstLine="0"/>
        <w:jc w:val="center"/>
        <w:rPr>
          <w:rFonts w:ascii="Constantia" w:hAnsi="Constantia"/>
          <w:sz w:val="20"/>
        </w:rPr>
      </w:pPr>
      <w:r>
        <w:rPr>
          <w:rFonts w:ascii="Constantia" w:hAnsi="Constantia"/>
          <w:w w:val="115"/>
          <w:sz w:val="20"/>
        </w:rPr>
        <w:t>Gasíferos)</w:t>
      </w:r>
    </w:p>
    <w:p>
      <w:pPr>
        <w:pStyle w:val="BodyText"/>
        <w:spacing w:before="1"/>
        <w:rPr>
          <w:rFonts w:ascii="Constantia"/>
          <w:sz w:val="11"/>
        </w:rPr>
      </w:pPr>
    </w:p>
    <w:tbl>
      <w:tblPr>
        <w:tblW w:w="0" w:type="auto"/>
        <w:jc w:val="left"/>
        <w:tblInd w:w="2804"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1393"/>
        <w:gridCol w:w="1656"/>
        <w:gridCol w:w="1691"/>
      </w:tblGrid>
      <w:tr>
        <w:trPr>
          <w:trHeight w:val="448" w:hRule="exact"/>
        </w:trPr>
        <w:tc>
          <w:tcPr>
            <w:tcW w:w="1393" w:type="dxa"/>
            <w:tcBorders>
              <w:left w:val="nil"/>
              <w:bottom w:val="nil"/>
              <w:right w:val="nil"/>
            </w:tcBorders>
          </w:tcPr>
          <w:p>
            <w:pPr>
              <w:pStyle w:val="TableParagraph"/>
              <w:spacing w:before="7"/>
              <w:jc w:val="left"/>
              <w:rPr>
                <w:rFonts w:ascii="Constantia"/>
                <w:sz w:val="18"/>
              </w:rPr>
            </w:pPr>
          </w:p>
          <w:p>
            <w:pPr>
              <w:pStyle w:val="TableParagraph"/>
              <w:ind w:left="310" w:right="248"/>
              <w:rPr>
                <w:rFonts w:ascii="Constantia"/>
                <w:sz w:val="17"/>
              </w:rPr>
            </w:pPr>
            <w:r>
              <w:rPr>
                <w:rFonts w:ascii="Constantia"/>
                <w:w w:val="110"/>
                <w:sz w:val="17"/>
              </w:rPr>
              <w:t>Trimestre</w:t>
            </w:r>
          </w:p>
        </w:tc>
        <w:tc>
          <w:tcPr>
            <w:tcW w:w="1656" w:type="dxa"/>
            <w:tcBorders>
              <w:left w:val="nil"/>
              <w:bottom w:val="nil"/>
              <w:right w:val="nil"/>
            </w:tcBorders>
          </w:tcPr>
          <w:p>
            <w:pPr>
              <w:pStyle w:val="TableParagraph"/>
              <w:spacing w:line="261" w:lineRule="auto"/>
              <w:ind w:left="258" w:firstLine="130"/>
              <w:jc w:val="left"/>
              <w:rPr>
                <w:rFonts w:ascii="Constantia"/>
                <w:sz w:val="17"/>
              </w:rPr>
            </w:pPr>
            <w:r>
              <w:rPr>
                <w:rFonts w:ascii="Constantia"/>
                <w:w w:val="110"/>
                <w:sz w:val="17"/>
              </w:rPr>
              <w:t>Choques de precios del gas</w:t>
            </w:r>
          </w:p>
        </w:tc>
        <w:tc>
          <w:tcPr>
            <w:tcW w:w="1691" w:type="dxa"/>
            <w:tcBorders>
              <w:left w:val="nil"/>
              <w:bottom w:val="nil"/>
              <w:right w:val="nil"/>
            </w:tcBorders>
          </w:tcPr>
          <w:p>
            <w:pPr>
              <w:pStyle w:val="TableParagraph"/>
              <w:spacing w:line="261" w:lineRule="auto"/>
              <w:ind w:left="182" w:right="167" w:firstLine="83"/>
              <w:jc w:val="left"/>
              <w:rPr>
                <w:rFonts w:ascii="Constantia"/>
                <w:sz w:val="17"/>
              </w:rPr>
            </w:pPr>
            <w:r>
              <w:rPr>
                <w:rFonts w:ascii="Constantia"/>
                <w:w w:val="110"/>
                <w:sz w:val="17"/>
              </w:rPr>
              <w:t>Choques de la Asignac. De Ing.</w:t>
            </w:r>
          </w:p>
        </w:tc>
      </w:tr>
      <w:tr>
        <w:trPr>
          <w:trHeight w:val="264" w:hRule="exact"/>
        </w:trPr>
        <w:tc>
          <w:tcPr>
            <w:tcW w:w="4741" w:type="dxa"/>
            <w:gridSpan w:val="3"/>
            <w:tcBorders>
              <w:top w:val="nil"/>
              <w:left w:val="nil"/>
              <w:bottom w:val="nil"/>
              <w:right w:val="nil"/>
            </w:tcBorders>
          </w:tcPr>
          <w:p>
            <w:pPr>
              <w:pStyle w:val="TableParagraph"/>
              <w:tabs>
                <w:tab w:pos="1960" w:val="left" w:leader="none"/>
                <w:tab w:pos="3315" w:val="left" w:leader="none"/>
                <w:tab w:pos="4740" w:val="left" w:leader="none"/>
              </w:tabs>
              <w:spacing w:before="22"/>
              <w:jc w:val="left"/>
              <w:rPr>
                <w:rFonts w:ascii="Constantia" w:hAnsi="Constantia"/>
                <w:sz w:val="17"/>
              </w:rPr>
            </w:pPr>
            <w:r>
              <w:rPr>
                <w:rFonts w:ascii="Constantia" w:hAnsi="Constantia"/>
                <w:w w:val="111"/>
                <w:sz w:val="17"/>
                <w:u w:val="single"/>
              </w:rPr>
              <w:t> </w:t>
            </w:r>
            <w:r>
              <w:rPr>
                <w:rFonts w:ascii="Constantia" w:hAnsi="Constantia"/>
                <w:sz w:val="17"/>
                <w:u w:val="single"/>
              </w:rPr>
              <w:tab/>
            </w:r>
            <w:r>
              <w:rPr>
                <w:rFonts w:ascii="Constantia" w:hAnsi="Constantia"/>
                <w:w w:val="110"/>
                <w:sz w:val="17"/>
                <w:u w:val="single"/>
              </w:rPr>
              <w:t>natural</w:t>
              <w:tab/>
              <w:t>Fisc.</w:t>
            </w:r>
            <w:r>
              <w:rPr>
                <w:rFonts w:ascii="Constantia" w:hAnsi="Constantia"/>
                <w:spacing w:val="17"/>
                <w:w w:val="110"/>
                <w:sz w:val="17"/>
                <w:u w:val="single"/>
              </w:rPr>
              <w:t> </w:t>
            </w:r>
            <w:r>
              <w:rPr>
                <w:rFonts w:ascii="Constantia" w:hAnsi="Constantia"/>
                <w:w w:val="110"/>
                <w:sz w:val="17"/>
                <w:u w:val="single"/>
              </w:rPr>
              <w:t>Gasíferos</w:t>
            </w:r>
            <w:r>
              <w:rPr>
                <w:rFonts w:ascii="Constantia" w:hAnsi="Constantia"/>
                <w:sz w:val="17"/>
                <w:u w:val="single"/>
              </w:rPr>
              <w:tab/>
            </w:r>
          </w:p>
        </w:tc>
      </w:tr>
      <w:tr>
        <w:trPr>
          <w:trHeight w:val="274" w:hRule="exact"/>
        </w:trPr>
        <w:tc>
          <w:tcPr>
            <w:tcW w:w="1393" w:type="dxa"/>
            <w:tcBorders>
              <w:top w:val="nil"/>
              <w:left w:val="nil"/>
              <w:bottom w:val="nil"/>
              <w:right w:val="nil"/>
            </w:tcBorders>
          </w:tcPr>
          <w:p>
            <w:pPr>
              <w:pStyle w:val="TableParagraph"/>
              <w:ind w:left="79"/>
              <w:rPr>
                <w:rFonts w:ascii="Constantia"/>
                <w:sz w:val="20"/>
              </w:rPr>
            </w:pPr>
            <w:r>
              <w:rPr>
                <w:rFonts w:ascii="Constantia"/>
                <w:w w:val="112"/>
                <w:sz w:val="20"/>
              </w:rPr>
              <w:t>1</w:t>
            </w:r>
          </w:p>
        </w:tc>
        <w:tc>
          <w:tcPr>
            <w:tcW w:w="1656" w:type="dxa"/>
            <w:tcBorders>
              <w:top w:val="nil"/>
              <w:left w:val="nil"/>
              <w:bottom w:val="nil"/>
              <w:right w:val="nil"/>
            </w:tcBorders>
          </w:tcPr>
          <w:p>
            <w:pPr>
              <w:pStyle w:val="TableParagraph"/>
              <w:ind w:right="706"/>
              <w:jc w:val="right"/>
              <w:rPr>
                <w:rFonts w:ascii="Constantia"/>
                <w:sz w:val="20"/>
              </w:rPr>
            </w:pPr>
            <w:r>
              <w:rPr>
                <w:rFonts w:ascii="Constantia"/>
                <w:w w:val="110"/>
                <w:sz w:val="20"/>
              </w:rPr>
              <w:t>11</w:t>
            </w:r>
          </w:p>
        </w:tc>
        <w:tc>
          <w:tcPr>
            <w:tcW w:w="1691" w:type="dxa"/>
            <w:tcBorders>
              <w:top w:val="nil"/>
              <w:left w:val="nil"/>
              <w:bottom w:val="nil"/>
              <w:right w:val="nil"/>
            </w:tcBorders>
          </w:tcPr>
          <w:p>
            <w:pPr>
              <w:pStyle w:val="TableParagraph"/>
              <w:ind w:left="704" w:right="689"/>
              <w:rPr>
                <w:rFonts w:ascii="Constantia"/>
                <w:sz w:val="20"/>
              </w:rPr>
            </w:pPr>
            <w:r>
              <w:rPr>
                <w:rFonts w:ascii="Constantia"/>
                <w:w w:val="115"/>
                <w:sz w:val="20"/>
              </w:rPr>
              <w:t>78</w:t>
            </w:r>
          </w:p>
        </w:tc>
      </w:tr>
      <w:tr>
        <w:trPr>
          <w:trHeight w:val="270" w:hRule="exact"/>
        </w:trPr>
        <w:tc>
          <w:tcPr>
            <w:tcW w:w="1393" w:type="dxa"/>
            <w:tcBorders>
              <w:top w:val="nil"/>
              <w:left w:val="nil"/>
              <w:bottom w:val="nil"/>
              <w:right w:val="nil"/>
            </w:tcBorders>
          </w:tcPr>
          <w:p>
            <w:pPr>
              <w:pStyle w:val="TableParagraph"/>
              <w:spacing w:line="240" w:lineRule="exact"/>
              <w:ind w:left="80"/>
              <w:rPr>
                <w:rFonts w:ascii="Constantia"/>
                <w:sz w:val="20"/>
              </w:rPr>
            </w:pPr>
            <w:r>
              <w:rPr>
                <w:rFonts w:ascii="Constantia"/>
                <w:w w:val="112"/>
                <w:sz w:val="20"/>
              </w:rPr>
              <w:t>4</w:t>
            </w:r>
          </w:p>
        </w:tc>
        <w:tc>
          <w:tcPr>
            <w:tcW w:w="1656" w:type="dxa"/>
            <w:tcBorders>
              <w:top w:val="nil"/>
              <w:left w:val="nil"/>
              <w:bottom w:val="nil"/>
              <w:right w:val="nil"/>
            </w:tcBorders>
          </w:tcPr>
          <w:p>
            <w:pPr>
              <w:pStyle w:val="TableParagraph"/>
              <w:spacing w:line="240" w:lineRule="exact"/>
              <w:ind w:right="671"/>
              <w:jc w:val="right"/>
              <w:rPr>
                <w:rFonts w:ascii="Constantia"/>
                <w:sz w:val="20"/>
              </w:rPr>
            </w:pPr>
            <w:r>
              <w:rPr>
                <w:rFonts w:ascii="Constantia"/>
                <w:w w:val="110"/>
                <w:sz w:val="20"/>
              </w:rPr>
              <w:t>22</w:t>
            </w:r>
          </w:p>
        </w:tc>
        <w:tc>
          <w:tcPr>
            <w:tcW w:w="1691" w:type="dxa"/>
            <w:tcBorders>
              <w:top w:val="nil"/>
              <w:left w:val="nil"/>
              <w:bottom w:val="nil"/>
              <w:right w:val="nil"/>
            </w:tcBorders>
          </w:tcPr>
          <w:p>
            <w:pPr>
              <w:pStyle w:val="TableParagraph"/>
              <w:spacing w:line="240" w:lineRule="exact"/>
              <w:ind w:left="714" w:right="689"/>
              <w:rPr>
                <w:rFonts w:ascii="Constantia"/>
                <w:sz w:val="20"/>
              </w:rPr>
            </w:pPr>
            <w:r>
              <w:rPr>
                <w:rFonts w:ascii="Constantia"/>
                <w:w w:val="115"/>
                <w:sz w:val="20"/>
              </w:rPr>
              <w:t>64</w:t>
            </w:r>
          </w:p>
        </w:tc>
      </w:tr>
      <w:tr>
        <w:trPr>
          <w:trHeight w:val="262" w:hRule="exact"/>
        </w:trPr>
        <w:tc>
          <w:tcPr>
            <w:tcW w:w="1393" w:type="dxa"/>
            <w:tcBorders>
              <w:top w:val="nil"/>
              <w:left w:val="nil"/>
              <w:bottom w:val="nil"/>
              <w:right w:val="nil"/>
            </w:tcBorders>
          </w:tcPr>
          <w:p>
            <w:pPr>
              <w:pStyle w:val="TableParagraph"/>
              <w:spacing w:line="241" w:lineRule="exact"/>
              <w:ind w:left="81"/>
              <w:rPr>
                <w:rFonts w:ascii="Constantia"/>
                <w:sz w:val="20"/>
              </w:rPr>
            </w:pPr>
            <w:r>
              <w:rPr>
                <w:rFonts w:ascii="Constantia"/>
                <w:w w:val="112"/>
                <w:sz w:val="20"/>
              </w:rPr>
              <w:t>8</w:t>
            </w:r>
          </w:p>
        </w:tc>
        <w:tc>
          <w:tcPr>
            <w:tcW w:w="1656" w:type="dxa"/>
            <w:tcBorders>
              <w:top w:val="nil"/>
              <w:left w:val="nil"/>
              <w:bottom w:val="nil"/>
              <w:right w:val="nil"/>
            </w:tcBorders>
          </w:tcPr>
          <w:p>
            <w:pPr>
              <w:pStyle w:val="TableParagraph"/>
              <w:spacing w:line="241" w:lineRule="exact"/>
              <w:ind w:right="677"/>
              <w:jc w:val="right"/>
              <w:rPr>
                <w:rFonts w:ascii="Constantia"/>
                <w:sz w:val="20"/>
              </w:rPr>
            </w:pPr>
            <w:r>
              <w:rPr>
                <w:rFonts w:ascii="Constantia"/>
                <w:w w:val="110"/>
                <w:sz w:val="20"/>
              </w:rPr>
              <w:t>23</w:t>
            </w:r>
          </w:p>
        </w:tc>
        <w:tc>
          <w:tcPr>
            <w:tcW w:w="1691" w:type="dxa"/>
            <w:tcBorders>
              <w:top w:val="nil"/>
              <w:left w:val="nil"/>
              <w:bottom w:val="nil"/>
              <w:right w:val="nil"/>
            </w:tcBorders>
          </w:tcPr>
          <w:p>
            <w:pPr>
              <w:pStyle w:val="TableParagraph"/>
              <w:spacing w:line="241" w:lineRule="exact"/>
              <w:ind w:left="703" w:right="689"/>
              <w:rPr>
                <w:rFonts w:ascii="Constantia"/>
                <w:sz w:val="20"/>
              </w:rPr>
            </w:pPr>
            <w:r>
              <w:rPr>
                <w:rFonts w:ascii="Constantia"/>
                <w:w w:val="115"/>
                <w:sz w:val="20"/>
              </w:rPr>
              <w:t>62</w:t>
            </w:r>
          </w:p>
        </w:tc>
      </w:tr>
    </w:tbl>
    <w:p>
      <w:pPr>
        <w:tabs>
          <w:tab w:pos="3433" w:val="left" w:leader="none"/>
          <w:tab w:pos="4943" w:val="left" w:leader="none"/>
          <w:tab w:pos="6582" w:val="left" w:leader="none"/>
          <w:tab w:pos="7533" w:val="left" w:leader="none"/>
        </w:tabs>
        <w:spacing w:before="4"/>
        <w:ind w:left="2792" w:right="115" w:firstLine="0"/>
        <w:jc w:val="left"/>
        <w:rPr>
          <w:rFonts w:ascii="Constantia"/>
          <w:sz w:val="20"/>
        </w:rPr>
      </w:pPr>
      <w:r>
        <w:rPr>
          <w:rFonts w:ascii="Constantia"/>
          <w:w w:val="112"/>
          <w:sz w:val="20"/>
          <w:u w:val="single"/>
        </w:rPr>
        <w:t> </w:t>
      </w:r>
      <w:r>
        <w:rPr>
          <w:rFonts w:ascii="Constantia"/>
          <w:sz w:val="20"/>
          <w:u w:val="single"/>
        </w:rPr>
        <w:tab/>
      </w:r>
      <w:r>
        <w:rPr>
          <w:rFonts w:ascii="Constantia"/>
          <w:w w:val="115"/>
          <w:sz w:val="20"/>
          <w:u w:val="single"/>
        </w:rPr>
        <w:t>12</w:t>
        <w:tab/>
        <w:t>24</w:t>
        <w:tab/>
        <w:t>62</w:t>
      </w:r>
      <w:r>
        <w:rPr>
          <w:rFonts w:ascii="Constantia"/>
          <w:sz w:val="20"/>
          <w:u w:val="single"/>
        </w:rPr>
        <w:tab/>
      </w:r>
    </w:p>
    <w:p>
      <w:pPr>
        <w:pStyle w:val="BodyText"/>
        <w:rPr>
          <w:rFonts w:ascii="Constantia"/>
          <w:sz w:val="19"/>
        </w:rPr>
      </w:pPr>
    </w:p>
    <w:p>
      <w:pPr>
        <w:spacing w:before="64"/>
        <w:ind w:left="1425" w:right="115" w:firstLine="0"/>
        <w:jc w:val="left"/>
        <w:rPr>
          <w:rFonts w:ascii="Constantia" w:hAnsi="Constantia"/>
          <w:sz w:val="20"/>
        </w:rPr>
      </w:pPr>
      <w:r>
        <w:rPr>
          <w:rFonts w:ascii="Constantia" w:hAnsi="Constantia"/>
          <w:w w:val="115"/>
          <w:sz w:val="20"/>
        </w:rPr>
        <w:t>Varianza de la Asignac. De Ingresos Fisc. No Gasíferos (Gasto</w:t>
      </w:r>
    </w:p>
    <w:p>
      <w:pPr>
        <w:tabs>
          <w:tab w:pos="2804" w:val="left" w:leader="none"/>
          <w:tab w:pos="7521" w:val="left" w:leader="none"/>
        </w:tabs>
        <w:spacing w:before="26"/>
        <w:ind w:left="1378" w:right="115" w:firstLine="0"/>
        <w:jc w:val="left"/>
        <w:rPr>
          <w:rFonts w:ascii="Constantia" w:hAnsi="Constantia"/>
          <w:sz w:val="20"/>
        </w:rPr>
      </w:pPr>
      <w:r>
        <w:rPr>
          <w:rFonts w:ascii="Constantia" w:hAnsi="Constantia"/>
          <w:w w:val="112"/>
          <w:sz w:val="20"/>
          <w:u w:val="thick"/>
        </w:rPr>
        <w:t> </w:t>
      </w:r>
      <w:r>
        <w:rPr>
          <w:rFonts w:ascii="Constantia" w:hAnsi="Constantia"/>
          <w:sz w:val="20"/>
          <w:u w:val="thick"/>
        </w:rPr>
        <w:tab/>
      </w:r>
      <w:r>
        <w:rPr>
          <w:rFonts w:ascii="Constantia" w:hAnsi="Constantia"/>
          <w:w w:val="115"/>
          <w:sz w:val="20"/>
          <w:u w:val="thick"/>
        </w:rPr>
        <w:t>corriente/</w:t>
      </w:r>
      <w:r>
        <w:rPr>
          <w:rFonts w:ascii="Constantia" w:hAnsi="Constantia"/>
          <w:spacing w:val="-22"/>
          <w:w w:val="115"/>
          <w:sz w:val="20"/>
          <w:u w:val="thick"/>
        </w:rPr>
        <w:t> </w:t>
      </w:r>
      <w:r>
        <w:rPr>
          <w:rFonts w:ascii="Constantia" w:hAnsi="Constantia"/>
          <w:w w:val="115"/>
          <w:sz w:val="20"/>
          <w:u w:val="thick"/>
        </w:rPr>
        <w:t>Ing.</w:t>
      </w:r>
      <w:r>
        <w:rPr>
          <w:rFonts w:ascii="Constantia" w:hAnsi="Constantia"/>
          <w:spacing w:val="-23"/>
          <w:w w:val="115"/>
          <w:sz w:val="20"/>
          <w:u w:val="thick"/>
        </w:rPr>
        <w:t> </w:t>
      </w:r>
      <w:r>
        <w:rPr>
          <w:rFonts w:ascii="Constantia" w:hAnsi="Constantia"/>
          <w:w w:val="115"/>
          <w:sz w:val="20"/>
          <w:u w:val="thick"/>
        </w:rPr>
        <w:t>Fisc.</w:t>
      </w:r>
      <w:r>
        <w:rPr>
          <w:rFonts w:ascii="Constantia" w:hAnsi="Constantia"/>
          <w:spacing w:val="-23"/>
          <w:w w:val="115"/>
          <w:sz w:val="20"/>
          <w:u w:val="thick"/>
        </w:rPr>
        <w:t> </w:t>
      </w:r>
      <w:r>
        <w:rPr>
          <w:rFonts w:ascii="Constantia" w:hAnsi="Constantia"/>
          <w:w w:val="115"/>
          <w:sz w:val="20"/>
          <w:u w:val="thick"/>
        </w:rPr>
        <w:t>No</w:t>
      </w:r>
      <w:r>
        <w:rPr>
          <w:rFonts w:ascii="Constantia" w:hAnsi="Constantia"/>
          <w:spacing w:val="-26"/>
          <w:w w:val="115"/>
          <w:sz w:val="20"/>
          <w:u w:val="thick"/>
        </w:rPr>
        <w:t> </w:t>
      </w:r>
      <w:r>
        <w:rPr>
          <w:rFonts w:ascii="Constantia" w:hAnsi="Constantia"/>
          <w:w w:val="115"/>
          <w:sz w:val="20"/>
          <w:u w:val="thick"/>
        </w:rPr>
        <w:t>Gasíferos)</w:t>
      </w:r>
      <w:r>
        <w:rPr>
          <w:rFonts w:ascii="Constantia" w:hAnsi="Constantia"/>
          <w:sz w:val="20"/>
          <w:u w:val="thick"/>
        </w:rPr>
        <w:tab/>
      </w:r>
    </w:p>
    <w:p>
      <w:pPr>
        <w:pStyle w:val="BodyText"/>
        <w:spacing w:before="9"/>
        <w:rPr>
          <w:rFonts w:ascii="Constantia"/>
          <w:sz w:val="15"/>
        </w:rPr>
      </w:pPr>
    </w:p>
    <w:tbl>
      <w:tblPr>
        <w:tblW w:w="0" w:type="auto"/>
        <w:jc w:val="left"/>
        <w:tblInd w:w="13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34"/>
        <w:gridCol w:w="1555"/>
        <w:gridCol w:w="1578"/>
        <w:gridCol w:w="1699"/>
      </w:tblGrid>
      <w:tr>
        <w:trPr>
          <w:trHeight w:val="959" w:hRule="exact"/>
        </w:trPr>
        <w:tc>
          <w:tcPr>
            <w:tcW w:w="1334" w:type="dxa"/>
            <w:tcBorders>
              <w:bottom w:val="single" w:sz="4" w:space="0" w:color="000000"/>
            </w:tcBorders>
          </w:tcPr>
          <w:p>
            <w:pPr>
              <w:pStyle w:val="TableParagraph"/>
              <w:jc w:val="left"/>
              <w:rPr>
                <w:rFonts w:ascii="Constantia"/>
                <w:sz w:val="16"/>
              </w:rPr>
            </w:pPr>
          </w:p>
          <w:p>
            <w:pPr>
              <w:pStyle w:val="TableParagraph"/>
              <w:spacing w:before="99"/>
              <w:ind w:left="299" w:right="201"/>
              <w:rPr>
                <w:rFonts w:ascii="Constantia"/>
                <w:sz w:val="17"/>
              </w:rPr>
            </w:pPr>
            <w:r>
              <w:rPr>
                <w:rFonts w:ascii="Constantia"/>
                <w:w w:val="110"/>
                <w:sz w:val="17"/>
              </w:rPr>
              <w:t>Trimestre</w:t>
            </w:r>
          </w:p>
        </w:tc>
        <w:tc>
          <w:tcPr>
            <w:tcW w:w="1555" w:type="dxa"/>
            <w:tcBorders>
              <w:bottom w:val="single" w:sz="4" w:space="0" w:color="000000"/>
            </w:tcBorders>
          </w:tcPr>
          <w:p>
            <w:pPr>
              <w:pStyle w:val="TableParagraph"/>
              <w:spacing w:line="261" w:lineRule="auto" w:before="68"/>
              <w:ind w:left="210" w:right="127" w:firstLine="2"/>
              <w:rPr>
                <w:rFonts w:ascii="Constantia"/>
                <w:sz w:val="17"/>
              </w:rPr>
            </w:pPr>
            <w:r>
              <w:rPr>
                <w:rFonts w:ascii="Constantia"/>
                <w:w w:val="110"/>
                <w:sz w:val="17"/>
              </w:rPr>
              <w:t>Choques de precios del gas natural</w:t>
            </w:r>
          </w:p>
        </w:tc>
        <w:tc>
          <w:tcPr>
            <w:tcW w:w="1578" w:type="dxa"/>
            <w:tcBorders>
              <w:bottom w:val="single" w:sz="4" w:space="0" w:color="000000"/>
            </w:tcBorders>
          </w:tcPr>
          <w:p>
            <w:pPr>
              <w:pStyle w:val="TableParagraph"/>
              <w:spacing w:line="261" w:lineRule="auto" w:before="68"/>
              <w:ind w:left="129" w:right="117" w:hanging="5"/>
              <w:rPr>
                <w:rFonts w:ascii="Constantia" w:hAnsi="Constantia"/>
                <w:sz w:val="17"/>
              </w:rPr>
            </w:pPr>
            <w:r>
              <w:rPr>
                <w:rFonts w:ascii="Constantia" w:hAnsi="Constantia"/>
                <w:w w:val="110"/>
                <w:sz w:val="17"/>
              </w:rPr>
              <w:t>Choques de la Asignac. De Ing. Fisc. Gasíferos</w:t>
            </w:r>
          </w:p>
        </w:tc>
        <w:tc>
          <w:tcPr>
            <w:tcW w:w="1699" w:type="dxa"/>
            <w:tcBorders>
              <w:bottom w:val="single" w:sz="4" w:space="0" w:color="000000"/>
            </w:tcBorders>
          </w:tcPr>
          <w:p>
            <w:pPr>
              <w:pStyle w:val="TableParagraph"/>
              <w:spacing w:line="261" w:lineRule="auto" w:before="68"/>
              <w:ind w:left="119" w:right="102" w:hanging="9"/>
              <w:rPr>
                <w:rFonts w:ascii="Constantia" w:hAnsi="Constantia"/>
                <w:sz w:val="17"/>
              </w:rPr>
            </w:pPr>
            <w:r>
              <w:rPr>
                <w:rFonts w:ascii="Constantia" w:hAnsi="Constantia"/>
                <w:w w:val="110"/>
                <w:sz w:val="17"/>
              </w:rPr>
              <w:t>Choques de la Asignac. De Ing. Fisc. No Gasíferos</w:t>
            </w:r>
          </w:p>
        </w:tc>
      </w:tr>
      <w:tr>
        <w:trPr>
          <w:trHeight w:val="294" w:hRule="exact"/>
        </w:trPr>
        <w:tc>
          <w:tcPr>
            <w:tcW w:w="1334" w:type="dxa"/>
            <w:tcBorders>
              <w:top w:val="single" w:sz="4" w:space="0" w:color="000000"/>
            </w:tcBorders>
          </w:tcPr>
          <w:p>
            <w:pPr>
              <w:pStyle w:val="TableParagraph"/>
              <w:spacing w:before="15"/>
              <w:ind w:left="115"/>
              <w:rPr>
                <w:rFonts w:ascii="Constantia"/>
                <w:sz w:val="20"/>
              </w:rPr>
            </w:pPr>
            <w:r>
              <w:rPr>
                <w:rFonts w:ascii="Constantia"/>
                <w:w w:val="112"/>
                <w:sz w:val="20"/>
              </w:rPr>
              <w:t>1</w:t>
            </w:r>
          </w:p>
        </w:tc>
        <w:tc>
          <w:tcPr>
            <w:tcW w:w="1555" w:type="dxa"/>
            <w:tcBorders>
              <w:top w:val="single" w:sz="4" w:space="0" w:color="000000"/>
            </w:tcBorders>
          </w:tcPr>
          <w:p>
            <w:pPr>
              <w:pStyle w:val="TableParagraph"/>
              <w:spacing w:before="15"/>
              <w:ind w:right="689"/>
              <w:jc w:val="right"/>
              <w:rPr>
                <w:rFonts w:ascii="Constantia"/>
                <w:sz w:val="20"/>
              </w:rPr>
            </w:pPr>
            <w:r>
              <w:rPr>
                <w:rFonts w:ascii="Constantia"/>
                <w:w w:val="112"/>
                <w:sz w:val="20"/>
              </w:rPr>
              <w:t>1</w:t>
            </w:r>
          </w:p>
        </w:tc>
        <w:tc>
          <w:tcPr>
            <w:tcW w:w="1578" w:type="dxa"/>
            <w:tcBorders>
              <w:top w:val="single" w:sz="4" w:space="0" w:color="000000"/>
            </w:tcBorders>
          </w:tcPr>
          <w:p>
            <w:pPr>
              <w:pStyle w:val="TableParagraph"/>
              <w:spacing w:before="15"/>
              <w:ind w:left="37"/>
              <w:rPr>
                <w:rFonts w:ascii="Constantia"/>
                <w:sz w:val="20"/>
              </w:rPr>
            </w:pPr>
            <w:r>
              <w:rPr>
                <w:rFonts w:ascii="Constantia"/>
                <w:w w:val="112"/>
                <w:sz w:val="20"/>
              </w:rPr>
              <w:t>0</w:t>
            </w:r>
          </w:p>
        </w:tc>
        <w:tc>
          <w:tcPr>
            <w:tcW w:w="1699" w:type="dxa"/>
            <w:tcBorders>
              <w:top w:val="single" w:sz="4" w:space="0" w:color="000000"/>
            </w:tcBorders>
          </w:tcPr>
          <w:p>
            <w:pPr>
              <w:pStyle w:val="TableParagraph"/>
              <w:spacing w:before="15"/>
              <w:ind w:left="721" w:right="684"/>
              <w:rPr>
                <w:rFonts w:ascii="Constantia"/>
                <w:sz w:val="20"/>
              </w:rPr>
            </w:pPr>
            <w:r>
              <w:rPr>
                <w:rFonts w:ascii="Constantia"/>
                <w:w w:val="115"/>
                <w:sz w:val="20"/>
              </w:rPr>
              <w:t>86</w:t>
            </w:r>
          </w:p>
        </w:tc>
      </w:tr>
      <w:tr>
        <w:trPr>
          <w:trHeight w:val="270" w:hRule="exact"/>
        </w:trPr>
        <w:tc>
          <w:tcPr>
            <w:tcW w:w="1334" w:type="dxa"/>
          </w:tcPr>
          <w:p>
            <w:pPr>
              <w:pStyle w:val="TableParagraph"/>
              <w:spacing w:line="240" w:lineRule="exact"/>
              <w:ind w:left="117"/>
              <w:rPr>
                <w:rFonts w:ascii="Constantia"/>
                <w:sz w:val="20"/>
              </w:rPr>
            </w:pPr>
            <w:r>
              <w:rPr>
                <w:rFonts w:ascii="Constantia"/>
                <w:w w:val="112"/>
                <w:sz w:val="20"/>
              </w:rPr>
              <w:t>4</w:t>
            </w:r>
          </w:p>
        </w:tc>
        <w:tc>
          <w:tcPr>
            <w:tcW w:w="1555" w:type="dxa"/>
          </w:tcPr>
          <w:p>
            <w:pPr>
              <w:pStyle w:val="TableParagraph"/>
              <w:spacing w:line="240" w:lineRule="exact"/>
              <w:ind w:right="664"/>
              <w:jc w:val="right"/>
              <w:rPr>
                <w:rFonts w:ascii="Constantia"/>
                <w:sz w:val="20"/>
              </w:rPr>
            </w:pPr>
            <w:r>
              <w:rPr>
                <w:rFonts w:ascii="Constantia"/>
                <w:w w:val="112"/>
                <w:sz w:val="20"/>
              </w:rPr>
              <w:t>4</w:t>
            </w:r>
          </w:p>
        </w:tc>
        <w:tc>
          <w:tcPr>
            <w:tcW w:w="1578" w:type="dxa"/>
          </w:tcPr>
          <w:p>
            <w:pPr>
              <w:pStyle w:val="TableParagraph"/>
              <w:spacing w:line="240" w:lineRule="exact"/>
              <w:ind w:left="689" w:right="653"/>
              <w:rPr>
                <w:rFonts w:ascii="Constantia"/>
                <w:sz w:val="20"/>
              </w:rPr>
            </w:pPr>
            <w:r>
              <w:rPr>
                <w:rFonts w:ascii="Constantia"/>
                <w:w w:val="115"/>
                <w:sz w:val="20"/>
              </w:rPr>
              <w:t>14</w:t>
            </w:r>
          </w:p>
        </w:tc>
        <w:tc>
          <w:tcPr>
            <w:tcW w:w="1699" w:type="dxa"/>
          </w:tcPr>
          <w:p>
            <w:pPr>
              <w:pStyle w:val="TableParagraph"/>
              <w:spacing w:line="240" w:lineRule="exact"/>
              <w:ind w:left="708" w:right="687"/>
              <w:rPr>
                <w:rFonts w:ascii="Constantia"/>
                <w:sz w:val="20"/>
              </w:rPr>
            </w:pPr>
            <w:r>
              <w:rPr>
                <w:rFonts w:ascii="Constantia"/>
                <w:w w:val="115"/>
                <w:sz w:val="20"/>
              </w:rPr>
              <w:t>65</w:t>
            </w:r>
          </w:p>
        </w:tc>
      </w:tr>
      <w:tr>
        <w:trPr>
          <w:trHeight w:val="270" w:hRule="exact"/>
        </w:trPr>
        <w:tc>
          <w:tcPr>
            <w:tcW w:w="1334" w:type="dxa"/>
          </w:tcPr>
          <w:p>
            <w:pPr>
              <w:pStyle w:val="TableParagraph"/>
              <w:spacing w:line="241" w:lineRule="exact"/>
              <w:ind w:left="118"/>
              <w:rPr>
                <w:rFonts w:ascii="Constantia"/>
                <w:sz w:val="20"/>
              </w:rPr>
            </w:pPr>
            <w:r>
              <w:rPr>
                <w:rFonts w:ascii="Constantia"/>
                <w:w w:val="112"/>
                <w:sz w:val="20"/>
              </w:rPr>
              <w:t>8</w:t>
            </w:r>
          </w:p>
        </w:tc>
        <w:tc>
          <w:tcPr>
            <w:tcW w:w="1555" w:type="dxa"/>
          </w:tcPr>
          <w:p>
            <w:pPr>
              <w:pStyle w:val="TableParagraph"/>
              <w:spacing w:line="241" w:lineRule="exact"/>
              <w:ind w:right="676"/>
              <w:jc w:val="right"/>
              <w:rPr>
                <w:rFonts w:ascii="Constantia"/>
                <w:sz w:val="20"/>
              </w:rPr>
            </w:pPr>
            <w:r>
              <w:rPr>
                <w:rFonts w:ascii="Constantia"/>
                <w:w w:val="112"/>
                <w:sz w:val="20"/>
              </w:rPr>
              <w:t>5</w:t>
            </w:r>
          </w:p>
        </w:tc>
        <w:tc>
          <w:tcPr>
            <w:tcW w:w="1578" w:type="dxa"/>
          </w:tcPr>
          <w:p>
            <w:pPr>
              <w:pStyle w:val="TableParagraph"/>
              <w:spacing w:line="241" w:lineRule="exact"/>
              <w:ind w:left="676" w:right="653"/>
              <w:rPr>
                <w:rFonts w:ascii="Constantia"/>
                <w:sz w:val="20"/>
              </w:rPr>
            </w:pPr>
            <w:r>
              <w:rPr>
                <w:rFonts w:ascii="Constantia"/>
                <w:w w:val="115"/>
                <w:sz w:val="20"/>
              </w:rPr>
              <w:t>15</w:t>
            </w:r>
          </w:p>
        </w:tc>
        <w:tc>
          <w:tcPr>
            <w:tcW w:w="1699" w:type="dxa"/>
          </w:tcPr>
          <w:p>
            <w:pPr>
              <w:pStyle w:val="TableParagraph"/>
              <w:spacing w:line="241" w:lineRule="exact"/>
              <w:ind w:left="703" w:right="687"/>
              <w:rPr>
                <w:rFonts w:ascii="Constantia"/>
                <w:sz w:val="20"/>
              </w:rPr>
            </w:pPr>
            <w:r>
              <w:rPr>
                <w:rFonts w:ascii="Constantia"/>
                <w:w w:val="115"/>
                <w:sz w:val="20"/>
              </w:rPr>
              <w:t>63</w:t>
            </w:r>
          </w:p>
        </w:tc>
      </w:tr>
      <w:tr>
        <w:trPr>
          <w:trHeight w:val="246" w:hRule="exact"/>
        </w:trPr>
        <w:tc>
          <w:tcPr>
            <w:tcW w:w="1334" w:type="dxa"/>
            <w:tcBorders>
              <w:bottom w:val="single" w:sz="4" w:space="0" w:color="000000"/>
            </w:tcBorders>
          </w:tcPr>
          <w:p>
            <w:pPr>
              <w:pStyle w:val="TableParagraph"/>
              <w:spacing w:line="240" w:lineRule="exact"/>
              <w:ind w:left="299" w:right="193"/>
              <w:rPr>
                <w:rFonts w:ascii="Constantia"/>
                <w:sz w:val="20"/>
              </w:rPr>
            </w:pPr>
            <w:r>
              <w:rPr>
                <w:rFonts w:ascii="Constantia"/>
                <w:w w:val="115"/>
                <w:sz w:val="20"/>
              </w:rPr>
              <w:t>12</w:t>
            </w:r>
          </w:p>
        </w:tc>
        <w:tc>
          <w:tcPr>
            <w:tcW w:w="1555" w:type="dxa"/>
            <w:tcBorders>
              <w:bottom w:val="single" w:sz="4" w:space="0" w:color="000000"/>
            </w:tcBorders>
          </w:tcPr>
          <w:p>
            <w:pPr>
              <w:pStyle w:val="TableParagraph"/>
              <w:spacing w:line="240" w:lineRule="exact"/>
              <w:ind w:right="676"/>
              <w:jc w:val="right"/>
              <w:rPr>
                <w:rFonts w:ascii="Constantia"/>
                <w:sz w:val="20"/>
              </w:rPr>
            </w:pPr>
            <w:r>
              <w:rPr>
                <w:rFonts w:ascii="Constantia"/>
                <w:w w:val="112"/>
                <w:sz w:val="20"/>
              </w:rPr>
              <w:t>5</w:t>
            </w:r>
          </w:p>
        </w:tc>
        <w:tc>
          <w:tcPr>
            <w:tcW w:w="1578" w:type="dxa"/>
            <w:tcBorders>
              <w:bottom w:val="single" w:sz="4" w:space="0" w:color="000000"/>
            </w:tcBorders>
          </w:tcPr>
          <w:p>
            <w:pPr>
              <w:pStyle w:val="TableParagraph"/>
              <w:spacing w:line="240" w:lineRule="exact"/>
              <w:ind w:left="676" w:right="653"/>
              <w:rPr>
                <w:rFonts w:ascii="Constantia"/>
                <w:sz w:val="20"/>
              </w:rPr>
            </w:pPr>
            <w:r>
              <w:rPr>
                <w:rFonts w:ascii="Constantia"/>
                <w:w w:val="115"/>
                <w:sz w:val="20"/>
              </w:rPr>
              <w:t>15</w:t>
            </w:r>
          </w:p>
        </w:tc>
        <w:tc>
          <w:tcPr>
            <w:tcW w:w="1699" w:type="dxa"/>
            <w:tcBorders>
              <w:bottom w:val="single" w:sz="4" w:space="0" w:color="000000"/>
            </w:tcBorders>
          </w:tcPr>
          <w:p>
            <w:pPr>
              <w:pStyle w:val="TableParagraph"/>
              <w:spacing w:line="240" w:lineRule="exact"/>
              <w:ind w:left="703" w:right="687"/>
              <w:rPr>
                <w:rFonts w:ascii="Constantia"/>
                <w:sz w:val="20"/>
              </w:rPr>
            </w:pPr>
            <w:r>
              <w:rPr>
                <w:rFonts w:ascii="Constantia"/>
                <w:w w:val="115"/>
                <w:sz w:val="20"/>
              </w:rPr>
              <w:t>63</w:t>
            </w:r>
          </w:p>
        </w:tc>
      </w:tr>
    </w:tbl>
    <w:p>
      <w:pPr>
        <w:pStyle w:val="BodyText"/>
        <w:rPr>
          <w:rFonts w:ascii="Constantia"/>
          <w:sz w:val="20"/>
        </w:rPr>
      </w:pPr>
    </w:p>
    <w:p>
      <w:pPr>
        <w:spacing w:before="165"/>
        <w:ind w:left="2448" w:right="115" w:firstLine="0"/>
        <w:jc w:val="left"/>
        <w:rPr>
          <w:rFonts w:ascii="Constantia"/>
          <w:sz w:val="20"/>
        </w:rPr>
      </w:pPr>
      <w:r>
        <w:rPr>
          <w:rFonts w:ascii="Constantia"/>
          <w:w w:val="115"/>
          <w:sz w:val="20"/>
        </w:rPr>
        <w:t>Varianza del valor del balance primario/ PIB (Modelo B)</w:t>
      </w:r>
    </w:p>
    <w:p>
      <w:pPr>
        <w:pStyle w:val="BodyText"/>
        <w:spacing w:before="10"/>
        <w:rPr>
          <w:rFonts w:ascii="Constantia"/>
          <w:sz w:val="12"/>
        </w:rPr>
      </w:pPr>
    </w:p>
    <w:tbl>
      <w:tblPr>
        <w:tblW w:w="0" w:type="auto"/>
        <w:jc w:val="left"/>
        <w:tblInd w:w="1378"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1322"/>
        <w:gridCol w:w="1555"/>
        <w:gridCol w:w="1578"/>
        <w:gridCol w:w="1749"/>
        <w:gridCol w:w="1377"/>
      </w:tblGrid>
      <w:tr>
        <w:trPr>
          <w:trHeight w:val="930" w:hRule="exact"/>
        </w:trPr>
        <w:tc>
          <w:tcPr>
            <w:tcW w:w="1322" w:type="dxa"/>
            <w:tcBorders>
              <w:left w:val="nil"/>
              <w:bottom w:val="single" w:sz="4" w:space="0" w:color="000000"/>
              <w:right w:val="nil"/>
            </w:tcBorders>
          </w:tcPr>
          <w:p>
            <w:pPr>
              <w:pStyle w:val="TableParagraph"/>
              <w:jc w:val="left"/>
              <w:rPr>
                <w:rFonts w:ascii="Constantia"/>
                <w:sz w:val="16"/>
              </w:rPr>
            </w:pPr>
          </w:p>
          <w:p>
            <w:pPr>
              <w:pStyle w:val="TableParagraph"/>
              <w:spacing w:before="4"/>
              <w:jc w:val="left"/>
              <w:rPr>
                <w:rFonts w:ascii="Constantia"/>
                <w:sz w:val="12"/>
              </w:rPr>
            </w:pPr>
          </w:p>
          <w:p>
            <w:pPr>
              <w:pStyle w:val="TableParagraph"/>
              <w:ind w:left="287" w:right="201"/>
              <w:rPr>
                <w:rFonts w:ascii="Constantia"/>
                <w:sz w:val="17"/>
              </w:rPr>
            </w:pPr>
            <w:r>
              <w:rPr>
                <w:rFonts w:ascii="Constantia"/>
                <w:w w:val="110"/>
                <w:sz w:val="17"/>
              </w:rPr>
              <w:t>Trimestre</w:t>
            </w:r>
          </w:p>
        </w:tc>
        <w:tc>
          <w:tcPr>
            <w:tcW w:w="1555" w:type="dxa"/>
            <w:tcBorders>
              <w:left w:val="nil"/>
              <w:bottom w:val="single" w:sz="4" w:space="0" w:color="000000"/>
              <w:right w:val="nil"/>
            </w:tcBorders>
          </w:tcPr>
          <w:p>
            <w:pPr>
              <w:pStyle w:val="TableParagraph"/>
              <w:spacing w:line="261" w:lineRule="auto" w:before="119"/>
              <w:ind w:left="210" w:right="127" w:firstLine="2"/>
              <w:rPr>
                <w:rFonts w:ascii="Constantia"/>
                <w:sz w:val="17"/>
              </w:rPr>
            </w:pPr>
            <w:r>
              <w:rPr>
                <w:rFonts w:ascii="Constantia"/>
                <w:w w:val="110"/>
                <w:sz w:val="17"/>
              </w:rPr>
              <w:t>Choques de precios del gas natural</w:t>
            </w:r>
          </w:p>
        </w:tc>
        <w:tc>
          <w:tcPr>
            <w:tcW w:w="1578" w:type="dxa"/>
            <w:tcBorders>
              <w:left w:val="nil"/>
              <w:bottom w:val="single" w:sz="4" w:space="0" w:color="000000"/>
              <w:right w:val="nil"/>
            </w:tcBorders>
          </w:tcPr>
          <w:p>
            <w:pPr>
              <w:pStyle w:val="TableParagraph"/>
              <w:spacing w:line="261" w:lineRule="auto" w:before="119"/>
              <w:ind w:left="129" w:right="117" w:hanging="5"/>
              <w:rPr>
                <w:rFonts w:ascii="Constantia" w:hAnsi="Constantia"/>
                <w:sz w:val="17"/>
              </w:rPr>
            </w:pPr>
            <w:r>
              <w:rPr>
                <w:rFonts w:ascii="Constantia" w:hAnsi="Constantia"/>
                <w:w w:val="110"/>
                <w:sz w:val="17"/>
              </w:rPr>
              <w:t>Choques de la Asignac. De Ing. Fisc. Gasíferos</w:t>
            </w:r>
          </w:p>
        </w:tc>
        <w:tc>
          <w:tcPr>
            <w:tcW w:w="1749" w:type="dxa"/>
            <w:tcBorders>
              <w:left w:val="nil"/>
              <w:bottom w:val="single" w:sz="4" w:space="0" w:color="000000"/>
              <w:right w:val="nil"/>
            </w:tcBorders>
          </w:tcPr>
          <w:p>
            <w:pPr>
              <w:pStyle w:val="TableParagraph"/>
              <w:spacing w:line="261" w:lineRule="auto" w:before="119"/>
              <w:ind w:left="119" w:right="151" w:hanging="9"/>
              <w:rPr>
                <w:rFonts w:ascii="Constantia" w:hAnsi="Constantia"/>
                <w:sz w:val="17"/>
              </w:rPr>
            </w:pPr>
            <w:r>
              <w:rPr>
                <w:rFonts w:ascii="Constantia" w:hAnsi="Constantia"/>
                <w:w w:val="110"/>
                <w:sz w:val="17"/>
              </w:rPr>
              <w:t>Choques de la Asignac. De Ing. Fisc. No Gasíferos</w:t>
            </w:r>
          </w:p>
        </w:tc>
        <w:tc>
          <w:tcPr>
            <w:tcW w:w="1377" w:type="dxa"/>
            <w:tcBorders>
              <w:left w:val="nil"/>
              <w:bottom w:val="single" w:sz="4" w:space="0" w:color="000000"/>
              <w:right w:val="nil"/>
            </w:tcBorders>
          </w:tcPr>
          <w:p>
            <w:pPr>
              <w:pStyle w:val="TableParagraph"/>
              <w:spacing w:line="261" w:lineRule="auto" w:before="119"/>
              <w:ind w:left="153" w:right="209"/>
              <w:rPr>
                <w:rFonts w:ascii="Constantia"/>
                <w:sz w:val="17"/>
              </w:rPr>
            </w:pPr>
            <w:r>
              <w:rPr>
                <w:rFonts w:ascii="Constantia"/>
                <w:w w:val="110"/>
                <w:sz w:val="17"/>
              </w:rPr>
              <w:t>Choques del Balance primario</w:t>
            </w:r>
          </w:p>
        </w:tc>
      </w:tr>
      <w:tr>
        <w:trPr>
          <w:trHeight w:val="295" w:hRule="exact"/>
        </w:trPr>
        <w:tc>
          <w:tcPr>
            <w:tcW w:w="1322" w:type="dxa"/>
            <w:tcBorders>
              <w:top w:val="single" w:sz="4" w:space="0" w:color="000000"/>
              <w:left w:val="nil"/>
              <w:bottom w:val="nil"/>
              <w:right w:val="nil"/>
            </w:tcBorders>
          </w:tcPr>
          <w:p>
            <w:pPr>
              <w:pStyle w:val="TableParagraph"/>
              <w:spacing w:before="15"/>
              <w:ind w:left="103"/>
              <w:rPr>
                <w:rFonts w:ascii="Constantia"/>
                <w:sz w:val="20"/>
              </w:rPr>
            </w:pPr>
            <w:r>
              <w:rPr>
                <w:rFonts w:ascii="Constantia"/>
                <w:w w:val="112"/>
                <w:sz w:val="20"/>
              </w:rPr>
              <w:t>1</w:t>
            </w:r>
          </w:p>
        </w:tc>
        <w:tc>
          <w:tcPr>
            <w:tcW w:w="1555" w:type="dxa"/>
            <w:tcBorders>
              <w:top w:val="single" w:sz="4" w:space="0" w:color="000000"/>
              <w:left w:val="nil"/>
              <w:bottom w:val="nil"/>
              <w:right w:val="nil"/>
            </w:tcBorders>
          </w:tcPr>
          <w:p>
            <w:pPr>
              <w:pStyle w:val="TableParagraph"/>
              <w:spacing w:before="15"/>
              <w:ind w:right="681"/>
              <w:jc w:val="right"/>
              <w:rPr>
                <w:rFonts w:ascii="Constantia"/>
                <w:sz w:val="20"/>
              </w:rPr>
            </w:pPr>
            <w:r>
              <w:rPr>
                <w:rFonts w:ascii="Constantia"/>
                <w:w w:val="112"/>
                <w:sz w:val="20"/>
              </w:rPr>
              <w:t>3</w:t>
            </w:r>
          </w:p>
        </w:tc>
        <w:tc>
          <w:tcPr>
            <w:tcW w:w="1578" w:type="dxa"/>
            <w:tcBorders>
              <w:top w:val="single" w:sz="4" w:space="0" w:color="000000"/>
              <w:left w:val="nil"/>
              <w:bottom w:val="nil"/>
              <w:right w:val="nil"/>
            </w:tcBorders>
          </w:tcPr>
          <w:p>
            <w:pPr>
              <w:pStyle w:val="TableParagraph"/>
              <w:spacing w:before="15"/>
              <w:ind w:right="655"/>
              <w:jc w:val="right"/>
              <w:rPr>
                <w:rFonts w:ascii="Constantia"/>
                <w:sz w:val="20"/>
              </w:rPr>
            </w:pPr>
            <w:r>
              <w:rPr>
                <w:rFonts w:ascii="Constantia"/>
                <w:w w:val="110"/>
                <w:sz w:val="20"/>
              </w:rPr>
              <w:t>36</w:t>
            </w:r>
          </w:p>
        </w:tc>
        <w:tc>
          <w:tcPr>
            <w:tcW w:w="1749" w:type="dxa"/>
            <w:tcBorders>
              <w:top w:val="single" w:sz="4" w:space="0" w:color="000000"/>
              <w:left w:val="nil"/>
              <w:bottom w:val="nil"/>
              <w:right w:val="nil"/>
            </w:tcBorders>
          </w:tcPr>
          <w:p>
            <w:pPr>
              <w:pStyle w:val="TableParagraph"/>
              <w:spacing w:before="15"/>
              <w:ind w:left="760"/>
              <w:jc w:val="left"/>
              <w:rPr>
                <w:rFonts w:ascii="Constantia"/>
                <w:sz w:val="20"/>
              </w:rPr>
            </w:pPr>
            <w:r>
              <w:rPr>
                <w:rFonts w:ascii="Constantia"/>
                <w:w w:val="115"/>
                <w:sz w:val="20"/>
              </w:rPr>
              <w:t>35</w:t>
            </w:r>
          </w:p>
        </w:tc>
        <w:tc>
          <w:tcPr>
            <w:tcW w:w="1377" w:type="dxa"/>
            <w:tcBorders>
              <w:top w:val="single" w:sz="4" w:space="0" w:color="000000"/>
              <w:left w:val="nil"/>
              <w:bottom w:val="nil"/>
              <w:right w:val="nil"/>
            </w:tcBorders>
          </w:tcPr>
          <w:p>
            <w:pPr>
              <w:pStyle w:val="TableParagraph"/>
              <w:spacing w:before="15"/>
              <w:ind w:left="556"/>
              <w:jc w:val="left"/>
              <w:rPr>
                <w:rFonts w:ascii="Constantia"/>
                <w:sz w:val="20"/>
              </w:rPr>
            </w:pPr>
            <w:r>
              <w:rPr>
                <w:rFonts w:ascii="Constantia"/>
                <w:w w:val="115"/>
                <w:sz w:val="20"/>
              </w:rPr>
              <w:t>26</w:t>
            </w:r>
          </w:p>
        </w:tc>
      </w:tr>
      <w:tr>
        <w:trPr>
          <w:trHeight w:val="270" w:hRule="exact"/>
        </w:trPr>
        <w:tc>
          <w:tcPr>
            <w:tcW w:w="1322" w:type="dxa"/>
            <w:tcBorders>
              <w:top w:val="nil"/>
              <w:left w:val="nil"/>
              <w:bottom w:val="nil"/>
              <w:right w:val="nil"/>
            </w:tcBorders>
          </w:tcPr>
          <w:p>
            <w:pPr>
              <w:pStyle w:val="TableParagraph"/>
              <w:spacing w:line="240" w:lineRule="exact"/>
              <w:ind w:left="105"/>
              <w:rPr>
                <w:rFonts w:ascii="Constantia"/>
                <w:sz w:val="20"/>
              </w:rPr>
            </w:pPr>
            <w:r>
              <w:rPr>
                <w:rFonts w:ascii="Constantia"/>
                <w:w w:val="112"/>
                <w:sz w:val="20"/>
              </w:rPr>
              <w:t>4</w:t>
            </w:r>
          </w:p>
        </w:tc>
        <w:tc>
          <w:tcPr>
            <w:tcW w:w="1555" w:type="dxa"/>
            <w:tcBorders>
              <w:top w:val="nil"/>
              <w:left w:val="nil"/>
              <w:bottom w:val="nil"/>
              <w:right w:val="nil"/>
            </w:tcBorders>
          </w:tcPr>
          <w:p>
            <w:pPr>
              <w:pStyle w:val="TableParagraph"/>
              <w:spacing w:line="240" w:lineRule="exact"/>
              <w:ind w:right="676"/>
              <w:jc w:val="right"/>
              <w:rPr>
                <w:rFonts w:ascii="Constantia"/>
                <w:sz w:val="20"/>
              </w:rPr>
            </w:pPr>
            <w:r>
              <w:rPr>
                <w:rFonts w:ascii="Constantia"/>
                <w:w w:val="112"/>
                <w:sz w:val="20"/>
              </w:rPr>
              <w:t>5</w:t>
            </w:r>
          </w:p>
        </w:tc>
        <w:tc>
          <w:tcPr>
            <w:tcW w:w="1578" w:type="dxa"/>
            <w:tcBorders>
              <w:top w:val="nil"/>
              <w:left w:val="nil"/>
              <w:bottom w:val="nil"/>
              <w:right w:val="nil"/>
            </w:tcBorders>
          </w:tcPr>
          <w:p>
            <w:pPr>
              <w:pStyle w:val="TableParagraph"/>
              <w:spacing w:line="240" w:lineRule="exact"/>
              <w:ind w:right="655"/>
              <w:jc w:val="right"/>
              <w:rPr>
                <w:rFonts w:ascii="Constantia"/>
                <w:sz w:val="20"/>
              </w:rPr>
            </w:pPr>
            <w:r>
              <w:rPr>
                <w:rFonts w:ascii="Constantia"/>
                <w:w w:val="110"/>
                <w:sz w:val="20"/>
              </w:rPr>
              <w:t>36</w:t>
            </w:r>
          </w:p>
        </w:tc>
        <w:tc>
          <w:tcPr>
            <w:tcW w:w="1749" w:type="dxa"/>
            <w:tcBorders>
              <w:top w:val="nil"/>
              <w:left w:val="nil"/>
              <w:bottom w:val="nil"/>
              <w:right w:val="nil"/>
            </w:tcBorders>
          </w:tcPr>
          <w:p>
            <w:pPr>
              <w:pStyle w:val="TableParagraph"/>
              <w:spacing w:line="240" w:lineRule="exact"/>
              <w:ind w:left="772"/>
              <w:jc w:val="left"/>
              <w:rPr>
                <w:rFonts w:ascii="Constantia"/>
                <w:sz w:val="20"/>
              </w:rPr>
            </w:pPr>
            <w:r>
              <w:rPr>
                <w:rFonts w:ascii="Constantia"/>
                <w:w w:val="115"/>
                <w:sz w:val="20"/>
              </w:rPr>
              <w:t>31</w:t>
            </w:r>
          </w:p>
        </w:tc>
        <w:tc>
          <w:tcPr>
            <w:tcW w:w="1377" w:type="dxa"/>
            <w:tcBorders>
              <w:top w:val="nil"/>
              <w:left w:val="nil"/>
              <w:bottom w:val="nil"/>
              <w:right w:val="nil"/>
            </w:tcBorders>
          </w:tcPr>
          <w:p>
            <w:pPr>
              <w:pStyle w:val="TableParagraph"/>
              <w:spacing w:line="240" w:lineRule="exact"/>
              <w:ind w:left="556"/>
              <w:jc w:val="left"/>
              <w:rPr>
                <w:rFonts w:ascii="Constantia"/>
                <w:sz w:val="20"/>
              </w:rPr>
            </w:pPr>
            <w:r>
              <w:rPr>
                <w:rFonts w:ascii="Constantia"/>
                <w:w w:val="115"/>
                <w:sz w:val="20"/>
              </w:rPr>
              <w:t>27</w:t>
            </w:r>
          </w:p>
        </w:tc>
      </w:tr>
      <w:tr>
        <w:trPr>
          <w:trHeight w:val="270" w:hRule="exact"/>
        </w:trPr>
        <w:tc>
          <w:tcPr>
            <w:tcW w:w="1322" w:type="dxa"/>
            <w:tcBorders>
              <w:top w:val="nil"/>
              <w:left w:val="nil"/>
              <w:bottom w:val="nil"/>
              <w:right w:val="nil"/>
            </w:tcBorders>
          </w:tcPr>
          <w:p>
            <w:pPr>
              <w:pStyle w:val="TableParagraph"/>
              <w:spacing w:line="240" w:lineRule="exact"/>
              <w:ind w:left="106"/>
              <w:rPr>
                <w:rFonts w:ascii="Constantia"/>
                <w:sz w:val="20"/>
              </w:rPr>
            </w:pPr>
            <w:r>
              <w:rPr>
                <w:rFonts w:ascii="Constantia"/>
                <w:w w:val="112"/>
                <w:sz w:val="20"/>
              </w:rPr>
              <w:t>8</w:t>
            </w:r>
          </w:p>
        </w:tc>
        <w:tc>
          <w:tcPr>
            <w:tcW w:w="1555" w:type="dxa"/>
            <w:tcBorders>
              <w:top w:val="nil"/>
              <w:left w:val="nil"/>
              <w:bottom w:val="nil"/>
              <w:right w:val="nil"/>
            </w:tcBorders>
          </w:tcPr>
          <w:p>
            <w:pPr>
              <w:pStyle w:val="TableParagraph"/>
              <w:spacing w:line="240" w:lineRule="exact"/>
              <w:ind w:right="676"/>
              <w:jc w:val="right"/>
              <w:rPr>
                <w:rFonts w:ascii="Constantia"/>
                <w:sz w:val="20"/>
              </w:rPr>
            </w:pPr>
            <w:r>
              <w:rPr>
                <w:rFonts w:ascii="Constantia"/>
                <w:w w:val="112"/>
                <w:sz w:val="20"/>
              </w:rPr>
              <w:t>5</w:t>
            </w:r>
          </w:p>
        </w:tc>
        <w:tc>
          <w:tcPr>
            <w:tcW w:w="1578" w:type="dxa"/>
            <w:tcBorders>
              <w:top w:val="nil"/>
              <w:left w:val="nil"/>
              <w:bottom w:val="nil"/>
              <w:right w:val="nil"/>
            </w:tcBorders>
          </w:tcPr>
          <w:p>
            <w:pPr>
              <w:pStyle w:val="TableParagraph"/>
              <w:spacing w:line="240" w:lineRule="exact"/>
              <w:ind w:right="655"/>
              <w:jc w:val="right"/>
              <w:rPr>
                <w:rFonts w:ascii="Constantia"/>
                <w:sz w:val="20"/>
              </w:rPr>
            </w:pPr>
            <w:r>
              <w:rPr>
                <w:rFonts w:ascii="Constantia"/>
                <w:w w:val="110"/>
                <w:sz w:val="20"/>
              </w:rPr>
              <w:t>36</w:t>
            </w:r>
          </w:p>
        </w:tc>
        <w:tc>
          <w:tcPr>
            <w:tcW w:w="1749" w:type="dxa"/>
            <w:tcBorders>
              <w:top w:val="nil"/>
              <w:left w:val="nil"/>
              <w:bottom w:val="nil"/>
              <w:right w:val="nil"/>
            </w:tcBorders>
          </w:tcPr>
          <w:p>
            <w:pPr>
              <w:pStyle w:val="TableParagraph"/>
              <w:spacing w:line="240" w:lineRule="exact"/>
              <w:ind w:left="772"/>
              <w:jc w:val="left"/>
              <w:rPr>
                <w:rFonts w:ascii="Constantia"/>
                <w:sz w:val="20"/>
              </w:rPr>
            </w:pPr>
            <w:r>
              <w:rPr>
                <w:rFonts w:ascii="Constantia"/>
                <w:w w:val="115"/>
                <w:sz w:val="20"/>
              </w:rPr>
              <w:t>31</w:t>
            </w:r>
          </w:p>
        </w:tc>
        <w:tc>
          <w:tcPr>
            <w:tcW w:w="1377" w:type="dxa"/>
            <w:tcBorders>
              <w:top w:val="nil"/>
              <w:left w:val="nil"/>
              <w:bottom w:val="nil"/>
              <w:right w:val="nil"/>
            </w:tcBorders>
          </w:tcPr>
          <w:p>
            <w:pPr>
              <w:pStyle w:val="TableParagraph"/>
              <w:spacing w:line="240" w:lineRule="exact"/>
              <w:ind w:left="556"/>
              <w:jc w:val="left"/>
              <w:rPr>
                <w:rFonts w:ascii="Constantia"/>
                <w:sz w:val="20"/>
              </w:rPr>
            </w:pPr>
            <w:r>
              <w:rPr>
                <w:rFonts w:ascii="Constantia"/>
                <w:w w:val="115"/>
                <w:sz w:val="20"/>
              </w:rPr>
              <w:t>27</w:t>
            </w:r>
          </w:p>
        </w:tc>
      </w:tr>
      <w:tr>
        <w:trPr>
          <w:trHeight w:val="246" w:hRule="exact"/>
        </w:trPr>
        <w:tc>
          <w:tcPr>
            <w:tcW w:w="1322" w:type="dxa"/>
            <w:tcBorders>
              <w:top w:val="nil"/>
              <w:left w:val="nil"/>
              <w:bottom w:val="single" w:sz="4" w:space="0" w:color="000000"/>
              <w:right w:val="nil"/>
            </w:tcBorders>
          </w:tcPr>
          <w:p>
            <w:pPr>
              <w:pStyle w:val="TableParagraph"/>
              <w:spacing w:line="241" w:lineRule="exact"/>
              <w:ind w:left="287" w:right="193"/>
              <w:rPr>
                <w:rFonts w:ascii="Constantia"/>
                <w:sz w:val="20"/>
              </w:rPr>
            </w:pPr>
            <w:r>
              <w:rPr>
                <w:rFonts w:ascii="Constantia"/>
                <w:w w:val="115"/>
                <w:sz w:val="20"/>
              </w:rPr>
              <w:t>12</w:t>
            </w:r>
          </w:p>
        </w:tc>
        <w:tc>
          <w:tcPr>
            <w:tcW w:w="1555" w:type="dxa"/>
            <w:tcBorders>
              <w:top w:val="nil"/>
              <w:left w:val="nil"/>
              <w:bottom w:val="single" w:sz="4" w:space="0" w:color="000000"/>
              <w:right w:val="nil"/>
            </w:tcBorders>
          </w:tcPr>
          <w:p>
            <w:pPr>
              <w:pStyle w:val="TableParagraph"/>
              <w:spacing w:line="241" w:lineRule="exact"/>
              <w:ind w:right="676"/>
              <w:jc w:val="right"/>
              <w:rPr>
                <w:rFonts w:ascii="Constantia"/>
                <w:sz w:val="20"/>
              </w:rPr>
            </w:pPr>
            <w:r>
              <w:rPr>
                <w:rFonts w:ascii="Constantia"/>
                <w:w w:val="112"/>
                <w:sz w:val="20"/>
              </w:rPr>
              <w:t>5</w:t>
            </w:r>
          </w:p>
        </w:tc>
        <w:tc>
          <w:tcPr>
            <w:tcW w:w="1578" w:type="dxa"/>
            <w:tcBorders>
              <w:top w:val="nil"/>
              <w:left w:val="nil"/>
              <w:bottom w:val="single" w:sz="4" w:space="0" w:color="000000"/>
              <w:right w:val="nil"/>
            </w:tcBorders>
          </w:tcPr>
          <w:p>
            <w:pPr>
              <w:pStyle w:val="TableParagraph"/>
              <w:spacing w:line="241" w:lineRule="exact"/>
              <w:ind w:right="655"/>
              <w:jc w:val="right"/>
              <w:rPr>
                <w:rFonts w:ascii="Constantia"/>
                <w:sz w:val="20"/>
              </w:rPr>
            </w:pPr>
            <w:r>
              <w:rPr>
                <w:rFonts w:ascii="Constantia"/>
                <w:w w:val="110"/>
                <w:sz w:val="20"/>
              </w:rPr>
              <w:t>36</w:t>
            </w:r>
          </w:p>
        </w:tc>
        <w:tc>
          <w:tcPr>
            <w:tcW w:w="1749" w:type="dxa"/>
            <w:tcBorders>
              <w:top w:val="nil"/>
              <w:left w:val="nil"/>
              <w:bottom w:val="single" w:sz="4" w:space="0" w:color="000000"/>
              <w:right w:val="nil"/>
            </w:tcBorders>
          </w:tcPr>
          <w:p>
            <w:pPr>
              <w:pStyle w:val="TableParagraph"/>
              <w:spacing w:line="241" w:lineRule="exact"/>
              <w:ind w:left="772"/>
              <w:jc w:val="left"/>
              <w:rPr>
                <w:rFonts w:ascii="Constantia"/>
                <w:sz w:val="20"/>
              </w:rPr>
            </w:pPr>
            <w:r>
              <w:rPr>
                <w:rFonts w:ascii="Constantia"/>
                <w:w w:val="115"/>
                <w:sz w:val="20"/>
              </w:rPr>
              <w:t>31</w:t>
            </w:r>
          </w:p>
        </w:tc>
        <w:tc>
          <w:tcPr>
            <w:tcW w:w="1377" w:type="dxa"/>
            <w:tcBorders>
              <w:top w:val="nil"/>
              <w:left w:val="nil"/>
              <w:bottom w:val="single" w:sz="4" w:space="0" w:color="000000"/>
              <w:right w:val="nil"/>
            </w:tcBorders>
          </w:tcPr>
          <w:p>
            <w:pPr>
              <w:pStyle w:val="TableParagraph"/>
              <w:spacing w:line="241" w:lineRule="exact"/>
              <w:ind w:left="556"/>
              <w:jc w:val="left"/>
              <w:rPr>
                <w:rFonts w:ascii="Constantia"/>
                <w:sz w:val="20"/>
              </w:rPr>
            </w:pPr>
            <w:r>
              <w:rPr>
                <w:rFonts w:ascii="Constantia"/>
                <w:w w:val="115"/>
                <w:sz w:val="20"/>
              </w:rPr>
              <w:t>27</w:t>
            </w:r>
          </w:p>
        </w:tc>
      </w:tr>
    </w:tbl>
    <w:p>
      <w:pPr>
        <w:pStyle w:val="BodyText"/>
        <w:rPr>
          <w:rFonts w:ascii="Constantia"/>
          <w:sz w:val="20"/>
        </w:rPr>
      </w:pPr>
    </w:p>
    <w:p>
      <w:pPr>
        <w:spacing w:before="165"/>
        <w:ind w:left="2281" w:right="115" w:firstLine="0"/>
        <w:jc w:val="left"/>
        <w:rPr>
          <w:rFonts w:ascii="Constantia" w:hAnsi="Constantia"/>
          <w:sz w:val="20"/>
        </w:rPr>
      </w:pPr>
      <w:r>
        <w:rPr/>
        <w:pict>
          <v:shape style="position:absolute;margin-left:86.550003pt;margin-top:28.308838pt;width:442.05pt;height:91.35pt;mso-position-horizontal-relative:page;mso-position-vertical-relative:paragraph;z-index:13336" type="#_x0000_t202" filled="false" stroked="false">
            <v:textbox inset="0,0,0,0">
              <w:txbxContent>
                <w:tbl>
                  <w:tblPr>
                    <w:tblW w:w="0" w:type="auto"/>
                    <w:jc w:val="left"/>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1186"/>
                    <w:gridCol w:w="1454"/>
                    <w:gridCol w:w="1477"/>
                    <w:gridCol w:w="1939"/>
                    <w:gridCol w:w="1282"/>
                    <w:gridCol w:w="1503"/>
                  </w:tblGrid>
                  <w:tr>
                    <w:trPr>
                      <w:trHeight w:val="497" w:hRule="exact"/>
                    </w:trPr>
                    <w:tc>
                      <w:tcPr>
                        <w:tcW w:w="1186" w:type="dxa"/>
                        <w:tcBorders>
                          <w:left w:val="nil"/>
                          <w:bottom w:val="nil"/>
                          <w:right w:val="nil"/>
                        </w:tcBorders>
                      </w:tcPr>
                      <w:p>
                        <w:pPr>
                          <w:pStyle w:val="TableParagraph"/>
                          <w:spacing w:before="7"/>
                          <w:jc w:val="left"/>
                          <w:rPr>
                            <w:sz w:val="21"/>
                          </w:rPr>
                        </w:pPr>
                      </w:p>
                      <w:p>
                        <w:pPr>
                          <w:pStyle w:val="TableParagraph"/>
                          <w:ind w:left="203" w:right="147"/>
                          <w:rPr>
                            <w:rFonts w:ascii="Constantia"/>
                            <w:sz w:val="17"/>
                          </w:rPr>
                        </w:pPr>
                        <w:r>
                          <w:rPr>
                            <w:rFonts w:ascii="Constantia"/>
                            <w:w w:val="110"/>
                            <w:sz w:val="17"/>
                          </w:rPr>
                          <w:t>Trimestre</w:t>
                        </w:r>
                      </w:p>
                    </w:tc>
                    <w:tc>
                      <w:tcPr>
                        <w:tcW w:w="1454" w:type="dxa"/>
                        <w:tcBorders>
                          <w:left w:val="nil"/>
                          <w:bottom w:val="nil"/>
                          <w:right w:val="nil"/>
                        </w:tcBorders>
                      </w:tcPr>
                      <w:p>
                        <w:pPr>
                          <w:pStyle w:val="TableParagraph"/>
                          <w:spacing w:line="261" w:lineRule="auto" w:before="21"/>
                          <w:ind w:left="157" w:firstLine="130"/>
                          <w:jc w:val="left"/>
                          <w:rPr>
                            <w:rFonts w:ascii="Constantia"/>
                            <w:sz w:val="17"/>
                          </w:rPr>
                        </w:pPr>
                        <w:r>
                          <w:rPr>
                            <w:rFonts w:ascii="Constantia"/>
                            <w:w w:val="110"/>
                            <w:sz w:val="17"/>
                          </w:rPr>
                          <w:t>Choques de precios del gas</w:t>
                        </w:r>
                      </w:p>
                    </w:tc>
                    <w:tc>
                      <w:tcPr>
                        <w:tcW w:w="1477" w:type="dxa"/>
                        <w:tcBorders>
                          <w:left w:val="nil"/>
                          <w:bottom w:val="nil"/>
                          <w:right w:val="nil"/>
                        </w:tcBorders>
                      </w:tcPr>
                      <w:p>
                        <w:pPr>
                          <w:pStyle w:val="TableParagraph"/>
                          <w:spacing w:line="261" w:lineRule="auto" w:before="21"/>
                          <w:ind w:left="81" w:right="54" w:firstLine="83"/>
                          <w:jc w:val="left"/>
                          <w:rPr>
                            <w:rFonts w:ascii="Constantia"/>
                            <w:sz w:val="17"/>
                          </w:rPr>
                        </w:pPr>
                        <w:r>
                          <w:rPr>
                            <w:rFonts w:ascii="Constantia"/>
                            <w:w w:val="110"/>
                            <w:sz w:val="17"/>
                          </w:rPr>
                          <w:t>Choques de la Asignac. De Ing.</w:t>
                        </w:r>
                      </w:p>
                    </w:tc>
                    <w:tc>
                      <w:tcPr>
                        <w:tcW w:w="4724" w:type="dxa"/>
                        <w:gridSpan w:val="3"/>
                        <w:tcBorders>
                          <w:left w:val="nil"/>
                          <w:bottom w:val="nil"/>
                          <w:right w:val="nil"/>
                        </w:tcBorders>
                      </w:tcPr>
                      <w:p>
                        <w:pPr>
                          <w:pStyle w:val="TableParagraph"/>
                          <w:spacing w:before="21"/>
                          <w:ind w:left="220"/>
                          <w:jc w:val="left"/>
                          <w:rPr>
                            <w:rFonts w:ascii="Constantia"/>
                            <w:sz w:val="17"/>
                          </w:rPr>
                        </w:pPr>
                        <w:r>
                          <w:rPr>
                            <w:rFonts w:ascii="Constantia"/>
                            <w:w w:val="110"/>
                            <w:sz w:val="17"/>
                          </w:rPr>
                          <w:t>Choques de la</w:t>
                        </w:r>
                      </w:p>
                    </w:tc>
                  </w:tr>
                  <w:tr>
                    <w:trPr>
                      <w:trHeight w:val="238" w:hRule="exact"/>
                    </w:trPr>
                    <w:tc>
                      <w:tcPr>
                        <w:tcW w:w="1186" w:type="dxa"/>
                        <w:tcBorders>
                          <w:top w:val="nil"/>
                          <w:left w:val="nil"/>
                          <w:bottom w:val="single" w:sz="4" w:space="0" w:color="000000"/>
                          <w:right w:val="nil"/>
                        </w:tcBorders>
                      </w:tcPr>
                      <w:p>
                        <w:pPr/>
                      </w:p>
                    </w:tc>
                    <w:tc>
                      <w:tcPr>
                        <w:tcW w:w="1454" w:type="dxa"/>
                        <w:tcBorders>
                          <w:top w:val="nil"/>
                          <w:left w:val="nil"/>
                          <w:bottom w:val="single" w:sz="4" w:space="0" w:color="000000"/>
                          <w:right w:val="nil"/>
                        </w:tcBorders>
                      </w:tcPr>
                      <w:p>
                        <w:pPr>
                          <w:pStyle w:val="TableParagraph"/>
                          <w:spacing w:line="202" w:lineRule="exact"/>
                          <w:ind w:left="452" w:right="376"/>
                          <w:rPr>
                            <w:rFonts w:ascii="Constantia"/>
                            <w:sz w:val="17"/>
                          </w:rPr>
                        </w:pPr>
                        <w:r>
                          <w:rPr>
                            <w:rFonts w:ascii="Constantia"/>
                            <w:w w:val="110"/>
                            <w:sz w:val="17"/>
                          </w:rPr>
                          <w:t>natural</w:t>
                        </w:r>
                      </w:p>
                    </w:tc>
                    <w:tc>
                      <w:tcPr>
                        <w:tcW w:w="1477" w:type="dxa"/>
                        <w:tcBorders>
                          <w:top w:val="nil"/>
                          <w:left w:val="nil"/>
                          <w:bottom w:val="single" w:sz="4" w:space="0" w:color="000000"/>
                          <w:right w:val="nil"/>
                        </w:tcBorders>
                      </w:tcPr>
                      <w:p>
                        <w:pPr>
                          <w:pStyle w:val="TableParagraph"/>
                          <w:spacing w:line="202" w:lineRule="exact"/>
                          <w:ind w:left="156" w:right="124"/>
                          <w:rPr>
                            <w:rFonts w:ascii="Constantia" w:hAnsi="Constantia"/>
                            <w:sz w:val="17"/>
                          </w:rPr>
                        </w:pPr>
                        <w:r>
                          <w:rPr>
                            <w:rFonts w:ascii="Constantia" w:hAnsi="Constantia"/>
                            <w:w w:val="110"/>
                            <w:sz w:val="17"/>
                          </w:rPr>
                          <w:t>Fisc. Gasíferos</w:t>
                        </w:r>
                      </w:p>
                    </w:tc>
                    <w:tc>
                      <w:tcPr>
                        <w:tcW w:w="1939" w:type="dxa"/>
                        <w:tcBorders>
                          <w:top w:val="nil"/>
                          <w:left w:val="nil"/>
                          <w:bottom w:val="single" w:sz="4" w:space="0" w:color="000000"/>
                          <w:right w:val="nil"/>
                        </w:tcBorders>
                      </w:tcPr>
                      <w:p>
                        <w:pPr>
                          <w:pStyle w:val="TableParagraph"/>
                          <w:spacing w:line="202" w:lineRule="exact"/>
                          <w:ind w:left="66" w:right="-14"/>
                          <w:jc w:val="left"/>
                          <w:rPr>
                            <w:rFonts w:ascii="Constantia" w:hAnsi="Constantia"/>
                            <w:sz w:val="17"/>
                          </w:rPr>
                        </w:pPr>
                        <w:r>
                          <w:rPr>
                            <w:rFonts w:ascii="Constantia" w:hAnsi="Constantia"/>
                            <w:w w:val="110"/>
                            <w:sz w:val="17"/>
                          </w:rPr>
                          <w:t>Fisc. No Gasíferos   </w:t>
                        </w:r>
                        <w:r>
                          <w:rPr>
                            <w:rFonts w:ascii="Constantia" w:hAnsi="Constantia"/>
                            <w:spacing w:val="29"/>
                            <w:w w:val="110"/>
                            <w:sz w:val="17"/>
                          </w:rPr>
                          <w:t> </w:t>
                        </w:r>
                        <w:r>
                          <w:rPr>
                            <w:rFonts w:ascii="Constantia" w:hAnsi="Constantia"/>
                            <w:spacing w:val="2"/>
                            <w:w w:val="110"/>
                            <w:position w:val="11"/>
                            <w:sz w:val="17"/>
                          </w:rPr>
                          <w:t>Ba</w:t>
                        </w:r>
                      </w:p>
                    </w:tc>
                    <w:tc>
                      <w:tcPr>
                        <w:tcW w:w="1282" w:type="dxa"/>
                        <w:tcBorders>
                          <w:top w:val="nil"/>
                          <w:left w:val="nil"/>
                          <w:bottom w:val="single" w:sz="4" w:space="0" w:color="000000"/>
                          <w:right w:val="nil"/>
                        </w:tcBorders>
                      </w:tcPr>
                      <w:p>
                        <w:pPr>
                          <w:pStyle w:val="TableParagraph"/>
                          <w:spacing w:line="94" w:lineRule="exact"/>
                          <w:ind w:left="4"/>
                          <w:jc w:val="left"/>
                          <w:rPr>
                            <w:rFonts w:ascii="Constantia"/>
                            <w:sz w:val="17"/>
                          </w:rPr>
                        </w:pPr>
                        <w:r>
                          <w:rPr>
                            <w:rFonts w:ascii="Constantia"/>
                            <w:w w:val="110"/>
                            <w:sz w:val="17"/>
                          </w:rPr>
                          <w:t>lance primario</w:t>
                        </w:r>
                      </w:p>
                    </w:tc>
                    <w:tc>
                      <w:tcPr>
                        <w:tcW w:w="1503" w:type="dxa"/>
                        <w:tcBorders>
                          <w:top w:val="nil"/>
                          <w:left w:val="nil"/>
                          <w:bottom w:val="single" w:sz="4" w:space="0" w:color="000000"/>
                          <w:right w:val="nil"/>
                        </w:tcBorders>
                      </w:tcPr>
                      <w:p>
                        <w:pPr>
                          <w:pStyle w:val="TableParagraph"/>
                          <w:spacing w:line="94" w:lineRule="exact"/>
                          <w:ind w:left="178" w:right="142"/>
                          <w:rPr>
                            <w:rFonts w:ascii="Constantia" w:hAnsi="Constantia"/>
                            <w:sz w:val="17"/>
                          </w:rPr>
                        </w:pPr>
                        <w:r>
                          <w:rPr>
                            <w:rFonts w:ascii="Constantia" w:hAnsi="Constantia"/>
                            <w:w w:val="110"/>
                            <w:sz w:val="17"/>
                          </w:rPr>
                          <w:t>deuda pública</w:t>
                        </w:r>
                      </w:p>
                    </w:tc>
                  </w:tr>
                  <w:tr>
                    <w:trPr>
                      <w:trHeight w:val="294" w:hRule="exact"/>
                    </w:trPr>
                    <w:tc>
                      <w:tcPr>
                        <w:tcW w:w="1186" w:type="dxa"/>
                        <w:tcBorders>
                          <w:top w:val="single" w:sz="4" w:space="0" w:color="000000"/>
                          <w:left w:val="nil"/>
                          <w:bottom w:val="nil"/>
                          <w:right w:val="nil"/>
                        </w:tcBorders>
                      </w:tcPr>
                      <w:p>
                        <w:pPr>
                          <w:pStyle w:val="TableParagraph"/>
                          <w:spacing w:before="14"/>
                          <w:ind w:left="73"/>
                          <w:rPr>
                            <w:rFonts w:ascii="Constantia"/>
                            <w:sz w:val="20"/>
                          </w:rPr>
                        </w:pPr>
                        <w:r>
                          <w:rPr>
                            <w:rFonts w:ascii="Constantia"/>
                            <w:w w:val="112"/>
                            <w:sz w:val="20"/>
                          </w:rPr>
                          <w:t>1</w:t>
                        </w:r>
                      </w:p>
                    </w:tc>
                    <w:tc>
                      <w:tcPr>
                        <w:tcW w:w="1454" w:type="dxa"/>
                        <w:tcBorders>
                          <w:top w:val="single" w:sz="4" w:space="0" w:color="000000"/>
                          <w:left w:val="nil"/>
                          <w:bottom w:val="nil"/>
                          <w:right w:val="nil"/>
                        </w:tcBorders>
                      </w:tcPr>
                      <w:p>
                        <w:pPr>
                          <w:pStyle w:val="TableParagraph"/>
                          <w:spacing w:before="14"/>
                          <w:ind w:left="99"/>
                          <w:rPr>
                            <w:rFonts w:ascii="Constantia"/>
                            <w:sz w:val="20"/>
                          </w:rPr>
                        </w:pPr>
                        <w:r>
                          <w:rPr>
                            <w:rFonts w:ascii="Constantia"/>
                            <w:w w:val="112"/>
                            <w:sz w:val="20"/>
                          </w:rPr>
                          <w:t>6</w:t>
                        </w:r>
                      </w:p>
                    </w:tc>
                    <w:tc>
                      <w:tcPr>
                        <w:tcW w:w="1477" w:type="dxa"/>
                        <w:tcBorders>
                          <w:top w:val="single" w:sz="4" w:space="0" w:color="000000"/>
                          <w:left w:val="nil"/>
                          <w:bottom w:val="nil"/>
                          <w:right w:val="nil"/>
                        </w:tcBorders>
                      </w:tcPr>
                      <w:p>
                        <w:pPr>
                          <w:pStyle w:val="TableParagraph"/>
                          <w:spacing w:before="14"/>
                          <w:ind w:left="40"/>
                          <w:rPr>
                            <w:rFonts w:ascii="Constantia"/>
                            <w:sz w:val="20"/>
                          </w:rPr>
                        </w:pPr>
                        <w:r>
                          <w:rPr>
                            <w:rFonts w:ascii="Constantia"/>
                            <w:w w:val="112"/>
                            <w:sz w:val="20"/>
                          </w:rPr>
                          <w:t>1</w:t>
                        </w:r>
                      </w:p>
                    </w:tc>
                    <w:tc>
                      <w:tcPr>
                        <w:tcW w:w="1939" w:type="dxa"/>
                        <w:tcBorders>
                          <w:top w:val="single" w:sz="4" w:space="0" w:color="000000"/>
                          <w:left w:val="nil"/>
                          <w:bottom w:val="nil"/>
                          <w:right w:val="nil"/>
                        </w:tcBorders>
                      </w:tcPr>
                      <w:p>
                        <w:pPr>
                          <w:pStyle w:val="TableParagraph"/>
                          <w:spacing w:before="14"/>
                          <w:ind w:right="304"/>
                          <w:rPr>
                            <w:rFonts w:ascii="Constantia"/>
                            <w:sz w:val="20"/>
                          </w:rPr>
                        </w:pPr>
                        <w:r>
                          <w:rPr>
                            <w:rFonts w:ascii="Constantia"/>
                            <w:w w:val="112"/>
                            <w:sz w:val="20"/>
                          </w:rPr>
                          <w:t>0</w:t>
                        </w:r>
                      </w:p>
                    </w:tc>
                    <w:tc>
                      <w:tcPr>
                        <w:tcW w:w="1282" w:type="dxa"/>
                        <w:tcBorders>
                          <w:top w:val="single" w:sz="4" w:space="0" w:color="000000"/>
                          <w:left w:val="nil"/>
                          <w:bottom w:val="nil"/>
                          <w:right w:val="nil"/>
                        </w:tcBorders>
                      </w:tcPr>
                      <w:p>
                        <w:pPr>
                          <w:pStyle w:val="TableParagraph"/>
                          <w:spacing w:before="14"/>
                          <w:ind w:left="424" w:right="674"/>
                          <w:rPr>
                            <w:rFonts w:ascii="Constantia"/>
                            <w:sz w:val="20"/>
                          </w:rPr>
                        </w:pPr>
                        <w:r>
                          <w:rPr>
                            <w:rFonts w:ascii="Constantia"/>
                            <w:w w:val="115"/>
                            <w:sz w:val="20"/>
                          </w:rPr>
                          <w:t>11</w:t>
                        </w:r>
                      </w:p>
                    </w:tc>
                    <w:tc>
                      <w:tcPr>
                        <w:tcW w:w="1503" w:type="dxa"/>
                        <w:tcBorders>
                          <w:top w:val="single" w:sz="4" w:space="0" w:color="000000"/>
                          <w:left w:val="nil"/>
                          <w:bottom w:val="nil"/>
                          <w:right w:val="nil"/>
                        </w:tcBorders>
                      </w:tcPr>
                      <w:p>
                        <w:pPr>
                          <w:pStyle w:val="TableParagraph"/>
                          <w:spacing w:before="14"/>
                          <w:ind w:left="178" w:right="114"/>
                          <w:rPr>
                            <w:rFonts w:ascii="Constantia"/>
                            <w:sz w:val="20"/>
                          </w:rPr>
                        </w:pPr>
                        <w:r>
                          <w:rPr>
                            <w:rFonts w:ascii="Constantia"/>
                            <w:w w:val="115"/>
                            <w:sz w:val="20"/>
                          </w:rPr>
                          <w:t>82</w:t>
                        </w:r>
                      </w:p>
                    </w:tc>
                  </w:tr>
                  <w:tr>
                    <w:trPr>
                      <w:trHeight w:val="270" w:hRule="exact"/>
                    </w:trPr>
                    <w:tc>
                      <w:tcPr>
                        <w:tcW w:w="1186" w:type="dxa"/>
                        <w:tcBorders>
                          <w:top w:val="nil"/>
                          <w:left w:val="nil"/>
                          <w:bottom w:val="nil"/>
                          <w:right w:val="nil"/>
                        </w:tcBorders>
                      </w:tcPr>
                      <w:p>
                        <w:pPr>
                          <w:pStyle w:val="TableParagraph"/>
                          <w:spacing w:line="240" w:lineRule="exact"/>
                          <w:ind w:left="75"/>
                          <w:rPr>
                            <w:rFonts w:ascii="Constantia"/>
                            <w:sz w:val="20"/>
                          </w:rPr>
                        </w:pPr>
                        <w:r>
                          <w:rPr>
                            <w:rFonts w:ascii="Constantia"/>
                            <w:w w:val="112"/>
                            <w:sz w:val="20"/>
                          </w:rPr>
                          <w:t>4</w:t>
                        </w:r>
                      </w:p>
                    </w:tc>
                    <w:tc>
                      <w:tcPr>
                        <w:tcW w:w="1454" w:type="dxa"/>
                        <w:tcBorders>
                          <w:top w:val="nil"/>
                          <w:left w:val="nil"/>
                          <w:bottom w:val="nil"/>
                          <w:right w:val="nil"/>
                        </w:tcBorders>
                      </w:tcPr>
                      <w:p>
                        <w:pPr>
                          <w:pStyle w:val="TableParagraph"/>
                          <w:spacing w:line="240" w:lineRule="exact"/>
                          <w:ind w:left="86"/>
                          <w:rPr>
                            <w:rFonts w:ascii="Constantia"/>
                            <w:sz w:val="20"/>
                          </w:rPr>
                        </w:pPr>
                        <w:r>
                          <w:rPr>
                            <w:rFonts w:ascii="Constantia"/>
                            <w:w w:val="112"/>
                            <w:sz w:val="20"/>
                          </w:rPr>
                          <w:t>7</w:t>
                        </w:r>
                      </w:p>
                    </w:tc>
                    <w:tc>
                      <w:tcPr>
                        <w:tcW w:w="1477" w:type="dxa"/>
                        <w:tcBorders>
                          <w:top w:val="nil"/>
                          <w:left w:val="nil"/>
                          <w:bottom w:val="nil"/>
                          <w:right w:val="nil"/>
                        </w:tcBorders>
                      </w:tcPr>
                      <w:p>
                        <w:pPr>
                          <w:pStyle w:val="TableParagraph"/>
                          <w:spacing w:line="240" w:lineRule="exact"/>
                          <w:ind w:left="30"/>
                          <w:rPr>
                            <w:rFonts w:ascii="Constantia"/>
                            <w:sz w:val="20"/>
                          </w:rPr>
                        </w:pPr>
                        <w:r>
                          <w:rPr>
                            <w:rFonts w:ascii="Constantia"/>
                            <w:w w:val="112"/>
                            <w:sz w:val="20"/>
                          </w:rPr>
                          <w:t>7</w:t>
                        </w:r>
                      </w:p>
                    </w:tc>
                    <w:tc>
                      <w:tcPr>
                        <w:tcW w:w="1939" w:type="dxa"/>
                        <w:tcBorders>
                          <w:top w:val="nil"/>
                          <w:left w:val="nil"/>
                          <w:bottom w:val="nil"/>
                          <w:right w:val="nil"/>
                        </w:tcBorders>
                      </w:tcPr>
                      <w:p>
                        <w:pPr>
                          <w:pStyle w:val="TableParagraph"/>
                          <w:spacing w:line="240" w:lineRule="exact"/>
                          <w:ind w:right="307"/>
                          <w:rPr>
                            <w:rFonts w:ascii="Constantia"/>
                            <w:sz w:val="20"/>
                          </w:rPr>
                        </w:pPr>
                        <w:r>
                          <w:rPr>
                            <w:rFonts w:ascii="Constantia"/>
                            <w:w w:val="112"/>
                            <w:sz w:val="20"/>
                          </w:rPr>
                          <w:t>1</w:t>
                        </w:r>
                      </w:p>
                    </w:tc>
                    <w:tc>
                      <w:tcPr>
                        <w:tcW w:w="1282" w:type="dxa"/>
                        <w:tcBorders>
                          <w:top w:val="nil"/>
                          <w:left w:val="nil"/>
                          <w:bottom w:val="nil"/>
                          <w:right w:val="nil"/>
                        </w:tcBorders>
                      </w:tcPr>
                      <w:p>
                        <w:pPr>
                          <w:pStyle w:val="TableParagraph"/>
                          <w:spacing w:line="240" w:lineRule="exact"/>
                          <w:ind w:left="396"/>
                          <w:jc w:val="left"/>
                          <w:rPr>
                            <w:rFonts w:ascii="Constantia"/>
                            <w:sz w:val="20"/>
                          </w:rPr>
                        </w:pPr>
                        <w:r>
                          <w:rPr>
                            <w:rFonts w:ascii="Constantia"/>
                            <w:w w:val="115"/>
                            <w:sz w:val="20"/>
                          </w:rPr>
                          <w:t>20</w:t>
                        </w:r>
                      </w:p>
                    </w:tc>
                    <w:tc>
                      <w:tcPr>
                        <w:tcW w:w="1503" w:type="dxa"/>
                        <w:tcBorders>
                          <w:top w:val="nil"/>
                          <w:left w:val="nil"/>
                          <w:bottom w:val="nil"/>
                          <w:right w:val="nil"/>
                        </w:tcBorders>
                      </w:tcPr>
                      <w:p>
                        <w:pPr>
                          <w:pStyle w:val="TableParagraph"/>
                          <w:spacing w:line="240" w:lineRule="exact"/>
                          <w:ind w:left="178" w:right="117"/>
                          <w:rPr>
                            <w:rFonts w:ascii="Constantia"/>
                            <w:sz w:val="20"/>
                          </w:rPr>
                        </w:pPr>
                        <w:r>
                          <w:rPr>
                            <w:rFonts w:ascii="Constantia"/>
                            <w:w w:val="115"/>
                            <w:sz w:val="20"/>
                          </w:rPr>
                          <w:t>65</w:t>
                        </w:r>
                      </w:p>
                    </w:tc>
                  </w:tr>
                  <w:tr>
                    <w:trPr>
                      <w:trHeight w:val="270" w:hRule="exact"/>
                    </w:trPr>
                    <w:tc>
                      <w:tcPr>
                        <w:tcW w:w="1186" w:type="dxa"/>
                        <w:tcBorders>
                          <w:top w:val="nil"/>
                          <w:left w:val="nil"/>
                          <w:bottom w:val="nil"/>
                          <w:right w:val="nil"/>
                        </w:tcBorders>
                      </w:tcPr>
                      <w:p>
                        <w:pPr>
                          <w:pStyle w:val="TableParagraph"/>
                          <w:spacing w:line="240" w:lineRule="exact"/>
                          <w:ind w:left="76"/>
                          <w:rPr>
                            <w:rFonts w:ascii="Constantia"/>
                            <w:sz w:val="20"/>
                          </w:rPr>
                        </w:pPr>
                        <w:r>
                          <w:rPr>
                            <w:rFonts w:ascii="Constantia"/>
                            <w:w w:val="112"/>
                            <w:sz w:val="20"/>
                          </w:rPr>
                          <w:t>8</w:t>
                        </w:r>
                      </w:p>
                    </w:tc>
                    <w:tc>
                      <w:tcPr>
                        <w:tcW w:w="1454" w:type="dxa"/>
                        <w:tcBorders>
                          <w:top w:val="nil"/>
                          <w:left w:val="nil"/>
                          <w:bottom w:val="nil"/>
                          <w:right w:val="nil"/>
                        </w:tcBorders>
                      </w:tcPr>
                      <w:p>
                        <w:pPr>
                          <w:pStyle w:val="TableParagraph"/>
                          <w:spacing w:line="240" w:lineRule="exact"/>
                          <w:ind w:left="98"/>
                          <w:rPr>
                            <w:rFonts w:ascii="Constantia"/>
                            <w:sz w:val="20"/>
                          </w:rPr>
                        </w:pPr>
                        <w:r>
                          <w:rPr>
                            <w:rFonts w:ascii="Constantia"/>
                            <w:w w:val="112"/>
                            <w:sz w:val="20"/>
                          </w:rPr>
                          <w:t>8</w:t>
                        </w:r>
                      </w:p>
                    </w:tc>
                    <w:tc>
                      <w:tcPr>
                        <w:tcW w:w="1477" w:type="dxa"/>
                        <w:tcBorders>
                          <w:top w:val="nil"/>
                          <w:left w:val="nil"/>
                          <w:bottom w:val="nil"/>
                          <w:right w:val="nil"/>
                        </w:tcBorders>
                      </w:tcPr>
                      <w:p>
                        <w:pPr>
                          <w:pStyle w:val="TableParagraph"/>
                          <w:spacing w:line="240" w:lineRule="exact"/>
                          <w:ind w:left="30"/>
                          <w:rPr>
                            <w:rFonts w:ascii="Constantia"/>
                            <w:sz w:val="20"/>
                          </w:rPr>
                        </w:pPr>
                        <w:r>
                          <w:rPr>
                            <w:rFonts w:ascii="Constantia"/>
                            <w:w w:val="112"/>
                            <w:sz w:val="20"/>
                          </w:rPr>
                          <w:t>7</w:t>
                        </w:r>
                      </w:p>
                    </w:tc>
                    <w:tc>
                      <w:tcPr>
                        <w:tcW w:w="1939" w:type="dxa"/>
                        <w:tcBorders>
                          <w:top w:val="nil"/>
                          <w:left w:val="nil"/>
                          <w:bottom w:val="nil"/>
                          <w:right w:val="nil"/>
                        </w:tcBorders>
                      </w:tcPr>
                      <w:p>
                        <w:pPr>
                          <w:pStyle w:val="TableParagraph"/>
                          <w:spacing w:line="240" w:lineRule="exact"/>
                          <w:ind w:right="307"/>
                          <w:rPr>
                            <w:rFonts w:ascii="Constantia"/>
                            <w:sz w:val="20"/>
                          </w:rPr>
                        </w:pPr>
                        <w:r>
                          <w:rPr>
                            <w:rFonts w:ascii="Constantia"/>
                            <w:w w:val="112"/>
                            <w:sz w:val="20"/>
                          </w:rPr>
                          <w:t>1</w:t>
                        </w:r>
                      </w:p>
                    </w:tc>
                    <w:tc>
                      <w:tcPr>
                        <w:tcW w:w="1282" w:type="dxa"/>
                        <w:tcBorders>
                          <w:top w:val="nil"/>
                          <w:left w:val="nil"/>
                          <w:bottom w:val="nil"/>
                          <w:right w:val="nil"/>
                        </w:tcBorders>
                      </w:tcPr>
                      <w:p>
                        <w:pPr>
                          <w:pStyle w:val="TableParagraph"/>
                          <w:spacing w:line="240" w:lineRule="exact"/>
                          <w:ind w:left="396"/>
                          <w:jc w:val="left"/>
                          <w:rPr>
                            <w:rFonts w:ascii="Constantia"/>
                            <w:sz w:val="20"/>
                          </w:rPr>
                        </w:pPr>
                        <w:r>
                          <w:rPr>
                            <w:rFonts w:ascii="Constantia"/>
                            <w:w w:val="115"/>
                            <w:sz w:val="20"/>
                          </w:rPr>
                          <w:t>20</w:t>
                        </w:r>
                      </w:p>
                    </w:tc>
                    <w:tc>
                      <w:tcPr>
                        <w:tcW w:w="1503" w:type="dxa"/>
                        <w:tcBorders>
                          <w:top w:val="nil"/>
                          <w:left w:val="nil"/>
                          <w:bottom w:val="nil"/>
                          <w:right w:val="nil"/>
                        </w:tcBorders>
                      </w:tcPr>
                      <w:p>
                        <w:pPr>
                          <w:pStyle w:val="TableParagraph"/>
                          <w:spacing w:line="240" w:lineRule="exact"/>
                          <w:ind w:left="178" w:right="128"/>
                          <w:rPr>
                            <w:rFonts w:ascii="Constantia"/>
                            <w:sz w:val="20"/>
                          </w:rPr>
                        </w:pPr>
                        <w:r>
                          <w:rPr>
                            <w:rFonts w:ascii="Constantia"/>
                            <w:w w:val="115"/>
                            <w:sz w:val="20"/>
                          </w:rPr>
                          <w:t>64</w:t>
                        </w:r>
                      </w:p>
                    </w:tc>
                  </w:tr>
                  <w:tr>
                    <w:trPr>
                      <w:trHeight w:val="246" w:hRule="exact"/>
                    </w:trPr>
                    <w:tc>
                      <w:tcPr>
                        <w:tcW w:w="1186" w:type="dxa"/>
                        <w:tcBorders>
                          <w:top w:val="nil"/>
                          <w:left w:val="nil"/>
                          <w:bottom w:val="single" w:sz="4" w:space="0" w:color="000000"/>
                          <w:right w:val="nil"/>
                        </w:tcBorders>
                      </w:tcPr>
                      <w:p>
                        <w:pPr>
                          <w:pStyle w:val="TableParagraph"/>
                          <w:spacing w:line="240" w:lineRule="exact"/>
                          <w:ind w:left="203" w:right="138"/>
                          <w:rPr>
                            <w:rFonts w:ascii="Constantia"/>
                            <w:sz w:val="20"/>
                          </w:rPr>
                        </w:pPr>
                        <w:r>
                          <w:rPr>
                            <w:rFonts w:ascii="Constantia"/>
                            <w:w w:val="115"/>
                            <w:sz w:val="20"/>
                          </w:rPr>
                          <w:t>12</w:t>
                        </w:r>
                      </w:p>
                    </w:tc>
                    <w:tc>
                      <w:tcPr>
                        <w:tcW w:w="1454" w:type="dxa"/>
                        <w:tcBorders>
                          <w:top w:val="nil"/>
                          <w:left w:val="nil"/>
                          <w:bottom w:val="single" w:sz="4" w:space="0" w:color="000000"/>
                          <w:right w:val="nil"/>
                        </w:tcBorders>
                      </w:tcPr>
                      <w:p>
                        <w:pPr>
                          <w:pStyle w:val="TableParagraph"/>
                          <w:spacing w:line="240" w:lineRule="exact"/>
                          <w:ind w:left="98"/>
                          <w:rPr>
                            <w:rFonts w:ascii="Constantia"/>
                            <w:sz w:val="20"/>
                          </w:rPr>
                        </w:pPr>
                        <w:r>
                          <w:rPr>
                            <w:rFonts w:ascii="Constantia"/>
                            <w:w w:val="112"/>
                            <w:sz w:val="20"/>
                          </w:rPr>
                          <w:t>8</w:t>
                        </w:r>
                      </w:p>
                    </w:tc>
                    <w:tc>
                      <w:tcPr>
                        <w:tcW w:w="1477" w:type="dxa"/>
                        <w:tcBorders>
                          <w:top w:val="nil"/>
                          <w:left w:val="nil"/>
                          <w:bottom w:val="single" w:sz="4" w:space="0" w:color="000000"/>
                          <w:right w:val="nil"/>
                        </w:tcBorders>
                      </w:tcPr>
                      <w:p>
                        <w:pPr>
                          <w:pStyle w:val="TableParagraph"/>
                          <w:spacing w:line="240" w:lineRule="exact"/>
                          <w:ind w:left="30"/>
                          <w:rPr>
                            <w:rFonts w:ascii="Constantia"/>
                            <w:sz w:val="20"/>
                          </w:rPr>
                        </w:pPr>
                        <w:r>
                          <w:rPr>
                            <w:rFonts w:ascii="Constantia"/>
                            <w:w w:val="112"/>
                            <w:sz w:val="20"/>
                          </w:rPr>
                          <w:t>7</w:t>
                        </w:r>
                      </w:p>
                    </w:tc>
                    <w:tc>
                      <w:tcPr>
                        <w:tcW w:w="1939" w:type="dxa"/>
                        <w:tcBorders>
                          <w:top w:val="nil"/>
                          <w:left w:val="nil"/>
                          <w:bottom w:val="single" w:sz="4" w:space="0" w:color="000000"/>
                          <w:right w:val="nil"/>
                        </w:tcBorders>
                      </w:tcPr>
                      <w:p>
                        <w:pPr>
                          <w:pStyle w:val="TableParagraph"/>
                          <w:spacing w:line="240" w:lineRule="exact"/>
                          <w:ind w:right="307"/>
                          <w:rPr>
                            <w:rFonts w:ascii="Constantia"/>
                            <w:sz w:val="20"/>
                          </w:rPr>
                        </w:pPr>
                        <w:r>
                          <w:rPr>
                            <w:rFonts w:ascii="Constantia"/>
                            <w:w w:val="112"/>
                            <w:sz w:val="20"/>
                          </w:rPr>
                          <w:t>1</w:t>
                        </w:r>
                      </w:p>
                    </w:tc>
                    <w:tc>
                      <w:tcPr>
                        <w:tcW w:w="1282" w:type="dxa"/>
                        <w:tcBorders>
                          <w:top w:val="nil"/>
                          <w:left w:val="nil"/>
                          <w:bottom w:val="single" w:sz="4" w:space="0" w:color="000000"/>
                          <w:right w:val="nil"/>
                        </w:tcBorders>
                      </w:tcPr>
                      <w:p>
                        <w:pPr>
                          <w:pStyle w:val="TableParagraph"/>
                          <w:spacing w:line="240" w:lineRule="exact"/>
                          <w:ind w:left="396"/>
                          <w:jc w:val="left"/>
                          <w:rPr>
                            <w:rFonts w:ascii="Constantia"/>
                            <w:sz w:val="20"/>
                          </w:rPr>
                        </w:pPr>
                        <w:r>
                          <w:rPr>
                            <w:rFonts w:ascii="Constantia"/>
                            <w:w w:val="115"/>
                            <w:sz w:val="20"/>
                          </w:rPr>
                          <w:t>20</w:t>
                        </w:r>
                      </w:p>
                    </w:tc>
                    <w:tc>
                      <w:tcPr>
                        <w:tcW w:w="1503" w:type="dxa"/>
                        <w:tcBorders>
                          <w:top w:val="nil"/>
                          <w:left w:val="nil"/>
                          <w:bottom w:val="single" w:sz="4" w:space="0" w:color="000000"/>
                          <w:right w:val="nil"/>
                        </w:tcBorders>
                      </w:tcPr>
                      <w:p>
                        <w:pPr>
                          <w:pStyle w:val="TableParagraph"/>
                          <w:spacing w:line="240" w:lineRule="exact"/>
                          <w:ind w:left="178" w:right="121"/>
                          <w:rPr>
                            <w:rFonts w:ascii="Constantia"/>
                            <w:sz w:val="20"/>
                          </w:rPr>
                        </w:pPr>
                        <w:r>
                          <w:rPr>
                            <w:rFonts w:ascii="Constantia"/>
                            <w:w w:val="115"/>
                            <w:sz w:val="20"/>
                          </w:rPr>
                          <w:t>63</w:t>
                        </w:r>
                      </w:p>
                    </w:tc>
                  </w:tr>
                </w:tbl>
                <w:p>
                  <w:pPr>
                    <w:pStyle w:val="BodyText"/>
                  </w:pPr>
                </w:p>
              </w:txbxContent>
            </v:textbox>
            <w10:wrap type="none"/>
          </v:shape>
        </w:pict>
      </w:r>
      <w:r>
        <w:rPr>
          <w:rFonts w:ascii="Constantia" w:hAnsi="Constantia"/>
          <w:w w:val="115"/>
          <w:sz w:val="20"/>
        </w:rPr>
        <w:t>Varianza del la deuda pública/ PIB (Modelo B)</w:t>
      </w:r>
    </w:p>
    <w:p>
      <w:pPr>
        <w:pStyle w:val="BodyText"/>
        <w:spacing w:before="1"/>
        <w:rPr>
          <w:rFonts w:ascii="Constantia"/>
          <w:sz w:val="20"/>
        </w:rPr>
      </w:pPr>
    </w:p>
    <w:p>
      <w:pPr>
        <w:spacing w:after="0"/>
        <w:rPr>
          <w:rFonts w:ascii="Constantia"/>
          <w:sz w:val="20"/>
        </w:rPr>
        <w:sectPr>
          <w:pgSz w:w="12250" w:h="15850"/>
          <w:pgMar w:header="0" w:footer="1037" w:top="1360" w:bottom="1220" w:left="1600" w:right="1560"/>
        </w:sectPr>
      </w:pPr>
    </w:p>
    <w:p>
      <w:pPr>
        <w:pStyle w:val="BodyText"/>
        <w:spacing w:before="6"/>
        <w:rPr>
          <w:rFonts w:ascii="Constantia"/>
          <w:sz w:val="14"/>
        </w:rPr>
      </w:pPr>
    </w:p>
    <w:p>
      <w:pPr>
        <w:spacing w:before="0"/>
        <w:ind w:left="0" w:right="0" w:firstLine="0"/>
        <w:jc w:val="right"/>
        <w:rPr>
          <w:rFonts w:ascii="Constantia"/>
          <w:sz w:val="17"/>
        </w:rPr>
      </w:pPr>
      <w:r>
        <w:rPr>
          <w:rFonts w:ascii="Constantia"/>
          <w:w w:val="110"/>
          <w:sz w:val="17"/>
        </w:rPr>
        <w:t>Asignac. De Ing.</w:t>
      </w:r>
    </w:p>
    <w:p>
      <w:pPr>
        <w:spacing w:before="68"/>
        <w:ind w:left="436" w:right="-7" w:firstLine="0"/>
        <w:jc w:val="left"/>
        <w:rPr>
          <w:rFonts w:ascii="Constantia"/>
          <w:sz w:val="17"/>
        </w:rPr>
      </w:pPr>
      <w:r>
        <w:rPr/>
        <w:br w:type="column"/>
      </w:r>
      <w:r>
        <w:rPr>
          <w:rFonts w:ascii="Constantia"/>
          <w:w w:val="110"/>
          <w:sz w:val="17"/>
        </w:rPr>
        <w:t>Choques del</w:t>
      </w:r>
    </w:p>
    <w:p>
      <w:pPr>
        <w:spacing w:before="68"/>
        <w:ind w:left="419" w:right="0" w:firstLine="0"/>
        <w:jc w:val="left"/>
        <w:rPr>
          <w:rFonts w:ascii="Constantia"/>
          <w:sz w:val="17"/>
        </w:rPr>
      </w:pPr>
      <w:r>
        <w:rPr/>
        <w:br w:type="column"/>
      </w:r>
      <w:r>
        <w:rPr>
          <w:rFonts w:ascii="Constantia"/>
          <w:w w:val="110"/>
          <w:sz w:val="17"/>
        </w:rPr>
        <w:t>Choques de la</w:t>
      </w:r>
    </w:p>
    <w:p>
      <w:pPr>
        <w:spacing w:after="0"/>
        <w:jc w:val="left"/>
        <w:rPr>
          <w:rFonts w:ascii="Constantia"/>
          <w:sz w:val="17"/>
        </w:rPr>
        <w:sectPr>
          <w:type w:val="continuous"/>
          <w:pgSz w:w="12250" w:h="15850"/>
          <w:pgMar w:top="1500" w:bottom="280" w:left="1600" w:right="1560"/>
          <w:cols w:num="3" w:equalWidth="0">
            <w:col w:w="5715" w:space="40"/>
            <w:col w:w="1451" w:space="40"/>
            <w:col w:w="1844"/>
          </w:cols>
        </w:sect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spacing w:before="1"/>
        <w:rPr>
          <w:rFonts w:ascii="Constantia"/>
        </w:rPr>
      </w:pPr>
    </w:p>
    <w:p>
      <w:pPr>
        <w:spacing w:before="73"/>
        <w:ind w:left="102" w:right="1853" w:firstLine="0"/>
        <w:jc w:val="left"/>
        <w:rPr>
          <w:sz w:val="20"/>
        </w:rPr>
      </w:pPr>
      <w:r>
        <w:rPr>
          <w:sz w:val="20"/>
        </w:rPr>
        <w:t>Asignac. De Ing. Fisc. Gasíferos es la razón de Gasto de capital/ Ing. Fisc. Gasíferos Asignac. De Ing. Fisc. No Gasíferos es la razón Gasto corriente/ Ing. Fisc. No Gasíferos Estimaciones  propias mediante descomposición de varianza en su definición estructural.</w:t>
      </w:r>
    </w:p>
    <w:p>
      <w:pPr>
        <w:spacing w:after="0"/>
        <w:jc w:val="left"/>
        <w:rPr>
          <w:sz w:val="20"/>
        </w:rPr>
        <w:sectPr>
          <w:type w:val="continuous"/>
          <w:pgSz w:w="12250" w:h="15850"/>
          <w:pgMar w:top="1500" w:bottom="280" w:left="1600" w:right="1560"/>
        </w:sectPr>
      </w:pPr>
    </w:p>
    <w:p>
      <w:pPr>
        <w:pStyle w:val="BodyText"/>
        <w:spacing w:line="360" w:lineRule="auto" w:before="50"/>
        <w:ind w:left="122" w:right="116" w:firstLine="707"/>
        <w:jc w:val="both"/>
      </w:pPr>
      <w:r>
        <w:rPr/>
        <w:t>A manera de resumen, para el balance primario (con y sin gas natural) existe evidencia que los choques en la asignación de los ingresos fiscales al gasto público son más importantes que los choques de precios del petróleo dada la importancia relativa de las innovaciones, por lo cual, existe soporte empírico para la </w:t>
      </w:r>
      <w:r>
        <w:rPr>
          <w:i/>
        </w:rPr>
        <w:t>hipótesis 1 </w:t>
      </w:r>
      <w:r>
        <w:rPr/>
        <w:t>al emplear la descomposición estructural de varianza; sin embargo, por el lado de la deuda pública los choques de precios ejercen mayor relevancia con relación a la asignación de los ingresos fiscales gasíferos y no gasíferos (no existe soporte empírico para la hipótesis 1 por parte de la deuda pública como el segundo indicador de la posición fiscal).</w:t>
      </w:r>
    </w:p>
    <w:p>
      <w:pPr>
        <w:pStyle w:val="BodyText"/>
        <w:spacing w:line="360" w:lineRule="auto" w:before="7"/>
        <w:ind w:left="122" w:right="114" w:firstLine="707"/>
        <w:jc w:val="both"/>
      </w:pPr>
      <w:r>
        <w:rPr/>
        <w:t>Se menciona que para la deuda pública, las principales fuentes de variabilidad están ordenadas en la siguiente magnitud: i) innovaciones propias; ii) variabilidad en el balance fiscal primario; iii) choques de precios del gas natural; iv) variabilidad en la asignación de ingresos fiscales al gasto público.   La mayor explicación proveniente de las    innovaciones</w:t>
      </w:r>
    </w:p>
    <w:p>
      <w:pPr>
        <w:pStyle w:val="BodyText"/>
        <w:spacing w:line="328" w:lineRule="auto" w:before="6"/>
        <w:ind w:left="122" w:right="115"/>
        <w:rPr>
          <w:sz w:val="16"/>
        </w:rPr>
      </w:pPr>
      <w:r>
        <w:rPr/>
        <w:t>propias de la deuda pública se puede atribuir a las condonaciones de deuda pública externa de organismos multilaterales.</w:t>
      </w:r>
      <w:r>
        <w:rPr>
          <w:position w:val="11"/>
          <w:sz w:val="16"/>
        </w:rPr>
        <w:t>74</w:t>
      </w:r>
    </w:p>
    <w:p>
      <w:pPr>
        <w:pStyle w:val="BodyText"/>
        <w:spacing w:before="4"/>
        <w:rPr>
          <w:sz w:val="23"/>
        </w:rPr>
      </w:pPr>
    </w:p>
    <w:p>
      <w:pPr>
        <w:pStyle w:val="Heading4"/>
        <w:numPr>
          <w:ilvl w:val="2"/>
          <w:numId w:val="18"/>
        </w:numPr>
        <w:tabs>
          <w:tab w:pos="983" w:val="left" w:leader="none"/>
          <w:tab w:pos="984" w:val="left" w:leader="none"/>
        </w:tabs>
        <w:spacing w:line="240" w:lineRule="auto" w:before="0" w:after="0"/>
        <w:ind w:left="983" w:right="0" w:hanging="720"/>
        <w:jc w:val="left"/>
      </w:pPr>
      <w:bookmarkStart w:name="_bookmark137" w:id="187"/>
      <w:bookmarkEnd w:id="187"/>
      <w:r>
        <w:rPr>
          <w:b w:val="0"/>
        </w:rPr>
      </w:r>
      <w:bookmarkStart w:name="_bookmark137" w:id="188"/>
      <w:bookmarkEnd w:id="188"/>
      <w:r>
        <w:rPr/>
        <w:t>D</w:t>
      </w:r>
      <w:r>
        <w:rPr/>
        <w:t>eterminantes  dinámicos sobre  la posición</w:t>
      </w:r>
      <w:r>
        <w:rPr>
          <w:spacing w:val="-8"/>
        </w:rPr>
        <w:t> </w:t>
      </w:r>
      <w:r>
        <w:rPr/>
        <w:t>fiscal</w:t>
      </w:r>
    </w:p>
    <w:p>
      <w:pPr>
        <w:pStyle w:val="BodyText"/>
        <w:rPr>
          <w:b/>
          <w:sz w:val="29"/>
        </w:rPr>
      </w:pPr>
    </w:p>
    <w:p>
      <w:pPr>
        <w:pStyle w:val="BodyText"/>
        <w:ind w:left="830" w:right="115"/>
      </w:pPr>
      <w:r>
        <w:rPr>
          <w:w w:val="244"/>
        </w:rPr>
        <w:t> </w:t>
      </w:r>
      <w:r>
        <w:rPr>
          <w:w w:val="177"/>
        </w:rPr>
        <w:t> </w:t>
      </w:r>
      <w:r>
        <w:rPr>
          <w:w w:val="155"/>
        </w:rPr>
        <w:t> </w:t>
      </w:r>
      <w:r>
        <w:rPr/>
        <w:t> </w:t>
      </w:r>
      <w:r>
        <w:rPr>
          <w:w w:val="177"/>
        </w:rPr>
        <w:t>    </w:t>
      </w:r>
      <w:r>
        <w:rPr>
          <w:w w:val="168"/>
        </w:rPr>
        <w:t>     </w:t>
      </w:r>
      <w:r>
        <w:rPr/>
        <w:t> </w:t>
      </w:r>
      <w:r>
        <w:rPr>
          <w:w w:val="188"/>
        </w:rPr>
        <w:t>  </w:t>
      </w:r>
      <w:r>
        <w:rPr/>
        <w:t> </w:t>
      </w:r>
      <w:r>
        <w:rPr>
          <w:w w:val="211"/>
        </w:rPr>
        <w:t>  </w:t>
      </w:r>
      <w:r>
        <w:rPr>
          <w:w w:val="173"/>
        </w:rPr>
        <w:t>     </w:t>
      </w:r>
      <w:r>
        <w:rPr/>
        <w:t>-</w:t>
      </w:r>
      <w:r>
        <w:rPr>
          <w:w w:val="155"/>
        </w:rPr>
        <w:t>  </w:t>
      </w:r>
      <w:r>
        <w:rPr>
          <w:w w:val="168"/>
        </w:rPr>
        <w:t>       </w:t>
      </w:r>
      <w:r>
        <w:rPr/>
        <w:t> </w:t>
      </w:r>
      <w:r>
        <w:rPr>
          <w:w w:val="177"/>
        </w:rPr>
        <w:t> </w:t>
      </w:r>
      <w:r>
        <w:rPr>
          <w:w w:val="166"/>
        </w:rPr>
        <w:t>  </w:t>
      </w:r>
      <w:r>
        <w:rPr>
          <w:w w:val="155"/>
        </w:rPr>
        <w:t>  </w:t>
      </w:r>
      <w:r>
        <w:rPr>
          <w:w w:val="177"/>
        </w:rPr>
        <w:t>      </w:t>
      </w:r>
      <w:r>
        <w:rPr>
          <w:w w:val="177"/>
        </w:rPr>
        <w:t> </w:t>
      </w:r>
      <w:r>
        <w:rPr>
          <w:w w:val="177"/>
        </w:rPr>
        <w:t>   </w:t>
      </w:r>
      <w:r>
        <w:rPr/>
        <w:t> </w:t>
      </w:r>
      <w:r>
        <w:rPr>
          <w:w w:val="177"/>
        </w:rPr>
        <w:t> </w:t>
      </w:r>
      <w:r>
        <w:rPr/>
        <w:t> </w:t>
      </w:r>
      <w:r>
        <w:rPr>
          <w:w w:val="144"/>
        </w:rPr>
        <w:t>  </w:t>
      </w:r>
      <w:r>
        <w:rPr/>
        <w:t> </w:t>
      </w:r>
      <w:r>
        <w:rPr>
          <w:w w:val="155"/>
        </w:rPr>
        <w:t>  </w:t>
      </w:r>
      <w:r>
        <w:rPr>
          <w:w w:val="177"/>
        </w:rPr>
        <w:t>   </w:t>
      </w:r>
      <w:r>
        <w:rPr>
          <w:w w:val="170"/>
        </w:rPr>
        <w:t>   </w:t>
      </w:r>
      <w:r>
        <w:rPr/>
        <w:t> </w:t>
      </w:r>
      <w:r>
        <w:rPr>
          <w:w w:val="200"/>
        </w:rPr>
        <w:t> </w:t>
      </w:r>
      <w:r>
        <w:rPr>
          <w:w w:val="177"/>
        </w:rPr>
        <w:t> </w:t>
      </w:r>
      <w:r>
        <w:rPr/>
        <w:t> </w:t>
      </w:r>
      <w:r>
        <w:rPr>
          <w:w w:val="148"/>
        </w:rPr>
        <w:t>   </w:t>
      </w:r>
      <w:r>
        <w:rPr/>
        <w:t> </w:t>
      </w:r>
      <w:r>
        <w:rPr>
          <w:w w:val="188"/>
        </w:rPr>
        <w:t>  </w:t>
      </w:r>
      <w:r>
        <w:rPr>
          <w:w w:val="140"/>
        </w:rPr>
        <w:t>   </w:t>
      </w:r>
      <w:r>
        <w:rPr>
          <w:w w:val="161"/>
        </w:rPr>
        <w:t>    </w:t>
      </w:r>
    </w:p>
    <w:p>
      <w:pPr>
        <w:pStyle w:val="BodyText"/>
        <w:spacing w:before="137"/>
        <w:ind w:left="122"/>
      </w:pPr>
      <w:r>
        <w:rPr>
          <w:w w:val="133"/>
        </w:rPr>
        <w:t> </w:t>
      </w:r>
      <w:r>
        <w:rPr>
          <w:spacing w:val="-2"/>
          <w:w w:val="133"/>
        </w:rPr>
        <w:t> </w:t>
      </w:r>
      <w:r>
        <w:rPr>
          <w:spacing w:val="-1"/>
          <w:w w:val="177"/>
        </w:rPr>
        <w:t> </w:t>
      </w:r>
      <w:r>
        <w:rPr>
          <w:w w:val="162"/>
        </w:rPr>
        <w:t>   </w:t>
      </w:r>
      <w:r>
        <w:rPr/>
        <w:t> </w:t>
      </w:r>
      <w:r>
        <w:rPr>
          <w:spacing w:val="1"/>
        </w:rPr>
        <w:t> </w:t>
      </w:r>
      <w:r>
        <w:rPr>
          <w:w w:val="177"/>
        </w:rPr>
        <w:t> </w:t>
      </w:r>
      <w:r>
        <w:rPr/>
        <w:t> </w:t>
      </w:r>
      <w:r>
        <w:rPr>
          <w:spacing w:val="1"/>
        </w:rPr>
        <w:t> </w:t>
      </w:r>
      <w:r>
        <w:rPr>
          <w:w w:val="144"/>
        </w:rPr>
        <w:t>  </w:t>
      </w:r>
      <w:r>
        <w:rPr/>
        <w:t> </w:t>
      </w:r>
      <w:r>
        <w:rPr>
          <w:spacing w:val="1"/>
        </w:rPr>
        <w:t> </w:t>
      </w:r>
      <w:r>
        <w:rPr>
          <w:w w:val="188"/>
        </w:rPr>
        <w:t> </w:t>
      </w:r>
      <w:r>
        <w:rPr>
          <w:spacing w:val="-1"/>
          <w:w w:val="188"/>
        </w:rPr>
        <w:t> </w:t>
      </w:r>
      <w:r>
        <w:rPr>
          <w:spacing w:val="2"/>
          <w:w w:val="200"/>
        </w:rPr>
        <w:t> </w:t>
      </w:r>
      <w:r>
        <w:rPr>
          <w:w w:val="133"/>
        </w:rPr>
        <w:t> </w:t>
      </w:r>
      <w:r>
        <w:rPr>
          <w:spacing w:val="-2"/>
          <w:w w:val="133"/>
        </w:rPr>
        <w:t> </w:t>
      </w:r>
      <w:r>
        <w:rPr>
          <w:spacing w:val="-1"/>
          <w:w w:val="177"/>
        </w:rPr>
        <w:t> </w:t>
      </w:r>
      <w:r>
        <w:rPr>
          <w:spacing w:val="2"/>
          <w:w w:val="200"/>
        </w:rPr>
        <w:t> </w:t>
      </w:r>
      <w:r>
        <w:rPr>
          <w:spacing w:val="-1"/>
          <w:w w:val="177"/>
        </w:rPr>
        <w:t> </w:t>
      </w:r>
      <w:r>
        <w:rPr>
          <w:w w:val="144"/>
        </w:rPr>
        <w:t>  </w:t>
      </w:r>
      <w:r>
        <w:rPr/>
        <w:t> </w:t>
      </w:r>
      <w:r>
        <w:rPr>
          <w:spacing w:val="4"/>
        </w:rPr>
        <w:t> </w:t>
      </w:r>
      <w:r>
        <w:rPr>
          <w:w w:val="188"/>
        </w:rPr>
        <w:t>  </w:t>
      </w:r>
      <w:r>
        <w:rPr/>
        <w:t> </w:t>
      </w:r>
      <w:r>
        <w:rPr>
          <w:spacing w:val="1"/>
        </w:rPr>
        <w:t> </w:t>
      </w:r>
      <w:r>
        <w:rPr>
          <w:w w:val="200"/>
        </w:rPr>
        <w:t>  </w:t>
      </w:r>
      <w:r>
        <w:rPr/>
        <w:t> </w:t>
      </w:r>
      <w:r>
        <w:rPr>
          <w:spacing w:val="2"/>
        </w:rPr>
        <w:t> </w:t>
      </w:r>
      <w:r>
        <w:rPr>
          <w:spacing w:val="-1"/>
          <w:w w:val="177"/>
        </w:rPr>
        <w:t> </w:t>
      </w:r>
      <w:r>
        <w:rPr>
          <w:w w:val="188"/>
        </w:rPr>
        <w:t> </w:t>
      </w:r>
      <w:r>
        <w:rPr>
          <w:spacing w:val="-1"/>
          <w:w w:val="188"/>
        </w:rPr>
        <w:t> </w:t>
      </w:r>
      <w:r>
        <w:rPr>
          <w:w w:val="170"/>
        </w:rPr>
        <w:t>   </w:t>
      </w:r>
      <w:r>
        <w:rPr/>
        <w:t> </w:t>
      </w:r>
      <w:r>
        <w:rPr>
          <w:spacing w:val="2"/>
        </w:rPr>
        <w:t> </w:t>
      </w:r>
      <w:r>
        <w:rPr>
          <w:spacing w:val="-1"/>
          <w:w w:val="177"/>
        </w:rPr>
        <w:t> </w:t>
      </w:r>
      <w:r>
        <w:rPr>
          <w:w w:val="200"/>
        </w:rPr>
        <w:t> </w:t>
      </w:r>
      <w:r>
        <w:rPr/>
        <w:t> </w:t>
      </w:r>
      <w:r>
        <w:rPr>
          <w:spacing w:val="2"/>
        </w:rPr>
        <w:t> </w:t>
      </w:r>
      <w:r>
        <w:rPr>
          <w:w w:val="188"/>
        </w:rPr>
        <w:t> </w:t>
      </w:r>
      <w:r>
        <w:rPr>
          <w:spacing w:val="-1"/>
          <w:w w:val="188"/>
        </w:rPr>
        <w:t> </w:t>
      </w:r>
      <w:r>
        <w:rPr>
          <w:w w:val="133"/>
        </w:rPr>
        <w:t>   </w:t>
      </w:r>
      <w:r>
        <w:rPr>
          <w:spacing w:val="1"/>
          <w:w w:val="133"/>
        </w:rPr>
        <w:t> </w:t>
      </w:r>
      <w:r>
        <w:rPr>
          <w:w w:val="155"/>
        </w:rPr>
        <w:t>    </w:t>
      </w:r>
      <w:r>
        <w:rPr>
          <w:spacing w:val="-2"/>
        </w:rPr>
        <w:t> </w:t>
      </w:r>
      <w:r>
        <w:rPr>
          <w:w w:val="1"/>
        </w:rPr>
        <w:t> </w:t>
      </w:r>
      <w:r>
        <w:rPr/>
        <w:t> </w:t>
      </w:r>
      <w:r>
        <w:rPr>
          <w:spacing w:val="2"/>
        </w:rPr>
        <w:t> </w:t>
      </w:r>
      <w:r>
        <w:rPr>
          <w:w w:val="192"/>
        </w:rPr>
        <w:t>   </w:t>
      </w:r>
      <w:r>
        <w:rPr/>
        <w:t> </w:t>
      </w:r>
      <w:r>
        <w:rPr>
          <w:spacing w:val="1"/>
        </w:rPr>
        <w:t> </w:t>
      </w:r>
      <w:r>
        <w:rPr>
          <w:w w:val="188"/>
        </w:rPr>
        <w:t> </w:t>
      </w:r>
      <w:r>
        <w:rPr>
          <w:spacing w:val="-1"/>
          <w:w w:val="188"/>
        </w:rPr>
        <w:t> </w:t>
      </w:r>
      <w:r>
        <w:rPr>
          <w:w w:val="164"/>
        </w:rPr>
        <w:t>    </w:t>
      </w:r>
      <w:r>
        <w:rPr>
          <w:spacing w:val="-2"/>
          <w:w w:val="164"/>
        </w:rPr>
        <w:t> </w:t>
      </w:r>
      <w:r>
        <w:rPr>
          <w:w w:val="170"/>
        </w:rPr>
        <w:t>   </w:t>
      </w:r>
      <w:r>
        <w:rPr/>
        <w:t> </w:t>
      </w:r>
      <w:r>
        <w:rPr>
          <w:spacing w:val="2"/>
        </w:rPr>
        <w:t> </w:t>
      </w:r>
      <w:r>
        <w:rPr>
          <w:spacing w:val="-1"/>
          <w:w w:val="177"/>
        </w:rPr>
        <w:t> </w:t>
      </w:r>
      <w:r>
        <w:rPr>
          <w:w w:val="133"/>
        </w:rPr>
        <w:t> </w:t>
      </w:r>
      <w:r>
        <w:rPr>
          <w:spacing w:val="2"/>
          <w:w w:val="133"/>
        </w:rPr>
        <w:t> </w:t>
      </w:r>
      <w:r>
        <w:rPr>
          <w:spacing w:val="-1"/>
          <w:w w:val="177"/>
        </w:rPr>
        <w:t> </w:t>
      </w:r>
      <w:r>
        <w:rPr>
          <w:w w:val="192"/>
        </w:rPr>
        <w:t>  </w:t>
      </w:r>
      <w:r>
        <w:rPr>
          <w:spacing w:val="-1"/>
          <w:w w:val="192"/>
        </w:rPr>
        <w:t> </w:t>
      </w:r>
      <w:r>
        <w:rPr>
          <w:w w:val="133"/>
        </w:rPr>
        <w:t> </w:t>
      </w:r>
      <w:r>
        <w:rPr/>
        <w:t> </w:t>
      </w:r>
      <w:r>
        <w:rPr>
          <w:spacing w:val="1"/>
        </w:rPr>
        <w:t> </w:t>
      </w:r>
      <w:r>
        <w:rPr>
          <w:w w:val="188"/>
        </w:rPr>
        <w:t>  </w:t>
      </w:r>
      <w:r>
        <w:rPr/>
        <w:t> </w:t>
      </w:r>
      <w:r>
        <w:rPr>
          <w:spacing w:val="1"/>
        </w:rPr>
        <w:t> </w:t>
      </w:r>
      <w:r>
        <w:rPr>
          <w:spacing w:val="-1"/>
          <w:w w:val="177"/>
        </w:rPr>
        <w:t> </w:t>
      </w:r>
      <w:r>
        <w:rPr>
          <w:w w:val="200"/>
        </w:rPr>
        <w:t>   </w:t>
      </w:r>
      <w:r>
        <w:rPr>
          <w:spacing w:val="2"/>
          <w:w w:val="200"/>
        </w:rPr>
        <w:t> </w:t>
      </w:r>
      <w:r>
        <w:rPr>
          <w:w w:val="177"/>
        </w:rPr>
        <w:t> </w:t>
      </w:r>
    </w:p>
    <w:p>
      <w:pPr>
        <w:pStyle w:val="BodyText"/>
        <w:spacing w:before="139"/>
        <w:ind w:left="122" w:right="115"/>
      </w:pPr>
      <w:r>
        <w:rPr>
          <w:w w:val="177"/>
        </w:rPr>
        <w:t> </w:t>
      </w:r>
      <w:r>
        <w:rPr>
          <w:w w:val="155"/>
        </w:rPr>
        <w:t>     </w:t>
      </w:r>
      <w:r>
        <w:rPr>
          <w:w w:val="155"/>
        </w:rPr>
        <w:t>    </w:t>
      </w:r>
      <w:r>
        <w:rPr>
          <w:w w:val="111"/>
        </w:rPr>
        <w:t> </w:t>
      </w:r>
      <w:r>
        <w:rPr/>
        <w:t> </w:t>
      </w:r>
      <w:r>
        <w:rPr>
          <w:w w:val="188"/>
        </w:rPr>
        <w:t>  </w:t>
      </w:r>
      <w:r>
        <w:rPr/>
        <w:t> </w:t>
      </w:r>
      <w:r>
        <w:rPr>
          <w:w w:val="177"/>
        </w:rPr>
        <w:t>  </w:t>
      </w:r>
      <w:r>
        <w:rPr>
          <w:w w:val="200"/>
        </w:rPr>
        <w:t> </w:t>
      </w:r>
      <w:r>
        <w:rPr>
          <w:w w:val="177"/>
        </w:rPr>
        <w:t> </w:t>
      </w:r>
      <w:r>
        <w:rPr/>
        <w:t> </w:t>
      </w:r>
      <w:r>
        <w:rPr>
          <w:w w:val="177"/>
        </w:rPr>
        <w:t> </w:t>
      </w:r>
      <w:r>
        <w:rPr>
          <w:w w:val="133"/>
        </w:rPr>
        <w:t> </w:t>
      </w:r>
      <w:r>
        <w:rPr>
          <w:w w:val="177"/>
        </w:rPr>
        <w:t>  </w:t>
      </w:r>
      <w:r>
        <w:rPr>
          <w:w w:val="155"/>
        </w:rPr>
        <w:t>  </w:t>
      </w:r>
      <w:r>
        <w:rPr/>
        <w:t> </w:t>
      </w:r>
      <w:r>
        <w:rPr>
          <w:w w:val="188"/>
        </w:rPr>
        <w:t>  </w:t>
      </w:r>
      <w:r>
        <w:rPr/>
        <w:t> </w:t>
      </w:r>
      <w:r>
        <w:rPr>
          <w:w w:val="140"/>
        </w:rPr>
        <w:t>   </w:t>
      </w:r>
      <w:r>
        <w:rPr>
          <w:w w:val="177"/>
        </w:rPr>
        <w:t> </w:t>
      </w:r>
      <w:r>
        <w:rPr>
          <w:w w:val="155"/>
        </w:rPr>
        <w:t>  </w:t>
      </w:r>
      <w:r>
        <w:rPr>
          <w:w w:val="155"/>
        </w:rPr>
        <w:t> </w:t>
      </w:r>
      <w:r>
        <w:rPr/>
        <w:t> </w:t>
      </w:r>
      <w:r>
        <w:rPr>
          <w:w w:val="1"/>
        </w:rPr>
        <w:t> </w:t>
      </w:r>
      <w:r>
        <w:rPr/>
        <w:t>  </w:t>
      </w:r>
      <w:r>
        <w:rPr>
          <w:w w:val="311"/>
        </w:rPr>
        <w:t> </w:t>
      </w:r>
      <w:r>
        <w:rPr>
          <w:w w:val="177"/>
        </w:rPr>
        <w:t> </w:t>
      </w:r>
      <w:r>
        <w:rPr>
          <w:w w:val="160"/>
        </w:rPr>
        <w:t>     </w:t>
      </w:r>
      <w:r>
        <w:rPr>
          <w:w w:val="177"/>
        </w:rPr>
        <w:t> </w:t>
      </w:r>
      <w:r>
        <w:rPr>
          <w:w w:val="200"/>
        </w:rPr>
        <w:t>   </w:t>
      </w:r>
      <w:r>
        <w:rPr/>
        <w:t> </w:t>
      </w:r>
      <w:r>
        <w:rPr>
          <w:w w:val="177"/>
        </w:rPr>
        <w:t>    </w:t>
      </w:r>
      <w:r>
        <w:rPr/>
        <w:t> </w:t>
      </w:r>
      <w:r>
        <w:rPr>
          <w:w w:val="111"/>
        </w:rPr>
        <w:t> </w:t>
      </w:r>
      <w:r>
        <w:rPr>
          <w:w w:val="200"/>
        </w:rPr>
        <w:t> </w:t>
      </w:r>
      <w:r>
        <w:rPr/>
        <w:t> </w:t>
      </w:r>
      <w:r>
        <w:rPr>
          <w:w w:val="188"/>
        </w:rPr>
        <w:t>  </w:t>
      </w:r>
      <w:r>
        <w:rPr>
          <w:w w:val="214"/>
        </w:rPr>
        <w:t>   </w:t>
      </w:r>
      <w:r>
        <w:rPr/>
        <w:t> </w:t>
      </w:r>
      <w:r>
        <w:rPr>
          <w:w w:val="177"/>
        </w:rPr>
        <w:t> </w:t>
      </w:r>
      <w:r>
        <w:rPr>
          <w:w w:val="200"/>
        </w:rPr>
        <w:t> </w:t>
      </w:r>
      <w:r>
        <w:rPr/>
        <w:t>nstante.</w:t>
      </w:r>
    </w:p>
    <w:p>
      <w:pPr>
        <w:pStyle w:val="BodyText"/>
        <w:spacing w:line="362" w:lineRule="auto" w:before="137"/>
        <w:ind w:left="122" w:right="116" w:firstLine="707"/>
        <w:jc w:val="both"/>
      </w:pPr>
      <w:r>
        <w:rPr/>
        <w:t>Con el propósito de verificar la consistencia de los resultados previos, se estimó el impacto dinámico de los choques estructurales sobre la posición fiscal de Bolivia, esta vez, frente a la presencia de múltiples eventos (a diferencia de las funciones de impulso- respuesta). Para ello, se evaluó la respuesta de los distintos resultados fiscales y de la deuda en un período de uno a cinco trimestres después de ocurrido cada choque estructural (Mendoza &amp; Smith, 2013):</w:t>
      </w:r>
    </w:p>
    <w:p>
      <w:pPr>
        <w:pStyle w:val="BodyText"/>
      </w:pPr>
    </w:p>
    <w:p>
      <w:pPr>
        <w:tabs>
          <w:tab w:pos="2775" w:val="left" w:leader="none"/>
          <w:tab w:pos="4222" w:val="left" w:leader="none"/>
        </w:tabs>
        <w:spacing w:before="145"/>
        <w:ind w:left="0" w:right="0" w:firstLine="0"/>
        <w:jc w:val="center"/>
        <w:rPr>
          <w:sz w:val="24"/>
        </w:rPr>
      </w:pPr>
      <w:r>
        <w:rPr>
          <w:rFonts w:ascii="Cambria Math"/>
          <w:spacing w:val="-8"/>
          <w:w w:val="254"/>
          <w:sz w:val="24"/>
        </w:rPr>
        <w:t> </w:t>
      </w:r>
      <w:r>
        <w:rPr>
          <w:rFonts w:ascii="Cambria Math"/>
          <w:spacing w:val="-1"/>
          <w:w w:val="180"/>
          <w:position w:val="-4"/>
          <w:sz w:val="17"/>
        </w:rPr>
        <w:t> </w:t>
      </w:r>
      <w:r>
        <w:rPr>
          <w:rFonts w:ascii="Cambria Math"/>
          <w:spacing w:val="5"/>
          <w:w w:val="180"/>
          <w:position w:val="-4"/>
          <w:sz w:val="17"/>
        </w:rPr>
        <w:t> </w:t>
      </w:r>
      <w:r>
        <w:rPr>
          <w:rFonts w:ascii="Cambria Math"/>
          <w:w w:val="331"/>
          <w:position w:val="-4"/>
          <w:sz w:val="17"/>
        </w:rPr>
        <w:t> </w:t>
      </w:r>
      <w:r>
        <w:rPr>
          <w:rFonts w:ascii="Cambria Math"/>
          <w:w w:val="213"/>
          <w:position w:val="-4"/>
          <w:sz w:val="17"/>
        </w:rPr>
        <w:t> </w:t>
      </w:r>
      <w:r>
        <w:rPr>
          <w:rFonts w:ascii="Cambria Math"/>
          <w:position w:val="-4"/>
          <w:sz w:val="17"/>
        </w:rPr>
        <w:t> </w:t>
      </w:r>
      <w:r>
        <w:rPr>
          <w:rFonts w:ascii="Cambria Math"/>
          <w:spacing w:val="9"/>
          <w:position w:val="-4"/>
          <w:sz w:val="17"/>
        </w:rPr>
        <w:t> </w:t>
      </w:r>
      <w:r>
        <w:rPr>
          <w:rFonts w:ascii="Cambria Math"/>
          <w:w w:val="339"/>
          <w:sz w:val="24"/>
        </w:rPr>
        <w:t> </w:t>
      </w:r>
      <w:r>
        <w:rPr>
          <w:rFonts w:ascii="Cambria Math"/>
          <w:sz w:val="24"/>
        </w:rPr>
        <w:t> </w:t>
      </w:r>
      <w:r>
        <w:rPr>
          <w:rFonts w:ascii="Cambria Math"/>
          <w:spacing w:val="12"/>
          <w:sz w:val="24"/>
        </w:rPr>
        <w:t> </w:t>
      </w:r>
      <w:r>
        <w:rPr>
          <w:rFonts w:ascii="Cambria Math"/>
          <w:w w:val="272"/>
          <w:sz w:val="24"/>
        </w:rPr>
        <w:t> </w:t>
      </w:r>
      <w:r>
        <w:rPr>
          <w:rFonts w:ascii="Cambria Math"/>
          <w:w w:val="159"/>
          <w:position w:val="-4"/>
          <w:sz w:val="17"/>
        </w:rPr>
        <w:t> </w:t>
      </w:r>
      <w:r>
        <w:rPr>
          <w:rFonts w:ascii="Cambria Math"/>
          <w:position w:val="-4"/>
          <w:sz w:val="17"/>
        </w:rPr>
        <w:t> </w:t>
      </w:r>
      <w:r>
        <w:rPr>
          <w:rFonts w:ascii="Cambria Math"/>
          <w:spacing w:val="-6"/>
          <w:position w:val="-4"/>
          <w:sz w:val="17"/>
        </w:rPr>
        <w:t> </w:t>
      </w:r>
      <w:r>
        <w:rPr>
          <w:rFonts w:ascii="Cambria Math"/>
          <w:w w:val="339"/>
          <w:sz w:val="24"/>
        </w:rPr>
        <w:t> </w:t>
      </w:r>
      <w:r>
        <w:rPr>
          <w:rFonts w:ascii="Cambria Math"/>
          <w:sz w:val="24"/>
        </w:rPr>
        <w:t>  </w:t>
      </w:r>
      <w:r>
        <w:rPr>
          <w:rFonts w:ascii="Cambria Math"/>
          <w:spacing w:val="-14"/>
          <w:w w:val="275"/>
          <w:sz w:val="24"/>
        </w:rPr>
        <w:t> </w:t>
      </w:r>
      <w:r>
        <w:rPr>
          <w:rFonts w:ascii="Cambria Math"/>
          <w:w w:val="159"/>
          <w:position w:val="-4"/>
          <w:sz w:val="17"/>
        </w:rPr>
        <w:t> </w:t>
      </w:r>
      <w:r>
        <w:rPr>
          <w:rFonts w:ascii="Cambria Math"/>
          <w:position w:val="-4"/>
          <w:sz w:val="17"/>
        </w:rPr>
        <w:t> </w:t>
      </w:r>
      <w:r>
        <w:rPr>
          <w:rFonts w:ascii="Cambria Math"/>
          <w:spacing w:val="-8"/>
          <w:position w:val="-4"/>
          <w:sz w:val="17"/>
        </w:rPr>
        <w:t> </w:t>
      </w:r>
      <w:r>
        <w:rPr>
          <w:rFonts w:ascii="Cambria Math"/>
          <w:spacing w:val="1"/>
          <w:w w:val="211"/>
          <w:sz w:val="24"/>
        </w:rPr>
        <w:t> </w:t>
      </w:r>
      <w:r>
        <w:rPr>
          <w:rFonts w:ascii="Cambria Math"/>
          <w:w w:val="237"/>
          <w:position w:val="-4"/>
          <w:sz w:val="17"/>
        </w:rPr>
        <w:t>  </w:t>
      </w:r>
      <w:r>
        <w:rPr>
          <w:rFonts w:ascii="Cambria Math"/>
          <w:position w:val="-4"/>
          <w:sz w:val="17"/>
        </w:rPr>
        <w:t> </w:t>
      </w:r>
      <w:r>
        <w:rPr>
          <w:rFonts w:ascii="Cambria Math"/>
          <w:spacing w:val="-11"/>
          <w:position w:val="-4"/>
          <w:sz w:val="17"/>
        </w:rPr>
        <w:t> </w:t>
      </w:r>
      <w:r>
        <w:rPr>
          <w:rFonts w:ascii="Cambria Math"/>
          <w:w w:val="339"/>
          <w:sz w:val="24"/>
        </w:rPr>
        <w:t> </w:t>
      </w:r>
      <w:r>
        <w:rPr>
          <w:rFonts w:ascii="Cambria Math"/>
          <w:sz w:val="24"/>
        </w:rPr>
        <w:t> </w:t>
      </w:r>
      <w:r>
        <w:rPr>
          <w:rFonts w:ascii="Cambria Math"/>
          <w:spacing w:val="-4"/>
          <w:w w:val="206"/>
          <w:sz w:val="24"/>
        </w:rPr>
        <w:t> </w:t>
      </w:r>
      <w:r>
        <w:rPr>
          <w:rFonts w:ascii="Cambria Math"/>
          <w:w w:val="180"/>
          <w:position w:val="-4"/>
          <w:sz w:val="17"/>
        </w:rPr>
        <w:t> </w:t>
      </w:r>
      <w:r>
        <w:rPr>
          <w:rFonts w:ascii="Cambria Math"/>
          <w:spacing w:val="13"/>
          <w:w w:val="180"/>
          <w:position w:val="-4"/>
          <w:sz w:val="17"/>
        </w:rPr>
        <w:t> </w:t>
      </w:r>
      <w:r>
        <w:rPr>
          <w:rFonts w:ascii="Cambria Math"/>
          <w:w w:val="93"/>
          <w:sz w:val="24"/>
        </w:rPr>
        <w:t> </w:t>
      </w:r>
      <w:r>
        <w:rPr>
          <w:rFonts w:ascii="Cambria Math"/>
          <w:sz w:val="24"/>
        </w:rPr>
        <w:tab/>
      </w:r>
      <w:r>
        <w:rPr>
          <w:rFonts w:ascii="Cambria Math"/>
          <w:w w:val="163"/>
          <w:sz w:val="24"/>
        </w:rPr>
        <w:t> </w:t>
      </w:r>
      <w:r>
        <w:rPr>
          <w:rFonts w:ascii="Cambria Math"/>
          <w:spacing w:val="17"/>
          <w:sz w:val="24"/>
        </w:rPr>
        <w:t> </w:t>
      </w:r>
      <w:r>
        <w:rPr>
          <w:rFonts w:ascii="Cambria Math"/>
          <w:w w:val="339"/>
          <w:sz w:val="24"/>
        </w:rPr>
        <w:t> </w:t>
      </w:r>
      <w:r>
        <w:rPr>
          <w:rFonts w:ascii="Cambria Math"/>
          <w:spacing w:val="12"/>
          <w:sz w:val="24"/>
        </w:rPr>
        <w:t> </w:t>
      </w:r>
      <w:r>
        <w:rPr>
          <w:rFonts w:ascii="Cambria Math"/>
          <w:spacing w:val="1"/>
          <w:w w:val="251"/>
          <w:sz w:val="24"/>
        </w:rPr>
        <w:t> </w:t>
      </w:r>
      <w:r>
        <w:rPr>
          <w:rFonts w:ascii="Cambria Math"/>
          <w:w w:val="93"/>
          <w:sz w:val="24"/>
        </w:rPr>
        <w:t> </w:t>
      </w:r>
      <w:r>
        <w:rPr>
          <w:rFonts w:ascii="Cambria Math"/>
          <w:spacing w:val="-14"/>
          <w:sz w:val="24"/>
        </w:rPr>
        <w:t> </w:t>
      </w:r>
      <w:r>
        <w:rPr>
          <w:rFonts w:ascii="Cambria Math"/>
          <w:w w:val="341"/>
          <w:sz w:val="24"/>
        </w:rPr>
        <w:t> </w:t>
      </w:r>
      <w:r>
        <w:rPr>
          <w:rFonts w:ascii="Cambria Math"/>
          <w:spacing w:val="-13"/>
          <w:sz w:val="24"/>
        </w:rPr>
        <w:t> </w:t>
      </w:r>
      <w:r>
        <w:rPr>
          <w:rFonts w:ascii="Cambria Math"/>
          <w:spacing w:val="1"/>
          <w:w w:val="93"/>
          <w:sz w:val="24"/>
        </w:rPr>
        <w:t> </w:t>
      </w:r>
      <w:r>
        <w:rPr>
          <w:rFonts w:ascii="Cambria Math"/>
          <w:w w:val="251"/>
          <w:sz w:val="24"/>
        </w:rPr>
        <w:t> </w:t>
      </w:r>
      <w:r>
        <w:rPr>
          <w:rFonts w:ascii="Cambria Math"/>
          <w:sz w:val="24"/>
        </w:rPr>
        <w:tab/>
      </w:r>
      <w:r>
        <w:rPr>
          <w:sz w:val="24"/>
        </w:rPr>
        <w:t>(4.13)</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4"/>
        </w:rPr>
      </w:pPr>
      <w:r>
        <w:rPr/>
        <w:pict>
          <v:line style="position:absolute;mso-position-horizontal-relative:page;mso-position-vertical-relative:paragraph;z-index:13360;mso-wrap-distance-left:0;mso-wrap-distance-right:0" from="85.103996pt,10.405152pt" to="229.123996pt,10.405152pt" stroked="true" strokeweight=".60004pt" strokecolor="#000000">
            <w10:wrap type="topAndBottom"/>
          </v:line>
        </w:pict>
      </w:r>
    </w:p>
    <w:p>
      <w:pPr>
        <w:spacing w:before="50"/>
        <w:ind w:left="122" w:right="115" w:firstLine="0"/>
        <w:jc w:val="left"/>
        <w:rPr>
          <w:sz w:val="20"/>
        </w:rPr>
      </w:pPr>
      <w:r>
        <w:rPr>
          <w:position w:val="9"/>
          <w:sz w:val="13"/>
        </w:rPr>
        <w:t>74 </w:t>
      </w:r>
      <w:r>
        <w:rPr>
          <w:sz w:val="20"/>
        </w:rPr>
        <w:t>Así por ejemplo, para el período 2004-2007, se condonó el 31% de la deuda en términos del PIB (cálculos propios con base en el Banco Central de Bolivia).</w:t>
      </w:r>
    </w:p>
    <w:p>
      <w:pPr>
        <w:spacing w:after="0"/>
        <w:jc w:val="left"/>
        <w:rPr>
          <w:sz w:val="20"/>
        </w:rPr>
        <w:sectPr>
          <w:pgSz w:w="12250" w:h="15850"/>
          <w:pgMar w:header="0" w:footer="1037" w:top="1360" w:bottom="1220" w:left="1580" w:right="1580"/>
        </w:sectPr>
      </w:pPr>
    </w:p>
    <w:p>
      <w:pPr>
        <w:pStyle w:val="BodyText"/>
        <w:spacing w:line="367" w:lineRule="auto" w:before="53"/>
        <w:ind w:left="102" w:right="118" w:firstLine="707"/>
        <w:jc w:val="both"/>
      </w:pPr>
      <w:r>
        <w:rPr/>
        <w:t>Donde corresponde a las variables incluidas de la posición fiscal en cada especificación del   modelo SVAR;   corresponde a la serie de choque estructural de    forma respectiva.  En el </w:t>
      </w:r>
      <w:r>
        <w:rPr>
          <w:i/>
        </w:rPr>
        <w:t>anexo 4.8 </w:t>
      </w:r>
      <w:r>
        <w:rPr/>
        <w:t>se reportan en detalle los resultados de las</w:t>
      </w:r>
      <w:r>
        <w:rPr>
          <w:spacing w:val="-14"/>
        </w:rPr>
        <w:t> </w:t>
      </w:r>
      <w:r>
        <w:rPr/>
        <w:t>estimaciones.</w:t>
      </w:r>
    </w:p>
    <w:p>
      <w:pPr>
        <w:pStyle w:val="BodyText"/>
        <w:spacing w:line="360" w:lineRule="auto"/>
        <w:ind w:left="102" w:right="126" w:firstLine="707"/>
        <w:jc w:val="both"/>
      </w:pPr>
      <w:r>
        <w:rPr/>
        <w:t>La ecuación 4.13 corresponde a una función de reacción para la posición fiscal en función de choques estructurales con restricciones de largo plazo.</w:t>
      </w:r>
    </w:p>
    <w:p>
      <w:pPr>
        <w:pStyle w:val="BodyText"/>
        <w:spacing w:line="360" w:lineRule="auto" w:before="4"/>
        <w:ind w:left="102" w:right="116" w:firstLine="707"/>
        <w:jc w:val="both"/>
      </w:pPr>
      <w:r>
        <w:rPr/>
        <w:t>De acuerdo con los resultados del </w:t>
      </w:r>
      <w:r>
        <w:rPr>
          <w:i/>
        </w:rPr>
        <w:t>cuadro 4.9</w:t>
      </w:r>
      <w:r>
        <w:rPr/>
        <w:t>, se apreció que el principal determinante del balance primario no gasífero fueron los choques de la asignación de ingresos fiscales al gasto público, el cual mostró un efecto negativo, lo anterior sugiere que a mayor gasto de capital, financiado con ingresos fiscales del gas natural, el balance primario no gasífero se deteriora después de cinco trimestres. Se observó que los choques de precios del gas natural no ejercieron ningún efecto significativo sobre el balance primario no</w:t>
      </w:r>
      <w:r>
        <w:rPr>
          <w:spacing w:val="-6"/>
        </w:rPr>
        <w:t> </w:t>
      </w:r>
      <w:r>
        <w:rPr/>
        <w:t>gasífero.</w:t>
      </w:r>
    </w:p>
    <w:p>
      <w:pPr>
        <w:pStyle w:val="BodyText"/>
        <w:spacing w:line="360" w:lineRule="auto" w:before="4"/>
        <w:ind w:left="102" w:right="117" w:firstLine="707"/>
        <w:jc w:val="both"/>
      </w:pPr>
      <w:r>
        <w:rPr/>
        <w:t>Para el resto de los resultados fiscales (primario, global cíclicamente ajustado y resultado global), los choques en la asignación de los ingresos fiscales gasíferos al gasto de capital y no gasíferos se mueven en la misma dirección y con un efecto significativo en el primer trimestre; sin embargo, estos resultados no fueron consistentes con el análisis de impulso-respuesta realizado de forma previa, por tanto, no se consideró como una </w:t>
      </w:r>
      <w:r>
        <w:rPr>
          <w:w w:val="177"/>
        </w:rPr>
        <w:t> </w:t>
      </w:r>
      <w:r>
        <w:rPr>
          <w:w w:val="177"/>
        </w:rPr>
        <w:t>      </w:t>
      </w:r>
      <w:r>
        <w:rPr>
          <w:w w:val="111"/>
        </w:rPr>
        <w:t> </w:t>
      </w:r>
      <w:r>
        <w:rPr>
          <w:w w:val="177"/>
        </w:rPr>
        <w:t> </w:t>
      </w:r>
    </w:p>
    <w:p>
      <w:pPr>
        <w:pStyle w:val="BodyText"/>
        <w:spacing w:before="6"/>
        <w:ind w:left="102"/>
      </w:pPr>
      <w:r>
        <w:rPr>
          <w:w w:val="188"/>
        </w:rPr>
        <w:t> </w:t>
      </w:r>
      <w:r>
        <w:rPr>
          <w:spacing w:val="-1"/>
          <w:w w:val="188"/>
        </w:rPr>
        <w:t> </w:t>
      </w:r>
      <w:r>
        <w:rPr>
          <w:w w:val="140"/>
        </w:rPr>
        <w:t>  </w:t>
      </w:r>
      <w:r>
        <w:rPr>
          <w:spacing w:val="-2"/>
          <w:w w:val="140"/>
        </w:rPr>
        <w:t> </w:t>
      </w:r>
      <w:r>
        <w:rPr>
          <w:w w:val="211"/>
        </w:rPr>
        <w:t>  </w:t>
      </w:r>
      <w:r>
        <w:rPr>
          <w:w w:val="188"/>
        </w:rPr>
        <w:t> </w:t>
      </w:r>
      <w:r>
        <w:rPr>
          <w:spacing w:val="-1"/>
          <w:w w:val="188"/>
        </w:rPr>
        <w:t> </w:t>
      </w:r>
      <w:r>
        <w:rPr>
          <w:w w:val="147"/>
        </w:rPr>
        <w:t>    </w:t>
      </w:r>
      <w:r>
        <w:rPr>
          <w:spacing w:val="13"/>
        </w:rPr>
        <w:t> </w:t>
      </w:r>
      <w:r>
        <w:rPr>
          <w:spacing w:val="-3"/>
          <w:w w:val="244"/>
        </w:rPr>
        <w:t> </w:t>
      </w:r>
      <w:r>
        <w:rPr>
          <w:w w:val="177"/>
        </w:rPr>
        <w:t>  </w:t>
      </w:r>
      <w:r>
        <w:rPr>
          <w:spacing w:val="12"/>
        </w:rPr>
        <w:t> </w:t>
      </w:r>
      <w:r>
        <w:rPr>
          <w:spacing w:val="-1"/>
          <w:w w:val="177"/>
        </w:rPr>
        <w:t> </w:t>
      </w:r>
      <w:r>
        <w:rPr>
          <w:w w:val="200"/>
        </w:rPr>
        <w:t>   </w:t>
      </w:r>
      <w:r>
        <w:rPr>
          <w:spacing w:val="2"/>
          <w:w w:val="200"/>
        </w:rPr>
        <w:t> </w:t>
      </w:r>
      <w:r>
        <w:rPr>
          <w:spacing w:val="-1"/>
          <w:w w:val="177"/>
        </w:rPr>
        <w:t> </w:t>
      </w:r>
      <w:r>
        <w:rPr>
          <w:w w:val="155"/>
        </w:rPr>
        <w:t> </w:t>
      </w:r>
      <w:r>
        <w:rPr>
          <w:spacing w:val="12"/>
        </w:rPr>
        <w:t> </w:t>
      </w:r>
      <w:r>
        <w:rPr>
          <w:w w:val="188"/>
        </w:rPr>
        <w:t>  </w:t>
      </w:r>
      <w:r>
        <w:rPr>
          <w:spacing w:val="10"/>
        </w:rPr>
        <w:t> </w:t>
      </w:r>
      <w:r>
        <w:rPr>
          <w:w w:val="166"/>
        </w:rPr>
        <w:t> </w:t>
      </w:r>
      <w:r>
        <w:rPr>
          <w:spacing w:val="-1"/>
          <w:w w:val="166"/>
        </w:rPr>
        <w:t> </w:t>
      </w:r>
      <w:r>
        <w:rPr>
          <w:spacing w:val="1"/>
          <w:w w:val="177"/>
        </w:rPr>
        <w:t> </w:t>
      </w:r>
      <w:r>
        <w:rPr>
          <w:spacing w:val="-1"/>
          <w:w w:val="177"/>
        </w:rPr>
        <w:t> </w:t>
      </w:r>
      <w:r>
        <w:rPr>
          <w:w w:val="155"/>
        </w:rPr>
        <w:t>   </w:t>
      </w:r>
      <w:r>
        <w:rPr>
          <w:spacing w:val="12"/>
        </w:rPr>
        <w:t> </w:t>
      </w:r>
      <w:r>
        <w:rPr>
          <w:w w:val="188"/>
        </w:rPr>
        <w:t> </w:t>
      </w:r>
      <w:r>
        <w:rPr>
          <w:spacing w:val="-1"/>
          <w:w w:val="188"/>
        </w:rPr>
        <w:t> </w:t>
      </w:r>
      <w:r>
        <w:rPr>
          <w:w w:val="111"/>
        </w:rPr>
        <w:t> </w:t>
      </w:r>
      <w:r>
        <w:rPr>
          <w:spacing w:val="12"/>
        </w:rPr>
        <w:t> </w:t>
      </w:r>
      <w:r>
        <w:rPr>
          <w:w w:val="188"/>
        </w:rPr>
        <w:t> </w:t>
      </w:r>
      <w:r>
        <w:rPr>
          <w:spacing w:val="-1"/>
          <w:w w:val="188"/>
        </w:rPr>
        <w:t> </w:t>
      </w:r>
      <w:r>
        <w:rPr>
          <w:w w:val="155"/>
        </w:rPr>
        <w:t> </w:t>
      </w:r>
      <w:r>
        <w:rPr>
          <w:spacing w:val="12"/>
        </w:rPr>
        <w:t> </w:t>
      </w:r>
      <w:r>
        <w:rPr>
          <w:w w:val="188"/>
        </w:rPr>
        <w:t> </w:t>
      </w:r>
      <w:r>
        <w:rPr>
          <w:spacing w:val="-1"/>
          <w:w w:val="188"/>
        </w:rPr>
        <w:t> </w:t>
      </w:r>
      <w:r>
        <w:rPr>
          <w:w w:val="155"/>
        </w:rPr>
        <w:t>   </w:t>
      </w:r>
      <w:r>
        <w:rPr>
          <w:spacing w:val="-2"/>
          <w:w w:val="155"/>
        </w:rPr>
        <w:t> </w:t>
      </w:r>
      <w:r>
        <w:rPr>
          <w:w w:val="111"/>
        </w:rPr>
        <w:t> </w:t>
      </w:r>
      <w:r>
        <w:rPr>
          <w:spacing w:val="12"/>
        </w:rPr>
        <w:t> </w:t>
      </w:r>
      <w:r>
        <w:rPr>
          <w:spacing w:val="-1"/>
          <w:w w:val="177"/>
        </w:rPr>
        <w:t> </w:t>
      </w:r>
      <w:r>
        <w:rPr>
          <w:w w:val="140"/>
        </w:rPr>
        <w:t>   </w:t>
      </w:r>
      <w:r>
        <w:rPr>
          <w:spacing w:val="-1"/>
          <w:w w:val="177"/>
        </w:rPr>
        <w:t>  </w:t>
      </w:r>
      <w:r>
        <w:rPr>
          <w:w w:val="200"/>
        </w:rPr>
        <w:t> </w:t>
      </w:r>
      <w:r>
        <w:rPr>
          <w:spacing w:val="11"/>
        </w:rPr>
        <w:t> </w:t>
      </w:r>
      <w:r>
        <w:rPr>
          <w:w w:val="200"/>
        </w:rPr>
        <w:t>  </w:t>
      </w:r>
      <w:r>
        <w:rPr>
          <w:spacing w:val="11"/>
        </w:rPr>
        <w:t> </w:t>
      </w:r>
      <w:r>
        <w:rPr>
          <w:w w:val="148"/>
        </w:rPr>
        <w:t>   </w:t>
      </w:r>
      <w:r>
        <w:rPr>
          <w:spacing w:val="11"/>
        </w:rPr>
        <w:t> </w:t>
      </w:r>
      <w:r>
        <w:rPr>
          <w:w w:val="172"/>
        </w:rPr>
        <w:t>   </w:t>
      </w:r>
      <w:r>
        <w:rPr>
          <w:spacing w:val="1"/>
          <w:w w:val="172"/>
        </w:rPr>
        <w:t> </w:t>
      </w:r>
      <w:r>
        <w:rPr>
          <w:w w:val="211"/>
        </w:rPr>
        <w:t>  </w:t>
      </w:r>
      <w:r>
        <w:rPr>
          <w:spacing w:val="-1"/>
          <w:w w:val="177"/>
        </w:rPr>
        <w:t> </w:t>
      </w:r>
      <w:r>
        <w:rPr>
          <w:w w:val="200"/>
        </w:rPr>
        <w:t> </w:t>
      </w:r>
      <w:r>
        <w:rPr/>
        <w:t> </w:t>
      </w:r>
      <w:r>
        <w:rPr>
          <w:spacing w:val="11"/>
        </w:rPr>
        <w:t> </w:t>
      </w:r>
      <w:r>
        <w:rPr>
          <w:w w:val="1"/>
        </w:rPr>
        <w:t> </w:t>
      </w:r>
      <w:r>
        <w:rPr>
          <w:spacing w:val="11"/>
        </w:rPr>
        <w:t> </w:t>
      </w:r>
      <w:r>
        <w:rPr>
          <w:spacing w:val="-1"/>
          <w:w w:val="177"/>
        </w:rPr>
        <w:t> </w:t>
      </w:r>
      <w:r>
        <w:rPr>
          <w:w w:val="200"/>
        </w:rPr>
        <w:t>  </w:t>
      </w:r>
      <w:r>
        <w:rPr>
          <w:spacing w:val="11"/>
        </w:rPr>
        <w:t> </w:t>
      </w:r>
      <w:r>
        <w:rPr>
          <w:spacing w:val="-1"/>
          <w:w w:val="177"/>
        </w:rPr>
        <w:t> </w:t>
      </w:r>
      <w:r>
        <w:rPr>
          <w:w w:val="155"/>
        </w:rPr>
        <w:t> </w:t>
      </w:r>
      <w:r>
        <w:rPr>
          <w:spacing w:val="-2"/>
          <w:w w:val="155"/>
        </w:rPr>
        <w:t> </w:t>
      </w:r>
      <w:r>
        <w:rPr>
          <w:spacing w:val="-1"/>
          <w:w w:val="177"/>
        </w:rPr>
        <w:t> </w:t>
      </w:r>
      <w:r>
        <w:rPr>
          <w:w w:val="155"/>
        </w:rPr>
        <w:t>   </w:t>
      </w:r>
    </w:p>
    <w:p>
      <w:pPr>
        <w:pStyle w:val="BodyText"/>
        <w:spacing w:line="360" w:lineRule="auto" w:before="137"/>
        <w:ind w:left="102" w:right="127"/>
      </w:pPr>
      <w:r>
        <w:rPr>
          <w:w w:val="211"/>
        </w:rPr>
        <w:t>  </w:t>
      </w:r>
      <w:r>
        <w:rPr>
          <w:w w:val="166"/>
        </w:rPr>
        <w:t>    </w:t>
      </w:r>
      <w:r>
        <w:rPr/>
        <w:t> </w:t>
      </w:r>
      <w:r>
        <w:rPr>
          <w:spacing w:val="14"/>
        </w:rPr>
        <w:t> </w:t>
      </w:r>
      <w:r>
        <w:rPr>
          <w:w w:val="1"/>
        </w:rPr>
        <w:t> </w:t>
      </w:r>
      <w:r>
        <w:rPr>
          <w:spacing w:val="14"/>
        </w:rPr>
        <w:t> </w:t>
      </w:r>
      <w:r>
        <w:rPr>
          <w:w w:val="173"/>
        </w:rPr>
        <w:t>     </w:t>
      </w:r>
      <w:r>
        <w:rPr>
          <w:spacing w:val="12"/>
        </w:rPr>
        <w:t> </w:t>
      </w:r>
      <w:r>
        <w:rPr>
          <w:spacing w:val="-1"/>
          <w:w w:val="177"/>
        </w:rPr>
        <w:t> </w:t>
      </w:r>
      <w:r>
        <w:rPr>
          <w:w w:val="111"/>
        </w:rPr>
        <w:t> </w:t>
      </w:r>
      <w:r>
        <w:rPr>
          <w:spacing w:val="14"/>
        </w:rPr>
        <w:t> </w:t>
      </w:r>
      <w:r>
        <w:rPr>
          <w:w w:val="155"/>
        </w:rPr>
        <w:t> </w:t>
      </w:r>
      <w:r>
        <w:rPr>
          <w:spacing w:val="-2"/>
          <w:w w:val="155"/>
        </w:rPr>
        <w:t> </w:t>
      </w:r>
      <w:r>
        <w:rPr>
          <w:w w:val="155"/>
        </w:rPr>
        <w:t>   </w:t>
      </w:r>
      <w:r>
        <w:rPr>
          <w:spacing w:val="14"/>
        </w:rPr>
        <w:t> </w:t>
      </w:r>
      <w:r>
        <w:rPr>
          <w:spacing w:val="2"/>
          <w:w w:val="200"/>
        </w:rPr>
        <w:t> </w:t>
      </w:r>
      <w:r>
        <w:rPr>
          <w:w w:val="177"/>
        </w:rPr>
        <w:t> </w:t>
      </w:r>
      <w:r>
        <w:rPr>
          <w:spacing w:val="13"/>
        </w:rPr>
        <w:t> </w:t>
      </w:r>
      <w:r>
        <w:rPr>
          <w:w w:val="155"/>
        </w:rPr>
        <w:t>   </w:t>
      </w:r>
      <w:r>
        <w:rPr>
          <w:spacing w:val="14"/>
        </w:rPr>
        <w:t> </w:t>
      </w:r>
      <w:r>
        <w:rPr>
          <w:w w:val="155"/>
        </w:rPr>
        <w:t> </w:t>
      </w:r>
      <w:r>
        <w:rPr>
          <w:spacing w:val="-2"/>
          <w:w w:val="155"/>
        </w:rPr>
        <w:t> </w:t>
      </w:r>
      <w:r>
        <w:rPr>
          <w:w w:val="144"/>
        </w:rPr>
        <w:t>    </w:t>
      </w:r>
      <w:r>
        <w:rPr>
          <w:spacing w:val="-1"/>
          <w:w w:val="177"/>
        </w:rPr>
        <w:t> </w:t>
      </w:r>
      <w:r>
        <w:rPr>
          <w:w w:val="185"/>
        </w:rPr>
        <w:t>   </w:t>
      </w:r>
      <w:r>
        <w:rPr>
          <w:spacing w:val="14"/>
        </w:rPr>
        <w:t> </w:t>
      </w:r>
      <w:r>
        <w:rPr>
          <w:w w:val="144"/>
        </w:rPr>
        <w:t>   </w:t>
      </w:r>
      <w:r>
        <w:rPr>
          <w:spacing w:val="-1"/>
          <w:w w:val="144"/>
        </w:rPr>
        <w:t> </w:t>
      </w:r>
      <w:r>
        <w:rPr>
          <w:spacing w:val="-1"/>
          <w:w w:val="177"/>
        </w:rPr>
        <w:t> </w:t>
      </w:r>
      <w:r>
        <w:rPr>
          <w:spacing w:val="2"/>
          <w:w w:val="111"/>
        </w:rPr>
        <w:t> </w:t>
      </w:r>
      <w:r>
        <w:rPr>
          <w:spacing w:val="-1"/>
          <w:w w:val="177"/>
        </w:rPr>
        <w:t> </w:t>
      </w:r>
      <w:r>
        <w:rPr>
          <w:w w:val="127"/>
        </w:rPr>
        <w:t>  </w:t>
      </w:r>
      <w:r>
        <w:rPr>
          <w:spacing w:val="14"/>
        </w:rPr>
        <w:t> </w:t>
      </w:r>
      <w:r>
        <w:rPr>
          <w:spacing w:val="-1"/>
          <w:w w:val="177"/>
        </w:rPr>
        <w:t> </w:t>
      </w:r>
      <w:r>
        <w:rPr>
          <w:w w:val="200"/>
        </w:rPr>
        <w:t> </w:t>
      </w:r>
      <w:r>
        <w:rPr>
          <w:spacing w:val="14"/>
        </w:rPr>
        <w:t> </w:t>
      </w:r>
      <w:r>
        <w:rPr>
          <w:w w:val="140"/>
        </w:rPr>
        <w:t>  </w:t>
      </w:r>
      <w:r>
        <w:rPr>
          <w:spacing w:val="-2"/>
          <w:w w:val="140"/>
        </w:rPr>
        <w:t> </w:t>
      </w:r>
      <w:r>
        <w:rPr>
          <w:w w:val="211"/>
        </w:rPr>
        <w:t>  </w:t>
      </w:r>
      <w:r>
        <w:rPr>
          <w:w w:val="185"/>
        </w:rPr>
        <w:t>   </w:t>
      </w:r>
      <w:r>
        <w:rPr>
          <w:spacing w:val="14"/>
        </w:rPr>
        <w:t> </w:t>
      </w:r>
      <w:r>
        <w:rPr>
          <w:w w:val="188"/>
        </w:rPr>
        <w:t> </w:t>
      </w:r>
      <w:r>
        <w:rPr>
          <w:spacing w:val="-1"/>
          <w:w w:val="188"/>
        </w:rPr>
        <w:t> </w:t>
      </w:r>
      <w:r>
        <w:rPr>
          <w:w w:val="188"/>
        </w:rPr>
        <w:t> </w:t>
      </w:r>
      <w:r>
        <w:rPr>
          <w:spacing w:val="-1"/>
          <w:w w:val="188"/>
        </w:rPr>
        <w:t> </w:t>
      </w:r>
      <w:r>
        <w:rPr>
          <w:spacing w:val="1"/>
          <w:w w:val="133"/>
        </w:rPr>
        <w:t> </w:t>
      </w:r>
      <w:r>
        <w:rPr>
          <w:spacing w:val="-1"/>
          <w:w w:val="177"/>
        </w:rPr>
        <w:t> </w:t>
      </w:r>
      <w:r>
        <w:rPr>
          <w:w w:val="136"/>
        </w:rPr>
        <w:t>    </w:t>
      </w:r>
      <w:r>
        <w:rPr>
          <w:spacing w:val="13"/>
        </w:rPr>
        <w:t> </w:t>
      </w:r>
      <w:r>
        <w:rPr>
          <w:spacing w:val="-1"/>
          <w:w w:val="177"/>
        </w:rPr>
        <w:t> </w:t>
      </w:r>
      <w:r>
        <w:rPr>
          <w:w w:val="111"/>
        </w:rPr>
        <w:t> </w:t>
      </w:r>
      <w:r>
        <w:rPr>
          <w:spacing w:val="16"/>
        </w:rPr>
        <w:t> </w:t>
      </w:r>
      <w:r>
        <w:rPr>
          <w:spacing w:val="-1"/>
          <w:w w:val="177"/>
        </w:rPr>
        <w:t> </w:t>
      </w:r>
      <w:r>
        <w:rPr>
          <w:w w:val="155"/>
        </w:rPr>
        <w:t> </w:t>
      </w:r>
      <w:r>
        <w:rPr>
          <w:spacing w:val="-2"/>
          <w:w w:val="155"/>
        </w:rPr>
        <w:t> </w:t>
      </w:r>
      <w:r>
        <w:rPr>
          <w:spacing w:val="-1"/>
          <w:w w:val="177"/>
        </w:rPr>
        <w:t> </w:t>
      </w:r>
      <w:r>
        <w:rPr>
          <w:w w:val="155"/>
        </w:rPr>
        <w:t>  </w:t>
      </w:r>
      <w:r>
        <w:rPr>
          <w:spacing w:val="14"/>
        </w:rPr>
        <w:t> </w:t>
      </w:r>
      <w:r>
        <w:rPr>
          <w:w w:val="140"/>
        </w:rPr>
        <w:t>   </w:t>
      </w:r>
      <w:r>
        <w:rPr>
          <w:spacing w:val="-1"/>
          <w:w w:val="177"/>
        </w:rPr>
        <w:t> </w:t>
      </w:r>
      <w:r>
        <w:rPr>
          <w:w w:val="133"/>
        </w:rPr>
        <w:t>   </w:t>
      </w:r>
      <w:r>
        <w:rPr>
          <w:spacing w:val="16"/>
        </w:rPr>
        <w:t> </w:t>
      </w:r>
      <w:r>
        <w:rPr>
          <w:spacing w:val="-1"/>
          <w:w w:val="177"/>
        </w:rPr>
        <w:t> </w:t>
      </w:r>
      <w:r>
        <w:rPr>
          <w:w w:val="155"/>
        </w:rPr>
        <w:t> </w:t>
      </w:r>
      <w:r>
        <w:rPr>
          <w:w w:val="99"/>
        </w:rPr>
        <w:t>positivo sobre</w:t>
      </w:r>
      <w:r>
        <w:rPr>
          <w:spacing w:val="-2"/>
          <w:w w:val="99"/>
        </w:rPr>
        <w:t> </w:t>
      </w:r>
      <w:r>
        <w:rPr>
          <w:w w:val="99"/>
        </w:rPr>
        <w:t>los</w:t>
      </w:r>
      <w:r>
        <w:rPr>
          <w:spacing w:val="-1"/>
          <w:w w:val="99"/>
        </w:rPr>
        <w:t> </w:t>
      </w:r>
      <w:r>
        <w:rPr>
          <w:w w:val="99"/>
        </w:rPr>
        <w:t>r</w:t>
      </w:r>
      <w:r>
        <w:rPr>
          <w:spacing w:val="-1"/>
          <w:w w:val="99"/>
        </w:rPr>
        <w:t>e</w:t>
      </w:r>
      <w:r>
        <w:rPr>
          <w:w w:val="99"/>
        </w:rPr>
        <w:t>sul</w:t>
      </w:r>
      <w:r>
        <w:rPr>
          <w:spacing w:val="1"/>
          <w:w w:val="99"/>
        </w:rPr>
        <w:t>t</w:t>
      </w:r>
      <w:r>
        <w:rPr>
          <w:spacing w:val="-1"/>
          <w:w w:val="99"/>
        </w:rPr>
        <w:t>a</w:t>
      </w:r>
      <w:r>
        <w:rPr>
          <w:w w:val="99"/>
        </w:rPr>
        <w:t>dos fis</w:t>
      </w:r>
      <w:r>
        <w:rPr>
          <w:spacing w:val="-1"/>
          <w:w w:val="99"/>
        </w:rPr>
        <w:t>ca</w:t>
      </w:r>
      <w:r>
        <w:rPr>
          <w:w w:val="99"/>
        </w:rPr>
        <w:t>les </w:t>
      </w:r>
      <w:r>
        <w:rPr>
          <w:spacing w:val="-2"/>
          <w:w w:val="99"/>
        </w:rPr>
        <w:t>a</w:t>
      </w:r>
      <w:r>
        <w:rPr>
          <w:w w:val="99"/>
        </w:rPr>
        <w:t>lt</w:t>
      </w:r>
      <w:r>
        <w:rPr>
          <w:spacing w:val="-1"/>
          <w:w w:val="99"/>
        </w:rPr>
        <w:t>e</w:t>
      </w:r>
      <w:r>
        <w:rPr>
          <w:w w:val="99"/>
        </w:rPr>
        <w:t>r</w:t>
      </w:r>
      <w:r>
        <w:rPr>
          <w:spacing w:val="1"/>
          <w:w w:val="99"/>
        </w:rPr>
        <w:t>n</w:t>
      </w:r>
      <w:r>
        <w:rPr>
          <w:spacing w:val="-1"/>
          <w:w w:val="99"/>
        </w:rPr>
        <w:t>a</w:t>
      </w:r>
      <w:r>
        <w:rPr>
          <w:w w:val="99"/>
        </w:rPr>
        <w:t>tivos.</w:t>
      </w:r>
    </w:p>
    <w:p>
      <w:pPr>
        <w:pStyle w:val="BodyText"/>
        <w:spacing w:line="360" w:lineRule="auto" w:before="4"/>
        <w:ind w:left="102" w:right="115" w:firstLine="707"/>
        <w:jc w:val="both"/>
      </w:pPr>
      <w:r>
        <w:rPr/>
        <w:t>En suma, los choques en la asignación de ingresos fiscales gasíferos al gasto de capital ejercieron el rol más significativo en comparación con los choques de precios del  gas natural al considerar la especificación del balance primario no gasífero (omitiéndose los ingresos fiscales del gas</w:t>
      </w:r>
      <w:r>
        <w:rPr>
          <w:spacing w:val="-8"/>
        </w:rPr>
        <w:t> </w:t>
      </w:r>
      <w:r>
        <w:rPr/>
        <w:t>natural).</w:t>
      </w:r>
    </w:p>
    <w:p>
      <w:pPr>
        <w:spacing w:after="0" w:line="360" w:lineRule="auto"/>
        <w:jc w:val="both"/>
        <w:sectPr>
          <w:pgSz w:w="12250" w:h="15850"/>
          <w:pgMar w:header="0" w:footer="1037" w:top="1360" w:bottom="1220" w:left="1600" w:right="1580"/>
        </w:sectPr>
      </w:pPr>
    </w:p>
    <w:p>
      <w:pPr>
        <w:pStyle w:val="BodyText"/>
        <w:spacing w:before="48"/>
        <w:ind w:right="21"/>
        <w:jc w:val="center"/>
      </w:pPr>
      <w:bookmarkStart w:name="_bookmark138" w:id="189"/>
      <w:bookmarkEnd w:id="189"/>
      <w:r>
        <w:rPr/>
      </w:r>
      <w:r>
        <w:rPr/>
        <w:t>Cuadro 4. 9: Choques estructurales determinantes de los resultados fiscales para Bolivia</w:t>
      </w:r>
    </w:p>
    <w:p>
      <w:pPr>
        <w:pStyle w:val="BodyText"/>
      </w:pPr>
    </w:p>
    <w:p>
      <w:pPr>
        <w:pStyle w:val="BodyText"/>
        <w:ind w:right="20"/>
        <w:jc w:val="center"/>
      </w:pPr>
      <w:r>
        <w:rPr/>
        <w:pict>
          <v:group style="position:absolute;margin-left:141.939316pt;margin-top:14.30545pt;width:330pt;height:10.95pt;mso-position-horizontal-relative:page;mso-position-vertical-relative:paragraph;z-index:-558736" coordorigin="2839,286" coordsize="6600,219">
            <v:rect style="position:absolute;left:2843;top:291;width:6596;height:206" filled="true" fillcolor="#eaf0dd" stroked="false">
              <v:fill type="solid"/>
            </v:rect>
            <v:line style="position:absolute" from="9434,291" to="9434,497" stroked="true" strokeweight=".482807pt" strokecolor="#ffffff"/>
            <v:line style="position:absolute" from="2848,485" to="9424,485" stroked="true" strokeweight=".395067pt" strokecolor="#000000"/>
            <v:line style="position:absolute" from="2843,485" to="9429,485" stroked="true" strokeweight=".395067pt" strokecolor="#000000"/>
            <v:line style="position:absolute" from="2848,501" to="9424,501" stroked="true" strokeweight=".395067pt" strokecolor="#000000"/>
            <v:line style="position:absolute" from="2843,501" to="9429,501" stroked="true" strokeweight=".395067pt" strokecolor="#000000"/>
            <w10:wrap type="none"/>
          </v:group>
        </w:pict>
      </w:r>
      <w:r>
        <w:rPr/>
        <w:t>(Efecto dinámico en cinco trimestres hacia adelante)</w:t>
      </w:r>
    </w:p>
    <w:p>
      <w:pPr>
        <w:spacing w:before="22"/>
        <w:ind w:left="22" w:right="22" w:firstLine="0"/>
        <w:jc w:val="center"/>
        <w:rPr>
          <w:rFonts w:ascii="Constantia" w:hAnsi="Constantia"/>
          <w:sz w:val="15"/>
        </w:rPr>
      </w:pPr>
      <w:r>
        <w:rPr>
          <w:rFonts w:ascii="Constantia" w:hAnsi="Constantia"/>
          <w:w w:val="125"/>
          <w:sz w:val="15"/>
        </w:rPr>
        <w:t>Modelo A, variable dependiente: Balance fiscal primario no gasíf./ PIB real</w:t>
      </w:r>
    </w:p>
    <w:p>
      <w:pPr>
        <w:spacing w:before="30" w:after="37"/>
        <w:ind w:left="4839" w:right="127" w:firstLine="0"/>
        <w:jc w:val="left"/>
        <w:rPr>
          <w:rFonts w:ascii="Constantia"/>
          <w:sz w:val="15"/>
        </w:rPr>
      </w:pPr>
      <w:r>
        <w:rPr>
          <w:rFonts w:ascii="Constantia"/>
          <w:w w:val="125"/>
          <w:sz w:val="15"/>
        </w:rPr>
        <w:t>Trimestres hacia adelante</w:t>
      </w:r>
    </w:p>
    <w:tbl>
      <w:tblPr>
        <w:tblW w:w="0" w:type="auto"/>
        <w:jc w:val="left"/>
        <w:tblInd w:w="124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60"/>
        <w:gridCol w:w="700"/>
        <w:gridCol w:w="784"/>
        <w:gridCol w:w="784"/>
        <w:gridCol w:w="779"/>
        <w:gridCol w:w="779"/>
      </w:tblGrid>
      <w:tr>
        <w:trPr>
          <w:trHeight w:val="172" w:hRule="exact"/>
        </w:trPr>
        <w:tc>
          <w:tcPr>
            <w:tcW w:w="2760" w:type="dxa"/>
            <w:tcBorders>
              <w:bottom w:val="double" w:sz="3" w:space="0" w:color="000000"/>
            </w:tcBorders>
          </w:tcPr>
          <w:p>
            <w:pPr>
              <w:pStyle w:val="TableParagraph"/>
              <w:spacing w:line="161" w:lineRule="exact"/>
              <w:ind w:left="29"/>
              <w:jc w:val="left"/>
              <w:rPr>
                <w:rFonts w:ascii="Constantia"/>
                <w:sz w:val="15"/>
              </w:rPr>
            </w:pPr>
            <w:r>
              <w:rPr>
                <w:rFonts w:ascii="Constantia"/>
                <w:w w:val="125"/>
                <w:sz w:val="15"/>
              </w:rPr>
              <w:t>Choques estructurales:</w:t>
            </w:r>
          </w:p>
        </w:tc>
        <w:tc>
          <w:tcPr>
            <w:tcW w:w="700" w:type="dxa"/>
            <w:tcBorders>
              <w:bottom w:val="double" w:sz="3" w:space="0" w:color="000000"/>
            </w:tcBorders>
          </w:tcPr>
          <w:p>
            <w:pPr>
              <w:pStyle w:val="TableParagraph"/>
              <w:spacing w:line="161" w:lineRule="exact"/>
              <w:ind w:right="83"/>
              <w:rPr>
                <w:rFonts w:ascii="Constantia"/>
                <w:sz w:val="15"/>
              </w:rPr>
            </w:pPr>
            <w:r>
              <w:rPr>
                <w:rFonts w:ascii="Constantia"/>
                <w:w w:val="124"/>
                <w:sz w:val="15"/>
              </w:rPr>
              <w:t>1</w:t>
            </w:r>
          </w:p>
        </w:tc>
        <w:tc>
          <w:tcPr>
            <w:tcW w:w="784" w:type="dxa"/>
            <w:tcBorders>
              <w:bottom w:val="double" w:sz="3" w:space="0" w:color="000000"/>
            </w:tcBorders>
          </w:tcPr>
          <w:p>
            <w:pPr>
              <w:pStyle w:val="TableParagraph"/>
              <w:spacing w:line="161" w:lineRule="exact"/>
              <w:ind w:right="6"/>
              <w:rPr>
                <w:rFonts w:ascii="Constantia"/>
                <w:sz w:val="15"/>
              </w:rPr>
            </w:pPr>
            <w:r>
              <w:rPr>
                <w:rFonts w:ascii="Constantia"/>
                <w:w w:val="124"/>
                <w:sz w:val="15"/>
              </w:rPr>
              <w:t>2</w:t>
            </w:r>
          </w:p>
        </w:tc>
        <w:tc>
          <w:tcPr>
            <w:tcW w:w="784" w:type="dxa"/>
            <w:tcBorders>
              <w:bottom w:val="double" w:sz="3" w:space="0" w:color="000000"/>
            </w:tcBorders>
          </w:tcPr>
          <w:p>
            <w:pPr>
              <w:pStyle w:val="TableParagraph"/>
              <w:spacing w:line="161" w:lineRule="exact"/>
              <w:ind w:right="12"/>
              <w:rPr>
                <w:rFonts w:ascii="Constantia"/>
                <w:sz w:val="15"/>
              </w:rPr>
            </w:pPr>
            <w:r>
              <w:rPr>
                <w:rFonts w:ascii="Constantia"/>
                <w:w w:val="124"/>
                <w:sz w:val="15"/>
              </w:rPr>
              <w:t>3</w:t>
            </w:r>
          </w:p>
        </w:tc>
        <w:tc>
          <w:tcPr>
            <w:tcW w:w="779" w:type="dxa"/>
            <w:tcBorders>
              <w:bottom w:val="double" w:sz="3" w:space="0" w:color="000000"/>
            </w:tcBorders>
          </w:tcPr>
          <w:p>
            <w:pPr>
              <w:pStyle w:val="TableParagraph"/>
              <w:spacing w:line="161" w:lineRule="exact"/>
              <w:ind w:left="5"/>
              <w:rPr>
                <w:rFonts w:ascii="Constantia"/>
                <w:sz w:val="15"/>
              </w:rPr>
            </w:pPr>
            <w:r>
              <w:rPr>
                <w:rFonts w:ascii="Constantia"/>
                <w:w w:val="124"/>
                <w:sz w:val="15"/>
              </w:rPr>
              <w:t>4</w:t>
            </w:r>
          </w:p>
        </w:tc>
        <w:tc>
          <w:tcPr>
            <w:tcW w:w="779" w:type="dxa"/>
            <w:tcBorders>
              <w:bottom w:val="double" w:sz="3" w:space="0" w:color="000000"/>
            </w:tcBorders>
          </w:tcPr>
          <w:p>
            <w:pPr>
              <w:pStyle w:val="TableParagraph"/>
              <w:spacing w:line="161" w:lineRule="exact"/>
              <w:ind w:left="4"/>
              <w:rPr>
                <w:rFonts w:ascii="Constantia"/>
                <w:sz w:val="15"/>
              </w:rPr>
            </w:pPr>
            <w:r>
              <w:rPr>
                <w:rFonts w:ascii="Constantia"/>
                <w:w w:val="124"/>
                <w:sz w:val="15"/>
              </w:rPr>
              <w:t>5</w:t>
            </w:r>
          </w:p>
        </w:tc>
      </w:tr>
      <w:tr>
        <w:trPr>
          <w:trHeight w:val="223" w:hRule="exact"/>
        </w:trPr>
        <w:tc>
          <w:tcPr>
            <w:tcW w:w="2760" w:type="dxa"/>
            <w:tcBorders>
              <w:top w:val="double" w:sz="3" w:space="0" w:color="000000"/>
            </w:tcBorders>
          </w:tcPr>
          <w:p>
            <w:pPr>
              <w:pStyle w:val="TableParagraph"/>
              <w:spacing w:before="7"/>
              <w:ind w:left="78"/>
              <w:jc w:val="left"/>
              <w:rPr>
                <w:rFonts w:ascii="Constantia"/>
                <w:sz w:val="15"/>
              </w:rPr>
            </w:pPr>
            <w:r>
              <w:rPr>
                <w:rFonts w:ascii="Constantia"/>
                <w:w w:val="125"/>
                <w:sz w:val="15"/>
              </w:rPr>
              <w:t>Precio del gas natural</w:t>
            </w:r>
          </w:p>
        </w:tc>
        <w:tc>
          <w:tcPr>
            <w:tcW w:w="700" w:type="dxa"/>
            <w:tcBorders>
              <w:top w:val="double" w:sz="3" w:space="0" w:color="000000"/>
            </w:tcBorders>
          </w:tcPr>
          <w:p>
            <w:pPr>
              <w:pStyle w:val="TableParagraph"/>
              <w:spacing w:before="36"/>
              <w:ind w:left="150" w:right="232"/>
              <w:rPr>
                <w:rFonts w:ascii="Constantia"/>
                <w:sz w:val="12"/>
              </w:rPr>
            </w:pPr>
            <w:r>
              <w:rPr>
                <w:rFonts w:ascii="Constantia"/>
                <w:w w:val="130"/>
                <w:sz w:val="12"/>
              </w:rPr>
              <w:t>N.S.</w:t>
            </w:r>
          </w:p>
        </w:tc>
        <w:tc>
          <w:tcPr>
            <w:tcW w:w="784" w:type="dxa"/>
            <w:tcBorders>
              <w:top w:val="double" w:sz="3" w:space="0" w:color="000000"/>
            </w:tcBorders>
          </w:tcPr>
          <w:p>
            <w:pPr>
              <w:pStyle w:val="TableParagraph"/>
              <w:spacing w:before="36"/>
              <w:ind w:left="233" w:right="233"/>
              <w:rPr>
                <w:rFonts w:ascii="Constantia"/>
                <w:sz w:val="12"/>
              </w:rPr>
            </w:pPr>
            <w:r>
              <w:rPr>
                <w:rFonts w:ascii="Constantia"/>
                <w:w w:val="130"/>
                <w:sz w:val="12"/>
              </w:rPr>
              <w:t>N.S.</w:t>
            </w:r>
          </w:p>
        </w:tc>
        <w:tc>
          <w:tcPr>
            <w:tcW w:w="784" w:type="dxa"/>
            <w:tcBorders>
              <w:top w:val="double" w:sz="3" w:space="0" w:color="000000"/>
            </w:tcBorders>
          </w:tcPr>
          <w:p>
            <w:pPr>
              <w:pStyle w:val="TableParagraph"/>
              <w:spacing w:before="36"/>
              <w:ind w:left="233" w:right="233"/>
              <w:rPr>
                <w:rFonts w:ascii="Constantia"/>
                <w:sz w:val="12"/>
              </w:rPr>
            </w:pPr>
            <w:r>
              <w:rPr>
                <w:rFonts w:ascii="Constantia"/>
                <w:w w:val="130"/>
                <w:sz w:val="12"/>
              </w:rPr>
              <w:t>N.S.</w:t>
            </w:r>
          </w:p>
        </w:tc>
        <w:tc>
          <w:tcPr>
            <w:tcW w:w="779" w:type="dxa"/>
            <w:tcBorders>
              <w:top w:val="double" w:sz="3" w:space="0" w:color="000000"/>
            </w:tcBorders>
          </w:tcPr>
          <w:p>
            <w:pPr>
              <w:pStyle w:val="TableParagraph"/>
              <w:spacing w:before="36"/>
              <w:ind w:left="233" w:right="229"/>
              <w:rPr>
                <w:rFonts w:ascii="Constantia"/>
                <w:sz w:val="12"/>
              </w:rPr>
            </w:pPr>
            <w:r>
              <w:rPr>
                <w:rFonts w:ascii="Constantia"/>
                <w:w w:val="130"/>
                <w:sz w:val="12"/>
              </w:rPr>
              <w:t>N.S.</w:t>
            </w:r>
          </w:p>
        </w:tc>
        <w:tc>
          <w:tcPr>
            <w:tcW w:w="779" w:type="dxa"/>
            <w:tcBorders>
              <w:top w:val="double" w:sz="3" w:space="0" w:color="000000"/>
            </w:tcBorders>
          </w:tcPr>
          <w:p>
            <w:pPr>
              <w:pStyle w:val="TableParagraph"/>
              <w:spacing w:before="36"/>
              <w:ind w:left="228" w:right="213"/>
              <w:rPr>
                <w:rFonts w:ascii="Constantia"/>
                <w:sz w:val="12"/>
              </w:rPr>
            </w:pPr>
            <w:r>
              <w:rPr>
                <w:rFonts w:ascii="Constantia"/>
                <w:w w:val="130"/>
                <w:sz w:val="12"/>
              </w:rPr>
              <w:t>N.S.</w:t>
            </w:r>
          </w:p>
        </w:tc>
      </w:tr>
      <w:tr>
        <w:trPr>
          <w:trHeight w:val="198" w:hRule="exact"/>
        </w:trPr>
        <w:tc>
          <w:tcPr>
            <w:tcW w:w="2760" w:type="dxa"/>
          </w:tcPr>
          <w:p>
            <w:pPr>
              <w:pStyle w:val="TableParagraph"/>
              <w:spacing w:line="177" w:lineRule="exact"/>
              <w:ind w:left="78"/>
              <w:jc w:val="left"/>
              <w:rPr>
                <w:rFonts w:ascii="Constantia" w:hAnsi="Constantia"/>
                <w:sz w:val="15"/>
              </w:rPr>
            </w:pPr>
            <w:r>
              <w:rPr>
                <w:rFonts w:ascii="Constantia" w:hAnsi="Constantia"/>
                <w:w w:val="125"/>
                <w:sz w:val="15"/>
              </w:rPr>
              <w:t>Asignac. De Ing. Fisc. Gasíf.</w:t>
            </w:r>
          </w:p>
        </w:tc>
        <w:tc>
          <w:tcPr>
            <w:tcW w:w="700" w:type="dxa"/>
          </w:tcPr>
          <w:p>
            <w:pPr>
              <w:pStyle w:val="TableParagraph"/>
              <w:spacing w:before="22"/>
              <w:ind w:left="150" w:right="232"/>
              <w:rPr>
                <w:rFonts w:ascii="Constantia"/>
                <w:sz w:val="12"/>
              </w:rPr>
            </w:pPr>
            <w:r>
              <w:rPr>
                <w:rFonts w:ascii="Constantia"/>
                <w:w w:val="130"/>
                <w:sz w:val="12"/>
              </w:rPr>
              <w:t>N.S.</w:t>
            </w:r>
          </w:p>
        </w:tc>
        <w:tc>
          <w:tcPr>
            <w:tcW w:w="784" w:type="dxa"/>
          </w:tcPr>
          <w:p>
            <w:pPr>
              <w:pStyle w:val="TableParagraph"/>
              <w:spacing w:before="22"/>
              <w:ind w:left="233" w:right="233"/>
              <w:rPr>
                <w:rFonts w:ascii="Constantia"/>
                <w:sz w:val="12"/>
              </w:rPr>
            </w:pPr>
            <w:r>
              <w:rPr>
                <w:rFonts w:ascii="Constantia"/>
                <w:w w:val="130"/>
                <w:sz w:val="12"/>
              </w:rPr>
              <w:t>N.S.</w:t>
            </w:r>
          </w:p>
        </w:tc>
        <w:tc>
          <w:tcPr>
            <w:tcW w:w="784" w:type="dxa"/>
          </w:tcPr>
          <w:p>
            <w:pPr>
              <w:pStyle w:val="TableParagraph"/>
              <w:spacing w:before="22"/>
              <w:ind w:left="233" w:right="233"/>
              <w:rPr>
                <w:rFonts w:ascii="Constantia"/>
                <w:sz w:val="12"/>
              </w:rPr>
            </w:pPr>
            <w:r>
              <w:rPr>
                <w:rFonts w:ascii="Constantia"/>
                <w:w w:val="130"/>
                <w:sz w:val="12"/>
              </w:rPr>
              <w:t>N.S.</w:t>
            </w:r>
          </w:p>
        </w:tc>
        <w:tc>
          <w:tcPr>
            <w:tcW w:w="779" w:type="dxa"/>
          </w:tcPr>
          <w:p>
            <w:pPr>
              <w:pStyle w:val="TableParagraph"/>
              <w:spacing w:before="22"/>
              <w:ind w:left="233" w:right="229"/>
              <w:rPr>
                <w:rFonts w:ascii="Constantia"/>
                <w:sz w:val="12"/>
              </w:rPr>
            </w:pPr>
            <w:r>
              <w:rPr>
                <w:rFonts w:ascii="Constantia"/>
                <w:w w:val="130"/>
                <w:sz w:val="12"/>
              </w:rPr>
              <w:t>N.S.</w:t>
            </w:r>
          </w:p>
        </w:tc>
        <w:tc>
          <w:tcPr>
            <w:tcW w:w="779" w:type="dxa"/>
          </w:tcPr>
          <w:p>
            <w:pPr>
              <w:pStyle w:val="TableParagraph"/>
              <w:spacing w:line="177" w:lineRule="exact"/>
              <w:ind w:left="228" w:right="222"/>
              <w:rPr>
                <w:rFonts w:ascii="Constantia"/>
                <w:sz w:val="15"/>
              </w:rPr>
            </w:pPr>
            <w:r>
              <w:rPr>
                <w:rFonts w:ascii="Constantia"/>
                <w:w w:val="125"/>
                <w:sz w:val="15"/>
              </w:rPr>
              <w:t>(-)*</w:t>
            </w:r>
          </w:p>
        </w:tc>
      </w:tr>
      <w:tr>
        <w:trPr>
          <w:trHeight w:val="274" w:hRule="exact"/>
        </w:trPr>
        <w:tc>
          <w:tcPr>
            <w:tcW w:w="2760" w:type="dxa"/>
          </w:tcPr>
          <w:p>
            <w:pPr>
              <w:pStyle w:val="TableParagraph"/>
              <w:spacing w:line="177" w:lineRule="exact"/>
              <w:ind w:left="78"/>
              <w:jc w:val="left"/>
              <w:rPr>
                <w:rFonts w:ascii="Constantia" w:hAnsi="Constantia"/>
                <w:sz w:val="15"/>
              </w:rPr>
            </w:pPr>
            <w:r>
              <w:rPr>
                <w:rFonts w:ascii="Constantia" w:hAnsi="Constantia"/>
                <w:w w:val="125"/>
                <w:sz w:val="15"/>
              </w:rPr>
              <w:t>Asignac. De Ing. Fisc. No Gasíf.</w:t>
            </w:r>
          </w:p>
        </w:tc>
        <w:tc>
          <w:tcPr>
            <w:tcW w:w="700" w:type="dxa"/>
          </w:tcPr>
          <w:p>
            <w:pPr>
              <w:pStyle w:val="TableParagraph"/>
              <w:spacing w:before="22"/>
              <w:ind w:left="150" w:right="232"/>
              <w:rPr>
                <w:rFonts w:ascii="Constantia"/>
                <w:sz w:val="12"/>
              </w:rPr>
            </w:pPr>
            <w:r>
              <w:rPr>
                <w:rFonts w:ascii="Constantia"/>
                <w:w w:val="130"/>
                <w:sz w:val="12"/>
              </w:rPr>
              <w:t>N.S.</w:t>
            </w:r>
          </w:p>
        </w:tc>
        <w:tc>
          <w:tcPr>
            <w:tcW w:w="784" w:type="dxa"/>
          </w:tcPr>
          <w:p>
            <w:pPr>
              <w:pStyle w:val="TableParagraph"/>
              <w:spacing w:before="22"/>
              <w:ind w:left="233" w:right="233"/>
              <w:rPr>
                <w:rFonts w:ascii="Constantia"/>
                <w:sz w:val="12"/>
              </w:rPr>
            </w:pPr>
            <w:r>
              <w:rPr>
                <w:rFonts w:ascii="Constantia"/>
                <w:w w:val="130"/>
                <w:sz w:val="12"/>
              </w:rPr>
              <w:t>N.S.</w:t>
            </w:r>
          </w:p>
        </w:tc>
        <w:tc>
          <w:tcPr>
            <w:tcW w:w="784" w:type="dxa"/>
          </w:tcPr>
          <w:p>
            <w:pPr>
              <w:pStyle w:val="TableParagraph"/>
              <w:spacing w:before="22"/>
              <w:ind w:left="233" w:right="233"/>
              <w:rPr>
                <w:rFonts w:ascii="Constantia"/>
                <w:sz w:val="12"/>
              </w:rPr>
            </w:pPr>
            <w:r>
              <w:rPr>
                <w:rFonts w:ascii="Constantia"/>
                <w:w w:val="130"/>
                <w:sz w:val="12"/>
              </w:rPr>
              <w:t>N.S.</w:t>
            </w:r>
          </w:p>
        </w:tc>
        <w:tc>
          <w:tcPr>
            <w:tcW w:w="779" w:type="dxa"/>
          </w:tcPr>
          <w:p>
            <w:pPr>
              <w:pStyle w:val="TableParagraph"/>
              <w:spacing w:before="22"/>
              <w:ind w:left="233" w:right="229"/>
              <w:rPr>
                <w:rFonts w:ascii="Constantia"/>
                <w:sz w:val="12"/>
              </w:rPr>
            </w:pPr>
            <w:r>
              <w:rPr>
                <w:rFonts w:ascii="Constantia"/>
                <w:w w:val="130"/>
                <w:sz w:val="12"/>
              </w:rPr>
              <w:t>N.S.</w:t>
            </w:r>
          </w:p>
        </w:tc>
        <w:tc>
          <w:tcPr>
            <w:tcW w:w="779" w:type="dxa"/>
          </w:tcPr>
          <w:p>
            <w:pPr>
              <w:pStyle w:val="TableParagraph"/>
              <w:spacing w:before="22"/>
              <w:ind w:left="228" w:right="213"/>
              <w:rPr>
                <w:rFonts w:ascii="Constantia"/>
                <w:sz w:val="12"/>
              </w:rPr>
            </w:pPr>
            <w:r>
              <w:rPr>
                <w:rFonts w:ascii="Constantia"/>
                <w:w w:val="130"/>
                <w:sz w:val="12"/>
              </w:rPr>
              <w:t>N.S.</w:t>
            </w:r>
          </w:p>
        </w:tc>
      </w:tr>
    </w:tbl>
    <w:p>
      <w:pPr>
        <w:spacing w:before="76"/>
        <w:ind w:left="24" w:right="22" w:firstLine="0"/>
        <w:jc w:val="center"/>
        <w:rPr>
          <w:rFonts w:ascii="Constantia"/>
          <w:sz w:val="15"/>
        </w:rPr>
      </w:pPr>
      <w:r>
        <w:rPr/>
        <w:pict>
          <v:group style="position:absolute;margin-left:141.939316pt;margin-top:2.776592pt;width:330pt;height:11.35pt;mso-position-horizontal-relative:page;mso-position-vertical-relative:paragraph;z-index:-558712" coordorigin="2839,56" coordsize="6600,227">
            <v:rect style="position:absolute;left:2843;top:61;width:6596;height:214" filled="true" fillcolor="#eaf0dd" stroked="false">
              <v:fill type="solid"/>
            </v:rect>
            <v:line style="position:absolute" from="9434,61" to="9434,274" stroked="true" strokeweight=".482807pt" strokecolor="#ffffff"/>
            <v:line style="position:absolute" from="2848,262" to="9424,262" stroked="true" strokeweight=".395067pt" strokecolor="#000000"/>
            <v:line style="position:absolute" from="2843,262" to="9429,262" stroked="true" strokeweight=".395067pt" strokecolor="#000000"/>
            <v:line style="position:absolute" from="2848,278" to="9424,278" stroked="true" strokeweight=".395067pt" strokecolor="#000000"/>
            <v:line style="position:absolute" from="2843,278" to="9429,278" stroked="true" strokeweight=".395067pt" strokecolor="#000000"/>
            <w10:wrap type="none"/>
          </v:group>
        </w:pict>
      </w:r>
      <w:r>
        <w:rPr>
          <w:rFonts w:ascii="Constantia"/>
          <w:w w:val="125"/>
          <w:sz w:val="15"/>
        </w:rPr>
        <w:t>Modelo B, variable dependiente: Balance fiscal primario/ PIB real</w:t>
      </w:r>
    </w:p>
    <w:p>
      <w:pPr>
        <w:spacing w:before="30" w:after="37"/>
        <w:ind w:left="4839" w:right="127" w:firstLine="0"/>
        <w:jc w:val="left"/>
        <w:rPr>
          <w:rFonts w:ascii="Constantia"/>
          <w:sz w:val="15"/>
        </w:rPr>
      </w:pPr>
      <w:r>
        <w:rPr>
          <w:rFonts w:ascii="Constantia"/>
          <w:w w:val="125"/>
          <w:sz w:val="15"/>
        </w:rPr>
        <w:t>Trimestres hacia adelante</w:t>
      </w:r>
    </w:p>
    <w:tbl>
      <w:tblPr>
        <w:tblW w:w="0" w:type="auto"/>
        <w:jc w:val="left"/>
        <w:tblInd w:w="124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51"/>
        <w:gridCol w:w="710"/>
        <w:gridCol w:w="794"/>
        <w:gridCol w:w="774"/>
        <w:gridCol w:w="779"/>
        <w:gridCol w:w="779"/>
      </w:tblGrid>
      <w:tr>
        <w:trPr>
          <w:trHeight w:val="172" w:hRule="exact"/>
        </w:trPr>
        <w:tc>
          <w:tcPr>
            <w:tcW w:w="2751" w:type="dxa"/>
            <w:tcBorders>
              <w:bottom w:val="double" w:sz="3" w:space="0" w:color="000000"/>
            </w:tcBorders>
          </w:tcPr>
          <w:p>
            <w:pPr>
              <w:pStyle w:val="TableParagraph"/>
              <w:spacing w:line="161" w:lineRule="exact"/>
              <w:ind w:left="29"/>
              <w:jc w:val="left"/>
              <w:rPr>
                <w:rFonts w:ascii="Constantia"/>
                <w:sz w:val="15"/>
              </w:rPr>
            </w:pPr>
            <w:r>
              <w:rPr>
                <w:rFonts w:ascii="Constantia"/>
                <w:w w:val="125"/>
                <w:sz w:val="15"/>
              </w:rPr>
              <w:t>Choques estructurales:</w:t>
            </w:r>
          </w:p>
        </w:tc>
        <w:tc>
          <w:tcPr>
            <w:tcW w:w="710" w:type="dxa"/>
            <w:tcBorders>
              <w:bottom w:val="double" w:sz="3" w:space="0" w:color="000000"/>
            </w:tcBorders>
          </w:tcPr>
          <w:p>
            <w:pPr>
              <w:pStyle w:val="TableParagraph"/>
              <w:spacing w:line="161" w:lineRule="exact"/>
              <w:ind w:right="74"/>
              <w:rPr>
                <w:rFonts w:ascii="Constantia"/>
                <w:sz w:val="15"/>
              </w:rPr>
            </w:pPr>
            <w:r>
              <w:rPr>
                <w:rFonts w:ascii="Constantia"/>
                <w:w w:val="124"/>
                <w:sz w:val="15"/>
              </w:rPr>
              <w:t>1</w:t>
            </w:r>
          </w:p>
        </w:tc>
        <w:tc>
          <w:tcPr>
            <w:tcW w:w="794" w:type="dxa"/>
            <w:tcBorders>
              <w:bottom w:val="double" w:sz="3" w:space="0" w:color="000000"/>
            </w:tcBorders>
          </w:tcPr>
          <w:p>
            <w:pPr>
              <w:pStyle w:val="TableParagraph"/>
              <w:spacing w:line="161" w:lineRule="exact"/>
              <w:ind w:right="17"/>
              <w:rPr>
                <w:rFonts w:ascii="Constantia"/>
                <w:sz w:val="15"/>
              </w:rPr>
            </w:pPr>
            <w:r>
              <w:rPr>
                <w:rFonts w:ascii="Constantia"/>
                <w:w w:val="124"/>
                <w:sz w:val="15"/>
              </w:rPr>
              <w:t>2</w:t>
            </w:r>
          </w:p>
        </w:tc>
        <w:tc>
          <w:tcPr>
            <w:tcW w:w="774" w:type="dxa"/>
            <w:tcBorders>
              <w:bottom w:val="double" w:sz="3" w:space="0" w:color="000000"/>
            </w:tcBorders>
          </w:tcPr>
          <w:p>
            <w:pPr>
              <w:pStyle w:val="TableParagraph"/>
              <w:spacing w:line="161" w:lineRule="exact"/>
              <w:ind w:right="22"/>
              <w:rPr>
                <w:rFonts w:ascii="Constantia"/>
                <w:sz w:val="15"/>
              </w:rPr>
            </w:pPr>
            <w:r>
              <w:rPr>
                <w:rFonts w:ascii="Constantia"/>
                <w:w w:val="124"/>
                <w:sz w:val="15"/>
              </w:rPr>
              <w:t>3</w:t>
            </w:r>
          </w:p>
        </w:tc>
        <w:tc>
          <w:tcPr>
            <w:tcW w:w="779" w:type="dxa"/>
            <w:tcBorders>
              <w:bottom w:val="double" w:sz="3" w:space="0" w:color="000000"/>
            </w:tcBorders>
          </w:tcPr>
          <w:p>
            <w:pPr>
              <w:pStyle w:val="TableParagraph"/>
              <w:spacing w:line="161" w:lineRule="exact"/>
              <w:ind w:left="5"/>
              <w:rPr>
                <w:rFonts w:ascii="Constantia"/>
                <w:sz w:val="15"/>
              </w:rPr>
            </w:pPr>
            <w:r>
              <w:rPr>
                <w:rFonts w:ascii="Constantia"/>
                <w:w w:val="124"/>
                <w:sz w:val="15"/>
              </w:rPr>
              <w:t>4</w:t>
            </w:r>
          </w:p>
        </w:tc>
        <w:tc>
          <w:tcPr>
            <w:tcW w:w="779" w:type="dxa"/>
            <w:tcBorders>
              <w:bottom w:val="double" w:sz="3" w:space="0" w:color="000000"/>
            </w:tcBorders>
          </w:tcPr>
          <w:p>
            <w:pPr>
              <w:pStyle w:val="TableParagraph"/>
              <w:spacing w:line="161" w:lineRule="exact"/>
              <w:ind w:left="4"/>
              <w:rPr>
                <w:rFonts w:ascii="Constantia"/>
                <w:sz w:val="15"/>
              </w:rPr>
            </w:pPr>
            <w:r>
              <w:rPr>
                <w:rFonts w:ascii="Constantia"/>
                <w:w w:val="124"/>
                <w:sz w:val="15"/>
              </w:rPr>
              <w:t>5</w:t>
            </w:r>
          </w:p>
        </w:tc>
      </w:tr>
      <w:tr>
        <w:trPr>
          <w:trHeight w:val="223" w:hRule="exact"/>
        </w:trPr>
        <w:tc>
          <w:tcPr>
            <w:tcW w:w="2751" w:type="dxa"/>
            <w:tcBorders>
              <w:top w:val="double" w:sz="3" w:space="0" w:color="000000"/>
            </w:tcBorders>
          </w:tcPr>
          <w:p>
            <w:pPr>
              <w:pStyle w:val="TableParagraph"/>
              <w:spacing w:before="7"/>
              <w:ind w:left="78"/>
              <w:jc w:val="left"/>
              <w:rPr>
                <w:rFonts w:ascii="Constantia"/>
                <w:sz w:val="15"/>
              </w:rPr>
            </w:pPr>
            <w:r>
              <w:rPr>
                <w:rFonts w:ascii="Constantia"/>
                <w:w w:val="125"/>
                <w:sz w:val="15"/>
              </w:rPr>
              <w:t>Precio del gas natural</w:t>
            </w:r>
          </w:p>
        </w:tc>
        <w:tc>
          <w:tcPr>
            <w:tcW w:w="710" w:type="dxa"/>
            <w:tcBorders>
              <w:top w:val="double" w:sz="3" w:space="0" w:color="000000"/>
            </w:tcBorders>
          </w:tcPr>
          <w:p>
            <w:pPr>
              <w:pStyle w:val="TableParagraph"/>
              <w:spacing w:before="36"/>
              <w:ind w:left="137" w:right="209"/>
              <w:rPr>
                <w:rFonts w:ascii="Constantia"/>
                <w:sz w:val="12"/>
              </w:rPr>
            </w:pPr>
            <w:r>
              <w:rPr>
                <w:rFonts w:ascii="Constantia"/>
                <w:w w:val="130"/>
                <w:sz w:val="12"/>
              </w:rPr>
              <w:t>N.S.</w:t>
            </w:r>
          </w:p>
        </w:tc>
        <w:tc>
          <w:tcPr>
            <w:tcW w:w="794" w:type="dxa"/>
            <w:tcBorders>
              <w:top w:val="double" w:sz="3" w:space="0" w:color="000000"/>
            </w:tcBorders>
          </w:tcPr>
          <w:p>
            <w:pPr>
              <w:pStyle w:val="TableParagraph"/>
              <w:spacing w:before="7"/>
              <w:ind w:left="212" w:right="219"/>
              <w:rPr>
                <w:rFonts w:ascii="Constantia"/>
                <w:sz w:val="15"/>
              </w:rPr>
            </w:pPr>
            <w:r>
              <w:rPr>
                <w:rFonts w:ascii="Constantia"/>
                <w:w w:val="125"/>
                <w:sz w:val="15"/>
              </w:rPr>
              <w:t>(+)*</w:t>
            </w:r>
          </w:p>
        </w:tc>
        <w:tc>
          <w:tcPr>
            <w:tcW w:w="774" w:type="dxa"/>
            <w:tcBorders>
              <w:top w:val="double" w:sz="3" w:space="0" w:color="000000"/>
            </w:tcBorders>
          </w:tcPr>
          <w:p>
            <w:pPr>
              <w:pStyle w:val="TableParagraph"/>
              <w:spacing w:before="36"/>
              <w:ind w:left="224" w:right="232"/>
              <w:rPr>
                <w:rFonts w:ascii="Constantia"/>
                <w:sz w:val="12"/>
              </w:rPr>
            </w:pPr>
            <w:r>
              <w:rPr>
                <w:rFonts w:ascii="Constantia"/>
                <w:w w:val="130"/>
                <w:sz w:val="12"/>
              </w:rPr>
              <w:t>N.S.</w:t>
            </w:r>
          </w:p>
        </w:tc>
        <w:tc>
          <w:tcPr>
            <w:tcW w:w="779" w:type="dxa"/>
            <w:tcBorders>
              <w:top w:val="double" w:sz="3" w:space="0" w:color="000000"/>
            </w:tcBorders>
          </w:tcPr>
          <w:p>
            <w:pPr>
              <w:pStyle w:val="TableParagraph"/>
              <w:spacing w:before="36"/>
              <w:ind w:left="233" w:right="229"/>
              <w:rPr>
                <w:rFonts w:ascii="Constantia"/>
                <w:sz w:val="12"/>
              </w:rPr>
            </w:pPr>
            <w:r>
              <w:rPr>
                <w:rFonts w:ascii="Constantia"/>
                <w:w w:val="130"/>
                <w:sz w:val="12"/>
              </w:rPr>
              <w:t>N.S.</w:t>
            </w:r>
          </w:p>
        </w:tc>
        <w:tc>
          <w:tcPr>
            <w:tcW w:w="779" w:type="dxa"/>
            <w:tcBorders>
              <w:top w:val="double" w:sz="3" w:space="0" w:color="000000"/>
            </w:tcBorders>
          </w:tcPr>
          <w:p>
            <w:pPr>
              <w:pStyle w:val="TableParagraph"/>
              <w:spacing w:before="7"/>
              <w:ind w:left="228" w:right="222"/>
              <w:rPr>
                <w:rFonts w:ascii="Constantia"/>
                <w:sz w:val="15"/>
              </w:rPr>
            </w:pPr>
            <w:r>
              <w:rPr>
                <w:rFonts w:ascii="Constantia"/>
                <w:w w:val="125"/>
                <w:sz w:val="15"/>
              </w:rPr>
              <w:t>(-)*</w:t>
            </w:r>
          </w:p>
        </w:tc>
      </w:tr>
      <w:tr>
        <w:trPr>
          <w:trHeight w:val="198" w:hRule="exact"/>
        </w:trPr>
        <w:tc>
          <w:tcPr>
            <w:tcW w:w="2751" w:type="dxa"/>
          </w:tcPr>
          <w:p>
            <w:pPr>
              <w:pStyle w:val="TableParagraph"/>
              <w:spacing w:line="177" w:lineRule="exact"/>
              <w:ind w:left="78"/>
              <w:jc w:val="left"/>
              <w:rPr>
                <w:rFonts w:ascii="Constantia" w:hAnsi="Constantia"/>
                <w:sz w:val="15"/>
              </w:rPr>
            </w:pPr>
            <w:r>
              <w:rPr>
                <w:rFonts w:ascii="Constantia" w:hAnsi="Constantia"/>
                <w:w w:val="125"/>
                <w:sz w:val="15"/>
              </w:rPr>
              <w:t>Asignac. De Ing. Fisc. Gasíf.</w:t>
            </w:r>
          </w:p>
        </w:tc>
        <w:tc>
          <w:tcPr>
            <w:tcW w:w="710" w:type="dxa"/>
          </w:tcPr>
          <w:p>
            <w:pPr>
              <w:pStyle w:val="TableParagraph"/>
              <w:spacing w:line="177" w:lineRule="exact"/>
              <w:ind w:left="138" w:right="209"/>
              <w:rPr>
                <w:rFonts w:ascii="Constantia"/>
                <w:sz w:val="15"/>
              </w:rPr>
            </w:pPr>
            <w:r>
              <w:rPr>
                <w:rFonts w:ascii="Constantia"/>
                <w:w w:val="125"/>
                <w:sz w:val="15"/>
              </w:rPr>
              <w:t>(+)*</w:t>
            </w:r>
          </w:p>
        </w:tc>
        <w:tc>
          <w:tcPr>
            <w:tcW w:w="794" w:type="dxa"/>
          </w:tcPr>
          <w:p>
            <w:pPr>
              <w:pStyle w:val="TableParagraph"/>
              <w:spacing w:before="22"/>
              <w:ind w:left="210" w:right="219"/>
              <w:rPr>
                <w:rFonts w:ascii="Constantia"/>
                <w:sz w:val="12"/>
              </w:rPr>
            </w:pPr>
            <w:r>
              <w:rPr>
                <w:rFonts w:ascii="Constantia"/>
                <w:w w:val="130"/>
                <w:sz w:val="12"/>
              </w:rPr>
              <w:t>N.S.</w:t>
            </w:r>
          </w:p>
        </w:tc>
        <w:tc>
          <w:tcPr>
            <w:tcW w:w="774" w:type="dxa"/>
          </w:tcPr>
          <w:p>
            <w:pPr>
              <w:pStyle w:val="TableParagraph"/>
              <w:spacing w:before="22"/>
              <w:ind w:left="224" w:right="232"/>
              <w:rPr>
                <w:rFonts w:ascii="Constantia"/>
                <w:sz w:val="12"/>
              </w:rPr>
            </w:pPr>
            <w:r>
              <w:rPr>
                <w:rFonts w:ascii="Constantia"/>
                <w:w w:val="130"/>
                <w:sz w:val="12"/>
              </w:rPr>
              <w:t>N.S.</w:t>
            </w:r>
          </w:p>
        </w:tc>
        <w:tc>
          <w:tcPr>
            <w:tcW w:w="779" w:type="dxa"/>
          </w:tcPr>
          <w:p>
            <w:pPr>
              <w:pStyle w:val="TableParagraph"/>
              <w:spacing w:before="22"/>
              <w:ind w:left="233" w:right="229"/>
              <w:rPr>
                <w:rFonts w:ascii="Constantia"/>
                <w:sz w:val="12"/>
              </w:rPr>
            </w:pPr>
            <w:r>
              <w:rPr>
                <w:rFonts w:ascii="Constantia"/>
                <w:w w:val="130"/>
                <w:sz w:val="12"/>
              </w:rPr>
              <w:t>N.S.</w:t>
            </w:r>
          </w:p>
        </w:tc>
        <w:tc>
          <w:tcPr>
            <w:tcW w:w="779" w:type="dxa"/>
          </w:tcPr>
          <w:p>
            <w:pPr>
              <w:pStyle w:val="TableParagraph"/>
              <w:spacing w:before="22"/>
              <w:ind w:left="228" w:right="213"/>
              <w:rPr>
                <w:rFonts w:ascii="Constantia"/>
                <w:sz w:val="12"/>
              </w:rPr>
            </w:pPr>
            <w:r>
              <w:rPr>
                <w:rFonts w:ascii="Constantia"/>
                <w:w w:val="130"/>
                <w:sz w:val="12"/>
              </w:rPr>
              <w:t>N.S.</w:t>
            </w:r>
          </w:p>
        </w:tc>
      </w:tr>
      <w:tr>
        <w:trPr>
          <w:trHeight w:val="274" w:hRule="exact"/>
        </w:trPr>
        <w:tc>
          <w:tcPr>
            <w:tcW w:w="2751" w:type="dxa"/>
          </w:tcPr>
          <w:p>
            <w:pPr>
              <w:pStyle w:val="TableParagraph"/>
              <w:spacing w:line="177" w:lineRule="exact"/>
              <w:ind w:left="78"/>
              <w:jc w:val="left"/>
              <w:rPr>
                <w:rFonts w:ascii="Constantia" w:hAnsi="Constantia"/>
                <w:sz w:val="15"/>
              </w:rPr>
            </w:pPr>
            <w:r>
              <w:rPr>
                <w:rFonts w:ascii="Constantia" w:hAnsi="Constantia"/>
                <w:w w:val="125"/>
                <w:sz w:val="15"/>
              </w:rPr>
              <w:t>Asignac. De Ing. Fisc. No Gasíf.</w:t>
            </w:r>
          </w:p>
        </w:tc>
        <w:tc>
          <w:tcPr>
            <w:tcW w:w="710" w:type="dxa"/>
          </w:tcPr>
          <w:p>
            <w:pPr>
              <w:pStyle w:val="TableParagraph"/>
              <w:spacing w:line="177" w:lineRule="exact"/>
              <w:ind w:left="138" w:right="209"/>
              <w:rPr>
                <w:rFonts w:ascii="Constantia"/>
                <w:sz w:val="15"/>
              </w:rPr>
            </w:pPr>
            <w:r>
              <w:rPr>
                <w:rFonts w:ascii="Constantia"/>
                <w:w w:val="125"/>
                <w:sz w:val="15"/>
              </w:rPr>
              <w:t>(+)*</w:t>
            </w:r>
          </w:p>
        </w:tc>
        <w:tc>
          <w:tcPr>
            <w:tcW w:w="794" w:type="dxa"/>
          </w:tcPr>
          <w:p>
            <w:pPr>
              <w:pStyle w:val="TableParagraph"/>
              <w:spacing w:before="22"/>
              <w:ind w:left="210" w:right="219"/>
              <w:rPr>
                <w:rFonts w:ascii="Constantia"/>
                <w:sz w:val="12"/>
              </w:rPr>
            </w:pPr>
            <w:r>
              <w:rPr>
                <w:rFonts w:ascii="Constantia"/>
                <w:w w:val="130"/>
                <w:sz w:val="12"/>
              </w:rPr>
              <w:t>N.S.</w:t>
            </w:r>
          </w:p>
        </w:tc>
        <w:tc>
          <w:tcPr>
            <w:tcW w:w="774" w:type="dxa"/>
          </w:tcPr>
          <w:p>
            <w:pPr>
              <w:pStyle w:val="TableParagraph"/>
              <w:spacing w:before="22"/>
              <w:ind w:left="224" w:right="232"/>
              <w:rPr>
                <w:rFonts w:ascii="Constantia"/>
                <w:sz w:val="12"/>
              </w:rPr>
            </w:pPr>
            <w:r>
              <w:rPr>
                <w:rFonts w:ascii="Constantia"/>
                <w:w w:val="130"/>
                <w:sz w:val="12"/>
              </w:rPr>
              <w:t>N.S.</w:t>
            </w:r>
          </w:p>
        </w:tc>
        <w:tc>
          <w:tcPr>
            <w:tcW w:w="779" w:type="dxa"/>
          </w:tcPr>
          <w:p>
            <w:pPr>
              <w:pStyle w:val="TableParagraph"/>
              <w:spacing w:before="22"/>
              <w:ind w:left="233" w:right="229"/>
              <w:rPr>
                <w:rFonts w:ascii="Constantia"/>
                <w:sz w:val="12"/>
              </w:rPr>
            </w:pPr>
            <w:r>
              <w:rPr>
                <w:rFonts w:ascii="Constantia"/>
                <w:w w:val="130"/>
                <w:sz w:val="12"/>
              </w:rPr>
              <w:t>N.S.</w:t>
            </w:r>
          </w:p>
        </w:tc>
        <w:tc>
          <w:tcPr>
            <w:tcW w:w="779" w:type="dxa"/>
          </w:tcPr>
          <w:p>
            <w:pPr>
              <w:pStyle w:val="TableParagraph"/>
              <w:spacing w:before="22"/>
              <w:ind w:left="228" w:right="213"/>
              <w:rPr>
                <w:rFonts w:ascii="Constantia"/>
                <w:sz w:val="12"/>
              </w:rPr>
            </w:pPr>
            <w:r>
              <w:rPr>
                <w:rFonts w:ascii="Constantia"/>
                <w:w w:val="130"/>
                <w:sz w:val="12"/>
              </w:rPr>
              <w:t>N.S.</w:t>
            </w:r>
          </w:p>
        </w:tc>
      </w:tr>
    </w:tbl>
    <w:p>
      <w:pPr>
        <w:spacing w:before="76"/>
        <w:ind w:left="22" w:right="22" w:firstLine="0"/>
        <w:jc w:val="center"/>
        <w:rPr>
          <w:rFonts w:ascii="Constantia" w:hAnsi="Constantia"/>
          <w:sz w:val="15"/>
        </w:rPr>
      </w:pPr>
      <w:r>
        <w:rPr/>
        <w:pict>
          <v:group style="position:absolute;margin-left:141.939316pt;margin-top:2.7766pt;width:330pt;height:11.35pt;mso-position-horizontal-relative:page;mso-position-vertical-relative:paragraph;z-index:-558688" coordorigin="2839,56" coordsize="6600,227">
            <v:rect style="position:absolute;left:2843;top:61;width:6596;height:214" filled="true" fillcolor="#eaf0dd" stroked="false">
              <v:fill type="solid"/>
            </v:rect>
            <v:line style="position:absolute" from="9434,61" to="9434,274" stroked="true" strokeweight=".482807pt" strokecolor="#ffffff"/>
            <v:line style="position:absolute" from="2848,262" to="9424,262" stroked="true" strokeweight=".395067pt" strokecolor="#000000"/>
            <v:line style="position:absolute" from="2843,262" to="9429,262" stroked="true" strokeweight=".395067pt" strokecolor="#000000"/>
            <v:line style="position:absolute" from="2848,278" to="9424,278" stroked="true" strokeweight=".395067pt" strokecolor="#000000"/>
            <v:line style="position:absolute" from="2843,278" to="9429,278" stroked="true" strokeweight=".395067pt" strokecolor="#000000"/>
            <w10:wrap type="none"/>
          </v:group>
        </w:pict>
      </w:r>
      <w:r>
        <w:rPr>
          <w:rFonts w:ascii="Constantia" w:hAnsi="Constantia"/>
          <w:w w:val="125"/>
          <w:sz w:val="15"/>
        </w:rPr>
        <w:t>Modelo C, variable dependiente: Balance fiscal global cíclic. Ajustado/ PIB real</w:t>
      </w:r>
    </w:p>
    <w:p>
      <w:pPr>
        <w:spacing w:before="30" w:after="37"/>
        <w:ind w:left="4839" w:right="127" w:firstLine="0"/>
        <w:jc w:val="left"/>
        <w:rPr>
          <w:rFonts w:ascii="Constantia"/>
          <w:sz w:val="15"/>
        </w:rPr>
      </w:pPr>
      <w:r>
        <w:rPr>
          <w:rFonts w:ascii="Constantia"/>
          <w:w w:val="125"/>
          <w:sz w:val="15"/>
        </w:rPr>
        <w:t>Trimestres hacia adelante</w:t>
      </w:r>
    </w:p>
    <w:tbl>
      <w:tblPr>
        <w:tblW w:w="0" w:type="auto"/>
        <w:jc w:val="left"/>
        <w:tblInd w:w="124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51"/>
        <w:gridCol w:w="691"/>
        <w:gridCol w:w="833"/>
        <w:gridCol w:w="754"/>
        <w:gridCol w:w="784"/>
        <w:gridCol w:w="774"/>
      </w:tblGrid>
      <w:tr>
        <w:trPr>
          <w:trHeight w:val="172" w:hRule="exact"/>
        </w:trPr>
        <w:tc>
          <w:tcPr>
            <w:tcW w:w="2751" w:type="dxa"/>
            <w:tcBorders>
              <w:bottom w:val="double" w:sz="3" w:space="0" w:color="000000"/>
            </w:tcBorders>
          </w:tcPr>
          <w:p>
            <w:pPr>
              <w:pStyle w:val="TableParagraph"/>
              <w:spacing w:line="161" w:lineRule="exact"/>
              <w:ind w:left="29"/>
              <w:jc w:val="left"/>
              <w:rPr>
                <w:rFonts w:ascii="Constantia"/>
                <w:sz w:val="15"/>
              </w:rPr>
            </w:pPr>
            <w:r>
              <w:rPr>
                <w:rFonts w:ascii="Constantia"/>
                <w:w w:val="125"/>
                <w:sz w:val="15"/>
              </w:rPr>
              <w:t>Choques estructurales:</w:t>
            </w:r>
          </w:p>
        </w:tc>
        <w:tc>
          <w:tcPr>
            <w:tcW w:w="691" w:type="dxa"/>
            <w:tcBorders>
              <w:bottom w:val="double" w:sz="3" w:space="0" w:color="000000"/>
            </w:tcBorders>
          </w:tcPr>
          <w:p>
            <w:pPr>
              <w:pStyle w:val="TableParagraph"/>
              <w:spacing w:line="161" w:lineRule="exact"/>
              <w:ind w:right="54"/>
              <w:rPr>
                <w:rFonts w:ascii="Constantia"/>
                <w:sz w:val="15"/>
              </w:rPr>
            </w:pPr>
            <w:r>
              <w:rPr>
                <w:rFonts w:ascii="Constantia"/>
                <w:w w:val="124"/>
                <w:sz w:val="15"/>
              </w:rPr>
              <w:t>1</w:t>
            </w:r>
          </w:p>
        </w:tc>
        <w:tc>
          <w:tcPr>
            <w:tcW w:w="833" w:type="dxa"/>
            <w:tcBorders>
              <w:bottom w:val="double" w:sz="3" w:space="0" w:color="000000"/>
            </w:tcBorders>
          </w:tcPr>
          <w:p>
            <w:pPr>
              <w:pStyle w:val="TableParagraph"/>
              <w:spacing w:line="161" w:lineRule="exact"/>
              <w:ind w:right="17"/>
              <w:rPr>
                <w:rFonts w:ascii="Constantia"/>
                <w:sz w:val="15"/>
              </w:rPr>
            </w:pPr>
            <w:r>
              <w:rPr>
                <w:rFonts w:ascii="Constantia"/>
                <w:w w:val="124"/>
                <w:sz w:val="15"/>
              </w:rPr>
              <w:t>2</w:t>
            </w:r>
          </w:p>
        </w:tc>
        <w:tc>
          <w:tcPr>
            <w:tcW w:w="754" w:type="dxa"/>
            <w:tcBorders>
              <w:bottom w:val="double" w:sz="3" w:space="0" w:color="000000"/>
            </w:tcBorders>
          </w:tcPr>
          <w:p>
            <w:pPr>
              <w:pStyle w:val="TableParagraph"/>
              <w:spacing w:line="161" w:lineRule="exact"/>
              <w:ind w:right="41"/>
              <w:rPr>
                <w:rFonts w:ascii="Constantia"/>
                <w:sz w:val="15"/>
              </w:rPr>
            </w:pPr>
            <w:r>
              <w:rPr>
                <w:rFonts w:ascii="Constantia"/>
                <w:w w:val="124"/>
                <w:sz w:val="15"/>
              </w:rPr>
              <w:t>3</w:t>
            </w:r>
          </w:p>
        </w:tc>
        <w:tc>
          <w:tcPr>
            <w:tcW w:w="784" w:type="dxa"/>
            <w:tcBorders>
              <w:bottom w:val="double" w:sz="3" w:space="0" w:color="000000"/>
            </w:tcBorders>
          </w:tcPr>
          <w:p>
            <w:pPr>
              <w:pStyle w:val="TableParagraph"/>
              <w:spacing w:line="161" w:lineRule="exact"/>
              <w:rPr>
                <w:rFonts w:ascii="Constantia"/>
                <w:sz w:val="15"/>
              </w:rPr>
            </w:pPr>
            <w:r>
              <w:rPr>
                <w:rFonts w:ascii="Constantia"/>
                <w:w w:val="124"/>
                <w:sz w:val="15"/>
              </w:rPr>
              <w:t>4</w:t>
            </w:r>
          </w:p>
        </w:tc>
        <w:tc>
          <w:tcPr>
            <w:tcW w:w="774" w:type="dxa"/>
            <w:tcBorders>
              <w:bottom w:val="double" w:sz="3" w:space="0" w:color="000000"/>
            </w:tcBorders>
          </w:tcPr>
          <w:p>
            <w:pPr>
              <w:pStyle w:val="TableParagraph"/>
              <w:spacing w:line="161" w:lineRule="exact"/>
              <w:rPr>
                <w:rFonts w:ascii="Constantia"/>
                <w:sz w:val="15"/>
              </w:rPr>
            </w:pPr>
            <w:r>
              <w:rPr>
                <w:rFonts w:ascii="Constantia"/>
                <w:w w:val="124"/>
                <w:sz w:val="15"/>
              </w:rPr>
              <w:t>5</w:t>
            </w:r>
          </w:p>
        </w:tc>
      </w:tr>
      <w:tr>
        <w:trPr>
          <w:trHeight w:val="223" w:hRule="exact"/>
        </w:trPr>
        <w:tc>
          <w:tcPr>
            <w:tcW w:w="2751" w:type="dxa"/>
            <w:tcBorders>
              <w:top w:val="double" w:sz="3" w:space="0" w:color="000000"/>
            </w:tcBorders>
          </w:tcPr>
          <w:p>
            <w:pPr>
              <w:pStyle w:val="TableParagraph"/>
              <w:spacing w:before="7"/>
              <w:ind w:left="78"/>
              <w:jc w:val="left"/>
              <w:rPr>
                <w:rFonts w:ascii="Constantia"/>
                <w:sz w:val="15"/>
              </w:rPr>
            </w:pPr>
            <w:r>
              <w:rPr>
                <w:rFonts w:ascii="Constantia"/>
                <w:w w:val="125"/>
                <w:sz w:val="15"/>
              </w:rPr>
              <w:t>Precio del gas natural</w:t>
            </w:r>
          </w:p>
        </w:tc>
        <w:tc>
          <w:tcPr>
            <w:tcW w:w="691" w:type="dxa"/>
            <w:tcBorders>
              <w:top w:val="double" w:sz="3" w:space="0" w:color="000000"/>
            </w:tcBorders>
          </w:tcPr>
          <w:p>
            <w:pPr>
              <w:pStyle w:val="TableParagraph"/>
              <w:spacing w:before="7"/>
              <w:ind w:left="127" w:right="189"/>
              <w:rPr>
                <w:rFonts w:ascii="Constantia"/>
                <w:sz w:val="15"/>
              </w:rPr>
            </w:pPr>
            <w:r>
              <w:rPr>
                <w:rFonts w:ascii="Constantia"/>
                <w:w w:val="125"/>
                <w:sz w:val="15"/>
              </w:rPr>
              <w:t>(-)*</w:t>
            </w:r>
          </w:p>
        </w:tc>
        <w:tc>
          <w:tcPr>
            <w:tcW w:w="833" w:type="dxa"/>
            <w:tcBorders>
              <w:top w:val="double" w:sz="3" w:space="0" w:color="000000"/>
            </w:tcBorders>
          </w:tcPr>
          <w:p>
            <w:pPr>
              <w:pStyle w:val="TableParagraph"/>
              <w:spacing w:before="7"/>
              <w:ind w:left="214"/>
              <w:jc w:val="left"/>
              <w:rPr>
                <w:rFonts w:ascii="Constantia"/>
                <w:sz w:val="15"/>
              </w:rPr>
            </w:pPr>
            <w:r>
              <w:rPr>
                <w:rFonts w:ascii="Constantia"/>
                <w:w w:val="125"/>
                <w:sz w:val="15"/>
              </w:rPr>
              <w:t>(+)**</w:t>
            </w:r>
          </w:p>
        </w:tc>
        <w:tc>
          <w:tcPr>
            <w:tcW w:w="754" w:type="dxa"/>
            <w:tcBorders>
              <w:top w:val="double" w:sz="3" w:space="0" w:color="000000"/>
            </w:tcBorders>
          </w:tcPr>
          <w:p>
            <w:pPr>
              <w:pStyle w:val="TableParagraph"/>
              <w:spacing w:before="36"/>
              <w:ind w:left="205" w:right="232"/>
              <w:rPr>
                <w:rFonts w:ascii="Constantia"/>
                <w:sz w:val="12"/>
              </w:rPr>
            </w:pPr>
            <w:r>
              <w:rPr>
                <w:rFonts w:ascii="Constantia"/>
                <w:w w:val="130"/>
                <w:sz w:val="12"/>
              </w:rPr>
              <w:t>N.S.</w:t>
            </w:r>
          </w:p>
        </w:tc>
        <w:tc>
          <w:tcPr>
            <w:tcW w:w="784" w:type="dxa"/>
            <w:tcBorders>
              <w:top w:val="double" w:sz="3" w:space="0" w:color="000000"/>
            </w:tcBorders>
          </w:tcPr>
          <w:p>
            <w:pPr>
              <w:pStyle w:val="TableParagraph"/>
              <w:spacing w:before="36"/>
              <w:ind w:left="233" w:right="233"/>
              <w:rPr>
                <w:rFonts w:ascii="Constantia"/>
                <w:sz w:val="12"/>
              </w:rPr>
            </w:pPr>
            <w:r>
              <w:rPr>
                <w:rFonts w:ascii="Constantia"/>
                <w:w w:val="130"/>
                <w:sz w:val="12"/>
              </w:rPr>
              <w:t>N.S.</w:t>
            </w:r>
          </w:p>
        </w:tc>
        <w:tc>
          <w:tcPr>
            <w:tcW w:w="774" w:type="dxa"/>
            <w:tcBorders>
              <w:top w:val="double" w:sz="3" w:space="0" w:color="000000"/>
            </w:tcBorders>
          </w:tcPr>
          <w:p>
            <w:pPr>
              <w:pStyle w:val="TableParagraph"/>
              <w:spacing w:before="36"/>
              <w:ind w:left="233" w:right="223"/>
              <w:rPr>
                <w:rFonts w:ascii="Constantia"/>
                <w:sz w:val="12"/>
              </w:rPr>
            </w:pPr>
            <w:r>
              <w:rPr>
                <w:rFonts w:ascii="Constantia"/>
                <w:w w:val="130"/>
                <w:sz w:val="12"/>
              </w:rPr>
              <w:t>N.S.</w:t>
            </w:r>
          </w:p>
        </w:tc>
      </w:tr>
      <w:tr>
        <w:trPr>
          <w:trHeight w:val="198" w:hRule="exact"/>
        </w:trPr>
        <w:tc>
          <w:tcPr>
            <w:tcW w:w="2751" w:type="dxa"/>
          </w:tcPr>
          <w:p>
            <w:pPr>
              <w:pStyle w:val="TableParagraph"/>
              <w:spacing w:line="177" w:lineRule="exact"/>
              <w:ind w:left="78"/>
              <w:jc w:val="left"/>
              <w:rPr>
                <w:rFonts w:ascii="Constantia" w:hAnsi="Constantia"/>
                <w:sz w:val="15"/>
              </w:rPr>
            </w:pPr>
            <w:r>
              <w:rPr>
                <w:rFonts w:ascii="Constantia" w:hAnsi="Constantia"/>
                <w:w w:val="125"/>
                <w:sz w:val="15"/>
              </w:rPr>
              <w:t>Asignac. De Ing. Fisc. Gasíf.</w:t>
            </w:r>
          </w:p>
        </w:tc>
        <w:tc>
          <w:tcPr>
            <w:tcW w:w="691" w:type="dxa"/>
          </w:tcPr>
          <w:p>
            <w:pPr>
              <w:pStyle w:val="TableParagraph"/>
              <w:spacing w:before="22"/>
              <w:ind w:left="136" w:right="189"/>
              <w:rPr>
                <w:rFonts w:ascii="Constantia"/>
                <w:sz w:val="12"/>
              </w:rPr>
            </w:pPr>
            <w:r>
              <w:rPr>
                <w:rFonts w:ascii="Constantia"/>
                <w:w w:val="130"/>
                <w:sz w:val="12"/>
              </w:rPr>
              <w:t>N.S.</w:t>
            </w:r>
          </w:p>
        </w:tc>
        <w:tc>
          <w:tcPr>
            <w:tcW w:w="833" w:type="dxa"/>
          </w:tcPr>
          <w:p>
            <w:pPr>
              <w:pStyle w:val="TableParagraph"/>
              <w:spacing w:before="22"/>
              <w:ind w:left="273"/>
              <w:jc w:val="left"/>
              <w:rPr>
                <w:rFonts w:ascii="Constantia"/>
                <w:sz w:val="12"/>
              </w:rPr>
            </w:pPr>
            <w:r>
              <w:rPr>
                <w:rFonts w:ascii="Constantia"/>
                <w:w w:val="130"/>
                <w:sz w:val="12"/>
              </w:rPr>
              <w:t>N.S.</w:t>
            </w:r>
          </w:p>
        </w:tc>
        <w:tc>
          <w:tcPr>
            <w:tcW w:w="754" w:type="dxa"/>
          </w:tcPr>
          <w:p>
            <w:pPr>
              <w:pStyle w:val="TableParagraph"/>
              <w:spacing w:before="22"/>
              <w:ind w:left="205" w:right="232"/>
              <w:rPr>
                <w:rFonts w:ascii="Constantia"/>
                <w:sz w:val="12"/>
              </w:rPr>
            </w:pPr>
            <w:r>
              <w:rPr>
                <w:rFonts w:ascii="Constantia"/>
                <w:w w:val="130"/>
                <w:sz w:val="12"/>
              </w:rPr>
              <w:t>N.S.</w:t>
            </w:r>
          </w:p>
        </w:tc>
        <w:tc>
          <w:tcPr>
            <w:tcW w:w="784" w:type="dxa"/>
          </w:tcPr>
          <w:p>
            <w:pPr>
              <w:pStyle w:val="TableParagraph"/>
              <w:spacing w:before="22"/>
              <w:ind w:left="233" w:right="233"/>
              <w:rPr>
                <w:rFonts w:ascii="Constantia"/>
                <w:sz w:val="12"/>
              </w:rPr>
            </w:pPr>
            <w:r>
              <w:rPr>
                <w:rFonts w:ascii="Constantia"/>
                <w:w w:val="130"/>
                <w:sz w:val="12"/>
              </w:rPr>
              <w:t>N.S.</w:t>
            </w:r>
          </w:p>
        </w:tc>
        <w:tc>
          <w:tcPr>
            <w:tcW w:w="774" w:type="dxa"/>
          </w:tcPr>
          <w:p>
            <w:pPr>
              <w:pStyle w:val="TableParagraph"/>
              <w:spacing w:before="22"/>
              <w:ind w:left="233" w:right="223"/>
              <w:rPr>
                <w:rFonts w:ascii="Constantia"/>
                <w:sz w:val="12"/>
              </w:rPr>
            </w:pPr>
            <w:r>
              <w:rPr>
                <w:rFonts w:ascii="Constantia"/>
                <w:w w:val="130"/>
                <w:sz w:val="12"/>
              </w:rPr>
              <w:t>N.S.</w:t>
            </w:r>
          </w:p>
        </w:tc>
      </w:tr>
      <w:tr>
        <w:trPr>
          <w:trHeight w:val="274" w:hRule="exact"/>
        </w:trPr>
        <w:tc>
          <w:tcPr>
            <w:tcW w:w="2751" w:type="dxa"/>
          </w:tcPr>
          <w:p>
            <w:pPr>
              <w:pStyle w:val="TableParagraph"/>
              <w:spacing w:line="177" w:lineRule="exact"/>
              <w:ind w:left="78"/>
              <w:jc w:val="left"/>
              <w:rPr>
                <w:rFonts w:ascii="Constantia" w:hAnsi="Constantia"/>
                <w:sz w:val="15"/>
              </w:rPr>
            </w:pPr>
            <w:r>
              <w:rPr>
                <w:rFonts w:ascii="Constantia" w:hAnsi="Constantia"/>
                <w:w w:val="125"/>
                <w:sz w:val="15"/>
              </w:rPr>
              <w:t>Asignac. De Ing. Fisc. No Gasíf.</w:t>
            </w:r>
          </w:p>
        </w:tc>
        <w:tc>
          <w:tcPr>
            <w:tcW w:w="691" w:type="dxa"/>
          </w:tcPr>
          <w:p>
            <w:pPr>
              <w:pStyle w:val="TableParagraph"/>
              <w:spacing w:line="177" w:lineRule="exact"/>
              <w:ind w:left="137" w:right="189"/>
              <w:rPr>
                <w:rFonts w:ascii="Constantia"/>
                <w:sz w:val="15"/>
              </w:rPr>
            </w:pPr>
            <w:r>
              <w:rPr>
                <w:rFonts w:ascii="Constantia"/>
                <w:w w:val="125"/>
                <w:sz w:val="15"/>
              </w:rPr>
              <w:t>(+)*</w:t>
            </w:r>
          </w:p>
        </w:tc>
        <w:tc>
          <w:tcPr>
            <w:tcW w:w="833" w:type="dxa"/>
          </w:tcPr>
          <w:p>
            <w:pPr>
              <w:pStyle w:val="TableParagraph"/>
              <w:spacing w:before="22"/>
              <w:ind w:left="273"/>
              <w:jc w:val="left"/>
              <w:rPr>
                <w:rFonts w:ascii="Constantia"/>
                <w:sz w:val="12"/>
              </w:rPr>
            </w:pPr>
            <w:r>
              <w:rPr>
                <w:rFonts w:ascii="Constantia"/>
                <w:w w:val="130"/>
                <w:sz w:val="12"/>
              </w:rPr>
              <w:t>N.S.</w:t>
            </w:r>
          </w:p>
        </w:tc>
        <w:tc>
          <w:tcPr>
            <w:tcW w:w="754" w:type="dxa"/>
          </w:tcPr>
          <w:p>
            <w:pPr>
              <w:pStyle w:val="TableParagraph"/>
              <w:spacing w:before="22"/>
              <w:ind w:left="205" w:right="232"/>
              <w:rPr>
                <w:rFonts w:ascii="Constantia"/>
                <w:sz w:val="12"/>
              </w:rPr>
            </w:pPr>
            <w:r>
              <w:rPr>
                <w:rFonts w:ascii="Constantia"/>
                <w:w w:val="130"/>
                <w:sz w:val="12"/>
              </w:rPr>
              <w:t>N.S.</w:t>
            </w:r>
          </w:p>
        </w:tc>
        <w:tc>
          <w:tcPr>
            <w:tcW w:w="784" w:type="dxa"/>
          </w:tcPr>
          <w:p>
            <w:pPr>
              <w:pStyle w:val="TableParagraph"/>
              <w:spacing w:before="22"/>
              <w:ind w:left="233" w:right="233"/>
              <w:rPr>
                <w:rFonts w:ascii="Constantia"/>
                <w:sz w:val="12"/>
              </w:rPr>
            </w:pPr>
            <w:r>
              <w:rPr>
                <w:rFonts w:ascii="Constantia"/>
                <w:w w:val="130"/>
                <w:sz w:val="12"/>
              </w:rPr>
              <w:t>N.S.</w:t>
            </w:r>
          </w:p>
        </w:tc>
        <w:tc>
          <w:tcPr>
            <w:tcW w:w="774" w:type="dxa"/>
          </w:tcPr>
          <w:p>
            <w:pPr>
              <w:pStyle w:val="TableParagraph"/>
              <w:spacing w:before="22"/>
              <w:ind w:left="233" w:right="223"/>
              <w:rPr>
                <w:rFonts w:ascii="Constantia"/>
                <w:sz w:val="12"/>
              </w:rPr>
            </w:pPr>
            <w:r>
              <w:rPr>
                <w:rFonts w:ascii="Constantia"/>
                <w:w w:val="130"/>
                <w:sz w:val="12"/>
              </w:rPr>
              <w:t>N.S.</w:t>
            </w:r>
          </w:p>
        </w:tc>
      </w:tr>
    </w:tbl>
    <w:p>
      <w:pPr>
        <w:spacing w:before="76"/>
        <w:ind w:left="2017" w:right="127" w:firstLine="0"/>
        <w:jc w:val="left"/>
        <w:rPr>
          <w:rFonts w:ascii="Constantia"/>
          <w:sz w:val="15"/>
        </w:rPr>
      </w:pPr>
      <w:r>
        <w:rPr/>
        <w:pict>
          <v:group style="position:absolute;margin-left:141.939316pt;margin-top:2.77662pt;width:330pt;height:11.35pt;mso-position-horizontal-relative:page;mso-position-vertical-relative:paragraph;z-index:-558664" coordorigin="2839,56" coordsize="6600,227">
            <v:rect style="position:absolute;left:2843;top:61;width:6596;height:214" filled="true" fillcolor="#eaf0dd" stroked="false">
              <v:fill type="solid"/>
            </v:rect>
            <v:line style="position:absolute" from="9434,61" to="9434,274" stroked="true" strokeweight=".482807pt" strokecolor="#ffffff"/>
            <v:line style="position:absolute" from="2848,262" to="9424,262" stroked="true" strokeweight=".395067pt" strokecolor="#000000"/>
            <v:line style="position:absolute" from="2843,262" to="9429,262" stroked="true" strokeweight=".395067pt" strokecolor="#000000"/>
            <v:line style="position:absolute" from="2848,278" to="9424,278" stroked="true" strokeweight=".395067pt" strokecolor="#000000"/>
            <v:line style="position:absolute" from="2843,278" to="9429,278" stroked="true" strokeweight=".395067pt" strokecolor="#000000"/>
            <w10:wrap type="none"/>
          </v:group>
        </w:pict>
      </w:r>
      <w:r>
        <w:rPr>
          <w:rFonts w:ascii="Constantia"/>
          <w:w w:val="125"/>
          <w:sz w:val="15"/>
        </w:rPr>
        <w:t>Modelo D, variable dependiente: Balance fiscal global/ PIB real</w:t>
      </w:r>
    </w:p>
    <w:p>
      <w:pPr>
        <w:spacing w:before="30" w:after="37"/>
        <w:ind w:left="4839" w:right="127" w:firstLine="0"/>
        <w:jc w:val="left"/>
        <w:rPr>
          <w:rFonts w:ascii="Constantia"/>
          <w:sz w:val="15"/>
        </w:rPr>
      </w:pPr>
      <w:r>
        <w:rPr>
          <w:rFonts w:ascii="Constantia"/>
          <w:w w:val="125"/>
          <w:sz w:val="15"/>
        </w:rPr>
        <w:t>Trimestres hacia adelante</w:t>
      </w:r>
    </w:p>
    <w:tbl>
      <w:tblPr>
        <w:tblW w:w="0" w:type="auto"/>
        <w:jc w:val="left"/>
        <w:tblInd w:w="124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51"/>
        <w:gridCol w:w="691"/>
        <w:gridCol w:w="833"/>
        <w:gridCol w:w="754"/>
        <w:gridCol w:w="760"/>
        <w:gridCol w:w="798"/>
      </w:tblGrid>
      <w:tr>
        <w:trPr>
          <w:trHeight w:val="172" w:hRule="exact"/>
        </w:trPr>
        <w:tc>
          <w:tcPr>
            <w:tcW w:w="2751" w:type="dxa"/>
            <w:tcBorders>
              <w:bottom w:val="double" w:sz="3" w:space="0" w:color="000000"/>
            </w:tcBorders>
          </w:tcPr>
          <w:p>
            <w:pPr>
              <w:pStyle w:val="TableParagraph"/>
              <w:spacing w:line="161" w:lineRule="exact"/>
              <w:ind w:left="29"/>
              <w:jc w:val="left"/>
              <w:rPr>
                <w:rFonts w:ascii="Constantia"/>
                <w:sz w:val="15"/>
              </w:rPr>
            </w:pPr>
            <w:r>
              <w:rPr>
                <w:rFonts w:ascii="Constantia"/>
                <w:w w:val="125"/>
                <w:sz w:val="15"/>
              </w:rPr>
              <w:t>Choques estructurales:</w:t>
            </w:r>
          </w:p>
        </w:tc>
        <w:tc>
          <w:tcPr>
            <w:tcW w:w="691" w:type="dxa"/>
            <w:tcBorders>
              <w:bottom w:val="double" w:sz="3" w:space="0" w:color="000000"/>
            </w:tcBorders>
          </w:tcPr>
          <w:p>
            <w:pPr>
              <w:pStyle w:val="TableParagraph"/>
              <w:spacing w:line="161" w:lineRule="exact"/>
              <w:ind w:right="54"/>
              <w:rPr>
                <w:rFonts w:ascii="Constantia"/>
                <w:sz w:val="15"/>
              </w:rPr>
            </w:pPr>
            <w:r>
              <w:rPr>
                <w:rFonts w:ascii="Constantia"/>
                <w:w w:val="124"/>
                <w:sz w:val="15"/>
              </w:rPr>
              <w:t>1</w:t>
            </w:r>
          </w:p>
        </w:tc>
        <w:tc>
          <w:tcPr>
            <w:tcW w:w="833" w:type="dxa"/>
            <w:tcBorders>
              <w:bottom w:val="double" w:sz="3" w:space="0" w:color="000000"/>
            </w:tcBorders>
          </w:tcPr>
          <w:p>
            <w:pPr>
              <w:pStyle w:val="TableParagraph"/>
              <w:spacing w:line="161" w:lineRule="exact"/>
              <w:ind w:right="17"/>
              <w:rPr>
                <w:rFonts w:ascii="Constantia"/>
                <w:sz w:val="15"/>
              </w:rPr>
            </w:pPr>
            <w:r>
              <w:rPr>
                <w:rFonts w:ascii="Constantia"/>
                <w:w w:val="124"/>
                <w:sz w:val="15"/>
              </w:rPr>
              <w:t>2</w:t>
            </w:r>
          </w:p>
        </w:tc>
        <w:tc>
          <w:tcPr>
            <w:tcW w:w="754" w:type="dxa"/>
            <w:tcBorders>
              <w:bottom w:val="double" w:sz="3" w:space="0" w:color="000000"/>
            </w:tcBorders>
          </w:tcPr>
          <w:p>
            <w:pPr>
              <w:pStyle w:val="TableParagraph"/>
              <w:spacing w:line="161" w:lineRule="exact"/>
              <w:ind w:right="41"/>
              <w:rPr>
                <w:rFonts w:ascii="Constantia"/>
                <w:sz w:val="15"/>
              </w:rPr>
            </w:pPr>
            <w:r>
              <w:rPr>
                <w:rFonts w:ascii="Constantia"/>
                <w:w w:val="124"/>
                <w:sz w:val="15"/>
              </w:rPr>
              <w:t>3</w:t>
            </w:r>
          </w:p>
        </w:tc>
        <w:tc>
          <w:tcPr>
            <w:tcW w:w="760" w:type="dxa"/>
            <w:tcBorders>
              <w:bottom w:val="double" w:sz="3" w:space="0" w:color="000000"/>
            </w:tcBorders>
          </w:tcPr>
          <w:p>
            <w:pPr>
              <w:pStyle w:val="TableParagraph"/>
              <w:spacing w:line="161" w:lineRule="exact"/>
              <w:ind w:left="24"/>
              <w:rPr>
                <w:rFonts w:ascii="Constantia"/>
                <w:sz w:val="15"/>
              </w:rPr>
            </w:pPr>
            <w:r>
              <w:rPr>
                <w:rFonts w:ascii="Constantia"/>
                <w:w w:val="124"/>
                <w:sz w:val="15"/>
              </w:rPr>
              <w:t>4</w:t>
            </w:r>
          </w:p>
        </w:tc>
        <w:tc>
          <w:tcPr>
            <w:tcW w:w="798" w:type="dxa"/>
            <w:tcBorders>
              <w:bottom w:val="double" w:sz="3" w:space="0" w:color="000000"/>
            </w:tcBorders>
          </w:tcPr>
          <w:p>
            <w:pPr>
              <w:pStyle w:val="TableParagraph"/>
              <w:spacing w:line="161" w:lineRule="exact"/>
              <w:ind w:left="24"/>
              <w:rPr>
                <w:rFonts w:ascii="Constantia"/>
                <w:sz w:val="15"/>
              </w:rPr>
            </w:pPr>
            <w:r>
              <w:rPr>
                <w:rFonts w:ascii="Constantia"/>
                <w:w w:val="124"/>
                <w:sz w:val="15"/>
              </w:rPr>
              <w:t>5</w:t>
            </w:r>
          </w:p>
        </w:tc>
      </w:tr>
      <w:tr>
        <w:trPr>
          <w:trHeight w:val="223" w:hRule="exact"/>
        </w:trPr>
        <w:tc>
          <w:tcPr>
            <w:tcW w:w="2751" w:type="dxa"/>
            <w:tcBorders>
              <w:top w:val="double" w:sz="3" w:space="0" w:color="000000"/>
            </w:tcBorders>
          </w:tcPr>
          <w:p>
            <w:pPr>
              <w:pStyle w:val="TableParagraph"/>
              <w:spacing w:before="7"/>
              <w:ind w:left="78"/>
              <w:jc w:val="left"/>
              <w:rPr>
                <w:rFonts w:ascii="Constantia"/>
                <w:sz w:val="15"/>
              </w:rPr>
            </w:pPr>
            <w:r>
              <w:rPr>
                <w:rFonts w:ascii="Constantia"/>
                <w:w w:val="125"/>
                <w:sz w:val="15"/>
              </w:rPr>
              <w:t>Precio del gas natural</w:t>
            </w:r>
          </w:p>
        </w:tc>
        <w:tc>
          <w:tcPr>
            <w:tcW w:w="691" w:type="dxa"/>
            <w:tcBorders>
              <w:top w:val="double" w:sz="3" w:space="0" w:color="000000"/>
            </w:tcBorders>
          </w:tcPr>
          <w:p>
            <w:pPr>
              <w:pStyle w:val="TableParagraph"/>
              <w:spacing w:before="36"/>
              <w:ind w:left="136" w:right="189"/>
              <w:rPr>
                <w:rFonts w:ascii="Constantia"/>
                <w:sz w:val="12"/>
              </w:rPr>
            </w:pPr>
            <w:r>
              <w:rPr>
                <w:rFonts w:ascii="Constantia"/>
                <w:w w:val="130"/>
                <w:sz w:val="12"/>
              </w:rPr>
              <w:t>N.S.</w:t>
            </w:r>
          </w:p>
        </w:tc>
        <w:tc>
          <w:tcPr>
            <w:tcW w:w="833" w:type="dxa"/>
            <w:tcBorders>
              <w:top w:val="double" w:sz="3" w:space="0" w:color="000000"/>
            </w:tcBorders>
          </w:tcPr>
          <w:p>
            <w:pPr>
              <w:pStyle w:val="TableParagraph"/>
              <w:spacing w:before="7"/>
              <w:ind w:left="214"/>
              <w:jc w:val="left"/>
              <w:rPr>
                <w:rFonts w:ascii="Constantia"/>
                <w:sz w:val="15"/>
              </w:rPr>
            </w:pPr>
            <w:r>
              <w:rPr>
                <w:rFonts w:ascii="Constantia"/>
                <w:w w:val="125"/>
                <w:sz w:val="15"/>
              </w:rPr>
              <w:t>(+)**</w:t>
            </w:r>
          </w:p>
        </w:tc>
        <w:tc>
          <w:tcPr>
            <w:tcW w:w="754" w:type="dxa"/>
            <w:tcBorders>
              <w:top w:val="double" w:sz="3" w:space="0" w:color="000000"/>
            </w:tcBorders>
          </w:tcPr>
          <w:p>
            <w:pPr>
              <w:pStyle w:val="TableParagraph"/>
              <w:spacing w:before="36"/>
              <w:ind w:left="205" w:right="232"/>
              <w:rPr>
                <w:rFonts w:ascii="Constantia"/>
                <w:sz w:val="12"/>
              </w:rPr>
            </w:pPr>
            <w:r>
              <w:rPr>
                <w:rFonts w:ascii="Constantia"/>
                <w:w w:val="130"/>
                <w:sz w:val="12"/>
              </w:rPr>
              <w:t>N.S.</w:t>
            </w:r>
          </w:p>
        </w:tc>
        <w:tc>
          <w:tcPr>
            <w:tcW w:w="760" w:type="dxa"/>
            <w:tcBorders>
              <w:top w:val="double" w:sz="3" w:space="0" w:color="000000"/>
            </w:tcBorders>
          </w:tcPr>
          <w:p>
            <w:pPr>
              <w:pStyle w:val="TableParagraph"/>
              <w:spacing w:before="36"/>
              <w:ind w:left="233" w:right="209"/>
              <w:rPr>
                <w:rFonts w:ascii="Constantia"/>
                <w:sz w:val="12"/>
              </w:rPr>
            </w:pPr>
            <w:r>
              <w:rPr>
                <w:rFonts w:ascii="Constantia"/>
                <w:w w:val="130"/>
                <w:sz w:val="12"/>
              </w:rPr>
              <w:t>N.S.</w:t>
            </w:r>
          </w:p>
        </w:tc>
        <w:tc>
          <w:tcPr>
            <w:tcW w:w="798" w:type="dxa"/>
            <w:tcBorders>
              <w:top w:val="double" w:sz="3" w:space="0" w:color="000000"/>
            </w:tcBorders>
          </w:tcPr>
          <w:p>
            <w:pPr>
              <w:pStyle w:val="TableParagraph"/>
              <w:spacing w:before="7"/>
              <w:ind w:left="208" w:right="182"/>
              <w:rPr>
                <w:rFonts w:ascii="Constantia"/>
                <w:sz w:val="15"/>
              </w:rPr>
            </w:pPr>
            <w:r>
              <w:rPr>
                <w:rFonts w:ascii="Constantia"/>
                <w:w w:val="125"/>
                <w:sz w:val="15"/>
              </w:rPr>
              <w:t>(-)**</w:t>
            </w:r>
          </w:p>
        </w:tc>
      </w:tr>
      <w:tr>
        <w:trPr>
          <w:trHeight w:val="198" w:hRule="exact"/>
        </w:trPr>
        <w:tc>
          <w:tcPr>
            <w:tcW w:w="2751" w:type="dxa"/>
          </w:tcPr>
          <w:p>
            <w:pPr>
              <w:pStyle w:val="TableParagraph"/>
              <w:spacing w:line="177" w:lineRule="exact"/>
              <w:ind w:left="78"/>
              <w:jc w:val="left"/>
              <w:rPr>
                <w:rFonts w:ascii="Constantia" w:hAnsi="Constantia"/>
                <w:sz w:val="15"/>
              </w:rPr>
            </w:pPr>
            <w:r>
              <w:rPr>
                <w:rFonts w:ascii="Constantia" w:hAnsi="Constantia"/>
                <w:w w:val="125"/>
                <w:sz w:val="15"/>
              </w:rPr>
              <w:t>Asignac. De Ing. Fisc. Gasíf.</w:t>
            </w:r>
          </w:p>
        </w:tc>
        <w:tc>
          <w:tcPr>
            <w:tcW w:w="691" w:type="dxa"/>
          </w:tcPr>
          <w:p>
            <w:pPr>
              <w:pStyle w:val="TableParagraph"/>
              <w:spacing w:before="22"/>
              <w:ind w:left="136" w:right="189"/>
              <w:rPr>
                <w:rFonts w:ascii="Constantia"/>
                <w:sz w:val="12"/>
              </w:rPr>
            </w:pPr>
            <w:r>
              <w:rPr>
                <w:rFonts w:ascii="Constantia"/>
                <w:w w:val="130"/>
                <w:sz w:val="12"/>
              </w:rPr>
              <w:t>N.S.</w:t>
            </w:r>
          </w:p>
        </w:tc>
        <w:tc>
          <w:tcPr>
            <w:tcW w:w="833" w:type="dxa"/>
          </w:tcPr>
          <w:p>
            <w:pPr>
              <w:pStyle w:val="TableParagraph"/>
              <w:spacing w:before="22"/>
              <w:ind w:left="273"/>
              <w:jc w:val="left"/>
              <w:rPr>
                <w:rFonts w:ascii="Constantia"/>
                <w:sz w:val="12"/>
              </w:rPr>
            </w:pPr>
            <w:r>
              <w:rPr>
                <w:rFonts w:ascii="Constantia"/>
                <w:w w:val="130"/>
                <w:sz w:val="12"/>
              </w:rPr>
              <w:t>N.S.</w:t>
            </w:r>
          </w:p>
        </w:tc>
        <w:tc>
          <w:tcPr>
            <w:tcW w:w="754" w:type="dxa"/>
          </w:tcPr>
          <w:p>
            <w:pPr>
              <w:pStyle w:val="TableParagraph"/>
              <w:spacing w:before="22"/>
              <w:ind w:left="205" w:right="232"/>
              <w:rPr>
                <w:rFonts w:ascii="Constantia"/>
                <w:sz w:val="12"/>
              </w:rPr>
            </w:pPr>
            <w:r>
              <w:rPr>
                <w:rFonts w:ascii="Constantia"/>
                <w:w w:val="130"/>
                <w:sz w:val="12"/>
              </w:rPr>
              <w:t>N.S.</w:t>
            </w:r>
          </w:p>
        </w:tc>
        <w:tc>
          <w:tcPr>
            <w:tcW w:w="760" w:type="dxa"/>
          </w:tcPr>
          <w:p>
            <w:pPr>
              <w:pStyle w:val="TableParagraph"/>
              <w:spacing w:before="22"/>
              <w:ind w:left="233" w:right="209"/>
              <w:rPr>
                <w:rFonts w:ascii="Constantia"/>
                <w:sz w:val="12"/>
              </w:rPr>
            </w:pPr>
            <w:r>
              <w:rPr>
                <w:rFonts w:ascii="Constantia"/>
                <w:w w:val="130"/>
                <w:sz w:val="12"/>
              </w:rPr>
              <w:t>N.S.</w:t>
            </w:r>
          </w:p>
        </w:tc>
        <w:tc>
          <w:tcPr>
            <w:tcW w:w="798" w:type="dxa"/>
          </w:tcPr>
          <w:p>
            <w:pPr>
              <w:pStyle w:val="TableParagraph"/>
              <w:spacing w:before="22"/>
              <w:ind w:left="208" w:right="174"/>
              <w:rPr>
                <w:rFonts w:ascii="Constantia"/>
                <w:sz w:val="12"/>
              </w:rPr>
            </w:pPr>
            <w:r>
              <w:rPr>
                <w:rFonts w:ascii="Constantia"/>
                <w:w w:val="130"/>
                <w:sz w:val="12"/>
              </w:rPr>
              <w:t>N.S.</w:t>
            </w:r>
          </w:p>
        </w:tc>
      </w:tr>
      <w:tr>
        <w:trPr>
          <w:trHeight w:val="188" w:hRule="exact"/>
        </w:trPr>
        <w:tc>
          <w:tcPr>
            <w:tcW w:w="2751" w:type="dxa"/>
            <w:tcBorders>
              <w:bottom w:val="double" w:sz="3" w:space="0" w:color="000000"/>
            </w:tcBorders>
          </w:tcPr>
          <w:p>
            <w:pPr>
              <w:pStyle w:val="TableParagraph"/>
              <w:spacing w:line="177" w:lineRule="exact"/>
              <w:ind w:left="78"/>
              <w:jc w:val="left"/>
              <w:rPr>
                <w:rFonts w:ascii="Constantia" w:hAnsi="Constantia"/>
                <w:sz w:val="15"/>
              </w:rPr>
            </w:pPr>
            <w:r>
              <w:rPr>
                <w:rFonts w:ascii="Constantia" w:hAnsi="Constantia"/>
                <w:w w:val="125"/>
                <w:sz w:val="15"/>
              </w:rPr>
              <w:t>Asignac. De Ing. Fisc. No Gasíf.</w:t>
            </w:r>
          </w:p>
        </w:tc>
        <w:tc>
          <w:tcPr>
            <w:tcW w:w="691" w:type="dxa"/>
            <w:tcBorders>
              <w:bottom w:val="double" w:sz="3" w:space="0" w:color="000000"/>
            </w:tcBorders>
          </w:tcPr>
          <w:p>
            <w:pPr>
              <w:pStyle w:val="TableParagraph"/>
              <w:spacing w:line="177" w:lineRule="exact"/>
              <w:ind w:left="137" w:right="189"/>
              <w:rPr>
                <w:rFonts w:ascii="Constantia"/>
                <w:sz w:val="15"/>
              </w:rPr>
            </w:pPr>
            <w:r>
              <w:rPr>
                <w:rFonts w:ascii="Constantia"/>
                <w:w w:val="125"/>
                <w:sz w:val="15"/>
              </w:rPr>
              <w:t>(+)*</w:t>
            </w:r>
          </w:p>
        </w:tc>
        <w:tc>
          <w:tcPr>
            <w:tcW w:w="833" w:type="dxa"/>
            <w:tcBorders>
              <w:bottom w:val="double" w:sz="3" w:space="0" w:color="000000"/>
            </w:tcBorders>
          </w:tcPr>
          <w:p>
            <w:pPr>
              <w:pStyle w:val="TableParagraph"/>
              <w:spacing w:before="22"/>
              <w:ind w:left="273"/>
              <w:jc w:val="left"/>
              <w:rPr>
                <w:rFonts w:ascii="Constantia"/>
                <w:sz w:val="12"/>
              </w:rPr>
            </w:pPr>
            <w:r>
              <w:rPr>
                <w:rFonts w:ascii="Constantia"/>
                <w:w w:val="130"/>
                <w:sz w:val="12"/>
              </w:rPr>
              <w:t>N.S.</w:t>
            </w:r>
          </w:p>
        </w:tc>
        <w:tc>
          <w:tcPr>
            <w:tcW w:w="754" w:type="dxa"/>
            <w:tcBorders>
              <w:bottom w:val="double" w:sz="3" w:space="0" w:color="000000"/>
            </w:tcBorders>
          </w:tcPr>
          <w:p>
            <w:pPr>
              <w:pStyle w:val="TableParagraph"/>
              <w:spacing w:before="22"/>
              <w:ind w:left="205" w:right="232"/>
              <w:rPr>
                <w:rFonts w:ascii="Constantia"/>
                <w:sz w:val="12"/>
              </w:rPr>
            </w:pPr>
            <w:r>
              <w:rPr>
                <w:rFonts w:ascii="Constantia"/>
                <w:w w:val="130"/>
                <w:sz w:val="12"/>
              </w:rPr>
              <w:t>N.S.</w:t>
            </w:r>
          </w:p>
        </w:tc>
        <w:tc>
          <w:tcPr>
            <w:tcW w:w="760" w:type="dxa"/>
            <w:tcBorders>
              <w:bottom w:val="double" w:sz="3" w:space="0" w:color="000000"/>
            </w:tcBorders>
          </w:tcPr>
          <w:p>
            <w:pPr>
              <w:pStyle w:val="TableParagraph"/>
              <w:spacing w:before="22"/>
              <w:ind w:left="233" w:right="209"/>
              <w:rPr>
                <w:rFonts w:ascii="Constantia"/>
                <w:sz w:val="12"/>
              </w:rPr>
            </w:pPr>
            <w:r>
              <w:rPr>
                <w:rFonts w:ascii="Constantia"/>
                <w:w w:val="130"/>
                <w:sz w:val="12"/>
              </w:rPr>
              <w:t>N.S.</w:t>
            </w:r>
          </w:p>
        </w:tc>
        <w:tc>
          <w:tcPr>
            <w:tcW w:w="798" w:type="dxa"/>
            <w:tcBorders>
              <w:bottom w:val="double" w:sz="3" w:space="0" w:color="000000"/>
            </w:tcBorders>
          </w:tcPr>
          <w:p>
            <w:pPr>
              <w:pStyle w:val="TableParagraph"/>
              <w:spacing w:before="22"/>
              <w:ind w:left="208" w:right="174"/>
              <w:rPr>
                <w:rFonts w:ascii="Constantia"/>
                <w:sz w:val="12"/>
              </w:rPr>
            </w:pPr>
            <w:r>
              <w:rPr>
                <w:rFonts w:ascii="Constantia"/>
                <w:w w:val="130"/>
                <w:sz w:val="12"/>
              </w:rPr>
              <w:t>N.S.</w:t>
            </w:r>
          </w:p>
        </w:tc>
      </w:tr>
    </w:tbl>
    <w:p>
      <w:pPr>
        <w:spacing w:line="271" w:lineRule="auto" w:before="63"/>
        <w:ind w:left="1272" w:right="1204" w:firstLine="0"/>
        <w:jc w:val="left"/>
        <w:rPr>
          <w:rFonts w:ascii="Constantia"/>
          <w:sz w:val="12"/>
        </w:rPr>
      </w:pPr>
      <w:r>
        <w:rPr>
          <w:rFonts w:ascii="Constantia"/>
          <w:w w:val="130"/>
          <w:sz w:val="12"/>
        </w:rPr>
        <w:t>N.S. = No significativo; (+ ) denota un efecto positivo; (-) denota un efecto negativo; se indica nivel de significancia: *, ** y *** al 5%; 1%; y 0.01% de forma  respectiva.</w:t>
      </w:r>
    </w:p>
    <w:p>
      <w:pPr>
        <w:pStyle w:val="BodyText"/>
        <w:spacing w:before="5"/>
        <w:rPr>
          <w:rFonts w:ascii="Constantia"/>
          <w:sz w:val="10"/>
        </w:rPr>
      </w:pPr>
    </w:p>
    <w:p>
      <w:pPr>
        <w:spacing w:before="74"/>
        <w:ind w:left="1518" w:right="464" w:firstLine="0"/>
        <w:jc w:val="left"/>
        <w:rPr>
          <w:sz w:val="20"/>
        </w:rPr>
      </w:pPr>
      <w:r>
        <w:rPr>
          <w:sz w:val="20"/>
        </w:rPr>
        <w:t>Asignac. De Ing. Fisc. Gasíf.: es la razón de Gasto de capital/ Ing. Fisc. Gasíferos Asignac. De Ing. Fisc. No Gasíf.: es la razón Gasto corriente/ Ing. Fisc. No Gasíferos Fuente: Estimaciones propias.</w:t>
      </w:r>
    </w:p>
    <w:p>
      <w:pPr>
        <w:pStyle w:val="BodyText"/>
        <w:rPr>
          <w:sz w:val="20"/>
        </w:rPr>
      </w:pPr>
    </w:p>
    <w:p>
      <w:pPr>
        <w:pStyle w:val="BodyText"/>
        <w:spacing w:before="2"/>
        <w:rPr>
          <w:sz w:val="16"/>
        </w:rPr>
      </w:pPr>
    </w:p>
    <w:p>
      <w:pPr>
        <w:pStyle w:val="BodyText"/>
        <w:spacing w:line="360" w:lineRule="auto"/>
        <w:ind w:left="102" w:right="119" w:firstLine="707"/>
        <w:jc w:val="both"/>
      </w:pPr>
      <w:r>
        <w:rPr/>
        <w:t>Finalmente, al evaluar los choques determinantes de la deuda pública para Bolivia (</w:t>
      </w:r>
      <w:r>
        <w:rPr>
          <w:i/>
        </w:rPr>
        <w:t>cuadro 4.10</w:t>
      </w:r>
      <w:r>
        <w:rPr/>
        <w:t>), se evidenció que los choques de precios del gas natural juegan un papel mixto sobre la deuda pública; sin embargo, de forma predominante, estos choques ejercieron un impacto negativo sobre la deuda pública (trimestres 1 y 4), lo cual reveló </w:t>
      </w:r>
      <w:r>
        <w:rPr>
          <w:spacing w:val="2"/>
        </w:rPr>
        <w:t>una </w:t>
      </w:r>
      <w:r>
        <w:rPr/>
        <w:t>orientación contracíclica a los precios del recurso</w:t>
      </w:r>
      <w:r>
        <w:rPr>
          <w:spacing w:val="-13"/>
        </w:rPr>
        <w:t> </w:t>
      </w:r>
      <w:r>
        <w:rPr/>
        <w:t>natural.</w:t>
      </w:r>
    </w:p>
    <w:p>
      <w:pPr>
        <w:pStyle w:val="BodyText"/>
        <w:spacing w:line="360" w:lineRule="auto" w:before="6"/>
        <w:ind w:left="102" w:right="117" w:firstLine="707"/>
        <w:jc w:val="both"/>
      </w:pPr>
      <w:r>
        <w:rPr/>
        <w:t>Los choques de la asignación de ingresos fiscales gasíferos al gasto de capital mostraron un impacto positivo y significativo sobre la deuda pública, lo cual indica que al incrementarse la razón del Gasto de capital/ Ingresos fiscales Gasíferos provoca mayor endeudamiento público, lo cual fue concordante con los resultados de impulso-respuesta estructural. El </w:t>
      </w:r>
      <w:r>
        <w:rPr>
          <w:i/>
        </w:rPr>
        <w:t>anexo 4.9</w:t>
      </w:r>
      <w:r>
        <w:rPr/>
        <w:t>. contiene un detalle de las estimaciones.</w:t>
      </w:r>
    </w:p>
    <w:p>
      <w:pPr>
        <w:spacing w:after="0" w:line="360" w:lineRule="auto"/>
        <w:jc w:val="both"/>
        <w:sectPr>
          <w:pgSz w:w="12250" w:h="15850"/>
          <w:pgMar w:header="0" w:footer="1037" w:top="1360" w:bottom="1220" w:left="1600" w:right="1580"/>
        </w:sectPr>
      </w:pPr>
    </w:p>
    <w:p>
      <w:pPr>
        <w:pStyle w:val="BodyText"/>
        <w:spacing w:line="273" w:lineRule="auto" w:before="50"/>
        <w:ind w:left="2022" w:right="115" w:hanging="1539"/>
      </w:pPr>
      <w:bookmarkStart w:name="_bookmark139" w:id="190"/>
      <w:bookmarkEnd w:id="190"/>
      <w:r>
        <w:rPr/>
      </w:r>
      <w:r>
        <w:rPr/>
        <w:t>Cuadro 4. 10: Choques estructurales determinantes de la deuda pública para Bolivia (Efecto dinámico en cinco trimestres hacia adelante)</w:t>
      </w:r>
    </w:p>
    <w:p>
      <w:pPr>
        <w:pStyle w:val="BodyText"/>
        <w:spacing w:before="3"/>
        <w:rPr>
          <w:sz w:val="17"/>
        </w:rPr>
      </w:pPr>
    </w:p>
    <w:p>
      <w:pPr>
        <w:spacing w:before="69"/>
        <w:ind w:left="2714" w:right="115" w:firstLine="0"/>
        <w:jc w:val="left"/>
        <w:rPr>
          <w:rFonts w:ascii="Constantia" w:hAnsi="Constantia"/>
          <w:sz w:val="17"/>
        </w:rPr>
      </w:pPr>
      <w:r>
        <w:rPr/>
        <w:pict>
          <v:group style="position:absolute;margin-left:146.524506pt;margin-top:2.588984pt;width:320.1pt;height:12.65pt;mso-position-horizontal-relative:page;mso-position-vertical-relative:paragraph;z-index:-558616" coordorigin="2930,52" coordsize="6402,253">
            <v:rect style="position:absolute;left:2935;top:57;width:6396;height:238" filled="true" fillcolor="#eaf0dd" stroked="false">
              <v:fill type="solid"/>
            </v:rect>
            <v:line style="position:absolute" from="9327,57" to="9327,295" stroked="true" strokeweight=".468169pt" strokecolor="#ffffff"/>
            <v:line style="position:absolute" from="2940,281" to="9318,281" stroked="true" strokeweight=".455784pt" strokecolor="#000000"/>
            <v:line style="position:absolute" from="2935,281" to="9322,281" stroked="true" strokeweight=".455784pt" strokecolor="#000000"/>
            <v:line style="position:absolute" from="2940,299" to="9318,299" stroked="true" strokeweight=".455784pt" strokecolor="#000000"/>
            <v:line style="position:absolute" from="2935,299" to="9322,299" stroked="true" strokeweight=".470977pt" strokecolor="#000000"/>
            <w10:wrap type="none"/>
          </v:group>
        </w:pict>
      </w:r>
      <w:r>
        <w:rPr>
          <w:rFonts w:ascii="Constantia" w:hAnsi="Constantia"/>
          <w:w w:val="105"/>
          <w:sz w:val="17"/>
        </w:rPr>
        <w:t>Variable dependiente:  Deuda pública/ PIB real</w:t>
      </w:r>
    </w:p>
    <w:p>
      <w:pPr>
        <w:spacing w:before="39" w:after="38"/>
        <w:ind w:left="4843" w:right="115" w:firstLine="0"/>
        <w:jc w:val="left"/>
        <w:rPr>
          <w:rFonts w:ascii="Constantia"/>
          <w:sz w:val="17"/>
        </w:rPr>
      </w:pPr>
      <w:r>
        <w:rPr>
          <w:rFonts w:ascii="Constantia"/>
          <w:w w:val="105"/>
          <w:sz w:val="17"/>
        </w:rPr>
        <w:t>Trimestres hacia adelante</w:t>
      </w:r>
    </w:p>
    <w:tbl>
      <w:tblPr>
        <w:tblW w:w="0" w:type="auto"/>
        <w:jc w:val="left"/>
        <w:tblInd w:w="135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72"/>
        <w:gridCol w:w="675"/>
        <w:gridCol w:w="780"/>
        <w:gridCol w:w="707"/>
        <w:gridCol w:w="841"/>
        <w:gridCol w:w="712"/>
      </w:tblGrid>
      <w:tr>
        <w:trPr>
          <w:trHeight w:val="205" w:hRule="exact"/>
        </w:trPr>
        <w:tc>
          <w:tcPr>
            <w:tcW w:w="2672" w:type="dxa"/>
            <w:tcBorders>
              <w:bottom w:val="double" w:sz="4" w:space="0" w:color="000000"/>
            </w:tcBorders>
          </w:tcPr>
          <w:p>
            <w:pPr>
              <w:pStyle w:val="TableParagraph"/>
              <w:spacing w:line="191" w:lineRule="exact"/>
              <w:ind w:left="28"/>
              <w:jc w:val="left"/>
              <w:rPr>
                <w:rFonts w:ascii="Constantia"/>
                <w:sz w:val="17"/>
              </w:rPr>
            </w:pPr>
            <w:r>
              <w:rPr>
                <w:rFonts w:ascii="Constantia"/>
                <w:w w:val="105"/>
                <w:sz w:val="17"/>
              </w:rPr>
              <w:t>Choques estructurales:</w:t>
            </w:r>
          </w:p>
        </w:tc>
        <w:tc>
          <w:tcPr>
            <w:tcW w:w="675" w:type="dxa"/>
            <w:tcBorders>
              <w:bottom w:val="double" w:sz="4" w:space="0" w:color="000000"/>
            </w:tcBorders>
          </w:tcPr>
          <w:p>
            <w:pPr>
              <w:pStyle w:val="TableParagraph"/>
              <w:spacing w:line="191" w:lineRule="exact"/>
              <w:ind w:right="67"/>
              <w:rPr>
                <w:rFonts w:ascii="Constantia"/>
                <w:sz w:val="17"/>
              </w:rPr>
            </w:pPr>
            <w:r>
              <w:rPr>
                <w:rFonts w:ascii="Constantia"/>
                <w:w w:val="106"/>
                <w:sz w:val="17"/>
              </w:rPr>
              <w:t>1</w:t>
            </w:r>
          </w:p>
        </w:tc>
        <w:tc>
          <w:tcPr>
            <w:tcW w:w="780" w:type="dxa"/>
            <w:tcBorders>
              <w:bottom w:val="double" w:sz="4" w:space="0" w:color="000000"/>
            </w:tcBorders>
          </w:tcPr>
          <w:p>
            <w:pPr>
              <w:pStyle w:val="TableParagraph"/>
              <w:spacing w:line="191" w:lineRule="exact"/>
              <w:ind w:right="7"/>
              <w:rPr>
                <w:rFonts w:ascii="Constantia"/>
                <w:sz w:val="17"/>
              </w:rPr>
            </w:pPr>
            <w:r>
              <w:rPr>
                <w:rFonts w:ascii="Constantia"/>
                <w:w w:val="106"/>
                <w:sz w:val="17"/>
              </w:rPr>
              <w:t>2</w:t>
            </w:r>
          </w:p>
        </w:tc>
        <w:tc>
          <w:tcPr>
            <w:tcW w:w="707" w:type="dxa"/>
            <w:tcBorders>
              <w:bottom w:val="double" w:sz="4" w:space="0" w:color="000000"/>
            </w:tcBorders>
          </w:tcPr>
          <w:p>
            <w:pPr>
              <w:pStyle w:val="TableParagraph"/>
              <w:spacing w:line="191" w:lineRule="exact"/>
              <w:ind w:left="18"/>
              <w:rPr>
                <w:rFonts w:ascii="Constantia"/>
                <w:sz w:val="17"/>
              </w:rPr>
            </w:pPr>
            <w:r>
              <w:rPr>
                <w:rFonts w:ascii="Constantia"/>
                <w:w w:val="106"/>
                <w:sz w:val="17"/>
              </w:rPr>
              <w:t>3</w:t>
            </w:r>
          </w:p>
        </w:tc>
        <w:tc>
          <w:tcPr>
            <w:tcW w:w="841" w:type="dxa"/>
            <w:tcBorders>
              <w:bottom w:val="double" w:sz="4" w:space="0" w:color="000000"/>
            </w:tcBorders>
          </w:tcPr>
          <w:p>
            <w:pPr>
              <w:pStyle w:val="TableParagraph"/>
              <w:spacing w:line="191" w:lineRule="exact"/>
              <w:ind w:left="4"/>
              <w:rPr>
                <w:rFonts w:ascii="Constantia"/>
                <w:sz w:val="17"/>
              </w:rPr>
            </w:pPr>
            <w:r>
              <w:rPr>
                <w:rFonts w:ascii="Constantia"/>
                <w:w w:val="106"/>
                <w:sz w:val="17"/>
              </w:rPr>
              <w:t>4</w:t>
            </w:r>
          </w:p>
        </w:tc>
        <w:tc>
          <w:tcPr>
            <w:tcW w:w="712" w:type="dxa"/>
            <w:tcBorders>
              <w:bottom w:val="double" w:sz="4" w:space="0" w:color="000000"/>
            </w:tcBorders>
          </w:tcPr>
          <w:p>
            <w:pPr>
              <w:pStyle w:val="TableParagraph"/>
              <w:spacing w:line="191" w:lineRule="exact"/>
              <w:ind w:right="36"/>
              <w:rPr>
                <w:rFonts w:ascii="Constantia"/>
                <w:sz w:val="17"/>
              </w:rPr>
            </w:pPr>
            <w:r>
              <w:rPr>
                <w:rFonts w:ascii="Constantia"/>
                <w:w w:val="106"/>
                <w:sz w:val="17"/>
              </w:rPr>
              <w:t>5</w:t>
            </w:r>
          </w:p>
        </w:tc>
      </w:tr>
      <w:tr>
        <w:trPr>
          <w:trHeight w:val="258" w:hRule="exact"/>
        </w:trPr>
        <w:tc>
          <w:tcPr>
            <w:tcW w:w="2672" w:type="dxa"/>
            <w:tcBorders>
              <w:top w:val="double" w:sz="4" w:space="0" w:color="000000"/>
            </w:tcBorders>
          </w:tcPr>
          <w:p>
            <w:pPr>
              <w:pStyle w:val="TableParagraph"/>
              <w:spacing w:before="12"/>
              <w:ind w:left="75"/>
              <w:jc w:val="left"/>
              <w:rPr>
                <w:rFonts w:ascii="Constantia"/>
                <w:sz w:val="17"/>
              </w:rPr>
            </w:pPr>
            <w:r>
              <w:rPr>
                <w:rFonts w:ascii="Constantia"/>
                <w:w w:val="105"/>
                <w:sz w:val="17"/>
              </w:rPr>
              <w:t>Precio del gas natural</w:t>
            </w:r>
          </w:p>
        </w:tc>
        <w:tc>
          <w:tcPr>
            <w:tcW w:w="675" w:type="dxa"/>
            <w:tcBorders>
              <w:top w:val="double" w:sz="4" w:space="0" w:color="000000"/>
            </w:tcBorders>
          </w:tcPr>
          <w:p>
            <w:pPr>
              <w:pStyle w:val="TableParagraph"/>
              <w:spacing w:before="12"/>
              <w:ind w:left="139" w:right="213"/>
              <w:rPr>
                <w:rFonts w:ascii="Constantia"/>
                <w:sz w:val="17"/>
              </w:rPr>
            </w:pPr>
            <w:r>
              <w:rPr>
                <w:rFonts w:ascii="Constantia"/>
                <w:w w:val="105"/>
                <w:sz w:val="17"/>
              </w:rPr>
              <w:t>(-)*</w:t>
            </w:r>
          </w:p>
        </w:tc>
        <w:tc>
          <w:tcPr>
            <w:tcW w:w="780" w:type="dxa"/>
            <w:tcBorders>
              <w:top w:val="double" w:sz="4" w:space="0" w:color="000000"/>
            </w:tcBorders>
          </w:tcPr>
          <w:p>
            <w:pPr>
              <w:pStyle w:val="TableParagraph"/>
              <w:spacing w:before="12"/>
              <w:ind w:left="216" w:right="216"/>
              <w:rPr>
                <w:rFonts w:ascii="Constantia"/>
                <w:sz w:val="17"/>
              </w:rPr>
            </w:pPr>
            <w:r>
              <w:rPr>
                <w:rFonts w:ascii="Constantia"/>
                <w:w w:val="105"/>
                <w:sz w:val="17"/>
              </w:rPr>
              <w:t>(+)*</w:t>
            </w:r>
          </w:p>
        </w:tc>
        <w:tc>
          <w:tcPr>
            <w:tcW w:w="707" w:type="dxa"/>
            <w:tcBorders>
              <w:top w:val="double" w:sz="4" w:space="0" w:color="000000"/>
            </w:tcBorders>
          </w:tcPr>
          <w:p>
            <w:pPr>
              <w:pStyle w:val="TableParagraph"/>
              <w:spacing w:before="40"/>
              <w:ind w:left="213" w:right="181"/>
              <w:rPr>
                <w:rFonts w:ascii="Constantia"/>
                <w:sz w:val="14"/>
              </w:rPr>
            </w:pPr>
            <w:r>
              <w:rPr>
                <w:rFonts w:ascii="Constantia"/>
                <w:w w:val="110"/>
                <w:sz w:val="14"/>
              </w:rPr>
              <w:t>N.S.</w:t>
            </w:r>
          </w:p>
        </w:tc>
        <w:tc>
          <w:tcPr>
            <w:tcW w:w="841" w:type="dxa"/>
            <w:tcBorders>
              <w:top w:val="double" w:sz="4" w:space="0" w:color="000000"/>
            </w:tcBorders>
          </w:tcPr>
          <w:p>
            <w:pPr>
              <w:pStyle w:val="TableParagraph"/>
              <w:spacing w:before="12"/>
              <w:ind w:left="185" w:right="187"/>
              <w:rPr>
                <w:rFonts w:ascii="Constantia"/>
                <w:sz w:val="17"/>
              </w:rPr>
            </w:pPr>
            <w:r>
              <w:rPr>
                <w:rFonts w:ascii="Constantia"/>
                <w:w w:val="105"/>
                <w:sz w:val="17"/>
              </w:rPr>
              <w:t>(-)***</w:t>
            </w:r>
          </w:p>
        </w:tc>
        <w:tc>
          <w:tcPr>
            <w:tcW w:w="712" w:type="dxa"/>
            <w:tcBorders>
              <w:top w:val="double" w:sz="4" w:space="0" w:color="000000"/>
            </w:tcBorders>
          </w:tcPr>
          <w:p>
            <w:pPr>
              <w:pStyle w:val="TableParagraph"/>
              <w:spacing w:before="40"/>
              <w:ind w:left="186" w:right="212"/>
              <w:rPr>
                <w:rFonts w:ascii="Constantia"/>
                <w:sz w:val="14"/>
              </w:rPr>
            </w:pPr>
            <w:r>
              <w:rPr>
                <w:rFonts w:ascii="Constantia"/>
                <w:w w:val="110"/>
                <w:sz w:val="14"/>
              </w:rPr>
              <w:t>N.S.</w:t>
            </w:r>
          </w:p>
        </w:tc>
      </w:tr>
      <w:tr>
        <w:trPr>
          <w:trHeight w:val="229" w:hRule="exact"/>
        </w:trPr>
        <w:tc>
          <w:tcPr>
            <w:tcW w:w="2672" w:type="dxa"/>
          </w:tcPr>
          <w:p>
            <w:pPr>
              <w:pStyle w:val="TableParagraph"/>
              <w:spacing w:line="204" w:lineRule="exact"/>
              <w:ind w:left="75"/>
              <w:jc w:val="left"/>
              <w:rPr>
                <w:rFonts w:ascii="Constantia" w:hAnsi="Constantia"/>
                <w:sz w:val="17"/>
              </w:rPr>
            </w:pPr>
            <w:r>
              <w:rPr>
                <w:rFonts w:ascii="Constantia" w:hAnsi="Constantia"/>
                <w:w w:val="105"/>
                <w:sz w:val="17"/>
              </w:rPr>
              <w:t>Asignac. De Ing. Fisc. Gasíf.</w:t>
            </w:r>
          </w:p>
        </w:tc>
        <w:tc>
          <w:tcPr>
            <w:tcW w:w="675" w:type="dxa"/>
          </w:tcPr>
          <w:p>
            <w:pPr>
              <w:pStyle w:val="TableParagraph"/>
              <w:spacing w:before="25"/>
              <w:ind w:left="143" w:right="208"/>
              <w:rPr>
                <w:rFonts w:ascii="Constantia"/>
                <w:sz w:val="14"/>
              </w:rPr>
            </w:pPr>
            <w:r>
              <w:rPr>
                <w:rFonts w:ascii="Constantia"/>
                <w:w w:val="110"/>
                <w:sz w:val="14"/>
              </w:rPr>
              <w:t>N.S.</w:t>
            </w:r>
          </w:p>
        </w:tc>
        <w:tc>
          <w:tcPr>
            <w:tcW w:w="780" w:type="dxa"/>
          </w:tcPr>
          <w:p>
            <w:pPr>
              <w:pStyle w:val="TableParagraph"/>
              <w:spacing w:line="204" w:lineRule="exact"/>
              <w:ind w:left="216" w:right="216"/>
              <w:rPr>
                <w:rFonts w:ascii="Constantia"/>
                <w:sz w:val="17"/>
              </w:rPr>
            </w:pPr>
            <w:r>
              <w:rPr>
                <w:rFonts w:ascii="Constantia"/>
                <w:w w:val="105"/>
                <w:sz w:val="17"/>
              </w:rPr>
              <w:t>(+)*</w:t>
            </w:r>
          </w:p>
        </w:tc>
        <w:tc>
          <w:tcPr>
            <w:tcW w:w="707" w:type="dxa"/>
          </w:tcPr>
          <w:p>
            <w:pPr>
              <w:pStyle w:val="TableParagraph"/>
              <w:spacing w:before="25"/>
              <w:ind w:left="213" w:right="181"/>
              <w:rPr>
                <w:rFonts w:ascii="Constantia"/>
                <w:sz w:val="14"/>
              </w:rPr>
            </w:pPr>
            <w:r>
              <w:rPr>
                <w:rFonts w:ascii="Constantia"/>
                <w:w w:val="110"/>
                <w:sz w:val="14"/>
              </w:rPr>
              <w:t>N.S.</w:t>
            </w:r>
          </w:p>
        </w:tc>
        <w:tc>
          <w:tcPr>
            <w:tcW w:w="841" w:type="dxa"/>
          </w:tcPr>
          <w:p>
            <w:pPr>
              <w:pStyle w:val="TableParagraph"/>
              <w:spacing w:before="25"/>
              <w:ind w:left="185" w:right="181"/>
              <w:rPr>
                <w:rFonts w:ascii="Constantia"/>
                <w:sz w:val="14"/>
              </w:rPr>
            </w:pPr>
            <w:r>
              <w:rPr>
                <w:rFonts w:ascii="Constantia"/>
                <w:w w:val="110"/>
                <w:sz w:val="14"/>
              </w:rPr>
              <w:t>N.S.</w:t>
            </w:r>
          </w:p>
        </w:tc>
        <w:tc>
          <w:tcPr>
            <w:tcW w:w="712" w:type="dxa"/>
          </w:tcPr>
          <w:p>
            <w:pPr>
              <w:pStyle w:val="TableParagraph"/>
              <w:spacing w:before="25"/>
              <w:ind w:left="186" w:right="212"/>
              <w:rPr>
                <w:rFonts w:ascii="Constantia"/>
                <w:sz w:val="14"/>
              </w:rPr>
            </w:pPr>
            <w:r>
              <w:rPr>
                <w:rFonts w:ascii="Constantia"/>
                <w:w w:val="110"/>
                <w:sz w:val="14"/>
              </w:rPr>
              <w:t>N.S.</w:t>
            </w:r>
          </w:p>
        </w:tc>
      </w:tr>
      <w:tr>
        <w:trPr>
          <w:trHeight w:val="229" w:hRule="exact"/>
        </w:trPr>
        <w:tc>
          <w:tcPr>
            <w:tcW w:w="2672" w:type="dxa"/>
          </w:tcPr>
          <w:p>
            <w:pPr>
              <w:pStyle w:val="TableParagraph"/>
              <w:spacing w:line="204" w:lineRule="exact"/>
              <w:ind w:left="75"/>
              <w:jc w:val="left"/>
              <w:rPr>
                <w:rFonts w:ascii="Constantia" w:hAnsi="Constantia"/>
                <w:sz w:val="17"/>
              </w:rPr>
            </w:pPr>
            <w:r>
              <w:rPr>
                <w:rFonts w:ascii="Constantia" w:hAnsi="Constantia"/>
                <w:w w:val="105"/>
                <w:sz w:val="17"/>
              </w:rPr>
              <w:t>Asignac. De Ing. Fisc. No Gasíf.</w:t>
            </w:r>
          </w:p>
        </w:tc>
        <w:tc>
          <w:tcPr>
            <w:tcW w:w="675" w:type="dxa"/>
          </w:tcPr>
          <w:p>
            <w:pPr>
              <w:pStyle w:val="TableParagraph"/>
              <w:spacing w:before="24"/>
              <w:ind w:left="143" w:right="208"/>
              <w:rPr>
                <w:rFonts w:ascii="Constantia"/>
                <w:sz w:val="14"/>
              </w:rPr>
            </w:pPr>
            <w:r>
              <w:rPr>
                <w:rFonts w:ascii="Constantia"/>
                <w:w w:val="110"/>
                <w:sz w:val="14"/>
              </w:rPr>
              <w:t>N.S.</w:t>
            </w:r>
          </w:p>
        </w:tc>
        <w:tc>
          <w:tcPr>
            <w:tcW w:w="780" w:type="dxa"/>
          </w:tcPr>
          <w:p>
            <w:pPr>
              <w:pStyle w:val="TableParagraph"/>
              <w:spacing w:before="24"/>
              <w:ind w:left="215" w:right="216"/>
              <w:rPr>
                <w:rFonts w:ascii="Constantia"/>
                <w:sz w:val="14"/>
              </w:rPr>
            </w:pPr>
            <w:r>
              <w:rPr>
                <w:rFonts w:ascii="Constantia"/>
                <w:w w:val="110"/>
                <w:sz w:val="14"/>
              </w:rPr>
              <w:t>N.S.</w:t>
            </w:r>
          </w:p>
        </w:tc>
        <w:tc>
          <w:tcPr>
            <w:tcW w:w="707" w:type="dxa"/>
          </w:tcPr>
          <w:p>
            <w:pPr>
              <w:pStyle w:val="TableParagraph"/>
              <w:spacing w:before="24"/>
              <w:ind w:left="213" w:right="181"/>
              <w:rPr>
                <w:rFonts w:ascii="Constantia"/>
                <w:sz w:val="14"/>
              </w:rPr>
            </w:pPr>
            <w:r>
              <w:rPr>
                <w:rFonts w:ascii="Constantia"/>
                <w:w w:val="110"/>
                <w:sz w:val="14"/>
              </w:rPr>
              <w:t>N.S.</w:t>
            </w:r>
          </w:p>
        </w:tc>
        <w:tc>
          <w:tcPr>
            <w:tcW w:w="841" w:type="dxa"/>
          </w:tcPr>
          <w:p>
            <w:pPr>
              <w:pStyle w:val="TableParagraph"/>
              <w:spacing w:before="24"/>
              <w:ind w:left="185" w:right="181"/>
              <w:rPr>
                <w:rFonts w:ascii="Constantia"/>
                <w:sz w:val="14"/>
              </w:rPr>
            </w:pPr>
            <w:r>
              <w:rPr>
                <w:rFonts w:ascii="Constantia"/>
                <w:w w:val="110"/>
                <w:sz w:val="14"/>
              </w:rPr>
              <w:t>N.S.</w:t>
            </w:r>
          </w:p>
        </w:tc>
        <w:tc>
          <w:tcPr>
            <w:tcW w:w="712" w:type="dxa"/>
          </w:tcPr>
          <w:p>
            <w:pPr>
              <w:pStyle w:val="TableParagraph"/>
              <w:spacing w:before="24"/>
              <w:ind w:left="186" w:right="212"/>
              <w:rPr>
                <w:rFonts w:ascii="Constantia"/>
                <w:sz w:val="14"/>
              </w:rPr>
            </w:pPr>
            <w:r>
              <w:rPr>
                <w:rFonts w:ascii="Constantia"/>
                <w:w w:val="110"/>
                <w:sz w:val="14"/>
              </w:rPr>
              <w:t>N.S.</w:t>
            </w:r>
          </w:p>
        </w:tc>
      </w:tr>
      <w:tr>
        <w:trPr>
          <w:trHeight w:val="217" w:hRule="exact"/>
        </w:trPr>
        <w:tc>
          <w:tcPr>
            <w:tcW w:w="2672" w:type="dxa"/>
            <w:tcBorders>
              <w:bottom w:val="double" w:sz="4" w:space="0" w:color="000000"/>
            </w:tcBorders>
          </w:tcPr>
          <w:p>
            <w:pPr>
              <w:pStyle w:val="TableParagraph"/>
              <w:spacing w:line="204" w:lineRule="exact"/>
              <w:ind w:left="28"/>
              <w:jc w:val="left"/>
              <w:rPr>
                <w:rFonts w:ascii="Constantia"/>
                <w:sz w:val="17"/>
              </w:rPr>
            </w:pPr>
            <w:r>
              <w:rPr>
                <w:rFonts w:ascii="Constantia"/>
                <w:w w:val="105"/>
                <w:sz w:val="17"/>
              </w:rPr>
              <w:t>Balance primario/ PIB real</w:t>
            </w:r>
          </w:p>
        </w:tc>
        <w:tc>
          <w:tcPr>
            <w:tcW w:w="675" w:type="dxa"/>
            <w:tcBorders>
              <w:bottom w:val="double" w:sz="4" w:space="0" w:color="000000"/>
            </w:tcBorders>
          </w:tcPr>
          <w:p>
            <w:pPr>
              <w:pStyle w:val="TableParagraph"/>
              <w:spacing w:before="24"/>
              <w:ind w:left="143" w:right="208"/>
              <w:rPr>
                <w:rFonts w:ascii="Constantia"/>
                <w:sz w:val="14"/>
              </w:rPr>
            </w:pPr>
            <w:r>
              <w:rPr>
                <w:rFonts w:ascii="Constantia"/>
                <w:w w:val="110"/>
                <w:sz w:val="14"/>
              </w:rPr>
              <w:t>N.S.</w:t>
            </w:r>
          </w:p>
        </w:tc>
        <w:tc>
          <w:tcPr>
            <w:tcW w:w="780" w:type="dxa"/>
            <w:tcBorders>
              <w:bottom w:val="double" w:sz="4" w:space="0" w:color="000000"/>
            </w:tcBorders>
          </w:tcPr>
          <w:p>
            <w:pPr>
              <w:pStyle w:val="TableParagraph"/>
              <w:spacing w:before="24"/>
              <w:ind w:left="215" w:right="216"/>
              <w:rPr>
                <w:rFonts w:ascii="Constantia"/>
                <w:sz w:val="14"/>
              </w:rPr>
            </w:pPr>
            <w:r>
              <w:rPr>
                <w:rFonts w:ascii="Constantia"/>
                <w:w w:val="110"/>
                <w:sz w:val="14"/>
              </w:rPr>
              <w:t>N.S.</w:t>
            </w:r>
          </w:p>
        </w:tc>
        <w:tc>
          <w:tcPr>
            <w:tcW w:w="707" w:type="dxa"/>
            <w:tcBorders>
              <w:bottom w:val="double" w:sz="4" w:space="0" w:color="000000"/>
            </w:tcBorders>
          </w:tcPr>
          <w:p>
            <w:pPr>
              <w:pStyle w:val="TableParagraph"/>
              <w:spacing w:before="24"/>
              <w:ind w:left="213" w:right="181"/>
              <w:rPr>
                <w:rFonts w:ascii="Constantia"/>
                <w:sz w:val="14"/>
              </w:rPr>
            </w:pPr>
            <w:r>
              <w:rPr>
                <w:rFonts w:ascii="Constantia"/>
                <w:w w:val="110"/>
                <w:sz w:val="14"/>
              </w:rPr>
              <w:t>N.S.</w:t>
            </w:r>
          </w:p>
        </w:tc>
        <w:tc>
          <w:tcPr>
            <w:tcW w:w="841" w:type="dxa"/>
            <w:tcBorders>
              <w:bottom w:val="double" w:sz="4" w:space="0" w:color="000000"/>
            </w:tcBorders>
          </w:tcPr>
          <w:p>
            <w:pPr>
              <w:pStyle w:val="TableParagraph"/>
              <w:spacing w:before="24"/>
              <w:ind w:left="185" w:right="181"/>
              <w:rPr>
                <w:rFonts w:ascii="Constantia"/>
                <w:sz w:val="14"/>
              </w:rPr>
            </w:pPr>
            <w:r>
              <w:rPr>
                <w:rFonts w:ascii="Constantia"/>
                <w:w w:val="110"/>
                <w:sz w:val="14"/>
              </w:rPr>
              <w:t>N.S.</w:t>
            </w:r>
          </w:p>
        </w:tc>
        <w:tc>
          <w:tcPr>
            <w:tcW w:w="712" w:type="dxa"/>
            <w:tcBorders>
              <w:bottom w:val="double" w:sz="4" w:space="0" w:color="000000"/>
            </w:tcBorders>
          </w:tcPr>
          <w:p>
            <w:pPr>
              <w:pStyle w:val="TableParagraph"/>
              <w:spacing w:before="24"/>
              <w:ind w:left="186" w:right="212"/>
              <w:rPr>
                <w:rFonts w:ascii="Constantia"/>
                <w:sz w:val="14"/>
              </w:rPr>
            </w:pPr>
            <w:r>
              <w:rPr>
                <w:rFonts w:ascii="Constantia"/>
                <w:w w:val="110"/>
                <w:sz w:val="14"/>
              </w:rPr>
              <w:t>N.S.</w:t>
            </w:r>
          </w:p>
        </w:tc>
      </w:tr>
    </w:tbl>
    <w:p>
      <w:pPr>
        <w:spacing w:line="268" w:lineRule="auto" w:before="72"/>
        <w:ind w:left="1383" w:right="1198" w:firstLine="0"/>
        <w:jc w:val="left"/>
        <w:rPr>
          <w:rFonts w:ascii="Constantia"/>
          <w:sz w:val="14"/>
        </w:rPr>
      </w:pPr>
      <w:r>
        <w:rPr>
          <w:rFonts w:ascii="Constantia"/>
          <w:w w:val="110"/>
          <w:sz w:val="14"/>
        </w:rPr>
        <w:t>N.S. = No significativo; (+ ) denota un efecto positivo; (-) denota un efecto negativo; se indica nivel de significancia: *, ** y *** al 5%; 1%; y 0.01% de forma respectiva.</w:t>
      </w:r>
    </w:p>
    <w:p>
      <w:pPr>
        <w:spacing w:before="73"/>
        <w:ind w:left="1538" w:right="342" w:firstLine="0"/>
        <w:jc w:val="left"/>
        <w:rPr>
          <w:sz w:val="20"/>
        </w:rPr>
      </w:pPr>
      <w:r>
        <w:rPr>
          <w:sz w:val="20"/>
        </w:rPr>
        <w:t>Asignac. De Ing. Fisc. Gasíf.: es la razón de Gasto de capital/ Ing. Fisc. Gasíferos Asignac. De Ing. Fisc. No Gasíf.: es la razón Gasto corriente/ Ing. Fisc. No Gasíferos Fuente: Estimaciones propias.</w:t>
      </w:r>
    </w:p>
    <w:p>
      <w:pPr>
        <w:pStyle w:val="BodyText"/>
        <w:rPr>
          <w:sz w:val="20"/>
        </w:rPr>
      </w:pPr>
    </w:p>
    <w:p>
      <w:pPr>
        <w:pStyle w:val="BodyText"/>
        <w:spacing w:before="2"/>
        <w:rPr>
          <w:sz w:val="21"/>
        </w:rPr>
      </w:pPr>
    </w:p>
    <w:p>
      <w:pPr>
        <w:pStyle w:val="Heading4"/>
        <w:numPr>
          <w:ilvl w:val="2"/>
          <w:numId w:val="18"/>
        </w:numPr>
        <w:tabs>
          <w:tab w:pos="983" w:val="left" w:leader="none"/>
          <w:tab w:pos="984" w:val="left" w:leader="none"/>
        </w:tabs>
        <w:spacing w:line="360" w:lineRule="auto" w:before="1" w:after="0"/>
        <w:ind w:left="983" w:right="114" w:hanging="720"/>
        <w:jc w:val="left"/>
      </w:pPr>
      <w:bookmarkStart w:name="_bookmark140" w:id="191"/>
      <w:bookmarkEnd w:id="191"/>
      <w:r>
        <w:rPr>
          <w:b w:val="0"/>
        </w:rPr>
      </w:r>
      <w:bookmarkStart w:name="_bookmark140" w:id="192"/>
      <w:bookmarkEnd w:id="192"/>
      <w:r>
        <w:rPr/>
        <w:t>E</w:t>
      </w:r>
      <w:r>
        <w:rPr/>
        <w:t>scenarios de reglas fiscales para Bolivia en función de la asignación de ingresos fiscales gasíferos y no</w:t>
      </w:r>
      <w:r>
        <w:rPr>
          <w:spacing w:val="-6"/>
        </w:rPr>
        <w:t> </w:t>
      </w:r>
      <w:r>
        <w:rPr/>
        <w:t>gasíferos</w:t>
      </w:r>
    </w:p>
    <w:p>
      <w:pPr>
        <w:pStyle w:val="BodyText"/>
        <w:spacing w:line="360" w:lineRule="auto" w:before="59"/>
        <w:ind w:left="122" w:right="116" w:firstLine="707"/>
        <w:jc w:val="both"/>
      </w:pPr>
      <w:r>
        <w:rPr/>
        <w:t>En las secciones anteriores se evaluaron los choques estructurales que afectan a la posición fisca, cuyas mediciones se relacionaron con la </w:t>
      </w:r>
      <w:r>
        <w:rPr>
          <w:i/>
        </w:rPr>
        <w:t>hipótesis 1</w:t>
      </w:r>
      <w:r>
        <w:rPr/>
        <w:t>. El objetivo de este apartado se vincula con la </w:t>
      </w:r>
      <w:r>
        <w:rPr>
          <w:i/>
        </w:rPr>
        <w:t>hipótesis 2</w:t>
      </w:r>
      <w:r>
        <w:rPr/>
        <w:t>; es decir, evaluar escenarios de reglas fiscales que mejoren el prospecto de la deuda pública en el corto y mediano plazo.</w:t>
      </w:r>
    </w:p>
    <w:p>
      <w:pPr>
        <w:pStyle w:val="BodyText"/>
        <w:spacing w:line="360" w:lineRule="auto" w:before="4"/>
        <w:ind w:left="122" w:right="115" w:firstLine="707"/>
        <w:jc w:val="both"/>
      </w:pPr>
      <w:r>
        <w:rPr/>
        <w:t>Los resultados de los escenarios de reglas fiscales, en comparación con el escenario base (</w:t>
      </w:r>
      <w:r>
        <w:rPr>
          <w:i/>
        </w:rPr>
        <w:t>cuadro 4.11</w:t>
      </w:r>
      <w:r>
        <w:rPr/>
        <w:t>), señalan tres aspectos: 1) mayor canalización de ingresos fiscales del recurso natural hacia el gasto de capital, la deuda pública es mayor; 2) mayor gasto de capital requiere menores gastos de corrientes en términos de ingresos fiscales no gasíferos (efecto </w:t>
      </w:r>
      <w:r>
        <w:rPr>
          <w:i/>
        </w:rPr>
        <w:t>trade-off</w:t>
      </w:r>
      <w:r>
        <w:rPr/>
        <w:t>, tercer columna del cuadro); 3) cuando los ingresos fiscales gasíferos se</w:t>
      </w:r>
    </w:p>
    <w:p>
      <w:pPr>
        <w:pStyle w:val="BodyText"/>
        <w:spacing w:line="328" w:lineRule="auto" w:before="6"/>
        <w:ind w:left="122" w:right="115"/>
        <w:rPr>
          <w:sz w:val="16"/>
        </w:rPr>
      </w:pPr>
      <w:r>
        <w:rPr/>
        <w:t>canalizan en menor proporción al gasto de capital exige mayores resultados fiscales (superávits).</w:t>
      </w:r>
      <w:r>
        <w:rPr>
          <w:position w:val="11"/>
          <w:sz w:val="16"/>
        </w:rPr>
        <w:t>75</w:t>
      </w:r>
    </w:p>
    <w:p>
      <w:pPr>
        <w:pStyle w:val="BodyText"/>
        <w:spacing w:line="360" w:lineRule="auto" w:before="27"/>
        <w:ind w:left="122" w:right="118" w:firstLine="707"/>
        <w:jc w:val="both"/>
      </w:pPr>
      <w:r>
        <w:rPr/>
        <w:t>En el </w:t>
      </w:r>
      <w:r>
        <w:rPr>
          <w:i/>
        </w:rPr>
        <w:t>cuadro 4.11</w:t>
      </w:r>
      <w:r>
        <w:rPr/>
        <w:t>, los escenarios de reglas fiscales basados en distintas magnitudes de canalización de ingresos fiscales del recurso natural hacia el gasto de capital reflejaron menor nivel de </w:t>
      </w:r>
      <w:r>
        <w:rPr>
          <w:i/>
        </w:rPr>
        <w:t>deuda pública a PIB máxima </w:t>
      </w:r>
      <w:r>
        <w:rPr/>
        <w:t>en comparación con el escenario base (sin regla fiscal).</w:t>
      </w:r>
    </w:p>
    <w:p>
      <w:pPr>
        <w:pStyle w:val="BodyText"/>
        <w:rPr>
          <w:sz w:val="20"/>
        </w:rPr>
      </w:pPr>
    </w:p>
    <w:p>
      <w:pPr>
        <w:pStyle w:val="BodyText"/>
        <w:rPr>
          <w:sz w:val="20"/>
        </w:rPr>
      </w:pPr>
    </w:p>
    <w:p>
      <w:pPr>
        <w:pStyle w:val="BodyText"/>
        <w:rPr>
          <w:sz w:val="20"/>
        </w:rPr>
      </w:pPr>
    </w:p>
    <w:p>
      <w:pPr>
        <w:pStyle w:val="BodyText"/>
        <w:spacing w:before="8"/>
        <w:rPr>
          <w:sz w:val="11"/>
        </w:rPr>
      </w:pPr>
      <w:r>
        <w:rPr/>
        <w:pict>
          <v:line style="position:absolute;mso-position-horizontal-relative:page;mso-position-vertical-relative:paragraph;z-index:13480;mso-wrap-distance-left:0;mso-wrap-distance-right:0" from="85.103996pt,9.002712pt" to="229.123996pt,9.002712pt" stroked="true" strokeweight=".599980pt" strokecolor="#000000">
            <w10:wrap type="topAndBottom"/>
          </v:line>
        </w:pict>
      </w:r>
    </w:p>
    <w:p>
      <w:pPr>
        <w:spacing w:before="50"/>
        <w:ind w:left="122" w:right="115" w:firstLine="0"/>
        <w:jc w:val="left"/>
        <w:rPr>
          <w:sz w:val="20"/>
        </w:rPr>
      </w:pPr>
      <w:r>
        <w:rPr>
          <w:position w:val="9"/>
          <w:sz w:val="13"/>
        </w:rPr>
        <w:t>75 </w:t>
      </w:r>
      <w:r>
        <w:rPr>
          <w:sz w:val="20"/>
        </w:rPr>
        <w:t>Los valores de convergencia no fueron aplicables para el balance primario no petrolero debido a la no inclusión de  simulaciones de largo plazo (al menos 20 años) que pudieran mostrar un  efect</w:t>
      </w:r>
      <w:r>
        <w:rPr>
          <w:w w:val="199"/>
          <w:sz w:val="20"/>
        </w:rPr>
        <w:t> </w:t>
      </w:r>
      <w:r>
        <w:rPr>
          <w:sz w:val="20"/>
        </w:rPr>
        <w:t> </w:t>
      </w:r>
      <w:r>
        <w:rPr>
          <w:w w:val="154"/>
          <w:sz w:val="20"/>
        </w:rPr>
        <w:t>   </w:t>
      </w:r>
      <w:r>
        <w:rPr>
          <w:w w:val="199"/>
          <w:sz w:val="20"/>
        </w:rPr>
        <w:t> </w:t>
      </w:r>
      <w:r>
        <w:rPr>
          <w:w w:val="110"/>
          <w:sz w:val="20"/>
        </w:rPr>
        <w:t> </w:t>
      </w:r>
      <w:r>
        <w:rPr>
          <w:w w:val="132"/>
          <w:sz w:val="20"/>
        </w:rPr>
        <w:t> </w:t>
      </w:r>
      <w:r>
        <w:rPr>
          <w:w w:val="143"/>
          <w:sz w:val="20"/>
        </w:rPr>
        <w:t>    </w:t>
      </w:r>
      <w:r>
        <w:rPr>
          <w:w w:val="154"/>
          <w:sz w:val="20"/>
        </w:rPr>
        <w:t>  </w:t>
      </w:r>
      <w:r>
        <w:rPr>
          <w:w w:val="199"/>
          <w:sz w:val="20"/>
        </w:rPr>
        <w:t> </w:t>
      </w:r>
      <w:r>
        <w:rPr>
          <w:sz w:val="20"/>
        </w:rPr>
        <w:t> </w:t>
      </w:r>
      <w:r>
        <w:rPr>
          <w:w w:val="199"/>
          <w:sz w:val="20"/>
        </w:rPr>
        <w:t> </w:t>
      </w:r>
      <w:r>
        <w:rPr>
          <w:w w:val="176"/>
          <w:sz w:val="20"/>
        </w:rPr>
        <w:t> </w:t>
      </w:r>
    </w:p>
    <w:p>
      <w:pPr>
        <w:spacing w:before="0"/>
        <w:ind w:left="122" w:right="0" w:firstLine="0"/>
        <w:jc w:val="left"/>
        <w:rPr>
          <w:sz w:val="20"/>
        </w:rPr>
      </w:pPr>
      <w:r>
        <w:rPr>
          <w:w w:val="154"/>
          <w:sz w:val="20"/>
        </w:rPr>
        <w:t>    </w:t>
      </w:r>
      <w:r>
        <w:rPr>
          <w:spacing w:val="-1"/>
          <w:sz w:val="20"/>
        </w:rPr>
        <w:t> </w:t>
      </w:r>
      <w:r>
        <w:rPr>
          <w:spacing w:val="1"/>
          <w:w w:val="132"/>
          <w:sz w:val="20"/>
        </w:rPr>
        <w:t> </w:t>
      </w:r>
      <w:r>
        <w:rPr>
          <w:w w:val="177"/>
          <w:sz w:val="20"/>
        </w:rPr>
        <w:t>  </w:t>
      </w:r>
      <w:r>
        <w:rPr>
          <w:spacing w:val="-2"/>
          <w:w w:val="177"/>
          <w:sz w:val="20"/>
        </w:rPr>
        <w:t> </w:t>
      </w:r>
      <w:r>
        <w:rPr>
          <w:spacing w:val="2"/>
          <w:w w:val="110"/>
          <w:sz w:val="20"/>
        </w:rPr>
        <w:t> </w:t>
      </w:r>
      <w:r>
        <w:rPr>
          <w:w w:val="162"/>
          <w:sz w:val="20"/>
        </w:rPr>
        <w:t>  </w:t>
      </w:r>
      <w:r>
        <w:rPr>
          <w:spacing w:val="1"/>
          <w:w w:val="162"/>
          <w:sz w:val="20"/>
        </w:rPr>
        <w:t> </w:t>
      </w:r>
      <w:r>
        <w:rPr>
          <w:w w:val="199"/>
          <w:sz w:val="20"/>
        </w:rPr>
        <w:t> </w:t>
      </w:r>
      <w:r>
        <w:rPr>
          <w:spacing w:val="1"/>
          <w:sz w:val="20"/>
        </w:rPr>
        <w:t> </w:t>
      </w:r>
      <w:r>
        <w:rPr>
          <w:spacing w:val="-2"/>
          <w:w w:val="132"/>
          <w:sz w:val="20"/>
        </w:rPr>
        <w:t> </w:t>
      </w:r>
      <w:r>
        <w:rPr>
          <w:w w:val="132"/>
          <w:sz w:val="20"/>
        </w:rPr>
        <w:t> </w:t>
      </w:r>
      <w:r>
        <w:rPr>
          <w:spacing w:val="-1"/>
          <w:w w:val="132"/>
          <w:sz w:val="20"/>
        </w:rPr>
        <w:t> </w:t>
      </w:r>
      <w:r>
        <w:rPr>
          <w:w w:val="176"/>
          <w:sz w:val="20"/>
        </w:rPr>
        <w:t>  </w:t>
      </w:r>
      <w:r>
        <w:rPr>
          <w:w w:val="110"/>
          <w:sz w:val="20"/>
        </w:rPr>
        <w:t> </w:t>
      </w:r>
      <w:r>
        <w:rPr>
          <w:spacing w:val="-1"/>
          <w:sz w:val="20"/>
        </w:rPr>
        <w:t> </w:t>
      </w:r>
      <w:r>
        <w:rPr>
          <w:w w:val="1"/>
          <w:sz w:val="20"/>
        </w:rPr>
        <w:t> </w:t>
      </w:r>
      <w:r>
        <w:rPr>
          <w:sz w:val="20"/>
        </w:rPr>
        <w:t> </w:t>
      </w:r>
      <w:r>
        <w:rPr>
          <w:spacing w:val="1"/>
          <w:w w:val="199"/>
          <w:sz w:val="20"/>
        </w:rPr>
        <w:t> </w:t>
      </w:r>
      <w:r>
        <w:rPr>
          <w:w w:val="154"/>
          <w:sz w:val="20"/>
        </w:rPr>
        <w:t> </w:t>
      </w:r>
      <w:r>
        <w:rPr>
          <w:spacing w:val="1"/>
          <w:w w:val="154"/>
          <w:sz w:val="20"/>
        </w:rPr>
        <w:t> </w:t>
      </w:r>
      <w:r>
        <w:rPr>
          <w:w w:val="176"/>
          <w:sz w:val="20"/>
        </w:rPr>
        <w:t> </w:t>
      </w:r>
      <w:r>
        <w:rPr>
          <w:sz w:val="20"/>
        </w:rPr>
        <w:t> </w:t>
      </w:r>
      <w:r>
        <w:rPr>
          <w:w w:val="154"/>
          <w:sz w:val="20"/>
        </w:rPr>
        <w:t> </w:t>
      </w:r>
      <w:r>
        <w:rPr>
          <w:spacing w:val="-2"/>
          <w:w w:val="154"/>
          <w:sz w:val="20"/>
        </w:rPr>
        <w:t> </w:t>
      </w:r>
      <w:r>
        <w:rPr>
          <w:w w:val="140"/>
          <w:sz w:val="20"/>
        </w:rPr>
        <w:t>  </w:t>
      </w:r>
      <w:r>
        <w:rPr>
          <w:spacing w:val="3"/>
          <w:w w:val="140"/>
          <w:sz w:val="20"/>
        </w:rPr>
        <w:t> </w:t>
      </w:r>
      <w:r>
        <w:rPr>
          <w:spacing w:val="1"/>
          <w:w w:val="199"/>
          <w:sz w:val="20"/>
        </w:rPr>
        <w:t> </w:t>
      </w:r>
      <w:r>
        <w:rPr>
          <w:w w:val="132"/>
          <w:sz w:val="20"/>
        </w:rPr>
        <w:t> </w:t>
      </w:r>
      <w:r>
        <w:rPr>
          <w:w w:val="160"/>
          <w:sz w:val="20"/>
        </w:rPr>
        <w:t>    </w:t>
      </w:r>
      <w:r>
        <w:rPr>
          <w:w w:val="154"/>
          <w:sz w:val="20"/>
        </w:rPr>
        <w:t>  </w:t>
      </w:r>
      <w:r>
        <w:rPr>
          <w:w w:val="199"/>
          <w:sz w:val="20"/>
        </w:rPr>
        <w:t> </w:t>
      </w:r>
      <w:r>
        <w:rPr>
          <w:spacing w:val="-1"/>
          <w:sz w:val="20"/>
        </w:rPr>
        <w:t> </w:t>
      </w:r>
      <w:r>
        <w:rPr>
          <w:w w:val="176"/>
          <w:sz w:val="20"/>
        </w:rPr>
        <w:t>  </w:t>
      </w:r>
      <w:r>
        <w:rPr>
          <w:spacing w:val="1"/>
          <w:w w:val="199"/>
          <w:sz w:val="20"/>
        </w:rPr>
        <w:t> </w:t>
      </w:r>
      <w:r>
        <w:rPr>
          <w:spacing w:val="-2"/>
          <w:w w:val="199"/>
          <w:sz w:val="20"/>
        </w:rPr>
        <w:t> </w:t>
      </w:r>
      <w:r>
        <w:rPr>
          <w:spacing w:val="3"/>
          <w:w w:val="199"/>
          <w:sz w:val="20"/>
        </w:rPr>
        <w:t> </w:t>
      </w:r>
      <w:r>
        <w:rPr>
          <w:spacing w:val="-4"/>
          <w:w w:val="309"/>
          <w:sz w:val="20"/>
        </w:rPr>
        <w:t> </w:t>
      </w:r>
      <w:r>
        <w:rPr>
          <w:w w:val="154"/>
          <w:sz w:val="20"/>
        </w:rPr>
        <w:t>   </w:t>
      </w:r>
      <w:r>
        <w:rPr>
          <w:sz w:val="20"/>
        </w:rPr>
        <w:t> </w:t>
      </w:r>
      <w:r>
        <w:rPr>
          <w:w w:val="49"/>
          <w:sz w:val="20"/>
        </w:rPr>
        <w:t>  </w:t>
      </w:r>
    </w:p>
    <w:p>
      <w:pPr>
        <w:spacing w:after="0"/>
        <w:jc w:val="left"/>
        <w:rPr>
          <w:sz w:val="20"/>
        </w:rPr>
        <w:sectPr>
          <w:pgSz w:w="12250" w:h="15850"/>
          <w:pgMar w:header="0" w:footer="1037" w:top="1360" w:bottom="1220" w:left="1580" w:right="1580"/>
        </w:sectPr>
      </w:pPr>
    </w:p>
    <w:p>
      <w:pPr>
        <w:pStyle w:val="BodyText"/>
        <w:spacing w:line="276" w:lineRule="auto" w:before="50"/>
        <w:ind w:left="2286" w:right="1247" w:hanging="1088"/>
      </w:pPr>
      <w:bookmarkStart w:name="_bookmark141" w:id="193"/>
      <w:bookmarkEnd w:id="193"/>
      <w:r>
        <w:rPr/>
      </w:r>
      <w:r>
        <w:rPr/>
        <w:t>Cuadro 4. 11: Deuda pública máxima a corto y mediano plazo - 2016 (En términos del PIB, al 90% de confianza)</w:t>
      </w:r>
    </w:p>
    <w:p>
      <w:pPr>
        <w:pStyle w:val="BodyText"/>
        <w:spacing w:before="3"/>
        <w:rPr>
          <w:sz w:val="16"/>
        </w:rPr>
      </w:pPr>
    </w:p>
    <w:p>
      <w:pPr>
        <w:spacing w:line="264" w:lineRule="auto" w:before="72"/>
        <w:ind w:left="1748" w:right="5834" w:firstLine="5"/>
        <w:jc w:val="center"/>
        <w:rPr>
          <w:rFonts w:ascii="Constantia" w:hAnsi="Constantia"/>
          <w:sz w:val="15"/>
        </w:rPr>
      </w:pPr>
      <w:r>
        <w:rPr/>
        <w:pict>
          <v:group style="position:absolute;margin-left:249.477936pt;margin-top:-3.80849pt;width:278.8pt;height:54.6pt;mso-position-horizontal-relative:page;mso-position-vertical-relative:paragraph;z-index:-558448" coordorigin="4990,-76" coordsize="5576,1092">
            <v:rect style="position:absolute;left:7415;top:-60;width:1132;height:49" filled="true" fillcolor="#fdfdfd" stroked="false">
              <v:fill type="solid"/>
            </v:rect>
            <v:rect style="position:absolute;left:7415;top:-11;width:1132;height:105" filled="true" fillcolor="#fcfcfc" stroked="false">
              <v:fill type="solid"/>
            </v:rect>
            <v:rect style="position:absolute;left:7415;top:94;width:1132;height:49" filled="true" fillcolor="#fbfbfb" stroked="false">
              <v:fill type="solid"/>
            </v:rect>
            <v:rect style="position:absolute;left:7415;top:142;width:1132;height:56" filled="true" fillcolor="#fafafa" stroked="false">
              <v:fill type="solid"/>
            </v:rect>
            <v:rect style="position:absolute;left:7415;top:199;width:1132;height:49" filled="true" fillcolor="#f9f9f9" stroked="false">
              <v:fill type="solid"/>
            </v:rect>
            <v:rect style="position:absolute;left:7415;top:247;width:1132;height:105" filled="true" fillcolor="#f8f8f8" stroked="false">
              <v:fill type="solid"/>
            </v:rect>
            <v:rect style="position:absolute;left:7415;top:352;width:1132;height:57" filled="true" fillcolor="#f8f8f8" stroked="false">
              <v:fill type="solid"/>
            </v:rect>
            <v:rect style="position:absolute;left:7415;top:409;width:1132;height:48" filled="true" fillcolor="#f7f7f7" stroked="false">
              <v:fill type="solid"/>
            </v:rect>
            <v:rect style="position:absolute;left:7415;top:457;width:1132;height:57" filled="true" fillcolor="#f6f6f6" stroked="false">
              <v:fill type="solid"/>
            </v:rect>
            <v:rect style="position:absolute;left:7415;top:514;width:1132;height:48" filled="true" fillcolor="#f5f5f5" stroked="false">
              <v:fill type="solid"/>
            </v:rect>
            <v:rect style="position:absolute;left:7415;top:563;width:1132;height:105" filled="true" fillcolor="#f4f4f4" stroked="false">
              <v:fill type="solid"/>
            </v:rect>
            <v:rect style="position:absolute;left:7415;top:668;width:1132;height:48" filled="true" fillcolor="#f3f3f3" stroked="false">
              <v:fill type="solid"/>
            </v:rect>
            <v:rect style="position:absolute;left:7415;top:716;width:1132;height:33" filled="true" fillcolor="#f1f1f1" stroked="false">
              <v:fill type="solid"/>
            </v:rect>
            <v:rect style="position:absolute;left:9332;top:-60;width:1229;height:49" filled="true" fillcolor="#fdfdfd" stroked="false">
              <v:fill type="solid"/>
            </v:rect>
            <v:rect style="position:absolute;left:9332;top:-11;width:1229;height:105" filled="true" fillcolor="#fcfcfc" stroked="false">
              <v:fill type="solid"/>
            </v:rect>
            <v:rect style="position:absolute;left:9332;top:94;width:1229;height:49" filled="true" fillcolor="#fbfbfb" stroked="false">
              <v:fill type="solid"/>
            </v:rect>
            <v:rect style="position:absolute;left:9332;top:142;width:1229;height:56" filled="true" fillcolor="#fafafa" stroked="false">
              <v:fill type="solid"/>
            </v:rect>
            <v:rect style="position:absolute;left:9332;top:199;width:1229;height:49" filled="true" fillcolor="#f9f9f9" stroked="false">
              <v:fill type="solid"/>
            </v:rect>
            <v:rect style="position:absolute;left:9332;top:247;width:1229;height:105" filled="true" fillcolor="#f8f8f8" stroked="false">
              <v:fill type="solid"/>
            </v:rect>
            <v:rect style="position:absolute;left:9332;top:352;width:1229;height:57" filled="true" fillcolor="#f8f8f8" stroked="false">
              <v:fill type="solid"/>
            </v:rect>
            <v:rect style="position:absolute;left:9332;top:409;width:1229;height:48" filled="true" fillcolor="#f7f7f7" stroked="false">
              <v:fill type="solid"/>
            </v:rect>
            <v:rect style="position:absolute;left:9332;top:457;width:1229;height:57" filled="true" fillcolor="#f6f6f6" stroked="false">
              <v:fill type="solid"/>
            </v:rect>
            <v:rect style="position:absolute;left:9332;top:514;width:1229;height:48" filled="true" fillcolor="#f5f5f5" stroked="false">
              <v:fill type="solid"/>
            </v:rect>
            <v:rect style="position:absolute;left:9332;top:563;width:1229;height:105" filled="true" fillcolor="#f4f4f4" stroked="false">
              <v:fill type="solid"/>
            </v:rect>
            <v:rect style="position:absolute;left:9332;top:668;width:1229;height:48" filled="true" fillcolor="#f3f3f3" stroked="false">
              <v:fill type="solid"/>
            </v:rect>
            <v:rect style="position:absolute;left:9332;top:716;width:1229;height:33" filled="true" fillcolor="#f1f1f1" stroked="false">
              <v:fill type="solid"/>
            </v:rect>
            <v:shape style="position:absolute;left:4990;top:-76;width:1391;height:1092" type="#_x0000_t75" stroked="false">
              <v:imagedata r:id="rId314" o:title=""/>
            </v:shape>
            <v:line style="position:absolute" from="6384,736" to="10557,736" stroked="true" strokeweight=".403084pt" strokecolor="#000000"/>
            <v:line style="position:absolute" from="6380,736" to="10561,736" stroked="true" strokeweight=".403084pt" strokecolor="#000000"/>
            <v:line style="position:absolute" from="6384,753" to="10557,753" stroked="true" strokeweight=".403084pt" strokecolor="#000000"/>
            <v:line style="position:absolute" from="6380,753" to="10561,753" stroked="true" strokeweight=".403084pt" strokecolor="#000000"/>
            <v:shape style="position:absolute;left:5119;top:197;width:1133;height:558" type="#_x0000_t202" filled="false" stroked="false">
              <v:textbox inset="0,0,0,0">
                <w:txbxContent>
                  <w:p>
                    <w:pPr>
                      <w:spacing w:line="156" w:lineRule="exact" w:before="0"/>
                      <w:ind w:left="0" w:right="-15" w:firstLine="16"/>
                      <w:jc w:val="left"/>
                      <w:rPr>
                        <w:rFonts w:ascii="Constantia"/>
                        <w:sz w:val="15"/>
                      </w:rPr>
                    </w:pPr>
                    <w:r>
                      <w:rPr>
                        <w:rFonts w:ascii="Constantia"/>
                        <w:sz w:val="15"/>
                      </w:rPr>
                      <w:t>Gasto Corriente/</w:t>
                    </w:r>
                  </w:p>
                  <w:p>
                    <w:pPr>
                      <w:spacing w:line="264" w:lineRule="auto" w:before="19"/>
                      <w:ind w:left="266" w:right="-15" w:hanging="267"/>
                      <w:jc w:val="left"/>
                      <w:rPr>
                        <w:rFonts w:ascii="Constantia" w:hAnsi="Constantia"/>
                        <w:sz w:val="15"/>
                      </w:rPr>
                    </w:pPr>
                    <w:r>
                      <w:rPr>
                        <w:rFonts w:ascii="Constantia" w:hAnsi="Constantia"/>
                        <w:w w:val="105"/>
                        <w:sz w:val="15"/>
                      </w:rPr>
                      <w:t>Ingresos</w:t>
                    </w:r>
                    <w:r>
                      <w:rPr>
                        <w:rFonts w:ascii="Constantia" w:hAnsi="Constantia"/>
                        <w:spacing w:val="-17"/>
                        <w:w w:val="105"/>
                        <w:sz w:val="15"/>
                      </w:rPr>
                      <w:t> </w:t>
                    </w:r>
                    <w:r>
                      <w:rPr>
                        <w:rFonts w:ascii="Constantia" w:hAnsi="Constantia"/>
                        <w:w w:val="105"/>
                        <w:sz w:val="15"/>
                      </w:rPr>
                      <w:t>Fisc.</w:t>
                    </w:r>
                    <w:r>
                      <w:rPr>
                        <w:rFonts w:ascii="Constantia" w:hAnsi="Constantia"/>
                        <w:spacing w:val="-17"/>
                        <w:w w:val="105"/>
                        <w:sz w:val="15"/>
                      </w:rPr>
                      <w:t> </w:t>
                    </w:r>
                    <w:r>
                      <w:rPr>
                        <w:rFonts w:ascii="Constantia" w:hAnsi="Constantia"/>
                        <w:w w:val="105"/>
                        <w:sz w:val="15"/>
                      </w:rPr>
                      <w:t>No Gasíferos</w:t>
                    </w:r>
                  </w:p>
                </w:txbxContent>
              </v:textbox>
              <w10:wrap type="none"/>
            </v:shape>
            <v:shape style="position:absolute;left:8087;top:811;width:765;height:154" type="#_x0000_t202" filled="false" stroked="false">
              <v:textbox inset="0,0,0,0">
                <w:txbxContent>
                  <w:p>
                    <w:pPr>
                      <w:spacing w:line="154" w:lineRule="exact" w:before="0"/>
                      <w:ind w:left="0" w:right="-7" w:firstLine="0"/>
                      <w:jc w:val="left"/>
                      <w:rPr>
                        <w:rFonts w:ascii="Constantia"/>
                        <w:sz w:val="15"/>
                      </w:rPr>
                    </w:pPr>
                    <w:r>
                      <w:rPr>
                        <w:rFonts w:ascii="Constantia"/>
                        <w:sz w:val="15"/>
                      </w:rPr>
                      <w:t>Porcentajes</w:t>
                    </w:r>
                  </w:p>
                </w:txbxContent>
              </v:textbox>
              <w10:wrap type="none"/>
            </v:shape>
            <v:shape style="position:absolute;left:7415;top:-60;width:1133;height:777" type="#_x0000_t202" filled="false" stroked="false">
              <v:textbox inset="0,0,0,0">
                <w:txbxContent>
                  <w:p>
                    <w:pPr>
                      <w:spacing w:line="240" w:lineRule="auto" w:before="9"/>
                      <w:rPr>
                        <w:rFonts w:ascii="Constantia"/>
                        <w:sz w:val="16"/>
                      </w:rPr>
                    </w:pPr>
                  </w:p>
                  <w:p>
                    <w:pPr>
                      <w:spacing w:line="264" w:lineRule="auto" w:before="0"/>
                      <w:ind w:left="234" w:right="0" w:hanging="162"/>
                      <w:jc w:val="left"/>
                      <w:rPr>
                        <w:rFonts w:ascii="Constantia" w:hAnsi="Constantia"/>
                        <w:sz w:val="15"/>
                      </w:rPr>
                    </w:pPr>
                    <w:r>
                      <w:rPr>
                        <w:rFonts w:ascii="Constantia" w:hAnsi="Constantia"/>
                        <w:w w:val="105"/>
                        <w:sz w:val="15"/>
                      </w:rPr>
                      <w:t>Bal. Global Cíc. Ajust./PIB</w:t>
                    </w:r>
                  </w:p>
                </w:txbxContent>
              </v:textbox>
              <w10:wrap type="none"/>
            </v:shape>
            <v:shape style="position:absolute;left:6437;top:269;width:932;height:154" type="#_x0000_t202" filled="false" stroked="false">
              <v:textbox inset="0,0,0,0">
                <w:txbxContent>
                  <w:p>
                    <w:pPr>
                      <w:spacing w:line="154" w:lineRule="exact" w:before="0"/>
                      <w:ind w:left="0" w:right="-12" w:firstLine="0"/>
                      <w:jc w:val="left"/>
                      <w:rPr>
                        <w:rFonts w:ascii="Constantia"/>
                        <w:sz w:val="15"/>
                      </w:rPr>
                    </w:pPr>
                    <w:r>
                      <w:rPr>
                        <w:rFonts w:ascii="Constantia"/>
                        <w:sz w:val="15"/>
                      </w:rPr>
                      <w:t>Bal. Prim./PIB</w:t>
                    </w:r>
                  </w:p>
                </w:txbxContent>
              </v:textbox>
              <w10:wrap type="none"/>
            </v:shape>
            <v:shape style="position:absolute;left:8701;top:67;width:490;height:559" type="#_x0000_t202" filled="false" stroked="false">
              <v:textbox inset="0,0,0,0">
                <w:txbxContent>
                  <w:p>
                    <w:pPr>
                      <w:spacing w:line="156" w:lineRule="exact" w:before="0"/>
                      <w:ind w:left="0" w:right="0" w:firstLine="0"/>
                      <w:jc w:val="center"/>
                      <w:rPr>
                        <w:rFonts w:ascii="Constantia"/>
                        <w:sz w:val="15"/>
                      </w:rPr>
                    </w:pPr>
                    <w:r>
                      <w:rPr>
                        <w:rFonts w:ascii="Constantia"/>
                        <w:w w:val="105"/>
                        <w:sz w:val="15"/>
                      </w:rPr>
                      <w:t>Bal.</w:t>
                    </w:r>
                  </w:p>
                  <w:p>
                    <w:pPr>
                      <w:spacing w:line="266" w:lineRule="auto" w:before="19"/>
                      <w:ind w:left="0" w:right="0" w:firstLine="0"/>
                      <w:jc w:val="center"/>
                      <w:rPr>
                        <w:rFonts w:ascii="Constantia"/>
                        <w:sz w:val="15"/>
                      </w:rPr>
                    </w:pPr>
                    <w:r>
                      <w:rPr>
                        <w:rFonts w:ascii="Constantia"/>
                        <w:sz w:val="15"/>
                      </w:rPr>
                      <w:t>Global/ </w:t>
                    </w:r>
                    <w:r>
                      <w:rPr>
                        <w:rFonts w:ascii="Constantia"/>
                        <w:w w:val="105"/>
                        <w:sz w:val="15"/>
                      </w:rPr>
                      <w:t>PIB</w:t>
                    </w:r>
                  </w:p>
                </w:txbxContent>
              </v:textbox>
              <w10:wrap type="none"/>
            </v:shape>
            <w10:wrap type="none"/>
          </v:group>
        </w:pict>
      </w:r>
      <w:r>
        <w:rPr/>
        <w:pict>
          <v:group style="position:absolute;margin-left:86.953926pt;margin-top:-3.80849pt;width:74.8pt;height:54.6pt;mso-position-horizontal-relative:page;mso-position-vertical-relative:paragraph;z-index:-558400" coordorigin="1739,-76" coordsize="1496,1092">
            <v:shape style="position:absolute;left:1739;top:-76;width:1496;height:1092" type="#_x0000_t75" stroked="false">
              <v:imagedata r:id="rId315" o:title=""/>
            </v:shape>
            <v:shape style="position:absolute;left:1739;top:-76;width:1496;height:1092" type="#_x0000_t202" filled="false" stroked="false">
              <v:textbox inset="0,0,0,0">
                <w:txbxContent>
                  <w:p>
                    <w:pPr>
                      <w:spacing w:line="240" w:lineRule="auto" w:before="1"/>
                      <w:rPr>
                        <w:rFonts w:ascii="Constantia"/>
                        <w:sz w:val="20"/>
                      </w:rPr>
                    </w:pPr>
                  </w:p>
                  <w:p>
                    <w:pPr>
                      <w:spacing w:line="264" w:lineRule="auto" w:before="0"/>
                      <w:ind w:left="32" w:right="40" w:firstLine="5"/>
                      <w:jc w:val="center"/>
                      <w:rPr>
                        <w:rFonts w:ascii="Constantia" w:hAnsi="Constantia"/>
                        <w:sz w:val="15"/>
                      </w:rPr>
                    </w:pPr>
                    <w:r>
                      <w:rPr>
                        <w:rFonts w:ascii="Constantia" w:hAnsi="Constantia"/>
                        <w:w w:val="105"/>
                        <w:sz w:val="15"/>
                      </w:rPr>
                      <w:t>Escenarios de reglas fiscales</w:t>
                    </w:r>
                    <w:r>
                      <w:rPr>
                        <w:rFonts w:ascii="Constantia" w:hAnsi="Constantia"/>
                        <w:spacing w:val="-19"/>
                        <w:w w:val="105"/>
                        <w:sz w:val="15"/>
                      </w:rPr>
                      <w:t> </w:t>
                    </w:r>
                    <w:r>
                      <w:rPr>
                        <w:rFonts w:ascii="Constantia" w:hAnsi="Constantia"/>
                        <w:w w:val="105"/>
                        <w:sz w:val="15"/>
                      </w:rPr>
                      <w:t>(magnitud</w:t>
                    </w:r>
                    <w:r>
                      <w:rPr>
                        <w:rFonts w:ascii="Constantia" w:hAnsi="Constantia"/>
                        <w:spacing w:val="-20"/>
                        <w:w w:val="105"/>
                        <w:sz w:val="15"/>
                      </w:rPr>
                      <w:t> </w:t>
                    </w:r>
                    <w:r>
                      <w:rPr>
                        <w:rFonts w:ascii="Constantia" w:hAnsi="Constantia"/>
                        <w:w w:val="105"/>
                        <w:sz w:val="15"/>
                      </w:rPr>
                      <w:t>de canalización):</w:t>
                    </w:r>
                  </w:p>
                </w:txbxContent>
              </v:textbox>
              <w10:wrap type="none"/>
            </v:shape>
            <w10:wrap type="none"/>
          </v:group>
        </w:pict>
      </w:r>
      <w:r>
        <w:rPr>
          <w:rFonts w:ascii="Constantia" w:hAnsi="Constantia"/>
          <w:w w:val="105"/>
          <w:sz w:val="15"/>
        </w:rPr>
        <w:t>Porcentaje</w:t>
      </w:r>
      <w:r>
        <w:rPr>
          <w:rFonts w:ascii="Constantia" w:hAnsi="Constantia"/>
          <w:spacing w:val="-21"/>
          <w:w w:val="105"/>
          <w:sz w:val="15"/>
        </w:rPr>
        <w:t> </w:t>
      </w:r>
      <w:r>
        <w:rPr>
          <w:rFonts w:ascii="Constantia" w:hAnsi="Constantia"/>
          <w:w w:val="105"/>
          <w:sz w:val="15"/>
        </w:rPr>
        <w:t>de</w:t>
      </w:r>
      <w:r>
        <w:rPr>
          <w:rFonts w:ascii="Constantia" w:hAnsi="Constantia"/>
          <w:spacing w:val="-21"/>
          <w:w w:val="105"/>
          <w:sz w:val="15"/>
        </w:rPr>
        <w:t> </w:t>
      </w:r>
      <w:r>
        <w:rPr>
          <w:rFonts w:ascii="Constantia" w:hAnsi="Constantia"/>
          <w:w w:val="105"/>
          <w:sz w:val="15"/>
        </w:rPr>
        <w:t>ingresos fiscales gasíferos canalizados</w:t>
      </w:r>
      <w:r>
        <w:rPr>
          <w:rFonts w:ascii="Constantia" w:hAnsi="Constantia"/>
          <w:spacing w:val="-14"/>
          <w:w w:val="105"/>
          <w:sz w:val="15"/>
        </w:rPr>
        <w:t> </w:t>
      </w:r>
      <w:r>
        <w:rPr>
          <w:rFonts w:ascii="Constantia" w:hAnsi="Constantia"/>
          <w:w w:val="105"/>
          <w:sz w:val="15"/>
        </w:rPr>
        <w:t>al</w:t>
      </w:r>
      <w:r>
        <w:rPr>
          <w:rFonts w:ascii="Constantia" w:hAnsi="Constantia"/>
          <w:spacing w:val="-17"/>
          <w:w w:val="105"/>
          <w:sz w:val="15"/>
        </w:rPr>
        <w:t> </w:t>
      </w:r>
      <w:r>
        <w:rPr>
          <w:rFonts w:ascii="Constantia" w:hAnsi="Constantia"/>
          <w:w w:val="105"/>
          <w:sz w:val="15"/>
        </w:rPr>
        <w:t>gasto</w:t>
      </w:r>
      <w:r>
        <w:rPr>
          <w:rFonts w:ascii="Constantia" w:hAnsi="Constantia"/>
          <w:spacing w:val="-16"/>
          <w:w w:val="105"/>
          <w:sz w:val="15"/>
        </w:rPr>
        <w:t> </w:t>
      </w:r>
      <w:r>
        <w:rPr>
          <w:rFonts w:ascii="Constantia" w:hAnsi="Constantia"/>
          <w:w w:val="105"/>
          <w:sz w:val="15"/>
        </w:rPr>
        <w:t>de capital</w:t>
      </w:r>
    </w:p>
    <w:p>
      <w:pPr>
        <w:pStyle w:val="BodyText"/>
        <w:spacing w:before="5"/>
        <w:rPr>
          <w:rFonts w:ascii="Constantia"/>
          <w:sz w:val="8"/>
        </w:rPr>
      </w:pPr>
    </w:p>
    <w:tbl>
      <w:tblPr>
        <w:tblW w:w="0" w:type="auto"/>
        <w:jc w:val="left"/>
        <w:tblInd w:w="12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96"/>
        <w:gridCol w:w="1746"/>
        <w:gridCol w:w="1391"/>
        <w:gridCol w:w="1043"/>
        <w:gridCol w:w="1132"/>
        <w:gridCol w:w="784"/>
        <w:gridCol w:w="1229"/>
      </w:tblGrid>
      <w:tr>
        <w:trPr>
          <w:trHeight w:val="226" w:hRule="exact"/>
        </w:trPr>
        <w:tc>
          <w:tcPr>
            <w:tcW w:w="1496" w:type="dxa"/>
            <w:tcBorders>
              <w:top w:val="single" w:sz="13" w:space="0" w:color="FCFCFC"/>
              <w:bottom w:val="single" w:sz="3" w:space="0" w:color="FFFFFF"/>
            </w:tcBorders>
          </w:tcPr>
          <w:p>
            <w:pPr>
              <w:pStyle w:val="TableParagraph"/>
              <w:spacing w:before="16"/>
              <w:ind w:left="24"/>
              <w:jc w:val="left"/>
              <w:rPr>
                <w:rFonts w:ascii="Constantia"/>
                <w:sz w:val="17"/>
              </w:rPr>
            </w:pPr>
            <w:r>
              <w:rPr>
                <w:rFonts w:ascii="Constantia"/>
                <w:sz w:val="17"/>
              </w:rPr>
              <w:t>a) Baja</w:t>
            </w:r>
          </w:p>
        </w:tc>
        <w:tc>
          <w:tcPr>
            <w:tcW w:w="1746" w:type="dxa"/>
            <w:tcBorders>
              <w:top w:val="double" w:sz="3" w:space="0" w:color="000000"/>
            </w:tcBorders>
          </w:tcPr>
          <w:p>
            <w:pPr>
              <w:pStyle w:val="TableParagraph"/>
              <w:spacing w:before="20"/>
              <w:ind w:left="379" w:right="357"/>
              <w:rPr>
                <w:rFonts w:ascii="Constantia"/>
                <w:sz w:val="17"/>
              </w:rPr>
            </w:pPr>
            <w:r>
              <w:rPr>
                <w:rFonts w:ascii="Constantia"/>
                <w:sz w:val="17"/>
              </w:rPr>
              <w:t>10</w:t>
            </w:r>
          </w:p>
        </w:tc>
        <w:tc>
          <w:tcPr>
            <w:tcW w:w="1391" w:type="dxa"/>
            <w:tcBorders>
              <w:top w:val="single" w:sz="13" w:space="0" w:color="FCFCFC"/>
              <w:bottom w:val="single" w:sz="3" w:space="0" w:color="FFFFFF"/>
            </w:tcBorders>
          </w:tcPr>
          <w:p>
            <w:pPr>
              <w:pStyle w:val="TableParagraph"/>
              <w:spacing w:before="16"/>
              <w:ind w:left="544" w:right="524"/>
              <w:rPr>
                <w:rFonts w:ascii="Constantia"/>
                <w:sz w:val="17"/>
              </w:rPr>
            </w:pPr>
            <w:r>
              <w:rPr>
                <w:rFonts w:ascii="Constantia"/>
                <w:sz w:val="17"/>
              </w:rPr>
              <w:t>1.21</w:t>
            </w:r>
          </w:p>
        </w:tc>
        <w:tc>
          <w:tcPr>
            <w:tcW w:w="1043" w:type="dxa"/>
            <w:tcBorders>
              <w:top w:val="double" w:sz="3" w:space="0" w:color="000000"/>
            </w:tcBorders>
          </w:tcPr>
          <w:p>
            <w:pPr>
              <w:pStyle w:val="TableParagraph"/>
              <w:spacing w:before="20"/>
              <w:ind w:left="386" w:right="366"/>
              <w:rPr>
                <w:rFonts w:ascii="Constantia"/>
                <w:sz w:val="17"/>
              </w:rPr>
            </w:pPr>
            <w:r>
              <w:rPr>
                <w:rFonts w:ascii="Constantia"/>
                <w:sz w:val="17"/>
              </w:rPr>
              <w:t>6.5</w:t>
            </w:r>
          </w:p>
        </w:tc>
        <w:tc>
          <w:tcPr>
            <w:tcW w:w="1132" w:type="dxa"/>
            <w:tcBorders>
              <w:top w:val="single" w:sz="13" w:space="0" w:color="FCFCFC"/>
              <w:bottom w:val="single" w:sz="3" w:space="0" w:color="FFFFFF"/>
            </w:tcBorders>
          </w:tcPr>
          <w:p>
            <w:pPr>
              <w:pStyle w:val="TableParagraph"/>
              <w:spacing w:before="16"/>
              <w:ind w:left="477"/>
              <w:jc w:val="left"/>
              <w:rPr>
                <w:rFonts w:ascii="Constantia"/>
                <w:sz w:val="17"/>
              </w:rPr>
            </w:pPr>
            <w:r>
              <w:rPr>
                <w:rFonts w:ascii="Constantia"/>
                <w:sz w:val="17"/>
              </w:rPr>
              <w:t>7.7</w:t>
            </w:r>
          </w:p>
        </w:tc>
        <w:tc>
          <w:tcPr>
            <w:tcW w:w="784" w:type="dxa"/>
            <w:tcBorders>
              <w:top w:val="double" w:sz="3" w:space="0" w:color="000000"/>
            </w:tcBorders>
          </w:tcPr>
          <w:p>
            <w:pPr>
              <w:pStyle w:val="TableParagraph"/>
              <w:spacing w:before="20"/>
              <w:ind w:left="299"/>
              <w:jc w:val="left"/>
              <w:rPr>
                <w:rFonts w:ascii="Constantia"/>
                <w:sz w:val="17"/>
              </w:rPr>
            </w:pPr>
            <w:r>
              <w:rPr>
                <w:rFonts w:ascii="Constantia"/>
                <w:sz w:val="17"/>
              </w:rPr>
              <w:t>3.3</w:t>
            </w:r>
          </w:p>
        </w:tc>
        <w:tc>
          <w:tcPr>
            <w:tcW w:w="1229" w:type="dxa"/>
            <w:tcBorders>
              <w:top w:val="single" w:sz="13" w:space="0" w:color="FCFCFC"/>
              <w:bottom w:val="single" w:sz="3" w:space="0" w:color="FFFFFF"/>
            </w:tcBorders>
          </w:tcPr>
          <w:p>
            <w:pPr>
              <w:pStyle w:val="TableParagraph"/>
              <w:spacing w:before="16"/>
              <w:ind w:left="541"/>
              <w:jc w:val="left"/>
              <w:rPr>
                <w:rFonts w:ascii="Constantia"/>
                <w:sz w:val="17"/>
              </w:rPr>
            </w:pPr>
            <w:r>
              <w:rPr>
                <w:rFonts w:ascii="Constantia"/>
                <w:sz w:val="17"/>
              </w:rPr>
              <w:t>38</w:t>
            </w:r>
          </w:p>
        </w:tc>
      </w:tr>
      <w:tr>
        <w:trPr>
          <w:trHeight w:val="227" w:hRule="exact"/>
        </w:trPr>
        <w:tc>
          <w:tcPr>
            <w:tcW w:w="1496" w:type="dxa"/>
            <w:tcBorders>
              <w:top w:val="single" w:sz="3" w:space="0" w:color="FFFFFF"/>
              <w:bottom w:val="single" w:sz="3" w:space="0" w:color="FFFFFF"/>
            </w:tcBorders>
          </w:tcPr>
          <w:p>
            <w:pPr>
              <w:pStyle w:val="TableParagraph"/>
              <w:spacing w:before="28"/>
              <w:ind w:left="24"/>
              <w:jc w:val="left"/>
              <w:rPr>
                <w:rFonts w:ascii="Constantia"/>
                <w:sz w:val="17"/>
              </w:rPr>
            </w:pPr>
            <w:r>
              <w:rPr>
                <w:rFonts w:ascii="Constantia"/>
                <w:sz w:val="17"/>
              </w:rPr>
              <w:t>b) Media-baja</w:t>
            </w:r>
          </w:p>
        </w:tc>
        <w:tc>
          <w:tcPr>
            <w:tcW w:w="1746" w:type="dxa"/>
          </w:tcPr>
          <w:p>
            <w:pPr>
              <w:pStyle w:val="TableParagraph"/>
              <w:spacing w:before="32"/>
              <w:ind w:left="379" w:right="365"/>
              <w:rPr>
                <w:rFonts w:ascii="Constantia"/>
                <w:sz w:val="17"/>
              </w:rPr>
            </w:pPr>
            <w:r>
              <w:rPr>
                <w:rFonts w:ascii="Constantia"/>
                <w:sz w:val="17"/>
              </w:rPr>
              <w:t>25</w:t>
            </w:r>
          </w:p>
        </w:tc>
        <w:tc>
          <w:tcPr>
            <w:tcW w:w="1391" w:type="dxa"/>
            <w:tcBorders>
              <w:top w:val="single" w:sz="3" w:space="0" w:color="FFFFFF"/>
              <w:bottom w:val="single" w:sz="3" w:space="0" w:color="FFFFFF"/>
            </w:tcBorders>
          </w:tcPr>
          <w:p>
            <w:pPr>
              <w:pStyle w:val="TableParagraph"/>
              <w:spacing w:before="28"/>
              <w:ind w:left="544" w:right="524"/>
              <w:rPr>
                <w:rFonts w:ascii="Constantia"/>
                <w:sz w:val="17"/>
              </w:rPr>
            </w:pPr>
            <w:r>
              <w:rPr>
                <w:rFonts w:ascii="Constantia"/>
                <w:sz w:val="17"/>
              </w:rPr>
              <w:t>1.13</w:t>
            </w:r>
          </w:p>
        </w:tc>
        <w:tc>
          <w:tcPr>
            <w:tcW w:w="1043" w:type="dxa"/>
          </w:tcPr>
          <w:p>
            <w:pPr>
              <w:pStyle w:val="TableParagraph"/>
              <w:spacing w:before="32"/>
              <w:ind w:left="383" w:right="366"/>
              <w:rPr>
                <w:rFonts w:ascii="Constantia"/>
                <w:sz w:val="17"/>
              </w:rPr>
            </w:pPr>
            <w:r>
              <w:rPr>
                <w:rFonts w:ascii="Constantia"/>
                <w:sz w:val="17"/>
              </w:rPr>
              <w:t>5.2</w:t>
            </w:r>
          </w:p>
        </w:tc>
        <w:tc>
          <w:tcPr>
            <w:tcW w:w="1132" w:type="dxa"/>
            <w:tcBorders>
              <w:top w:val="single" w:sz="3" w:space="0" w:color="FFFFFF"/>
              <w:bottom w:val="single" w:sz="3" w:space="0" w:color="FFFFFF"/>
            </w:tcBorders>
          </w:tcPr>
          <w:p>
            <w:pPr>
              <w:pStyle w:val="TableParagraph"/>
              <w:spacing w:before="28"/>
              <w:ind w:left="469"/>
              <w:jc w:val="left"/>
              <w:rPr>
                <w:rFonts w:ascii="Constantia"/>
                <w:sz w:val="17"/>
              </w:rPr>
            </w:pPr>
            <w:r>
              <w:rPr>
                <w:rFonts w:ascii="Constantia"/>
                <w:sz w:val="17"/>
              </w:rPr>
              <w:t>5.8</w:t>
            </w:r>
          </w:p>
        </w:tc>
        <w:tc>
          <w:tcPr>
            <w:tcW w:w="784" w:type="dxa"/>
          </w:tcPr>
          <w:p>
            <w:pPr>
              <w:pStyle w:val="TableParagraph"/>
              <w:spacing w:before="32"/>
              <w:ind w:left="299"/>
              <w:jc w:val="left"/>
              <w:rPr>
                <w:rFonts w:ascii="Constantia"/>
                <w:sz w:val="17"/>
              </w:rPr>
            </w:pPr>
            <w:r>
              <w:rPr>
                <w:rFonts w:ascii="Constantia"/>
                <w:sz w:val="17"/>
              </w:rPr>
              <w:t>3.0</w:t>
            </w:r>
          </w:p>
        </w:tc>
        <w:tc>
          <w:tcPr>
            <w:tcW w:w="1229" w:type="dxa"/>
            <w:tcBorders>
              <w:top w:val="single" w:sz="3" w:space="0" w:color="FFFFFF"/>
              <w:bottom w:val="single" w:sz="3" w:space="0" w:color="FFFFFF"/>
            </w:tcBorders>
          </w:tcPr>
          <w:p>
            <w:pPr>
              <w:pStyle w:val="TableParagraph"/>
              <w:spacing w:before="28"/>
              <w:ind w:left="541"/>
              <w:jc w:val="left"/>
              <w:rPr>
                <w:rFonts w:ascii="Constantia"/>
                <w:sz w:val="17"/>
              </w:rPr>
            </w:pPr>
            <w:r>
              <w:rPr>
                <w:rFonts w:ascii="Constantia"/>
                <w:sz w:val="17"/>
              </w:rPr>
              <w:t>39</w:t>
            </w:r>
          </w:p>
        </w:tc>
      </w:tr>
      <w:tr>
        <w:trPr>
          <w:trHeight w:val="226" w:hRule="exact"/>
        </w:trPr>
        <w:tc>
          <w:tcPr>
            <w:tcW w:w="1496" w:type="dxa"/>
            <w:tcBorders>
              <w:top w:val="single" w:sz="3" w:space="0" w:color="FFFFFF"/>
              <w:bottom w:val="single" w:sz="3" w:space="0" w:color="FFFFFF"/>
            </w:tcBorders>
          </w:tcPr>
          <w:p>
            <w:pPr>
              <w:pStyle w:val="TableParagraph"/>
              <w:spacing w:before="28"/>
              <w:ind w:left="24"/>
              <w:jc w:val="left"/>
              <w:rPr>
                <w:rFonts w:ascii="Constantia"/>
                <w:sz w:val="17"/>
              </w:rPr>
            </w:pPr>
            <w:r>
              <w:rPr>
                <w:rFonts w:ascii="Constantia"/>
                <w:sz w:val="17"/>
              </w:rPr>
              <w:t>c) Intermedia</w:t>
            </w:r>
          </w:p>
        </w:tc>
        <w:tc>
          <w:tcPr>
            <w:tcW w:w="1746" w:type="dxa"/>
          </w:tcPr>
          <w:p>
            <w:pPr>
              <w:pStyle w:val="TableParagraph"/>
              <w:spacing w:before="32"/>
              <w:ind w:left="379" w:right="369"/>
              <w:rPr>
                <w:rFonts w:ascii="Constantia"/>
                <w:sz w:val="17"/>
              </w:rPr>
            </w:pPr>
            <w:r>
              <w:rPr>
                <w:rFonts w:ascii="Constantia"/>
                <w:sz w:val="17"/>
              </w:rPr>
              <w:t>50</w:t>
            </w:r>
          </w:p>
        </w:tc>
        <w:tc>
          <w:tcPr>
            <w:tcW w:w="1391" w:type="dxa"/>
            <w:tcBorders>
              <w:top w:val="single" w:sz="3" w:space="0" w:color="FFFFFF"/>
              <w:bottom w:val="single" w:sz="3" w:space="0" w:color="FFFFFF"/>
            </w:tcBorders>
          </w:tcPr>
          <w:p>
            <w:pPr>
              <w:pStyle w:val="TableParagraph"/>
              <w:spacing w:before="28"/>
              <w:ind w:left="544" w:right="526"/>
              <w:rPr>
                <w:rFonts w:ascii="Constantia"/>
                <w:sz w:val="17"/>
              </w:rPr>
            </w:pPr>
            <w:r>
              <w:rPr>
                <w:rFonts w:ascii="Constantia"/>
                <w:sz w:val="17"/>
              </w:rPr>
              <w:t>1.06</w:t>
            </w:r>
          </w:p>
        </w:tc>
        <w:tc>
          <w:tcPr>
            <w:tcW w:w="1043" w:type="dxa"/>
          </w:tcPr>
          <w:p>
            <w:pPr>
              <w:pStyle w:val="TableParagraph"/>
              <w:spacing w:before="32"/>
              <w:ind w:left="388" w:right="363"/>
              <w:rPr>
                <w:rFonts w:ascii="Constantia"/>
                <w:sz w:val="17"/>
              </w:rPr>
            </w:pPr>
            <w:r>
              <w:rPr>
                <w:rFonts w:ascii="Constantia"/>
                <w:sz w:val="17"/>
              </w:rPr>
              <w:t>4.2</w:t>
            </w:r>
          </w:p>
        </w:tc>
        <w:tc>
          <w:tcPr>
            <w:tcW w:w="1132" w:type="dxa"/>
            <w:tcBorders>
              <w:top w:val="single" w:sz="3" w:space="0" w:color="FFFFFF"/>
              <w:bottom w:val="single" w:sz="3" w:space="0" w:color="FFFFFF"/>
            </w:tcBorders>
          </w:tcPr>
          <w:p>
            <w:pPr>
              <w:pStyle w:val="TableParagraph"/>
              <w:spacing w:before="28"/>
              <w:ind w:left="469"/>
              <w:jc w:val="left"/>
              <w:rPr>
                <w:rFonts w:ascii="Constantia"/>
                <w:sz w:val="17"/>
              </w:rPr>
            </w:pPr>
            <w:r>
              <w:rPr>
                <w:rFonts w:ascii="Constantia"/>
                <w:sz w:val="17"/>
              </w:rPr>
              <w:t>4.4</w:t>
            </w:r>
          </w:p>
        </w:tc>
        <w:tc>
          <w:tcPr>
            <w:tcW w:w="784" w:type="dxa"/>
          </w:tcPr>
          <w:p>
            <w:pPr>
              <w:pStyle w:val="TableParagraph"/>
              <w:spacing w:before="32"/>
              <w:ind w:left="299"/>
              <w:jc w:val="left"/>
              <w:rPr>
                <w:rFonts w:ascii="Constantia"/>
                <w:sz w:val="17"/>
              </w:rPr>
            </w:pPr>
            <w:r>
              <w:rPr>
                <w:rFonts w:ascii="Constantia"/>
                <w:sz w:val="17"/>
              </w:rPr>
              <w:t>2.7</w:t>
            </w:r>
          </w:p>
        </w:tc>
        <w:tc>
          <w:tcPr>
            <w:tcW w:w="1229" w:type="dxa"/>
            <w:tcBorders>
              <w:top w:val="single" w:sz="3" w:space="0" w:color="FFFFFF"/>
              <w:bottom w:val="single" w:sz="3" w:space="0" w:color="FFFFFF"/>
            </w:tcBorders>
          </w:tcPr>
          <w:p>
            <w:pPr>
              <w:pStyle w:val="TableParagraph"/>
              <w:spacing w:before="28"/>
              <w:ind w:left="549"/>
              <w:jc w:val="left"/>
              <w:rPr>
                <w:rFonts w:ascii="Constantia"/>
                <w:sz w:val="17"/>
              </w:rPr>
            </w:pPr>
            <w:r>
              <w:rPr>
                <w:rFonts w:ascii="Constantia"/>
                <w:sz w:val="17"/>
              </w:rPr>
              <w:t>41</w:t>
            </w:r>
          </w:p>
        </w:tc>
      </w:tr>
      <w:tr>
        <w:trPr>
          <w:trHeight w:val="227" w:hRule="exact"/>
        </w:trPr>
        <w:tc>
          <w:tcPr>
            <w:tcW w:w="1496" w:type="dxa"/>
            <w:tcBorders>
              <w:top w:val="single" w:sz="3" w:space="0" w:color="FFFFFF"/>
              <w:bottom w:val="single" w:sz="3" w:space="0" w:color="FFFFFF"/>
            </w:tcBorders>
          </w:tcPr>
          <w:p>
            <w:pPr>
              <w:pStyle w:val="TableParagraph"/>
              <w:spacing w:before="28"/>
              <w:ind w:left="24"/>
              <w:jc w:val="left"/>
              <w:rPr>
                <w:rFonts w:ascii="Constantia"/>
                <w:sz w:val="17"/>
              </w:rPr>
            </w:pPr>
            <w:r>
              <w:rPr>
                <w:rFonts w:ascii="Constantia"/>
                <w:sz w:val="17"/>
              </w:rPr>
              <w:t>d) Media-alta</w:t>
            </w:r>
          </w:p>
        </w:tc>
        <w:tc>
          <w:tcPr>
            <w:tcW w:w="1746" w:type="dxa"/>
          </w:tcPr>
          <w:p>
            <w:pPr>
              <w:pStyle w:val="TableParagraph"/>
              <w:spacing w:before="32"/>
              <w:ind w:left="379" w:right="365"/>
              <w:rPr>
                <w:rFonts w:ascii="Constantia"/>
                <w:sz w:val="17"/>
              </w:rPr>
            </w:pPr>
            <w:r>
              <w:rPr>
                <w:rFonts w:ascii="Constantia"/>
                <w:sz w:val="17"/>
              </w:rPr>
              <w:t>75</w:t>
            </w:r>
          </w:p>
        </w:tc>
        <w:tc>
          <w:tcPr>
            <w:tcW w:w="1391" w:type="dxa"/>
            <w:tcBorders>
              <w:top w:val="single" w:sz="3" w:space="0" w:color="FFFFFF"/>
              <w:bottom w:val="single" w:sz="3" w:space="0" w:color="FFFFFF"/>
            </w:tcBorders>
          </w:tcPr>
          <w:p>
            <w:pPr>
              <w:pStyle w:val="TableParagraph"/>
              <w:spacing w:before="28"/>
              <w:ind w:left="544" w:right="524"/>
              <w:rPr>
                <w:rFonts w:ascii="Constantia"/>
                <w:sz w:val="17"/>
              </w:rPr>
            </w:pPr>
            <w:r>
              <w:rPr>
                <w:rFonts w:ascii="Constantia"/>
                <w:sz w:val="17"/>
              </w:rPr>
              <w:t>1.03</w:t>
            </w:r>
          </w:p>
        </w:tc>
        <w:tc>
          <w:tcPr>
            <w:tcW w:w="1043" w:type="dxa"/>
          </w:tcPr>
          <w:p>
            <w:pPr>
              <w:pStyle w:val="TableParagraph"/>
              <w:spacing w:before="32"/>
              <w:ind w:left="383" w:right="366"/>
              <w:rPr>
                <w:rFonts w:ascii="Constantia"/>
                <w:sz w:val="17"/>
              </w:rPr>
            </w:pPr>
            <w:r>
              <w:rPr>
                <w:rFonts w:ascii="Constantia"/>
                <w:sz w:val="17"/>
              </w:rPr>
              <w:t>3.7</w:t>
            </w:r>
          </w:p>
        </w:tc>
        <w:tc>
          <w:tcPr>
            <w:tcW w:w="1132" w:type="dxa"/>
            <w:tcBorders>
              <w:top w:val="single" w:sz="3" w:space="0" w:color="FFFFFF"/>
              <w:bottom w:val="single" w:sz="3" w:space="0" w:color="FFFFFF"/>
            </w:tcBorders>
          </w:tcPr>
          <w:p>
            <w:pPr>
              <w:pStyle w:val="TableParagraph"/>
              <w:spacing w:before="28"/>
              <w:ind w:left="469"/>
              <w:jc w:val="left"/>
              <w:rPr>
                <w:rFonts w:ascii="Constantia"/>
                <w:sz w:val="17"/>
              </w:rPr>
            </w:pPr>
            <w:r>
              <w:rPr>
                <w:rFonts w:ascii="Constantia"/>
                <w:sz w:val="17"/>
              </w:rPr>
              <w:t>3.6</w:t>
            </w:r>
          </w:p>
        </w:tc>
        <w:tc>
          <w:tcPr>
            <w:tcW w:w="784" w:type="dxa"/>
          </w:tcPr>
          <w:p>
            <w:pPr>
              <w:pStyle w:val="TableParagraph"/>
              <w:spacing w:before="32"/>
              <w:ind w:left="299"/>
              <w:jc w:val="left"/>
              <w:rPr>
                <w:rFonts w:ascii="Constantia"/>
                <w:sz w:val="17"/>
              </w:rPr>
            </w:pPr>
            <w:r>
              <w:rPr>
                <w:rFonts w:ascii="Constantia"/>
                <w:sz w:val="17"/>
              </w:rPr>
              <w:t>2.5</w:t>
            </w:r>
          </w:p>
        </w:tc>
        <w:tc>
          <w:tcPr>
            <w:tcW w:w="1229" w:type="dxa"/>
            <w:tcBorders>
              <w:top w:val="single" w:sz="3" w:space="0" w:color="FFFFFF"/>
              <w:bottom w:val="single" w:sz="3" w:space="0" w:color="FFFFFF"/>
            </w:tcBorders>
          </w:tcPr>
          <w:p>
            <w:pPr>
              <w:pStyle w:val="TableParagraph"/>
              <w:spacing w:before="28"/>
              <w:ind w:left="541"/>
              <w:jc w:val="left"/>
              <w:rPr>
                <w:rFonts w:ascii="Constantia"/>
                <w:sz w:val="17"/>
              </w:rPr>
            </w:pPr>
            <w:r>
              <w:rPr>
                <w:rFonts w:ascii="Constantia"/>
                <w:sz w:val="17"/>
              </w:rPr>
              <w:t>43</w:t>
            </w:r>
          </w:p>
        </w:tc>
      </w:tr>
      <w:tr>
        <w:trPr>
          <w:trHeight w:val="243" w:hRule="exact"/>
        </w:trPr>
        <w:tc>
          <w:tcPr>
            <w:tcW w:w="1496" w:type="dxa"/>
            <w:tcBorders>
              <w:top w:val="single" w:sz="3" w:space="0" w:color="FFFFFF"/>
              <w:bottom w:val="single" w:sz="13" w:space="0" w:color="FCFCFC"/>
            </w:tcBorders>
          </w:tcPr>
          <w:p>
            <w:pPr>
              <w:pStyle w:val="TableParagraph"/>
              <w:spacing w:before="28"/>
              <w:ind w:left="24"/>
              <w:jc w:val="left"/>
              <w:rPr>
                <w:rFonts w:ascii="Constantia"/>
                <w:sz w:val="17"/>
              </w:rPr>
            </w:pPr>
            <w:r>
              <w:rPr>
                <w:rFonts w:ascii="Constantia"/>
                <w:sz w:val="17"/>
              </w:rPr>
              <w:t>e) Alta</w:t>
            </w:r>
          </w:p>
        </w:tc>
        <w:tc>
          <w:tcPr>
            <w:tcW w:w="1746" w:type="dxa"/>
            <w:tcBorders>
              <w:bottom w:val="double" w:sz="3" w:space="0" w:color="000000"/>
            </w:tcBorders>
          </w:tcPr>
          <w:p>
            <w:pPr>
              <w:pStyle w:val="TableParagraph"/>
              <w:spacing w:before="32"/>
              <w:ind w:left="379" w:right="365"/>
              <w:rPr>
                <w:rFonts w:ascii="Constantia"/>
                <w:sz w:val="17"/>
              </w:rPr>
            </w:pPr>
            <w:r>
              <w:rPr>
                <w:rFonts w:ascii="Constantia"/>
                <w:sz w:val="17"/>
              </w:rPr>
              <w:t>90</w:t>
            </w:r>
          </w:p>
        </w:tc>
        <w:tc>
          <w:tcPr>
            <w:tcW w:w="1391" w:type="dxa"/>
            <w:tcBorders>
              <w:top w:val="single" w:sz="3" w:space="0" w:color="FFFFFF"/>
              <w:bottom w:val="single" w:sz="13" w:space="0" w:color="FCFCFC"/>
            </w:tcBorders>
          </w:tcPr>
          <w:p>
            <w:pPr>
              <w:pStyle w:val="TableParagraph"/>
              <w:spacing w:before="28"/>
              <w:ind w:left="538" w:right="526"/>
              <w:rPr>
                <w:rFonts w:ascii="Constantia"/>
                <w:sz w:val="17"/>
              </w:rPr>
            </w:pPr>
            <w:r>
              <w:rPr>
                <w:rFonts w:ascii="Constantia"/>
                <w:sz w:val="17"/>
              </w:rPr>
              <w:t>1.01</w:t>
            </w:r>
          </w:p>
        </w:tc>
        <w:tc>
          <w:tcPr>
            <w:tcW w:w="1043" w:type="dxa"/>
            <w:tcBorders>
              <w:bottom w:val="double" w:sz="3" w:space="0" w:color="000000"/>
            </w:tcBorders>
          </w:tcPr>
          <w:p>
            <w:pPr>
              <w:pStyle w:val="TableParagraph"/>
              <w:spacing w:before="32"/>
              <w:ind w:left="388" w:right="363"/>
              <w:rPr>
                <w:rFonts w:ascii="Constantia"/>
                <w:sz w:val="17"/>
              </w:rPr>
            </w:pPr>
            <w:r>
              <w:rPr>
                <w:rFonts w:ascii="Constantia"/>
                <w:sz w:val="17"/>
              </w:rPr>
              <w:t>3.4</w:t>
            </w:r>
          </w:p>
        </w:tc>
        <w:tc>
          <w:tcPr>
            <w:tcW w:w="1132" w:type="dxa"/>
            <w:tcBorders>
              <w:top w:val="single" w:sz="3" w:space="0" w:color="FFFFFF"/>
              <w:bottom w:val="single" w:sz="13" w:space="0" w:color="FCFCFC"/>
            </w:tcBorders>
          </w:tcPr>
          <w:p>
            <w:pPr>
              <w:pStyle w:val="TableParagraph"/>
              <w:spacing w:before="28"/>
              <w:ind w:left="477"/>
              <w:jc w:val="left"/>
              <w:rPr>
                <w:rFonts w:ascii="Constantia"/>
                <w:sz w:val="17"/>
              </w:rPr>
            </w:pPr>
            <w:r>
              <w:rPr>
                <w:rFonts w:ascii="Constantia"/>
                <w:sz w:val="17"/>
              </w:rPr>
              <w:t>3.2</w:t>
            </w:r>
          </w:p>
        </w:tc>
        <w:tc>
          <w:tcPr>
            <w:tcW w:w="784" w:type="dxa"/>
            <w:tcBorders>
              <w:bottom w:val="double" w:sz="3" w:space="0" w:color="000000"/>
            </w:tcBorders>
          </w:tcPr>
          <w:p>
            <w:pPr>
              <w:pStyle w:val="TableParagraph"/>
              <w:spacing w:before="32"/>
              <w:ind w:left="299"/>
              <w:jc w:val="left"/>
              <w:rPr>
                <w:rFonts w:ascii="Constantia"/>
                <w:sz w:val="17"/>
              </w:rPr>
            </w:pPr>
            <w:r>
              <w:rPr>
                <w:rFonts w:ascii="Constantia"/>
                <w:sz w:val="17"/>
              </w:rPr>
              <w:t>2.5</w:t>
            </w:r>
          </w:p>
        </w:tc>
        <w:tc>
          <w:tcPr>
            <w:tcW w:w="1229" w:type="dxa"/>
            <w:tcBorders>
              <w:top w:val="single" w:sz="3" w:space="0" w:color="FFFFFF"/>
              <w:bottom w:val="single" w:sz="13" w:space="0" w:color="FCFCFC"/>
            </w:tcBorders>
          </w:tcPr>
          <w:p>
            <w:pPr>
              <w:pStyle w:val="TableParagraph"/>
              <w:spacing w:before="28"/>
              <w:ind w:left="541"/>
              <w:jc w:val="left"/>
              <w:rPr>
                <w:rFonts w:ascii="Constantia"/>
                <w:sz w:val="17"/>
              </w:rPr>
            </w:pPr>
            <w:r>
              <w:rPr>
                <w:rFonts w:ascii="Constantia"/>
                <w:sz w:val="17"/>
              </w:rPr>
              <w:t>43</w:t>
            </w:r>
          </w:p>
        </w:tc>
      </w:tr>
      <w:tr>
        <w:trPr>
          <w:trHeight w:val="243" w:hRule="exact"/>
        </w:trPr>
        <w:tc>
          <w:tcPr>
            <w:tcW w:w="1496" w:type="dxa"/>
            <w:tcBorders>
              <w:top w:val="single" w:sz="13" w:space="0" w:color="FCFCFC"/>
              <w:bottom w:val="single" w:sz="13" w:space="0" w:color="F4F4F4"/>
            </w:tcBorders>
          </w:tcPr>
          <w:p>
            <w:pPr/>
          </w:p>
        </w:tc>
        <w:tc>
          <w:tcPr>
            <w:tcW w:w="1746" w:type="dxa"/>
            <w:tcBorders>
              <w:top w:val="double" w:sz="3" w:space="0" w:color="000000"/>
              <w:bottom w:val="double" w:sz="3" w:space="0" w:color="000000"/>
            </w:tcBorders>
          </w:tcPr>
          <w:p>
            <w:pPr>
              <w:pStyle w:val="TableParagraph"/>
              <w:spacing w:before="39"/>
              <w:ind w:left="379" w:right="372"/>
              <w:rPr>
                <w:rFonts w:ascii="Constantia"/>
                <w:sz w:val="15"/>
              </w:rPr>
            </w:pPr>
            <w:r>
              <w:rPr>
                <w:rFonts w:ascii="Constantia"/>
                <w:sz w:val="15"/>
              </w:rPr>
              <w:t>Escenario base</w:t>
            </w:r>
          </w:p>
        </w:tc>
        <w:tc>
          <w:tcPr>
            <w:tcW w:w="1391" w:type="dxa"/>
            <w:tcBorders>
              <w:top w:val="single" w:sz="13" w:space="0" w:color="FCFCFC"/>
              <w:bottom w:val="single" w:sz="13" w:space="0" w:color="F4F4F4"/>
            </w:tcBorders>
          </w:tcPr>
          <w:p>
            <w:pPr>
              <w:pStyle w:val="TableParagraph"/>
              <w:spacing w:before="35"/>
              <w:ind w:left="540" w:right="526"/>
              <w:rPr>
                <w:rFonts w:ascii="Constantia"/>
                <w:sz w:val="15"/>
              </w:rPr>
            </w:pPr>
            <w:r>
              <w:rPr>
                <w:rFonts w:ascii="Constantia"/>
                <w:w w:val="105"/>
                <w:sz w:val="15"/>
              </w:rPr>
              <w:t>n.a.</w:t>
            </w:r>
          </w:p>
        </w:tc>
        <w:tc>
          <w:tcPr>
            <w:tcW w:w="1043" w:type="dxa"/>
            <w:tcBorders>
              <w:top w:val="double" w:sz="3" w:space="0" w:color="000000"/>
              <w:bottom w:val="double" w:sz="3" w:space="0" w:color="000000"/>
            </w:tcBorders>
          </w:tcPr>
          <w:p>
            <w:pPr>
              <w:pStyle w:val="TableParagraph"/>
              <w:spacing w:before="39"/>
              <w:ind w:left="388" w:right="366"/>
              <w:rPr>
                <w:rFonts w:ascii="Constantia"/>
                <w:sz w:val="15"/>
              </w:rPr>
            </w:pPr>
            <w:r>
              <w:rPr>
                <w:rFonts w:ascii="Constantia"/>
                <w:w w:val="105"/>
                <w:sz w:val="15"/>
              </w:rPr>
              <w:t>n.a.</w:t>
            </w:r>
          </w:p>
        </w:tc>
        <w:tc>
          <w:tcPr>
            <w:tcW w:w="1132" w:type="dxa"/>
            <w:tcBorders>
              <w:top w:val="single" w:sz="13" w:space="0" w:color="FCFCFC"/>
              <w:bottom w:val="single" w:sz="13" w:space="0" w:color="F4F4F4"/>
            </w:tcBorders>
          </w:tcPr>
          <w:p>
            <w:pPr>
              <w:pStyle w:val="TableParagraph"/>
              <w:spacing w:before="35"/>
              <w:ind w:left="452"/>
              <w:jc w:val="left"/>
              <w:rPr>
                <w:rFonts w:ascii="Constantia"/>
                <w:sz w:val="15"/>
              </w:rPr>
            </w:pPr>
            <w:r>
              <w:rPr>
                <w:rFonts w:ascii="Constantia"/>
                <w:w w:val="105"/>
                <w:sz w:val="15"/>
              </w:rPr>
              <w:t>n.a.</w:t>
            </w:r>
          </w:p>
        </w:tc>
        <w:tc>
          <w:tcPr>
            <w:tcW w:w="784" w:type="dxa"/>
            <w:tcBorders>
              <w:top w:val="double" w:sz="3" w:space="0" w:color="000000"/>
              <w:bottom w:val="double" w:sz="3" w:space="0" w:color="000000"/>
            </w:tcBorders>
          </w:tcPr>
          <w:p>
            <w:pPr>
              <w:pStyle w:val="TableParagraph"/>
              <w:spacing w:before="39"/>
              <w:ind w:left="282"/>
              <w:jc w:val="left"/>
              <w:rPr>
                <w:rFonts w:ascii="Constantia"/>
                <w:sz w:val="15"/>
              </w:rPr>
            </w:pPr>
            <w:r>
              <w:rPr>
                <w:rFonts w:ascii="Constantia"/>
                <w:w w:val="105"/>
                <w:sz w:val="15"/>
              </w:rPr>
              <w:t>n.a.</w:t>
            </w:r>
          </w:p>
        </w:tc>
        <w:tc>
          <w:tcPr>
            <w:tcW w:w="1229" w:type="dxa"/>
            <w:tcBorders>
              <w:top w:val="single" w:sz="13" w:space="0" w:color="FCFCFC"/>
              <w:bottom w:val="single" w:sz="13" w:space="0" w:color="F4F4F4"/>
            </w:tcBorders>
          </w:tcPr>
          <w:p>
            <w:pPr>
              <w:pStyle w:val="TableParagraph"/>
              <w:spacing w:before="16"/>
              <w:ind w:left="501"/>
              <w:jc w:val="left"/>
              <w:rPr>
                <w:rFonts w:ascii="Constantia"/>
                <w:sz w:val="17"/>
              </w:rPr>
            </w:pPr>
            <w:r>
              <w:rPr>
                <w:rFonts w:ascii="Constantia"/>
                <w:sz w:val="17"/>
              </w:rPr>
              <w:t>48</w:t>
            </w:r>
          </w:p>
        </w:tc>
      </w:tr>
    </w:tbl>
    <w:p>
      <w:pPr>
        <w:spacing w:line="132" w:lineRule="exact" w:before="0"/>
        <w:ind w:left="163" w:right="148" w:firstLine="0"/>
        <w:jc w:val="left"/>
        <w:rPr>
          <w:rFonts w:ascii="Constantia"/>
          <w:sz w:val="13"/>
        </w:rPr>
      </w:pPr>
      <w:r>
        <w:rPr>
          <w:rFonts w:ascii="Constantia"/>
          <w:sz w:val="13"/>
        </w:rPr>
        <w:t>n.a. = No aplica.</w:t>
      </w:r>
    </w:p>
    <w:p>
      <w:pPr>
        <w:pStyle w:val="BodyText"/>
        <w:spacing w:before="8"/>
        <w:rPr>
          <w:rFonts w:ascii="Constantia"/>
          <w:sz w:val="17"/>
        </w:rPr>
      </w:pPr>
    </w:p>
    <w:p>
      <w:pPr>
        <w:pStyle w:val="BodyText"/>
        <w:spacing w:line="360" w:lineRule="auto" w:before="69"/>
        <w:ind w:left="102" w:right="159" w:firstLine="707"/>
        <w:jc w:val="both"/>
      </w:pPr>
      <w:r>
        <w:rPr/>
        <w:t>Se realizaron pruebas de hipótesis con el propósito de evaluar diferencias  estadísticas y significativas entre la deuda pública máxima del escenario base (sin regla fiscal) y la deuda pública máxima proveniente de los escenarios de reglas fiscales (a –</w:t>
      </w:r>
      <w:r>
        <w:rPr>
          <w:spacing w:val="-13"/>
        </w:rPr>
        <w:t> </w:t>
      </w:r>
      <w:r>
        <w:rPr/>
        <w:t>e).</w:t>
      </w:r>
    </w:p>
    <w:p>
      <w:pPr>
        <w:spacing w:line="360" w:lineRule="auto" w:before="4"/>
        <w:ind w:left="102" w:right="157" w:firstLine="707"/>
        <w:jc w:val="both"/>
        <w:rPr>
          <w:sz w:val="24"/>
        </w:rPr>
      </w:pPr>
      <w:r>
        <w:rPr>
          <w:sz w:val="24"/>
        </w:rPr>
        <w:t>De acuerdo con los resultados del </w:t>
      </w:r>
      <w:r>
        <w:rPr>
          <w:i/>
          <w:sz w:val="24"/>
        </w:rPr>
        <w:t>cuadro 4.12</w:t>
      </w:r>
      <w:r>
        <w:rPr>
          <w:sz w:val="24"/>
        </w:rPr>
        <w:t>, se evidenció que se rechazó la hipótesis nula de no diferencias entre las medias de la </w:t>
      </w:r>
      <w:r>
        <w:rPr>
          <w:i/>
          <w:sz w:val="24"/>
        </w:rPr>
        <w:t>deuda pública máxima </w:t>
      </w:r>
      <w:r>
        <w:rPr>
          <w:sz w:val="24"/>
        </w:rPr>
        <w:t>en comparación con el </w:t>
      </w:r>
      <w:r>
        <w:rPr>
          <w:i/>
          <w:sz w:val="24"/>
        </w:rPr>
        <w:t>escenario base </w:t>
      </w:r>
      <w:r>
        <w:rPr>
          <w:sz w:val="24"/>
        </w:rPr>
        <w:t>(</w:t>
      </w:r>
      <w:r>
        <w:rPr>
          <w:i/>
          <w:sz w:val="24"/>
        </w:rPr>
        <w:t>sin regla fiscal</w:t>
      </w:r>
      <w:r>
        <w:rPr>
          <w:sz w:val="24"/>
        </w:rPr>
        <w:t>). Existió mayor diferencia significativa, al nivel del 1%, para la deuda pública máxima entre los escenarios con </w:t>
      </w:r>
      <w:r>
        <w:rPr>
          <w:i/>
          <w:sz w:val="24"/>
        </w:rPr>
        <w:t>canalización baja, </w:t>
      </w:r>
      <w:r>
        <w:rPr>
          <w:i/>
          <w:sz w:val="24"/>
        </w:rPr>
        <w:t>media-baja e intermedia </w:t>
      </w:r>
      <w:r>
        <w:rPr>
          <w:sz w:val="24"/>
        </w:rPr>
        <w:t>hacia el gasto de capital en comparación con el escenario sin regla fiscal. El nivel de significancia fue menor (al 5%), para diferencias en el nivel endeudamiento máximo con escenarios de </w:t>
      </w:r>
      <w:r>
        <w:rPr>
          <w:i/>
          <w:sz w:val="24"/>
        </w:rPr>
        <w:t>canalización media alta y alta</w:t>
      </w:r>
      <w:r>
        <w:rPr>
          <w:sz w:val="24"/>
        </w:rPr>
        <w:t>.</w:t>
      </w:r>
    </w:p>
    <w:p>
      <w:pPr>
        <w:pStyle w:val="BodyText"/>
        <w:spacing w:line="360" w:lineRule="auto" w:before="6"/>
        <w:ind w:left="102" w:right="148"/>
      </w:pPr>
      <w:r>
        <w:rPr/>
        <w:t>Los hallazgos fueron más significativos en la medida que existieron menores niveles de ingresos del gas natural canalizados al gasto de capital.</w:t>
      </w:r>
    </w:p>
    <w:p>
      <w:pPr>
        <w:pStyle w:val="BodyText"/>
      </w:pPr>
    </w:p>
    <w:p>
      <w:pPr>
        <w:pStyle w:val="BodyText"/>
        <w:spacing w:line="276" w:lineRule="auto" w:before="143"/>
        <w:ind w:left="3825" w:right="148" w:hanging="3683"/>
      </w:pPr>
      <w:bookmarkStart w:name="_bookmark142" w:id="194"/>
      <w:bookmarkEnd w:id="194"/>
      <w:r>
        <w:rPr/>
      </w:r>
      <w:r>
        <w:rPr/>
        <w:t>Cuadro 4. 12: Prueba de hipótesis para escenarios de reglas fiscales en comparación con el escenario base</w:t>
      </w:r>
    </w:p>
    <w:p>
      <w:pPr>
        <w:spacing w:before="32"/>
        <w:ind w:left="695" w:right="148" w:firstLine="0"/>
        <w:jc w:val="left"/>
        <w:rPr>
          <w:rFonts w:ascii="Constantia" w:hAnsi="Constantia"/>
          <w:sz w:val="19"/>
        </w:rPr>
      </w:pPr>
      <w:r>
        <w:rPr>
          <w:rFonts w:ascii="Constantia" w:hAnsi="Constantia"/>
          <w:w w:val="115"/>
          <w:sz w:val="19"/>
        </w:rPr>
        <w:t>Ho: No existen diferencias entre las medias de la deuda pública máxima</w:t>
      </w:r>
    </w:p>
    <w:p>
      <w:pPr>
        <w:pStyle w:val="BodyText"/>
        <w:spacing w:before="6"/>
        <w:rPr>
          <w:rFonts w:ascii="Constantia"/>
          <w:sz w:val="14"/>
        </w:rPr>
      </w:pPr>
    </w:p>
    <w:p>
      <w:pPr>
        <w:spacing w:before="66"/>
        <w:ind w:left="2394" w:right="19" w:firstLine="0"/>
        <w:jc w:val="center"/>
        <w:rPr>
          <w:rFonts w:ascii="Constantia"/>
          <w:sz w:val="19"/>
        </w:rPr>
      </w:pPr>
      <w:r>
        <w:rPr>
          <w:rFonts w:ascii="Constantia"/>
          <w:w w:val="115"/>
          <w:sz w:val="19"/>
        </w:rPr>
        <w:t>Porcentaje de ingresos fiscales del gas natural</w:t>
      </w:r>
    </w:p>
    <w:p>
      <w:pPr>
        <w:tabs>
          <w:tab w:pos="3657" w:val="left" w:leader="none"/>
          <w:tab w:pos="7718" w:val="left" w:leader="none"/>
        </w:tabs>
        <w:spacing w:before="26"/>
        <w:ind w:left="2394" w:right="0" w:firstLine="0"/>
        <w:jc w:val="center"/>
        <w:rPr>
          <w:rFonts w:ascii="Constantia"/>
          <w:sz w:val="19"/>
        </w:rPr>
      </w:pPr>
      <w:r>
        <w:rPr>
          <w:rFonts w:ascii="Constantia"/>
          <w:w w:val="113"/>
          <w:sz w:val="19"/>
          <w:u w:val="thick"/>
        </w:rPr>
        <w:t> </w:t>
      </w:r>
      <w:r>
        <w:rPr>
          <w:rFonts w:ascii="Constantia"/>
          <w:sz w:val="19"/>
          <w:u w:val="thick"/>
        </w:rPr>
        <w:tab/>
      </w:r>
      <w:r>
        <w:rPr>
          <w:rFonts w:ascii="Constantia"/>
          <w:w w:val="115"/>
          <w:sz w:val="19"/>
          <w:u w:val="thick"/>
        </w:rPr>
        <w:t>canalizados</w:t>
      </w:r>
      <w:r>
        <w:rPr>
          <w:rFonts w:ascii="Constantia"/>
          <w:spacing w:val="-14"/>
          <w:w w:val="115"/>
          <w:sz w:val="19"/>
          <w:u w:val="thick"/>
        </w:rPr>
        <w:t> </w:t>
      </w:r>
      <w:r>
        <w:rPr>
          <w:rFonts w:ascii="Constantia"/>
          <w:w w:val="115"/>
          <w:sz w:val="19"/>
          <w:u w:val="thick"/>
        </w:rPr>
        <w:t>al</w:t>
      </w:r>
      <w:r>
        <w:rPr>
          <w:rFonts w:ascii="Constantia"/>
          <w:spacing w:val="-19"/>
          <w:w w:val="115"/>
          <w:sz w:val="19"/>
          <w:u w:val="thick"/>
        </w:rPr>
        <w:t> </w:t>
      </w:r>
      <w:r>
        <w:rPr>
          <w:rFonts w:ascii="Constantia"/>
          <w:w w:val="115"/>
          <w:sz w:val="19"/>
          <w:u w:val="thick"/>
        </w:rPr>
        <w:t>gasto</w:t>
      </w:r>
      <w:r>
        <w:rPr>
          <w:rFonts w:ascii="Constantia"/>
          <w:spacing w:val="-19"/>
          <w:w w:val="115"/>
          <w:sz w:val="19"/>
          <w:u w:val="thick"/>
        </w:rPr>
        <w:t> </w:t>
      </w:r>
      <w:r>
        <w:rPr>
          <w:rFonts w:ascii="Constantia"/>
          <w:w w:val="115"/>
          <w:sz w:val="19"/>
          <w:u w:val="thick"/>
        </w:rPr>
        <w:t>de</w:t>
      </w:r>
      <w:r>
        <w:rPr>
          <w:rFonts w:ascii="Constantia"/>
          <w:spacing w:val="-17"/>
          <w:w w:val="115"/>
          <w:sz w:val="19"/>
          <w:u w:val="thick"/>
        </w:rPr>
        <w:t> </w:t>
      </w:r>
      <w:r>
        <w:rPr>
          <w:rFonts w:ascii="Constantia"/>
          <w:w w:val="115"/>
          <w:sz w:val="19"/>
          <w:u w:val="thick"/>
        </w:rPr>
        <w:t>capital</w:t>
      </w:r>
      <w:r>
        <w:rPr>
          <w:rFonts w:ascii="Constantia"/>
          <w:sz w:val="19"/>
          <w:u w:val="thick"/>
        </w:rPr>
        <w:tab/>
      </w:r>
    </w:p>
    <w:p>
      <w:pPr>
        <w:tabs>
          <w:tab w:pos="4101" w:val="left" w:leader="none"/>
        </w:tabs>
        <w:spacing w:before="37"/>
        <w:ind w:left="3278" w:right="148" w:firstLine="0"/>
        <w:jc w:val="left"/>
        <w:rPr>
          <w:rFonts w:ascii="Constantia"/>
          <w:sz w:val="19"/>
        </w:rPr>
      </w:pPr>
      <w:r>
        <w:rPr>
          <w:rFonts w:ascii="Constantia"/>
          <w:w w:val="115"/>
          <w:sz w:val="19"/>
        </w:rPr>
        <w:t>a)Baja</w:t>
        <w:tab/>
        <w:t>b) Media - c) </w:t>
      </w:r>
      <w:r>
        <w:rPr>
          <w:rFonts w:ascii="Constantia"/>
          <w:spacing w:val="-3"/>
          <w:w w:val="115"/>
          <w:sz w:val="19"/>
        </w:rPr>
        <w:t>Intermedia  </w:t>
      </w:r>
      <w:r>
        <w:rPr>
          <w:rFonts w:ascii="Constantia"/>
          <w:w w:val="115"/>
          <w:sz w:val="19"/>
        </w:rPr>
        <w:t>d) Media -   e)</w:t>
      </w:r>
      <w:r>
        <w:rPr>
          <w:rFonts w:ascii="Constantia"/>
          <w:spacing w:val="-25"/>
          <w:w w:val="115"/>
          <w:sz w:val="19"/>
        </w:rPr>
        <w:t> </w:t>
      </w:r>
      <w:r>
        <w:rPr>
          <w:rFonts w:ascii="Constantia"/>
          <w:w w:val="115"/>
          <w:sz w:val="19"/>
        </w:rPr>
        <w:t>Alta</w:t>
      </w:r>
    </w:p>
    <w:p>
      <w:pPr>
        <w:tabs>
          <w:tab w:pos="6797" w:val="left" w:leader="none"/>
        </w:tabs>
        <w:spacing w:before="26"/>
        <w:ind w:left="4361" w:right="148" w:firstLine="0"/>
        <w:jc w:val="left"/>
        <w:rPr>
          <w:rFonts w:ascii="Constantia"/>
          <w:sz w:val="19"/>
        </w:rPr>
      </w:pPr>
      <w:r>
        <w:rPr>
          <w:rFonts w:ascii="Constantia"/>
          <w:w w:val="115"/>
          <w:sz w:val="19"/>
        </w:rPr>
        <w:t>Baja</w:t>
        <w:tab/>
        <w:t>Alta</w:t>
      </w:r>
    </w:p>
    <w:p>
      <w:pPr>
        <w:spacing w:after="0"/>
        <w:jc w:val="left"/>
        <w:rPr>
          <w:rFonts w:ascii="Constantia"/>
          <w:sz w:val="19"/>
        </w:rPr>
        <w:sectPr>
          <w:pgSz w:w="12250" w:h="15850"/>
          <w:pgMar w:header="0" w:footer="1037" w:top="1360" w:bottom="1220" w:left="1600" w:right="1540"/>
        </w:sectPr>
      </w:pPr>
    </w:p>
    <w:p>
      <w:pPr>
        <w:pStyle w:val="BodyText"/>
        <w:spacing w:before="4"/>
        <w:rPr>
          <w:rFonts w:ascii="Constantia"/>
          <w:sz w:val="23"/>
        </w:rPr>
      </w:pPr>
    </w:p>
    <w:p>
      <w:pPr>
        <w:spacing w:line="268" w:lineRule="auto" w:before="0"/>
        <w:ind w:left="1597" w:right="-12" w:hanging="869"/>
        <w:jc w:val="left"/>
        <w:rPr>
          <w:rFonts w:ascii="Constantia"/>
          <w:sz w:val="19"/>
        </w:rPr>
      </w:pPr>
      <w:r>
        <w:rPr>
          <w:rFonts w:ascii="Constantia"/>
          <w:w w:val="115"/>
          <w:sz w:val="19"/>
        </w:rPr>
        <w:t>Escenario</w:t>
      </w:r>
      <w:r>
        <w:rPr>
          <w:rFonts w:ascii="Constantia"/>
          <w:spacing w:val="-20"/>
          <w:w w:val="115"/>
          <w:sz w:val="19"/>
        </w:rPr>
        <w:t> </w:t>
      </w:r>
      <w:r>
        <w:rPr>
          <w:rFonts w:ascii="Constantia"/>
          <w:w w:val="115"/>
          <w:sz w:val="19"/>
        </w:rPr>
        <w:t>base</w:t>
      </w:r>
      <w:r>
        <w:rPr>
          <w:rFonts w:ascii="Constantia"/>
          <w:spacing w:val="-19"/>
          <w:w w:val="115"/>
          <w:sz w:val="19"/>
        </w:rPr>
        <w:t> </w:t>
      </w:r>
      <w:r>
        <w:rPr>
          <w:rFonts w:ascii="Constantia"/>
          <w:w w:val="115"/>
          <w:sz w:val="19"/>
        </w:rPr>
        <w:t>(sin</w:t>
      </w:r>
      <w:r>
        <w:rPr>
          <w:rFonts w:ascii="Constantia"/>
          <w:spacing w:val="-18"/>
          <w:w w:val="115"/>
          <w:sz w:val="19"/>
        </w:rPr>
        <w:t> </w:t>
      </w:r>
      <w:r>
        <w:rPr>
          <w:rFonts w:ascii="Constantia"/>
          <w:w w:val="115"/>
          <w:sz w:val="19"/>
        </w:rPr>
        <w:t>regla fiscal)</w:t>
      </w:r>
    </w:p>
    <w:p>
      <w:pPr>
        <w:tabs>
          <w:tab w:pos="992" w:val="left" w:leader="none"/>
          <w:tab w:pos="2199" w:val="left" w:leader="none"/>
          <w:tab w:pos="3429" w:val="left" w:leader="none"/>
          <w:tab w:pos="4399" w:val="left" w:leader="none"/>
        </w:tabs>
        <w:spacing w:line="227" w:lineRule="exact" w:before="0"/>
        <w:ind w:left="0" w:right="603" w:firstLine="0"/>
        <w:jc w:val="center"/>
        <w:rPr>
          <w:rFonts w:ascii="Constantia"/>
          <w:sz w:val="19"/>
        </w:rPr>
      </w:pPr>
      <w:r>
        <w:rPr/>
        <w:br w:type="column"/>
      </w:r>
      <w:r>
        <w:rPr>
          <w:rFonts w:ascii="Constantia"/>
          <w:w w:val="115"/>
          <w:position w:val="1"/>
          <w:sz w:val="19"/>
        </w:rPr>
        <w:t>10</w:t>
        <w:tab/>
      </w:r>
      <w:r>
        <w:rPr>
          <w:rFonts w:ascii="Constantia"/>
          <w:w w:val="115"/>
          <w:sz w:val="19"/>
        </w:rPr>
        <w:t>25</w:t>
        <w:tab/>
        <w:t>50</w:t>
        <w:tab/>
        <w:t>75</w:t>
        <w:tab/>
      </w:r>
      <w:r>
        <w:rPr>
          <w:rFonts w:ascii="Constantia"/>
          <w:spacing w:val="-5"/>
          <w:w w:val="115"/>
          <w:sz w:val="19"/>
        </w:rPr>
        <w:t>90</w:t>
      </w:r>
    </w:p>
    <w:p>
      <w:pPr>
        <w:pStyle w:val="BodyText"/>
        <w:spacing w:before="9"/>
        <w:rPr>
          <w:rFonts w:ascii="Constantia"/>
          <w:sz w:val="15"/>
        </w:rPr>
      </w:pPr>
    </w:p>
    <w:p>
      <w:pPr>
        <w:tabs>
          <w:tab w:pos="970" w:val="left" w:leader="none"/>
          <w:tab w:pos="2233" w:val="left" w:leader="none"/>
          <w:tab w:pos="3507" w:val="left" w:leader="none"/>
          <w:tab w:pos="4500" w:val="left" w:leader="none"/>
        </w:tabs>
        <w:spacing w:before="0"/>
        <w:ind w:left="0" w:right="701" w:firstLine="0"/>
        <w:jc w:val="center"/>
        <w:rPr>
          <w:rFonts w:ascii="Constantia"/>
          <w:sz w:val="19"/>
        </w:rPr>
      </w:pPr>
      <w:r>
        <w:rPr/>
        <w:pict>
          <v:group style="position:absolute;margin-left:112.788185pt;margin-top:-9.586411pt;width:388.05pt;height:1.6pt;mso-position-horizontal-relative:page;mso-position-vertical-relative:paragraph;z-index:13744" coordorigin="2256,-192" coordsize="7761,32">
            <v:line style="position:absolute" from="2267,-186" to="10005,-186" stroked="true" strokeweight=".515158pt" strokecolor="#000000"/>
            <v:line style="position:absolute" from="2261,-186" to="10011,-186" stroked="true" strokeweight=".515158pt" strokecolor="#000000"/>
            <v:line style="position:absolute" from="2267,-166" to="10005,-166" stroked="true" strokeweight=".515158pt" strokecolor="#000000"/>
            <v:line style="position:absolute" from="2261,-166" to="10011,-166" stroked="true" strokeweight=".515158pt" strokecolor="#000000"/>
            <w10:wrap type="none"/>
          </v:group>
        </w:pict>
      </w:r>
      <w:r>
        <w:rPr>
          <w:rFonts w:ascii="Constantia"/>
          <w:w w:val="115"/>
          <w:sz w:val="19"/>
        </w:rPr>
        <w:t>5.18***</w:t>
        <w:tab/>
        <w:t>4.59***</w:t>
        <w:tab/>
        <w:t>3.54**</w:t>
        <w:tab/>
        <w:t>2.50*</w:t>
        <w:tab/>
        <w:t>2.19*</w:t>
      </w:r>
    </w:p>
    <w:p>
      <w:pPr>
        <w:spacing w:after="0"/>
        <w:jc w:val="center"/>
        <w:rPr>
          <w:rFonts w:ascii="Constantia"/>
          <w:sz w:val="19"/>
        </w:rPr>
        <w:sectPr>
          <w:type w:val="continuous"/>
          <w:pgSz w:w="12250" w:h="15850"/>
          <w:pgMar w:top="1500" w:bottom="280" w:left="1600" w:right="1540"/>
          <w:cols w:num="2" w:equalWidth="0">
            <w:col w:w="3004" w:space="40"/>
            <w:col w:w="6066"/>
          </w:cols>
        </w:sectPr>
      </w:pPr>
    </w:p>
    <w:p>
      <w:pPr>
        <w:pStyle w:val="BodyText"/>
        <w:spacing w:line="31" w:lineRule="exact"/>
        <w:ind w:left="655"/>
        <w:rPr>
          <w:rFonts w:ascii="Constantia"/>
          <w:sz w:val="3"/>
        </w:rPr>
      </w:pPr>
      <w:r>
        <w:rPr>
          <w:rFonts w:ascii="Constantia"/>
          <w:position w:val="0"/>
          <w:sz w:val="3"/>
        </w:rPr>
        <w:pict>
          <v:group style="width:388.05pt;height:1.6pt;mso-position-horizontal-relative:char;mso-position-vertical-relative:line" coordorigin="0,0" coordsize="7761,32">
            <v:line style="position:absolute" from="11,6" to="7749,6" stroked="true" strokeweight=".515158pt" strokecolor="#000000"/>
            <v:line style="position:absolute" from="6,6" to="7755,6" stroked="true" strokeweight=".515158pt" strokecolor="#000000"/>
            <v:line style="position:absolute" from="11,26" to="7749,26" stroked="true" strokeweight=".515158pt" strokecolor="#000000"/>
            <v:line style="position:absolute" from="6,26" to="7755,26" stroked="true" strokeweight=".515158pt" strokecolor="#000000"/>
          </v:group>
        </w:pict>
      </w:r>
      <w:r>
        <w:rPr>
          <w:rFonts w:ascii="Constantia"/>
          <w:position w:val="0"/>
          <w:sz w:val="3"/>
        </w:rPr>
      </w:r>
    </w:p>
    <w:p>
      <w:pPr>
        <w:spacing w:before="14"/>
        <w:ind w:left="683" w:right="148" w:firstLine="0"/>
        <w:jc w:val="left"/>
        <w:rPr>
          <w:rFonts w:ascii="Constantia" w:hAnsi="Constantia"/>
          <w:sz w:val="13"/>
        </w:rPr>
      </w:pPr>
      <w:r>
        <w:rPr>
          <w:rFonts w:ascii="Constantia" w:hAnsi="Constantia"/>
          <w:w w:val="115"/>
          <w:sz w:val="13"/>
        </w:rPr>
        <w:t>Los valores corresponden al estadístico "t" estimado.</w:t>
      </w:r>
    </w:p>
    <w:p>
      <w:pPr>
        <w:spacing w:before="99"/>
        <w:ind w:left="683" w:right="148" w:firstLine="0"/>
        <w:jc w:val="left"/>
        <w:rPr>
          <w:rFonts w:ascii="Constantia"/>
          <w:sz w:val="13"/>
        </w:rPr>
      </w:pPr>
      <w:r>
        <w:rPr>
          <w:rFonts w:ascii="Constantia"/>
          <w:w w:val="115"/>
          <w:sz w:val="13"/>
        </w:rPr>
        <w:t>Se indica el nivel de significancia:*** al 0.10%; ** al 1%; * al 5% de forma respectiva.</w:t>
      </w:r>
    </w:p>
    <w:p>
      <w:pPr>
        <w:spacing w:after="0"/>
        <w:jc w:val="left"/>
        <w:rPr>
          <w:rFonts w:ascii="Constantia"/>
          <w:sz w:val="13"/>
        </w:rPr>
        <w:sectPr>
          <w:type w:val="continuous"/>
          <w:pgSz w:w="12250" w:h="15850"/>
          <w:pgMar w:top="1500" w:bottom="280" w:left="1600" w:right="1540"/>
        </w:sectPr>
      </w:pPr>
    </w:p>
    <w:p>
      <w:pPr>
        <w:pStyle w:val="BodyText"/>
        <w:spacing w:line="360" w:lineRule="auto" w:before="50"/>
        <w:ind w:left="102" w:right="118" w:firstLine="707"/>
        <w:jc w:val="both"/>
      </w:pPr>
      <w:r>
        <w:rPr/>
        <w:t>En suma, de acuerdo con los </w:t>
      </w:r>
      <w:r>
        <w:rPr>
          <w:i/>
        </w:rPr>
        <w:t>cuadros 4.11 </w:t>
      </w:r>
      <w:r>
        <w:rPr/>
        <w:t>y </w:t>
      </w:r>
      <w:r>
        <w:rPr>
          <w:i/>
        </w:rPr>
        <w:t>4.12</w:t>
      </w:r>
      <w:r>
        <w:rPr/>
        <w:t>, se encontró soporte para la </w:t>
      </w:r>
      <w:r>
        <w:rPr>
          <w:i/>
        </w:rPr>
        <w:t>hipótesis 2</w:t>
      </w:r>
      <w:r>
        <w:rPr/>
        <w:t>, a niveles de significancia del 1 y el 5%, que sostenía las reglas  fiscales  basadas en diversas magnitudes de canalización de ingresos del recurso natural hacia el gasto de capital disminuían la </w:t>
      </w:r>
      <w:r>
        <w:rPr>
          <w:i/>
        </w:rPr>
        <w:t>deuda pública máxima </w:t>
      </w:r>
      <w:r>
        <w:rPr/>
        <w:t>en el corto y mediano plazo comparado con una trayectoria de escenario base (sin regla</w:t>
      </w:r>
      <w:r>
        <w:rPr>
          <w:spacing w:val="-14"/>
        </w:rPr>
        <w:t> </w:t>
      </w:r>
      <w:r>
        <w:rPr/>
        <w:t>fiscal).</w:t>
      </w:r>
    </w:p>
    <w:p>
      <w:pPr>
        <w:pStyle w:val="BodyText"/>
        <w:spacing w:before="4"/>
        <w:ind w:left="810"/>
      </w:pPr>
      <w:r>
        <w:rPr/>
        <w:t>Un  análisis  complementario  permitió  comparar  diferencias  estadísticas  entre   la</w:t>
      </w:r>
    </w:p>
    <w:p>
      <w:pPr>
        <w:spacing w:before="139"/>
        <w:ind w:left="102" w:right="127" w:firstLine="0"/>
        <w:jc w:val="left"/>
        <w:rPr>
          <w:sz w:val="24"/>
        </w:rPr>
      </w:pPr>
      <w:r>
        <w:rPr>
          <w:i/>
          <w:sz w:val="24"/>
        </w:rPr>
        <w:t>deuda pública máxima </w:t>
      </w:r>
      <w:r>
        <w:rPr>
          <w:sz w:val="24"/>
        </w:rPr>
        <w:t>entre los escenarios de reglas fiscales (</w:t>
      </w:r>
      <w:r>
        <w:rPr>
          <w:i/>
          <w:sz w:val="24"/>
        </w:rPr>
        <w:t>cuadro 4.13</w:t>
      </w:r>
      <w:r>
        <w:rPr>
          <w:sz w:val="24"/>
        </w:rPr>
        <w:t>):</w:t>
      </w:r>
    </w:p>
    <w:p>
      <w:pPr>
        <w:pStyle w:val="BodyText"/>
        <w:spacing w:before="10"/>
        <w:rPr>
          <w:sz w:val="35"/>
        </w:rPr>
      </w:pPr>
    </w:p>
    <w:p>
      <w:pPr>
        <w:pStyle w:val="BodyText"/>
        <w:spacing w:before="1"/>
        <w:ind w:left="1285" w:right="127"/>
      </w:pPr>
      <w:bookmarkStart w:name="_bookmark143" w:id="195"/>
      <w:bookmarkEnd w:id="195"/>
      <w:r>
        <w:rPr/>
      </w:r>
      <w:r>
        <w:rPr/>
        <w:t>Cuadro 4. 13: Prueba de hipótesis para escenarios de reglas fiscales</w:t>
      </w:r>
    </w:p>
    <w:p>
      <w:pPr>
        <w:spacing w:before="72"/>
        <w:ind w:left="852" w:right="127" w:firstLine="0"/>
        <w:jc w:val="left"/>
        <w:rPr>
          <w:rFonts w:ascii="Constantia" w:hAnsi="Constantia"/>
          <w:sz w:val="20"/>
        </w:rPr>
      </w:pPr>
      <w:r>
        <w:rPr>
          <w:rFonts w:ascii="Constantia" w:hAnsi="Constantia"/>
          <w:w w:val="105"/>
          <w:sz w:val="20"/>
        </w:rPr>
        <w:t>Ho: No existen diferencias entre las medias de la deuda pública máxima</w:t>
      </w:r>
    </w:p>
    <w:p>
      <w:pPr>
        <w:pStyle w:val="BodyText"/>
        <w:spacing w:before="11"/>
        <w:rPr>
          <w:rFonts w:ascii="Constantia"/>
          <w:sz w:val="19"/>
        </w:rPr>
      </w:pPr>
    </w:p>
    <w:p>
      <w:pPr>
        <w:spacing w:before="64"/>
        <w:ind w:left="3232" w:right="127" w:firstLine="0"/>
        <w:jc w:val="left"/>
        <w:rPr>
          <w:rFonts w:ascii="Constantia"/>
          <w:sz w:val="20"/>
        </w:rPr>
      </w:pPr>
      <w:r>
        <w:rPr>
          <w:rFonts w:ascii="Constantia"/>
          <w:w w:val="105"/>
          <w:sz w:val="20"/>
        </w:rPr>
        <w:t>Porcentaje de ingresos fiscales petroleros canalizados al</w:t>
      </w:r>
    </w:p>
    <w:p>
      <w:pPr>
        <w:tabs>
          <w:tab w:pos="5005" w:val="left" w:leader="none"/>
          <w:tab w:pos="8251" w:val="left" w:leader="none"/>
        </w:tabs>
        <w:spacing w:before="26" w:after="37"/>
        <w:ind w:left="3145" w:right="127" w:firstLine="0"/>
        <w:jc w:val="left"/>
        <w:rPr>
          <w:rFonts w:ascii="Constantia"/>
          <w:sz w:val="20"/>
        </w:rPr>
      </w:pPr>
      <w:r>
        <w:rPr>
          <w:rFonts w:ascii="Constantia"/>
          <w:w w:val="102"/>
          <w:sz w:val="20"/>
          <w:u w:val="thick"/>
        </w:rPr>
        <w:t> </w:t>
      </w:r>
      <w:r>
        <w:rPr>
          <w:rFonts w:ascii="Constantia"/>
          <w:sz w:val="20"/>
          <w:u w:val="thick"/>
        </w:rPr>
        <w:tab/>
      </w:r>
      <w:r>
        <w:rPr>
          <w:rFonts w:ascii="Constantia"/>
          <w:w w:val="105"/>
          <w:sz w:val="20"/>
          <w:u w:val="thick"/>
        </w:rPr>
        <w:t>gasto de</w:t>
      </w:r>
      <w:r>
        <w:rPr>
          <w:rFonts w:ascii="Constantia"/>
          <w:spacing w:val="-27"/>
          <w:w w:val="105"/>
          <w:sz w:val="20"/>
          <w:u w:val="thick"/>
        </w:rPr>
        <w:t> </w:t>
      </w:r>
      <w:r>
        <w:rPr>
          <w:rFonts w:ascii="Constantia"/>
          <w:w w:val="105"/>
          <w:sz w:val="20"/>
          <w:u w:val="thick"/>
        </w:rPr>
        <w:t>capital</w:t>
      </w:r>
      <w:r>
        <w:rPr>
          <w:rFonts w:ascii="Constantia"/>
          <w:sz w:val="20"/>
          <w:u w:val="thick"/>
        </w:rPr>
        <w:tab/>
      </w:r>
    </w:p>
    <w:tbl>
      <w:tblPr>
        <w:tblW w:w="0" w:type="auto"/>
        <w:jc w:val="left"/>
        <w:tblInd w:w="81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17"/>
        <w:gridCol w:w="650"/>
        <w:gridCol w:w="930"/>
        <w:gridCol w:w="3421"/>
        <w:gridCol w:w="813"/>
      </w:tblGrid>
      <w:tr>
        <w:trPr>
          <w:trHeight w:val="800" w:hRule="exact"/>
        </w:trPr>
        <w:tc>
          <w:tcPr>
            <w:tcW w:w="2267" w:type="dxa"/>
            <w:gridSpan w:val="2"/>
            <w:tcBorders>
              <w:bottom w:val="double" w:sz="4" w:space="0" w:color="000000"/>
            </w:tcBorders>
          </w:tcPr>
          <w:p>
            <w:pPr/>
          </w:p>
        </w:tc>
        <w:tc>
          <w:tcPr>
            <w:tcW w:w="930" w:type="dxa"/>
            <w:tcBorders>
              <w:bottom w:val="double" w:sz="4" w:space="0" w:color="000000"/>
            </w:tcBorders>
          </w:tcPr>
          <w:p>
            <w:pPr>
              <w:pStyle w:val="TableParagraph"/>
              <w:spacing w:line="233" w:lineRule="exact"/>
              <w:ind w:left="213" w:right="116"/>
              <w:rPr>
                <w:rFonts w:ascii="Constantia"/>
                <w:sz w:val="20"/>
              </w:rPr>
            </w:pPr>
            <w:r>
              <w:rPr>
                <w:rFonts w:ascii="Constantia"/>
                <w:w w:val="105"/>
                <w:sz w:val="20"/>
              </w:rPr>
              <w:t>a)Baja</w:t>
            </w:r>
          </w:p>
          <w:p>
            <w:pPr>
              <w:pStyle w:val="TableParagraph"/>
              <w:spacing w:before="3"/>
              <w:jc w:val="left"/>
              <w:rPr>
                <w:rFonts w:ascii="Constantia"/>
                <w:sz w:val="24"/>
              </w:rPr>
            </w:pPr>
          </w:p>
          <w:p>
            <w:pPr>
              <w:pStyle w:val="TableParagraph"/>
              <w:ind w:left="193" w:right="116"/>
              <w:rPr>
                <w:rFonts w:ascii="Constantia"/>
                <w:sz w:val="20"/>
              </w:rPr>
            </w:pPr>
            <w:r>
              <w:rPr>
                <w:rFonts w:ascii="Constantia"/>
                <w:w w:val="105"/>
                <w:sz w:val="20"/>
              </w:rPr>
              <w:t>10</w:t>
            </w:r>
          </w:p>
        </w:tc>
        <w:tc>
          <w:tcPr>
            <w:tcW w:w="3421" w:type="dxa"/>
            <w:tcBorders>
              <w:bottom w:val="double" w:sz="4" w:space="0" w:color="000000"/>
            </w:tcBorders>
          </w:tcPr>
          <w:p>
            <w:pPr>
              <w:pStyle w:val="TableParagraph"/>
              <w:tabs>
                <w:tab w:pos="2687" w:val="left" w:leader="none"/>
              </w:tabs>
              <w:spacing w:line="266" w:lineRule="auto"/>
              <w:ind w:left="350" w:right="86" w:hanging="249"/>
              <w:jc w:val="left"/>
              <w:rPr>
                <w:rFonts w:ascii="Constantia"/>
                <w:sz w:val="20"/>
              </w:rPr>
            </w:pPr>
            <w:r>
              <w:rPr>
                <w:rFonts w:ascii="Constantia"/>
                <w:w w:val="105"/>
                <w:sz w:val="20"/>
              </w:rPr>
              <w:t>b) Media - c) </w:t>
            </w:r>
            <w:r>
              <w:rPr>
                <w:rFonts w:ascii="Constantia"/>
                <w:spacing w:val="-3"/>
                <w:w w:val="105"/>
                <w:sz w:val="20"/>
              </w:rPr>
              <w:t>Intermedia </w:t>
            </w:r>
            <w:r>
              <w:rPr>
                <w:rFonts w:ascii="Constantia"/>
                <w:w w:val="105"/>
                <w:sz w:val="20"/>
              </w:rPr>
              <w:t>d) Media - Baja</w:t>
              <w:tab/>
              <w:t>Alta</w:t>
            </w:r>
          </w:p>
          <w:p>
            <w:pPr>
              <w:pStyle w:val="TableParagraph"/>
              <w:tabs>
                <w:tab w:pos="1594" w:val="left" w:leader="none"/>
                <w:tab w:pos="2773" w:val="left" w:leader="none"/>
              </w:tabs>
              <w:spacing w:line="243" w:lineRule="exact"/>
              <w:ind w:left="426"/>
              <w:jc w:val="left"/>
              <w:rPr>
                <w:rFonts w:ascii="Constantia"/>
                <w:sz w:val="20"/>
              </w:rPr>
            </w:pPr>
            <w:r>
              <w:rPr>
                <w:rFonts w:ascii="Constantia"/>
                <w:w w:val="105"/>
                <w:sz w:val="20"/>
              </w:rPr>
              <w:t>25</w:t>
              <w:tab/>
              <w:t>50</w:t>
              <w:tab/>
            </w:r>
            <w:r>
              <w:rPr>
                <w:rFonts w:ascii="Constantia"/>
                <w:spacing w:val="-3"/>
                <w:w w:val="105"/>
                <w:sz w:val="20"/>
              </w:rPr>
              <w:t>75</w:t>
            </w:r>
          </w:p>
        </w:tc>
        <w:tc>
          <w:tcPr>
            <w:tcW w:w="813" w:type="dxa"/>
            <w:tcBorders>
              <w:bottom w:val="double" w:sz="4" w:space="0" w:color="000000"/>
            </w:tcBorders>
          </w:tcPr>
          <w:p>
            <w:pPr>
              <w:pStyle w:val="TableParagraph"/>
              <w:spacing w:line="233" w:lineRule="exact"/>
              <w:ind w:left="88"/>
              <w:jc w:val="left"/>
              <w:rPr>
                <w:rFonts w:ascii="Constantia"/>
                <w:sz w:val="20"/>
              </w:rPr>
            </w:pPr>
            <w:r>
              <w:rPr>
                <w:rFonts w:ascii="Constantia"/>
                <w:w w:val="105"/>
                <w:sz w:val="20"/>
              </w:rPr>
              <w:t>e) Alta</w:t>
            </w:r>
          </w:p>
          <w:p>
            <w:pPr>
              <w:pStyle w:val="TableParagraph"/>
              <w:spacing w:before="3"/>
              <w:jc w:val="left"/>
              <w:rPr>
                <w:rFonts w:ascii="Constantia"/>
                <w:sz w:val="24"/>
              </w:rPr>
            </w:pPr>
          </w:p>
          <w:p>
            <w:pPr>
              <w:pStyle w:val="TableParagraph"/>
              <w:ind w:left="246" w:right="298"/>
              <w:rPr>
                <w:rFonts w:ascii="Constantia"/>
                <w:sz w:val="20"/>
              </w:rPr>
            </w:pPr>
            <w:r>
              <w:rPr>
                <w:rFonts w:ascii="Constantia"/>
                <w:w w:val="105"/>
                <w:sz w:val="20"/>
              </w:rPr>
              <w:t>90</w:t>
            </w:r>
          </w:p>
        </w:tc>
      </w:tr>
      <w:tr>
        <w:trPr>
          <w:trHeight w:val="435" w:hRule="exact"/>
        </w:trPr>
        <w:tc>
          <w:tcPr>
            <w:tcW w:w="1617" w:type="dxa"/>
            <w:tcBorders>
              <w:top w:val="double" w:sz="4" w:space="0" w:color="000000"/>
            </w:tcBorders>
          </w:tcPr>
          <w:p>
            <w:pPr>
              <w:pStyle w:val="TableParagraph"/>
              <w:spacing w:before="79"/>
              <w:ind w:left="32"/>
              <w:jc w:val="left"/>
              <w:rPr>
                <w:rFonts w:ascii="Constantia"/>
                <w:sz w:val="20"/>
              </w:rPr>
            </w:pPr>
            <w:r>
              <w:rPr>
                <w:rFonts w:ascii="Constantia"/>
                <w:w w:val="105"/>
                <w:sz w:val="20"/>
              </w:rPr>
              <w:t>a)Baja</w:t>
            </w:r>
          </w:p>
        </w:tc>
        <w:tc>
          <w:tcPr>
            <w:tcW w:w="650" w:type="dxa"/>
            <w:tcBorders>
              <w:top w:val="double" w:sz="4" w:space="0" w:color="000000"/>
            </w:tcBorders>
          </w:tcPr>
          <w:p>
            <w:pPr>
              <w:pStyle w:val="TableParagraph"/>
              <w:spacing w:before="79"/>
              <w:ind w:left="205" w:right="170"/>
              <w:rPr>
                <w:rFonts w:ascii="Constantia"/>
                <w:sz w:val="20"/>
              </w:rPr>
            </w:pPr>
            <w:r>
              <w:rPr>
                <w:rFonts w:ascii="Constantia"/>
                <w:w w:val="105"/>
                <w:sz w:val="20"/>
              </w:rPr>
              <w:t>10</w:t>
            </w:r>
          </w:p>
        </w:tc>
        <w:tc>
          <w:tcPr>
            <w:tcW w:w="930" w:type="dxa"/>
            <w:tcBorders>
              <w:top w:val="double" w:sz="4" w:space="0" w:color="000000"/>
            </w:tcBorders>
          </w:tcPr>
          <w:p>
            <w:pPr>
              <w:pStyle w:val="TableParagraph"/>
              <w:spacing w:before="79"/>
              <w:ind w:left="555"/>
              <w:jc w:val="left"/>
              <w:rPr>
                <w:rFonts w:ascii="Constantia"/>
                <w:sz w:val="20"/>
              </w:rPr>
            </w:pPr>
            <w:r>
              <w:rPr>
                <w:rFonts w:ascii="Constantia"/>
                <w:w w:val="102"/>
                <w:sz w:val="20"/>
              </w:rPr>
              <w:t>-</w:t>
            </w:r>
          </w:p>
        </w:tc>
        <w:tc>
          <w:tcPr>
            <w:tcW w:w="3421" w:type="dxa"/>
            <w:tcBorders>
              <w:top w:val="double" w:sz="4" w:space="0" w:color="000000"/>
            </w:tcBorders>
          </w:tcPr>
          <w:p>
            <w:pPr/>
          </w:p>
        </w:tc>
        <w:tc>
          <w:tcPr>
            <w:tcW w:w="813" w:type="dxa"/>
            <w:tcBorders>
              <w:top w:val="double" w:sz="4" w:space="0" w:color="000000"/>
            </w:tcBorders>
          </w:tcPr>
          <w:p>
            <w:pPr/>
          </w:p>
        </w:tc>
      </w:tr>
      <w:tr>
        <w:trPr>
          <w:trHeight w:val="367" w:hRule="exact"/>
        </w:trPr>
        <w:tc>
          <w:tcPr>
            <w:tcW w:w="1617" w:type="dxa"/>
          </w:tcPr>
          <w:p>
            <w:pPr>
              <w:pStyle w:val="TableParagraph"/>
              <w:spacing w:before="61"/>
              <w:ind w:left="32"/>
              <w:jc w:val="left"/>
              <w:rPr>
                <w:rFonts w:ascii="Constantia"/>
                <w:sz w:val="20"/>
              </w:rPr>
            </w:pPr>
            <w:r>
              <w:rPr>
                <w:rFonts w:ascii="Constantia"/>
                <w:w w:val="105"/>
                <w:sz w:val="20"/>
              </w:rPr>
              <w:t>b) Media - Baja</w:t>
            </w:r>
          </w:p>
        </w:tc>
        <w:tc>
          <w:tcPr>
            <w:tcW w:w="650" w:type="dxa"/>
          </w:tcPr>
          <w:p>
            <w:pPr>
              <w:pStyle w:val="TableParagraph"/>
              <w:spacing w:before="61"/>
              <w:ind w:left="205" w:right="176"/>
              <w:rPr>
                <w:rFonts w:ascii="Constantia"/>
                <w:sz w:val="20"/>
              </w:rPr>
            </w:pPr>
            <w:r>
              <w:rPr>
                <w:rFonts w:ascii="Constantia"/>
                <w:w w:val="105"/>
                <w:sz w:val="20"/>
              </w:rPr>
              <w:t>25</w:t>
            </w:r>
          </w:p>
        </w:tc>
        <w:tc>
          <w:tcPr>
            <w:tcW w:w="930" w:type="dxa"/>
          </w:tcPr>
          <w:p>
            <w:pPr>
              <w:pStyle w:val="TableParagraph"/>
              <w:spacing w:before="61"/>
              <w:ind w:left="350"/>
              <w:jc w:val="left"/>
              <w:rPr>
                <w:rFonts w:ascii="Constantia"/>
                <w:sz w:val="20"/>
              </w:rPr>
            </w:pPr>
            <w:r>
              <w:rPr>
                <w:rFonts w:ascii="Constantia"/>
                <w:w w:val="105"/>
                <w:sz w:val="20"/>
              </w:rPr>
              <w:t>1.54</w:t>
            </w:r>
          </w:p>
        </w:tc>
        <w:tc>
          <w:tcPr>
            <w:tcW w:w="3421" w:type="dxa"/>
          </w:tcPr>
          <w:p>
            <w:pPr>
              <w:pStyle w:val="TableParagraph"/>
              <w:spacing w:before="61"/>
              <w:ind w:left="621"/>
              <w:jc w:val="left"/>
              <w:rPr>
                <w:rFonts w:ascii="Constantia"/>
                <w:sz w:val="20"/>
              </w:rPr>
            </w:pPr>
            <w:r>
              <w:rPr>
                <w:rFonts w:ascii="Constantia"/>
                <w:w w:val="102"/>
                <w:sz w:val="20"/>
              </w:rPr>
              <w:t>-</w:t>
            </w:r>
          </w:p>
        </w:tc>
        <w:tc>
          <w:tcPr>
            <w:tcW w:w="813" w:type="dxa"/>
          </w:tcPr>
          <w:p>
            <w:pPr/>
          </w:p>
        </w:tc>
      </w:tr>
      <w:tr>
        <w:trPr>
          <w:trHeight w:val="351" w:hRule="exact"/>
        </w:trPr>
        <w:tc>
          <w:tcPr>
            <w:tcW w:w="1617" w:type="dxa"/>
          </w:tcPr>
          <w:p>
            <w:pPr>
              <w:pStyle w:val="TableParagraph"/>
              <w:spacing w:before="28"/>
              <w:ind w:left="32"/>
              <w:jc w:val="left"/>
              <w:rPr>
                <w:rFonts w:ascii="Constantia"/>
                <w:sz w:val="20"/>
              </w:rPr>
            </w:pPr>
            <w:r>
              <w:rPr>
                <w:rFonts w:ascii="Constantia"/>
                <w:w w:val="105"/>
                <w:sz w:val="20"/>
              </w:rPr>
              <w:t>c) Intermedia</w:t>
            </w:r>
          </w:p>
        </w:tc>
        <w:tc>
          <w:tcPr>
            <w:tcW w:w="650" w:type="dxa"/>
          </w:tcPr>
          <w:p>
            <w:pPr>
              <w:pStyle w:val="TableParagraph"/>
              <w:spacing w:before="28"/>
              <w:ind w:left="205" w:right="161"/>
              <w:rPr>
                <w:rFonts w:ascii="Constantia"/>
                <w:sz w:val="20"/>
              </w:rPr>
            </w:pPr>
            <w:r>
              <w:rPr>
                <w:rFonts w:ascii="Constantia"/>
                <w:w w:val="105"/>
                <w:sz w:val="20"/>
              </w:rPr>
              <w:t>50</w:t>
            </w:r>
          </w:p>
        </w:tc>
        <w:tc>
          <w:tcPr>
            <w:tcW w:w="930" w:type="dxa"/>
          </w:tcPr>
          <w:p>
            <w:pPr>
              <w:pStyle w:val="TableParagraph"/>
              <w:spacing w:before="28"/>
              <w:ind w:left="264"/>
              <w:jc w:val="left"/>
              <w:rPr>
                <w:rFonts w:ascii="Constantia"/>
                <w:sz w:val="20"/>
              </w:rPr>
            </w:pPr>
            <w:r>
              <w:rPr>
                <w:rFonts w:ascii="Constantia"/>
                <w:w w:val="105"/>
                <w:sz w:val="20"/>
              </w:rPr>
              <w:t>2.71**</w:t>
            </w:r>
          </w:p>
        </w:tc>
        <w:tc>
          <w:tcPr>
            <w:tcW w:w="3421" w:type="dxa"/>
          </w:tcPr>
          <w:p>
            <w:pPr>
              <w:pStyle w:val="TableParagraph"/>
              <w:tabs>
                <w:tab w:pos="1962" w:val="left" w:leader="none"/>
              </w:tabs>
              <w:spacing w:before="28"/>
              <w:ind w:left="415"/>
              <w:jc w:val="left"/>
              <w:rPr>
                <w:rFonts w:ascii="Constantia"/>
                <w:sz w:val="20"/>
              </w:rPr>
            </w:pPr>
            <w:r>
              <w:rPr>
                <w:rFonts w:ascii="Constantia"/>
                <w:w w:val="105"/>
                <w:sz w:val="20"/>
              </w:rPr>
              <w:t>1.6</w:t>
              <w:tab/>
              <w:t>-</w:t>
            </w:r>
          </w:p>
        </w:tc>
        <w:tc>
          <w:tcPr>
            <w:tcW w:w="813" w:type="dxa"/>
          </w:tcPr>
          <w:p>
            <w:pPr/>
          </w:p>
        </w:tc>
      </w:tr>
      <w:tr>
        <w:trPr>
          <w:trHeight w:val="384" w:hRule="exact"/>
        </w:trPr>
        <w:tc>
          <w:tcPr>
            <w:tcW w:w="1617" w:type="dxa"/>
          </w:tcPr>
          <w:p>
            <w:pPr>
              <w:pStyle w:val="TableParagraph"/>
              <w:spacing w:before="44"/>
              <w:ind w:left="32"/>
              <w:jc w:val="left"/>
              <w:rPr>
                <w:rFonts w:ascii="Constantia"/>
                <w:sz w:val="20"/>
              </w:rPr>
            </w:pPr>
            <w:r>
              <w:rPr>
                <w:rFonts w:ascii="Constantia"/>
                <w:w w:val="105"/>
                <w:sz w:val="20"/>
              </w:rPr>
              <w:t>d) Media - Alta</w:t>
            </w:r>
          </w:p>
        </w:tc>
        <w:tc>
          <w:tcPr>
            <w:tcW w:w="650" w:type="dxa"/>
          </w:tcPr>
          <w:p>
            <w:pPr>
              <w:pStyle w:val="TableParagraph"/>
              <w:spacing w:before="44"/>
              <w:ind w:left="205" w:right="176"/>
              <w:rPr>
                <w:rFonts w:ascii="Constantia"/>
                <w:sz w:val="20"/>
              </w:rPr>
            </w:pPr>
            <w:r>
              <w:rPr>
                <w:rFonts w:ascii="Constantia"/>
                <w:w w:val="105"/>
                <w:sz w:val="20"/>
              </w:rPr>
              <w:t>75</w:t>
            </w:r>
          </w:p>
        </w:tc>
        <w:tc>
          <w:tcPr>
            <w:tcW w:w="930" w:type="dxa"/>
          </w:tcPr>
          <w:p>
            <w:pPr>
              <w:pStyle w:val="TableParagraph"/>
              <w:spacing w:before="44"/>
              <w:ind w:left="199"/>
              <w:jc w:val="left"/>
              <w:rPr>
                <w:rFonts w:ascii="Constantia"/>
                <w:sz w:val="20"/>
              </w:rPr>
            </w:pPr>
            <w:r>
              <w:rPr>
                <w:rFonts w:ascii="Constantia"/>
                <w:w w:val="105"/>
                <w:sz w:val="20"/>
              </w:rPr>
              <w:t>3.68***</w:t>
            </w:r>
          </w:p>
        </w:tc>
        <w:tc>
          <w:tcPr>
            <w:tcW w:w="3421" w:type="dxa"/>
          </w:tcPr>
          <w:p>
            <w:pPr>
              <w:pStyle w:val="TableParagraph"/>
              <w:tabs>
                <w:tab w:pos="1562" w:val="left" w:leader="none"/>
                <w:tab w:pos="2968" w:val="left" w:leader="none"/>
              </w:tabs>
              <w:spacing w:before="44"/>
              <w:ind w:left="286"/>
              <w:jc w:val="left"/>
              <w:rPr>
                <w:rFonts w:ascii="Constantia"/>
                <w:sz w:val="20"/>
              </w:rPr>
            </w:pPr>
            <w:r>
              <w:rPr>
                <w:rFonts w:ascii="Constantia"/>
                <w:w w:val="105"/>
                <w:sz w:val="20"/>
              </w:rPr>
              <w:t>2.81**</w:t>
              <w:tab/>
              <w:t>1.31</w:t>
              <w:tab/>
              <w:t>-</w:t>
            </w:r>
          </w:p>
        </w:tc>
        <w:tc>
          <w:tcPr>
            <w:tcW w:w="813" w:type="dxa"/>
          </w:tcPr>
          <w:p>
            <w:pPr/>
          </w:p>
        </w:tc>
      </w:tr>
      <w:tr>
        <w:trPr>
          <w:trHeight w:val="365" w:hRule="exact"/>
        </w:trPr>
        <w:tc>
          <w:tcPr>
            <w:tcW w:w="1617" w:type="dxa"/>
            <w:tcBorders>
              <w:bottom w:val="double" w:sz="4" w:space="0" w:color="000000"/>
            </w:tcBorders>
          </w:tcPr>
          <w:p>
            <w:pPr>
              <w:pStyle w:val="TableParagraph"/>
              <w:spacing w:before="61"/>
              <w:ind w:left="32"/>
              <w:jc w:val="left"/>
              <w:rPr>
                <w:rFonts w:ascii="Constantia"/>
                <w:sz w:val="20"/>
              </w:rPr>
            </w:pPr>
            <w:r>
              <w:rPr>
                <w:rFonts w:ascii="Constantia"/>
                <w:w w:val="105"/>
                <w:sz w:val="20"/>
              </w:rPr>
              <w:t>e) Alta</w:t>
            </w:r>
          </w:p>
        </w:tc>
        <w:tc>
          <w:tcPr>
            <w:tcW w:w="650" w:type="dxa"/>
            <w:tcBorders>
              <w:bottom w:val="double" w:sz="4" w:space="0" w:color="000000"/>
            </w:tcBorders>
          </w:tcPr>
          <w:p>
            <w:pPr>
              <w:pStyle w:val="TableParagraph"/>
              <w:spacing w:before="61"/>
              <w:ind w:left="205" w:right="176"/>
              <w:rPr>
                <w:rFonts w:ascii="Constantia"/>
                <w:sz w:val="20"/>
              </w:rPr>
            </w:pPr>
            <w:r>
              <w:rPr>
                <w:rFonts w:ascii="Constantia"/>
                <w:w w:val="105"/>
                <w:sz w:val="20"/>
              </w:rPr>
              <w:t>90</w:t>
            </w:r>
          </w:p>
        </w:tc>
        <w:tc>
          <w:tcPr>
            <w:tcW w:w="930" w:type="dxa"/>
            <w:tcBorders>
              <w:bottom w:val="double" w:sz="4" w:space="0" w:color="000000"/>
            </w:tcBorders>
          </w:tcPr>
          <w:p>
            <w:pPr>
              <w:pStyle w:val="TableParagraph"/>
              <w:spacing w:before="61"/>
              <w:ind w:left="220"/>
              <w:jc w:val="left"/>
              <w:rPr>
                <w:rFonts w:ascii="Constantia"/>
                <w:sz w:val="20"/>
              </w:rPr>
            </w:pPr>
            <w:r>
              <w:rPr>
                <w:rFonts w:ascii="Constantia"/>
                <w:w w:val="105"/>
                <w:sz w:val="20"/>
              </w:rPr>
              <w:t>3.91***</w:t>
            </w:r>
          </w:p>
        </w:tc>
        <w:tc>
          <w:tcPr>
            <w:tcW w:w="3421" w:type="dxa"/>
            <w:tcBorders>
              <w:bottom w:val="double" w:sz="4" w:space="0" w:color="000000"/>
            </w:tcBorders>
          </w:tcPr>
          <w:p>
            <w:pPr>
              <w:pStyle w:val="TableParagraph"/>
              <w:tabs>
                <w:tab w:pos="1530" w:val="left" w:leader="none"/>
                <w:tab w:pos="2698" w:val="left" w:leader="none"/>
              </w:tabs>
              <w:spacing w:before="61"/>
              <w:ind w:left="286"/>
              <w:jc w:val="left"/>
              <w:rPr>
                <w:rFonts w:ascii="Constantia"/>
                <w:sz w:val="20"/>
              </w:rPr>
            </w:pPr>
            <w:r>
              <w:rPr>
                <w:rFonts w:ascii="Constantia"/>
                <w:w w:val="105"/>
                <w:sz w:val="20"/>
              </w:rPr>
              <w:t>3.10**</w:t>
              <w:tab/>
              <w:t>1.64</w:t>
              <w:tab/>
              <w:t>0.35</w:t>
            </w:r>
          </w:p>
        </w:tc>
        <w:tc>
          <w:tcPr>
            <w:tcW w:w="813" w:type="dxa"/>
            <w:tcBorders>
              <w:bottom w:val="double" w:sz="4" w:space="0" w:color="000000"/>
            </w:tcBorders>
          </w:tcPr>
          <w:p>
            <w:pPr>
              <w:pStyle w:val="TableParagraph"/>
              <w:spacing w:before="61"/>
              <w:ind w:left="86"/>
              <w:rPr>
                <w:rFonts w:ascii="Constantia"/>
                <w:sz w:val="20"/>
              </w:rPr>
            </w:pPr>
            <w:r>
              <w:rPr>
                <w:rFonts w:ascii="Constantia"/>
                <w:w w:val="102"/>
                <w:sz w:val="20"/>
              </w:rPr>
              <w:t>-</w:t>
            </w:r>
          </w:p>
        </w:tc>
      </w:tr>
    </w:tbl>
    <w:p>
      <w:pPr>
        <w:spacing w:before="55"/>
        <w:ind w:left="841" w:right="127" w:firstLine="0"/>
        <w:jc w:val="left"/>
        <w:rPr>
          <w:rFonts w:ascii="Constantia" w:hAnsi="Constantia"/>
          <w:sz w:val="14"/>
        </w:rPr>
      </w:pPr>
      <w:r>
        <w:rPr>
          <w:rFonts w:ascii="Constantia" w:hAnsi="Constantia"/>
          <w:sz w:val="14"/>
        </w:rPr>
        <w:t>Los valores corresponden al estadístico "t" estimado.</w:t>
      </w:r>
    </w:p>
    <w:p>
      <w:pPr>
        <w:spacing w:before="99"/>
        <w:ind w:left="841" w:right="127" w:firstLine="0"/>
        <w:jc w:val="left"/>
        <w:rPr>
          <w:rFonts w:ascii="Constantia"/>
          <w:sz w:val="14"/>
        </w:rPr>
      </w:pPr>
      <w:r>
        <w:rPr>
          <w:rFonts w:ascii="Constantia"/>
          <w:sz w:val="14"/>
        </w:rPr>
        <w:t>Se indica el nivel de significancia:*** al 0.10%; ** al 1%; * al 5% de forma respectiva.</w:t>
      </w:r>
    </w:p>
    <w:p>
      <w:pPr>
        <w:pStyle w:val="BodyText"/>
        <w:rPr>
          <w:rFonts w:ascii="Constantia"/>
          <w:sz w:val="13"/>
        </w:rPr>
      </w:pPr>
    </w:p>
    <w:p>
      <w:pPr>
        <w:pStyle w:val="BodyText"/>
        <w:spacing w:line="360" w:lineRule="auto" w:before="1"/>
        <w:ind w:left="102" w:right="127" w:firstLine="707"/>
      </w:pPr>
      <w:r>
        <w:rPr/>
        <w:t>Al evaluarse simples pruebas de hipótesis para las reglas fiscales alternativas (</w:t>
      </w:r>
      <w:r>
        <w:rPr>
          <w:i/>
        </w:rPr>
        <w:t>cuadro 4.13</w:t>
      </w:r>
      <w:r>
        <w:rPr/>
        <w:t>), se llegó a las siguientes conclusiones:</w:t>
      </w:r>
    </w:p>
    <w:p>
      <w:pPr>
        <w:pStyle w:val="ListParagraph"/>
        <w:numPr>
          <w:ilvl w:val="3"/>
          <w:numId w:val="18"/>
        </w:numPr>
        <w:tabs>
          <w:tab w:pos="822" w:val="left" w:leader="none"/>
        </w:tabs>
        <w:spacing w:line="360" w:lineRule="auto" w:before="4" w:after="0"/>
        <w:ind w:left="822" w:right="119" w:hanging="360"/>
        <w:jc w:val="both"/>
        <w:rPr>
          <w:sz w:val="24"/>
        </w:rPr>
      </w:pPr>
      <w:r>
        <w:rPr>
          <w:sz w:val="24"/>
        </w:rPr>
        <w:t>No existen diferencias significativas, para la deuda pública máxima, entre canalización </w:t>
      </w:r>
      <w:r>
        <w:rPr>
          <w:i/>
          <w:sz w:val="24"/>
        </w:rPr>
        <w:t>baja </w:t>
      </w:r>
      <w:r>
        <w:rPr>
          <w:sz w:val="24"/>
        </w:rPr>
        <w:t>o </w:t>
      </w:r>
      <w:r>
        <w:rPr>
          <w:i/>
          <w:sz w:val="24"/>
        </w:rPr>
        <w:t>media-baja </w:t>
      </w:r>
      <w:r>
        <w:rPr>
          <w:sz w:val="24"/>
        </w:rPr>
        <w:t>de ingresos fiscales del gas natural a gasto de capital.</w:t>
      </w:r>
    </w:p>
    <w:p>
      <w:pPr>
        <w:pStyle w:val="ListParagraph"/>
        <w:numPr>
          <w:ilvl w:val="3"/>
          <w:numId w:val="18"/>
        </w:numPr>
        <w:tabs>
          <w:tab w:pos="822" w:val="left" w:leader="none"/>
        </w:tabs>
        <w:spacing w:line="240" w:lineRule="auto" w:before="6" w:after="0"/>
        <w:ind w:left="822" w:right="0" w:hanging="360"/>
        <w:jc w:val="left"/>
        <w:rPr>
          <w:sz w:val="24"/>
        </w:rPr>
      </w:pPr>
      <w:r>
        <w:rPr>
          <w:sz w:val="24"/>
        </w:rPr>
        <w:t>No existen diferencias significativas, entre  canalización </w:t>
      </w:r>
      <w:r>
        <w:rPr>
          <w:i/>
          <w:sz w:val="24"/>
        </w:rPr>
        <w:t>intermedia, media-alta    </w:t>
      </w:r>
      <w:r>
        <w:rPr>
          <w:i/>
          <w:spacing w:val="28"/>
          <w:sz w:val="24"/>
        </w:rPr>
        <w:t> </w:t>
      </w:r>
      <w:r>
        <w:rPr>
          <w:sz w:val="24"/>
        </w:rPr>
        <w:t>y</w:t>
      </w:r>
    </w:p>
    <w:p>
      <w:pPr>
        <w:pStyle w:val="BodyText"/>
        <w:spacing w:before="137"/>
        <w:ind w:left="821" w:right="127"/>
      </w:pPr>
      <w:r>
        <w:rPr>
          <w:i/>
        </w:rPr>
        <w:t>alta </w:t>
      </w:r>
      <w:r>
        <w:rPr/>
        <w:t>de ingresos fiscales a gasto de capital.</w:t>
      </w:r>
    </w:p>
    <w:p>
      <w:pPr>
        <w:pStyle w:val="ListParagraph"/>
        <w:numPr>
          <w:ilvl w:val="3"/>
          <w:numId w:val="18"/>
        </w:numPr>
        <w:tabs>
          <w:tab w:pos="822" w:val="left" w:leader="none"/>
        </w:tabs>
        <w:spacing w:line="240" w:lineRule="auto" w:before="139" w:after="0"/>
        <w:ind w:left="822" w:right="0" w:hanging="360"/>
        <w:jc w:val="left"/>
        <w:rPr>
          <w:i/>
          <w:sz w:val="24"/>
        </w:rPr>
      </w:pPr>
      <w:r>
        <w:rPr>
          <w:sz w:val="24"/>
        </w:rPr>
        <w:t>Existen diferencias significativas entre canalización </w:t>
      </w:r>
      <w:r>
        <w:rPr>
          <w:i/>
          <w:sz w:val="24"/>
        </w:rPr>
        <w:t>media-baja </w:t>
      </w:r>
      <w:r>
        <w:rPr>
          <w:sz w:val="24"/>
        </w:rPr>
        <w:t>y </w:t>
      </w:r>
      <w:r>
        <w:rPr>
          <w:i/>
          <w:sz w:val="24"/>
        </w:rPr>
        <w:t>media-alta </w:t>
      </w:r>
      <w:r>
        <w:rPr>
          <w:sz w:val="24"/>
        </w:rPr>
        <w:t>y </w:t>
      </w:r>
      <w:r>
        <w:rPr>
          <w:spacing w:val="27"/>
          <w:sz w:val="24"/>
        </w:rPr>
        <w:t> </w:t>
      </w:r>
      <w:r>
        <w:rPr>
          <w:i/>
          <w:sz w:val="24"/>
        </w:rPr>
        <w:t>alta</w:t>
      </w:r>
    </w:p>
    <w:p>
      <w:pPr>
        <w:pStyle w:val="BodyText"/>
        <w:spacing w:before="137"/>
        <w:ind w:left="821" w:right="127"/>
      </w:pPr>
      <w:r>
        <w:rPr/>
        <w:t>de ingresos fiscales a gasto de capital.</w:t>
      </w:r>
    </w:p>
    <w:p>
      <w:pPr>
        <w:pStyle w:val="BodyText"/>
      </w:pPr>
    </w:p>
    <w:p>
      <w:pPr>
        <w:pStyle w:val="BodyText"/>
      </w:pPr>
    </w:p>
    <w:p>
      <w:pPr>
        <w:pStyle w:val="BodyText"/>
        <w:spacing w:line="362" w:lineRule="auto"/>
        <w:ind w:left="102" w:right="127" w:firstLine="707"/>
      </w:pPr>
      <w:r>
        <w:rPr/>
        <w:t>Dado los puntos anteriores (1, 2 y 3), se puede concluir que el mejor escenario planteado </w:t>
      </w:r>
      <w:r>
        <w:rPr>
          <w:w w:val="188"/>
        </w:rPr>
        <w:t>  </w:t>
      </w:r>
      <w:r>
        <w:rPr/>
        <w:t> </w:t>
      </w:r>
      <w:r>
        <w:rPr>
          <w:w w:val="155"/>
        </w:rPr>
        <w:t>  </w:t>
      </w:r>
      <w:r>
        <w:rPr>
          <w:w w:val="200"/>
        </w:rPr>
        <w:t> </w:t>
      </w:r>
      <w:r>
        <w:rPr>
          <w:w w:val="144"/>
        </w:rPr>
        <w:t>  </w:t>
      </w:r>
      <w:r>
        <w:rPr/>
        <w:t> </w:t>
      </w:r>
      <w:r>
        <w:rPr>
          <w:w w:val="144"/>
        </w:rPr>
        <w:t>    </w:t>
      </w:r>
      <w:r>
        <w:rPr>
          <w:w w:val="177"/>
        </w:rPr>
        <w:t> </w:t>
      </w:r>
      <w:r>
        <w:rPr>
          <w:w w:val="111"/>
        </w:rPr>
        <w:t> </w:t>
      </w:r>
      <w:r>
        <w:rPr/>
        <w:t> </w:t>
      </w:r>
      <w:r>
        <w:rPr>
          <w:w w:val="1"/>
        </w:rPr>
        <w:t> </w:t>
      </w:r>
      <w:r>
        <w:rPr/>
        <w:t> </w:t>
      </w:r>
      <w:r>
        <w:rPr>
          <w:w w:val="177"/>
        </w:rPr>
        <w:t> </w:t>
      </w:r>
      <w:r>
        <w:rPr>
          <w:w w:val="146"/>
        </w:rPr>
        <w:t>       </w:t>
      </w:r>
      <w:r>
        <w:rPr>
          <w:w w:val="155"/>
        </w:rPr>
        <w:t>   </w:t>
      </w:r>
      <w:r>
        <w:rPr>
          <w:w w:val="195"/>
        </w:rPr>
        <w:t>     </w:t>
      </w:r>
      <w:r>
        <w:rPr/>
        <w:t> </w:t>
      </w:r>
      <w:r>
        <w:rPr>
          <w:w w:val="155"/>
        </w:rPr>
        <w:t>   </w:t>
      </w:r>
      <w:r>
        <w:rPr>
          <w:w w:val="146"/>
        </w:rPr>
        <w:t>     </w:t>
      </w:r>
      <w:r>
        <w:rPr>
          <w:w w:val="177"/>
        </w:rPr>
        <w:t> </w:t>
      </w:r>
      <w:r>
        <w:rPr>
          <w:w w:val="111"/>
        </w:rPr>
        <w:t>  </w:t>
      </w:r>
      <w:r>
        <w:rPr>
          <w:w w:val="200"/>
        </w:rPr>
        <w:t>  </w:t>
      </w:r>
      <w:r>
        <w:rPr/>
        <w:t> </w:t>
      </w:r>
      <w:r>
        <w:rPr>
          <w:w w:val="173"/>
        </w:rPr>
        <w:t>     </w:t>
      </w:r>
      <w:r>
        <w:rPr/>
        <w:t> </w:t>
      </w:r>
      <w:r>
        <w:rPr>
          <w:w w:val="144"/>
        </w:rPr>
        <w:t>  </w:t>
      </w:r>
      <w:r>
        <w:rPr/>
        <w:t> </w:t>
      </w:r>
      <w:r>
        <w:rPr>
          <w:w w:val="188"/>
        </w:rPr>
        <w:t>  </w:t>
      </w:r>
      <w:r>
        <w:rPr>
          <w:w w:val="192"/>
        </w:rPr>
        <w:t>   </w:t>
      </w:r>
      <w:r>
        <w:rPr/>
        <w:t> </w:t>
      </w:r>
      <w:r>
        <w:rPr>
          <w:w w:val="164"/>
        </w:rPr>
        <w:t>     </w:t>
      </w:r>
      <w:r>
        <w:rPr>
          <w:w w:val="177"/>
        </w:rPr>
        <w:t>  </w:t>
      </w:r>
      <w:r>
        <w:rPr/>
        <w:t> </w:t>
      </w:r>
      <w:r>
        <w:rPr>
          <w:w w:val="1"/>
        </w:rPr>
        <w:t> </w:t>
      </w:r>
      <w:r>
        <w:rPr/>
        <w:t>  </w:t>
      </w:r>
      <w:r>
        <w:rPr>
          <w:w w:val="177"/>
        </w:rPr>
        <w:t> </w:t>
      </w:r>
      <w:r>
        <w:rPr>
          <w:w w:val="155"/>
        </w:rPr>
        <w:t> </w:t>
      </w:r>
      <w:r>
        <w:rPr/>
        <w:t> </w:t>
      </w:r>
      <w:r>
        <w:rPr>
          <w:w w:val="177"/>
        </w:rPr>
        <w:t>  </w:t>
      </w:r>
      <w:r>
        <w:rPr>
          <w:w w:val="188"/>
        </w:rPr>
        <w:t>  </w:t>
      </w:r>
      <w:r>
        <w:rPr>
          <w:w w:val="111"/>
        </w:rPr>
        <w:t>  </w:t>
      </w:r>
      <w:r>
        <w:rPr>
          <w:w w:val="177"/>
        </w:rPr>
        <w:t>  </w:t>
      </w:r>
      <w:r>
        <w:rPr>
          <w:w w:val="133"/>
        </w:rPr>
        <w:t> </w:t>
      </w:r>
    </w:p>
    <w:p>
      <w:pPr>
        <w:spacing w:after="0" w:line="362" w:lineRule="auto"/>
        <w:sectPr>
          <w:pgSz w:w="12250" w:h="15850"/>
          <w:pgMar w:header="0" w:footer="1037" w:top="1360" w:bottom="1220" w:left="1600" w:right="1580"/>
        </w:sectPr>
      </w:pPr>
    </w:p>
    <w:p>
      <w:pPr>
        <w:pStyle w:val="BodyText"/>
        <w:spacing w:line="360" w:lineRule="auto" w:before="50"/>
        <w:ind w:left="102" w:right="115"/>
        <w:jc w:val="both"/>
      </w:pPr>
      <w:r>
        <w:rPr/>
        <w:t>en proporción </w:t>
      </w:r>
      <w:r>
        <w:rPr>
          <w:i/>
        </w:rPr>
        <w:t>media-baja </w:t>
      </w:r>
      <w:r>
        <w:rPr/>
        <w:t>los ingresos fiscales gasíferos a gasto de capital (25%) con un límite sobre el gasto corriente en términos de los ingresos fiscales no gasíferos (1.13 veces) (</w:t>
      </w:r>
      <w:r>
        <w:rPr>
          <w:i/>
        </w:rPr>
        <w:t>cuadro 4.11</w:t>
      </w:r>
      <w:r>
        <w:rPr/>
        <w:t>).</w:t>
      </w:r>
    </w:p>
    <w:p>
      <w:pPr>
        <w:pStyle w:val="BodyText"/>
        <w:spacing w:line="360" w:lineRule="auto" w:before="4"/>
        <w:ind w:left="102" w:right="115" w:firstLine="707"/>
        <w:jc w:val="both"/>
      </w:pPr>
      <w:r>
        <w:rPr/>
        <w:t>Para finalizar, se presenta la trayectoria probabilística de la deuda pública máxima del escenario base y dos escenarios de reglas fiscales selectas (Canalización </w:t>
      </w:r>
      <w:r>
        <w:rPr>
          <w:i/>
        </w:rPr>
        <w:t>media-baja </w:t>
      </w:r>
      <w:r>
        <w:rPr/>
        <w:t>y magnitud </w:t>
      </w:r>
      <w:r>
        <w:rPr>
          <w:i/>
        </w:rPr>
        <w:t>alta  </w:t>
      </w:r>
      <w:r>
        <w:rPr/>
        <w:t>de ingresos gasíferos a gasto de capital) (</w:t>
      </w:r>
      <w:r>
        <w:rPr>
          <w:i/>
        </w:rPr>
        <w:t>figura 4.10</w:t>
      </w:r>
      <w:r>
        <w:rPr/>
        <w:t>):</w:t>
      </w:r>
    </w:p>
    <w:p>
      <w:pPr>
        <w:pStyle w:val="BodyText"/>
        <w:spacing w:line="276" w:lineRule="auto" w:before="6"/>
        <w:ind w:left="688" w:right="706"/>
        <w:jc w:val="center"/>
      </w:pPr>
      <w:bookmarkStart w:name="_bookmark144" w:id="196"/>
      <w:bookmarkEnd w:id="196"/>
      <w:r>
        <w:rPr/>
      </w:r>
      <w:r>
        <w:rPr/>
        <w:t>Figura 4. 10: Trayectoria probabilística de la deuda pública máxima a PIB Escenario base versus reglas fiscales selectas</w:t>
      </w:r>
    </w:p>
    <w:p>
      <w:pPr>
        <w:pStyle w:val="BodyText"/>
        <w:spacing w:before="97"/>
        <w:ind w:left="3549" w:right="127"/>
      </w:pPr>
      <w:r>
        <w:rPr/>
        <w:t>a  90% de confianza</w:t>
      </w:r>
    </w:p>
    <w:p>
      <w:pPr>
        <w:pStyle w:val="BodyText"/>
        <w:spacing w:before="1"/>
        <w:rPr>
          <w:sz w:val="9"/>
        </w:rPr>
      </w:pPr>
      <w:r>
        <w:rPr/>
        <w:drawing>
          <wp:anchor distT="0" distB="0" distL="0" distR="0" allowOverlap="1" layoutInCell="1" locked="0" behindDoc="0" simplePos="0" relativeHeight="13768">
            <wp:simplePos x="0" y="0"/>
            <wp:positionH relativeFrom="page">
              <wp:posOffset>1915286</wp:posOffset>
            </wp:positionH>
            <wp:positionV relativeFrom="paragraph">
              <wp:posOffset>150295</wp:posOffset>
            </wp:positionV>
            <wp:extent cx="1951387" cy="1586102"/>
            <wp:effectExtent l="0" t="0" r="0" b="0"/>
            <wp:wrapTopAndBottom/>
            <wp:docPr id="75" name="image300.jpeg" descr=""/>
            <wp:cNvGraphicFramePr>
              <a:graphicFrameLocks noChangeAspect="1"/>
            </wp:cNvGraphicFramePr>
            <a:graphic>
              <a:graphicData uri="http://schemas.openxmlformats.org/drawingml/2006/picture">
                <pic:pic>
                  <pic:nvPicPr>
                    <pic:cNvPr id="76" name="image300.jpeg"/>
                    <pic:cNvPicPr/>
                  </pic:nvPicPr>
                  <pic:blipFill>
                    <a:blip r:embed="rId317" cstate="print"/>
                    <a:stretch>
                      <a:fillRect/>
                    </a:stretch>
                  </pic:blipFill>
                  <pic:spPr>
                    <a:xfrm>
                      <a:off x="0" y="0"/>
                      <a:ext cx="1951387" cy="1586102"/>
                    </a:xfrm>
                    <a:prstGeom prst="rect">
                      <a:avLst/>
                    </a:prstGeom>
                  </pic:spPr>
                </pic:pic>
              </a:graphicData>
            </a:graphic>
          </wp:anchor>
        </w:drawing>
      </w:r>
      <w:r>
        <w:rPr/>
        <w:drawing>
          <wp:anchor distT="0" distB="0" distL="0" distR="0" allowOverlap="1" layoutInCell="1" locked="0" behindDoc="0" simplePos="0" relativeHeight="13792">
            <wp:simplePos x="0" y="0"/>
            <wp:positionH relativeFrom="page">
              <wp:posOffset>3991736</wp:posOffset>
            </wp:positionH>
            <wp:positionV relativeFrom="paragraph">
              <wp:posOffset>91367</wp:posOffset>
            </wp:positionV>
            <wp:extent cx="1872273" cy="1620583"/>
            <wp:effectExtent l="0" t="0" r="0" b="0"/>
            <wp:wrapTopAndBottom/>
            <wp:docPr id="77" name="image301.jpeg" descr=""/>
            <wp:cNvGraphicFramePr>
              <a:graphicFrameLocks noChangeAspect="1"/>
            </wp:cNvGraphicFramePr>
            <a:graphic>
              <a:graphicData uri="http://schemas.openxmlformats.org/drawingml/2006/picture">
                <pic:pic>
                  <pic:nvPicPr>
                    <pic:cNvPr id="78" name="image301.jpeg"/>
                    <pic:cNvPicPr/>
                  </pic:nvPicPr>
                  <pic:blipFill>
                    <a:blip r:embed="rId318" cstate="print"/>
                    <a:stretch>
                      <a:fillRect/>
                    </a:stretch>
                  </pic:blipFill>
                  <pic:spPr>
                    <a:xfrm>
                      <a:off x="0" y="0"/>
                      <a:ext cx="1872273" cy="1620583"/>
                    </a:xfrm>
                    <a:prstGeom prst="rect">
                      <a:avLst/>
                    </a:prstGeom>
                  </pic:spPr>
                </pic:pic>
              </a:graphicData>
            </a:graphic>
          </wp:anchor>
        </w:drawing>
      </w:r>
      <w:r>
        <w:rPr/>
        <w:drawing>
          <wp:anchor distT="0" distB="0" distL="0" distR="0" allowOverlap="1" layoutInCell="1" locked="0" behindDoc="0" simplePos="0" relativeHeight="13816">
            <wp:simplePos x="0" y="0"/>
            <wp:positionH relativeFrom="page">
              <wp:posOffset>2820289</wp:posOffset>
            </wp:positionH>
            <wp:positionV relativeFrom="paragraph">
              <wp:posOffset>1897307</wp:posOffset>
            </wp:positionV>
            <wp:extent cx="2125695" cy="1620583"/>
            <wp:effectExtent l="0" t="0" r="0" b="0"/>
            <wp:wrapTopAndBottom/>
            <wp:docPr id="79" name="image302.jpeg" descr=""/>
            <wp:cNvGraphicFramePr>
              <a:graphicFrameLocks noChangeAspect="1"/>
            </wp:cNvGraphicFramePr>
            <a:graphic>
              <a:graphicData uri="http://schemas.openxmlformats.org/drawingml/2006/picture">
                <pic:pic>
                  <pic:nvPicPr>
                    <pic:cNvPr id="80" name="image302.jpeg"/>
                    <pic:cNvPicPr/>
                  </pic:nvPicPr>
                  <pic:blipFill>
                    <a:blip r:embed="rId319" cstate="print"/>
                    <a:stretch>
                      <a:fillRect/>
                    </a:stretch>
                  </pic:blipFill>
                  <pic:spPr>
                    <a:xfrm>
                      <a:off x="0" y="0"/>
                      <a:ext cx="2125695" cy="1620583"/>
                    </a:xfrm>
                    <a:prstGeom prst="rect">
                      <a:avLst/>
                    </a:prstGeom>
                  </pic:spPr>
                </pic:pic>
              </a:graphicData>
            </a:graphic>
          </wp:anchor>
        </w:drawing>
      </w:r>
    </w:p>
    <w:p>
      <w:pPr>
        <w:pStyle w:val="BodyText"/>
        <w:spacing w:before="1"/>
        <w:rPr>
          <w:sz w:val="16"/>
        </w:rPr>
      </w:pPr>
    </w:p>
    <w:p>
      <w:pPr>
        <w:spacing w:before="0"/>
        <w:ind w:left="810" w:right="127" w:firstLine="0"/>
        <w:jc w:val="left"/>
        <w:rPr>
          <w:sz w:val="20"/>
        </w:rPr>
      </w:pPr>
      <w:r>
        <w:rPr>
          <w:sz w:val="20"/>
        </w:rPr>
        <w:t>Las bandas más claras indican el nivel de confianza del 90%.</w:t>
      </w:r>
    </w:p>
    <w:p>
      <w:pPr>
        <w:spacing w:before="0"/>
        <w:ind w:left="810" w:right="127" w:firstLine="0"/>
        <w:jc w:val="left"/>
        <w:rPr>
          <w:sz w:val="20"/>
        </w:rPr>
      </w:pPr>
      <w:r>
        <w:rPr>
          <w:sz w:val="20"/>
        </w:rPr>
        <w:t>Fuente: Estimaciones propias con base en información del Banco Central de Bolivia (2012).</w:t>
      </w:r>
    </w:p>
    <w:p>
      <w:pPr>
        <w:pStyle w:val="BodyText"/>
        <w:spacing w:before="2"/>
      </w:pPr>
    </w:p>
    <w:p>
      <w:pPr>
        <w:pStyle w:val="BodyText"/>
        <w:spacing w:line="360" w:lineRule="auto"/>
        <w:ind w:left="102" w:right="117" w:firstLine="707"/>
        <w:jc w:val="both"/>
      </w:pPr>
      <w:r>
        <w:rPr/>
        <w:t>Para el escenario base, la </w:t>
      </w:r>
      <w:r>
        <w:rPr>
          <w:i/>
        </w:rPr>
        <w:t>deuda pública máxima</w:t>
      </w:r>
      <w:r>
        <w:rPr/>
        <w:t>, en el mediano plazo, bordeó el umbral del 48% sobre el PIB al 90% de confianza, con mayores bandas de incertidumbre sobre el pronóstico deterministico; con escenarios de reglas fiscales, los gráficos de abanicos disminuyeron su volatilidad. En tal sentido, al canalizar los ingresos fiscales del gas natural a gasto de capital en magnitud </w:t>
      </w:r>
      <w:r>
        <w:rPr>
          <w:i/>
        </w:rPr>
        <w:t>media-baja </w:t>
      </w:r>
      <w:r>
        <w:rPr/>
        <w:t>(25%), la razón Deuda Pública/ PIB no sobrepasó el umbral del</w:t>
      </w:r>
      <w:r>
        <w:rPr>
          <w:spacing w:val="-6"/>
        </w:rPr>
        <w:t> </w:t>
      </w:r>
      <w:r>
        <w:rPr/>
        <w:t>39%.</w:t>
      </w:r>
    </w:p>
    <w:p>
      <w:pPr>
        <w:pStyle w:val="BodyText"/>
        <w:spacing w:line="360" w:lineRule="auto" w:before="6"/>
        <w:ind w:left="102" w:right="117" w:firstLine="707"/>
        <w:jc w:val="both"/>
      </w:pPr>
      <w:r>
        <w:rPr/>
        <w:t>La reducción de la volatilidad en la deuda pública máxima en la </w:t>
      </w:r>
      <w:r>
        <w:rPr>
          <w:i/>
        </w:rPr>
        <w:t>figura 4.11</w:t>
      </w:r>
      <w:r>
        <w:rPr/>
        <w:t>, se debe a la fijación o establecimiento de límites numéricos (reglas fiscales) a un vector de tres</w:t>
      </w:r>
    </w:p>
    <w:p>
      <w:pPr>
        <w:spacing w:after="0" w:line="360" w:lineRule="auto"/>
        <w:jc w:val="both"/>
        <w:sectPr>
          <w:footerReference w:type="default" r:id="rId316"/>
          <w:pgSz w:w="12250" w:h="15850"/>
          <w:pgMar w:footer="1037" w:header="0" w:top="1360" w:bottom="1220" w:left="1600" w:right="1580"/>
          <w:pgNumType w:start="181"/>
        </w:sectPr>
      </w:pPr>
    </w:p>
    <w:p>
      <w:pPr>
        <w:pStyle w:val="BodyText"/>
        <w:spacing w:line="360" w:lineRule="auto" w:before="50"/>
        <w:ind w:left="102" w:right="144"/>
        <w:jc w:val="both"/>
      </w:pPr>
      <w:r>
        <w:rPr/>
        <w:t>variables que tienen un comportamiento estocástico: 1] gasto de capital en términos de ingresos fiscales del recurso natural, 2] gasto corriente en términos de ingresos fiscales sin recurso natural y 3] resultados fiscales.</w:t>
      </w:r>
    </w:p>
    <w:p>
      <w:pPr>
        <w:pStyle w:val="BodyText"/>
        <w:spacing w:before="3"/>
      </w:pPr>
    </w:p>
    <w:p>
      <w:pPr>
        <w:pStyle w:val="BodyText"/>
        <w:spacing w:line="360" w:lineRule="auto" w:before="1" w:after="10"/>
        <w:ind w:left="420" w:right="464"/>
        <w:jc w:val="center"/>
      </w:pPr>
      <w:bookmarkStart w:name="_bookmark145" w:id="197"/>
      <w:bookmarkEnd w:id="197"/>
      <w:r>
        <w:rPr/>
      </w:r>
      <w:r>
        <w:rPr/>
        <w:t>Figura 4. 11: Efecto sobre la deuda pública máxima al introducir una regla fiscal (Deuda pública máxima/ PIB a mediano plazo)</w:t>
      </w:r>
    </w:p>
    <w:p>
      <w:pPr>
        <w:pStyle w:val="BodyText"/>
        <w:ind w:left="1731"/>
        <w:rPr>
          <w:sz w:val="20"/>
        </w:rPr>
      </w:pPr>
      <w:r>
        <w:rPr>
          <w:sz w:val="20"/>
        </w:rPr>
        <w:drawing>
          <wp:inline distT="0" distB="0" distL="0" distR="0">
            <wp:extent cx="3577040" cy="2783204"/>
            <wp:effectExtent l="0" t="0" r="0" b="0"/>
            <wp:docPr id="81" name="image303.jpeg" descr=""/>
            <wp:cNvGraphicFramePr>
              <a:graphicFrameLocks noChangeAspect="1"/>
            </wp:cNvGraphicFramePr>
            <a:graphic>
              <a:graphicData uri="http://schemas.openxmlformats.org/drawingml/2006/picture">
                <pic:pic>
                  <pic:nvPicPr>
                    <pic:cNvPr id="82" name="image303.jpeg"/>
                    <pic:cNvPicPr/>
                  </pic:nvPicPr>
                  <pic:blipFill>
                    <a:blip r:embed="rId320" cstate="print"/>
                    <a:stretch>
                      <a:fillRect/>
                    </a:stretch>
                  </pic:blipFill>
                  <pic:spPr>
                    <a:xfrm>
                      <a:off x="0" y="0"/>
                      <a:ext cx="3577040" cy="2783204"/>
                    </a:xfrm>
                    <a:prstGeom prst="rect">
                      <a:avLst/>
                    </a:prstGeom>
                  </pic:spPr>
                </pic:pic>
              </a:graphicData>
            </a:graphic>
          </wp:inline>
        </w:drawing>
      </w:r>
      <w:r>
        <w:rPr>
          <w:sz w:val="20"/>
        </w:rPr>
      </w:r>
    </w:p>
    <w:p>
      <w:pPr>
        <w:pStyle w:val="BodyText"/>
        <w:spacing w:before="11"/>
        <w:rPr>
          <w:sz w:val="33"/>
        </w:rPr>
      </w:pPr>
    </w:p>
    <w:p>
      <w:pPr>
        <w:pStyle w:val="BodyText"/>
        <w:tabs>
          <w:tab w:pos="4808" w:val="left" w:leader="none"/>
        </w:tabs>
        <w:ind w:left="810"/>
      </w:pPr>
      <w:r>
        <w:rPr>
          <w:w w:val="194"/>
        </w:rPr>
        <w:t>   </w:t>
      </w:r>
      <w:r>
        <w:rPr>
          <w:spacing w:val="-1"/>
          <w:w w:val="194"/>
        </w:rPr>
        <w:t> </w:t>
      </w:r>
      <w:r>
        <w:rPr>
          <w:w w:val="177"/>
        </w:rPr>
        <w:t>         </w:t>
      </w:r>
      <w:r>
        <w:rPr>
          <w:spacing w:val="-1"/>
          <w:w w:val="177"/>
        </w:rPr>
        <w:t> </w:t>
      </w:r>
      <w:r>
        <w:rPr/>
        <w:t>  </w:t>
      </w:r>
      <w:r>
        <w:rPr>
          <w:spacing w:val="-15"/>
        </w:rPr>
        <w:t> </w:t>
      </w:r>
      <w:r>
        <w:rPr>
          <w:spacing w:val="-1"/>
          <w:w w:val="177"/>
        </w:rPr>
        <w:t> </w:t>
      </w:r>
      <w:r>
        <w:rPr>
          <w:w w:val="155"/>
        </w:rPr>
        <w:t> </w:t>
      </w:r>
      <w:r>
        <w:rPr/>
        <w:t> </w:t>
      </w:r>
      <w:r>
        <w:rPr>
          <w:spacing w:val="-13"/>
        </w:rPr>
        <w:t> </w:t>
      </w:r>
      <w:r>
        <w:rPr>
          <w:w w:val="188"/>
        </w:rPr>
        <w:t> </w:t>
      </w:r>
      <w:r>
        <w:rPr>
          <w:spacing w:val="-1"/>
          <w:w w:val="188"/>
        </w:rPr>
        <w:t> </w:t>
      </w:r>
      <w:r>
        <w:rPr>
          <w:spacing w:val="1"/>
          <w:w w:val="177"/>
        </w:rPr>
        <w:t>  </w:t>
      </w:r>
      <w:r>
        <w:rPr>
          <w:w w:val="166"/>
        </w:rPr>
        <w:t> </w:t>
      </w:r>
      <w:r>
        <w:rPr>
          <w:spacing w:val="-1"/>
          <w:w w:val="166"/>
        </w:rPr>
        <w:t> </w:t>
      </w:r>
      <w:r>
        <w:rPr>
          <w:w w:val="148"/>
        </w:rPr>
        <w:t>   </w:t>
      </w:r>
      <w:r>
        <w:rPr/>
        <w:t> </w:t>
      </w:r>
      <w:r>
        <w:rPr>
          <w:spacing w:val="-15"/>
        </w:rPr>
        <w:t> </w:t>
      </w:r>
      <w:r>
        <w:rPr>
          <w:spacing w:val="-1"/>
          <w:w w:val="177"/>
        </w:rPr>
        <w:t> </w:t>
      </w:r>
      <w:r>
        <w:rPr>
          <w:w w:val="166"/>
        </w:rPr>
        <w:t> </w:t>
      </w:r>
      <w:r>
        <w:rPr>
          <w:spacing w:val="1"/>
          <w:w w:val="166"/>
        </w:rPr>
        <w:t> </w:t>
      </w:r>
      <w:r>
        <w:rPr>
          <w:spacing w:val="-1"/>
          <w:w w:val="177"/>
        </w:rPr>
        <w:t>  </w:t>
      </w:r>
      <w:r>
        <w:rPr>
          <w:w w:val="144"/>
        </w:rPr>
        <w:t> </w:t>
      </w:r>
      <w:r>
        <w:rPr>
          <w:spacing w:val="1"/>
          <w:w w:val="144"/>
        </w:rPr>
        <w:t> </w:t>
      </w:r>
      <w:r>
        <w:rPr>
          <w:w w:val="133"/>
        </w:rPr>
        <w:t> </w:t>
      </w:r>
      <w:r>
        <w:rPr/>
        <w:tab/>
      </w:r>
      <w:r>
        <w:rPr>
          <w:w w:val="144"/>
        </w:rPr>
        <w:t>  </w:t>
      </w:r>
      <w:r>
        <w:rPr/>
        <w:t> </w:t>
      </w:r>
      <w:r>
        <w:rPr>
          <w:spacing w:val="-16"/>
        </w:rPr>
        <w:t> </w:t>
      </w:r>
      <w:r>
        <w:rPr>
          <w:spacing w:val="2"/>
          <w:w w:val="200"/>
        </w:rPr>
        <w:t> </w:t>
      </w:r>
      <w:r>
        <w:rPr>
          <w:w w:val="177"/>
        </w:rPr>
        <w:t>    </w:t>
      </w:r>
      <w:r>
        <w:rPr>
          <w:w w:val="140"/>
        </w:rPr>
        <w:t>   </w:t>
      </w:r>
      <w:r>
        <w:rPr>
          <w:w w:val="172"/>
        </w:rPr>
        <w:t>    </w:t>
      </w:r>
      <w:r>
        <w:rPr/>
        <w:t> </w:t>
      </w:r>
      <w:r>
        <w:rPr>
          <w:spacing w:val="-16"/>
        </w:rPr>
        <w:t> </w:t>
      </w:r>
      <w:r>
        <w:rPr>
          <w:w w:val="188"/>
        </w:rPr>
        <w:t>  </w:t>
      </w:r>
      <w:r>
        <w:rPr/>
        <w:t> </w:t>
      </w:r>
      <w:r>
        <w:rPr>
          <w:spacing w:val="-16"/>
        </w:rPr>
        <w:t> </w:t>
      </w:r>
      <w:r>
        <w:rPr>
          <w:w w:val="194"/>
        </w:rPr>
        <w:t>    </w:t>
      </w:r>
      <w:r>
        <w:rPr>
          <w:w w:val="171"/>
        </w:rPr>
        <w:t>       </w:t>
      </w:r>
      <w:r>
        <w:rPr/>
        <w:t> </w:t>
      </w:r>
      <w:r>
        <w:rPr>
          <w:spacing w:val="-15"/>
        </w:rPr>
        <w:t> </w:t>
      </w:r>
      <w:r>
        <w:rPr>
          <w:w w:val="188"/>
        </w:rPr>
        <w:t>  </w:t>
      </w:r>
      <w:r>
        <w:rPr/>
        <w:t> </w:t>
      </w:r>
      <w:r>
        <w:rPr>
          <w:spacing w:val="-16"/>
        </w:rPr>
        <w:t> </w:t>
      </w:r>
      <w:r>
        <w:rPr>
          <w:w w:val="188"/>
        </w:rPr>
        <w:t> </w:t>
      </w:r>
      <w:r>
        <w:rPr>
          <w:spacing w:val="-1"/>
          <w:w w:val="188"/>
        </w:rPr>
        <w:t> </w:t>
      </w:r>
      <w:r>
        <w:rPr>
          <w:w w:val="192"/>
        </w:rPr>
        <w:t>   </w:t>
      </w:r>
    </w:p>
    <w:p>
      <w:pPr>
        <w:pStyle w:val="BodyText"/>
        <w:spacing w:line="360" w:lineRule="auto" w:before="139"/>
        <w:ind w:left="102" w:right="137"/>
        <w:jc w:val="both"/>
      </w:pPr>
      <w:r>
        <w:rPr>
          <w:w w:val="164"/>
        </w:rPr>
        <w:t>     </w:t>
      </w:r>
      <w:r>
        <w:rPr>
          <w:w w:val="177"/>
        </w:rPr>
        <w:t>  </w:t>
      </w:r>
      <w:r>
        <w:rPr/>
        <w:t> </w:t>
      </w:r>
      <w:r>
        <w:rPr>
          <w:w w:val="177"/>
        </w:rPr>
        <w:t> </w:t>
      </w:r>
      <w:r>
        <w:rPr>
          <w:w w:val="200"/>
        </w:rPr>
        <w:t> </w:t>
      </w:r>
      <w:r>
        <w:rPr/>
        <w:t> </w:t>
      </w:r>
      <w:r>
        <w:rPr>
          <w:w w:val="177"/>
        </w:rPr>
        <w:t> </w:t>
      </w:r>
      <w:r>
        <w:rPr>
          <w:w w:val="204"/>
        </w:rPr>
        <w:t>     </w:t>
      </w:r>
      <w:r>
        <w:rPr>
          <w:w w:val="177"/>
        </w:rPr>
        <w:t>  </w:t>
      </w:r>
      <w:r>
        <w:rPr>
          <w:w w:val="170"/>
        </w:rPr>
        <w:t>   </w:t>
      </w:r>
      <w:r>
        <w:rPr/>
        <w:t> </w:t>
      </w:r>
      <w:r>
        <w:rPr>
          <w:w w:val="177"/>
        </w:rPr>
        <w:t> </w:t>
      </w:r>
      <w:r>
        <w:rPr>
          <w:w w:val="200"/>
        </w:rPr>
        <w:t>  </w:t>
      </w:r>
      <w:r>
        <w:rPr/>
        <w:t>   </w:t>
      </w:r>
      <w:r>
        <w:rPr>
          <w:w w:val="177"/>
        </w:rPr>
        <w:t>  </w:t>
      </w:r>
      <w:r>
        <w:rPr/>
        <w:t> </w:t>
      </w:r>
      <w:r>
        <w:rPr>
          <w:w w:val="188"/>
        </w:rPr>
        <w:t>  </w:t>
      </w:r>
      <w:r>
        <w:rPr>
          <w:w w:val="148"/>
        </w:rPr>
        <w:t>   </w:t>
      </w:r>
      <w:r>
        <w:rPr/>
        <w:t> </w:t>
      </w:r>
      <w:r>
        <w:rPr>
          <w:w w:val="140"/>
        </w:rPr>
        <w:t>   </w:t>
      </w:r>
      <w:r>
        <w:rPr>
          <w:w w:val="177"/>
        </w:rPr>
        <w:t> </w:t>
      </w:r>
      <w:r>
        <w:rPr>
          <w:w w:val="133"/>
        </w:rPr>
        <w:t>   </w:t>
      </w:r>
      <w:r>
        <w:rPr/>
        <w:t> </w:t>
      </w:r>
      <w:r>
        <w:rPr>
          <w:w w:val="188"/>
        </w:rPr>
        <w:t>  </w:t>
      </w:r>
      <w:r>
        <w:rPr/>
        <w:t> </w:t>
      </w:r>
      <w:r>
        <w:rPr>
          <w:w w:val="200"/>
        </w:rPr>
        <w:t>    </w:t>
      </w:r>
      <w:r>
        <w:rPr/>
        <w:t> </w:t>
      </w:r>
      <w:r>
        <w:rPr>
          <w:w w:val="1"/>
        </w:rPr>
        <w:t> </w:t>
      </w:r>
      <w:r>
        <w:rPr/>
        <w:t> </w:t>
      </w:r>
      <w:r>
        <w:rPr>
          <w:w w:val="177"/>
        </w:rPr>
        <w:t> </w:t>
      </w:r>
      <w:r>
        <w:rPr>
          <w:w w:val="170"/>
        </w:rPr>
        <w:t>   </w:t>
      </w:r>
      <w:r>
        <w:rPr/>
        <w:t>valente al 28% del producto Asimismo, se plantean otros umbrales de deuda pública (fijados de forma arbitraria) para el mediano plazo (2012-2016):</w:t>
      </w:r>
    </w:p>
    <w:p>
      <w:pPr>
        <w:pStyle w:val="BodyText"/>
      </w:pPr>
    </w:p>
    <w:p>
      <w:pPr>
        <w:pStyle w:val="BodyText"/>
        <w:tabs>
          <w:tab w:pos="1723" w:val="left" w:leader="none"/>
        </w:tabs>
        <w:spacing w:line="360" w:lineRule="auto" w:before="143"/>
        <w:ind w:left="171" w:right="210"/>
        <w:jc w:val="center"/>
      </w:pPr>
      <w:bookmarkStart w:name="_bookmark146" w:id="198"/>
      <w:bookmarkEnd w:id="198"/>
      <w:r>
        <w:rPr/>
      </w:r>
      <w:r>
        <w:rPr/>
        <w:t>Cuadro</w:t>
      </w:r>
      <w:r>
        <w:rPr>
          <w:spacing w:val="-1"/>
        </w:rPr>
        <w:t> </w:t>
      </w:r>
      <w:r>
        <w:rPr/>
        <w:t>4.</w:t>
      </w:r>
      <w:r>
        <w:rPr>
          <w:spacing w:val="-1"/>
        </w:rPr>
        <w:t> </w:t>
      </w:r>
      <w:r>
        <w:rPr/>
        <w:t>14:</w:t>
        <w:tab/>
        <w:t>Probabilidad de disminución de deuda pública/ PIB frente a</w:t>
      </w:r>
      <w:r>
        <w:rPr>
          <w:spacing w:val="-9"/>
        </w:rPr>
        <w:t> </w:t>
      </w:r>
      <w:r>
        <w:rPr/>
        <w:t>una</w:t>
      </w:r>
      <w:r>
        <w:rPr>
          <w:spacing w:val="-2"/>
        </w:rPr>
        <w:t> </w:t>
      </w:r>
      <w:r>
        <w:rPr/>
        <w:t>condición</w:t>
      </w:r>
      <w:r>
        <w:rPr>
          <w:w w:val="99"/>
        </w:rPr>
        <w:t> </w:t>
      </w:r>
      <w:r>
        <w:rPr/>
        <w:t>inicial y prospectivas alternativas (2012 -</w:t>
      </w:r>
      <w:r>
        <w:rPr>
          <w:spacing w:val="-7"/>
        </w:rPr>
        <w:t> </w:t>
      </w:r>
      <w:r>
        <w:rPr/>
        <w:t>2016)</w:t>
      </w:r>
    </w:p>
    <w:p>
      <w:pPr>
        <w:spacing w:before="129"/>
        <w:ind w:left="0" w:right="755" w:firstLine="0"/>
        <w:jc w:val="right"/>
        <w:rPr>
          <w:rFonts w:ascii="Constantia"/>
          <w:sz w:val="15"/>
        </w:rPr>
      </w:pPr>
      <w:r>
        <w:rPr/>
        <w:pict>
          <v:group style="position:absolute;margin-left:381.075012pt;margin-top:20.931324pt;width:147.25pt;height:1.3pt;mso-position-horizontal-relative:page;mso-position-vertical-relative:paragraph;z-index:13840;mso-wrap-distance-left:0;mso-wrap-distance-right:0" coordorigin="7622,419" coordsize="2945,26">
            <v:line style="position:absolute" from="7630,423" to="10557,423" stroked="true" strokeweight=".407608pt" strokecolor="#000000"/>
            <v:line style="position:absolute" from="7626,423" to="10561,423" stroked="true" strokeweight=".407608pt" strokecolor="#000000"/>
            <v:line style="position:absolute" from="7630,439" to="10557,439" stroked="true" strokeweight=".407608pt" strokecolor="#000000"/>
            <v:line style="position:absolute" from="7626,439" to="10561,439" stroked="true" strokeweight=".407608pt" strokecolor="#000000"/>
            <w10:wrap type="topAndBottom"/>
          </v:group>
        </w:pict>
      </w:r>
      <w:r>
        <w:rPr/>
        <w:pict>
          <v:group style="position:absolute;margin-left:308.316559pt;margin-top:.900904pt;width:68.5pt;height:41.8pt;mso-position-horizontal-relative:page;mso-position-vertical-relative:paragraph;z-index:-558208" coordorigin="6166,18" coordsize="1370,836">
            <v:rect style="position:absolute;left:6175;top:18;width:1353;height:24" filled="true" fillcolor="#fdfdfd" stroked="false">
              <v:fill type="solid"/>
            </v:rect>
            <v:rect style="position:absolute;left:6175;top:42;width:1353;height:57" filled="true" fillcolor="#fcfcfc" stroked="false">
              <v:fill type="solid"/>
            </v:rect>
            <v:rect style="position:absolute;left:6175;top:100;width:1353;height:25" filled="true" fillcolor="#fbfbfb" stroked="false">
              <v:fill type="solid"/>
            </v:rect>
            <v:rect style="position:absolute;left:6175;top:125;width:1353;height:24" filled="true" fillcolor="#fafafa" stroked="false">
              <v:fill type="solid"/>
            </v:rect>
            <v:rect style="position:absolute;left:6175;top:149;width:1353;height:33" filled="true" fillcolor="#f9f9f9" stroked="false">
              <v:fill type="solid"/>
            </v:rect>
            <v:shape style="position:absolute;left:6175;top:182;width:1353;height:74" coordorigin="6175,182" coordsize="1353,74" path="m7528,231l6175,231,6175,256,7528,256,7528,231m7528,182l6175,182,6175,231,7528,231,7528,182e" filled="true" fillcolor="#f8f8f8" stroked="false">
              <v:path arrowok="t"/>
              <v:fill type="solid"/>
            </v:shape>
            <v:rect style="position:absolute;left:6175;top:256;width:1353;height:33" filled="true" fillcolor="#f7f7f7" stroked="false">
              <v:fill type="solid"/>
            </v:rect>
            <v:rect style="position:absolute;left:6175;top:288;width:1353;height:24" filled="true" fillcolor="#f6f6f6" stroked="false">
              <v:fill type="solid"/>
            </v:rect>
            <v:rect style="position:absolute;left:6175;top:313;width:1353;height:25" filled="true" fillcolor="#f5f5f5" stroked="false">
              <v:fill type="solid"/>
            </v:rect>
            <v:rect style="position:absolute;left:6175;top:337;width:1353;height:57" filled="true" fillcolor="#f4f4f4" stroked="false">
              <v:fill type="solid"/>
            </v:rect>
            <v:rect style="position:absolute;left:6175;top:395;width:1353;height:24" filled="true" fillcolor="#f3f3f3" stroked="false">
              <v:fill type="solid"/>
            </v:rect>
            <v:line style="position:absolute" from="6175,427" to="7528,427" stroked="true" strokeweight=".815217pt" strokecolor="#f1f1f1"/>
            <v:line style="position:absolute" from="6175,427" to="7528,427" stroked="true" strokeweight=".815217pt" strokecolor="#ffffff"/>
            <v:rect style="position:absolute;left:6175;top:435;width:1353;height:25" filled="true" fillcolor="#fdfdfd" stroked="false">
              <v:fill type="solid"/>
            </v:rect>
            <v:rect style="position:absolute;left:6175;top:460;width:1353;height:57" filled="true" fillcolor="#fcfcfc" stroked="false">
              <v:fill type="solid"/>
            </v:rect>
            <v:rect style="position:absolute;left:6175;top:517;width:1353;height:25" filled="true" fillcolor="#fbfbfb" stroked="false">
              <v:fill type="solid"/>
            </v:rect>
            <v:rect style="position:absolute;left:6175;top:542;width:1353;height:33" filled="true" fillcolor="#fafafa" stroked="false">
              <v:fill type="solid"/>
            </v:rect>
            <v:rect style="position:absolute;left:6175;top:574;width:1353;height:25" filled="true" fillcolor="#f9f9f9" stroked="false">
              <v:fill type="solid"/>
            </v:rect>
            <v:shape style="position:absolute;left:6175;top:599;width:1353;height:82" coordorigin="6175,599" coordsize="1353,82" path="m7528,656l6175,656,6175,681,7528,681,7528,656m7528,599l6175,599,6175,656,7528,656,7528,599e" filled="true" fillcolor="#f8f8f8" stroked="false">
              <v:path arrowok="t"/>
              <v:fill type="solid"/>
            </v:shape>
            <v:rect style="position:absolute;left:6175;top:681;width:1353;height:24" filled="true" fillcolor="#f7f7f7" stroked="false">
              <v:fill type="solid"/>
            </v:rect>
            <v:rect style="position:absolute;left:6175;top:705;width:1353;height:33" filled="true" fillcolor="#f6f6f6" stroked="false">
              <v:fill type="solid"/>
            </v:rect>
            <v:rect style="position:absolute;left:6175;top:738;width:1353;height:24" filled="true" fillcolor="#f5f5f5" stroked="false">
              <v:fill type="solid"/>
            </v:rect>
            <v:rect style="position:absolute;left:6175;top:763;width:1353;height:57" filled="true" fillcolor="#f4f4f4" stroked="false">
              <v:fill type="solid"/>
            </v:rect>
            <v:rect style="position:absolute;left:6175;top:820;width:1353;height:24" filled="true" fillcolor="#f3f3f3" stroked="false">
              <v:fill type="solid"/>
            </v:rect>
            <v:line style="position:absolute" from="6175,849" to="7528,849" stroked="true" strokeweight=".407608pt" strokecolor="#f1f1f1"/>
            <v:line style="position:absolute" from="6195,423" to="7524,423" stroked="true" strokeweight=".407608pt" strokecolor="#000000"/>
            <v:line style="position:absolute" from="6191,423" to="7528,423" stroked="true" strokeweight=".407608pt" strokecolor="#000000"/>
            <v:line style="position:absolute" from="6195,439" to="7524,439" stroked="true" strokeweight=".407608pt" strokecolor="#000000"/>
            <v:line style="position:absolute" from="6191,439" to="7528,439" stroked="true" strokeweight=".407608pt" strokecolor="#000000"/>
            <v:shape style="position:absolute;left:6175;top:18;width:1353;height:213" type="#_x0000_t202" filled="false" stroked="false">
              <v:textbox inset="0,0,0,0">
                <w:txbxContent>
                  <w:p>
                    <w:pPr>
                      <w:spacing w:before="4"/>
                      <w:ind w:left="57" w:right="0" w:firstLine="0"/>
                      <w:jc w:val="left"/>
                      <w:rPr>
                        <w:rFonts w:ascii="Constantia" w:hAnsi="Constantia"/>
                        <w:sz w:val="15"/>
                      </w:rPr>
                    </w:pPr>
                    <w:r>
                      <w:rPr>
                        <w:rFonts w:ascii="Constantia" w:hAnsi="Constantia"/>
                        <w:sz w:val="15"/>
                      </w:rPr>
                      <w:t>Condicición inicial</w:t>
                    </w:r>
                  </w:p>
                </w:txbxContent>
              </v:textbox>
              <w10:wrap type="none"/>
            </v:shape>
            <v:shape style="position:absolute;left:6175;top:231;width:1353;height:205" type="#_x0000_t202" filled="false" stroked="false">
              <v:textbox inset="0,0,0,0">
                <w:txbxContent>
                  <w:p>
                    <w:pPr>
                      <w:spacing w:line="179" w:lineRule="exact" w:before="0"/>
                      <w:ind w:left="476" w:right="461" w:firstLine="0"/>
                      <w:jc w:val="center"/>
                      <w:rPr>
                        <w:rFonts w:ascii="Constantia"/>
                        <w:sz w:val="15"/>
                      </w:rPr>
                    </w:pPr>
                    <w:r>
                      <w:rPr>
                        <w:rFonts w:ascii="Constantia"/>
                        <w:w w:val="105"/>
                        <w:sz w:val="15"/>
                      </w:rPr>
                      <w:t>(2011)</w:t>
                    </w:r>
                  </w:p>
                </w:txbxContent>
              </v:textbox>
              <w10:wrap type="none"/>
            </v:shape>
            <w10:wrap type="none"/>
          </v:group>
        </w:pict>
      </w:r>
      <w:r>
        <w:rPr>
          <w:rFonts w:ascii="Constantia"/>
          <w:sz w:val="15"/>
        </w:rPr>
        <w:t>Prospectivas  alternativas</w:t>
      </w:r>
    </w:p>
    <w:p>
      <w:pPr>
        <w:pStyle w:val="BodyText"/>
        <w:spacing w:before="7"/>
        <w:rPr>
          <w:rFonts w:ascii="Constantia"/>
          <w:sz w:val="3"/>
        </w:rPr>
      </w:pPr>
    </w:p>
    <w:tbl>
      <w:tblPr>
        <w:tblW w:w="0" w:type="auto"/>
        <w:jc w:val="left"/>
        <w:tblInd w:w="13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36"/>
        <w:gridCol w:w="1353"/>
        <w:gridCol w:w="1607"/>
        <w:gridCol w:w="1427"/>
      </w:tblGrid>
      <w:tr>
        <w:trPr>
          <w:trHeight w:val="417" w:hRule="exact"/>
        </w:trPr>
        <w:tc>
          <w:tcPr>
            <w:tcW w:w="4436" w:type="dxa"/>
            <w:tcBorders>
              <w:bottom w:val="double" w:sz="3" w:space="0" w:color="000000"/>
            </w:tcBorders>
          </w:tcPr>
          <w:p>
            <w:pPr>
              <w:pStyle w:val="TableParagraph"/>
              <w:spacing w:before="37"/>
              <w:ind w:left="1672" w:right="1756"/>
              <w:rPr>
                <w:rFonts w:ascii="Constantia"/>
                <w:sz w:val="15"/>
              </w:rPr>
            </w:pPr>
            <w:r>
              <w:rPr>
                <w:rFonts w:ascii="Constantia"/>
                <w:w w:val="105"/>
                <w:sz w:val="15"/>
              </w:rPr>
              <w:t>Reglas fiscales</w:t>
            </w:r>
          </w:p>
        </w:tc>
        <w:tc>
          <w:tcPr>
            <w:tcW w:w="1353" w:type="dxa"/>
            <w:tcBorders>
              <w:bottom w:val="single" w:sz="20" w:space="0" w:color="FCFCFC"/>
            </w:tcBorders>
          </w:tcPr>
          <w:p>
            <w:pPr>
              <w:pStyle w:val="TableParagraph"/>
              <w:spacing w:before="37"/>
              <w:ind w:left="59" w:right="11"/>
              <w:rPr>
                <w:rFonts w:ascii="Constantia" w:hAnsi="Constantia"/>
                <w:sz w:val="15"/>
              </w:rPr>
            </w:pPr>
            <w:r>
              <w:rPr>
                <w:rFonts w:ascii="Constantia" w:hAnsi="Constantia"/>
                <w:w w:val="105"/>
                <w:sz w:val="15"/>
              </w:rPr>
              <w:t>Deuda/ PIB ≤ 0.28</w:t>
            </w:r>
          </w:p>
        </w:tc>
        <w:tc>
          <w:tcPr>
            <w:tcW w:w="1607" w:type="dxa"/>
            <w:tcBorders>
              <w:bottom w:val="double" w:sz="3" w:space="0" w:color="000000"/>
            </w:tcBorders>
          </w:tcPr>
          <w:p>
            <w:pPr>
              <w:pStyle w:val="TableParagraph"/>
              <w:spacing w:before="37"/>
              <w:ind w:left="222" w:right="100"/>
              <w:rPr>
                <w:rFonts w:ascii="Constantia" w:hAnsi="Constantia"/>
                <w:sz w:val="15"/>
              </w:rPr>
            </w:pPr>
            <w:r>
              <w:rPr>
                <w:rFonts w:ascii="Constantia" w:hAnsi="Constantia"/>
                <w:w w:val="105"/>
                <w:sz w:val="15"/>
              </w:rPr>
              <w:t>Deuda/ PIB ≤ 0.20</w:t>
            </w:r>
          </w:p>
        </w:tc>
        <w:tc>
          <w:tcPr>
            <w:tcW w:w="1427" w:type="dxa"/>
            <w:tcBorders>
              <w:bottom w:val="double" w:sz="3" w:space="0" w:color="000000"/>
            </w:tcBorders>
          </w:tcPr>
          <w:p>
            <w:pPr>
              <w:pStyle w:val="TableParagraph"/>
              <w:spacing w:before="37"/>
              <w:ind w:left="101" w:right="69"/>
              <w:rPr>
                <w:rFonts w:ascii="Constantia" w:hAnsi="Constantia"/>
                <w:sz w:val="15"/>
              </w:rPr>
            </w:pPr>
            <w:r>
              <w:rPr>
                <w:rFonts w:ascii="Constantia" w:hAnsi="Constantia"/>
                <w:w w:val="105"/>
                <w:sz w:val="15"/>
              </w:rPr>
              <w:t>Deuda/ PIB ≤ 0.10</w:t>
            </w:r>
          </w:p>
        </w:tc>
      </w:tr>
      <w:tr>
        <w:trPr>
          <w:trHeight w:val="303" w:hRule="exact"/>
        </w:trPr>
        <w:tc>
          <w:tcPr>
            <w:tcW w:w="4436" w:type="dxa"/>
            <w:tcBorders>
              <w:top w:val="double" w:sz="3" w:space="0" w:color="000000"/>
            </w:tcBorders>
          </w:tcPr>
          <w:p>
            <w:pPr>
              <w:pStyle w:val="TableParagraph"/>
              <w:spacing w:before="86"/>
              <w:ind w:left="24"/>
              <w:jc w:val="left"/>
              <w:rPr>
                <w:rFonts w:ascii="Constantia"/>
                <w:sz w:val="15"/>
              </w:rPr>
            </w:pPr>
            <w:r>
              <w:rPr>
                <w:rFonts w:ascii="Constantia"/>
                <w:w w:val="105"/>
                <w:sz w:val="15"/>
              </w:rPr>
              <w:t>Escenario base (sin regla fiscal)</w:t>
            </w:r>
          </w:p>
        </w:tc>
        <w:tc>
          <w:tcPr>
            <w:tcW w:w="1353" w:type="dxa"/>
            <w:tcBorders>
              <w:top w:val="single" w:sz="20" w:space="0" w:color="FCFCFC"/>
            </w:tcBorders>
          </w:tcPr>
          <w:p>
            <w:pPr>
              <w:pStyle w:val="TableParagraph"/>
              <w:spacing w:before="74"/>
              <w:ind w:left="36" w:right="11"/>
              <w:rPr>
                <w:rFonts w:ascii="Constantia"/>
                <w:sz w:val="15"/>
              </w:rPr>
            </w:pPr>
            <w:r>
              <w:rPr>
                <w:rFonts w:ascii="Constantia"/>
                <w:w w:val="105"/>
                <w:sz w:val="15"/>
              </w:rPr>
              <w:t>0.62</w:t>
            </w:r>
          </w:p>
        </w:tc>
        <w:tc>
          <w:tcPr>
            <w:tcW w:w="1607" w:type="dxa"/>
            <w:tcBorders>
              <w:top w:val="double" w:sz="3" w:space="0" w:color="000000"/>
            </w:tcBorders>
          </w:tcPr>
          <w:p>
            <w:pPr>
              <w:pStyle w:val="TableParagraph"/>
              <w:spacing w:before="86"/>
              <w:ind w:left="200" w:right="100"/>
              <w:rPr>
                <w:rFonts w:ascii="Constantia"/>
                <w:sz w:val="15"/>
              </w:rPr>
            </w:pPr>
            <w:r>
              <w:rPr>
                <w:rFonts w:ascii="Constantia"/>
                <w:w w:val="105"/>
                <w:sz w:val="15"/>
              </w:rPr>
              <w:t>0.28</w:t>
            </w:r>
          </w:p>
        </w:tc>
        <w:tc>
          <w:tcPr>
            <w:tcW w:w="1427" w:type="dxa"/>
            <w:tcBorders>
              <w:top w:val="double" w:sz="3" w:space="0" w:color="000000"/>
            </w:tcBorders>
          </w:tcPr>
          <w:p>
            <w:pPr>
              <w:pStyle w:val="TableParagraph"/>
              <w:spacing w:before="86"/>
              <w:ind w:left="77" w:right="69"/>
              <w:rPr>
                <w:rFonts w:ascii="Constantia"/>
                <w:sz w:val="15"/>
              </w:rPr>
            </w:pPr>
            <w:r>
              <w:rPr>
                <w:rFonts w:ascii="Constantia"/>
                <w:w w:val="105"/>
                <w:sz w:val="15"/>
              </w:rPr>
              <w:t>0.04</w:t>
            </w:r>
          </w:p>
        </w:tc>
      </w:tr>
      <w:tr>
        <w:trPr>
          <w:trHeight w:val="401" w:hRule="exact"/>
        </w:trPr>
        <w:tc>
          <w:tcPr>
            <w:tcW w:w="4436" w:type="dxa"/>
          </w:tcPr>
          <w:p>
            <w:pPr>
              <w:pStyle w:val="TableParagraph"/>
              <w:spacing w:before="110"/>
              <w:ind w:left="24"/>
              <w:jc w:val="left"/>
              <w:rPr>
                <w:rFonts w:ascii="Constantia" w:hAnsi="Constantia"/>
                <w:sz w:val="15"/>
              </w:rPr>
            </w:pPr>
            <w:r>
              <w:rPr>
                <w:rFonts w:ascii="Constantia" w:hAnsi="Constantia"/>
                <w:w w:val="105"/>
                <w:sz w:val="15"/>
              </w:rPr>
              <w:t>Escenario b) Canalización media-baja (25%) al gasto de capital</w:t>
            </w:r>
          </w:p>
        </w:tc>
        <w:tc>
          <w:tcPr>
            <w:tcW w:w="1353" w:type="dxa"/>
            <w:tcBorders>
              <w:bottom w:val="single" w:sz="16" w:space="0" w:color="FDFDFD"/>
            </w:tcBorders>
          </w:tcPr>
          <w:p>
            <w:pPr>
              <w:pStyle w:val="TableParagraph"/>
              <w:spacing w:before="110"/>
              <w:ind w:left="28" w:right="11"/>
              <w:rPr>
                <w:rFonts w:ascii="Constantia"/>
                <w:sz w:val="15"/>
              </w:rPr>
            </w:pPr>
            <w:r>
              <w:rPr>
                <w:rFonts w:ascii="Constantia"/>
                <w:w w:val="105"/>
                <w:sz w:val="15"/>
              </w:rPr>
              <w:t>0.72</w:t>
            </w:r>
          </w:p>
        </w:tc>
        <w:tc>
          <w:tcPr>
            <w:tcW w:w="1607" w:type="dxa"/>
          </w:tcPr>
          <w:p>
            <w:pPr>
              <w:pStyle w:val="TableParagraph"/>
              <w:spacing w:before="110"/>
              <w:ind w:left="200" w:right="100"/>
              <w:rPr>
                <w:rFonts w:ascii="Constantia"/>
                <w:sz w:val="15"/>
              </w:rPr>
            </w:pPr>
            <w:r>
              <w:rPr>
                <w:rFonts w:ascii="Constantia"/>
                <w:w w:val="105"/>
                <w:sz w:val="15"/>
              </w:rPr>
              <w:t>0.30</w:t>
            </w:r>
          </w:p>
        </w:tc>
        <w:tc>
          <w:tcPr>
            <w:tcW w:w="1427" w:type="dxa"/>
          </w:tcPr>
          <w:p>
            <w:pPr>
              <w:pStyle w:val="TableParagraph"/>
              <w:spacing w:before="110"/>
              <w:ind w:left="69" w:right="69"/>
              <w:rPr>
                <w:rFonts w:ascii="Constantia"/>
                <w:sz w:val="15"/>
              </w:rPr>
            </w:pPr>
            <w:r>
              <w:rPr>
                <w:rFonts w:ascii="Constantia"/>
                <w:w w:val="105"/>
                <w:sz w:val="15"/>
              </w:rPr>
              <w:t>0.03</w:t>
            </w:r>
          </w:p>
        </w:tc>
      </w:tr>
      <w:tr>
        <w:trPr>
          <w:trHeight w:val="372" w:hRule="exact"/>
        </w:trPr>
        <w:tc>
          <w:tcPr>
            <w:tcW w:w="4436" w:type="dxa"/>
            <w:tcBorders>
              <w:bottom w:val="single" w:sz="3" w:space="0" w:color="000000"/>
            </w:tcBorders>
          </w:tcPr>
          <w:p>
            <w:pPr>
              <w:pStyle w:val="TableParagraph"/>
              <w:spacing w:before="102"/>
              <w:ind w:left="24"/>
              <w:jc w:val="left"/>
              <w:rPr>
                <w:rFonts w:ascii="Constantia" w:hAnsi="Constantia"/>
                <w:sz w:val="15"/>
              </w:rPr>
            </w:pPr>
            <w:r>
              <w:rPr>
                <w:rFonts w:ascii="Constantia" w:hAnsi="Constantia"/>
                <w:w w:val="105"/>
                <w:sz w:val="15"/>
              </w:rPr>
              <w:t>Escenario e) Canalización alta (90%) al gasto de capital</w:t>
            </w:r>
          </w:p>
        </w:tc>
        <w:tc>
          <w:tcPr>
            <w:tcW w:w="1353" w:type="dxa"/>
            <w:tcBorders>
              <w:top w:val="single" w:sz="16" w:space="0" w:color="FDFDFD"/>
              <w:bottom w:val="double" w:sz="3" w:space="0" w:color="000000"/>
            </w:tcBorders>
            <w:shd w:val="clear" w:color="auto" w:fill="F8F8F8"/>
          </w:tcPr>
          <w:p>
            <w:pPr>
              <w:pStyle w:val="TableParagraph"/>
              <w:spacing w:before="70"/>
              <w:ind w:left="35" w:right="11"/>
              <w:rPr>
                <w:rFonts w:ascii="Constantia"/>
                <w:sz w:val="15"/>
              </w:rPr>
            </w:pPr>
            <w:r>
              <w:rPr>
                <w:rFonts w:ascii="Constantia"/>
                <w:w w:val="105"/>
                <w:sz w:val="15"/>
              </w:rPr>
              <w:t>0.65</w:t>
            </w:r>
          </w:p>
        </w:tc>
        <w:tc>
          <w:tcPr>
            <w:tcW w:w="1607" w:type="dxa"/>
            <w:tcBorders>
              <w:bottom w:val="double" w:sz="3" w:space="0" w:color="000000"/>
            </w:tcBorders>
          </w:tcPr>
          <w:p>
            <w:pPr>
              <w:pStyle w:val="TableParagraph"/>
              <w:spacing w:before="102"/>
              <w:ind w:left="190" w:right="100"/>
              <w:rPr>
                <w:rFonts w:ascii="Constantia"/>
                <w:sz w:val="15"/>
              </w:rPr>
            </w:pPr>
            <w:r>
              <w:rPr>
                <w:rFonts w:ascii="Constantia"/>
                <w:w w:val="105"/>
                <w:sz w:val="15"/>
              </w:rPr>
              <w:t>0.25</w:t>
            </w:r>
          </w:p>
        </w:tc>
        <w:tc>
          <w:tcPr>
            <w:tcW w:w="1427" w:type="dxa"/>
            <w:tcBorders>
              <w:bottom w:val="double" w:sz="3" w:space="0" w:color="000000"/>
            </w:tcBorders>
          </w:tcPr>
          <w:p>
            <w:pPr>
              <w:pStyle w:val="TableParagraph"/>
              <w:spacing w:before="102"/>
              <w:ind w:left="70" w:right="69"/>
              <w:rPr>
                <w:rFonts w:ascii="Constantia"/>
                <w:sz w:val="15"/>
              </w:rPr>
            </w:pPr>
            <w:r>
              <w:rPr>
                <w:rFonts w:ascii="Constantia"/>
                <w:w w:val="105"/>
                <w:sz w:val="15"/>
              </w:rPr>
              <w:t>0.02</w:t>
            </w:r>
          </w:p>
        </w:tc>
      </w:tr>
    </w:tbl>
    <w:p>
      <w:pPr>
        <w:spacing w:before="67"/>
        <w:ind w:left="102" w:right="1110" w:firstLine="0"/>
        <w:jc w:val="left"/>
        <w:rPr>
          <w:sz w:val="18"/>
        </w:rPr>
      </w:pPr>
      <w:r>
        <w:rPr/>
        <w:pict>
          <v:group style="position:absolute;margin-left:308.316559pt;margin-top:-55.041206pt;width:68.5pt;height:35.25pt;mso-position-horizontal-relative:page;mso-position-vertical-relative:paragraph;z-index:-558184" coordorigin="6166,-1101" coordsize="1370,705">
            <v:rect style="position:absolute;left:6175;top:-1101;width:1353;height:25" filled="true" fillcolor="#fbfbfb" stroked="false">
              <v:fill type="solid"/>
            </v:rect>
            <v:rect style="position:absolute;left:6175;top:-1076;width:1353;height:24" filled="true" fillcolor="#fafafa" stroked="false">
              <v:fill type="solid"/>
            </v:rect>
            <v:rect style="position:absolute;left:6175;top:-1052;width:1353;height:24" filled="true" fillcolor="#f9f9f9" stroked="false">
              <v:fill type="solid"/>
            </v:rect>
            <v:shape style="position:absolute;left:6175;top:-1027;width:1353;height:66" coordorigin="6175,-1027" coordsize="1353,66" path="m7528,-1027l6175,-1027,6175,-986,6175,-962,7528,-962,7528,-986,7528,-1027e" filled="true" fillcolor="#f8f8f8" stroked="false">
              <v:path arrowok="t"/>
              <v:fill type="solid"/>
            </v:shape>
            <v:rect style="position:absolute;left:6175;top:-962;width:1353;height:25" filled="true" fillcolor="#f7f7f7" stroked="false">
              <v:fill type="solid"/>
            </v:rect>
            <v:rect style="position:absolute;left:6175;top:-937;width:1353;height:24" filled="true" fillcolor="#f6f6f6" stroked="false">
              <v:fill type="solid"/>
            </v:rect>
            <v:rect style="position:absolute;left:6175;top:-913;width:1353;height:24" filled="true" fillcolor="#f5f5f5" stroked="false">
              <v:fill type="solid"/>
            </v:rect>
            <v:rect style="position:absolute;left:6175;top:-888;width:1353;height:49" filled="true" fillcolor="#f4f4f4" stroked="false">
              <v:fill type="solid"/>
            </v:rect>
            <v:rect style="position:absolute;left:6175;top:-839;width:1353;height:25" filled="true" fillcolor="#f3f3f3" stroked="false">
              <v:fill type="solid"/>
            </v:rect>
            <v:line style="position:absolute" from="6175,-810" to="7528,-810" stroked="true" strokeweight=".407608pt" strokecolor="#f1f1f1"/>
            <v:line style="position:absolute" from="6175,-806" to="7528,-806" stroked="true" strokeweight=".815217pt" strokecolor="#ffffff"/>
            <v:rect style="position:absolute;left:6175;top:-798;width:1353;height:24" filled="true" fillcolor="#fdfdfd" stroked="false">
              <v:fill type="solid"/>
            </v:rect>
            <v:rect style="position:absolute;left:6175;top:-773;width:1353;height:57" filled="true" fillcolor="#fcfcfc" stroked="false">
              <v:fill type="solid"/>
            </v:rect>
            <v:rect style="position:absolute;left:6175;top:-716;width:1353;height:24" filled="true" fillcolor="#fbfbfb" stroked="false">
              <v:fill type="solid"/>
            </v:rect>
            <v:rect style="position:absolute;left:6175;top:-692;width:1353;height:25" filled="true" fillcolor="#fafafa" stroked="false">
              <v:fill type="solid"/>
            </v:rect>
            <v:rect style="position:absolute;left:6175;top:-667;width:1353;height:24" filled="true" fillcolor="#f9f9f9" stroked="false">
              <v:fill type="solid"/>
            </v:rect>
            <v:shape style="position:absolute;left:6175;top:-642;width:1353;height:82" coordorigin="6175,-642" coordsize="1353,82" path="m7528,-642l6175,-642,6175,-585,6175,-561,7528,-561,7528,-585,7528,-642e" filled="true" fillcolor="#f8f8f8" stroked="false">
              <v:path arrowok="t"/>
              <v:fill type="solid"/>
            </v:shape>
            <v:rect style="position:absolute;left:6175;top:-561;width:1353;height:25" filled="true" fillcolor="#f7f7f7" stroked="false">
              <v:fill type="solid"/>
            </v:rect>
            <v:rect style="position:absolute;left:6175;top:-536;width:1353;height:24" filled="true" fillcolor="#f6f6f6" stroked="false">
              <v:fill type="solid"/>
            </v:rect>
            <v:rect style="position:absolute;left:6175;top:-511;width:1353;height:24" filled="true" fillcolor="#f5f5f5" stroked="false">
              <v:fill type="solid"/>
            </v:rect>
            <v:rect style="position:absolute;left:6175;top:-487;width:1353;height:57" filled="true" fillcolor="#f4f4f4" stroked="false">
              <v:fill type="solid"/>
            </v:rect>
            <v:rect style="position:absolute;left:6175;top:-430;width:1353;height:24" filled="true" fillcolor="#f3f3f3" stroked="false">
              <v:fill type="solid"/>
            </v:rect>
            <v:line style="position:absolute" from="6175,-401" to="7528,-401" stroked="true" strokeweight=".421201pt" strokecolor="#f1f1f1"/>
            <w10:wrap type="none"/>
          </v:group>
        </w:pict>
      </w:r>
      <w:r>
        <w:rPr/>
        <w:pict>
          <v:group style="position:absolute;margin-left:308.316559pt;margin-top:-8.792868pt;width:68.5pt;height:7pt;mso-position-horizontal-relative:page;mso-position-vertical-relative:paragraph;z-index:-558160" coordorigin="6166,-176" coordsize="1370,140">
            <v:rect style="position:absolute;left:6175;top:-176;width:1353;height:24" filled="true" fillcolor="#f7f7f7" stroked="false">
              <v:fill type="solid"/>
            </v:rect>
            <v:rect style="position:absolute;left:6175;top:-151;width:1353;height:24" filled="true" fillcolor="#f6f6f6" stroked="false">
              <v:fill type="solid"/>
            </v:rect>
            <v:line style="position:absolute" from="6175,-119" to="7528,-119" stroked="true" strokeweight=".828804pt" strokecolor="#f5f5f5"/>
            <v:rect style="position:absolute;left:6175;top:-110;width:1353;height:49" filled="true" fillcolor="#f4f4f4" stroked="false">
              <v:fill type="solid"/>
            </v:rect>
            <v:rect style="position:absolute;left:6175;top:-61;width:1353;height:25" filled="true" fillcolor="#f3f3f3" stroked="false">
              <v:fill type="solid"/>
            </v:rect>
            <w10:wrap type="none"/>
          </v:group>
        </w:pict>
      </w:r>
      <w:r>
        <w:rPr/>
        <w:pict>
          <v:group style="position:absolute;margin-left:86.734566pt;margin-top:-1.857492pt;width:217.75pt;height:.45pt;mso-position-horizontal-relative:page;mso-position-vertical-relative:paragraph;z-index:-558136" coordorigin="1735,-37" coordsize="4355,9">
            <v:line style="position:absolute" from="1743,-33" to="6081,-33" stroked="true" strokeweight=".407608pt" strokecolor="#000000"/>
            <v:line style="position:absolute" from="1739,-33" to="6085,-33" stroked="true" strokeweight=".407608pt" strokecolor="#000000"/>
            <w10:wrap type="none"/>
          </v:group>
        </w:pict>
      </w:r>
      <w:r>
        <w:rPr>
          <w:sz w:val="18"/>
        </w:rPr>
        <w:t>Se indican probabilidades con un nivel de confianza del 90% sobre los pronósticos de la Deuda pública/ PIB. Fuente: Elaboración propia</w:t>
      </w:r>
    </w:p>
    <w:p>
      <w:pPr>
        <w:spacing w:after="0"/>
        <w:jc w:val="left"/>
        <w:rPr>
          <w:sz w:val="18"/>
        </w:rPr>
        <w:sectPr>
          <w:pgSz w:w="12250" w:h="15850"/>
          <w:pgMar w:header="0" w:footer="1037" w:top="1360" w:bottom="1220" w:left="1600" w:right="1560"/>
        </w:sectPr>
      </w:pPr>
    </w:p>
    <w:p>
      <w:pPr>
        <w:pStyle w:val="BodyText"/>
        <w:spacing w:line="360" w:lineRule="auto" w:before="50"/>
        <w:ind w:left="122" w:right="116" w:firstLine="707"/>
        <w:jc w:val="both"/>
      </w:pPr>
      <w:r>
        <w:rPr/>
        <w:t>En el </w:t>
      </w:r>
      <w:r>
        <w:rPr>
          <w:i/>
        </w:rPr>
        <w:t>cuadro 4.14</w:t>
      </w:r>
      <w:r>
        <w:rPr/>
        <w:t>, se sugiere que existe una mayor probabilidad hacia la disminución de  deuda pública de Bolivia para el mediano plazo con relación al valor  inicial de 2011; sin embargo, la regla de </w:t>
      </w:r>
      <w:r>
        <w:rPr>
          <w:i/>
        </w:rPr>
        <w:t>canalización media-baja </w:t>
      </w:r>
      <w:r>
        <w:rPr/>
        <w:t>de los ingresos fiscales del gas natural al gasto de capital (25%) brinda la mejor posibilidad de disminución de deuda</w:t>
      </w:r>
      <w:r>
        <w:rPr>
          <w:spacing w:val="-4"/>
        </w:rPr>
        <w:t> </w:t>
      </w:r>
      <w:r>
        <w:rPr/>
        <w:t>pública.</w:t>
      </w:r>
    </w:p>
    <w:p>
      <w:pPr>
        <w:pStyle w:val="BodyText"/>
        <w:spacing w:line="360" w:lineRule="auto" w:before="4"/>
        <w:ind w:left="122" w:right="122" w:firstLine="767"/>
        <w:jc w:val="both"/>
      </w:pPr>
      <w:r>
        <w:rPr/>
        <w:t>Otras prospectivas probabilísticas, señalan una baja probabilidad que la deuda pública sea inferior al umbral del 20% del PIB; finalmente, la probabilidad es cercana a  cero para una deuda pública por debajo del 10% del</w:t>
      </w:r>
      <w:r>
        <w:rPr>
          <w:spacing w:val="-7"/>
        </w:rPr>
        <w:t> </w:t>
      </w:r>
      <w:r>
        <w:rPr/>
        <w:t>producto.</w:t>
      </w:r>
    </w:p>
    <w:p>
      <w:pPr>
        <w:pStyle w:val="BodyText"/>
        <w:spacing w:before="7"/>
        <w:rPr>
          <w:sz w:val="21"/>
        </w:rPr>
      </w:pPr>
    </w:p>
    <w:p>
      <w:pPr>
        <w:pStyle w:val="Heading4"/>
        <w:numPr>
          <w:ilvl w:val="2"/>
          <w:numId w:val="18"/>
        </w:numPr>
        <w:tabs>
          <w:tab w:pos="983" w:val="left" w:leader="none"/>
          <w:tab w:pos="984" w:val="left" w:leader="none"/>
        </w:tabs>
        <w:spacing w:line="240" w:lineRule="auto" w:before="1" w:after="0"/>
        <w:ind w:left="983" w:right="0" w:hanging="720"/>
        <w:jc w:val="left"/>
      </w:pPr>
      <w:bookmarkStart w:name="_bookmark147" w:id="199"/>
      <w:bookmarkEnd w:id="199"/>
      <w:r>
        <w:rPr>
          <w:b w:val="0"/>
        </w:rPr>
      </w:r>
      <w:bookmarkStart w:name="_bookmark147" w:id="200"/>
      <w:bookmarkEnd w:id="200"/>
      <w:r>
        <w:rPr/>
        <w:t>Vola</w:t>
      </w:r>
      <w:r>
        <w:rPr/>
        <w:t>tilidad de las reglas</w:t>
      </w:r>
      <w:r>
        <w:rPr>
          <w:spacing w:val="-7"/>
        </w:rPr>
        <w:t> </w:t>
      </w:r>
      <w:r>
        <w:rPr/>
        <w:t>fiscales</w:t>
      </w:r>
    </w:p>
    <w:p>
      <w:pPr>
        <w:pStyle w:val="BodyText"/>
        <w:rPr>
          <w:b/>
          <w:sz w:val="29"/>
        </w:rPr>
      </w:pPr>
    </w:p>
    <w:p>
      <w:pPr>
        <w:pStyle w:val="BodyText"/>
        <w:spacing w:line="360" w:lineRule="auto"/>
        <w:ind w:left="122" w:right="118" w:firstLine="707"/>
        <w:jc w:val="both"/>
      </w:pPr>
      <w:r>
        <w:rPr/>
        <w:t>Un segundo análisis complementario basado en la volatilidad de los escenarios de reglas fiscales permitió observar la variabilidad de la deuda pública máxima en función de cada canalización de ingresos fiscales del gas natural </w:t>
      </w:r>
      <w:r>
        <w:rPr>
          <w:w w:val="177"/>
        </w:rPr>
        <w:t> </w:t>
      </w:r>
      <w:r>
        <w:rPr>
          <w:w w:val="111"/>
        </w:rPr>
        <w:t> </w:t>
      </w:r>
      <w:r>
        <w:rPr/>
        <w:t> </w:t>
      </w:r>
      <w:r>
        <w:rPr>
          <w:w w:val="188"/>
        </w:rPr>
        <w:t>  </w:t>
      </w:r>
      <w:r>
        <w:rPr>
          <w:w w:val="155"/>
        </w:rPr>
        <w:t>   </w:t>
      </w:r>
      <w:r>
        <w:rPr/>
        <w:t> </w:t>
      </w:r>
      <w:r>
        <w:rPr>
          <w:w w:val="188"/>
        </w:rPr>
        <w:t>  </w:t>
      </w:r>
      <w:r>
        <w:rPr/>
        <w:t> </w:t>
      </w:r>
      <w:r>
        <w:rPr>
          <w:w w:val="177"/>
        </w:rPr>
        <w:t>  </w:t>
      </w:r>
      <w:r>
        <w:rPr>
          <w:w w:val="140"/>
        </w:rPr>
        <w:t>   </w:t>
      </w:r>
      <w:r>
        <w:rPr>
          <w:w w:val="177"/>
        </w:rPr>
        <w:t> </w:t>
      </w:r>
      <w:r>
        <w:rPr>
          <w:w w:val="111"/>
        </w:rPr>
        <w:t> </w:t>
      </w:r>
      <w:r>
        <w:rPr/>
        <w:t>  </w:t>
      </w:r>
      <w:r>
        <w:rPr>
          <w:w w:val="1"/>
        </w:rPr>
        <w:t> </w:t>
      </w:r>
      <w:r>
        <w:rPr/>
        <w:t> </w:t>
      </w:r>
      <w:r>
        <w:rPr>
          <w:w w:val="177"/>
        </w:rPr>
        <w:t> </w:t>
      </w:r>
      <w:r>
        <w:rPr>
          <w:w w:val="204"/>
        </w:rPr>
        <w:t>     </w:t>
      </w:r>
      <w:r>
        <w:rPr>
          <w:w w:val="177"/>
        </w:rPr>
        <w:t> </w:t>
      </w:r>
      <w:r>
        <w:rPr>
          <w:w w:val="200"/>
        </w:rPr>
        <w:t>  </w:t>
      </w:r>
      <w:r>
        <w:rPr/>
        <w:t> </w:t>
      </w:r>
      <w:r>
        <w:rPr>
          <w:w w:val="177"/>
        </w:rPr>
        <w:t> </w:t>
      </w:r>
      <w:r>
        <w:rPr>
          <w:w w:val="200"/>
        </w:rPr>
        <w:t>  </w:t>
      </w:r>
      <w:r>
        <w:rPr/>
        <w:t> </w:t>
      </w:r>
      <w:r>
        <w:rPr>
          <w:w w:val="177"/>
        </w:rPr>
        <w:t> </w:t>
      </w:r>
      <w:r>
        <w:rPr>
          <w:w w:val="111"/>
        </w:rPr>
        <w:t> </w:t>
      </w:r>
    </w:p>
    <w:p>
      <w:pPr>
        <w:pStyle w:val="BodyText"/>
        <w:spacing w:before="4"/>
        <w:ind w:left="122"/>
      </w:pPr>
      <w:r>
        <w:rPr>
          <w:spacing w:val="-1"/>
          <w:w w:val="177"/>
        </w:rPr>
        <w:t> </w:t>
      </w:r>
      <w:r>
        <w:rPr>
          <w:w w:val="166"/>
        </w:rPr>
        <w:t> </w:t>
      </w:r>
      <w:r>
        <w:rPr>
          <w:spacing w:val="-1"/>
          <w:w w:val="166"/>
        </w:rPr>
        <w:t> </w:t>
      </w:r>
      <w:r>
        <w:rPr>
          <w:spacing w:val="-1"/>
          <w:w w:val="177"/>
        </w:rPr>
        <w:t> </w:t>
      </w:r>
      <w:r>
        <w:rPr>
          <w:w w:val="188"/>
        </w:rPr>
        <w:t> </w:t>
      </w:r>
      <w:r>
        <w:rPr>
          <w:spacing w:val="1"/>
          <w:w w:val="188"/>
        </w:rPr>
        <w:t> </w:t>
      </w:r>
      <w:r>
        <w:rPr>
          <w:w w:val="148"/>
        </w:rPr>
        <w:t>   </w:t>
      </w:r>
      <w:r>
        <w:rPr/>
        <w:t> </w:t>
      </w:r>
      <w:r>
        <w:rPr>
          <w:w w:val="188"/>
        </w:rPr>
        <w:t> </w:t>
      </w:r>
      <w:r>
        <w:rPr>
          <w:spacing w:val="-2"/>
          <w:w w:val="188"/>
        </w:rPr>
        <w:t> </w:t>
      </w:r>
      <w:r>
        <w:rPr>
          <w:w w:val="166"/>
        </w:rPr>
        <w:t>  </w:t>
      </w:r>
      <w:r>
        <w:rPr>
          <w:spacing w:val="-1"/>
        </w:rPr>
        <w:t> </w:t>
      </w:r>
      <w:r>
        <w:rPr>
          <w:w w:val="50"/>
        </w:rPr>
        <w:t>  </w:t>
      </w:r>
    </w:p>
    <w:p>
      <w:pPr>
        <w:pStyle w:val="BodyText"/>
        <w:spacing w:line="350" w:lineRule="auto" w:before="139"/>
        <w:ind w:left="122" w:right="122" w:firstLine="767"/>
        <w:jc w:val="both"/>
        <w:rPr>
          <w:sz w:val="16"/>
        </w:rPr>
      </w:pPr>
      <w:r>
        <w:rPr>
          <w:w w:val="105"/>
        </w:rPr>
        <w:t>Para ello, se estimaron simples desviaciones estándar de: i) la deuda pública máxima y ii) los componentes irregulares de la deuda pública máxima con base en los filtros       d        </w:t>
      </w:r>
      <w:r>
        <w:rPr>
          <w:w w:val="120"/>
        </w:rPr>
        <w:t>H                             </w:t>
      </w:r>
      <w:r>
        <w:rPr>
          <w:w w:val="105"/>
        </w:rPr>
        <w:t>H                                  F                       </w:t>
      </w:r>
      <w:r>
        <w:rPr>
          <w:w w:val="120"/>
        </w:rPr>
        <w:t>F </w:t>
      </w:r>
      <w:r>
        <w:rPr>
          <w:w w:val="105"/>
        </w:rPr>
        <w:t>apreciar la consistencia de los resultados                                  </w:t>
      </w:r>
      <w:r>
        <w:rPr>
          <w:w w:val="120"/>
        </w:rPr>
        <w:t>99   </w:t>
      </w:r>
      <w:r>
        <w:rPr>
          <w:w w:val="105"/>
          <w:position w:val="11"/>
          <w:sz w:val="16"/>
        </w:rPr>
        <w:t>76</w:t>
      </w:r>
    </w:p>
    <w:p>
      <w:pPr>
        <w:pStyle w:val="BodyText"/>
        <w:spacing w:line="360" w:lineRule="auto"/>
        <w:ind w:left="122" w:right="119" w:firstLine="707"/>
        <w:jc w:val="both"/>
      </w:pPr>
      <w:r>
        <w:rPr/>
        <w:t>En los resultados del </w:t>
      </w:r>
      <w:r>
        <w:rPr>
          <w:i/>
        </w:rPr>
        <w:t>cuadro 4.15</w:t>
      </w:r>
      <w:r>
        <w:rPr/>
        <w:t>, se indica que la </w:t>
      </w:r>
      <w:r>
        <w:rPr>
          <w:i/>
        </w:rPr>
        <w:t>canalización media-baja </w:t>
      </w:r>
      <w:r>
        <w:rPr/>
        <w:t>de ingresos fiscales del gas natural al gasto de capital, la deuda pública máxima presenta la menor volatilidad en comparación con otras reglas fiscales alternativas y el escenario base de forma respectiva (tanto para la desviación estándar de la deuda Pública, al igual que ambos filtros: HP  y CF).</w:t>
      </w:r>
    </w:p>
    <w:p>
      <w:pPr>
        <w:pStyle w:val="BodyText"/>
        <w:spacing w:line="360" w:lineRule="auto" w:before="4"/>
        <w:ind w:left="122" w:right="124" w:firstLine="707"/>
        <w:jc w:val="both"/>
      </w:pPr>
      <w:r>
        <w:rPr/>
        <w:t>A través del cálculo simple de la desviación estándar, se apreció que las diversas reglas fiscales mostraron menor variabilidad sobre la deuda pública en comparación con el escenario base (sin regla fiscal).</w:t>
      </w:r>
    </w:p>
    <w:p>
      <w:pPr>
        <w:pStyle w:val="BodyText"/>
        <w:spacing w:line="360" w:lineRule="auto" w:before="4"/>
        <w:ind w:left="122" w:right="118" w:firstLine="707"/>
        <w:jc w:val="both"/>
      </w:pPr>
      <w:r>
        <w:rPr/>
        <w:t>Cuando se empleó el filtro de Hodrick y Prescott, dos reglas fiscales generaron menor variabilidad de deuda pública en comparación con el escenario base (</w:t>
      </w:r>
      <w:r>
        <w:rPr>
          <w:i/>
        </w:rPr>
        <w:t>canalización </w:t>
      </w:r>
      <w:r>
        <w:rPr>
          <w:i/>
        </w:rPr>
        <w:t>media-baja </w:t>
      </w:r>
      <w:r>
        <w:rPr/>
        <w:t>e </w:t>
      </w:r>
      <w:r>
        <w:rPr>
          <w:i/>
        </w:rPr>
        <w:t>intermedia</w:t>
      </w:r>
      <w:r>
        <w:rPr/>
        <w:t>). Según el filtro de Christiano y Fitzgerald, todas los escenarios de</w:t>
      </w:r>
    </w:p>
    <w:p>
      <w:pPr>
        <w:pStyle w:val="BodyText"/>
        <w:rPr>
          <w:sz w:val="20"/>
        </w:rPr>
      </w:pPr>
    </w:p>
    <w:p>
      <w:pPr>
        <w:pStyle w:val="BodyText"/>
        <w:rPr>
          <w:sz w:val="20"/>
        </w:rPr>
      </w:pPr>
    </w:p>
    <w:p>
      <w:pPr>
        <w:pStyle w:val="BodyText"/>
        <w:spacing w:before="10"/>
        <w:rPr>
          <w:sz w:val="11"/>
        </w:rPr>
      </w:pPr>
      <w:r>
        <w:rPr/>
        <w:pict>
          <v:line style="position:absolute;mso-position-horizontal-relative:page;mso-position-vertical-relative:paragraph;z-index:14008;mso-wrap-distance-left:0;mso-wrap-distance-right:0" from="85.103996pt,9.121698pt" to="229.123996pt,9.121698pt" stroked="true" strokeweight=".60004pt" strokecolor="#000000">
            <w10:wrap type="topAndBottom"/>
          </v:line>
        </w:pict>
      </w:r>
    </w:p>
    <w:p>
      <w:pPr>
        <w:spacing w:before="50"/>
        <w:ind w:left="122" w:right="115" w:firstLine="0"/>
        <w:jc w:val="left"/>
        <w:rPr>
          <w:sz w:val="20"/>
        </w:rPr>
      </w:pPr>
      <w:r>
        <w:rPr>
          <w:position w:val="9"/>
          <w:sz w:val="13"/>
        </w:rPr>
        <w:t>76 </w:t>
      </w:r>
      <w:r>
        <w:rPr>
          <w:sz w:val="20"/>
        </w:rPr>
        <w:t>Se realizó el cálculo del componente tendencial de la serie, así como su componente cíclico o irregular.</w:t>
      </w:r>
    </w:p>
    <w:p>
      <w:pPr>
        <w:spacing w:after="0"/>
        <w:jc w:val="left"/>
        <w:rPr>
          <w:sz w:val="20"/>
        </w:rPr>
        <w:sectPr>
          <w:pgSz w:w="12250" w:h="15850"/>
          <w:pgMar w:header="0" w:footer="1037" w:top="1360" w:bottom="1220" w:left="1580" w:right="1580"/>
        </w:sectPr>
      </w:pPr>
    </w:p>
    <w:p>
      <w:pPr>
        <w:pStyle w:val="BodyText"/>
        <w:spacing w:line="360" w:lineRule="auto" w:before="50"/>
        <w:ind w:left="102" w:right="176"/>
      </w:pPr>
      <w:r>
        <w:rPr/>
        <w:t>reglas fiscales generaron menor volatilidad de la deuda pública comparado con el escenario base.</w:t>
      </w:r>
    </w:p>
    <w:p>
      <w:pPr>
        <w:pStyle w:val="BodyText"/>
        <w:spacing w:before="4"/>
        <w:ind w:left="366" w:right="176"/>
      </w:pPr>
      <w:bookmarkStart w:name="_bookmark148" w:id="201"/>
      <w:bookmarkEnd w:id="201"/>
      <w:r>
        <w:rPr/>
      </w:r>
      <w:r>
        <w:rPr/>
        <w:t>Cuadro 4. 15: Volatilidad de las reglas fiscales en función de la deuda pública máxima</w:t>
      </w:r>
    </w:p>
    <w:p>
      <w:pPr>
        <w:pStyle w:val="BodyText"/>
        <w:rPr>
          <w:sz w:val="20"/>
        </w:rPr>
      </w:pPr>
    </w:p>
    <w:p>
      <w:pPr>
        <w:pStyle w:val="BodyText"/>
        <w:rPr>
          <w:sz w:val="20"/>
        </w:rPr>
      </w:pPr>
    </w:p>
    <w:p>
      <w:pPr>
        <w:pStyle w:val="BodyText"/>
        <w:rPr>
          <w:sz w:val="20"/>
        </w:rPr>
      </w:pPr>
    </w:p>
    <w:p>
      <w:pPr>
        <w:pStyle w:val="BodyText"/>
        <w:spacing w:before="8"/>
        <w:rPr>
          <w:sz w:val="25"/>
        </w:rPr>
      </w:pPr>
    </w:p>
    <w:p>
      <w:pPr>
        <w:tabs>
          <w:tab w:pos="1136" w:val="left" w:leader="none"/>
          <w:tab w:pos="9394" w:val="left" w:leader="none"/>
        </w:tabs>
        <w:spacing w:before="63"/>
        <w:ind w:left="563" w:right="0" w:firstLine="0"/>
        <w:jc w:val="left"/>
        <w:rPr>
          <w:rFonts w:ascii="Constantia"/>
          <w:sz w:val="19"/>
        </w:rPr>
      </w:pPr>
      <w:r>
        <w:rPr/>
        <w:pict>
          <v:shape style="position:absolute;margin-left:108.150002pt;margin-top:-39.034607pt;width:441.6pt;height:129.65pt;mso-position-horizontal-relative:page;mso-position-vertical-relative:paragraph;z-index:1403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93"/>
                    <w:gridCol w:w="1474"/>
                    <w:gridCol w:w="2195"/>
                    <w:gridCol w:w="2469"/>
                  </w:tblGrid>
                  <w:tr>
                    <w:trPr>
                      <w:trHeight w:val="298" w:hRule="exact"/>
                    </w:trPr>
                    <w:tc>
                      <w:tcPr>
                        <w:tcW w:w="4168" w:type="dxa"/>
                        <w:gridSpan w:val="2"/>
                        <w:tcBorders>
                          <w:bottom w:val="single" w:sz="4" w:space="0" w:color="000000"/>
                        </w:tcBorders>
                      </w:tcPr>
                      <w:p>
                        <w:pPr>
                          <w:pStyle w:val="TableParagraph"/>
                          <w:spacing w:before="62"/>
                          <w:ind w:left="141"/>
                          <w:jc w:val="left"/>
                          <w:rPr>
                            <w:rFonts w:ascii="Constantia"/>
                            <w:sz w:val="19"/>
                          </w:rPr>
                        </w:pPr>
                        <w:r>
                          <w:rPr>
                            <w:rFonts w:ascii="Constantia"/>
                            <w:w w:val="90"/>
                            <w:sz w:val="19"/>
                          </w:rPr>
                          <w:t>Escenarios de reglas fiscales</w:t>
                        </w:r>
                      </w:p>
                    </w:tc>
                    <w:tc>
                      <w:tcPr>
                        <w:tcW w:w="2195" w:type="dxa"/>
                        <w:tcBorders>
                          <w:bottom w:val="single" w:sz="4" w:space="0" w:color="000000"/>
                        </w:tcBorders>
                      </w:tcPr>
                      <w:p>
                        <w:pPr>
                          <w:pStyle w:val="TableParagraph"/>
                          <w:spacing w:before="62"/>
                          <w:ind w:left="48" w:right="48"/>
                          <w:rPr>
                            <w:rFonts w:ascii="Constantia"/>
                            <w:sz w:val="19"/>
                          </w:rPr>
                        </w:pPr>
                        <w:r>
                          <w:rPr>
                            <w:rFonts w:ascii="Constantia"/>
                            <w:w w:val="90"/>
                            <w:sz w:val="19"/>
                          </w:rPr>
                          <w:t>Filtro de Hodrick y Prescott</w:t>
                        </w:r>
                      </w:p>
                    </w:tc>
                    <w:tc>
                      <w:tcPr>
                        <w:tcW w:w="2469" w:type="dxa"/>
                        <w:tcBorders>
                          <w:bottom w:val="single" w:sz="4" w:space="0" w:color="000000"/>
                        </w:tcBorders>
                      </w:tcPr>
                      <w:p>
                        <w:pPr>
                          <w:pStyle w:val="TableParagraph"/>
                          <w:spacing w:before="62"/>
                          <w:ind w:left="39" w:right="29"/>
                          <w:rPr>
                            <w:rFonts w:ascii="Constantia"/>
                            <w:sz w:val="19"/>
                          </w:rPr>
                        </w:pPr>
                        <w:r>
                          <w:rPr>
                            <w:rFonts w:ascii="Constantia"/>
                            <w:w w:val="90"/>
                            <w:sz w:val="19"/>
                          </w:rPr>
                          <w:t>Filtro de Christiano y Fitzgerald</w:t>
                        </w:r>
                      </w:p>
                    </w:tc>
                  </w:tr>
                  <w:tr>
                    <w:trPr>
                      <w:trHeight w:val="373" w:hRule="exact"/>
                    </w:trPr>
                    <w:tc>
                      <w:tcPr>
                        <w:tcW w:w="4168" w:type="dxa"/>
                        <w:gridSpan w:val="2"/>
                        <w:tcBorders>
                          <w:top w:val="single" w:sz="4" w:space="0" w:color="000000"/>
                        </w:tcBorders>
                      </w:tcPr>
                      <w:p>
                        <w:pPr>
                          <w:pStyle w:val="TableParagraph"/>
                          <w:spacing w:before="39"/>
                          <w:ind w:left="87"/>
                          <w:jc w:val="left"/>
                          <w:rPr>
                            <w:rFonts w:ascii="Constantia" w:hAnsi="Constantia"/>
                            <w:sz w:val="19"/>
                          </w:rPr>
                        </w:pPr>
                        <w:r>
                          <w:rPr>
                            <w:rFonts w:ascii="Constantia" w:hAnsi="Constantia"/>
                            <w:w w:val="90"/>
                            <w:sz w:val="19"/>
                          </w:rPr>
                          <w:t>Magnitud de Ingresos fiscales  </w:t>
                        </w:r>
                        <w:r>
                          <w:rPr>
                            <w:rFonts w:ascii="Constantia" w:hAnsi="Constantia"/>
                            <w:w w:val="90"/>
                            <w:position w:val="-9"/>
                            <w:sz w:val="19"/>
                          </w:rPr>
                          <w:t>Desviación estándar de</w:t>
                        </w:r>
                      </w:p>
                    </w:tc>
                    <w:tc>
                      <w:tcPr>
                        <w:tcW w:w="2195" w:type="dxa"/>
                        <w:tcBorders>
                          <w:top w:val="single" w:sz="4" w:space="0" w:color="000000"/>
                        </w:tcBorders>
                      </w:tcPr>
                      <w:p>
                        <w:pPr>
                          <w:pStyle w:val="TableParagraph"/>
                          <w:spacing w:before="139"/>
                          <w:ind w:left="48" w:right="11"/>
                          <w:rPr>
                            <w:rFonts w:ascii="Constantia"/>
                            <w:sz w:val="19"/>
                          </w:rPr>
                        </w:pPr>
                        <w:r>
                          <w:rPr>
                            <w:rFonts w:ascii="Constantia"/>
                            <w:w w:val="90"/>
                            <w:sz w:val="19"/>
                          </w:rPr>
                          <w:t>Volatilidad de la deuda</w:t>
                        </w:r>
                      </w:p>
                    </w:tc>
                    <w:tc>
                      <w:tcPr>
                        <w:tcW w:w="2469" w:type="dxa"/>
                        <w:tcBorders>
                          <w:top w:val="single" w:sz="4" w:space="0" w:color="000000"/>
                        </w:tcBorders>
                      </w:tcPr>
                      <w:p>
                        <w:pPr>
                          <w:pStyle w:val="TableParagraph"/>
                          <w:spacing w:before="139"/>
                          <w:ind w:left="76" w:right="29"/>
                          <w:rPr>
                            <w:rFonts w:ascii="Constantia" w:hAnsi="Constantia"/>
                            <w:sz w:val="19"/>
                          </w:rPr>
                        </w:pPr>
                        <w:r>
                          <w:rPr>
                            <w:rFonts w:ascii="Constantia" w:hAnsi="Constantia"/>
                            <w:w w:val="90"/>
                            <w:sz w:val="19"/>
                          </w:rPr>
                          <w:t>Volatilidad de la deuda pública</w:t>
                        </w:r>
                      </w:p>
                    </w:tc>
                  </w:tr>
                  <w:tr>
                    <w:trPr>
                      <w:trHeight w:val="431" w:hRule="exact"/>
                    </w:trPr>
                    <w:tc>
                      <w:tcPr>
                        <w:tcW w:w="8831" w:type="dxa"/>
                        <w:gridSpan w:val="4"/>
                      </w:tcPr>
                      <w:p>
                        <w:pPr>
                          <w:pStyle w:val="TableParagraph"/>
                          <w:tabs>
                            <w:tab w:pos="4693" w:val="left" w:leader="none"/>
                            <w:tab w:pos="7322" w:val="left" w:leader="none"/>
                          </w:tabs>
                          <w:spacing w:line="254" w:lineRule="exact"/>
                          <w:ind w:left="61"/>
                          <w:jc w:val="left"/>
                          <w:rPr>
                            <w:rFonts w:ascii="Constantia" w:hAnsi="Constantia"/>
                            <w:sz w:val="19"/>
                          </w:rPr>
                        </w:pPr>
                        <w:r>
                          <w:rPr>
                            <w:rFonts w:ascii="Constantia" w:hAnsi="Constantia"/>
                            <w:w w:val="95"/>
                            <w:position w:val="10"/>
                            <w:sz w:val="19"/>
                          </w:rPr>
                          <w:t>del</w:t>
                        </w:r>
                        <w:r>
                          <w:rPr>
                            <w:rFonts w:ascii="Constantia" w:hAnsi="Constantia"/>
                            <w:spacing w:val="-22"/>
                            <w:w w:val="95"/>
                            <w:position w:val="10"/>
                            <w:sz w:val="19"/>
                          </w:rPr>
                          <w:t> </w:t>
                        </w:r>
                        <w:r>
                          <w:rPr>
                            <w:rFonts w:ascii="Constantia" w:hAnsi="Constantia"/>
                            <w:w w:val="95"/>
                            <w:position w:val="10"/>
                            <w:sz w:val="19"/>
                          </w:rPr>
                          <w:t>gas</w:t>
                        </w:r>
                        <w:r>
                          <w:rPr>
                            <w:rFonts w:ascii="Constantia" w:hAnsi="Constantia"/>
                            <w:spacing w:val="-20"/>
                            <w:w w:val="95"/>
                            <w:position w:val="10"/>
                            <w:sz w:val="19"/>
                          </w:rPr>
                          <w:t> </w:t>
                        </w:r>
                        <w:r>
                          <w:rPr>
                            <w:rFonts w:ascii="Constantia" w:hAnsi="Constantia"/>
                            <w:w w:val="95"/>
                            <w:position w:val="10"/>
                            <w:sz w:val="19"/>
                          </w:rPr>
                          <w:t>natural</w:t>
                        </w:r>
                        <w:r>
                          <w:rPr>
                            <w:rFonts w:ascii="Constantia" w:hAnsi="Constantia"/>
                            <w:spacing w:val="3"/>
                            <w:w w:val="95"/>
                            <w:position w:val="10"/>
                            <w:sz w:val="19"/>
                          </w:rPr>
                          <w:t> </w:t>
                        </w:r>
                        <w:r>
                          <w:rPr>
                            <w:rFonts w:ascii="Constantia" w:hAnsi="Constantia"/>
                            <w:w w:val="95"/>
                            <w:position w:val="10"/>
                            <w:sz w:val="19"/>
                          </w:rPr>
                          <w:t>canalizados</w:t>
                        </w:r>
                        <w:r>
                          <w:rPr>
                            <w:rFonts w:ascii="Constantia" w:hAnsi="Constantia"/>
                            <w:spacing w:val="-20"/>
                            <w:w w:val="95"/>
                            <w:position w:val="10"/>
                            <w:sz w:val="19"/>
                          </w:rPr>
                          <w:t> </w:t>
                        </w:r>
                        <w:r>
                          <w:rPr>
                            <w:rFonts w:ascii="Constantia" w:hAnsi="Constantia"/>
                            <w:w w:val="95"/>
                            <w:position w:val="10"/>
                            <w:sz w:val="19"/>
                          </w:rPr>
                          <w:t>al </w:t>
                        </w:r>
                        <w:r>
                          <w:rPr>
                            <w:rFonts w:ascii="Constantia" w:hAnsi="Constantia"/>
                            <w:spacing w:val="16"/>
                            <w:w w:val="95"/>
                            <w:position w:val="10"/>
                            <w:sz w:val="19"/>
                          </w:rPr>
                          <w:t> </w:t>
                        </w:r>
                        <w:r>
                          <w:rPr>
                            <w:rFonts w:ascii="Constantia" w:hAnsi="Constantia"/>
                            <w:w w:val="95"/>
                            <w:sz w:val="19"/>
                          </w:rPr>
                          <w:t>la</w:t>
                        </w:r>
                        <w:r>
                          <w:rPr>
                            <w:rFonts w:ascii="Constantia" w:hAnsi="Constantia"/>
                            <w:spacing w:val="-22"/>
                            <w:w w:val="95"/>
                            <w:sz w:val="19"/>
                          </w:rPr>
                          <w:t> </w:t>
                        </w:r>
                        <w:r>
                          <w:rPr>
                            <w:rFonts w:ascii="Constantia" w:hAnsi="Constantia"/>
                            <w:w w:val="95"/>
                            <w:sz w:val="19"/>
                          </w:rPr>
                          <w:t>Deuda</w:t>
                        </w:r>
                        <w:r>
                          <w:rPr>
                            <w:rFonts w:ascii="Constantia" w:hAnsi="Constantia"/>
                            <w:spacing w:val="-22"/>
                            <w:w w:val="95"/>
                            <w:sz w:val="19"/>
                          </w:rPr>
                          <w:t> </w:t>
                        </w:r>
                        <w:r>
                          <w:rPr>
                            <w:rFonts w:ascii="Constantia" w:hAnsi="Constantia"/>
                            <w:w w:val="95"/>
                            <w:sz w:val="19"/>
                          </w:rPr>
                          <w:t>pública</w:t>
                        </w:r>
                        <w:r>
                          <w:rPr>
                            <w:rFonts w:ascii="Constantia" w:hAnsi="Constantia"/>
                            <w:spacing w:val="-22"/>
                            <w:w w:val="95"/>
                            <w:sz w:val="19"/>
                          </w:rPr>
                          <w:t> </w:t>
                        </w:r>
                        <w:r>
                          <w:rPr>
                            <w:rFonts w:ascii="Constantia" w:hAnsi="Constantia"/>
                            <w:w w:val="95"/>
                            <w:sz w:val="19"/>
                          </w:rPr>
                          <w:t>Máx.</w:t>
                          <w:tab/>
                          <w:t>pública</w:t>
                        </w:r>
                        <w:r>
                          <w:rPr>
                            <w:rFonts w:ascii="Constantia" w:hAnsi="Constantia"/>
                            <w:spacing w:val="-21"/>
                            <w:w w:val="95"/>
                            <w:sz w:val="19"/>
                          </w:rPr>
                          <w:t> </w:t>
                        </w:r>
                        <w:r>
                          <w:rPr>
                            <w:rFonts w:ascii="Constantia" w:hAnsi="Constantia"/>
                            <w:spacing w:val="-3"/>
                            <w:w w:val="95"/>
                            <w:sz w:val="19"/>
                          </w:rPr>
                          <w:t>máxima</w:t>
                          <w:tab/>
                        </w:r>
                        <w:r>
                          <w:rPr>
                            <w:rFonts w:ascii="Constantia" w:hAnsi="Constantia"/>
                            <w:spacing w:val="-3"/>
                            <w:sz w:val="19"/>
                          </w:rPr>
                          <w:t>máxima</w:t>
                        </w:r>
                      </w:p>
                    </w:tc>
                  </w:tr>
                  <w:tr>
                    <w:trPr>
                      <w:trHeight w:val="251" w:hRule="exact"/>
                    </w:trPr>
                    <w:tc>
                      <w:tcPr>
                        <w:tcW w:w="2693" w:type="dxa"/>
                      </w:tcPr>
                      <w:p>
                        <w:pPr>
                          <w:pStyle w:val="TableParagraph"/>
                          <w:spacing w:line="224" w:lineRule="exact"/>
                          <w:ind w:left="6" w:right="403"/>
                          <w:rPr>
                            <w:rFonts w:ascii="Constantia"/>
                            <w:sz w:val="19"/>
                          </w:rPr>
                        </w:pPr>
                        <w:r>
                          <w:rPr>
                            <w:rFonts w:ascii="Constantia"/>
                            <w:sz w:val="19"/>
                          </w:rPr>
                          <w:t>Baja</w:t>
                        </w:r>
                      </w:p>
                    </w:tc>
                    <w:tc>
                      <w:tcPr>
                        <w:tcW w:w="1474" w:type="dxa"/>
                      </w:tcPr>
                      <w:p>
                        <w:pPr>
                          <w:pStyle w:val="TableParagraph"/>
                          <w:spacing w:line="224" w:lineRule="exact"/>
                          <w:ind w:left="421"/>
                          <w:jc w:val="left"/>
                          <w:rPr>
                            <w:rFonts w:ascii="Constantia"/>
                            <w:sz w:val="19"/>
                          </w:rPr>
                        </w:pPr>
                        <w:r>
                          <w:rPr>
                            <w:rFonts w:ascii="Constantia"/>
                            <w:sz w:val="19"/>
                          </w:rPr>
                          <w:t>6.3</w:t>
                        </w:r>
                      </w:p>
                    </w:tc>
                    <w:tc>
                      <w:tcPr>
                        <w:tcW w:w="2195" w:type="dxa"/>
                      </w:tcPr>
                      <w:p>
                        <w:pPr>
                          <w:pStyle w:val="TableParagraph"/>
                          <w:spacing w:line="224" w:lineRule="exact"/>
                          <w:ind w:left="48" w:right="42"/>
                          <w:rPr>
                            <w:rFonts w:ascii="Constantia"/>
                            <w:sz w:val="19"/>
                          </w:rPr>
                        </w:pPr>
                        <w:r>
                          <w:rPr>
                            <w:rFonts w:ascii="Constantia"/>
                            <w:sz w:val="19"/>
                          </w:rPr>
                          <w:t>3.0</w:t>
                        </w:r>
                      </w:p>
                    </w:tc>
                    <w:tc>
                      <w:tcPr>
                        <w:tcW w:w="2469" w:type="dxa"/>
                      </w:tcPr>
                      <w:p>
                        <w:pPr>
                          <w:pStyle w:val="TableParagraph"/>
                          <w:spacing w:line="224" w:lineRule="exact"/>
                          <w:ind w:left="39" w:right="20"/>
                          <w:rPr>
                            <w:rFonts w:ascii="Constantia"/>
                            <w:sz w:val="19"/>
                          </w:rPr>
                        </w:pPr>
                        <w:r>
                          <w:rPr>
                            <w:rFonts w:ascii="Constantia"/>
                            <w:sz w:val="19"/>
                          </w:rPr>
                          <w:t>3.9</w:t>
                        </w:r>
                      </w:p>
                    </w:tc>
                  </w:tr>
                  <w:tr>
                    <w:trPr>
                      <w:trHeight w:val="250" w:hRule="exact"/>
                    </w:trPr>
                    <w:tc>
                      <w:tcPr>
                        <w:tcW w:w="2693" w:type="dxa"/>
                      </w:tcPr>
                      <w:p>
                        <w:pPr>
                          <w:pStyle w:val="TableParagraph"/>
                          <w:spacing w:line="224" w:lineRule="exact"/>
                          <w:ind w:left="6" w:right="402"/>
                          <w:rPr>
                            <w:rFonts w:ascii="Constantia"/>
                            <w:sz w:val="19"/>
                          </w:rPr>
                        </w:pPr>
                        <w:r>
                          <w:rPr>
                            <w:rFonts w:ascii="Constantia"/>
                            <w:sz w:val="19"/>
                          </w:rPr>
                          <w:t>Media-baja</w:t>
                        </w:r>
                      </w:p>
                    </w:tc>
                    <w:tc>
                      <w:tcPr>
                        <w:tcW w:w="1474" w:type="dxa"/>
                      </w:tcPr>
                      <w:p>
                        <w:pPr>
                          <w:pStyle w:val="TableParagraph"/>
                          <w:spacing w:line="224" w:lineRule="exact"/>
                          <w:ind w:left="421"/>
                          <w:jc w:val="left"/>
                          <w:rPr>
                            <w:rFonts w:ascii="Constantia"/>
                            <w:sz w:val="19"/>
                          </w:rPr>
                        </w:pPr>
                        <w:r>
                          <w:rPr>
                            <w:rFonts w:ascii="Constantia"/>
                            <w:sz w:val="19"/>
                          </w:rPr>
                          <w:t>4.2</w:t>
                        </w:r>
                      </w:p>
                    </w:tc>
                    <w:tc>
                      <w:tcPr>
                        <w:tcW w:w="2195" w:type="dxa"/>
                      </w:tcPr>
                      <w:p>
                        <w:pPr>
                          <w:pStyle w:val="TableParagraph"/>
                          <w:spacing w:line="224" w:lineRule="exact"/>
                          <w:ind w:left="48" w:right="43"/>
                          <w:rPr>
                            <w:rFonts w:ascii="Constantia"/>
                            <w:sz w:val="19"/>
                          </w:rPr>
                        </w:pPr>
                        <w:r>
                          <w:rPr>
                            <w:rFonts w:ascii="Constantia"/>
                            <w:sz w:val="19"/>
                          </w:rPr>
                          <w:t>0.7</w:t>
                        </w:r>
                      </w:p>
                    </w:tc>
                    <w:tc>
                      <w:tcPr>
                        <w:tcW w:w="2469" w:type="dxa"/>
                      </w:tcPr>
                      <w:p>
                        <w:pPr>
                          <w:pStyle w:val="TableParagraph"/>
                          <w:spacing w:line="224" w:lineRule="exact"/>
                          <w:ind w:left="39" w:right="13"/>
                          <w:rPr>
                            <w:rFonts w:ascii="Constantia"/>
                            <w:sz w:val="19"/>
                          </w:rPr>
                        </w:pPr>
                        <w:r>
                          <w:rPr>
                            <w:rFonts w:ascii="Constantia"/>
                            <w:sz w:val="19"/>
                          </w:rPr>
                          <w:t>0.8</w:t>
                        </w:r>
                      </w:p>
                    </w:tc>
                  </w:tr>
                  <w:tr>
                    <w:trPr>
                      <w:trHeight w:val="250" w:hRule="exact"/>
                    </w:trPr>
                    <w:tc>
                      <w:tcPr>
                        <w:tcW w:w="2693" w:type="dxa"/>
                      </w:tcPr>
                      <w:p>
                        <w:pPr>
                          <w:pStyle w:val="TableParagraph"/>
                          <w:spacing w:line="224" w:lineRule="exact"/>
                          <w:ind w:left="6" w:right="402"/>
                          <w:rPr>
                            <w:rFonts w:ascii="Constantia"/>
                            <w:sz w:val="19"/>
                          </w:rPr>
                        </w:pPr>
                        <w:r>
                          <w:rPr>
                            <w:rFonts w:ascii="Constantia"/>
                            <w:sz w:val="19"/>
                          </w:rPr>
                          <w:t>Intermedia</w:t>
                        </w:r>
                      </w:p>
                    </w:tc>
                    <w:tc>
                      <w:tcPr>
                        <w:tcW w:w="1474" w:type="dxa"/>
                      </w:tcPr>
                      <w:p>
                        <w:pPr>
                          <w:pStyle w:val="TableParagraph"/>
                          <w:spacing w:line="224" w:lineRule="exact"/>
                          <w:ind w:left="421"/>
                          <w:jc w:val="left"/>
                          <w:rPr>
                            <w:rFonts w:ascii="Constantia"/>
                            <w:sz w:val="19"/>
                          </w:rPr>
                        </w:pPr>
                        <w:r>
                          <w:rPr>
                            <w:rFonts w:ascii="Constantia"/>
                            <w:sz w:val="19"/>
                          </w:rPr>
                          <w:t>5.4</w:t>
                        </w:r>
                      </w:p>
                    </w:tc>
                    <w:tc>
                      <w:tcPr>
                        <w:tcW w:w="2195" w:type="dxa"/>
                      </w:tcPr>
                      <w:p>
                        <w:pPr>
                          <w:pStyle w:val="TableParagraph"/>
                          <w:spacing w:line="224" w:lineRule="exact"/>
                          <w:ind w:left="48" w:right="44"/>
                          <w:rPr>
                            <w:rFonts w:ascii="Constantia"/>
                            <w:sz w:val="19"/>
                          </w:rPr>
                        </w:pPr>
                        <w:r>
                          <w:rPr>
                            <w:rFonts w:ascii="Constantia"/>
                            <w:sz w:val="19"/>
                          </w:rPr>
                          <w:t>1.5</w:t>
                        </w:r>
                      </w:p>
                    </w:tc>
                    <w:tc>
                      <w:tcPr>
                        <w:tcW w:w="2469" w:type="dxa"/>
                      </w:tcPr>
                      <w:p>
                        <w:pPr>
                          <w:pStyle w:val="TableParagraph"/>
                          <w:spacing w:line="224" w:lineRule="exact"/>
                          <w:ind w:left="39" w:right="22"/>
                          <w:rPr>
                            <w:rFonts w:ascii="Constantia"/>
                            <w:sz w:val="19"/>
                          </w:rPr>
                        </w:pPr>
                        <w:r>
                          <w:rPr>
                            <w:rFonts w:ascii="Constantia"/>
                            <w:sz w:val="19"/>
                          </w:rPr>
                          <w:t>2.4</w:t>
                        </w:r>
                      </w:p>
                    </w:tc>
                  </w:tr>
                  <w:tr>
                    <w:trPr>
                      <w:trHeight w:val="250" w:hRule="exact"/>
                    </w:trPr>
                    <w:tc>
                      <w:tcPr>
                        <w:tcW w:w="2693" w:type="dxa"/>
                      </w:tcPr>
                      <w:p>
                        <w:pPr>
                          <w:pStyle w:val="TableParagraph"/>
                          <w:spacing w:line="224" w:lineRule="exact"/>
                          <w:ind w:left="6" w:right="402"/>
                          <w:rPr>
                            <w:rFonts w:ascii="Constantia"/>
                            <w:sz w:val="19"/>
                          </w:rPr>
                        </w:pPr>
                        <w:r>
                          <w:rPr>
                            <w:rFonts w:ascii="Constantia"/>
                            <w:sz w:val="19"/>
                          </w:rPr>
                          <w:t>Media-alta</w:t>
                        </w:r>
                      </w:p>
                    </w:tc>
                    <w:tc>
                      <w:tcPr>
                        <w:tcW w:w="1474" w:type="dxa"/>
                      </w:tcPr>
                      <w:p>
                        <w:pPr>
                          <w:pStyle w:val="TableParagraph"/>
                          <w:spacing w:line="224" w:lineRule="exact"/>
                          <w:ind w:left="421"/>
                          <w:jc w:val="left"/>
                          <w:rPr>
                            <w:rFonts w:ascii="Constantia"/>
                            <w:sz w:val="19"/>
                          </w:rPr>
                        </w:pPr>
                        <w:r>
                          <w:rPr>
                            <w:rFonts w:ascii="Constantia"/>
                            <w:sz w:val="19"/>
                          </w:rPr>
                          <w:t>6.7</w:t>
                        </w:r>
                      </w:p>
                    </w:tc>
                    <w:tc>
                      <w:tcPr>
                        <w:tcW w:w="2195" w:type="dxa"/>
                      </w:tcPr>
                      <w:p>
                        <w:pPr>
                          <w:pStyle w:val="TableParagraph"/>
                          <w:spacing w:line="224" w:lineRule="exact"/>
                          <w:ind w:left="48" w:right="35"/>
                          <w:rPr>
                            <w:rFonts w:ascii="Constantia"/>
                            <w:sz w:val="19"/>
                          </w:rPr>
                        </w:pPr>
                        <w:r>
                          <w:rPr>
                            <w:rFonts w:ascii="Constantia"/>
                            <w:sz w:val="19"/>
                          </w:rPr>
                          <w:t>2.5</w:t>
                        </w:r>
                      </w:p>
                    </w:tc>
                    <w:tc>
                      <w:tcPr>
                        <w:tcW w:w="2469" w:type="dxa"/>
                      </w:tcPr>
                      <w:p>
                        <w:pPr>
                          <w:pStyle w:val="TableParagraph"/>
                          <w:spacing w:line="224" w:lineRule="exact"/>
                          <w:ind w:left="39" w:right="21"/>
                          <w:rPr>
                            <w:rFonts w:ascii="Constantia"/>
                            <w:sz w:val="19"/>
                          </w:rPr>
                        </w:pPr>
                        <w:r>
                          <w:rPr>
                            <w:rFonts w:ascii="Constantia"/>
                            <w:sz w:val="19"/>
                          </w:rPr>
                          <w:t>3.6</w:t>
                        </w:r>
                      </w:p>
                    </w:tc>
                  </w:tr>
                  <w:tr>
                    <w:trPr>
                      <w:trHeight w:val="228" w:hRule="exact"/>
                    </w:trPr>
                    <w:tc>
                      <w:tcPr>
                        <w:tcW w:w="2693" w:type="dxa"/>
                        <w:tcBorders>
                          <w:bottom w:val="single" w:sz="4" w:space="0" w:color="000000"/>
                        </w:tcBorders>
                      </w:tcPr>
                      <w:p>
                        <w:pPr>
                          <w:pStyle w:val="TableParagraph"/>
                          <w:spacing w:line="224" w:lineRule="exact"/>
                          <w:ind w:left="6" w:right="402"/>
                          <w:rPr>
                            <w:rFonts w:ascii="Constantia"/>
                            <w:sz w:val="19"/>
                          </w:rPr>
                        </w:pPr>
                        <w:r>
                          <w:rPr>
                            <w:rFonts w:ascii="Constantia"/>
                            <w:sz w:val="19"/>
                          </w:rPr>
                          <w:t>Alta</w:t>
                        </w:r>
                      </w:p>
                    </w:tc>
                    <w:tc>
                      <w:tcPr>
                        <w:tcW w:w="1474" w:type="dxa"/>
                        <w:tcBorders>
                          <w:bottom w:val="single" w:sz="4" w:space="0" w:color="000000"/>
                        </w:tcBorders>
                      </w:tcPr>
                      <w:p>
                        <w:pPr>
                          <w:pStyle w:val="TableParagraph"/>
                          <w:spacing w:line="224" w:lineRule="exact"/>
                          <w:ind w:left="438"/>
                          <w:jc w:val="left"/>
                          <w:rPr>
                            <w:rFonts w:ascii="Constantia"/>
                            <w:sz w:val="19"/>
                          </w:rPr>
                        </w:pPr>
                        <w:r>
                          <w:rPr>
                            <w:rFonts w:ascii="Constantia"/>
                            <w:sz w:val="19"/>
                          </w:rPr>
                          <w:t>7.1</w:t>
                        </w:r>
                      </w:p>
                    </w:tc>
                    <w:tc>
                      <w:tcPr>
                        <w:tcW w:w="2195" w:type="dxa"/>
                        <w:tcBorders>
                          <w:bottom w:val="single" w:sz="4" w:space="0" w:color="000000"/>
                        </w:tcBorders>
                      </w:tcPr>
                      <w:p>
                        <w:pPr>
                          <w:pStyle w:val="TableParagraph"/>
                          <w:spacing w:line="224" w:lineRule="exact"/>
                          <w:ind w:left="48" w:right="34"/>
                          <w:rPr>
                            <w:rFonts w:ascii="Constantia"/>
                            <w:sz w:val="19"/>
                          </w:rPr>
                        </w:pPr>
                        <w:r>
                          <w:rPr>
                            <w:rFonts w:ascii="Constantia"/>
                            <w:sz w:val="19"/>
                          </w:rPr>
                          <w:t>2.7</w:t>
                        </w:r>
                      </w:p>
                    </w:tc>
                    <w:tc>
                      <w:tcPr>
                        <w:tcW w:w="2469" w:type="dxa"/>
                        <w:tcBorders>
                          <w:bottom w:val="single" w:sz="4" w:space="0" w:color="000000"/>
                        </w:tcBorders>
                      </w:tcPr>
                      <w:p>
                        <w:pPr>
                          <w:pStyle w:val="TableParagraph"/>
                          <w:spacing w:line="224" w:lineRule="exact"/>
                          <w:ind w:left="39" w:right="21"/>
                          <w:rPr>
                            <w:rFonts w:ascii="Constantia"/>
                            <w:sz w:val="19"/>
                          </w:rPr>
                        </w:pPr>
                        <w:r>
                          <w:rPr>
                            <w:rFonts w:ascii="Constantia"/>
                            <w:sz w:val="19"/>
                          </w:rPr>
                          <w:t>4.2</w:t>
                        </w:r>
                      </w:p>
                    </w:tc>
                  </w:tr>
                  <w:tr>
                    <w:trPr>
                      <w:trHeight w:val="250" w:hRule="exact"/>
                    </w:trPr>
                    <w:tc>
                      <w:tcPr>
                        <w:tcW w:w="2693" w:type="dxa"/>
                        <w:tcBorders>
                          <w:top w:val="single" w:sz="4" w:space="0" w:color="000000"/>
                          <w:bottom w:val="single" w:sz="4" w:space="0" w:color="000000"/>
                        </w:tcBorders>
                      </w:tcPr>
                      <w:p>
                        <w:pPr>
                          <w:pStyle w:val="TableParagraph"/>
                          <w:spacing w:before="9"/>
                          <w:ind w:left="6" w:right="407"/>
                          <w:rPr>
                            <w:rFonts w:ascii="Constantia"/>
                            <w:sz w:val="19"/>
                          </w:rPr>
                        </w:pPr>
                        <w:r>
                          <w:rPr>
                            <w:rFonts w:ascii="Constantia"/>
                            <w:w w:val="90"/>
                            <w:sz w:val="19"/>
                          </w:rPr>
                          <w:t>Escenario</w:t>
                        </w:r>
                        <w:r>
                          <w:rPr>
                            <w:rFonts w:ascii="Constantia"/>
                            <w:spacing w:val="-17"/>
                            <w:w w:val="90"/>
                            <w:sz w:val="19"/>
                          </w:rPr>
                          <w:t> </w:t>
                        </w:r>
                        <w:r>
                          <w:rPr>
                            <w:rFonts w:ascii="Constantia"/>
                            <w:w w:val="90"/>
                            <w:sz w:val="19"/>
                          </w:rPr>
                          <w:t>base</w:t>
                        </w:r>
                        <w:r>
                          <w:rPr>
                            <w:rFonts w:ascii="Constantia"/>
                            <w:spacing w:val="-16"/>
                            <w:w w:val="90"/>
                            <w:sz w:val="19"/>
                          </w:rPr>
                          <w:t> </w:t>
                        </w:r>
                        <w:r>
                          <w:rPr>
                            <w:rFonts w:ascii="Constantia"/>
                            <w:w w:val="90"/>
                            <w:sz w:val="19"/>
                          </w:rPr>
                          <w:t>(sin</w:t>
                        </w:r>
                        <w:r>
                          <w:rPr>
                            <w:rFonts w:ascii="Constantia"/>
                            <w:spacing w:val="-16"/>
                            <w:w w:val="90"/>
                            <w:sz w:val="19"/>
                          </w:rPr>
                          <w:t> </w:t>
                        </w:r>
                        <w:r>
                          <w:rPr>
                            <w:rFonts w:ascii="Constantia"/>
                            <w:w w:val="90"/>
                            <w:sz w:val="19"/>
                          </w:rPr>
                          <w:t>regla</w:t>
                        </w:r>
                        <w:r>
                          <w:rPr>
                            <w:rFonts w:ascii="Constantia"/>
                            <w:spacing w:val="-17"/>
                            <w:w w:val="90"/>
                            <w:sz w:val="19"/>
                          </w:rPr>
                          <w:t> </w:t>
                        </w:r>
                        <w:r>
                          <w:rPr>
                            <w:rFonts w:ascii="Constantia"/>
                            <w:w w:val="90"/>
                            <w:sz w:val="19"/>
                          </w:rPr>
                          <w:t>fiscal)</w:t>
                        </w:r>
                      </w:p>
                    </w:tc>
                    <w:tc>
                      <w:tcPr>
                        <w:tcW w:w="1474" w:type="dxa"/>
                        <w:tcBorders>
                          <w:top w:val="single" w:sz="4" w:space="0" w:color="000000"/>
                          <w:bottom w:val="single" w:sz="4" w:space="0" w:color="000000"/>
                        </w:tcBorders>
                      </w:tcPr>
                      <w:p>
                        <w:pPr>
                          <w:pStyle w:val="TableParagraph"/>
                          <w:spacing w:before="9"/>
                          <w:ind w:left="430"/>
                          <w:jc w:val="left"/>
                          <w:rPr>
                            <w:rFonts w:ascii="Constantia"/>
                            <w:sz w:val="19"/>
                          </w:rPr>
                        </w:pPr>
                        <w:r>
                          <w:rPr>
                            <w:rFonts w:ascii="Constantia"/>
                            <w:sz w:val="19"/>
                          </w:rPr>
                          <w:t>11.1</w:t>
                        </w:r>
                      </w:p>
                    </w:tc>
                    <w:tc>
                      <w:tcPr>
                        <w:tcW w:w="2195" w:type="dxa"/>
                        <w:tcBorders>
                          <w:top w:val="single" w:sz="4" w:space="0" w:color="000000"/>
                          <w:bottom w:val="single" w:sz="4" w:space="0" w:color="000000"/>
                        </w:tcBorders>
                      </w:tcPr>
                      <w:p>
                        <w:pPr>
                          <w:pStyle w:val="TableParagraph"/>
                          <w:spacing w:before="9"/>
                          <w:ind w:left="48" w:right="33"/>
                          <w:rPr>
                            <w:rFonts w:ascii="Constantia"/>
                            <w:sz w:val="19"/>
                          </w:rPr>
                        </w:pPr>
                        <w:r>
                          <w:rPr>
                            <w:rFonts w:ascii="Constantia"/>
                            <w:sz w:val="19"/>
                          </w:rPr>
                          <w:t>1.6</w:t>
                        </w:r>
                      </w:p>
                    </w:tc>
                    <w:tc>
                      <w:tcPr>
                        <w:tcW w:w="2469" w:type="dxa"/>
                        <w:tcBorders>
                          <w:top w:val="single" w:sz="4" w:space="0" w:color="000000"/>
                          <w:bottom w:val="single" w:sz="4" w:space="0" w:color="000000"/>
                        </w:tcBorders>
                      </w:tcPr>
                      <w:p>
                        <w:pPr>
                          <w:pStyle w:val="TableParagraph"/>
                          <w:spacing w:before="9"/>
                          <w:ind w:left="39" w:right="12"/>
                          <w:rPr>
                            <w:rFonts w:ascii="Constantia"/>
                            <w:sz w:val="19"/>
                          </w:rPr>
                        </w:pPr>
                        <w:r>
                          <w:rPr>
                            <w:rFonts w:ascii="Constantia"/>
                            <w:sz w:val="19"/>
                          </w:rPr>
                          <w:t>5.2</w:t>
                        </w:r>
                      </w:p>
                    </w:tc>
                  </w:tr>
                </w:tbl>
                <w:p>
                  <w:pPr>
                    <w:pStyle w:val="BodyText"/>
                  </w:pPr>
                </w:p>
              </w:txbxContent>
            </v:textbox>
            <w10:wrap type="none"/>
          </v:shape>
        </w:pict>
      </w:r>
      <w:r>
        <w:rPr>
          <w:rFonts w:ascii="Constantia"/>
          <w:w w:val="88"/>
          <w:sz w:val="19"/>
          <w:u w:val="single"/>
        </w:rPr>
        <w:t> </w:t>
      </w:r>
      <w:r>
        <w:rPr>
          <w:rFonts w:ascii="Constantia"/>
          <w:sz w:val="19"/>
          <w:u w:val="single"/>
        </w:rPr>
        <w:tab/>
      </w:r>
      <w:r>
        <w:rPr>
          <w:rFonts w:ascii="Constantia"/>
          <w:w w:val="90"/>
          <w:sz w:val="19"/>
          <w:u w:val="single"/>
        </w:rPr>
        <w:t>gasto de</w:t>
      </w:r>
      <w:r>
        <w:rPr>
          <w:rFonts w:ascii="Constantia"/>
          <w:spacing w:val="-19"/>
          <w:w w:val="90"/>
          <w:sz w:val="19"/>
          <w:u w:val="single"/>
        </w:rPr>
        <w:t> </w:t>
      </w:r>
      <w:r>
        <w:rPr>
          <w:rFonts w:ascii="Constantia"/>
          <w:w w:val="90"/>
          <w:sz w:val="19"/>
          <w:u w:val="single"/>
        </w:rPr>
        <w:t>capital</w:t>
      </w:r>
      <w:r>
        <w:rPr>
          <w:rFonts w:ascii="Constantia"/>
          <w:sz w:val="19"/>
          <w:u w:val="single"/>
        </w:rPr>
        <w:tab/>
      </w: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spacing w:before="7"/>
        <w:rPr>
          <w:rFonts w:ascii="Constantia"/>
          <w:sz w:val="16"/>
        </w:rPr>
      </w:pPr>
    </w:p>
    <w:p>
      <w:pPr>
        <w:spacing w:line="273" w:lineRule="auto" w:before="80"/>
        <w:ind w:left="589" w:right="176" w:firstLine="35"/>
        <w:jc w:val="left"/>
        <w:rPr>
          <w:sz w:val="16"/>
        </w:rPr>
      </w:pPr>
      <w:r>
        <w:rPr>
          <w:spacing w:val="-4"/>
          <w:w w:val="90"/>
          <w:sz w:val="16"/>
        </w:rPr>
        <w:t>La </w:t>
      </w:r>
      <w:r>
        <w:rPr>
          <w:spacing w:val="-7"/>
          <w:w w:val="90"/>
          <w:sz w:val="16"/>
        </w:rPr>
        <w:t>volatilidad </w:t>
      </w:r>
      <w:r>
        <w:rPr>
          <w:spacing w:val="-3"/>
          <w:w w:val="90"/>
          <w:sz w:val="16"/>
        </w:rPr>
        <w:t>corresponde </w:t>
      </w:r>
      <w:r>
        <w:rPr>
          <w:w w:val="90"/>
          <w:sz w:val="16"/>
        </w:rPr>
        <w:t>a </w:t>
      </w:r>
      <w:r>
        <w:rPr>
          <w:spacing w:val="-7"/>
          <w:w w:val="90"/>
          <w:sz w:val="16"/>
        </w:rPr>
        <w:t>la </w:t>
      </w:r>
      <w:r>
        <w:rPr>
          <w:spacing w:val="-5"/>
          <w:w w:val="90"/>
          <w:sz w:val="16"/>
        </w:rPr>
        <w:t>desviación </w:t>
      </w:r>
      <w:r>
        <w:rPr>
          <w:spacing w:val="-4"/>
          <w:w w:val="90"/>
          <w:sz w:val="16"/>
        </w:rPr>
        <w:t>estándar, </w:t>
      </w:r>
      <w:r>
        <w:rPr>
          <w:spacing w:val="-3"/>
          <w:w w:val="90"/>
          <w:sz w:val="16"/>
        </w:rPr>
        <w:t>expresado </w:t>
      </w:r>
      <w:r>
        <w:rPr>
          <w:w w:val="90"/>
          <w:sz w:val="16"/>
        </w:rPr>
        <w:t>en </w:t>
      </w:r>
      <w:r>
        <w:rPr>
          <w:spacing w:val="-3"/>
          <w:w w:val="90"/>
          <w:sz w:val="16"/>
        </w:rPr>
        <w:t>porcentaje, </w:t>
      </w:r>
      <w:r>
        <w:rPr>
          <w:w w:val="90"/>
          <w:sz w:val="16"/>
        </w:rPr>
        <w:t>del </w:t>
      </w:r>
      <w:r>
        <w:rPr>
          <w:spacing w:val="-5"/>
          <w:w w:val="90"/>
          <w:sz w:val="16"/>
        </w:rPr>
        <w:t>componente </w:t>
      </w:r>
      <w:r>
        <w:rPr>
          <w:spacing w:val="-7"/>
          <w:w w:val="90"/>
          <w:sz w:val="16"/>
        </w:rPr>
        <w:t>irregular </w:t>
      </w:r>
      <w:r>
        <w:rPr>
          <w:w w:val="90"/>
          <w:sz w:val="16"/>
        </w:rPr>
        <w:t>para </w:t>
      </w:r>
      <w:r>
        <w:rPr>
          <w:spacing w:val="-7"/>
          <w:w w:val="90"/>
          <w:sz w:val="16"/>
        </w:rPr>
        <w:t>la </w:t>
      </w:r>
      <w:r>
        <w:rPr>
          <w:spacing w:val="-3"/>
          <w:w w:val="90"/>
          <w:sz w:val="16"/>
        </w:rPr>
        <w:t>deuda </w:t>
      </w:r>
      <w:r>
        <w:rPr>
          <w:spacing w:val="-6"/>
          <w:w w:val="90"/>
          <w:sz w:val="16"/>
        </w:rPr>
        <w:t>pública </w:t>
      </w:r>
      <w:r>
        <w:rPr>
          <w:spacing w:val="-9"/>
          <w:w w:val="90"/>
          <w:sz w:val="16"/>
        </w:rPr>
        <w:t>máxima </w:t>
      </w:r>
      <w:r>
        <w:rPr>
          <w:w w:val="90"/>
          <w:sz w:val="16"/>
        </w:rPr>
        <w:t>en 20 </w:t>
      </w:r>
      <w:r>
        <w:rPr>
          <w:spacing w:val="-6"/>
          <w:w w:val="90"/>
          <w:sz w:val="16"/>
        </w:rPr>
        <w:t>trimestres </w:t>
      </w:r>
      <w:r>
        <w:rPr>
          <w:w w:val="90"/>
          <w:sz w:val="16"/>
        </w:rPr>
        <w:t>(de </w:t>
      </w:r>
      <w:r>
        <w:rPr>
          <w:spacing w:val="-3"/>
          <w:w w:val="90"/>
          <w:sz w:val="16"/>
        </w:rPr>
        <w:t>acuerdo </w:t>
      </w:r>
      <w:r>
        <w:rPr>
          <w:w w:val="90"/>
          <w:sz w:val="16"/>
        </w:rPr>
        <w:t>con cada </w:t>
      </w:r>
      <w:r>
        <w:rPr>
          <w:spacing w:val="-7"/>
          <w:w w:val="90"/>
          <w:sz w:val="16"/>
        </w:rPr>
        <w:t>simulación).</w:t>
      </w:r>
    </w:p>
    <w:p>
      <w:pPr>
        <w:pStyle w:val="BodyText"/>
        <w:spacing w:before="10"/>
        <w:rPr>
          <w:sz w:val="21"/>
        </w:rPr>
      </w:pPr>
    </w:p>
    <w:p>
      <w:pPr>
        <w:pStyle w:val="BodyText"/>
        <w:spacing w:line="360" w:lineRule="auto" w:before="69"/>
        <w:ind w:left="102" w:right="558" w:firstLine="707"/>
        <w:jc w:val="both"/>
      </w:pPr>
      <w:r>
        <w:rPr/>
        <w:t>En consecuencia, el filtro de Christiano y Fitzgerald mostró una mejor consistencia  e intuición económica sobre los resultados. Por lo cual, los escenarios de reglas fiscales generaron menor incertidumbre sobre la deuda pública en comparación con el escenario base.</w:t>
      </w:r>
    </w:p>
    <w:p>
      <w:pPr>
        <w:pStyle w:val="BodyText"/>
        <w:spacing w:line="360" w:lineRule="auto" w:before="4"/>
        <w:ind w:left="102" w:right="560" w:firstLine="707"/>
        <w:jc w:val="both"/>
      </w:pPr>
      <w:r>
        <w:rPr/>
        <w:t>En todos los casos estimados, se apreció la consistencia de la regla basada en </w:t>
      </w:r>
      <w:r>
        <w:rPr>
          <w:i/>
        </w:rPr>
        <w:t>canalización media-baja </w:t>
      </w:r>
      <w:r>
        <w:rPr/>
        <w:t>como el mejor escenario planteado de canalizar los ingresos fiscales del gas natural al gasto de capital.</w:t>
      </w:r>
    </w:p>
    <w:p>
      <w:pPr>
        <w:pStyle w:val="BodyText"/>
        <w:spacing w:before="7"/>
        <w:rPr>
          <w:sz w:val="21"/>
        </w:rPr>
      </w:pPr>
    </w:p>
    <w:p>
      <w:pPr>
        <w:pStyle w:val="Heading4"/>
        <w:numPr>
          <w:ilvl w:val="2"/>
          <w:numId w:val="18"/>
        </w:numPr>
        <w:tabs>
          <w:tab w:pos="963" w:val="left" w:leader="none"/>
          <w:tab w:pos="964" w:val="left" w:leader="none"/>
        </w:tabs>
        <w:spacing w:line="240" w:lineRule="auto" w:before="0" w:after="0"/>
        <w:ind w:left="963" w:right="0" w:hanging="720"/>
        <w:jc w:val="left"/>
      </w:pPr>
      <w:bookmarkStart w:name="_bookmark149" w:id="202"/>
      <w:bookmarkEnd w:id="202"/>
      <w:r>
        <w:rPr>
          <w:b w:val="0"/>
        </w:rPr>
      </w:r>
      <w:bookmarkStart w:name="_bookmark149" w:id="203"/>
      <w:bookmarkEnd w:id="203"/>
      <w:r>
        <w:rPr/>
        <w:t>Diseño</w:t>
      </w:r>
      <w:r>
        <w:rPr/>
        <w:t> de una política fiscal</w:t>
      </w:r>
      <w:r>
        <w:rPr>
          <w:spacing w:val="-9"/>
        </w:rPr>
        <w:t> </w:t>
      </w:r>
      <w:r>
        <w:rPr/>
        <w:t>contracíclica</w:t>
      </w:r>
    </w:p>
    <w:p>
      <w:pPr>
        <w:pStyle w:val="BodyText"/>
        <w:rPr>
          <w:b/>
          <w:sz w:val="29"/>
        </w:rPr>
      </w:pPr>
    </w:p>
    <w:p>
      <w:pPr>
        <w:pStyle w:val="BodyText"/>
        <w:spacing w:line="360" w:lineRule="auto"/>
        <w:ind w:left="102" w:right="563" w:firstLine="707"/>
        <w:jc w:val="both"/>
      </w:pPr>
      <w:r>
        <w:rPr/>
        <w:t>La postura Keynesiana sugiere la orientación contracíclica de la política fiscal basada en la acumulación de superávit fiscales adecuados durante tiempos de auge para estimular la demanda agregada durante períodos de recesión.</w:t>
      </w:r>
    </w:p>
    <w:p>
      <w:pPr>
        <w:pStyle w:val="BodyText"/>
        <w:spacing w:line="360" w:lineRule="auto" w:before="4"/>
        <w:ind w:left="102" w:right="562" w:firstLine="707"/>
        <w:jc w:val="both"/>
      </w:pPr>
      <w:r>
        <w:rPr/>
        <w:t>Asimismo, se ha recomendado una orientación fiscal a partir del establecimiento de balances fiscales metas ajustados por el ciclo económico y para el caso de países que dependen de un recurso natural (Frankel, 2011) en función de las fluctuaciones de petróleo (gas natural).</w:t>
      </w:r>
    </w:p>
    <w:p>
      <w:pPr>
        <w:pStyle w:val="BodyText"/>
        <w:spacing w:line="360" w:lineRule="auto" w:before="4"/>
        <w:ind w:left="102" w:right="557" w:firstLine="707"/>
        <w:jc w:val="both"/>
      </w:pPr>
      <w:r>
        <w:rPr/>
        <w:t>El Balance global cíclicamente ajustado promedio para el período 2007-2011 presentó un sesgo positivo proveniente de resultados favorables obtenidos en el 2009 y  2010 (5  y 3% del  PIB real  de forma respectiva);  sin  embargo, el  promedio  señalado</w:t>
      </w:r>
      <w:r>
        <w:rPr>
          <w:spacing w:val="19"/>
        </w:rPr>
        <w:t> </w:t>
      </w:r>
      <w:r>
        <w:rPr/>
        <w:t>fue</w:t>
      </w:r>
    </w:p>
    <w:p>
      <w:pPr>
        <w:spacing w:after="0" w:line="360" w:lineRule="auto"/>
        <w:jc w:val="both"/>
        <w:sectPr>
          <w:pgSz w:w="12250" w:h="15850"/>
          <w:pgMar w:header="0" w:footer="1037" w:top="1360" w:bottom="1220" w:left="1600" w:right="1140"/>
        </w:sectPr>
      </w:pPr>
    </w:p>
    <w:p>
      <w:pPr>
        <w:pStyle w:val="BodyText"/>
        <w:spacing w:line="360" w:lineRule="auto" w:before="50"/>
        <w:ind w:left="102" w:right="127"/>
      </w:pPr>
      <w:r>
        <w:rPr/>
        <w:t>inferior frente a los diversos resultados encontrados al considerar diversas magnitudes de ingresos fiscales gasíferos que podrían canalizarse al gasto de capital (</w:t>
      </w:r>
      <w:r>
        <w:rPr>
          <w:i/>
        </w:rPr>
        <w:t>figura 4.12</w:t>
      </w:r>
      <w:r>
        <w:rPr/>
        <w:t>).</w:t>
      </w:r>
    </w:p>
    <w:p>
      <w:pPr>
        <w:pStyle w:val="BodyText"/>
        <w:spacing w:before="6"/>
      </w:pPr>
    </w:p>
    <w:p>
      <w:pPr>
        <w:pStyle w:val="BodyText"/>
        <w:spacing w:line="276" w:lineRule="auto"/>
        <w:ind w:left="3385" w:right="501" w:hanging="2895"/>
      </w:pPr>
      <w:bookmarkStart w:name="_bookmark150" w:id="204"/>
      <w:bookmarkEnd w:id="204"/>
      <w:r>
        <w:rPr/>
      </w:r>
      <w:r>
        <w:rPr/>
        <w:t>Figura 4. 12: Balance global cíclicamente ajustado (BGCA). Promedio (2012-2016) (En porcentaje del PIB)</w:t>
      </w:r>
    </w:p>
    <w:p>
      <w:pPr>
        <w:tabs>
          <w:tab w:pos="2787" w:val="left" w:leader="none"/>
        </w:tabs>
        <w:spacing w:before="138"/>
        <w:ind w:left="2190" w:right="127" w:firstLine="0"/>
        <w:jc w:val="left"/>
        <w:rPr>
          <w:rFonts w:ascii="Constantia"/>
          <w:sz w:val="19"/>
        </w:rPr>
      </w:pPr>
      <w:r>
        <w:rPr/>
        <w:pict>
          <v:group style="position:absolute;margin-left:198.704727pt;margin-top:14.866649pt;width:222.9pt;height:90.45pt;mso-position-horizontal-relative:page;mso-position-vertical-relative:paragraph;z-index:-557944" coordorigin="3974,297" coordsize="4458,1809">
            <v:shape style="position:absolute;left:4298;top:369;width:350;height:1676" type="#_x0000_t75" stroked="false">
              <v:imagedata r:id="rId321" o:title=""/>
            </v:shape>
            <v:shape style="position:absolute;left:5176;top:778;width:350;height:1267" type="#_x0000_t75" stroked="false">
              <v:imagedata r:id="rId322" o:title=""/>
            </v:shape>
            <v:shape style="position:absolute;left:6055;top:1084;width:350;height:960" type="#_x0000_t75" stroked="false">
              <v:imagedata r:id="rId323" o:title=""/>
            </v:shape>
            <v:shape style="position:absolute;left:6933;top:1258;width:350;height:787" type="#_x0000_t75" stroked="false">
              <v:imagedata r:id="rId324" o:title=""/>
            </v:shape>
            <v:shape style="position:absolute;left:7812;top:1340;width:350;height:705" type="#_x0000_t75" stroked="false">
              <v:imagedata r:id="rId325" o:title=""/>
            </v:shape>
            <v:shape style="position:absolute;left:458;top:8635;width:7441;height:2640" coordorigin="458,8635" coordsize="7441,2640" path="m4033,2040l4033,303m3980,2040l4033,2040m3980,1611l4033,1611m3980,1171l4033,1171m3980,732l4033,732m3980,303l4033,303m4033,2040l8426,2040m4033,2040l4033,2101m4912,2040l4912,2101m5790,2040l5790,2101m6669,2040l6669,2101m7547,2040l7547,2101m8426,2040l8426,2101e" filled="false" stroked="true" strokeweight=".479517pt" strokecolor="#858585">
              <v:path arrowok="t"/>
            </v:shape>
            <v:shape style="position:absolute;left:4459;top:1667;width:3559;height:51" type="#_x0000_t75" stroked="false">
              <v:imagedata r:id="rId326" o:title=""/>
            </v:shape>
            <v:shape style="position:absolute;left:5266;top:522;width:218;height:195" type="#_x0000_t202" filled="false" stroked="false">
              <v:textbox inset="0,0,0,0">
                <w:txbxContent>
                  <w:p>
                    <w:pPr>
                      <w:spacing w:line="195" w:lineRule="exact" w:before="0"/>
                      <w:ind w:left="0" w:right="-19" w:firstLine="0"/>
                      <w:jc w:val="left"/>
                      <w:rPr>
                        <w:rFonts w:ascii="Constantia"/>
                        <w:sz w:val="19"/>
                      </w:rPr>
                    </w:pPr>
                    <w:r>
                      <w:rPr>
                        <w:rFonts w:ascii="Constantia"/>
                        <w:color w:val="205868"/>
                        <w:w w:val="90"/>
                        <w:sz w:val="19"/>
                      </w:rPr>
                      <w:t>5.8</w:t>
                    </w:r>
                  </w:p>
                </w:txbxContent>
              </v:textbox>
              <w10:wrap type="none"/>
            </v:shape>
            <v:shape style="position:absolute;left:6137;top:829;width:226;height:195" type="#_x0000_t202" filled="false" stroked="false">
              <v:textbox inset="0,0,0,0">
                <w:txbxContent>
                  <w:p>
                    <w:pPr>
                      <w:spacing w:line="195" w:lineRule="exact" w:before="0"/>
                      <w:ind w:left="0" w:right="-20" w:firstLine="0"/>
                      <w:jc w:val="left"/>
                      <w:rPr>
                        <w:rFonts w:ascii="Constantia"/>
                        <w:sz w:val="19"/>
                      </w:rPr>
                    </w:pPr>
                    <w:r>
                      <w:rPr>
                        <w:rFonts w:ascii="Constantia"/>
                        <w:color w:val="205868"/>
                        <w:w w:val="90"/>
                        <w:sz w:val="19"/>
                      </w:rPr>
                      <w:t>4.4</w:t>
                    </w:r>
                  </w:p>
                </w:txbxContent>
              </v:textbox>
              <w10:wrap type="none"/>
            </v:shape>
            <v:shape style="position:absolute;left:7026;top:1007;width:219;height:195" type="#_x0000_t202" filled="false" stroked="false">
              <v:textbox inset="0,0,0,0">
                <w:txbxContent>
                  <w:p>
                    <w:pPr>
                      <w:spacing w:line="195" w:lineRule="exact" w:before="0"/>
                      <w:ind w:left="0" w:right="-16" w:firstLine="0"/>
                      <w:jc w:val="left"/>
                      <w:rPr>
                        <w:rFonts w:ascii="Constantia"/>
                        <w:sz w:val="19"/>
                      </w:rPr>
                    </w:pPr>
                    <w:r>
                      <w:rPr>
                        <w:rFonts w:ascii="Constantia"/>
                        <w:color w:val="205868"/>
                        <w:w w:val="90"/>
                        <w:sz w:val="19"/>
                      </w:rPr>
                      <w:t>3.6</w:t>
                    </w:r>
                  </w:p>
                </w:txbxContent>
              </v:textbox>
              <w10:wrap type="none"/>
            </v:shape>
            <v:shape style="position:absolute;left:7905;top:1088;width:208;height:195" type="#_x0000_t202" filled="false" stroked="false">
              <v:textbox inset="0,0,0,0">
                <w:txbxContent>
                  <w:p>
                    <w:pPr>
                      <w:spacing w:line="195" w:lineRule="exact" w:before="0"/>
                      <w:ind w:left="0" w:right="-17" w:firstLine="0"/>
                      <w:jc w:val="left"/>
                      <w:rPr>
                        <w:rFonts w:ascii="Constantia"/>
                        <w:sz w:val="19"/>
                      </w:rPr>
                    </w:pPr>
                    <w:r>
                      <w:rPr>
                        <w:rFonts w:ascii="Constantia"/>
                        <w:color w:val="205868"/>
                        <w:w w:val="90"/>
                        <w:sz w:val="19"/>
                      </w:rPr>
                      <w:t>3.2</w:t>
                    </w:r>
                  </w:p>
                </w:txbxContent>
              </v:textbox>
              <w10:wrap type="none"/>
            </v:shape>
            <v:shape style="position:absolute;left:4675;top:1470;width:202;height:195" type="#_x0000_t202" filled="false" stroked="false">
              <v:textbox inset="0,0,0,0">
                <w:txbxContent>
                  <w:p>
                    <w:pPr>
                      <w:spacing w:line="195" w:lineRule="exact" w:before="0"/>
                      <w:ind w:left="0" w:right="-18" w:firstLine="0"/>
                      <w:jc w:val="left"/>
                      <w:rPr>
                        <w:rFonts w:ascii="Constantia"/>
                        <w:b/>
                        <w:sz w:val="19"/>
                      </w:rPr>
                    </w:pPr>
                    <w:r>
                      <w:rPr>
                        <w:rFonts w:ascii="Constantia"/>
                        <w:b/>
                        <w:color w:val="0F243E"/>
                        <w:spacing w:val="-2"/>
                        <w:w w:val="90"/>
                        <w:sz w:val="19"/>
                      </w:rPr>
                      <w:t>1.6</w:t>
                    </w:r>
                  </w:p>
                </w:txbxContent>
              </v:textbox>
              <w10:wrap type="none"/>
            </v:shape>
            <w10:wrap type="none"/>
          </v:group>
        </w:pict>
      </w:r>
      <w:r>
        <w:rPr>
          <w:rFonts w:ascii="Constantia"/>
          <w:position w:val="-3"/>
          <w:sz w:val="19"/>
        </w:rPr>
        <w:t>8</w:t>
        <w:tab/>
      </w:r>
      <w:r>
        <w:rPr>
          <w:rFonts w:ascii="Constantia"/>
          <w:color w:val="205868"/>
          <w:sz w:val="19"/>
        </w:rPr>
        <w:t>7.7</w:t>
      </w:r>
    </w:p>
    <w:p>
      <w:pPr>
        <w:pStyle w:val="BodyText"/>
        <w:spacing w:before="8"/>
        <w:rPr>
          <w:rFonts w:ascii="Constantia"/>
          <w:sz w:val="16"/>
        </w:rPr>
      </w:pPr>
    </w:p>
    <w:p>
      <w:pPr>
        <w:spacing w:before="0"/>
        <w:ind w:left="2190" w:right="0" w:firstLine="0"/>
        <w:jc w:val="left"/>
        <w:rPr>
          <w:rFonts w:ascii="Constantia"/>
          <w:sz w:val="19"/>
        </w:rPr>
      </w:pPr>
      <w:r>
        <w:rPr>
          <w:rFonts w:ascii="Constantia"/>
          <w:w w:val="89"/>
          <w:sz w:val="19"/>
        </w:rPr>
        <w:t>6</w:t>
      </w:r>
    </w:p>
    <w:p>
      <w:pPr>
        <w:pStyle w:val="BodyText"/>
        <w:spacing w:before="10"/>
        <w:rPr>
          <w:rFonts w:ascii="Constantia"/>
          <w:sz w:val="16"/>
        </w:rPr>
      </w:pPr>
    </w:p>
    <w:p>
      <w:pPr>
        <w:spacing w:before="0"/>
        <w:ind w:left="2191" w:right="0" w:firstLine="0"/>
        <w:jc w:val="left"/>
        <w:rPr>
          <w:rFonts w:ascii="Constantia"/>
          <w:sz w:val="19"/>
        </w:rPr>
      </w:pPr>
      <w:r>
        <w:rPr>
          <w:rFonts w:ascii="Constantia"/>
          <w:w w:val="89"/>
          <w:sz w:val="19"/>
        </w:rPr>
        <w:t>4</w:t>
      </w:r>
    </w:p>
    <w:p>
      <w:pPr>
        <w:pStyle w:val="BodyText"/>
        <w:spacing w:before="10"/>
        <w:rPr>
          <w:rFonts w:ascii="Constantia"/>
          <w:sz w:val="16"/>
        </w:rPr>
      </w:pPr>
    </w:p>
    <w:p>
      <w:pPr>
        <w:spacing w:before="0"/>
        <w:ind w:left="2195" w:right="0" w:firstLine="0"/>
        <w:jc w:val="left"/>
        <w:rPr>
          <w:rFonts w:ascii="Constantia"/>
          <w:sz w:val="19"/>
        </w:rPr>
      </w:pPr>
      <w:r>
        <w:rPr>
          <w:rFonts w:ascii="Constantia"/>
          <w:w w:val="89"/>
          <w:sz w:val="19"/>
        </w:rPr>
        <w:t>2</w:t>
      </w:r>
    </w:p>
    <w:p>
      <w:pPr>
        <w:pStyle w:val="BodyText"/>
        <w:spacing w:before="6"/>
        <w:rPr>
          <w:rFonts w:ascii="Constantia"/>
          <w:sz w:val="11"/>
        </w:rPr>
      </w:pPr>
    </w:p>
    <w:p>
      <w:pPr>
        <w:spacing w:line="231" w:lineRule="exact" w:before="66"/>
        <w:ind w:left="2190" w:right="0" w:firstLine="0"/>
        <w:jc w:val="left"/>
        <w:rPr>
          <w:rFonts w:ascii="Constantia"/>
          <w:sz w:val="19"/>
        </w:rPr>
      </w:pPr>
      <w:r>
        <w:rPr>
          <w:rFonts w:ascii="Constantia"/>
          <w:w w:val="89"/>
          <w:sz w:val="19"/>
        </w:rPr>
        <w:t>0</w:t>
      </w:r>
    </w:p>
    <w:p>
      <w:pPr>
        <w:tabs>
          <w:tab w:pos="3398" w:val="left" w:leader="none"/>
          <w:tab w:pos="6260" w:val="left" w:leader="none"/>
        </w:tabs>
        <w:spacing w:line="194" w:lineRule="exact" w:before="0"/>
        <w:ind w:left="2743" w:right="127" w:firstLine="0"/>
        <w:jc w:val="left"/>
        <w:rPr>
          <w:rFonts w:ascii="Constantia"/>
          <w:sz w:val="16"/>
        </w:rPr>
      </w:pPr>
      <w:r>
        <w:rPr>
          <w:rFonts w:ascii="Constantia"/>
          <w:sz w:val="16"/>
        </w:rPr>
        <w:t>Baja</w:t>
        <w:tab/>
        <w:t>Media-baja </w:t>
      </w:r>
      <w:r>
        <w:rPr>
          <w:rFonts w:ascii="Constantia"/>
          <w:spacing w:val="10"/>
          <w:sz w:val="16"/>
        </w:rPr>
        <w:t> </w:t>
      </w:r>
      <w:r>
        <w:rPr>
          <w:rFonts w:ascii="Constantia"/>
          <w:sz w:val="16"/>
        </w:rPr>
        <w:t>Intermedia </w:t>
      </w:r>
      <w:r>
        <w:rPr>
          <w:rFonts w:ascii="Constantia"/>
          <w:spacing w:val="14"/>
          <w:sz w:val="16"/>
        </w:rPr>
        <w:t> </w:t>
      </w:r>
      <w:r>
        <w:rPr>
          <w:rFonts w:ascii="Constantia"/>
          <w:spacing w:val="2"/>
          <w:sz w:val="16"/>
        </w:rPr>
        <w:t>Media-alta</w:t>
        <w:tab/>
      </w:r>
      <w:r>
        <w:rPr>
          <w:rFonts w:ascii="Constantia"/>
          <w:sz w:val="16"/>
        </w:rPr>
        <w:t>Alta</w:t>
      </w:r>
    </w:p>
    <w:p>
      <w:pPr>
        <w:spacing w:line="345" w:lineRule="auto" w:before="125"/>
        <w:ind w:left="2795" w:right="1971" w:firstLine="0"/>
        <w:jc w:val="left"/>
        <w:rPr>
          <w:rFonts w:ascii="Constantia" w:hAnsi="Constantia"/>
          <w:sz w:val="16"/>
        </w:rPr>
      </w:pPr>
      <w:r>
        <w:rPr/>
        <w:drawing>
          <wp:anchor distT="0" distB="0" distL="0" distR="0" allowOverlap="1" layoutInCell="1" locked="0" behindDoc="0" simplePos="0" relativeHeight="14200">
            <wp:simplePos x="0" y="0"/>
            <wp:positionH relativeFrom="page">
              <wp:posOffset>2626652</wp:posOffset>
            </wp:positionH>
            <wp:positionV relativeFrom="paragraph">
              <wp:posOffset>116417</wp:posOffset>
            </wp:positionV>
            <wp:extent cx="147991" cy="51901"/>
            <wp:effectExtent l="0" t="0" r="0" b="0"/>
            <wp:wrapNone/>
            <wp:docPr id="83" name="image310.png" descr=""/>
            <wp:cNvGraphicFramePr>
              <a:graphicFrameLocks noChangeAspect="1"/>
            </wp:cNvGraphicFramePr>
            <a:graphic>
              <a:graphicData uri="http://schemas.openxmlformats.org/drawingml/2006/picture">
                <pic:pic>
                  <pic:nvPicPr>
                    <pic:cNvPr id="84" name="image310.png"/>
                    <pic:cNvPicPr/>
                  </pic:nvPicPr>
                  <pic:blipFill>
                    <a:blip r:embed="rId327" cstate="print"/>
                    <a:stretch>
                      <a:fillRect/>
                    </a:stretch>
                  </pic:blipFill>
                  <pic:spPr>
                    <a:xfrm>
                      <a:off x="0" y="0"/>
                      <a:ext cx="147991" cy="51901"/>
                    </a:xfrm>
                    <a:prstGeom prst="rect">
                      <a:avLst/>
                    </a:prstGeom>
                  </pic:spPr>
                </pic:pic>
              </a:graphicData>
            </a:graphic>
          </wp:anchor>
        </w:drawing>
      </w:r>
      <w:r>
        <w:rPr/>
        <w:drawing>
          <wp:anchor distT="0" distB="0" distL="0" distR="0" allowOverlap="1" layoutInCell="1" locked="0" behindDoc="1" simplePos="0" relativeHeight="267877559">
            <wp:simplePos x="0" y="0"/>
            <wp:positionH relativeFrom="page">
              <wp:posOffset>2615268</wp:posOffset>
            </wp:positionH>
            <wp:positionV relativeFrom="paragraph">
              <wp:posOffset>304561</wp:posOffset>
            </wp:positionV>
            <wp:extent cx="176451" cy="32438"/>
            <wp:effectExtent l="0" t="0" r="0" b="0"/>
            <wp:wrapNone/>
            <wp:docPr id="85" name="image311.png" descr=""/>
            <wp:cNvGraphicFramePr>
              <a:graphicFrameLocks noChangeAspect="1"/>
            </wp:cNvGraphicFramePr>
            <a:graphic>
              <a:graphicData uri="http://schemas.openxmlformats.org/drawingml/2006/picture">
                <pic:pic>
                  <pic:nvPicPr>
                    <pic:cNvPr id="86" name="image311.png"/>
                    <pic:cNvPicPr/>
                  </pic:nvPicPr>
                  <pic:blipFill>
                    <a:blip r:embed="rId328" cstate="print"/>
                    <a:stretch>
                      <a:fillRect/>
                    </a:stretch>
                  </pic:blipFill>
                  <pic:spPr>
                    <a:xfrm>
                      <a:off x="0" y="0"/>
                      <a:ext cx="176451" cy="32438"/>
                    </a:xfrm>
                    <a:prstGeom prst="rect">
                      <a:avLst/>
                    </a:prstGeom>
                  </pic:spPr>
                </pic:pic>
              </a:graphicData>
            </a:graphic>
          </wp:anchor>
        </w:drawing>
      </w:r>
      <w:r>
        <w:rPr>
          <w:rFonts w:ascii="Constantia" w:hAnsi="Constantia"/>
          <w:w w:val="90"/>
          <w:sz w:val="16"/>
        </w:rPr>
        <w:t>Magnitud de ingresos gasíferos canalizados al gasto de capital Promedio 2007-2011</w:t>
      </w:r>
    </w:p>
    <w:p>
      <w:pPr>
        <w:spacing w:before="22"/>
        <w:ind w:left="2579" w:right="127" w:firstLine="0"/>
        <w:jc w:val="left"/>
        <w:rPr>
          <w:sz w:val="20"/>
        </w:rPr>
      </w:pPr>
      <w:r>
        <w:rPr>
          <w:sz w:val="20"/>
        </w:rPr>
        <w:t>Fuente: Estimaciones propias.</w:t>
      </w:r>
    </w:p>
    <w:p>
      <w:pPr>
        <w:pStyle w:val="BodyText"/>
        <w:rPr>
          <w:sz w:val="20"/>
        </w:rPr>
      </w:pPr>
    </w:p>
    <w:p>
      <w:pPr>
        <w:pStyle w:val="BodyText"/>
        <w:spacing w:line="360" w:lineRule="auto" w:before="184"/>
        <w:ind w:left="102" w:right="114" w:firstLine="707"/>
        <w:jc w:val="both"/>
      </w:pPr>
      <w:r>
        <w:rPr/>
        <w:t>En concordancia con la </w:t>
      </w:r>
      <w:r>
        <w:rPr>
          <w:i/>
        </w:rPr>
        <w:t>figura 4.13</w:t>
      </w:r>
      <w:r>
        <w:rPr/>
        <w:t>, para el mediano plazo (hasta el 2016) se requieren ajustes fiscales en función del porcentaje que las autoridades fiscales pudieran destinar           al           gasto           de           capital:                                                        6% en      magnitud      </w:t>
      </w:r>
      <w:r>
        <w:rPr>
          <w:i/>
        </w:rPr>
        <w:t>alta      </w:t>
      </w:r>
      <w:r>
        <w:rPr/>
        <w:t>de      ingresos      fiscales      gasíferos                                      ;  6  %                                                                                   canalización </w:t>
      </w:r>
      <w:r>
        <w:rPr>
          <w:i/>
        </w:rPr>
        <w:t>media-baja </w:t>
      </w:r>
      <w:r>
        <w:rPr/>
        <w:t>de ingresos fiscales del gas natural, canalizados al gasto del capital, se requiere un ajuste del 4.2% del balance global cíclicamente ajustado en torno al</w:t>
      </w:r>
      <w:r>
        <w:rPr>
          <w:spacing w:val="19"/>
        </w:rPr>
        <w:t> </w:t>
      </w:r>
      <w:r>
        <w:rPr/>
        <w:t>PIB </w:t>
      </w:r>
      <w:r>
        <w:rPr>
          <w:spacing w:val="2"/>
        </w:rPr>
        <w:t> </w:t>
      </w:r>
      <w:r>
        <w:rPr>
          <w:w w:val="155"/>
        </w:rPr>
        <w:t>  </w:t>
      </w:r>
      <w:r>
        <w:rPr>
          <w:spacing w:val="2"/>
        </w:rPr>
        <w:t> </w:t>
      </w:r>
      <w:r>
        <w:rPr>
          <w:spacing w:val="-1"/>
          <w:w w:val="177"/>
        </w:rPr>
        <w:t> </w:t>
      </w:r>
      <w:r>
        <w:rPr>
          <w:w w:val="188"/>
        </w:rPr>
        <w:t> </w:t>
      </w:r>
      <w:r>
        <w:rPr>
          <w:spacing w:val="-1"/>
          <w:w w:val="188"/>
        </w:rPr>
        <w:t> </w:t>
      </w:r>
      <w:r>
        <w:rPr>
          <w:w w:val="111"/>
        </w:rPr>
        <w:t> </w:t>
      </w:r>
      <w:r>
        <w:rPr>
          <w:spacing w:val="2"/>
        </w:rPr>
        <w:t> </w:t>
      </w:r>
      <w:r>
        <w:rPr>
          <w:spacing w:val="2"/>
          <w:w w:val="155"/>
        </w:rPr>
        <w:t> </w:t>
      </w:r>
      <w:r>
        <w:rPr>
          <w:w w:val="177"/>
        </w:rPr>
        <w:t> </w:t>
      </w:r>
      <w:r>
        <w:rPr>
          <w:spacing w:val="1"/>
        </w:rPr>
        <w:t> </w:t>
      </w:r>
      <w:r>
        <w:rPr>
          <w:spacing w:val="2"/>
          <w:w w:val="111"/>
        </w:rPr>
        <w:t> </w:t>
      </w:r>
      <w:r>
        <w:rPr>
          <w:w w:val="155"/>
        </w:rPr>
        <w:t>   </w:t>
      </w:r>
      <w:r>
        <w:rPr>
          <w:spacing w:val="-2"/>
          <w:w w:val="155"/>
        </w:rPr>
        <w:t> </w:t>
      </w:r>
      <w:r>
        <w:rPr>
          <w:w w:val="166"/>
        </w:rPr>
        <w:t> </w:t>
      </w:r>
      <w:r>
        <w:rPr>
          <w:spacing w:val="-1"/>
          <w:w w:val="166"/>
        </w:rPr>
        <w:t> </w:t>
      </w:r>
      <w:r>
        <w:rPr>
          <w:spacing w:val="-1"/>
          <w:w w:val="177"/>
        </w:rPr>
        <w:t> </w:t>
      </w:r>
      <w:r>
        <w:rPr>
          <w:w w:val="144"/>
        </w:rPr>
        <w:t>  </w:t>
      </w:r>
      <w:r>
        <w:rPr>
          <w:spacing w:val="3"/>
        </w:rPr>
        <w:t> </w:t>
      </w:r>
      <w:r>
        <w:rPr>
          <w:spacing w:val="-1"/>
          <w:w w:val="177"/>
        </w:rPr>
        <w:t> </w:t>
      </w:r>
      <w:r>
        <w:rPr>
          <w:w w:val="237"/>
        </w:rPr>
        <w:t>   </w:t>
      </w:r>
      <w:r>
        <w:rPr>
          <w:spacing w:val="5"/>
        </w:rPr>
        <w:t> </w:t>
      </w:r>
      <w:r>
        <w:rPr>
          <w:spacing w:val="-1"/>
          <w:w w:val="177"/>
        </w:rPr>
        <w:t> </w:t>
      </w:r>
      <w:r>
        <w:rPr>
          <w:w w:val="111"/>
        </w:rPr>
        <w:t> </w:t>
      </w:r>
    </w:p>
    <w:p>
      <w:pPr>
        <w:pStyle w:val="BodyText"/>
        <w:spacing w:before="6"/>
        <w:ind w:left="102"/>
      </w:pPr>
      <w:r>
        <w:rPr>
          <w:w w:val="155"/>
        </w:rPr>
        <w:t>   </w:t>
      </w:r>
      <w:r>
        <w:rPr>
          <w:spacing w:val="-2"/>
          <w:w w:val="155"/>
        </w:rPr>
        <w:t> </w:t>
      </w:r>
      <w:r>
        <w:rPr>
          <w:spacing w:val="-1"/>
          <w:w w:val="177"/>
        </w:rPr>
        <w:t> </w:t>
      </w:r>
      <w:r>
        <w:rPr>
          <w:w w:val="200"/>
        </w:rPr>
        <w:t>     </w:t>
      </w:r>
      <w:r>
        <w:rPr>
          <w:spacing w:val="9"/>
        </w:rPr>
        <w:t> </w:t>
      </w:r>
      <w:r>
        <w:rPr>
          <w:w w:val="155"/>
        </w:rPr>
        <w:t> </w:t>
      </w:r>
      <w:r>
        <w:rPr>
          <w:spacing w:val="-2"/>
          <w:w w:val="155"/>
        </w:rPr>
        <w:t> </w:t>
      </w:r>
      <w:r>
        <w:rPr>
          <w:w w:val="192"/>
        </w:rPr>
        <w:t>  </w:t>
      </w:r>
      <w:r>
        <w:rPr>
          <w:spacing w:val="1"/>
          <w:w w:val="192"/>
        </w:rPr>
        <w:t> </w:t>
      </w:r>
      <w:r>
        <w:rPr>
          <w:w w:val="161"/>
        </w:rPr>
        <w:t>    </w:t>
      </w:r>
      <w:r>
        <w:rPr>
          <w:spacing w:val="9"/>
        </w:rPr>
        <w:t> </w:t>
      </w:r>
      <w:r>
        <w:rPr>
          <w:w w:val="188"/>
        </w:rPr>
        <w:t>  </w:t>
      </w:r>
      <w:r>
        <w:rPr>
          <w:spacing w:val="8"/>
        </w:rPr>
        <w:t> </w:t>
      </w:r>
      <w:r>
        <w:rPr>
          <w:w w:val="173"/>
        </w:rPr>
        <w:t>    </w:t>
      </w:r>
      <w:r>
        <w:rPr>
          <w:spacing w:val="-2"/>
          <w:w w:val="173"/>
        </w:rPr>
        <w:t> </w:t>
      </w:r>
      <w:r>
        <w:rPr>
          <w:spacing w:val="-1"/>
          <w:w w:val="177"/>
        </w:rPr>
        <w:t> </w:t>
      </w:r>
      <w:r>
        <w:rPr>
          <w:w w:val="140"/>
        </w:rPr>
        <w:t>   </w:t>
      </w:r>
      <w:r>
        <w:rPr>
          <w:spacing w:val="10"/>
        </w:rPr>
        <w:t> </w:t>
      </w:r>
      <w:r>
        <w:rPr>
          <w:w w:val="144"/>
        </w:rPr>
        <w:t>   </w:t>
      </w:r>
      <w:r>
        <w:rPr>
          <w:spacing w:val="-1"/>
          <w:w w:val="144"/>
        </w:rPr>
        <w:t> </w:t>
      </w:r>
      <w:r>
        <w:rPr>
          <w:spacing w:val="-1"/>
          <w:w w:val="177"/>
        </w:rPr>
        <w:t> </w:t>
      </w:r>
      <w:r>
        <w:rPr>
          <w:w w:val="111"/>
        </w:rPr>
        <w:t> </w:t>
      </w:r>
      <w:r>
        <w:rPr/>
        <w:t> </w:t>
      </w:r>
      <w:r>
        <w:rPr>
          <w:w w:val="1"/>
        </w:rPr>
        <w:t> </w:t>
      </w:r>
      <w:r>
        <w:rPr/>
        <w:t> </w:t>
      </w:r>
      <w:r>
        <w:rPr>
          <w:spacing w:val="19"/>
        </w:rPr>
        <w:t> </w:t>
      </w:r>
      <w:r>
        <w:rPr>
          <w:spacing w:val="-1"/>
          <w:w w:val="177"/>
        </w:rPr>
        <w:t> </w:t>
      </w:r>
      <w:r>
        <w:rPr>
          <w:w w:val="144"/>
        </w:rPr>
        <w:t>    </w:t>
      </w:r>
      <w:r>
        <w:rPr>
          <w:spacing w:val="-1"/>
          <w:w w:val="177"/>
        </w:rPr>
        <w:t> </w:t>
      </w:r>
      <w:r>
        <w:rPr>
          <w:w w:val="200"/>
        </w:rPr>
        <w:t>  </w:t>
      </w:r>
      <w:r>
        <w:rPr>
          <w:spacing w:val="9"/>
        </w:rPr>
        <w:t> </w:t>
      </w:r>
      <w:r>
        <w:rPr>
          <w:spacing w:val="-1"/>
          <w:w w:val="177"/>
        </w:rPr>
        <w:t> </w:t>
      </w:r>
      <w:r>
        <w:rPr>
          <w:w w:val="111"/>
        </w:rPr>
        <w:t> </w:t>
      </w:r>
      <w:r>
        <w:rPr>
          <w:spacing w:val="9"/>
        </w:rPr>
        <w:t> </w:t>
      </w:r>
      <w:r>
        <w:rPr>
          <w:spacing w:val="-1"/>
          <w:w w:val="177"/>
        </w:rPr>
        <w:t> </w:t>
      </w:r>
      <w:r>
        <w:rPr>
          <w:w w:val="150"/>
        </w:rPr>
        <w:t>    </w:t>
      </w:r>
      <w:r>
        <w:rPr>
          <w:spacing w:val="9"/>
        </w:rPr>
        <w:t> </w:t>
      </w:r>
      <w:r>
        <w:rPr>
          <w:spacing w:val="-1"/>
          <w:w w:val="177"/>
        </w:rPr>
        <w:t>  </w:t>
      </w:r>
      <w:r>
        <w:rPr>
          <w:w w:val="204"/>
        </w:rPr>
        <w:t>     </w:t>
      </w:r>
      <w:r>
        <w:rPr>
          <w:spacing w:val="-1"/>
          <w:w w:val="177"/>
        </w:rPr>
        <w:t> </w:t>
      </w:r>
      <w:r>
        <w:rPr>
          <w:w w:val="200"/>
        </w:rPr>
        <w:t> </w:t>
      </w:r>
      <w:r>
        <w:rPr>
          <w:spacing w:val="11"/>
        </w:rPr>
        <w:t> </w:t>
      </w:r>
      <w:r>
        <w:rPr>
          <w:w w:val="200"/>
        </w:rPr>
        <w:t> </w:t>
      </w:r>
      <w:r>
        <w:rPr>
          <w:spacing w:val="2"/>
        </w:rPr>
        <w:t> </w:t>
      </w:r>
      <w:r>
        <w:rPr>
          <w:w w:val="177"/>
        </w:rPr>
        <w:t> </w:t>
      </w:r>
      <w:r>
        <w:rPr>
          <w:spacing w:val="10"/>
        </w:rPr>
        <w:t> </w:t>
      </w:r>
      <w:r>
        <w:rPr>
          <w:w w:val="148"/>
        </w:rPr>
        <w:t>   </w:t>
      </w:r>
      <w:r>
        <w:rPr>
          <w:spacing w:val="9"/>
        </w:rPr>
        <w:t> </w:t>
      </w:r>
      <w:r>
        <w:rPr>
          <w:w w:val="155"/>
        </w:rPr>
        <w:t>   </w:t>
      </w:r>
      <w:r>
        <w:rPr>
          <w:spacing w:val="-2"/>
          <w:w w:val="155"/>
        </w:rPr>
        <w:t> </w:t>
      </w:r>
      <w:r>
        <w:rPr>
          <w:w w:val="166"/>
        </w:rPr>
        <w:t>   </w:t>
      </w:r>
      <w:r>
        <w:rPr>
          <w:spacing w:val="-2"/>
          <w:w w:val="166"/>
        </w:rPr>
        <w:t> </w:t>
      </w:r>
      <w:r>
        <w:rPr>
          <w:w w:val="168"/>
        </w:rPr>
        <w:t>     </w:t>
      </w:r>
    </w:p>
    <w:p>
      <w:pPr>
        <w:pStyle w:val="BodyText"/>
        <w:spacing w:before="137"/>
        <w:ind w:left="102"/>
      </w:pPr>
      <w:r>
        <w:rPr>
          <w:w w:val="188"/>
        </w:rPr>
        <w:t> </w:t>
      </w:r>
      <w:r>
        <w:rPr>
          <w:spacing w:val="-1"/>
          <w:w w:val="188"/>
        </w:rPr>
        <w:t> </w:t>
      </w:r>
      <w:r>
        <w:rPr>
          <w:w w:val="111"/>
        </w:rPr>
        <w:t> </w:t>
      </w:r>
      <w:r>
        <w:rPr/>
        <w:t> </w:t>
      </w:r>
      <w:r>
        <w:rPr>
          <w:w w:val="170"/>
        </w:rPr>
        <w:t>  </w:t>
      </w:r>
      <w:r>
        <w:rPr>
          <w:spacing w:val="-2"/>
          <w:w w:val="170"/>
        </w:rPr>
        <w:t> </w:t>
      </w:r>
      <w:r>
        <w:rPr>
          <w:spacing w:val="-1"/>
          <w:w w:val="177"/>
        </w:rPr>
        <w:t> </w:t>
      </w:r>
      <w:r>
        <w:rPr>
          <w:w w:val="155"/>
        </w:rPr>
        <w:t>  </w:t>
      </w:r>
      <w:r>
        <w:rPr/>
        <w:t> </w:t>
      </w:r>
      <w:r>
        <w:rPr>
          <w:w w:val="162"/>
        </w:rPr>
        <w:t>   </w:t>
      </w:r>
      <w:r>
        <w:rPr>
          <w:spacing w:val="2"/>
        </w:rPr>
        <w:t> </w:t>
      </w:r>
      <w:r>
        <w:rPr>
          <w:w w:val="188"/>
        </w:rPr>
        <w:t> </w:t>
      </w:r>
      <w:r>
        <w:rPr>
          <w:spacing w:val="-1"/>
          <w:w w:val="188"/>
        </w:rPr>
        <w:t> </w:t>
      </w:r>
      <w:r>
        <w:rPr>
          <w:w w:val="155"/>
        </w:rPr>
        <w:t> </w:t>
      </w:r>
      <w:r>
        <w:rPr/>
        <w:t> </w:t>
      </w:r>
      <w:r>
        <w:rPr>
          <w:w w:val="164"/>
        </w:rPr>
        <w:t>    </w:t>
      </w:r>
      <w:r>
        <w:rPr>
          <w:spacing w:val="-1"/>
          <w:w w:val="164"/>
        </w:rPr>
        <w:t> </w:t>
      </w:r>
      <w:r>
        <w:rPr>
          <w:spacing w:val="-1"/>
          <w:w w:val="177"/>
        </w:rPr>
        <w:t> </w:t>
      </w:r>
      <w:r>
        <w:rPr>
          <w:w w:val="111"/>
        </w:rPr>
        <w:t> </w:t>
      </w:r>
      <w:r>
        <w:rPr>
          <w:spacing w:val="2"/>
        </w:rPr>
        <w:t> </w:t>
      </w:r>
      <w:r>
        <w:rPr>
          <w:w w:val="1"/>
        </w:rPr>
        <w:t> </w:t>
      </w:r>
      <w:r>
        <w:rPr/>
        <w:t>   </w:t>
      </w:r>
      <w:r>
        <w:rPr>
          <w:w w:val="188"/>
        </w:rPr>
        <w:t> </w:t>
      </w:r>
      <w:r>
        <w:rPr>
          <w:spacing w:val="-1"/>
          <w:w w:val="188"/>
        </w:rPr>
        <w:t> </w:t>
      </w:r>
      <w:r>
        <w:rPr>
          <w:w w:val="155"/>
        </w:rPr>
        <w:t>  </w:t>
      </w:r>
      <w:r>
        <w:rPr>
          <w:spacing w:val="-2"/>
        </w:rPr>
        <w:t> </w:t>
      </w:r>
      <w:r>
        <w:rPr>
          <w:spacing w:val="-1"/>
          <w:w w:val="177"/>
        </w:rPr>
        <w:t> </w:t>
      </w:r>
      <w:r>
        <w:rPr>
          <w:w w:val="111"/>
        </w:rPr>
        <w:t> </w:t>
      </w:r>
      <w:r>
        <w:rPr/>
        <w:t> </w:t>
      </w:r>
      <w:r>
        <w:rPr>
          <w:w w:val="311"/>
        </w:rPr>
        <w:t> </w:t>
      </w:r>
      <w:r>
        <w:rPr>
          <w:spacing w:val="-1"/>
          <w:w w:val="177"/>
        </w:rPr>
        <w:t> </w:t>
      </w:r>
      <w:r>
        <w:rPr>
          <w:w w:val="155"/>
        </w:rPr>
        <w:t> </w:t>
      </w:r>
      <w:r>
        <w:rPr>
          <w:spacing w:val="2"/>
          <w:w w:val="155"/>
        </w:rPr>
        <w:t> </w:t>
      </w:r>
      <w:r>
        <w:rPr>
          <w:spacing w:val="-1"/>
          <w:w w:val="177"/>
        </w:rPr>
        <w:t> </w:t>
      </w:r>
      <w:r>
        <w:rPr>
          <w:w w:val="200"/>
        </w:rPr>
        <w:t>  </w:t>
      </w:r>
      <w:r>
        <w:rPr/>
        <w:t> </w:t>
      </w:r>
      <w:r>
        <w:rPr>
          <w:w w:val="166"/>
        </w:rPr>
        <w:t>    </w:t>
      </w:r>
      <w:r>
        <w:rPr>
          <w:w w:val="150"/>
        </w:rPr>
        <w:t>  </w:t>
      </w:r>
    </w:p>
    <w:p>
      <w:pPr>
        <w:spacing w:after="0"/>
        <w:sectPr>
          <w:pgSz w:w="12250" w:h="15850"/>
          <w:pgMar w:header="0" w:footer="1037" w:top="1360" w:bottom="1220" w:left="1600" w:right="1580"/>
        </w:sectPr>
      </w:pPr>
    </w:p>
    <w:p>
      <w:pPr>
        <w:pStyle w:val="BodyText"/>
        <w:spacing w:line="276" w:lineRule="auto" w:before="50"/>
        <w:ind w:left="1327" w:right="1351"/>
        <w:jc w:val="center"/>
      </w:pPr>
      <w:bookmarkStart w:name="_bookmark151" w:id="205"/>
      <w:bookmarkEnd w:id="205"/>
      <w:r>
        <w:rPr/>
      </w:r>
      <w:r>
        <w:rPr/>
        <w:t>Figura 4. 13: Ajuste fiscal requerido para el BGCA hasta el 2016 Con relación al promedio 2007-2011</w:t>
      </w:r>
    </w:p>
    <w:p>
      <w:pPr>
        <w:pStyle w:val="BodyText"/>
        <w:spacing w:before="99"/>
        <w:ind w:right="17"/>
        <w:jc w:val="center"/>
      </w:pPr>
      <w:r>
        <w:rPr/>
        <w:t>(En porcentaje del PIB)</w:t>
      </w:r>
    </w:p>
    <w:p>
      <w:pPr>
        <w:pStyle w:val="BodyText"/>
        <w:spacing w:before="2"/>
        <w:rPr>
          <w:sz w:val="13"/>
        </w:rPr>
      </w:pPr>
    </w:p>
    <w:p>
      <w:pPr>
        <w:spacing w:before="61"/>
        <w:ind w:left="2196" w:right="0" w:firstLine="0"/>
        <w:jc w:val="left"/>
        <w:rPr>
          <w:rFonts w:ascii="Constantia"/>
          <w:sz w:val="20"/>
        </w:rPr>
      </w:pPr>
      <w:r>
        <w:rPr/>
        <w:pict>
          <v:group style="position:absolute;margin-left:200.307297pt;margin-top:9.539224pt;width:226.7pt;height:83.4pt;mso-position-horizontal-relative:page;mso-position-vertical-relative:paragraph;z-index:14368" coordorigin="4006,191" coordsize="4534,1668">
            <v:shape style="position:absolute;left:4344;top:592;width:358;height:1203" type="#_x0000_t75" stroked="false">
              <v:imagedata r:id="rId329" o:title=""/>
            </v:shape>
            <v:shape style="position:absolute;left:5234;top:961;width:358;height:834" type="#_x0000_t75" stroked="false">
              <v:imagedata r:id="rId330" o:title=""/>
            </v:shape>
            <v:shape style="position:absolute;left:6124;top:1235;width:358;height:559" type="#_x0000_t75" stroked="false">
              <v:imagedata r:id="rId331" o:title=""/>
            </v:shape>
            <v:shape style="position:absolute;left:7014;top:1404;width:358;height:390" type="#_x0000_t75" stroked="false">
              <v:imagedata r:id="rId332" o:title=""/>
            </v:shape>
            <v:shape style="position:absolute;left:7905;top:1478;width:358;height:317" type="#_x0000_t75" stroked="false">
              <v:imagedata r:id="rId333" o:title=""/>
            </v:shape>
            <v:shape style="position:absolute;left:458;top:9587;width:6631;height:2355" coordorigin="458,9587" coordsize="6631,2355" path="m4073,1789l4073,196m4012,1789l4073,1789m4012,1388l4073,1388m4012,998l4073,998m4012,597l4073,597m4012,196l4073,196m4073,1789l8534,1789m4073,1789l4073,1853m4973,1789l4973,1853m5864,1789l5864,1853m6754,1789l6754,1853m7644,1789l7644,1853m8534,1789l8534,1853e" filled="false" stroked="true" strokeweight=".519543pt" strokecolor="#858585">
              <v:path arrowok="t"/>
            </v:shape>
            <v:shape style="position:absolute;left:4416;top:325;width:259;height:202" type="#_x0000_t202" filled="false" stroked="false">
              <v:textbox inset="0,0,0,0">
                <w:txbxContent>
                  <w:p>
                    <w:pPr>
                      <w:spacing w:line="201" w:lineRule="exact" w:before="0"/>
                      <w:ind w:left="0" w:right="-15" w:firstLine="0"/>
                      <w:jc w:val="left"/>
                      <w:rPr>
                        <w:rFonts w:ascii="Constantia"/>
                        <w:sz w:val="20"/>
                      </w:rPr>
                    </w:pPr>
                    <w:r>
                      <w:rPr>
                        <w:rFonts w:ascii="Constantia"/>
                        <w:color w:val="205868"/>
                        <w:w w:val="95"/>
                        <w:sz w:val="20"/>
                      </w:rPr>
                      <w:t>6.0</w:t>
                    </w:r>
                  </w:p>
                </w:txbxContent>
              </v:textbox>
              <w10:wrap type="none"/>
            </v:shape>
            <v:shape style="position:absolute;left:5309;top:697;width:248;height:202" type="#_x0000_t202" filled="false" stroked="false">
              <v:textbox inset="0,0,0,0">
                <w:txbxContent>
                  <w:p>
                    <w:pPr>
                      <w:spacing w:line="201" w:lineRule="exact" w:before="0"/>
                      <w:ind w:left="0" w:right="-14" w:firstLine="0"/>
                      <w:jc w:val="left"/>
                      <w:rPr>
                        <w:rFonts w:ascii="Constantia"/>
                        <w:sz w:val="20"/>
                      </w:rPr>
                    </w:pPr>
                    <w:r>
                      <w:rPr>
                        <w:rFonts w:ascii="Constantia"/>
                        <w:color w:val="205868"/>
                        <w:w w:val="95"/>
                        <w:sz w:val="20"/>
                      </w:rPr>
                      <w:t>4.2</w:t>
                    </w:r>
                  </w:p>
                </w:txbxContent>
              </v:textbox>
              <w10:wrap type="none"/>
            </v:shape>
            <v:shape style="position:absolute;left:6202;top:978;width:249;height:202" type="#_x0000_t202" filled="false" stroked="false">
              <v:textbox inset="0,0,0,0">
                <w:txbxContent>
                  <w:p>
                    <w:pPr>
                      <w:spacing w:line="201" w:lineRule="exact" w:before="0"/>
                      <w:ind w:left="0" w:right="-14" w:firstLine="0"/>
                      <w:jc w:val="left"/>
                      <w:rPr>
                        <w:rFonts w:ascii="Constantia"/>
                        <w:sz w:val="20"/>
                      </w:rPr>
                    </w:pPr>
                    <w:r>
                      <w:rPr>
                        <w:rFonts w:ascii="Constantia"/>
                        <w:color w:val="205868"/>
                        <w:w w:val="95"/>
                        <w:sz w:val="20"/>
                      </w:rPr>
                      <w:t>2.8</w:t>
                    </w:r>
                  </w:p>
                </w:txbxContent>
              </v:textbox>
              <w10:wrap type="none"/>
            </v:shape>
            <v:shape style="position:absolute;left:7095;top:1142;width:249;height:202" type="#_x0000_t202" filled="false" stroked="false">
              <v:textbox inset="0,0,0,0">
                <w:txbxContent>
                  <w:p>
                    <w:pPr>
                      <w:spacing w:line="201" w:lineRule="exact" w:before="0"/>
                      <w:ind w:left="0" w:right="-14" w:firstLine="0"/>
                      <w:jc w:val="left"/>
                      <w:rPr>
                        <w:rFonts w:ascii="Constantia"/>
                        <w:sz w:val="20"/>
                      </w:rPr>
                    </w:pPr>
                    <w:r>
                      <w:rPr>
                        <w:rFonts w:ascii="Constantia"/>
                        <w:color w:val="205868"/>
                        <w:w w:val="95"/>
                        <w:sz w:val="20"/>
                      </w:rPr>
                      <w:t>2.0</w:t>
                    </w:r>
                  </w:p>
                </w:txbxContent>
              </v:textbox>
              <w10:wrap type="none"/>
            </v:shape>
            <v:shape style="position:absolute;left:8009;top:1216;width:218;height:202" type="#_x0000_t202" filled="false" stroked="false">
              <v:textbox inset="0,0,0,0">
                <w:txbxContent>
                  <w:p>
                    <w:pPr>
                      <w:spacing w:line="201" w:lineRule="exact" w:before="0"/>
                      <w:ind w:left="0" w:right="-13" w:firstLine="0"/>
                      <w:jc w:val="left"/>
                      <w:rPr>
                        <w:rFonts w:ascii="Constantia"/>
                        <w:sz w:val="20"/>
                      </w:rPr>
                    </w:pPr>
                    <w:r>
                      <w:rPr>
                        <w:rFonts w:ascii="Constantia"/>
                        <w:color w:val="205868"/>
                        <w:w w:val="95"/>
                        <w:sz w:val="20"/>
                      </w:rPr>
                      <w:t>1.6</w:t>
                    </w:r>
                  </w:p>
                </w:txbxContent>
              </v:textbox>
              <w10:wrap type="none"/>
            </v:shape>
            <w10:wrap type="none"/>
          </v:group>
        </w:pict>
      </w:r>
      <w:r>
        <w:rPr>
          <w:rFonts w:ascii="Constantia"/>
          <w:w w:val="97"/>
          <w:sz w:val="20"/>
        </w:rPr>
        <w:t>8</w:t>
      </w:r>
    </w:p>
    <w:p>
      <w:pPr>
        <w:spacing w:before="158"/>
        <w:ind w:left="2196" w:right="0" w:firstLine="0"/>
        <w:jc w:val="left"/>
        <w:rPr>
          <w:rFonts w:ascii="Constantia"/>
          <w:sz w:val="20"/>
        </w:rPr>
      </w:pPr>
      <w:r>
        <w:rPr>
          <w:rFonts w:ascii="Constantia"/>
          <w:w w:val="97"/>
          <w:sz w:val="20"/>
        </w:rPr>
        <w:t>6</w:t>
      </w:r>
    </w:p>
    <w:p>
      <w:pPr>
        <w:spacing w:before="158"/>
        <w:ind w:left="2197" w:right="0" w:firstLine="0"/>
        <w:jc w:val="left"/>
        <w:rPr>
          <w:rFonts w:ascii="Constantia"/>
          <w:sz w:val="20"/>
        </w:rPr>
      </w:pPr>
      <w:r>
        <w:rPr>
          <w:rFonts w:ascii="Constantia"/>
          <w:w w:val="97"/>
          <w:sz w:val="20"/>
        </w:rPr>
        <w:t>4</w:t>
      </w:r>
    </w:p>
    <w:p>
      <w:pPr>
        <w:spacing w:before="158"/>
        <w:ind w:left="2201" w:right="0" w:firstLine="0"/>
        <w:jc w:val="left"/>
        <w:rPr>
          <w:rFonts w:ascii="Constantia"/>
          <w:sz w:val="20"/>
        </w:rPr>
      </w:pPr>
      <w:r>
        <w:rPr>
          <w:rFonts w:ascii="Constantia"/>
          <w:w w:val="97"/>
          <w:sz w:val="20"/>
        </w:rPr>
        <w:t>2</w:t>
      </w:r>
    </w:p>
    <w:p>
      <w:pPr>
        <w:spacing w:line="240" w:lineRule="exact" w:before="158"/>
        <w:ind w:left="2196" w:right="0" w:firstLine="0"/>
        <w:jc w:val="left"/>
        <w:rPr>
          <w:rFonts w:ascii="Constantia"/>
          <w:sz w:val="20"/>
        </w:rPr>
      </w:pPr>
      <w:r>
        <w:rPr>
          <w:rFonts w:ascii="Constantia"/>
          <w:w w:val="97"/>
          <w:sz w:val="20"/>
        </w:rPr>
        <w:t>0</w:t>
      </w:r>
    </w:p>
    <w:p>
      <w:pPr>
        <w:tabs>
          <w:tab w:pos="3401" w:val="left" w:leader="none"/>
          <w:tab w:pos="6337" w:val="left" w:leader="none"/>
        </w:tabs>
        <w:spacing w:line="203" w:lineRule="exact" w:before="0"/>
        <w:ind w:left="2791" w:right="127" w:hanging="26"/>
        <w:jc w:val="left"/>
        <w:rPr>
          <w:rFonts w:ascii="Constantia"/>
          <w:sz w:val="17"/>
        </w:rPr>
      </w:pPr>
      <w:r>
        <w:rPr>
          <w:rFonts w:ascii="Constantia"/>
          <w:sz w:val="17"/>
        </w:rPr>
        <w:t>Baja</w:t>
        <w:tab/>
        <w:t>Media-baja</w:t>
      </w:r>
      <w:r>
        <w:rPr>
          <w:rFonts w:ascii="Constantia"/>
          <w:spacing w:val="25"/>
          <w:sz w:val="17"/>
        </w:rPr>
        <w:t> </w:t>
      </w:r>
      <w:r>
        <w:rPr>
          <w:rFonts w:ascii="Constantia"/>
          <w:sz w:val="17"/>
        </w:rPr>
        <w:t>Intermedia</w:t>
      </w:r>
      <w:r>
        <w:rPr>
          <w:rFonts w:ascii="Constantia"/>
          <w:spacing w:val="40"/>
          <w:sz w:val="17"/>
        </w:rPr>
        <w:t> </w:t>
      </w:r>
      <w:r>
        <w:rPr>
          <w:rFonts w:ascii="Constantia"/>
          <w:spacing w:val="2"/>
          <w:sz w:val="17"/>
        </w:rPr>
        <w:t>Media-alta</w:t>
        <w:tab/>
      </w:r>
      <w:r>
        <w:rPr>
          <w:rFonts w:ascii="Constantia"/>
          <w:sz w:val="17"/>
        </w:rPr>
        <w:t>Alta</w:t>
      </w:r>
    </w:p>
    <w:p>
      <w:pPr>
        <w:spacing w:line="244" w:lineRule="auto" w:before="123"/>
        <w:ind w:left="2791" w:right="1971" w:firstLine="0"/>
        <w:jc w:val="left"/>
        <w:rPr>
          <w:rFonts w:ascii="Constantia" w:hAnsi="Constantia"/>
          <w:sz w:val="17"/>
        </w:rPr>
      </w:pPr>
      <w:r>
        <w:rPr/>
        <w:drawing>
          <wp:anchor distT="0" distB="0" distL="0" distR="0" allowOverlap="1" layoutInCell="1" locked="0" behindDoc="0" simplePos="0" relativeHeight="14392">
            <wp:simplePos x="0" y="0"/>
            <wp:positionH relativeFrom="page">
              <wp:posOffset>2706564</wp:posOffset>
            </wp:positionH>
            <wp:positionV relativeFrom="paragraph">
              <wp:posOffset>119251</wp:posOffset>
            </wp:positionV>
            <wp:extent cx="58470" cy="53597"/>
            <wp:effectExtent l="0" t="0" r="0" b="0"/>
            <wp:wrapNone/>
            <wp:docPr id="87" name="image251.png" descr=""/>
            <wp:cNvGraphicFramePr>
              <a:graphicFrameLocks noChangeAspect="1"/>
            </wp:cNvGraphicFramePr>
            <a:graphic>
              <a:graphicData uri="http://schemas.openxmlformats.org/drawingml/2006/picture">
                <pic:pic>
                  <pic:nvPicPr>
                    <pic:cNvPr id="88" name="image251.png"/>
                    <pic:cNvPicPr/>
                  </pic:nvPicPr>
                  <pic:blipFill>
                    <a:blip r:embed="rId267" cstate="print"/>
                    <a:stretch>
                      <a:fillRect/>
                    </a:stretch>
                  </pic:blipFill>
                  <pic:spPr>
                    <a:xfrm>
                      <a:off x="0" y="0"/>
                      <a:ext cx="58470" cy="53597"/>
                    </a:xfrm>
                    <a:prstGeom prst="rect">
                      <a:avLst/>
                    </a:prstGeom>
                  </pic:spPr>
                </pic:pic>
              </a:graphicData>
            </a:graphic>
          </wp:anchor>
        </w:drawing>
      </w:r>
      <w:r>
        <w:rPr>
          <w:rFonts w:ascii="Constantia" w:hAnsi="Constantia"/>
          <w:sz w:val="17"/>
        </w:rPr>
        <w:t>Magnitud</w:t>
      </w:r>
      <w:r>
        <w:rPr>
          <w:rFonts w:ascii="Constantia" w:hAnsi="Constantia"/>
          <w:spacing w:val="-25"/>
          <w:sz w:val="17"/>
        </w:rPr>
        <w:t> </w:t>
      </w:r>
      <w:r>
        <w:rPr>
          <w:rFonts w:ascii="Constantia" w:hAnsi="Constantia"/>
          <w:sz w:val="17"/>
        </w:rPr>
        <w:t>de</w:t>
      </w:r>
      <w:r>
        <w:rPr>
          <w:rFonts w:ascii="Constantia" w:hAnsi="Constantia"/>
          <w:spacing w:val="-23"/>
          <w:sz w:val="17"/>
        </w:rPr>
        <w:t> </w:t>
      </w:r>
      <w:r>
        <w:rPr>
          <w:rFonts w:ascii="Constantia" w:hAnsi="Constantia"/>
          <w:sz w:val="17"/>
        </w:rPr>
        <w:t>ingresos</w:t>
      </w:r>
      <w:r>
        <w:rPr>
          <w:rFonts w:ascii="Constantia" w:hAnsi="Constantia"/>
          <w:spacing w:val="-22"/>
          <w:sz w:val="17"/>
        </w:rPr>
        <w:t> </w:t>
      </w:r>
      <w:r>
        <w:rPr>
          <w:rFonts w:ascii="Constantia" w:hAnsi="Constantia"/>
          <w:sz w:val="17"/>
        </w:rPr>
        <w:t>gasíferos</w:t>
      </w:r>
      <w:r>
        <w:rPr>
          <w:rFonts w:ascii="Constantia" w:hAnsi="Constantia"/>
          <w:spacing w:val="-28"/>
          <w:sz w:val="17"/>
        </w:rPr>
        <w:t> </w:t>
      </w:r>
      <w:r>
        <w:rPr>
          <w:rFonts w:ascii="Constantia" w:hAnsi="Constantia"/>
          <w:sz w:val="17"/>
        </w:rPr>
        <w:t>canalizados</w:t>
      </w:r>
      <w:r>
        <w:rPr>
          <w:rFonts w:ascii="Constantia" w:hAnsi="Constantia"/>
          <w:spacing w:val="-28"/>
          <w:sz w:val="17"/>
        </w:rPr>
        <w:t> </w:t>
      </w:r>
      <w:r>
        <w:rPr>
          <w:rFonts w:ascii="Constantia" w:hAnsi="Constantia"/>
          <w:sz w:val="17"/>
        </w:rPr>
        <w:t>al</w:t>
      </w:r>
      <w:r>
        <w:rPr>
          <w:rFonts w:ascii="Constantia" w:hAnsi="Constantia"/>
          <w:spacing w:val="-22"/>
          <w:sz w:val="17"/>
        </w:rPr>
        <w:t> </w:t>
      </w:r>
      <w:r>
        <w:rPr>
          <w:rFonts w:ascii="Constantia" w:hAnsi="Constantia"/>
          <w:sz w:val="17"/>
        </w:rPr>
        <w:t>gasto</w:t>
      </w:r>
      <w:r>
        <w:rPr>
          <w:rFonts w:ascii="Constantia" w:hAnsi="Constantia"/>
          <w:spacing w:val="-23"/>
          <w:sz w:val="17"/>
        </w:rPr>
        <w:t> </w:t>
      </w:r>
      <w:r>
        <w:rPr>
          <w:rFonts w:ascii="Constantia" w:hAnsi="Constantia"/>
          <w:sz w:val="17"/>
        </w:rPr>
        <w:t>de capital</w:t>
      </w:r>
    </w:p>
    <w:p>
      <w:pPr>
        <w:pStyle w:val="BodyText"/>
        <w:spacing w:before="3"/>
        <w:rPr>
          <w:rFonts w:ascii="Constantia"/>
          <w:sz w:val="15"/>
        </w:rPr>
      </w:pPr>
    </w:p>
    <w:p>
      <w:pPr>
        <w:spacing w:before="74"/>
        <w:ind w:left="2579" w:right="127" w:firstLine="0"/>
        <w:jc w:val="left"/>
        <w:rPr>
          <w:sz w:val="20"/>
        </w:rPr>
      </w:pPr>
      <w:r>
        <w:rPr>
          <w:sz w:val="20"/>
        </w:rPr>
        <w:t>Fuente: Estimaciones propias.</w:t>
      </w:r>
    </w:p>
    <w:p>
      <w:pPr>
        <w:pStyle w:val="BodyText"/>
        <w:spacing w:before="11"/>
        <w:rPr>
          <w:sz w:val="20"/>
        </w:rPr>
      </w:pPr>
    </w:p>
    <w:p>
      <w:pPr>
        <w:pStyle w:val="Heading4"/>
        <w:numPr>
          <w:ilvl w:val="2"/>
          <w:numId w:val="18"/>
        </w:numPr>
        <w:tabs>
          <w:tab w:pos="963" w:val="left" w:leader="none"/>
          <w:tab w:pos="964" w:val="left" w:leader="none"/>
        </w:tabs>
        <w:spacing w:line="240" w:lineRule="auto" w:before="0" w:after="0"/>
        <w:ind w:left="963" w:right="0" w:hanging="720"/>
        <w:jc w:val="left"/>
      </w:pPr>
      <w:bookmarkStart w:name="_bookmark152" w:id="206"/>
      <w:bookmarkEnd w:id="206"/>
      <w:r>
        <w:rPr>
          <w:b w:val="0"/>
        </w:rPr>
      </w:r>
      <w:bookmarkStart w:name="_bookmark152" w:id="207"/>
      <w:bookmarkEnd w:id="207"/>
      <w:r>
        <w:rPr/>
        <w:t>In</w:t>
      </w:r>
      <w:r>
        <w:rPr/>
        <w:t>clusión de cláusulas de escape para las reglas fiscales</w:t>
      </w:r>
      <w:r>
        <w:rPr>
          <w:spacing w:val="-11"/>
        </w:rPr>
        <w:t> </w:t>
      </w:r>
      <w:r>
        <w:rPr/>
        <w:t>alternativas</w:t>
      </w:r>
    </w:p>
    <w:p>
      <w:pPr>
        <w:pStyle w:val="BodyText"/>
        <w:rPr>
          <w:b/>
          <w:sz w:val="29"/>
        </w:rPr>
      </w:pPr>
    </w:p>
    <w:p>
      <w:pPr>
        <w:pStyle w:val="BodyText"/>
        <w:spacing w:line="360" w:lineRule="auto"/>
        <w:ind w:left="102" w:right="117" w:firstLine="707"/>
        <w:jc w:val="both"/>
      </w:pPr>
      <w:r>
        <w:rPr/>
        <w:t>La recomendación principal sobre el diseño de reglas fiscales hace mención a la inclusión de cláusulas de escape que puedan ser sensibles a la actividad económica, y a la vez, con objetivos de sostenibilidad fiscal. Para ello, se hace necesario el establecimiento de límites  sobre los máximos déficits fiscales permitidos.</w:t>
      </w:r>
    </w:p>
    <w:p>
      <w:pPr>
        <w:pStyle w:val="BodyText"/>
        <w:spacing w:line="360" w:lineRule="auto" w:before="4"/>
        <w:ind w:left="102" w:right="116" w:firstLine="707"/>
        <w:jc w:val="both"/>
      </w:pPr>
      <w:r>
        <w:rPr/>
        <w:t>Su activación se puede aplicar bajo dos contextos: de recesión o desaceleración económica. De acuerdo con el </w:t>
      </w:r>
      <w:r>
        <w:rPr>
          <w:i/>
        </w:rPr>
        <w:t>cuadro 4.16</w:t>
      </w:r>
      <w:r>
        <w:rPr/>
        <w:t>, se proponen déficits máximos sobre el balance global cíclicamente ajustado para obtener una convergencia entre la tasa de crecimiento real del producto y la deuda pública máxima de mediano plazo.</w:t>
      </w:r>
    </w:p>
    <w:p>
      <w:pPr>
        <w:pStyle w:val="BodyText"/>
        <w:spacing w:line="360" w:lineRule="auto" w:before="4"/>
        <w:ind w:left="102" w:right="117" w:firstLine="767"/>
        <w:jc w:val="both"/>
      </w:pPr>
      <w:r>
        <w:rPr/>
        <w:t>De forma adicional, se mantienen los límites máximos para el gasto corriente en términos de ingresos fiscales no gasíferos, por tanto, los valores de ajuste para la política fiscal señalan la presencia de déficits con propósitos de mayor gasto de capital (inversión pública).</w:t>
      </w:r>
    </w:p>
    <w:p>
      <w:pPr>
        <w:spacing w:after="0" w:line="360" w:lineRule="auto"/>
        <w:jc w:val="both"/>
        <w:sectPr>
          <w:pgSz w:w="12250" w:h="15850"/>
          <w:pgMar w:header="0" w:footer="1037" w:top="1360" w:bottom="1220" w:left="1600" w:right="1580"/>
        </w:sectPr>
      </w:pPr>
    </w:p>
    <w:p>
      <w:pPr>
        <w:pStyle w:val="BodyText"/>
        <w:spacing w:line="276" w:lineRule="auto" w:before="50"/>
        <w:ind w:left="2351" w:right="226" w:hanging="2117"/>
      </w:pPr>
      <w:bookmarkStart w:name="_bookmark153" w:id="208"/>
      <w:bookmarkEnd w:id="208"/>
      <w:r>
        <w:rPr/>
      </w:r>
      <w:r>
        <w:rPr/>
        <w:t>Cuadro 4. 16: Cláusulas de escape para el déficit del balance global cíclicamente ajustado (Máx)  hasta el 2016  (En porcentaje del PIB)</w:t>
      </w:r>
    </w:p>
    <w:p>
      <w:pPr>
        <w:pStyle w:val="BodyText"/>
        <w:rPr>
          <w:sz w:val="14"/>
        </w:rPr>
      </w:pPr>
    </w:p>
    <w:p>
      <w:pPr>
        <w:spacing w:line="162" w:lineRule="exact" w:before="66"/>
        <w:ind w:left="3251" w:right="46" w:firstLine="0"/>
        <w:jc w:val="center"/>
        <w:rPr>
          <w:rFonts w:ascii="Constantia"/>
          <w:sz w:val="17"/>
        </w:rPr>
      </w:pPr>
      <w:r>
        <w:rPr/>
        <w:pict>
          <v:group style="position:absolute;margin-left:148.144226pt;margin-top:-2.457428pt;width:74.3pt;height:67.9pt;mso-position-horizontal-relative:page;mso-position-vertical-relative:paragraph;z-index:-557656" coordorigin="2963,-49" coordsize="1486,1358">
            <v:shape style="position:absolute;left:2963;top:-49;width:1485;height:1358" type="#_x0000_t75" stroked="false">
              <v:imagedata r:id="rId334" o:title=""/>
            </v:shape>
            <v:shape style="position:absolute;left:2963;top:-49;width:1486;height:1358" type="#_x0000_t202" filled="false" stroked="false">
              <v:textbox inset="0,0,0,0">
                <w:txbxContent>
                  <w:p>
                    <w:pPr>
                      <w:spacing w:line="240" w:lineRule="auto" w:before="1"/>
                      <w:rPr>
                        <w:sz w:val="20"/>
                      </w:rPr>
                    </w:pPr>
                  </w:p>
                  <w:p>
                    <w:pPr>
                      <w:spacing w:before="0"/>
                      <w:ind w:left="178" w:right="0" w:firstLine="0"/>
                      <w:jc w:val="left"/>
                      <w:rPr>
                        <w:rFonts w:ascii="Constantia"/>
                        <w:sz w:val="17"/>
                      </w:rPr>
                    </w:pPr>
                    <w:r>
                      <w:rPr>
                        <w:rFonts w:ascii="Constantia"/>
                        <w:w w:val="110"/>
                        <w:sz w:val="17"/>
                      </w:rPr>
                      <w:t>Escenarios de</w:t>
                    </w:r>
                  </w:p>
                </w:txbxContent>
              </v:textbox>
              <w10:wrap type="none"/>
            </v:shape>
            <w10:wrap type="none"/>
          </v:group>
        </w:pict>
      </w:r>
      <w:r>
        <w:rPr>
          <w:rFonts w:ascii="Constantia"/>
          <w:w w:val="110"/>
          <w:sz w:val="17"/>
        </w:rPr>
        <w:t>(En porcentajes)</w:t>
      </w:r>
    </w:p>
    <w:p>
      <w:pPr>
        <w:tabs>
          <w:tab w:pos="6482" w:val="left" w:leader="none"/>
        </w:tabs>
        <w:spacing w:line="162" w:lineRule="exact" w:before="0" w:after="26"/>
        <w:ind w:left="3251" w:right="0" w:firstLine="0"/>
        <w:jc w:val="center"/>
        <w:rPr>
          <w:rFonts w:ascii="Constantia"/>
          <w:sz w:val="17"/>
        </w:rPr>
      </w:pPr>
      <w:r>
        <w:rPr>
          <w:rFonts w:ascii="Constantia"/>
          <w:w w:val="110"/>
          <w:sz w:val="17"/>
          <w:u w:val="single"/>
        </w:rPr>
        <w:t> </w:t>
      </w:r>
      <w:r>
        <w:rPr>
          <w:rFonts w:ascii="Constantia"/>
          <w:sz w:val="17"/>
          <w:u w:val="single"/>
        </w:rPr>
        <w:tab/>
      </w:r>
    </w:p>
    <w:tbl>
      <w:tblPr>
        <w:tblW w:w="0" w:type="auto"/>
        <w:jc w:val="left"/>
        <w:tblInd w:w="136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85"/>
        <w:gridCol w:w="1673"/>
        <w:gridCol w:w="1693"/>
        <w:gridCol w:w="1505"/>
      </w:tblGrid>
      <w:tr>
        <w:trPr>
          <w:trHeight w:val="889" w:hRule="exact"/>
        </w:trPr>
        <w:tc>
          <w:tcPr>
            <w:tcW w:w="1485" w:type="dxa"/>
            <w:tcBorders>
              <w:bottom w:val="single" w:sz="14" w:space="0" w:color="FCFCFC"/>
            </w:tcBorders>
          </w:tcPr>
          <w:p>
            <w:pPr>
              <w:pStyle w:val="TableParagraph"/>
              <w:spacing w:line="259" w:lineRule="auto"/>
              <w:ind w:left="178" w:right="195"/>
              <w:jc w:val="both"/>
              <w:rPr>
                <w:rFonts w:ascii="Constantia" w:hAnsi="Constantia"/>
                <w:sz w:val="17"/>
              </w:rPr>
            </w:pPr>
            <w:r>
              <w:rPr>
                <w:rFonts w:ascii="Constantia" w:hAnsi="Constantia"/>
                <w:w w:val="110"/>
                <w:sz w:val="17"/>
              </w:rPr>
              <w:t>reglas fiscales (magnitud de canalización)</w:t>
            </w:r>
          </w:p>
        </w:tc>
        <w:tc>
          <w:tcPr>
            <w:tcW w:w="1673" w:type="dxa"/>
            <w:tcBorders>
              <w:bottom w:val="single" w:sz="4" w:space="0" w:color="000000"/>
            </w:tcBorders>
          </w:tcPr>
          <w:p>
            <w:pPr>
              <w:pStyle w:val="TableParagraph"/>
              <w:spacing w:line="90" w:lineRule="exact"/>
              <w:ind w:left="148" w:firstLine="19"/>
              <w:jc w:val="left"/>
              <w:rPr>
                <w:rFonts w:ascii="Constantia"/>
                <w:sz w:val="17"/>
              </w:rPr>
            </w:pPr>
            <w:r>
              <w:rPr>
                <w:rFonts w:ascii="Constantia"/>
                <w:w w:val="110"/>
                <w:sz w:val="17"/>
              </w:rPr>
              <w:t>Gasto Corriente/</w:t>
            </w:r>
          </w:p>
          <w:p>
            <w:pPr>
              <w:pStyle w:val="TableParagraph"/>
              <w:spacing w:line="259" w:lineRule="auto" w:before="15"/>
              <w:ind w:left="475" w:right="125" w:hanging="327"/>
              <w:jc w:val="left"/>
              <w:rPr>
                <w:rFonts w:ascii="Constantia" w:hAnsi="Constantia"/>
                <w:sz w:val="17"/>
              </w:rPr>
            </w:pPr>
            <w:r>
              <w:rPr>
                <w:rFonts w:ascii="Constantia" w:hAnsi="Constantia"/>
                <w:w w:val="110"/>
                <w:sz w:val="17"/>
              </w:rPr>
              <w:t>Ingresos Fisc. No Gasíferos</w:t>
            </w:r>
          </w:p>
        </w:tc>
        <w:tc>
          <w:tcPr>
            <w:tcW w:w="1693" w:type="dxa"/>
            <w:tcBorders>
              <w:bottom w:val="single" w:sz="14" w:space="0" w:color="FCFCFC"/>
            </w:tcBorders>
            <w:shd w:val="clear" w:color="auto" w:fill="F8F8F8"/>
          </w:tcPr>
          <w:p>
            <w:pPr>
              <w:pStyle w:val="TableParagraph"/>
              <w:spacing w:line="259" w:lineRule="auto" w:before="106"/>
              <w:ind w:left="138" w:right="120"/>
              <w:rPr>
                <w:rFonts w:ascii="Constantia" w:hAnsi="Constantia"/>
                <w:sz w:val="17"/>
              </w:rPr>
            </w:pPr>
            <w:r>
              <w:rPr>
                <w:rFonts w:ascii="Constantia" w:hAnsi="Constantia"/>
                <w:w w:val="110"/>
                <w:sz w:val="17"/>
              </w:rPr>
              <w:t>Limite déficit Bal. Glob. Cícl. Ajust/ PIB (Máx.)</w:t>
            </w:r>
          </w:p>
        </w:tc>
        <w:tc>
          <w:tcPr>
            <w:tcW w:w="1505" w:type="dxa"/>
            <w:tcBorders>
              <w:bottom w:val="single" w:sz="4" w:space="0" w:color="000000"/>
            </w:tcBorders>
          </w:tcPr>
          <w:p>
            <w:pPr>
              <w:pStyle w:val="TableParagraph"/>
              <w:spacing w:before="2"/>
              <w:jc w:val="left"/>
              <w:rPr>
                <w:rFonts w:ascii="Constantia"/>
                <w:sz w:val="18"/>
              </w:rPr>
            </w:pPr>
          </w:p>
          <w:p>
            <w:pPr>
              <w:pStyle w:val="TableParagraph"/>
              <w:spacing w:line="259" w:lineRule="auto"/>
              <w:ind w:left="286" w:right="147" w:hanging="129"/>
              <w:jc w:val="left"/>
              <w:rPr>
                <w:rFonts w:ascii="Constantia" w:hAnsi="Constantia"/>
                <w:sz w:val="17"/>
              </w:rPr>
            </w:pPr>
            <w:r>
              <w:rPr>
                <w:rFonts w:ascii="Constantia" w:hAnsi="Constantia"/>
                <w:w w:val="110"/>
                <w:sz w:val="17"/>
              </w:rPr>
              <w:t>Deuda Pública (Máx.)/ PIB</w:t>
            </w:r>
          </w:p>
        </w:tc>
      </w:tr>
      <w:tr>
        <w:trPr>
          <w:trHeight w:val="241" w:hRule="exact"/>
        </w:trPr>
        <w:tc>
          <w:tcPr>
            <w:tcW w:w="1485" w:type="dxa"/>
            <w:tcBorders>
              <w:top w:val="single" w:sz="14" w:space="0" w:color="FCFCFC"/>
              <w:bottom w:val="single" w:sz="4" w:space="0" w:color="FFFFFF"/>
            </w:tcBorders>
          </w:tcPr>
          <w:p>
            <w:pPr>
              <w:pStyle w:val="TableParagraph"/>
              <w:spacing w:before="2"/>
              <w:ind w:left="15" w:right="22"/>
              <w:rPr>
                <w:rFonts w:ascii="Constantia"/>
                <w:sz w:val="18"/>
              </w:rPr>
            </w:pPr>
            <w:r>
              <w:rPr>
                <w:rFonts w:ascii="Constantia"/>
                <w:w w:val="115"/>
                <w:sz w:val="18"/>
              </w:rPr>
              <w:t>Baja</w:t>
            </w:r>
          </w:p>
        </w:tc>
        <w:tc>
          <w:tcPr>
            <w:tcW w:w="1673" w:type="dxa"/>
            <w:tcBorders>
              <w:top w:val="single" w:sz="4" w:space="0" w:color="000000"/>
            </w:tcBorders>
          </w:tcPr>
          <w:p>
            <w:pPr>
              <w:pStyle w:val="TableParagraph"/>
              <w:spacing w:before="16"/>
              <w:ind w:left="663"/>
              <w:jc w:val="left"/>
              <w:rPr>
                <w:rFonts w:ascii="Constantia"/>
                <w:sz w:val="18"/>
              </w:rPr>
            </w:pPr>
            <w:r>
              <w:rPr>
                <w:rFonts w:ascii="Constantia"/>
                <w:w w:val="115"/>
                <w:sz w:val="18"/>
              </w:rPr>
              <w:t>1.21</w:t>
            </w:r>
          </w:p>
        </w:tc>
        <w:tc>
          <w:tcPr>
            <w:tcW w:w="1693" w:type="dxa"/>
            <w:tcBorders>
              <w:top w:val="single" w:sz="14" w:space="0" w:color="FCFCFC"/>
              <w:bottom w:val="single" w:sz="4" w:space="0" w:color="FFFFFF"/>
            </w:tcBorders>
          </w:tcPr>
          <w:p>
            <w:pPr>
              <w:pStyle w:val="TableParagraph"/>
              <w:spacing w:before="2"/>
              <w:ind w:left="702"/>
              <w:jc w:val="left"/>
              <w:rPr>
                <w:rFonts w:ascii="Constantia"/>
                <w:sz w:val="18"/>
              </w:rPr>
            </w:pPr>
            <w:r>
              <w:rPr>
                <w:rFonts w:ascii="Constantia"/>
                <w:w w:val="115"/>
                <w:sz w:val="18"/>
              </w:rPr>
              <w:t>-1.9</w:t>
            </w:r>
          </w:p>
        </w:tc>
        <w:tc>
          <w:tcPr>
            <w:tcW w:w="1505" w:type="dxa"/>
            <w:tcBorders>
              <w:top w:val="single" w:sz="4" w:space="0" w:color="000000"/>
            </w:tcBorders>
          </w:tcPr>
          <w:p>
            <w:pPr>
              <w:pStyle w:val="TableParagraph"/>
              <w:spacing w:before="16"/>
              <w:ind w:left="622" w:right="606"/>
              <w:rPr>
                <w:rFonts w:ascii="Constantia"/>
                <w:sz w:val="18"/>
              </w:rPr>
            </w:pPr>
            <w:r>
              <w:rPr>
                <w:rFonts w:ascii="Constantia"/>
                <w:w w:val="115"/>
                <w:sz w:val="18"/>
              </w:rPr>
              <w:t>38</w:t>
            </w:r>
          </w:p>
        </w:tc>
      </w:tr>
      <w:tr>
        <w:trPr>
          <w:trHeight w:val="250" w:hRule="exact"/>
        </w:trPr>
        <w:tc>
          <w:tcPr>
            <w:tcW w:w="1485" w:type="dxa"/>
            <w:tcBorders>
              <w:top w:val="single" w:sz="4" w:space="0" w:color="FFFFFF"/>
              <w:bottom w:val="single" w:sz="4" w:space="0" w:color="FFFFFF"/>
            </w:tcBorders>
          </w:tcPr>
          <w:p>
            <w:pPr>
              <w:pStyle w:val="TableParagraph"/>
              <w:spacing w:before="25"/>
              <w:ind w:left="15" w:right="23"/>
              <w:rPr>
                <w:rFonts w:ascii="Constantia"/>
                <w:sz w:val="18"/>
              </w:rPr>
            </w:pPr>
            <w:r>
              <w:rPr>
                <w:rFonts w:ascii="Constantia"/>
                <w:w w:val="115"/>
                <w:sz w:val="18"/>
              </w:rPr>
              <w:t>Media-baja</w:t>
            </w:r>
          </w:p>
        </w:tc>
        <w:tc>
          <w:tcPr>
            <w:tcW w:w="1673" w:type="dxa"/>
          </w:tcPr>
          <w:p>
            <w:pPr>
              <w:pStyle w:val="TableParagraph"/>
              <w:spacing w:before="29"/>
              <w:ind w:left="663"/>
              <w:jc w:val="left"/>
              <w:rPr>
                <w:rFonts w:ascii="Constantia"/>
                <w:sz w:val="18"/>
              </w:rPr>
            </w:pPr>
            <w:r>
              <w:rPr>
                <w:rFonts w:ascii="Constantia"/>
                <w:w w:val="115"/>
                <w:sz w:val="18"/>
              </w:rPr>
              <w:t>1.13</w:t>
            </w:r>
          </w:p>
        </w:tc>
        <w:tc>
          <w:tcPr>
            <w:tcW w:w="1693" w:type="dxa"/>
            <w:tcBorders>
              <w:top w:val="single" w:sz="4" w:space="0" w:color="FFFFFF"/>
              <w:bottom w:val="single" w:sz="4" w:space="0" w:color="FFFFFF"/>
            </w:tcBorders>
          </w:tcPr>
          <w:p>
            <w:pPr>
              <w:pStyle w:val="TableParagraph"/>
              <w:spacing w:before="25"/>
              <w:ind w:left="692"/>
              <w:jc w:val="left"/>
              <w:rPr>
                <w:rFonts w:ascii="Constantia"/>
                <w:sz w:val="18"/>
              </w:rPr>
            </w:pPr>
            <w:r>
              <w:rPr>
                <w:rFonts w:ascii="Constantia"/>
                <w:w w:val="115"/>
                <w:sz w:val="18"/>
              </w:rPr>
              <w:t>-2.0</w:t>
            </w:r>
          </w:p>
        </w:tc>
        <w:tc>
          <w:tcPr>
            <w:tcW w:w="1505" w:type="dxa"/>
          </w:tcPr>
          <w:p>
            <w:pPr>
              <w:pStyle w:val="TableParagraph"/>
              <w:spacing w:before="29"/>
              <w:ind w:left="622" w:right="604"/>
              <w:rPr>
                <w:rFonts w:ascii="Constantia"/>
                <w:sz w:val="18"/>
              </w:rPr>
            </w:pPr>
            <w:r>
              <w:rPr>
                <w:rFonts w:ascii="Constantia"/>
                <w:w w:val="115"/>
                <w:sz w:val="18"/>
              </w:rPr>
              <w:t>39</w:t>
            </w:r>
          </w:p>
        </w:tc>
      </w:tr>
      <w:tr>
        <w:trPr>
          <w:trHeight w:val="250" w:hRule="exact"/>
        </w:trPr>
        <w:tc>
          <w:tcPr>
            <w:tcW w:w="1485" w:type="dxa"/>
            <w:tcBorders>
              <w:top w:val="single" w:sz="4" w:space="0" w:color="FFFFFF"/>
              <w:bottom w:val="single" w:sz="4" w:space="0" w:color="FFFFFF"/>
            </w:tcBorders>
          </w:tcPr>
          <w:p>
            <w:pPr>
              <w:pStyle w:val="TableParagraph"/>
              <w:spacing w:before="25"/>
              <w:ind w:left="15" w:right="15"/>
              <w:rPr>
                <w:rFonts w:ascii="Constantia"/>
                <w:sz w:val="18"/>
              </w:rPr>
            </w:pPr>
            <w:r>
              <w:rPr>
                <w:rFonts w:ascii="Constantia"/>
                <w:w w:val="115"/>
                <w:sz w:val="18"/>
              </w:rPr>
              <w:t>Intermedia</w:t>
            </w:r>
          </w:p>
        </w:tc>
        <w:tc>
          <w:tcPr>
            <w:tcW w:w="1673" w:type="dxa"/>
          </w:tcPr>
          <w:p>
            <w:pPr>
              <w:pStyle w:val="TableParagraph"/>
              <w:spacing w:before="29"/>
              <w:ind w:left="633"/>
              <w:jc w:val="left"/>
              <w:rPr>
                <w:rFonts w:ascii="Constantia"/>
                <w:sz w:val="18"/>
              </w:rPr>
            </w:pPr>
            <w:r>
              <w:rPr>
                <w:rFonts w:ascii="Constantia"/>
                <w:w w:val="115"/>
                <w:sz w:val="18"/>
              </w:rPr>
              <w:t>1.06</w:t>
            </w:r>
          </w:p>
        </w:tc>
        <w:tc>
          <w:tcPr>
            <w:tcW w:w="1693" w:type="dxa"/>
            <w:tcBorders>
              <w:top w:val="single" w:sz="4" w:space="0" w:color="FFFFFF"/>
              <w:bottom w:val="single" w:sz="4" w:space="0" w:color="FFFFFF"/>
            </w:tcBorders>
          </w:tcPr>
          <w:p>
            <w:pPr>
              <w:pStyle w:val="TableParagraph"/>
              <w:spacing w:before="25"/>
              <w:ind w:left="712"/>
              <w:jc w:val="left"/>
              <w:rPr>
                <w:rFonts w:ascii="Constantia"/>
                <w:sz w:val="18"/>
              </w:rPr>
            </w:pPr>
            <w:r>
              <w:rPr>
                <w:rFonts w:ascii="Constantia"/>
                <w:w w:val="115"/>
                <w:sz w:val="18"/>
              </w:rPr>
              <w:t>-2.1</w:t>
            </w:r>
          </w:p>
        </w:tc>
        <w:tc>
          <w:tcPr>
            <w:tcW w:w="1505" w:type="dxa"/>
          </w:tcPr>
          <w:p>
            <w:pPr>
              <w:pStyle w:val="TableParagraph"/>
              <w:spacing w:before="29"/>
              <w:ind w:left="616" w:right="619"/>
              <w:rPr>
                <w:rFonts w:ascii="Constantia"/>
                <w:sz w:val="18"/>
              </w:rPr>
            </w:pPr>
            <w:r>
              <w:rPr>
                <w:rFonts w:ascii="Constantia"/>
                <w:w w:val="115"/>
                <w:sz w:val="18"/>
              </w:rPr>
              <w:t>41</w:t>
            </w:r>
          </w:p>
        </w:tc>
      </w:tr>
      <w:tr>
        <w:trPr>
          <w:trHeight w:val="250" w:hRule="exact"/>
        </w:trPr>
        <w:tc>
          <w:tcPr>
            <w:tcW w:w="1485" w:type="dxa"/>
            <w:tcBorders>
              <w:top w:val="single" w:sz="4" w:space="0" w:color="FFFFFF"/>
              <w:bottom w:val="single" w:sz="4" w:space="0" w:color="FFFFFF"/>
            </w:tcBorders>
            <w:shd w:val="clear" w:color="auto" w:fill="FBFBFB"/>
          </w:tcPr>
          <w:p>
            <w:pPr>
              <w:pStyle w:val="TableParagraph"/>
              <w:spacing w:before="25"/>
              <w:ind w:left="15" w:right="15"/>
              <w:rPr>
                <w:rFonts w:ascii="Constantia"/>
                <w:sz w:val="18"/>
              </w:rPr>
            </w:pPr>
            <w:r>
              <w:rPr>
                <w:rFonts w:ascii="Constantia"/>
                <w:w w:val="115"/>
                <w:sz w:val="18"/>
              </w:rPr>
              <w:t>Media-alta</w:t>
            </w:r>
          </w:p>
        </w:tc>
        <w:tc>
          <w:tcPr>
            <w:tcW w:w="1673" w:type="dxa"/>
          </w:tcPr>
          <w:p>
            <w:pPr>
              <w:pStyle w:val="TableParagraph"/>
              <w:spacing w:before="29"/>
              <w:ind w:left="643"/>
              <w:jc w:val="left"/>
              <w:rPr>
                <w:rFonts w:ascii="Constantia"/>
                <w:sz w:val="18"/>
              </w:rPr>
            </w:pPr>
            <w:r>
              <w:rPr>
                <w:rFonts w:ascii="Constantia"/>
                <w:w w:val="115"/>
                <w:sz w:val="18"/>
              </w:rPr>
              <w:t>1.03</w:t>
            </w:r>
          </w:p>
        </w:tc>
        <w:tc>
          <w:tcPr>
            <w:tcW w:w="1693" w:type="dxa"/>
            <w:tcBorders>
              <w:top w:val="single" w:sz="4" w:space="0" w:color="FFFFFF"/>
              <w:bottom w:val="single" w:sz="4" w:space="0" w:color="FFFFFF"/>
            </w:tcBorders>
            <w:shd w:val="clear" w:color="auto" w:fill="FBFBFB"/>
          </w:tcPr>
          <w:p>
            <w:pPr>
              <w:pStyle w:val="TableParagraph"/>
              <w:spacing w:before="25"/>
              <w:ind w:left="712"/>
              <w:jc w:val="left"/>
              <w:rPr>
                <w:rFonts w:ascii="Constantia"/>
                <w:sz w:val="18"/>
              </w:rPr>
            </w:pPr>
            <w:r>
              <w:rPr>
                <w:rFonts w:ascii="Constantia"/>
                <w:w w:val="115"/>
                <w:sz w:val="18"/>
              </w:rPr>
              <w:t>-2.1</w:t>
            </w:r>
          </w:p>
        </w:tc>
        <w:tc>
          <w:tcPr>
            <w:tcW w:w="1505" w:type="dxa"/>
          </w:tcPr>
          <w:p>
            <w:pPr>
              <w:pStyle w:val="TableParagraph"/>
              <w:spacing w:before="29"/>
              <w:ind w:left="622" w:right="618"/>
              <w:rPr>
                <w:rFonts w:ascii="Constantia"/>
                <w:sz w:val="18"/>
              </w:rPr>
            </w:pPr>
            <w:r>
              <w:rPr>
                <w:rFonts w:ascii="Constantia"/>
                <w:w w:val="115"/>
                <w:sz w:val="18"/>
              </w:rPr>
              <w:t>43</w:t>
            </w:r>
          </w:p>
        </w:tc>
      </w:tr>
      <w:tr>
        <w:trPr>
          <w:trHeight w:val="259" w:hRule="exact"/>
        </w:trPr>
        <w:tc>
          <w:tcPr>
            <w:tcW w:w="1485" w:type="dxa"/>
            <w:tcBorders>
              <w:top w:val="single" w:sz="4" w:space="0" w:color="FFFFFF"/>
              <w:bottom w:val="single" w:sz="14" w:space="0" w:color="FCFCFC"/>
            </w:tcBorders>
          </w:tcPr>
          <w:p>
            <w:pPr>
              <w:pStyle w:val="TableParagraph"/>
              <w:spacing w:before="25"/>
              <w:ind w:left="15" w:right="22"/>
              <w:rPr>
                <w:rFonts w:ascii="Constantia"/>
                <w:sz w:val="18"/>
              </w:rPr>
            </w:pPr>
            <w:r>
              <w:rPr>
                <w:rFonts w:ascii="Constantia"/>
                <w:w w:val="115"/>
                <w:sz w:val="18"/>
              </w:rPr>
              <w:t>Alta</w:t>
            </w:r>
          </w:p>
        </w:tc>
        <w:tc>
          <w:tcPr>
            <w:tcW w:w="1673" w:type="dxa"/>
            <w:tcBorders>
              <w:bottom w:val="single" w:sz="4" w:space="0" w:color="000000"/>
            </w:tcBorders>
          </w:tcPr>
          <w:p>
            <w:pPr>
              <w:pStyle w:val="TableParagraph"/>
              <w:spacing w:before="29"/>
              <w:ind w:left="653"/>
              <w:jc w:val="left"/>
              <w:rPr>
                <w:rFonts w:ascii="Constantia"/>
                <w:sz w:val="18"/>
              </w:rPr>
            </w:pPr>
            <w:r>
              <w:rPr>
                <w:rFonts w:ascii="Constantia"/>
                <w:w w:val="115"/>
                <w:sz w:val="18"/>
              </w:rPr>
              <w:t>1.01</w:t>
            </w:r>
          </w:p>
        </w:tc>
        <w:tc>
          <w:tcPr>
            <w:tcW w:w="1693" w:type="dxa"/>
            <w:tcBorders>
              <w:top w:val="single" w:sz="4" w:space="0" w:color="FFFFFF"/>
              <w:bottom w:val="single" w:sz="14" w:space="0" w:color="FCFCFC"/>
            </w:tcBorders>
          </w:tcPr>
          <w:p>
            <w:pPr>
              <w:pStyle w:val="TableParagraph"/>
              <w:spacing w:before="25"/>
              <w:ind w:left="692"/>
              <w:jc w:val="left"/>
              <w:rPr>
                <w:rFonts w:ascii="Constantia"/>
                <w:sz w:val="18"/>
              </w:rPr>
            </w:pPr>
            <w:r>
              <w:rPr>
                <w:rFonts w:ascii="Constantia"/>
                <w:w w:val="115"/>
                <w:sz w:val="18"/>
              </w:rPr>
              <w:t>-2.2</w:t>
            </w:r>
          </w:p>
        </w:tc>
        <w:tc>
          <w:tcPr>
            <w:tcW w:w="1505" w:type="dxa"/>
            <w:tcBorders>
              <w:bottom w:val="single" w:sz="4" w:space="0" w:color="000000"/>
            </w:tcBorders>
          </w:tcPr>
          <w:p>
            <w:pPr>
              <w:pStyle w:val="TableParagraph"/>
              <w:spacing w:before="29"/>
              <w:ind w:left="622" w:right="618"/>
              <w:rPr>
                <w:rFonts w:ascii="Constantia"/>
                <w:sz w:val="18"/>
              </w:rPr>
            </w:pPr>
            <w:r>
              <w:rPr>
                <w:rFonts w:ascii="Constantia"/>
                <w:w w:val="115"/>
                <w:sz w:val="18"/>
              </w:rPr>
              <w:t>43</w:t>
            </w:r>
          </w:p>
        </w:tc>
      </w:tr>
      <w:tr>
        <w:trPr>
          <w:trHeight w:val="250" w:hRule="exact"/>
        </w:trPr>
        <w:tc>
          <w:tcPr>
            <w:tcW w:w="1485" w:type="dxa"/>
            <w:tcBorders>
              <w:top w:val="single" w:sz="14" w:space="0" w:color="FCFCFC"/>
              <w:bottom w:val="single" w:sz="14" w:space="0" w:color="F4F4F4"/>
            </w:tcBorders>
          </w:tcPr>
          <w:p>
            <w:pPr>
              <w:pStyle w:val="TableParagraph"/>
              <w:spacing w:before="3"/>
              <w:ind w:left="15" w:right="112"/>
              <w:rPr>
                <w:rFonts w:ascii="Constantia"/>
                <w:sz w:val="18"/>
              </w:rPr>
            </w:pPr>
            <w:r>
              <w:rPr>
                <w:rFonts w:ascii="Constantia"/>
                <w:w w:val="115"/>
                <w:sz w:val="18"/>
              </w:rPr>
              <w:t>Escenario base</w:t>
            </w:r>
          </w:p>
        </w:tc>
        <w:tc>
          <w:tcPr>
            <w:tcW w:w="1673" w:type="dxa"/>
            <w:tcBorders>
              <w:top w:val="single" w:sz="4" w:space="0" w:color="000000"/>
              <w:bottom w:val="single" w:sz="4" w:space="0" w:color="000000"/>
            </w:tcBorders>
          </w:tcPr>
          <w:p>
            <w:pPr>
              <w:pStyle w:val="TableParagraph"/>
              <w:spacing w:before="16"/>
              <w:ind w:left="682"/>
              <w:jc w:val="left"/>
              <w:rPr>
                <w:rFonts w:ascii="Constantia"/>
                <w:sz w:val="18"/>
              </w:rPr>
            </w:pPr>
            <w:r>
              <w:rPr>
                <w:rFonts w:ascii="Constantia"/>
                <w:w w:val="115"/>
                <w:sz w:val="18"/>
              </w:rPr>
              <w:t>n.a.</w:t>
            </w:r>
          </w:p>
        </w:tc>
        <w:tc>
          <w:tcPr>
            <w:tcW w:w="1693" w:type="dxa"/>
            <w:tcBorders>
              <w:top w:val="single" w:sz="14" w:space="0" w:color="FCFCFC"/>
              <w:bottom w:val="single" w:sz="14" w:space="0" w:color="F4F4F4"/>
            </w:tcBorders>
          </w:tcPr>
          <w:p>
            <w:pPr>
              <w:pStyle w:val="TableParagraph"/>
              <w:spacing w:before="3"/>
              <w:ind w:left="722"/>
              <w:jc w:val="left"/>
              <w:rPr>
                <w:rFonts w:ascii="Constantia"/>
                <w:sz w:val="18"/>
              </w:rPr>
            </w:pPr>
            <w:r>
              <w:rPr>
                <w:rFonts w:ascii="Constantia"/>
                <w:w w:val="115"/>
                <w:sz w:val="18"/>
              </w:rPr>
              <w:t>n.a</w:t>
            </w:r>
          </w:p>
        </w:tc>
        <w:tc>
          <w:tcPr>
            <w:tcW w:w="1505" w:type="dxa"/>
            <w:tcBorders>
              <w:top w:val="single" w:sz="4" w:space="0" w:color="000000"/>
              <w:bottom w:val="single" w:sz="4" w:space="0" w:color="000000"/>
            </w:tcBorders>
          </w:tcPr>
          <w:p>
            <w:pPr>
              <w:pStyle w:val="TableParagraph"/>
              <w:spacing w:before="16"/>
              <w:ind w:left="620" w:right="619"/>
              <w:rPr>
                <w:rFonts w:ascii="Constantia"/>
                <w:sz w:val="18"/>
              </w:rPr>
            </w:pPr>
            <w:r>
              <w:rPr>
                <w:rFonts w:ascii="Constantia"/>
                <w:w w:val="115"/>
                <w:sz w:val="18"/>
              </w:rPr>
              <w:t>48</w:t>
            </w:r>
          </w:p>
        </w:tc>
      </w:tr>
    </w:tbl>
    <w:p>
      <w:pPr>
        <w:spacing w:line="124" w:lineRule="exact" w:before="0"/>
        <w:ind w:left="1402" w:right="115" w:firstLine="0"/>
        <w:jc w:val="left"/>
        <w:rPr>
          <w:rFonts w:ascii="Constantia"/>
          <w:sz w:val="11"/>
        </w:rPr>
      </w:pPr>
      <w:r>
        <w:rPr>
          <w:rFonts w:ascii="Constantia"/>
          <w:w w:val="115"/>
          <w:sz w:val="11"/>
        </w:rPr>
        <w:t>n.a. = No aplica.</w:t>
      </w:r>
    </w:p>
    <w:p>
      <w:pPr>
        <w:pStyle w:val="BodyText"/>
        <w:spacing w:before="10"/>
        <w:rPr>
          <w:rFonts w:ascii="Constantia"/>
          <w:sz w:val="29"/>
        </w:rPr>
      </w:pPr>
    </w:p>
    <w:p>
      <w:pPr>
        <w:pStyle w:val="BodyText"/>
        <w:spacing w:line="360" w:lineRule="auto" w:before="70"/>
        <w:ind w:left="122" w:right="118" w:firstLine="707"/>
        <w:jc w:val="both"/>
      </w:pPr>
      <w:r>
        <w:rPr/>
        <w:t>Los mismos límites del balance global cíclicamente ajustado son aplicables para el balance global efectivo, con la diferencia que no se necesita ningún ajuste proveniente del producto potencial y de los precios de mediano y largo plazo del gas natural.</w:t>
      </w:r>
    </w:p>
    <w:p>
      <w:pPr>
        <w:pStyle w:val="BodyText"/>
        <w:spacing w:line="360" w:lineRule="auto" w:before="4"/>
        <w:ind w:left="122" w:right="120" w:firstLine="707"/>
        <w:jc w:val="both"/>
      </w:pPr>
      <w:r>
        <w:rPr/>
        <w:t>Se pueden emplear cuatro criterios de activación para las cláusulas de escape: tres corresponden a la identificación de recesión económica dos de ellos considerados por Mendoza &amp; Smith (2013) y el cuarto criterio corresponde a la estimación de desastres naturales severos.</w:t>
      </w:r>
    </w:p>
    <w:p>
      <w:pPr>
        <w:pStyle w:val="ListParagraph"/>
        <w:numPr>
          <w:ilvl w:val="3"/>
          <w:numId w:val="18"/>
        </w:numPr>
        <w:tabs>
          <w:tab w:pos="842" w:val="left" w:leader="none"/>
        </w:tabs>
        <w:spacing w:line="360" w:lineRule="auto" w:before="4" w:after="0"/>
        <w:ind w:left="842" w:right="125" w:hanging="360"/>
        <w:jc w:val="both"/>
        <w:rPr>
          <w:sz w:val="24"/>
        </w:rPr>
      </w:pPr>
      <w:r>
        <w:rPr>
          <w:sz w:val="24"/>
        </w:rPr>
        <w:t>El criterio del Banco de Inglaterra define el inicio de recesión con dos trimestres consecutivos de crecimiento negativo sobre el PIB (Bank of England,</w:t>
      </w:r>
      <w:r>
        <w:rPr>
          <w:spacing w:val="-10"/>
          <w:sz w:val="24"/>
        </w:rPr>
        <w:t> </w:t>
      </w:r>
      <w:r>
        <w:rPr>
          <w:sz w:val="24"/>
        </w:rPr>
        <w:t>2012).</w:t>
      </w:r>
    </w:p>
    <w:p>
      <w:pPr>
        <w:pStyle w:val="ListParagraph"/>
        <w:numPr>
          <w:ilvl w:val="3"/>
          <w:numId w:val="18"/>
        </w:numPr>
        <w:tabs>
          <w:tab w:pos="842" w:val="left" w:leader="none"/>
        </w:tabs>
        <w:spacing w:line="360" w:lineRule="auto" w:before="4" w:after="0"/>
        <w:ind w:left="842" w:right="117" w:hanging="360"/>
        <w:jc w:val="both"/>
        <w:rPr>
          <w:sz w:val="24"/>
        </w:rPr>
      </w:pPr>
      <w:r>
        <w:rPr>
          <w:sz w:val="24"/>
        </w:rPr>
        <w:t>La versión trimestral del algoritmo de Bry &amp; Boschan (1971) propuesto  por Harding &amp; Pagan (2002) considera al logaritmo de la tasa del crecimiento del producto  </w:t>
      </w:r>
      <w:r>
        <w:rPr>
          <w:sz w:val="24"/>
        </w:rPr>
        <w:t>, con un máximo relativo que ocurre en el tiempo </w:t>
      </w:r>
      <w:r>
        <w:rPr>
          <w:i/>
          <w:sz w:val="24"/>
        </w:rPr>
        <w:t>t </w:t>
      </w:r>
      <w:r>
        <w:rPr>
          <w:sz w:val="24"/>
        </w:rPr>
        <w:t>en dos trimestres a  cada  lado  cuando   </w:t>
      </w:r>
      <w:r>
        <w:rPr>
          <w:rFonts w:ascii="Cambria Math" w:hAnsi="Cambria Math"/>
          <w:position w:val="1"/>
          <w:sz w:val="24"/>
        </w:rPr>
        <w:t>{                                                                  </w:t>
      </w:r>
      <w:r>
        <w:rPr>
          <w:rFonts w:ascii="Cambria Math" w:hAnsi="Cambria Math"/>
          <w:position w:val="1"/>
          <w:sz w:val="24"/>
        </w:rPr>
        <w:t>}</w:t>
      </w:r>
      <w:r>
        <w:rPr>
          <w:sz w:val="24"/>
        </w:rPr>
        <w:t>.  El  período  de   recesión es similar al definido por el Banco de Inglaterra: con la utilización de variables dummies (D) para facilitar la medición de períodos de expansión (D igual a 0) o de recesión (D igual a</w:t>
      </w:r>
      <w:r>
        <w:rPr>
          <w:spacing w:val="-6"/>
          <w:sz w:val="24"/>
        </w:rPr>
        <w:t> </w:t>
      </w:r>
      <w:r>
        <w:rPr>
          <w:sz w:val="24"/>
        </w:rPr>
        <w:t>1).</w:t>
      </w:r>
    </w:p>
    <w:p>
      <w:pPr>
        <w:pStyle w:val="ListParagraph"/>
        <w:numPr>
          <w:ilvl w:val="3"/>
          <w:numId w:val="18"/>
        </w:numPr>
        <w:tabs>
          <w:tab w:pos="842" w:val="left" w:leader="none"/>
        </w:tabs>
        <w:spacing w:line="345" w:lineRule="auto" w:before="4" w:after="0"/>
        <w:ind w:left="842" w:right="123" w:hanging="360"/>
        <w:jc w:val="both"/>
        <w:rPr>
          <w:sz w:val="16"/>
        </w:rPr>
      </w:pPr>
      <w:r>
        <w:rPr>
          <w:sz w:val="24"/>
        </w:rPr>
        <w:t>Para la desaceleración económica se propone el siguiente criterio: 5% de desviación negativa del producto efectivo en torno a su producto potencial con base en la experiencia de Bolivia durante la desaceleración internacional del</w:t>
      </w:r>
      <w:r>
        <w:rPr>
          <w:spacing w:val="-9"/>
          <w:sz w:val="24"/>
        </w:rPr>
        <w:t> </w:t>
      </w:r>
      <w:r>
        <w:rPr>
          <w:sz w:val="24"/>
        </w:rPr>
        <w:t>2009.</w:t>
      </w:r>
      <w:r>
        <w:rPr>
          <w:position w:val="11"/>
          <w:sz w:val="16"/>
        </w:rPr>
        <w:t>77</w:t>
      </w:r>
    </w:p>
    <w:p>
      <w:pPr>
        <w:pStyle w:val="BodyText"/>
        <w:spacing w:before="7"/>
        <w:rPr>
          <w:sz w:val="23"/>
        </w:rPr>
      </w:pPr>
      <w:r>
        <w:rPr/>
        <w:pict>
          <v:line style="position:absolute;mso-position-horizontal-relative:page;mso-position-vertical-relative:paragraph;z-index:14416;mso-wrap-distance-left:0;mso-wrap-distance-right:0" from="85.103996pt,15.845471pt" to="229.123996pt,15.845471pt" stroked="true" strokeweight=".599980pt" strokecolor="#000000">
            <w10:wrap type="topAndBottom"/>
          </v:line>
        </w:pict>
      </w:r>
    </w:p>
    <w:p>
      <w:pPr>
        <w:spacing w:line="276" w:lineRule="auto" w:before="53"/>
        <w:ind w:left="122" w:right="132" w:firstLine="0"/>
        <w:jc w:val="left"/>
        <w:rPr>
          <w:sz w:val="20"/>
        </w:rPr>
      </w:pPr>
      <w:r>
        <w:rPr>
          <w:position w:val="9"/>
          <w:sz w:val="13"/>
        </w:rPr>
        <w:t>77                                                                                                                                                                                                                                                                      </w:t>
      </w:r>
      <w:r>
        <w:rPr>
          <w:sz w:val="20"/>
        </w:rPr>
        <w:t>9 y el producto potencial fue del 5.8% con base en la utilización del filtro de Hodrick y Prescott;  otros estudios</w:t>
      </w:r>
    </w:p>
    <w:p>
      <w:pPr>
        <w:spacing w:after="0" w:line="276" w:lineRule="auto"/>
        <w:jc w:val="left"/>
        <w:rPr>
          <w:sz w:val="20"/>
        </w:rPr>
        <w:sectPr>
          <w:pgSz w:w="12250" w:h="15850"/>
          <w:pgMar w:header="0" w:footer="1037" w:top="1360" w:bottom="1220" w:left="1580" w:right="1580"/>
        </w:sectPr>
      </w:pPr>
    </w:p>
    <w:p>
      <w:pPr>
        <w:pStyle w:val="ListParagraph"/>
        <w:numPr>
          <w:ilvl w:val="3"/>
          <w:numId w:val="18"/>
        </w:numPr>
        <w:tabs>
          <w:tab w:pos="842" w:val="left" w:leader="none"/>
        </w:tabs>
        <w:spacing w:line="345" w:lineRule="auto" w:before="50" w:after="0"/>
        <w:ind w:left="842" w:right="122" w:hanging="360"/>
        <w:jc w:val="both"/>
        <w:rPr>
          <w:sz w:val="16"/>
        </w:rPr>
      </w:pPr>
      <w:r>
        <w:rPr>
          <w:sz w:val="24"/>
        </w:rPr>
        <w:t>Para efectos de desastres naturales se propone una cláusula de escape cuando el impacto del desastre natural genere un efecto mayor o igual al 2% del PIB con base en la experiencia de países caribeños (Borensztein, et al.,</w:t>
      </w:r>
      <w:r>
        <w:rPr>
          <w:spacing w:val="-7"/>
          <w:sz w:val="24"/>
        </w:rPr>
        <w:t> </w:t>
      </w:r>
      <w:r>
        <w:rPr>
          <w:sz w:val="24"/>
        </w:rPr>
        <w:t>2007).</w:t>
      </w:r>
      <w:r>
        <w:rPr>
          <w:position w:val="11"/>
          <w:sz w:val="16"/>
        </w:rPr>
        <w:t>78</w:t>
      </w:r>
    </w:p>
    <w:p>
      <w:pPr>
        <w:pStyle w:val="BodyText"/>
        <w:spacing w:before="4"/>
        <w:rPr>
          <w:sz w:val="36"/>
        </w:rPr>
      </w:pPr>
    </w:p>
    <w:p>
      <w:pPr>
        <w:pStyle w:val="BodyText"/>
        <w:spacing w:line="352" w:lineRule="auto"/>
        <w:ind w:left="122" w:right="117" w:firstLine="707"/>
        <w:jc w:val="both"/>
        <w:rPr>
          <w:sz w:val="16"/>
        </w:rPr>
      </w:pPr>
      <w:r>
        <w:rPr/>
        <w:t>A manera de ejemplo (la regla </w:t>
      </w:r>
      <w:r>
        <w:rPr>
          <w:i/>
        </w:rPr>
        <w:t>b</w:t>
      </w:r>
      <w:r>
        <w:rPr/>
        <w:t>), dada la presencia de una recesión o  desaceleración económica, surge la activación de la cláusula de escape a través de: a) una deuda máxima de mediano plazo del 39% sobre el PIB; b) la tasa de crecimiento real meta del producto fue fijada en el 5%; c) el déficit máximo del balance global cíclicamente ajustado del 2% en torno al PIB  [5% x</w:t>
      </w:r>
      <w:r>
        <w:rPr>
          <w:spacing w:val="-5"/>
        </w:rPr>
        <w:t> </w:t>
      </w:r>
      <w:r>
        <w:rPr/>
        <w:t>0.39].</w:t>
      </w:r>
      <w:r>
        <w:rPr>
          <w:position w:val="11"/>
          <w:sz w:val="16"/>
        </w:rPr>
        <w:t>79</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0"/>
        </w:rPr>
      </w:pPr>
      <w:r>
        <w:rPr/>
        <w:pict>
          <v:line style="position:absolute;mso-position-horizontal-relative:page;mso-position-vertical-relative:paragraph;z-index:14488;mso-wrap-distance-left:0;mso-wrap-distance-right:0" from="85.103996pt,13.824136pt" to="527.133996pt,13.824136pt" stroked="true" strokeweight=".599980pt" strokecolor="#000000">
            <w10:wrap type="topAndBottom"/>
          </v:line>
        </w:pict>
      </w:r>
    </w:p>
    <w:p>
      <w:pPr>
        <w:spacing w:line="276" w:lineRule="auto" w:before="77"/>
        <w:ind w:left="122" w:right="125" w:firstLine="0"/>
        <w:jc w:val="both"/>
        <w:rPr>
          <w:sz w:val="20"/>
        </w:rPr>
      </w:pPr>
      <w:r>
        <w:rPr>
          <w:sz w:val="20"/>
        </w:rPr>
        <w:t>en economías emergentes, como para el caso de México, se ha evidenciado una desviación negativa en torno al 6% en sus fases más severas (1995,2009) (Loría &amp; Salas,</w:t>
      </w:r>
      <w:r>
        <w:rPr>
          <w:spacing w:val="-11"/>
          <w:sz w:val="20"/>
        </w:rPr>
        <w:t> </w:t>
      </w:r>
      <w:r>
        <w:rPr>
          <w:sz w:val="20"/>
        </w:rPr>
        <w:t>2013).</w:t>
      </w:r>
    </w:p>
    <w:p>
      <w:pPr>
        <w:pStyle w:val="BodyText"/>
        <w:spacing w:before="10"/>
        <w:rPr>
          <w:sz w:val="20"/>
        </w:rPr>
      </w:pPr>
    </w:p>
    <w:p>
      <w:pPr>
        <w:spacing w:line="276" w:lineRule="auto" w:before="0"/>
        <w:ind w:left="122" w:right="125" w:firstLine="0"/>
        <w:jc w:val="both"/>
        <w:rPr>
          <w:sz w:val="20"/>
        </w:rPr>
      </w:pPr>
      <w:r>
        <w:rPr>
          <w:position w:val="9"/>
          <w:sz w:val="13"/>
        </w:rPr>
        <w:t>78 </w:t>
      </w:r>
      <w:r>
        <w:rPr>
          <w:sz w:val="20"/>
        </w:rPr>
        <w:t>Los países del Caribe corresponden al área geográfica con mayores desastres naturales a nivel mundial. En el trabajo de Borensztein, et al (2007) se hace referencia a los resultados de Rasmussen (2004), en cuyas estimaciones se cuantificó los doce mayores desastres naturales en el Caribe con una reducción media del 2.2% del PIB en el mismo año.</w:t>
      </w:r>
    </w:p>
    <w:p>
      <w:pPr>
        <w:pStyle w:val="BodyText"/>
        <w:spacing w:before="10"/>
        <w:rPr>
          <w:sz w:val="20"/>
        </w:rPr>
      </w:pPr>
    </w:p>
    <w:p>
      <w:pPr>
        <w:spacing w:line="276" w:lineRule="auto" w:before="0"/>
        <w:ind w:left="122" w:right="125" w:firstLine="0"/>
        <w:jc w:val="both"/>
        <w:rPr>
          <w:sz w:val="20"/>
        </w:rPr>
      </w:pPr>
      <w:r>
        <w:rPr>
          <w:position w:val="9"/>
          <w:sz w:val="13"/>
        </w:rPr>
        <w:t>79 </w:t>
      </w:r>
      <w:r>
        <w:rPr>
          <w:sz w:val="20"/>
        </w:rPr>
        <w:t>La magnitud del déficit se presenta según el crecimiento meta y en función de la tasa de endeudamiento público objetivo: a mayor crecimiento y mayor endeudamiento de mediano plazo, el déficit será mayor y viceversa.</w:t>
      </w:r>
    </w:p>
    <w:p>
      <w:pPr>
        <w:spacing w:after="0" w:line="276" w:lineRule="auto"/>
        <w:jc w:val="both"/>
        <w:rPr>
          <w:sz w:val="20"/>
        </w:rPr>
        <w:sectPr>
          <w:pgSz w:w="12250" w:h="15850"/>
          <w:pgMar w:header="0" w:footer="1037" w:top="1360" w:bottom="1220" w:left="1580" w:right="1580"/>
        </w:sectPr>
      </w:pPr>
    </w:p>
    <w:p>
      <w:pPr>
        <w:pStyle w:val="BodyText"/>
        <w:spacing w:line="360" w:lineRule="auto" w:before="52"/>
        <w:ind w:left="788" w:right="115" w:firstLine="708"/>
        <w:jc w:val="both"/>
      </w:pPr>
      <w:r>
        <w:rPr/>
        <w:t>De forma final, en el </w:t>
      </w:r>
      <w:r>
        <w:rPr>
          <w:i/>
        </w:rPr>
        <w:t>cuadro 4.17, </w:t>
      </w:r>
      <w:r>
        <w:rPr/>
        <w:t>se presentan las reglas fiscales que han sido propuestas para Bolivia, desde una perspectiva comparativa y cuantitativa con estudios previos, así como sus respectivas descripciones; en consecuencia, se añaden las sugerencias encontradas en la presente investigación:</w:t>
      </w:r>
    </w:p>
    <w:p>
      <w:pPr>
        <w:pStyle w:val="BodyText"/>
        <w:spacing w:before="1"/>
        <w:ind w:left="4137"/>
      </w:pPr>
      <w:bookmarkStart w:name="_bookmark154" w:id="209"/>
      <w:bookmarkEnd w:id="209"/>
      <w:r>
        <w:rPr/>
      </w:r>
      <w:r>
        <w:rPr/>
        <w:t>Cuadro 4. 17: Resumen de reglas fiscales propuestas para Bolivia</w:t>
      </w:r>
    </w:p>
    <w:p>
      <w:pPr>
        <w:tabs>
          <w:tab w:pos="8578" w:val="left" w:leader="none"/>
          <w:tab w:pos="11040" w:val="left" w:leader="none"/>
          <w:tab w:pos="12552" w:val="left" w:leader="none"/>
          <w:tab w:pos="12628" w:val="left" w:leader="none"/>
        </w:tabs>
        <w:spacing w:line="319" w:lineRule="auto" w:before="25"/>
        <w:ind w:left="7531" w:right="409" w:hanging="616"/>
        <w:jc w:val="left"/>
        <w:rPr>
          <w:rFonts w:ascii="Constantia" w:hAnsi="Constantia"/>
          <w:sz w:val="19"/>
        </w:rPr>
      </w:pPr>
      <w:r>
        <w:rPr/>
        <w:pict>
          <v:group style="position:absolute;margin-left:377.609833pt;margin-top:31.211557pt;width:189.9pt;height:1.2pt;mso-position-horizontal-relative:page;mso-position-vertical-relative:paragraph;z-index:-556792" coordorigin="7552,624" coordsize="3798,24">
            <v:line style="position:absolute" from="7560,628" to="11342,628" stroked="true" strokeweight=".394498pt" strokecolor="#000000"/>
            <v:line style="position:absolute" from="7556,628" to="11346,628" stroked="true" strokeweight=".394498pt" strokecolor="#000000"/>
            <v:line style="position:absolute" from="7560,644" to="11342,644" stroked="true" strokeweight=".394498pt" strokecolor="#000000"/>
            <v:line style="position:absolute" from="7556,644" to="11346,644" stroked="true" strokeweight=".394498pt" strokecolor="#000000"/>
            <w10:wrap type="none"/>
          </v:group>
        </w:pict>
      </w:r>
      <w:r>
        <w:rPr/>
        <w:pict>
          <v:group style="position:absolute;margin-left:575.309509pt;margin-top:31.211557pt;width:79.45pt;height:1.2pt;mso-position-horizontal-relative:page;mso-position-vertical-relative:paragraph;z-index:-556768" coordorigin="11506,624" coordsize="1589,24">
            <v:line style="position:absolute" from="11514,628" to="13087,628" stroked="true" strokeweight=".394498pt" strokecolor="#000000"/>
            <v:line style="position:absolute" from="11510,628" to="13090,628" stroked="true" strokeweight=".394498pt" strokecolor="#000000"/>
            <v:line style="position:absolute" from="11514,644" to="13087,644" stroked="true" strokeweight=".394498pt" strokecolor="#000000"/>
            <v:line style="position:absolute" from="11510,644" to="13090,644" stroked="true" strokeweight=".394498pt" strokecolor="#000000"/>
            <w10:wrap type="none"/>
          </v:group>
        </w:pict>
      </w:r>
      <w:r>
        <w:rPr/>
        <w:pict>
          <v:group style="position:absolute;margin-left:659.780701pt;margin-top:31.211557pt;width:85.6pt;height:1.2pt;mso-position-horizontal-relative:page;mso-position-vertical-relative:paragraph;z-index:-556744" coordorigin="13196,624" coordsize="1712,24">
            <v:line style="position:absolute" from="13203,628" to="14900,628" stroked="true" strokeweight=".394498pt" strokecolor="#000000"/>
            <v:line style="position:absolute" from="13200,628" to="14903,628" stroked="true" strokeweight=".394498pt" strokecolor="#000000"/>
            <v:line style="position:absolute" from="13203,644" to="14900,644" stroked="true" strokeweight=".394498pt" strokecolor="#000000"/>
            <v:line style="position:absolute" from="13200,644" to="14903,644" stroked="true" strokeweight=".394498pt" strokecolor="#000000"/>
            <w10:wrap type="none"/>
          </v:group>
        </w:pict>
      </w:r>
      <w:r>
        <w:rPr>
          <w:rFonts w:ascii="Constantia" w:hAnsi="Constantia"/>
          <w:w w:val="86"/>
          <w:sz w:val="19"/>
          <w:u w:val="thick"/>
        </w:rPr>
        <w:t> </w:t>
      </w:r>
      <w:r>
        <w:rPr>
          <w:rFonts w:ascii="Constantia" w:hAnsi="Constantia"/>
          <w:sz w:val="19"/>
          <w:u w:val="thick"/>
        </w:rPr>
        <w:tab/>
        <w:tab/>
      </w:r>
      <w:r>
        <w:rPr>
          <w:rFonts w:ascii="Constantia" w:hAnsi="Constantia"/>
          <w:w w:val="90"/>
          <w:sz w:val="19"/>
          <w:u w:val="thick"/>
        </w:rPr>
        <w:t>Expresado</w:t>
      </w:r>
      <w:r>
        <w:rPr>
          <w:rFonts w:ascii="Constantia" w:hAnsi="Constantia"/>
          <w:spacing w:val="-23"/>
          <w:w w:val="90"/>
          <w:sz w:val="19"/>
          <w:u w:val="thick"/>
        </w:rPr>
        <w:t> </w:t>
      </w:r>
      <w:r>
        <w:rPr>
          <w:rFonts w:ascii="Constantia" w:hAnsi="Constantia"/>
          <w:w w:val="90"/>
          <w:sz w:val="19"/>
          <w:u w:val="thick"/>
        </w:rPr>
        <w:t>en</w:t>
      </w:r>
      <w:r>
        <w:rPr>
          <w:rFonts w:ascii="Constantia" w:hAnsi="Constantia"/>
          <w:spacing w:val="-23"/>
          <w:w w:val="90"/>
          <w:sz w:val="19"/>
          <w:u w:val="thick"/>
        </w:rPr>
        <w:t> </w:t>
      </w:r>
      <w:r>
        <w:rPr>
          <w:rFonts w:ascii="Constantia" w:hAnsi="Constantia"/>
          <w:w w:val="90"/>
          <w:sz w:val="19"/>
          <w:u w:val="thick"/>
        </w:rPr>
        <w:t>porcentaje</w:t>
      </w:r>
      <w:r>
        <w:rPr>
          <w:rFonts w:ascii="Constantia" w:hAnsi="Constantia"/>
          <w:spacing w:val="-22"/>
          <w:w w:val="90"/>
          <w:sz w:val="19"/>
          <w:u w:val="thick"/>
        </w:rPr>
        <w:t> </w:t>
      </w:r>
      <w:r>
        <w:rPr>
          <w:rFonts w:ascii="Constantia" w:hAnsi="Constantia"/>
          <w:w w:val="90"/>
          <w:sz w:val="19"/>
          <w:u w:val="thick"/>
        </w:rPr>
        <w:t>del</w:t>
      </w:r>
      <w:r>
        <w:rPr>
          <w:rFonts w:ascii="Constantia" w:hAnsi="Constantia"/>
          <w:spacing w:val="-22"/>
          <w:w w:val="90"/>
          <w:sz w:val="19"/>
          <w:u w:val="thick"/>
        </w:rPr>
        <w:t> </w:t>
      </w:r>
      <w:r>
        <w:rPr>
          <w:rFonts w:ascii="Constantia" w:hAnsi="Constantia"/>
          <w:w w:val="90"/>
          <w:sz w:val="19"/>
          <w:u w:val="thick"/>
        </w:rPr>
        <w:t>PIB</w:t>
      </w:r>
      <w:r>
        <w:rPr>
          <w:rFonts w:ascii="Constantia" w:hAnsi="Constantia"/>
          <w:sz w:val="19"/>
          <w:u w:val="thick"/>
        </w:rPr>
        <w:tab/>
        <w:tab/>
      </w:r>
      <w:r>
        <w:rPr>
          <w:rFonts w:ascii="Constantia" w:hAnsi="Constantia"/>
          <w:sz w:val="19"/>
        </w:rPr>
        <w:t> </w:t>
      </w:r>
      <w:r>
        <w:rPr>
          <w:rFonts w:ascii="Constantia" w:hAnsi="Constantia"/>
          <w:spacing w:val="-1"/>
          <w:w w:val="86"/>
          <w:sz w:val="19"/>
        </w:rPr>
        <w:t>       </w:t>
      </w:r>
      <w:r>
        <w:rPr>
          <w:rFonts w:ascii="Constantia" w:hAnsi="Constantia"/>
          <w:w w:val="90"/>
          <w:sz w:val="19"/>
        </w:rPr>
        <w:t>Valores objetivos</w:t>
      </w:r>
      <w:r>
        <w:rPr>
          <w:rFonts w:ascii="Constantia" w:hAnsi="Constantia"/>
          <w:spacing w:val="-33"/>
          <w:w w:val="90"/>
          <w:sz w:val="19"/>
        </w:rPr>
        <w:t> </w:t>
      </w:r>
      <w:r>
        <w:rPr>
          <w:rFonts w:ascii="Constantia" w:hAnsi="Constantia"/>
          <w:w w:val="90"/>
          <w:sz w:val="19"/>
        </w:rPr>
        <w:t>(de</w:t>
      </w:r>
      <w:r>
        <w:rPr>
          <w:rFonts w:ascii="Constantia" w:hAnsi="Constantia"/>
          <w:spacing w:val="-16"/>
          <w:w w:val="90"/>
          <w:sz w:val="19"/>
        </w:rPr>
        <w:t> </w:t>
      </w:r>
      <w:r>
        <w:rPr>
          <w:rFonts w:ascii="Constantia" w:hAnsi="Constantia"/>
          <w:w w:val="90"/>
          <w:sz w:val="19"/>
        </w:rPr>
        <w:t>convergencia)</w:t>
        <w:tab/>
        <w:t>Límites</w:t>
      </w:r>
      <w:r>
        <w:rPr>
          <w:rFonts w:ascii="Constantia" w:hAnsi="Constantia"/>
          <w:spacing w:val="-13"/>
          <w:w w:val="90"/>
          <w:sz w:val="19"/>
        </w:rPr>
        <w:t> </w:t>
      </w:r>
      <w:r>
        <w:rPr>
          <w:rFonts w:ascii="Constantia" w:hAnsi="Constantia"/>
          <w:w w:val="90"/>
          <w:sz w:val="19"/>
        </w:rPr>
        <w:t>definidos</w:t>
        <w:tab/>
        <w:tab/>
        <w:t>Expresado</w:t>
      </w:r>
      <w:r>
        <w:rPr>
          <w:rFonts w:ascii="Constantia" w:hAnsi="Constantia"/>
          <w:spacing w:val="-26"/>
          <w:w w:val="90"/>
          <w:sz w:val="19"/>
        </w:rPr>
        <w:t> </w:t>
      </w:r>
      <w:r>
        <w:rPr>
          <w:rFonts w:ascii="Constantia" w:hAnsi="Constantia"/>
          <w:w w:val="90"/>
          <w:sz w:val="19"/>
        </w:rPr>
        <w:t>en</w:t>
      </w:r>
      <w:r>
        <w:rPr>
          <w:rFonts w:ascii="Constantia" w:hAnsi="Constantia"/>
          <w:spacing w:val="-26"/>
          <w:w w:val="90"/>
          <w:sz w:val="19"/>
        </w:rPr>
        <w:t> </w:t>
      </w:r>
      <w:r>
        <w:rPr>
          <w:rFonts w:ascii="Constantia" w:hAnsi="Constantia"/>
          <w:w w:val="90"/>
          <w:sz w:val="19"/>
        </w:rPr>
        <w:t>razones</w:t>
      </w:r>
    </w:p>
    <w:p>
      <w:pPr>
        <w:spacing w:after="0" w:line="319" w:lineRule="auto"/>
        <w:jc w:val="left"/>
        <w:rPr>
          <w:rFonts w:ascii="Constantia" w:hAnsi="Constantia"/>
          <w:sz w:val="19"/>
        </w:rPr>
        <w:sectPr>
          <w:footerReference w:type="default" r:id="rId335"/>
          <w:pgSz w:w="15850" w:h="12250" w:orient="landscape"/>
          <w:pgMar w:footer="0" w:header="0" w:top="660" w:bottom="280" w:left="640" w:right="600"/>
        </w:sectPr>
      </w:pPr>
    </w:p>
    <w:p>
      <w:pPr>
        <w:pStyle w:val="BodyText"/>
        <w:spacing w:before="3"/>
        <w:rPr>
          <w:rFonts w:ascii="Constantia"/>
          <w:sz w:val="17"/>
        </w:rPr>
      </w:pPr>
    </w:p>
    <w:p>
      <w:pPr>
        <w:spacing w:line="87" w:lineRule="exact" w:before="1"/>
        <w:ind w:left="0" w:right="0" w:firstLine="0"/>
        <w:jc w:val="right"/>
        <w:rPr>
          <w:rFonts w:ascii="Constantia"/>
          <w:sz w:val="15"/>
        </w:rPr>
      </w:pPr>
      <w:r>
        <w:rPr>
          <w:rFonts w:ascii="Constantia"/>
          <w:w w:val="85"/>
          <w:sz w:val="15"/>
        </w:rPr>
        <w:t>Balance</w:t>
      </w:r>
    </w:p>
    <w:p>
      <w:pPr>
        <w:pStyle w:val="BodyText"/>
        <w:spacing w:before="3"/>
        <w:rPr>
          <w:rFonts w:ascii="Constantia"/>
          <w:sz w:val="17"/>
        </w:rPr>
      </w:pPr>
      <w:r>
        <w:rPr/>
        <w:br w:type="column"/>
      </w:r>
      <w:r>
        <w:rPr>
          <w:rFonts w:ascii="Constantia"/>
          <w:sz w:val="17"/>
        </w:rPr>
      </w:r>
    </w:p>
    <w:p>
      <w:pPr>
        <w:spacing w:line="87" w:lineRule="exact" w:before="1"/>
        <w:ind w:left="294" w:right="-17" w:firstLine="0"/>
        <w:jc w:val="left"/>
        <w:rPr>
          <w:rFonts w:ascii="Constantia"/>
          <w:sz w:val="15"/>
        </w:rPr>
      </w:pPr>
      <w:r>
        <w:rPr>
          <w:rFonts w:ascii="Constantia"/>
          <w:w w:val="85"/>
          <w:sz w:val="15"/>
        </w:rPr>
        <w:t>Balance</w:t>
      </w:r>
    </w:p>
    <w:p>
      <w:pPr>
        <w:pStyle w:val="BodyText"/>
        <w:spacing w:before="3"/>
        <w:rPr>
          <w:rFonts w:ascii="Constantia"/>
          <w:sz w:val="17"/>
        </w:rPr>
      </w:pPr>
      <w:r>
        <w:rPr/>
        <w:br w:type="column"/>
      </w:r>
      <w:r>
        <w:rPr>
          <w:rFonts w:ascii="Constantia"/>
          <w:sz w:val="17"/>
        </w:rPr>
      </w:r>
    </w:p>
    <w:p>
      <w:pPr>
        <w:spacing w:line="87" w:lineRule="exact" w:before="1"/>
        <w:ind w:left="0" w:right="0" w:firstLine="0"/>
        <w:jc w:val="right"/>
        <w:rPr>
          <w:rFonts w:ascii="Constantia"/>
          <w:sz w:val="15"/>
        </w:rPr>
      </w:pPr>
      <w:r>
        <w:rPr>
          <w:rFonts w:ascii="Constantia"/>
          <w:w w:val="85"/>
          <w:sz w:val="15"/>
        </w:rPr>
        <w:t>Deuda</w:t>
      </w:r>
    </w:p>
    <w:p>
      <w:pPr>
        <w:pStyle w:val="BodyText"/>
        <w:spacing w:before="3"/>
        <w:rPr>
          <w:rFonts w:ascii="Constantia"/>
          <w:sz w:val="17"/>
        </w:rPr>
      </w:pPr>
      <w:r>
        <w:rPr/>
        <w:br w:type="column"/>
      </w:r>
      <w:r>
        <w:rPr>
          <w:rFonts w:ascii="Constantia"/>
          <w:sz w:val="17"/>
        </w:rPr>
      </w:r>
    </w:p>
    <w:p>
      <w:pPr>
        <w:spacing w:line="87" w:lineRule="exact" w:before="1"/>
        <w:ind w:left="185" w:right="-9" w:firstLine="0"/>
        <w:jc w:val="left"/>
        <w:rPr>
          <w:rFonts w:ascii="Constantia"/>
          <w:sz w:val="15"/>
        </w:rPr>
      </w:pPr>
      <w:r>
        <w:rPr>
          <w:rFonts w:ascii="Constantia"/>
          <w:w w:val="85"/>
          <w:sz w:val="15"/>
        </w:rPr>
        <w:t>Balance global</w:t>
      </w:r>
    </w:p>
    <w:p>
      <w:pPr>
        <w:spacing w:before="108"/>
        <w:ind w:left="328" w:right="-13" w:firstLine="0"/>
        <w:jc w:val="left"/>
        <w:rPr>
          <w:rFonts w:ascii="Constantia"/>
          <w:sz w:val="15"/>
        </w:rPr>
      </w:pPr>
      <w:r>
        <w:rPr/>
        <w:br w:type="column"/>
      </w:r>
      <w:r>
        <w:rPr>
          <w:rFonts w:ascii="Constantia"/>
          <w:w w:val="85"/>
          <w:sz w:val="15"/>
        </w:rPr>
        <w:t>Gasto</w:t>
      </w:r>
    </w:p>
    <w:p>
      <w:pPr>
        <w:pStyle w:val="BodyText"/>
        <w:spacing w:before="3"/>
        <w:rPr>
          <w:rFonts w:ascii="Constantia"/>
          <w:sz w:val="17"/>
        </w:rPr>
      </w:pPr>
      <w:r>
        <w:rPr/>
        <w:br w:type="column"/>
      </w:r>
      <w:r>
        <w:rPr>
          <w:rFonts w:ascii="Constantia"/>
          <w:sz w:val="17"/>
        </w:rPr>
      </w:r>
    </w:p>
    <w:p>
      <w:pPr>
        <w:spacing w:line="87" w:lineRule="exact" w:before="1"/>
        <w:ind w:left="307" w:right="0" w:firstLine="0"/>
        <w:jc w:val="left"/>
        <w:rPr>
          <w:rFonts w:ascii="Constantia"/>
          <w:sz w:val="15"/>
        </w:rPr>
      </w:pPr>
      <w:r>
        <w:rPr>
          <w:rFonts w:ascii="Constantia"/>
          <w:w w:val="85"/>
          <w:sz w:val="15"/>
        </w:rPr>
        <w:t>Gasto Corr./</w:t>
      </w:r>
    </w:p>
    <w:p>
      <w:pPr>
        <w:spacing w:after="0" w:line="87" w:lineRule="exact"/>
        <w:jc w:val="left"/>
        <w:rPr>
          <w:rFonts w:ascii="Constantia"/>
          <w:sz w:val="15"/>
        </w:rPr>
        <w:sectPr>
          <w:type w:val="continuous"/>
          <w:pgSz w:w="15850" w:h="12250" w:orient="landscape"/>
          <w:pgMar w:top="1500" w:bottom="280" w:left="640" w:right="600"/>
          <w:cols w:num="6" w:equalWidth="0">
            <w:col w:w="8970" w:space="40"/>
            <w:col w:w="726" w:space="40"/>
            <w:col w:w="1623" w:space="40"/>
            <w:col w:w="994" w:space="40"/>
            <w:col w:w="652" w:space="40"/>
            <w:col w:w="1445"/>
          </w:cols>
        </w:sectPr>
      </w:pPr>
    </w:p>
    <w:p>
      <w:pPr>
        <w:tabs>
          <w:tab w:pos="1765" w:val="left" w:leader="none"/>
          <w:tab w:pos="4611" w:val="left" w:leader="none"/>
          <w:tab w:pos="6047" w:val="left" w:leader="none"/>
        </w:tabs>
        <w:spacing w:line="235" w:lineRule="exact" w:before="0"/>
        <w:ind w:left="479" w:right="0" w:firstLine="0"/>
        <w:jc w:val="left"/>
        <w:rPr>
          <w:rFonts w:ascii="Constantia" w:hAnsi="Constantia"/>
          <w:sz w:val="19"/>
        </w:rPr>
      </w:pPr>
      <w:r>
        <w:rPr>
          <w:rFonts w:ascii="Constantia" w:hAnsi="Constantia"/>
          <w:w w:val="95"/>
          <w:sz w:val="19"/>
        </w:rPr>
        <w:t>Autores</w:t>
        <w:tab/>
        <w:t>Descripción</w:t>
      </w:r>
      <w:r>
        <w:rPr>
          <w:rFonts w:ascii="Constantia" w:hAnsi="Constantia"/>
          <w:spacing w:val="-26"/>
          <w:w w:val="95"/>
          <w:sz w:val="19"/>
        </w:rPr>
        <w:t> </w:t>
      </w:r>
      <w:r>
        <w:rPr>
          <w:rFonts w:ascii="Constantia" w:hAnsi="Constantia"/>
          <w:w w:val="95"/>
          <w:sz w:val="19"/>
        </w:rPr>
        <w:t>de</w:t>
      </w:r>
      <w:r>
        <w:rPr>
          <w:rFonts w:ascii="Constantia" w:hAnsi="Constantia"/>
          <w:spacing w:val="-25"/>
          <w:w w:val="95"/>
          <w:sz w:val="19"/>
        </w:rPr>
        <w:t> </w:t>
      </w:r>
      <w:r>
        <w:rPr>
          <w:rFonts w:ascii="Constantia" w:hAnsi="Constantia"/>
          <w:w w:val="95"/>
          <w:sz w:val="19"/>
        </w:rPr>
        <w:t>la</w:t>
      </w:r>
      <w:r>
        <w:rPr>
          <w:rFonts w:ascii="Constantia" w:hAnsi="Constantia"/>
          <w:spacing w:val="-25"/>
          <w:w w:val="95"/>
          <w:sz w:val="19"/>
        </w:rPr>
        <w:t> </w:t>
      </w:r>
      <w:r>
        <w:rPr>
          <w:rFonts w:ascii="Constantia" w:hAnsi="Constantia"/>
          <w:w w:val="95"/>
          <w:sz w:val="19"/>
        </w:rPr>
        <w:t>regla</w:t>
      </w:r>
      <w:r>
        <w:rPr>
          <w:rFonts w:ascii="Constantia" w:hAnsi="Constantia"/>
          <w:spacing w:val="-25"/>
          <w:w w:val="95"/>
          <w:sz w:val="19"/>
        </w:rPr>
        <w:t> </w:t>
      </w:r>
      <w:r>
        <w:rPr>
          <w:rFonts w:ascii="Constantia" w:hAnsi="Constantia"/>
          <w:w w:val="95"/>
          <w:sz w:val="19"/>
        </w:rPr>
        <w:t>fiscal</w:t>
        <w:tab/>
        <w:t>Metodología</w:t>
        <w:tab/>
      </w:r>
      <w:r>
        <w:rPr>
          <w:rFonts w:ascii="Constantia" w:hAnsi="Constantia"/>
          <w:w w:val="90"/>
          <w:position w:val="13"/>
          <w:sz w:val="19"/>
        </w:rPr>
        <w:t>Período</w:t>
      </w:r>
      <w:r>
        <w:rPr>
          <w:rFonts w:ascii="Constantia" w:hAnsi="Constantia"/>
          <w:spacing w:val="-26"/>
          <w:w w:val="90"/>
          <w:position w:val="13"/>
          <w:sz w:val="19"/>
        </w:rPr>
        <w:t> </w:t>
      </w:r>
      <w:r>
        <w:rPr>
          <w:rFonts w:ascii="Constantia" w:hAnsi="Constantia"/>
          <w:w w:val="90"/>
          <w:position w:val="13"/>
          <w:sz w:val="19"/>
        </w:rPr>
        <w:t>de</w:t>
      </w:r>
    </w:p>
    <w:p>
      <w:pPr>
        <w:spacing w:before="7"/>
        <w:ind w:left="190" w:right="-17" w:firstLine="0"/>
        <w:jc w:val="left"/>
        <w:rPr>
          <w:rFonts w:ascii="Constantia"/>
          <w:sz w:val="15"/>
        </w:rPr>
      </w:pPr>
      <w:r>
        <w:rPr/>
        <w:br w:type="column"/>
      </w:r>
      <w:r>
        <w:rPr>
          <w:rFonts w:ascii="Constantia"/>
          <w:w w:val="85"/>
          <w:sz w:val="15"/>
        </w:rPr>
        <w:t>Balance</w:t>
      </w:r>
    </w:p>
    <w:p>
      <w:pPr>
        <w:spacing w:before="7"/>
        <w:ind w:left="239" w:right="-16" w:firstLine="0"/>
        <w:jc w:val="left"/>
        <w:rPr>
          <w:rFonts w:ascii="Constantia"/>
          <w:sz w:val="15"/>
        </w:rPr>
      </w:pPr>
      <w:r>
        <w:rPr/>
        <w:br w:type="column"/>
      </w:r>
      <w:r>
        <w:rPr>
          <w:rFonts w:ascii="Constantia"/>
          <w:w w:val="85"/>
          <w:sz w:val="15"/>
        </w:rPr>
        <w:t>Balance</w:t>
      </w:r>
    </w:p>
    <w:p>
      <w:pPr>
        <w:spacing w:line="125" w:lineRule="exact" w:before="110"/>
        <w:ind w:left="164" w:right="-9" w:firstLine="0"/>
        <w:jc w:val="left"/>
        <w:rPr>
          <w:rFonts w:ascii="Constantia" w:hAnsi="Constantia"/>
          <w:sz w:val="15"/>
        </w:rPr>
      </w:pPr>
      <w:r>
        <w:rPr/>
        <w:br w:type="column"/>
      </w:r>
      <w:r>
        <w:rPr>
          <w:rFonts w:ascii="Constantia" w:hAnsi="Constantia"/>
          <w:w w:val="90"/>
          <w:sz w:val="15"/>
        </w:rPr>
        <w:t>global cíclic. primario</w:t>
      </w:r>
      <w:r>
        <w:rPr>
          <w:rFonts w:ascii="Constantia" w:hAnsi="Constantia"/>
          <w:spacing w:val="-22"/>
          <w:w w:val="90"/>
          <w:sz w:val="15"/>
        </w:rPr>
        <w:t> </w:t>
      </w:r>
      <w:r>
        <w:rPr>
          <w:rFonts w:ascii="Constantia" w:hAnsi="Constantia"/>
          <w:w w:val="90"/>
          <w:sz w:val="15"/>
        </w:rPr>
        <w:t>no</w:t>
      </w:r>
    </w:p>
    <w:p>
      <w:pPr>
        <w:spacing w:before="7"/>
        <w:ind w:left="218" w:right="-12" w:firstLine="0"/>
        <w:jc w:val="left"/>
        <w:rPr>
          <w:rFonts w:ascii="Constantia"/>
          <w:sz w:val="15"/>
        </w:rPr>
      </w:pPr>
      <w:r>
        <w:rPr/>
        <w:br w:type="column"/>
      </w:r>
      <w:r>
        <w:rPr>
          <w:rFonts w:ascii="Constantia"/>
          <w:w w:val="85"/>
          <w:sz w:val="15"/>
        </w:rPr>
        <w:t>Deuda</w:t>
      </w:r>
    </w:p>
    <w:p>
      <w:pPr>
        <w:spacing w:line="125" w:lineRule="exact" w:before="110"/>
        <w:ind w:left="479" w:right="-11" w:firstLine="0"/>
        <w:jc w:val="left"/>
        <w:rPr>
          <w:rFonts w:ascii="Constantia" w:hAnsi="Constantia"/>
          <w:sz w:val="15"/>
        </w:rPr>
      </w:pPr>
      <w:r>
        <w:rPr/>
        <w:br w:type="column"/>
      </w:r>
      <w:r>
        <w:rPr>
          <w:rFonts w:ascii="Constantia" w:hAnsi="Constantia"/>
          <w:w w:val="85"/>
          <w:sz w:val="15"/>
        </w:rPr>
        <w:t>Pública</w:t>
      </w:r>
    </w:p>
    <w:p>
      <w:pPr>
        <w:spacing w:line="125" w:lineRule="exact" w:before="110"/>
        <w:ind w:left="192" w:right="-13" w:firstLine="0"/>
        <w:jc w:val="left"/>
        <w:rPr>
          <w:rFonts w:ascii="Constantia" w:hAnsi="Constantia"/>
          <w:sz w:val="15"/>
        </w:rPr>
      </w:pPr>
      <w:r>
        <w:rPr/>
        <w:br w:type="column"/>
      </w:r>
      <w:r>
        <w:rPr>
          <w:rFonts w:ascii="Constantia" w:hAnsi="Constantia"/>
          <w:w w:val="85"/>
          <w:sz w:val="15"/>
        </w:rPr>
        <w:t>cíclicamente</w:t>
      </w:r>
    </w:p>
    <w:p>
      <w:pPr>
        <w:spacing w:line="143" w:lineRule="exact" w:before="7"/>
        <w:ind w:left="178" w:right="0" w:firstLine="0"/>
        <w:jc w:val="left"/>
        <w:rPr>
          <w:rFonts w:ascii="Constantia"/>
          <w:sz w:val="15"/>
        </w:rPr>
      </w:pPr>
      <w:r>
        <w:rPr/>
        <w:br w:type="column"/>
      </w:r>
      <w:r>
        <w:rPr>
          <w:rFonts w:ascii="Constantia"/>
          <w:w w:val="85"/>
          <w:sz w:val="15"/>
        </w:rPr>
        <w:t>Capital/ Ingr.</w:t>
      </w:r>
    </w:p>
    <w:p>
      <w:pPr>
        <w:spacing w:line="85" w:lineRule="exact" w:before="0"/>
        <w:ind w:left="1026" w:right="0" w:firstLine="0"/>
        <w:jc w:val="left"/>
        <w:rPr>
          <w:rFonts w:ascii="Constantia"/>
          <w:sz w:val="15"/>
        </w:rPr>
      </w:pPr>
      <w:r>
        <w:rPr>
          <w:rFonts w:ascii="Constantia"/>
          <w:w w:val="90"/>
          <w:sz w:val="15"/>
        </w:rPr>
        <w:t>Ingr. Fisc. Sin</w:t>
      </w:r>
    </w:p>
    <w:p>
      <w:pPr>
        <w:spacing w:after="0" w:line="85" w:lineRule="exact"/>
        <w:jc w:val="left"/>
        <w:rPr>
          <w:rFonts w:ascii="Constantia"/>
          <w:sz w:val="15"/>
        </w:rPr>
        <w:sectPr>
          <w:type w:val="continuous"/>
          <w:pgSz w:w="15850" w:h="12250" w:orient="landscape"/>
          <w:pgMar w:top="1500" w:bottom="280" w:left="640" w:right="600"/>
          <w:cols w:num="8" w:equalWidth="0">
            <w:col w:w="6823" w:space="40"/>
            <w:col w:w="622" w:space="40"/>
            <w:col w:w="672" w:space="40"/>
            <w:col w:w="1610" w:space="40"/>
            <w:col w:w="589" w:space="53"/>
            <w:col w:w="898" w:space="40"/>
            <w:col w:w="897" w:space="40"/>
            <w:col w:w="2206"/>
          </w:cols>
        </w:sectPr>
      </w:pPr>
    </w:p>
    <w:p>
      <w:pPr>
        <w:spacing w:line="203" w:lineRule="exact" w:before="0"/>
        <w:ind w:left="0" w:right="0" w:firstLine="0"/>
        <w:jc w:val="right"/>
        <w:rPr>
          <w:rFonts w:ascii="Constantia"/>
          <w:sz w:val="19"/>
        </w:rPr>
      </w:pPr>
      <w:r>
        <w:rPr>
          <w:rFonts w:ascii="Constantia"/>
          <w:w w:val="85"/>
          <w:sz w:val="19"/>
        </w:rPr>
        <w:t>prospectiva:</w:t>
      </w:r>
    </w:p>
    <w:p>
      <w:pPr>
        <w:spacing w:line="153" w:lineRule="exact" w:before="0"/>
        <w:ind w:left="117" w:right="-20" w:firstLine="0"/>
        <w:jc w:val="left"/>
        <w:rPr>
          <w:rFonts w:ascii="Constantia"/>
          <w:sz w:val="15"/>
        </w:rPr>
      </w:pPr>
      <w:r>
        <w:rPr/>
        <w:br w:type="column"/>
      </w:r>
      <w:r>
        <w:rPr>
          <w:rFonts w:ascii="Constantia"/>
          <w:w w:val="85"/>
          <w:sz w:val="15"/>
        </w:rPr>
        <w:t>primario</w:t>
      </w:r>
    </w:p>
    <w:p>
      <w:pPr>
        <w:spacing w:line="153" w:lineRule="exact" w:before="0"/>
        <w:ind w:left="265" w:right="-13" w:firstLine="0"/>
        <w:jc w:val="left"/>
        <w:rPr>
          <w:rFonts w:ascii="Constantia"/>
          <w:sz w:val="15"/>
        </w:rPr>
      </w:pPr>
      <w:r>
        <w:rPr/>
        <w:br w:type="column"/>
      </w:r>
      <w:r>
        <w:rPr>
          <w:rFonts w:ascii="Constantia"/>
          <w:w w:val="85"/>
          <w:sz w:val="15"/>
        </w:rPr>
        <w:t>global</w:t>
      </w:r>
    </w:p>
    <w:p>
      <w:pPr>
        <w:spacing w:before="72"/>
        <w:ind w:left="389" w:right="-8" w:firstLine="0"/>
        <w:jc w:val="left"/>
        <w:rPr>
          <w:rFonts w:ascii="Constantia"/>
          <w:sz w:val="15"/>
        </w:rPr>
      </w:pPr>
      <w:r>
        <w:rPr/>
        <w:br w:type="column"/>
      </w:r>
      <w:r>
        <w:rPr>
          <w:rFonts w:ascii="Constantia"/>
          <w:w w:val="85"/>
          <w:sz w:val="15"/>
        </w:rPr>
        <w:t>Ajust.</w:t>
      </w:r>
    </w:p>
    <w:p>
      <w:pPr>
        <w:spacing w:before="72"/>
        <w:ind w:left="303" w:right="-14" w:firstLine="0"/>
        <w:jc w:val="left"/>
        <w:rPr>
          <w:rFonts w:ascii="Constantia"/>
          <w:sz w:val="15"/>
        </w:rPr>
      </w:pPr>
      <w:r>
        <w:rPr/>
        <w:br w:type="column"/>
      </w:r>
      <w:r>
        <w:rPr>
          <w:rFonts w:ascii="Constantia"/>
          <w:w w:val="85"/>
          <w:sz w:val="15"/>
        </w:rPr>
        <w:t>petrolero</w:t>
      </w:r>
    </w:p>
    <w:p>
      <w:pPr>
        <w:spacing w:line="153" w:lineRule="exact" w:before="0"/>
        <w:ind w:left="259" w:right="-11" w:firstLine="0"/>
        <w:jc w:val="left"/>
        <w:rPr>
          <w:rFonts w:ascii="Constantia" w:hAnsi="Constantia"/>
          <w:sz w:val="15"/>
        </w:rPr>
      </w:pPr>
      <w:r>
        <w:rPr/>
        <w:br w:type="column"/>
      </w:r>
      <w:r>
        <w:rPr>
          <w:rFonts w:ascii="Constantia" w:hAnsi="Constantia"/>
          <w:w w:val="85"/>
          <w:sz w:val="15"/>
        </w:rPr>
        <w:t>Pública</w:t>
      </w:r>
    </w:p>
    <w:p>
      <w:pPr>
        <w:spacing w:before="72"/>
        <w:ind w:left="410" w:right="-20" w:firstLine="0"/>
        <w:jc w:val="left"/>
        <w:rPr>
          <w:rFonts w:ascii="Constantia" w:hAnsi="Constantia"/>
          <w:sz w:val="15"/>
        </w:rPr>
      </w:pPr>
      <w:r>
        <w:rPr/>
        <w:br w:type="column"/>
      </w:r>
      <w:r>
        <w:rPr>
          <w:rFonts w:ascii="Constantia" w:hAnsi="Constantia"/>
          <w:w w:val="85"/>
          <w:sz w:val="15"/>
        </w:rPr>
        <w:t>(máxima)</w:t>
      </w:r>
    </w:p>
    <w:p>
      <w:pPr>
        <w:spacing w:before="72"/>
        <w:ind w:left="254" w:right="-6" w:firstLine="0"/>
        <w:jc w:val="left"/>
        <w:rPr>
          <w:rFonts w:ascii="Constantia"/>
          <w:sz w:val="15"/>
        </w:rPr>
      </w:pPr>
      <w:r>
        <w:rPr/>
        <w:br w:type="column"/>
      </w:r>
      <w:r>
        <w:rPr>
          <w:rFonts w:ascii="Constantia"/>
          <w:w w:val="85"/>
          <w:sz w:val="15"/>
        </w:rPr>
        <w:t>ajustado</w:t>
      </w:r>
    </w:p>
    <w:p>
      <w:pPr>
        <w:spacing w:line="153" w:lineRule="exact" w:before="0"/>
        <w:ind w:left="293" w:right="0" w:firstLine="0"/>
        <w:jc w:val="center"/>
        <w:rPr>
          <w:rFonts w:ascii="Constantia"/>
          <w:sz w:val="15"/>
        </w:rPr>
      </w:pPr>
      <w:r>
        <w:rPr/>
        <w:br w:type="column"/>
      </w:r>
      <w:r>
        <w:rPr>
          <w:rFonts w:ascii="Constantia"/>
          <w:w w:val="90"/>
          <w:sz w:val="15"/>
        </w:rPr>
        <w:t>Fisc.</w:t>
      </w:r>
      <w:r>
        <w:rPr>
          <w:rFonts w:ascii="Constantia"/>
          <w:spacing w:val="-16"/>
          <w:w w:val="90"/>
          <w:sz w:val="15"/>
        </w:rPr>
        <w:t> </w:t>
      </w:r>
      <w:r>
        <w:rPr>
          <w:rFonts w:ascii="Constantia"/>
          <w:w w:val="90"/>
          <w:sz w:val="15"/>
        </w:rPr>
        <w:t>Sin</w:t>
      </w:r>
      <w:r>
        <w:rPr>
          <w:rFonts w:ascii="Constantia"/>
          <w:spacing w:val="-17"/>
          <w:w w:val="90"/>
          <w:sz w:val="15"/>
        </w:rPr>
        <w:t> </w:t>
      </w:r>
      <w:r>
        <w:rPr>
          <w:rFonts w:ascii="Constantia"/>
          <w:w w:val="90"/>
          <w:sz w:val="15"/>
        </w:rPr>
        <w:t>Rec.</w:t>
      </w:r>
    </w:p>
    <w:p>
      <w:pPr>
        <w:spacing w:before="14"/>
        <w:ind w:left="301" w:right="0" w:firstLine="0"/>
        <w:jc w:val="center"/>
        <w:rPr>
          <w:rFonts w:ascii="Constantia"/>
          <w:sz w:val="15"/>
        </w:rPr>
      </w:pPr>
      <w:r>
        <w:rPr>
          <w:rFonts w:ascii="Constantia"/>
          <w:w w:val="95"/>
          <w:sz w:val="15"/>
        </w:rPr>
        <w:t>Natur.</w:t>
      </w:r>
    </w:p>
    <w:p>
      <w:pPr>
        <w:spacing w:before="72"/>
        <w:ind w:left="194" w:right="0" w:firstLine="0"/>
        <w:jc w:val="left"/>
        <w:rPr>
          <w:rFonts w:ascii="Constantia"/>
          <w:sz w:val="15"/>
        </w:rPr>
      </w:pPr>
      <w:r>
        <w:rPr/>
        <w:br w:type="column"/>
      </w:r>
      <w:r>
        <w:rPr>
          <w:rFonts w:ascii="Constantia"/>
          <w:w w:val="90"/>
          <w:sz w:val="15"/>
        </w:rPr>
        <w:t>Rec. Nat.</w:t>
      </w:r>
    </w:p>
    <w:p>
      <w:pPr>
        <w:spacing w:after="0"/>
        <w:jc w:val="left"/>
        <w:rPr>
          <w:rFonts w:ascii="Constantia"/>
          <w:sz w:val="15"/>
        </w:rPr>
        <w:sectPr>
          <w:type w:val="continuous"/>
          <w:pgSz w:w="15850" w:h="12250" w:orient="landscape"/>
          <w:pgMar w:top="1500" w:bottom="280" w:left="640" w:right="600"/>
          <w:cols w:num="10" w:equalWidth="0">
            <w:col w:w="6868" w:space="40"/>
            <w:col w:w="599" w:space="40"/>
            <w:col w:w="610" w:space="40"/>
            <w:col w:w="723" w:space="40"/>
            <w:col w:w="819" w:space="40"/>
            <w:col w:w="678" w:space="40"/>
            <w:col w:w="945" w:space="40"/>
            <w:col w:w="735" w:space="40"/>
            <w:col w:w="1031" w:space="40"/>
            <w:col w:w="1242"/>
          </w:cols>
        </w:sectPr>
      </w:pPr>
    </w:p>
    <w:p>
      <w:pPr>
        <w:pStyle w:val="BodyText"/>
        <w:spacing w:before="4"/>
        <w:rPr>
          <w:rFonts w:ascii="Constantia"/>
          <w:sz w:val="8"/>
        </w:rPr>
      </w:pPr>
    </w:p>
    <w:p>
      <w:pPr>
        <w:spacing w:line="240" w:lineRule="auto"/>
        <w:ind w:left="112" w:right="0" w:firstLine="0"/>
        <w:rPr>
          <w:rFonts w:ascii="Constantia"/>
          <w:sz w:val="20"/>
        </w:rPr>
      </w:pPr>
      <w:r>
        <w:rPr>
          <w:rFonts w:ascii="Constantia"/>
          <w:sz w:val="20"/>
        </w:rPr>
        <w:pict>
          <v:group style="width:530pt;height:39.9pt;mso-position-horizontal-relative:char;mso-position-vertical-relative:line" coordorigin="0,0" coordsize="10600,798">
            <v:rect style="position:absolute;left:4;top:32;width:10596;height:47" filled="true" fillcolor="#fdfdfd" stroked="false">
              <v:fill type="solid"/>
            </v:rect>
            <v:rect style="position:absolute;left:4;top:79;width:10596;height:103" filled="true" fillcolor="#fcfcfc" stroked="false">
              <v:fill type="solid"/>
            </v:rect>
            <v:rect style="position:absolute;left:4;top:182;width:10596;height:47" filled="true" fillcolor="#fbfbfb" stroked="false">
              <v:fill type="solid"/>
            </v:rect>
            <v:rect style="position:absolute;left:4;top:229;width:10596;height:47" filled="true" fillcolor="#fafafa" stroked="false">
              <v:fill type="solid"/>
            </v:rect>
            <v:rect style="position:absolute;left:4;top:277;width:10596;height:55" filled="true" fillcolor="#f9f9f9" stroked="false">
              <v:fill type="solid"/>
            </v:rect>
            <v:rect style="position:absolute;left:4;top:332;width:10596;height:95" filled="true" fillcolor="#f8f8f8" stroked="false">
              <v:fill type="solid"/>
            </v:rect>
            <v:rect style="position:absolute;left:4;top:427;width:10596;height:47" filled="true" fillcolor="#f8f8f8" stroked="false">
              <v:fill type="solid"/>
            </v:rect>
            <v:rect style="position:absolute;left:4;top:474;width:10596;height:55" filled="true" fillcolor="#f7f7f7" stroked="false">
              <v:fill type="solid"/>
            </v:rect>
            <v:rect style="position:absolute;left:4;top:529;width:10596;height:47" filled="true" fillcolor="#f6f6f6" stroked="false">
              <v:fill type="solid"/>
            </v:rect>
            <v:rect style="position:absolute;left:4;top:577;width:10596;height:47" filled="true" fillcolor="#f5f5f5" stroked="false">
              <v:fill type="solid"/>
            </v:rect>
            <v:rect style="position:absolute;left:4;top:624;width:10596;height:103" filled="true" fillcolor="#f4f4f4" stroked="false">
              <v:fill type="solid"/>
            </v:rect>
            <v:rect style="position:absolute;left:4;top:727;width:10596;height:47" filled="true" fillcolor="#f3f3f3" stroked="false">
              <v:fill type="solid"/>
            </v:rect>
            <v:rect style="position:absolute;left:4;top:774;width:10596;height:24" filled="true" fillcolor="#f1f1f1" stroked="false">
              <v:fill type="solid"/>
            </v:rect>
            <v:line style="position:absolute" from="7,4" to="10590,4" stroked="true" strokeweight=".394498pt" strokecolor="#000000"/>
            <v:line style="position:absolute" from="4,4" to="10593,4" stroked="true" strokeweight=".394498pt" strokecolor="#000000"/>
            <v:line style="position:absolute" from="7,20" to="10590,20" stroked="true" strokeweight=".394498pt" strokecolor="#000000"/>
            <v:line style="position:absolute" from="4,20" to="10593,20" stroked="true" strokeweight=".394498pt" strokecolor="#000000"/>
            <v:shape style="position:absolute;left:31;top:213;width:1118;height:190" type="#_x0000_t202" filled="false" stroked="false">
              <v:textbox inset="0,0,0,0">
                <w:txbxContent>
                  <w:p>
                    <w:pPr>
                      <w:spacing w:line="190" w:lineRule="exact" w:before="0"/>
                      <w:ind w:left="0" w:right="-14" w:firstLine="0"/>
                      <w:jc w:val="left"/>
                      <w:rPr>
                        <w:rFonts w:ascii="Constantia"/>
                        <w:sz w:val="19"/>
                      </w:rPr>
                    </w:pPr>
                    <w:r>
                      <w:rPr>
                        <w:rFonts w:ascii="Constantia"/>
                        <w:w w:val="90"/>
                        <w:sz w:val="19"/>
                      </w:rPr>
                      <w:t>Lora, Mendoza</w:t>
                    </w:r>
                  </w:p>
                </w:txbxContent>
              </v:textbox>
              <w10:wrap type="none"/>
            </v:shape>
            <v:shape style="position:absolute;left:1317;top:148;width:2359;height:151" type="#_x0000_t202" filled="false" stroked="false">
              <v:textbox inset="0,0,0,0">
                <w:txbxContent>
                  <w:p>
                    <w:pPr>
                      <w:spacing w:line="150" w:lineRule="exact" w:before="0"/>
                      <w:ind w:left="0" w:right="0" w:firstLine="0"/>
                      <w:jc w:val="left"/>
                      <w:rPr>
                        <w:rFonts w:ascii="Constantia"/>
                        <w:sz w:val="15"/>
                      </w:rPr>
                    </w:pPr>
                    <w:r>
                      <w:rPr>
                        <w:rFonts w:ascii="Constantia"/>
                        <w:w w:val="85"/>
                        <w:sz w:val="15"/>
                      </w:rPr>
                      <w:t>Escenario base y alternativos (favorables y</w:t>
                    </w:r>
                  </w:p>
                </w:txbxContent>
              </v:textbox>
              <w10:wrap type="none"/>
            </v:shape>
            <v:shape style="position:absolute;left:31;top:345;width:5082;height:302" type="#_x0000_t202" filled="false" stroked="false">
              <v:textbox inset="0,0,0,0">
                <w:txbxContent>
                  <w:p>
                    <w:pPr>
                      <w:spacing w:line="112" w:lineRule="exact" w:before="0"/>
                      <w:ind w:left="132" w:right="0" w:firstLine="0"/>
                      <w:jc w:val="center"/>
                      <w:rPr>
                        <w:rFonts w:ascii="Constantia"/>
                        <w:sz w:val="15"/>
                      </w:rPr>
                    </w:pPr>
                    <w:r>
                      <w:rPr>
                        <w:rFonts w:ascii="Constantia"/>
                        <w:w w:val="85"/>
                        <w:sz w:val="15"/>
                      </w:rPr>
                      <w:t>desfavorables): crecimiento del producto, tasas</w:t>
                    </w:r>
                  </w:p>
                  <w:p>
                    <w:pPr>
                      <w:tabs>
                        <w:tab w:pos="4056" w:val="left" w:leader="none"/>
                      </w:tabs>
                      <w:spacing w:line="190" w:lineRule="exact" w:before="0"/>
                      <w:ind w:left="0" w:right="0" w:firstLine="0"/>
                      <w:jc w:val="center"/>
                      <w:rPr>
                        <w:rFonts w:ascii="Constantia" w:hAnsi="Constantia"/>
                        <w:sz w:val="16"/>
                      </w:rPr>
                    </w:pPr>
                    <w:r>
                      <w:rPr>
                        <w:rFonts w:ascii="Constantia" w:hAnsi="Constantia"/>
                        <w:position w:val="-1"/>
                        <w:sz w:val="19"/>
                      </w:rPr>
                      <w:t>y</w:t>
                    </w:r>
                    <w:r>
                      <w:rPr>
                        <w:rFonts w:ascii="Constantia" w:hAnsi="Constantia"/>
                        <w:spacing w:val="-37"/>
                        <w:position w:val="-1"/>
                        <w:sz w:val="19"/>
                      </w:rPr>
                      <w:t> </w:t>
                    </w:r>
                    <w:r>
                      <w:rPr>
                        <w:rFonts w:ascii="Constantia" w:hAnsi="Constantia"/>
                        <w:position w:val="-1"/>
                        <w:sz w:val="19"/>
                      </w:rPr>
                      <w:t>Quiroga</w:t>
                    </w:r>
                    <w:r>
                      <w:rPr>
                        <w:rFonts w:ascii="Constantia" w:hAnsi="Constantia"/>
                        <w:spacing w:val="-37"/>
                        <w:position w:val="-1"/>
                        <w:sz w:val="19"/>
                      </w:rPr>
                      <w:t> </w:t>
                    </w:r>
                    <w:r>
                      <w:rPr>
                        <w:rFonts w:ascii="Constantia" w:hAnsi="Constantia"/>
                        <w:position w:val="-1"/>
                        <w:sz w:val="19"/>
                      </w:rPr>
                      <w:t>(2002)</w:t>
                      <w:tab/>
                    </w:r>
                    <w:r>
                      <w:rPr>
                        <w:rFonts w:ascii="Constantia" w:hAnsi="Constantia"/>
                        <w:w w:val="90"/>
                        <w:sz w:val="16"/>
                      </w:rPr>
                      <w:t>la deuda</w:t>
                    </w:r>
                    <w:r>
                      <w:rPr>
                        <w:rFonts w:ascii="Constantia" w:hAnsi="Constantia"/>
                        <w:spacing w:val="-7"/>
                        <w:w w:val="90"/>
                        <w:sz w:val="16"/>
                      </w:rPr>
                      <w:t> </w:t>
                    </w:r>
                    <w:r>
                      <w:rPr>
                        <w:rFonts w:ascii="Constantia" w:hAnsi="Constantia"/>
                        <w:w w:val="90"/>
                        <w:sz w:val="16"/>
                      </w:rPr>
                      <w:t>pública</w:t>
                    </w:r>
                  </w:p>
                </w:txbxContent>
              </v:textbox>
              <w10:wrap type="none"/>
            </v:shape>
            <v:shape style="position:absolute;left:4088;top:231;width:1730;height:166" type="#_x0000_t202" filled="false" stroked="false">
              <v:textbox inset="0,0,0,0">
                <w:txbxContent>
                  <w:p>
                    <w:pPr>
                      <w:spacing w:line="166" w:lineRule="exact" w:before="0"/>
                      <w:ind w:left="0" w:right="-6" w:firstLine="0"/>
                      <w:jc w:val="left"/>
                      <w:rPr>
                        <w:rFonts w:ascii="Constantia" w:hAnsi="Constantia"/>
                        <w:sz w:val="16"/>
                      </w:rPr>
                    </w:pPr>
                    <w:r>
                      <w:rPr>
                        <w:rFonts w:ascii="Constantia" w:hAnsi="Constantia"/>
                        <w:w w:val="90"/>
                        <w:sz w:val="16"/>
                      </w:rPr>
                      <w:t>Análisis de sostenbilidad</w:t>
                    </w:r>
                    <w:r>
                      <w:rPr>
                        <w:rFonts w:ascii="Constantia" w:hAnsi="Constantia"/>
                        <w:spacing w:val="-16"/>
                        <w:w w:val="90"/>
                        <w:sz w:val="16"/>
                      </w:rPr>
                      <w:t> </w:t>
                    </w:r>
                    <w:r>
                      <w:rPr>
                        <w:rFonts w:ascii="Constantia" w:hAnsi="Constantia"/>
                        <w:w w:val="90"/>
                        <w:sz w:val="16"/>
                      </w:rPr>
                      <w:t>de</w:t>
                    </w:r>
                  </w:p>
                </w:txbxContent>
              </v:textbox>
              <w10:wrap type="none"/>
            </v:shape>
            <v:shape style="position:absolute;left:5976;top:332;width:1269;height:190" type="#_x0000_t202" filled="false" stroked="false">
              <v:textbox inset="0,0,0,0">
                <w:txbxContent>
                  <w:p>
                    <w:pPr>
                      <w:tabs>
                        <w:tab w:pos="1094" w:val="left" w:leader="none"/>
                      </w:tabs>
                      <w:spacing w:line="190" w:lineRule="exact" w:before="0"/>
                      <w:ind w:left="0" w:right="0" w:firstLine="0"/>
                      <w:jc w:val="left"/>
                      <w:rPr>
                        <w:rFonts w:ascii="Constantia"/>
                        <w:sz w:val="19"/>
                      </w:rPr>
                    </w:pPr>
                    <w:r>
                      <w:rPr>
                        <w:rFonts w:ascii="Constantia"/>
                        <w:sz w:val="19"/>
                      </w:rPr>
                      <w:t>2003-2015</w:t>
                      <w:tab/>
                    </w:r>
                    <w:r>
                      <w:rPr>
                        <w:rFonts w:ascii="Constantia"/>
                        <w:w w:val="85"/>
                        <w:sz w:val="19"/>
                      </w:rPr>
                      <w:t>1.5</w:t>
                    </w:r>
                  </w:p>
                </w:txbxContent>
              </v:textbox>
              <w10:wrap type="none"/>
            </v:shape>
            <v:shape style="position:absolute;left:7747;top:332;width:247;height:190" type="#_x0000_t202" filled="false" stroked="false">
              <v:textbox inset="0,0,0,0">
                <w:txbxContent>
                  <w:p>
                    <w:pPr>
                      <w:spacing w:line="190" w:lineRule="exact" w:before="0"/>
                      <w:ind w:left="0" w:right="-12" w:firstLine="0"/>
                      <w:jc w:val="left"/>
                      <w:rPr>
                        <w:rFonts w:ascii="Constantia"/>
                        <w:sz w:val="19"/>
                      </w:rPr>
                    </w:pPr>
                    <w:r>
                      <w:rPr>
                        <w:rFonts w:ascii="Constantia"/>
                        <w:w w:val="85"/>
                        <w:sz w:val="19"/>
                      </w:rPr>
                      <w:t>-1.9</w:t>
                    </w:r>
                  </w:p>
                </w:txbxContent>
              </v:textbox>
              <w10:wrap type="none"/>
            </v:shape>
            <v:shape style="position:absolute;left:9936;top:332;width:486;height:190" type="#_x0000_t202" filled="false" stroked="false">
              <v:textbox inset="0,0,0,0">
                <w:txbxContent>
                  <w:p>
                    <w:pPr>
                      <w:spacing w:line="190" w:lineRule="exact" w:before="0"/>
                      <w:ind w:left="0" w:right="-16" w:firstLine="0"/>
                      <w:jc w:val="left"/>
                      <w:rPr>
                        <w:rFonts w:ascii="Constantia"/>
                        <w:sz w:val="19"/>
                      </w:rPr>
                    </w:pPr>
                    <w:r>
                      <w:rPr>
                        <w:rFonts w:ascii="Constantia"/>
                        <w:sz w:val="19"/>
                      </w:rPr>
                      <w:t>50</w:t>
                    </w:r>
                    <w:r>
                      <w:rPr>
                        <w:rFonts w:ascii="Constantia"/>
                        <w:spacing w:val="-40"/>
                        <w:sz w:val="19"/>
                      </w:rPr>
                      <w:t> </w:t>
                    </w:r>
                    <w:r>
                      <w:rPr>
                        <w:rFonts w:ascii="Constantia"/>
                        <w:sz w:val="19"/>
                      </w:rPr>
                      <w:t>-</w:t>
                    </w:r>
                    <w:r>
                      <w:rPr>
                        <w:rFonts w:ascii="Constantia"/>
                        <w:spacing w:val="-40"/>
                        <w:sz w:val="19"/>
                      </w:rPr>
                      <w:t> </w:t>
                    </w:r>
                    <w:r>
                      <w:rPr>
                        <w:rFonts w:ascii="Constantia"/>
                        <w:sz w:val="19"/>
                      </w:rPr>
                      <w:t>60</w:t>
                    </w:r>
                  </w:p>
                </w:txbxContent>
              </v:textbox>
              <w10:wrap type="none"/>
            </v:shape>
            <v:shape style="position:absolute;left:1317;top:543;width:1612;height:151" type="#_x0000_t202" filled="false" stroked="false">
              <v:textbox inset="0,0,0,0">
                <w:txbxContent>
                  <w:p>
                    <w:pPr>
                      <w:spacing w:line="150" w:lineRule="exact" w:before="0"/>
                      <w:ind w:left="0" w:right="-4" w:firstLine="0"/>
                      <w:jc w:val="left"/>
                      <w:rPr>
                        <w:rFonts w:ascii="Constantia" w:hAnsi="Constantia"/>
                        <w:sz w:val="15"/>
                      </w:rPr>
                    </w:pPr>
                    <w:r>
                      <w:rPr>
                        <w:rFonts w:ascii="Constantia" w:hAnsi="Constantia"/>
                        <w:w w:val="90"/>
                        <w:sz w:val="15"/>
                      </w:rPr>
                      <w:t>de</w:t>
                    </w:r>
                    <w:r>
                      <w:rPr>
                        <w:rFonts w:ascii="Constantia" w:hAnsi="Constantia"/>
                        <w:spacing w:val="-16"/>
                        <w:w w:val="90"/>
                        <w:sz w:val="15"/>
                      </w:rPr>
                      <w:t> </w:t>
                    </w:r>
                    <w:r>
                      <w:rPr>
                        <w:rFonts w:ascii="Constantia" w:hAnsi="Constantia"/>
                        <w:w w:val="90"/>
                        <w:sz w:val="15"/>
                      </w:rPr>
                      <w:t>interés</w:t>
                    </w:r>
                    <w:r>
                      <w:rPr>
                        <w:rFonts w:ascii="Constantia" w:hAnsi="Constantia"/>
                        <w:spacing w:val="-14"/>
                        <w:w w:val="90"/>
                        <w:sz w:val="15"/>
                      </w:rPr>
                      <w:t> </w:t>
                    </w:r>
                    <w:r>
                      <w:rPr>
                        <w:rFonts w:ascii="Constantia" w:hAnsi="Constantia"/>
                        <w:w w:val="90"/>
                        <w:sz w:val="15"/>
                      </w:rPr>
                      <w:t>real</w:t>
                    </w:r>
                    <w:r>
                      <w:rPr>
                        <w:rFonts w:ascii="Constantia" w:hAnsi="Constantia"/>
                        <w:spacing w:val="-16"/>
                        <w:w w:val="90"/>
                        <w:sz w:val="15"/>
                      </w:rPr>
                      <w:t> </w:t>
                    </w:r>
                    <w:r>
                      <w:rPr>
                        <w:rFonts w:ascii="Constantia" w:hAnsi="Constantia"/>
                        <w:w w:val="90"/>
                        <w:sz w:val="15"/>
                      </w:rPr>
                      <w:t>y</w:t>
                    </w:r>
                    <w:r>
                      <w:rPr>
                        <w:rFonts w:ascii="Constantia" w:hAnsi="Constantia"/>
                        <w:spacing w:val="-16"/>
                        <w:w w:val="90"/>
                        <w:sz w:val="15"/>
                      </w:rPr>
                      <w:t> </w:t>
                    </w:r>
                    <w:r>
                      <w:rPr>
                        <w:rFonts w:ascii="Constantia" w:hAnsi="Constantia"/>
                        <w:w w:val="90"/>
                        <w:sz w:val="15"/>
                      </w:rPr>
                      <w:t>ajuste</w:t>
                    </w:r>
                    <w:r>
                      <w:rPr>
                        <w:rFonts w:ascii="Constantia" w:hAnsi="Constantia"/>
                        <w:spacing w:val="-16"/>
                        <w:w w:val="90"/>
                        <w:sz w:val="15"/>
                      </w:rPr>
                      <w:t> </w:t>
                    </w:r>
                    <w:r>
                      <w:rPr>
                        <w:rFonts w:ascii="Constantia" w:hAnsi="Constantia"/>
                        <w:w w:val="90"/>
                        <w:sz w:val="15"/>
                      </w:rPr>
                      <w:t>fiscal.</w:t>
                    </w:r>
                  </w:p>
                </w:txbxContent>
              </v:textbox>
              <w10:wrap type="none"/>
            </v:shape>
          </v:group>
        </w:pict>
      </w:r>
      <w:r>
        <w:rPr>
          <w:rFonts w:ascii="Constantia"/>
          <w:sz w:val="20"/>
        </w:rPr>
      </w:r>
      <w:r>
        <w:rPr>
          <w:spacing w:val="76"/>
          <w:sz w:val="20"/>
        </w:rPr>
        <w:t> </w:t>
      </w:r>
      <w:r>
        <w:rPr>
          <w:rFonts w:ascii="Constantia"/>
          <w:spacing w:val="76"/>
          <w:sz w:val="20"/>
        </w:rPr>
        <w:pict>
          <v:group style="width:79.9pt;height:39.9pt;mso-position-horizontal-relative:char;mso-position-vertical-relative:line" coordorigin="0,0" coordsize="1598,798">
            <v:rect style="position:absolute;left:0;top:32;width:1594;height:47" filled="true" fillcolor="#fdfdfd" stroked="false">
              <v:fill type="solid"/>
            </v:rect>
            <v:rect style="position:absolute;left:0;top:79;width:1594;height:103" filled="true" fillcolor="#fcfcfc" stroked="false">
              <v:fill type="solid"/>
            </v:rect>
            <v:rect style="position:absolute;left:0;top:182;width:1594;height:47" filled="true" fillcolor="#fbfbfb" stroked="false">
              <v:fill type="solid"/>
            </v:rect>
            <v:rect style="position:absolute;left:0;top:229;width:1594;height:47" filled="true" fillcolor="#fafafa" stroked="false">
              <v:fill type="solid"/>
            </v:rect>
            <v:rect style="position:absolute;left:0;top:277;width:1594;height:55" filled="true" fillcolor="#f9f9f9" stroked="false">
              <v:fill type="solid"/>
            </v:rect>
            <v:rect style="position:absolute;left:0;top:332;width:1594;height:95" filled="true" fillcolor="#f8f8f8" stroked="false">
              <v:fill type="solid"/>
            </v:rect>
            <v:rect style="position:absolute;left:0;top:427;width:1594;height:47" filled="true" fillcolor="#f8f8f8" stroked="false">
              <v:fill type="solid"/>
            </v:rect>
            <v:rect style="position:absolute;left:0;top:474;width:1594;height:55" filled="true" fillcolor="#f7f7f7" stroked="false">
              <v:fill type="solid"/>
            </v:rect>
            <v:rect style="position:absolute;left:0;top:529;width:1594;height:47" filled="true" fillcolor="#f6f6f6" stroked="false">
              <v:fill type="solid"/>
            </v:rect>
            <v:rect style="position:absolute;left:0;top:577;width:1594;height:47" filled="true" fillcolor="#f5f5f5" stroked="false">
              <v:fill type="solid"/>
            </v:rect>
            <v:rect style="position:absolute;left:0;top:624;width:1594;height:103" filled="true" fillcolor="#f4f4f4" stroked="false">
              <v:fill type="solid"/>
            </v:rect>
            <v:rect style="position:absolute;left:0;top:727;width:1594;height:47" filled="true" fillcolor="#f3f3f3" stroked="false">
              <v:fill type="solid"/>
            </v:rect>
            <v:rect style="position:absolute;left:0;top:774;width:1594;height:24" filled="true" fillcolor="#f1f1f1" stroked="false">
              <v:fill type="solid"/>
            </v:rect>
            <v:line style="position:absolute" from="17,4" to="1590,4" stroked="true" strokeweight=".394498pt" strokecolor="#000000"/>
            <v:line style="position:absolute" from="14,4" to="1594,4" stroked="true" strokeweight=".394498pt" strokecolor="#000000"/>
            <v:line style="position:absolute" from="17,20" to="1590,20" stroked="true" strokeweight=".394498pt" strokecolor="#000000"/>
            <v:line style="position:absolute" from="14,20" to="1594,20" stroked="true" strokeweight=".394498pt" strokecolor="#000000"/>
          </v:group>
        </w:pict>
      </w:r>
      <w:r>
        <w:rPr>
          <w:rFonts w:ascii="Constantia"/>
          <w:spacing w:val="76"/>
          <w:sz w:val="20"/>
        </w:rPr>
      </w:r>
      <w:r>
        <w:rPr>
          <w:spacing w:val="22"/>
          <w:sz w:val="20"/>
        </w:rPr>
        <w:t> </w:t>
      </w:r>
      <w:r>
        <w:rPr>
          <w:rFonts w:ascii="Constantia"/>
          <w:spacing w:val="22"/>
          <w:sz w:val="20"/>
        </w:rPr>
        <w:pict>
          <v:group style="width:86.1pt;height:39.9pt;mso-position-horizontal-relative:char;mso-position-vertical-relative:line" coordorigin="0,0" coordsize="1722,798">
            <v:rect style="position:absolute;left:0;top:32;width:1717;height:47" filled="true" fillcolor="#fdfdfd" stroked="false">
              <v:fill type="solid"/>
            </v:rect>
            <v:rect style="position:absolute;left:0;top:79;width:1717;height:103" filled="true" fillcolor="#fcfcfc" stroked="false">
              <v:fill type="solid"/>
            </v:rect>
            <v:rect style="position:absolute;left:0;top:182;width:1717;height:47" filled="true" fillcolor="#fbfbfb" stroked="false">
              <v:fill type="solid"/>
            </v:rect>
            <v:rect style="position:absolute;left:0;top:229;width:1717;height:47" filled="true" fillcolor="#fafafa" stroked="false">
              <v:fill type="solid"/>
            </v:rect>
            <v:rect style="position:absolute;left:0;top:277;width:1717;height:55" filled="true" fillcolor="#f9f9f9" stroked="false">
              <v:fill type="solid"/>
            </v:rect>
            <v:rect style="position:absolute;left:0;top:332;width:1717;height:95" filled="true" fillcolor="#f8f8f8" stroked="false">
              <v:fill type="solid"/>
            </v:rect>
            <v:rect style="position:absolute;left:0;top:427;width:1717;height:47" filled="true" fillcolor="#f8f8f8" stroked="false">
              <v:fill type="solid"/>
            </v:rect>
            <v:rect style="position:absolute;left:0;top:474;width:1717;height:55" filled="true" fillcolor="#f7f7f7" stroked="false">
              <v:fill type="solid"/>
            </v:rect>
            <v:rect style="position:absolute;left:0;top:529;width:1717;height:47" filled="true" fillcolor="#f6f6f6" stroked="false">
              <v:fill type="solid"/>
            </v:rect>
            <v:rect style="position:absolute;left:0;top:577;width:1717;height:47" filled="true" fillcolor="#f5f5f5" stroked="false">
              <v:fill type="solid"/>
            </v:rect>
            <v:rect style="position:absolute;left:0;top:624;width:1717;height:103" filled="true" fillcolor="#f4f4f4" stroked="false">
              <v:fill type="solid"/>
            </v:rect>
            <v:rect style="position:absolute;left:0;top:727;width:1717;height:47" filled="true" fillcolor="#f3f3f3" stroked="false">
              <v:fill type="solid"/>
            </v:rect>
            <v:rect style="position:absolute;left:0;top:774;width:1717;height:24" filled="true" fillcolor="#f1f1f1" stroked="false">
              <v:fill type="solid"/>
            </v:rect>
            <v:line style="position:absolute" from="17,4" to="1714,4" stroked="true" strokeweight=".394498pt" strokecolor="#000000"/>
            <v:line style="position:absolute" from="14,4" to="1717,4" stroked="true" strokeweight=".394498pt" strokecolor="#000000"/>
            <v:line style="position:absolute" from="17,20" to="1714,20" stroked="true" strokeweight=".394498pt" strokecolor="#000000"/>
            <v:line style="position:absolute" from="14,20" to="1717,20" stroked="true" strokeweight=".394498pt" strokecolor="#000000"/>
          </v:group>
        </w:pict>
      </w:r>
      <w:r>
        <w:rPr>
          <w:rFonts w:ascii="Constantia"/>
          <w:spacing w:val="22"/>
          <w:sz w:val="20"/>
        </w:rPr>
      </w:r>
    </w:p>
    <w:p>
      <w:pPr>
        <w:spacing w:after="0" w:line="240" w:lineRule="auto"/>
        <w:rPr>
          <w:rFonts w:ascii="Constantia"/>
          <w:sz w:val="20"/>
        </w:rPr>
        <w:sectPr>
          <w:type w:val="continuous"/>
          <w:pgSz w:w="15850" w:h="12250" w:orient="landscape"/>
          <w:pgMar w:top="1500" w:bottom="280" w:left="640" w:right="600"/>
        </w:sectPr>
      </w:pPr>
    </w:p>
    <w:p>
      <w:pPr>
        <w:pStyle w:val="BodyText"/>
        <w:spacing w:before="7"/>
        <w:rPr>
          <w:rFonts w:ascii="Constantia"/>
          <w:sz w:val="13"/>
        </w:rPr>
      </w:pPr>
    </w:p>
    <w:p>
      <w:pPr>
        <w:spacing w:line="183" w:lineRule="exact" w:before="1"/>
        <w:ind w:left="144" w:right="0" w:firstLine="0"/>
        <w:jc w:val="left"/>
        <w:rPr>
          <w:rFonts w:ascii="Constantia"/>
          <w:sz w:val="19"/>
        </w:rPr>
      </w:pPr>
      <w:r>
        <w:rPr>
          <w:rFonts w:ascii="Constantia"/>
          <w:w w:val="85"/>
          <w:sz w:val="19"/>
        </w:rPr>
        <w:t>Navajas, Artana,</w:t>
      </w:r>
    </w:p>
    <w:p>
      <w:pPr>
        <w:spacing w:line="126" w:lineRule="exact" w:before="47"/>
        <w:ind w:left="77" w:right="0" w:firstLine="0"/>
        <w:jc w:val="left"/>
        <w:rPr>
          <w:rFonts w:ascii="Constantia" w:hAnsi="Constantia"/>
          <w:sz w:val="15"/>
        </w:rPr>
      </w:pPr>
      <w:r>
        <w:rPr/>
        <w:br w:type="column"/>
      </w:r>
      <w:r>
        <w:rPr>
          <w:rFonts w:ascii="Constantia" w:hAnsi="Constantia"/>
          <w:w w:val="90"/>
          <w:sz w:val="15"/>
        </w:rPr>
        <w:t>Creación de un fondo de estabilización: 50% de</w:t>
      </w:r>
    </w:p>
    <w:p>
      <w:pPr>
        <w:tabs>
          <w:tab w:pos="5795" w:val="left" w:leader="none"/>
          <w:tab w:pos="7806" w:val="left" w:leader="none"/>
          <w:tab w:pos="8873" w:val="left" w:leader="none"/>
          <w:tab w:pos="9955" w:val="right" w:leader="none"/>
        </w:tabs>
        <w:spacing w:line="176" w:lineRule="exact" w:before="0"/>
        <w:ind w:left="77" w:right="0" w:firstLine="0"/>
        <w:jc w:val="left"/>
        <w:rPr>
          <w:rFonts w:ascii="Constantia" w:hAnsi="Constantia"/>
          <w:sz w:val="19"/>
        </w:rPr>
      </w:pPr>
      <w:r>
        <w:rPr>
          <w:rFonts w:ascii="Constantia" w:hAnsi="Constantia"/>
          <w:w w:val="90"/>
          <w:sz w:val="15"/>
        </w:rPr>
        <w:t>los ingresos</w:t>
      </w:r>
      <w:r>
        <w:rPr>
          <w:rFonts w:ascii="Constantia" w:hAnsi="Constantia"/>
          <w:spacing w:val="-20"/>
          <w:w w:val="90"/>
          <w:sz w:val="15"/>
        </w:rPr>
        <w:t> </w:t>
      </w:r>
      <w:r>
        <w:rPr>
          <w:rFonts w:ascii="Constantia" w:hAnsi="Constantia"/>
          <w:w w:val="90"/>
          <w:sz w:val="15"/>
        </w:rPr>
        <w:t>de</w:t>
      </w:r>
      <w:r>
        <w:rPr>
          <w:rFonts w:ascii="Constantia" w:hAnsi="Constantia"/>
          <w:spacing w:val="-12"/>
          <w:w w:val="90"/>
          <w:sz w:val="15"/>
        </w:rPr>
        <w:t> </w:t>
      </w:r>
      <w:r>
        <w:rPr>
          <w:rFonts w:ascii="Constantia" w:hAnsi="Constantia"/>
          <w:w w:val="90"/>
          <w:sz w:val="15"/>
        </w:rPr>
        <w:t>hidrocarburos.</w:t>
        <w:tab/>
      </w:r>
      <w:r>
        <w:rPr>
          <w:rFonts w:ascii="Constantia" w:hAnsi="Constantia"/>
          <w:w w:val="95"/>
          <w:position w:val="9"/>
          <w:sz w:val="19"/>
        </w:rPr>
        <w:t>1.4</w:t>
      </w:r>
      <w:r>
        <w:rPr>
          <w:rFonts w:ascii="Calibri" w:hAnsi="Calibri"/>
          <w:w w:val="95"/>
          <w:position w:val="9"/>
          <w:sz w:val="12"/>
        </w:rPr>
        <w:t>†</w:t>
        <w:tab/>
      </w:r>
      <w:r>
        <w:rPr>
          <w:rFonts w:ascii="Constantia" w:hAnsi="Constantia"/>
          <w:w w:val="95"/>
          <w:position w:val="9"/>
          <w:sz w:val="19"/>
        </w:rPr>
        <w:t>-7.</w:t>
      </w:r>
      <w:r>
        <w:rPr>
          <w:rFonts w:ascii="Constantia" w:hAnsi="Constantia"/>
          <w:spacing w:val="21"/>
          <w:w w:val="95"/>
          <w:position w:val="9"/>
          <w:sz w:val="19"/>
        </w:rPr>
        <w:t> </w:t>
      </w:r>
      <w:r>
        <w:rPr>
          <w:rFonts w:ascii="Constantia" w:hAnsi="Constantia"/>
          <w:w w:val="95"/>
          <w:position w:val="9"/>
          <w:sz w:val="19"/>
        </w:rPr>
        <w:t>al</w:t>
      </w:r>
      <w:r>
        <w:rPr>
          <w:rFonts w:ascii="Constantia" w:hAnsi="Constantia"/>
          <w:spacing w:val="-11"/>
          <w:w w:val="95"/>
          <w:position w:val="9"/>
          <w:sz w:val="19"/>
        </w:rPr>
        <w:t> </w:t>
      </w:r>
      <w:r>
        <w:rPr>
          <w:rFonts w:ascii="Constantia" w:hAnsi="Constantia"/>
          <w:w w:val="95"/>
          <w:position w:val="9"/>
          <w:sz w:val="19"/>
        </w:rPr>
        <w:t>-4.0</w:t>
        <w:tab/>
        <w:t>31</w:t>
        <w:tab/>
        <w:t>40</w:t>
      </w:r>
    </w:p>
    <w:p>
      <w:pPr>
        <w:spacing w:after="0" w:line="176" w:lineRule="exact"/>
        <w:jc w:val="left"/>
        <w:rPr>
          <w:rFonts w:ascii="Constantia" w:hAnsi="Constantia"/>
          <w:sz w:val="19"/>
        </w:rPr>
        <w:sectPr>
          <w:type w:val="continuous"/>
          <w:pgSz w:w="15850" w:h="12250" w:orient="landscape"/>
          <w:pgMar w:top="1500" w:bottom="280" w:left="640" w:right="600"/>
          <w:cols w:num="2" w:equalWidth="0">
            <w:col w:w="1313" w:space="40"/>
            <w:col w:w="13257"/>
          </w:cols>
        </w:sectPr>
      </w:pPr>
    </w:p>
    <w:p>
      <w:pPr>
        <w:spacing w:before="62"/>
        <w:ind w:left="144" w:right="-14" w:firstLine="0"/>
        <w:jc w:val="left"/>
        <w:rPr>
          <w:rFonts w:ascii="Constantia"/>
          <w:sz w:val="19"/>
        </w:rPr>
      </w:pPr>
      <w:r>
        <w:rPr>
          <w:rFonts w:ascii="Constantia"/>
          <w:w w:val="90"/>
          <w:sz w:val="19"/>
        </w:rPr>
        <w:t>Catena</w:t>
      </w:r>
      <w:r>
        <w:rPr>
          <w:rFonts w:ascii="Constantia"/>
          <w:spacing w:val="-18"/>
          <w:w w:val="90"/>
          <w:sz w:val="19"/>
        </w:rPr>
        <w:t> </w:t>
      </w:r>
      <w:r>
        <w:rPr>
          <w:rFonts w:ascii="Constantia"/>
          <w:w w:val="90"/>
          <w:sz w:val="19"/>
        </w:rPr>
        <w:t>y</w:t>
      </w:r>
      <w:r>
        <w:rPr>
          <w:rFonts w:ascii="Constantia"/>
          <w:spacing w:val="-18"/>
          <w:w w:val="90"/>
          <w:sz w:val="19"/>
        </w:rPr>
        <w:t> </w:t>
      </w:r>
      <w:r>
        <w:rPr>
          <w:rFonts w:ascii="Constantia"/>
          <w:w w:val="90"/>
          <w:sz w:val="19"/>
        </w:rPr>
        <w:t>Bour</w:t>
      </w:r>
    </w:p>
    <w:p>
      <w:pPr>
        <w:spacing w:line="87" w:lineRule="exact" w:before="258"/>
        <w:ind w:left="144" w:right="-1" w:firstLine="0"/>
        <w:jc w:val="left"/>
        <w:rPr>
          <w:rFonts w:ascii="Constantia"/>
          <w:sz w:val="15"/>
        </w:rPr>
      </w:pPr>
      <w:r>
        <w:rPr/>
        <w:br w:type="column"/>
      </w:r>
      <w:r>
        <w:rPr>
          <w:rFonts w:ascii="Constantia"/>
          <w:w w:val="90"/>
          <w:sz w:val="15"/>
        </w:rPr>
        <w:t>Escenarios</w:t>
      </w:r>
      <w:r>
        <w:rPr>
          <w:rFonts w:ascii="Constantia"/>
          <w:spacing w:val="-22"/>
          <w:w w:val="90"/>
          <w:sz w:val="15"/>
        </w:rPr>
        <w:t> </w:t>
      </w:r>
      <w:r>
        <w:rPr>
          <w:rFonts w:ascii="Constantia"/>
          <w:w w:val="90"/>
          <w:sz w:val="15"/>
        </w:rPr>
        <w:t>alternativos</w:t>
      </w:r>
      <w:r>
        <w:rPr>
          <w:rFonts w:ascii="Constantia"/>
          <w:spacing w:val="-22"/>
          <w:w w:val="90"/>
          <w:sz w:val="15"/>
        </w:rPr>
        <w:t> </w:t>
      </w:r>
      <w:r>
        <w:rPr>
          <w:rFonts w:ascii="Constantia"/>
          <w:w w:val="90"/>
          <w:sz w:val="15"/>
        </w:rPr>
        <w:t>con</w:t>
      </w:r>
      <w:r>
        <w:rPr>
          <w:rFonts w:ascii="Constantia"/>
          <w:spacing w:val="-11"/>
          <w:w w:val="90"/>
          <w:sz w:val="15"/>
        </w:rPr>
        <w:t> </w:t>
      </w:r>
      <w:r>
        <w:rPr>
          <w:rFonts w:ascii="Constantia"/>
          <w:w w:val="90"/>
          <w:sz w:val="15"/>
        </w:rPr>
        <w:t>presencia</w:t>
      </w:r>
      <w:r>
        <w:rPr>
          <w:rFonts w:ascii="Constantia"/>
          <w:spacing w:val="-23"/>
          <w:w w:val="90"/>
          <w:sz w:val="15"/>
        </w:rPr>
        <w:t> </w:t>
      </w:r>
      <w:r>
        <w:rPr>
          <w:rFonts w:ascii="Constantia"/>
          <w:w w:val="90"/>
          <w:sz w:val="15"/>
        </w:rPr>
        <w:t>de</w:t>
      </w:r>
    </w:p>
    <w:p>
      <w:pPr>
        <w:spacing w:line="168" w:lineRule="exact" w:before="0"/>
        <w:ind w:left="144" w:right="-6" w:firstLine="0"/>
        <w:jc w:val="left"/>
        <w:rPr>
          <w:rFonts w:ascii="Constantia" w:hAnsi="Constantia"/>
          <w:sz w:val="16"/>
        </w:rPr>
      </w:pPr>
      <w:r>
        <w:rPr/>
        <w:br w:type="column"/>
      </w:r>
      <w:r>
        <w:rPr>
          <w:rFonts w:ascii="Constantia" w:hAnsi="Constantia"/>
          <w:w w:val="90"/>
          <w:sz w:val="16"/>
        </w:rPr>
        <w:t>Análisis de sostenbilidad</w:t>
      </w:r>
      <w:r>
        <w:rPr>
          <w:rFonts w:ascii="Constantia" w:hAnsi="Constantia"/>
          <w:spacing w:val="-16"/>
          <w:w w:val="90"/>
          <w:sz w:val="16"/>
        </w:rPr>
        <w:t> </w:t>
      </w:r>
      <w:r>
        <w:rPr>
          <w:rFonts w:ascii="Constantia" w:hAnsi="Constantia"/>
          <w:w w:val="90"/>
          <w:sz w:val="16"/>
        </w:rPr>
        <w:t>de</w:t>
      </w:r>
    </w:p>
    <w:p>
      <w:pPr>
        <w:spacing w:line="152" w:lineRule="exact" w:before="26"/>
        <w:ind w:left="144" w:right="-6" w:firstLine="0"/>
        <w:jc w:val="left"/>
        <w:rPr>
          <w:rFonts w:ascii="Constantia" w:hAnsi="Constantia"/>
          <w:sz w:val="16"/>
        </w:rPr>
      </w:pPr>
      <w:r>
        <w:rPr>
          <w:rFonts w:ascii="Constantia" w:hAnsi="Constantia"/>
          <w:w w:val="90"/>
          <w:sz w:val="16"/>
        </w:rPr>
        <w:t>la deuda pública</w:t>
      </w:r>
    </w:p>
    <w:p>
      <w:pPr>
        <w:spacing w:before="62"/>
        <w:ind w:left="118" w:right="0" w:firstLine="0"/>
        <w:jc w:val="left"/>
        <w:rPr>
          <w:rFonts w:ascii="Constantia"/>
          <w:sz w:val="19"/>
        </w:rPr>
      </w:pPr>
      <w:r>
        <w:rPr/>
        <w:br w:type="column"/>
      </w:r>
      <w:r>
        <w:rPr>
          <w:rFonts w:ascii="Constantia"/>
          <w:w w:val="95"/>
          <w:sz w:val="19"/>
        </w:rPr>
        <w:t>2007-2015</w:t>
      </w:r>
    </w:p>
    <w:p>
      <w:pPr>
        <w:spacing w:after="0"/>
        <w:jc w:val="left"/>
        <w:rPr>
          <w:rFonts w:ascii="Constantia"/>
          <w:sz w:val="19"/>
        </w:rPr>
        <w:sectPr>
          <w:type w:val="continuous"/>
          <w:pgSz w:w="15850" w:h="12250" w:orient="landscape"/>
          <w:pgMar w:top="1500" w:bottom="280" w:left="640" w:right="600"/>
          <w:cols w:num="4" w:equalWidth="0">
            <w:col w:w="1157" w:space="129"/>
            <w:col w:w="2441" w:space="329"/>
            <w:col w:w="1874" w:space="40"/>
            <w:col w:w="8640"/>
          </w:cols>
        </w:sectPr>
      </w:pPr>
    </w:p>
    <w:p>
      <w:pPr>
        <w:spacing w:line="193" w:lineRule="exact" w:before="0"/>
        <w:ind w:left="144" w:right="-7" w:firstLine="0"/>
        <w:jc w:val="left"/>
        <w:rPr>
          <w:rFonts w:ascii="Constantia"/>
          <w:sz w:val="19"/>
        </w:rPr>
      </w:pPr>
      <w:r>
        <w:rPr>
          <w:rFonts w:ascii="Constantia"/>
          <w:w w:val="85"/>
          <w:sz w:val="19"/>
        </w:rPr>
        <w:t>(2008)</w:t>
      </w:r>
    </w:p>
    <w:p>
      <w:pPr>
        <w:tabs>
          <w:tab w:pos="5855" w:val="left" w:leader="none"/>
          <w:tab w:pos="7860" w:val="left" w:leader="none"/>
          <w:tab w:pos="8920" w:val="left" w:leader="none"/>
          <w:tab w:pos="10133" w:val="right" w:leader="none"/>
        </w:tabs>
        <w:spacing w:line="294" w:lineRule="exact" w:before="0"/>
        <w:ind w:left="144" w:right="0" w:firstLine="0"/>
        <w:jc w:val="left"/>
        <w:rPr>
          <w:rFonts w:ascii="Constantia" w:hAnsi="Constantia"/>
          <w:sz w:val="19"/>
        </w:rPr>
      </w:pPr>
      <w:r>
        <w:rPr/>
        <w:br w:type="column"/>
      </w:r>
      <w:r>
        <w:rPr>
          <w:rFonts w:ascii="Constantia" w:hAnsi="Constantia"/>
          <w:w w:val="95"/>
          <w:position w:val="-7"/>
          <w:sz w:val="15"/>
        </w:rPr>
        <w:t>choques</w:t>
        <w:tab/>
      </w:r>
      <w:r>
        <w:rPr>
          <w:rFonts w:ascii="Constantia" w:hAnsi="Constantia"/>
          <w:w w:val="95"/>
          <w:sz w:val="19"/>
        </w:rPr>
        <w:t>0.5</w:t>
      </w:r>
      <w:r>
        <w:rPr>
          <w:rFonts w:ascii="Calibri" w:hAnsi="Calibri"/>
          <w:w w:val="95"/>
          <w:sz w:val="12"/>
        </w:rPr>
        <w:t>†</w:t>
        <w:tab/>
      </w:r>
      <w:r>
        <w:rPr>
          <w:rFonts w:ascii="Constantia" w:hAnsi="Constantia"/>
          <w:w w:val="95"/>
          <w:sz w:val="19"/>
        </w:rPr>
        <w:t>-9</w:t>
      </w:r>
      <w:r>
        <w:rPr>
          <w:rFonts w:ascii="Constantia" w:hAnsi="Constantia"/>
          <w:spacing w:val="20"/>
          <w:w w:val="95"/>
          <w:sz w:val="19"/>
        </w:rPr>
        <w:t> </w:t>
      </w:r>
      <w:r>
        <w:rPr>
          <w:rFonts w:ascii="Constantia" w:hAnsi="Constantia"/>
          <w:w w:val="95"/>
          <w:sz w:val="19"/>
        </w:rPr>
        <w:t>al</w:t>
      </w:r>
      <w:r>
        <w:rPr>
          <w:rFonts w:ascii="Constantia" w:hAnsi="Constantia"/>
          <w:spacing w:val="-11"/>
          <w:w w:val="95"/>
          <w:sz w:val="19"/>
        </w:rPr>
        <w:t> </w:t>
      </w:r>
      <w:r>
        <w:rPr>
          <w:rFonts w:ascii="Constantia" w:hAnsi="Constantia"/>
          <w:w w:val="95"/>
          <w:sz w:val="19"/>
        </w:rPr>
        <w:t>-10.0</w:t>
        <w:tab/>
        <w:t>34</w:t>
        <w:tab/>
        <w:t>40-45</w:t>
      </w:r>
    </w:p>
    <w:p>
      <w:pPr>
        <w:spacing w:after="0" w:line="294" w:lineRule="exact"/>
        <w:jc w:val="left"/>
        <w:rPr>
          <w:rFonts w:ascii="Constantia" w:hAnsi="Constantia"/>
          <w:sz w:val="19"/>
        </w:rPr>
        <w:sectPr>
          <w:type w:val="continuous"/>
          <w:pgSz w:w="15850" w:h="12250" w:orient="landscape"/>
          <w:pgMar w:top="1500" w:bottom="280" w:left="640" w:right="600"/>
          <w:cols w:num="2" w:equalWidth="0">
            <w:col w:w="615" w:space="671"/>
            <w:col w:w="13324"/>
          </w:cols>
        </w:sectPr>
      </w:pPr>
    </w:p>
    <w:p>
      <w:pPr>
        <w:pStyle w:val="BodyText"/>
        <w:rPr>
          <w:rFonts w:ascii="Constantia"/>
          <w:sz w:val="18"/>
        </w:rPr>
      </w:pPr>
    </w:p>
    <w:p>
      <w:pPr>
        <w:pStyle w:val="BodyText"/>
        <w:rPr>
          <w:rFonts w:ascii="Constantia"/>
          <w:sz w:val="18"/>
        </w:rPr>
      </w:pPr>
    </w:p>
    <w:p>
      <w:pPr>
        <w:pStyle w:val="BodyText"/>
        <w:rPr>
          <w:rFonts w:ascii="Constantia"/>
          <w:sz w:val="18"/>
        </w:rPr>
      </w:pPr>
    </w:p>
    <w:p>
      <w:pPr>
        <w:pStyle w:val="BodyText"/>
        <w:rPr>
          <w:rFonts w:ascii="Constantia"/>
          <w:sz w:val="18"/>
        </w:rPr>
      </w:pPr>
    </w:p>
    <w:p>
      <w:pPr>
        <w:pStyle w:val="BodyText"/>
        <w:rPr>
          <w:rFonts w:ascii="Constantia"/>
          <w:sz w:val="18"/>
        </w:rPr>
      </w:pPr>
    </w:p>
    <w:p>
      <w:pPr>
        <w:pStyle w:val="BodyText"/>
        <w:rPr>
          <w:rFonts w:ascii="Constantia"/>
          <w:sz w:val="18"/>
        </w:rPr>
      </w:pPr>
    </w:p>
    <w:p>
      <w:pPr>
        <w:spacing w:line="254" w:lineRule="auto" w:before="149"/>
        <w:ind w:left="144" w:right="0" w:firstLine="0"/>
        <w:jc w:val="left"/>
        <w:rPr>
          <w:rFonts w:ascii="Constantia"/>
          <w:sz w:val="19"/>
        </w:rPr>
      </w:pPr>
      <w:r>
        <w:rPr>
          <w:rFonts w:ascii="Constantia"/>
          <w:w w:val="95"/>
          <w:sz w:val="19"/>
        </w:rPr>
        <w:t>Zambrano y </w:t>
      </w:r>
      <w:r>
        <w:rPr>
          <w:rFonts w:ascii="Constantia"/>
          <w:w w:val="85"/>
          <w:sz w:val="19"/>
        </w:rPr>
        <w:t>Aguilera (2010)</w:t>
      </w:r>
    </w:p>
    <w:p>
      <w:pPr>
        <w:pStyle w:val="BodyText"/>
        <w:rPr>
          <w:rFonts w:ascii="Constantia"/>
          <w:sz w:val="14"/>
        </w:rPr>
      </w:pPr>
      <w:r>
        <w:rPr/>
        <w:br w:type="column"/>
      </w:r>
      <w:r>
        <w:rPr>
          <w:rFonts w:ascii="Constantia"/>
          <w:sz w:val="14"/>
        </w:rPr>
      </w:r>
    </w:p>
    <w:p>
      <w:pPr>
        <w:pStyle w:val="BodyText"/>
        <w:rPr>
          <w:rFonts w:ascii="Constantia"/>
          <w:sz w:val="14"/>
        </w:rPr>
      </w:pPr>
    </w:p>
    <w:p>
      <w:pPr>
        <w:pStyle w:val="BodyText"/>
        <w:rPr>
          <w:rFonts w:ascii="Constantia"/>
          <w:sz w:val="14"/>
        </w:rPr>
      </w:pPr>
    </w:p>
    <w:p>
      <w:pPr>
        <w:pStyle w:val="BodyText"/>
        <w:rPr>
          <w:rFonts w:ascii="Constantia"/>
          <w:sz w:val="14"/>
        </w:rPr>
      </w:pPr>
    </w:p>
    <w:p>
      <w:pPr>
        <w:pStyle w:val="BodyText"/>
        <w:rPr>
          <w:rFonts w:ascii="Constantia"/>
          <w:sz w:val="14"/>
        </w:rPr>
      </w:pPr>
    </w:p>
    <w:p>
      <w:pPr>
        <w:spacing w:line="259" w:lineRule="auto" w:before="91"/>
        <w:ind w:left="144" w:right="-10" w:firstLine="0"/>
        <w:jc w:val="left"/>
        <w:rPr>
          <w:rFonts w:ascii="Constantia" w:hAnsi="Constantia"/>
          <w:sz w:val="15"/>
        </w:rPr>
      </w:pPr>
      <w:r>
        <w:rPr/>
        <w:pict>
          <v:group style="position:absolute;margin-left:37.441856pt;margin-top:-36.884724pt;width:530.6pt;height:35.950pt;mso-position-horizontal-relative:page;mso-position-vertical-relative:paragraph;z-index:15208" coordorigin="749,-738" coordsize="10612,719">
            <v:rect style="position:absolute;left:757;top:-738;width:10596;height:47" filled="true" fillcolor="#fdfdfd" stroked="false">
              <v:fill type="solid"/>
            </v:rect>
            <v:rect style="position:absolute;left:757;top:-690;width:10596;height:95" filled="true" fillcolor="#fcfcfc" stroked="false">
              <v:fill type="solid"/>
            </v:rect>
            <v:rect style="position:absolute;left:757;top:-595;width:10596;height:47" filled="true" fillcolor="#fbfbfb" stroked="false">
              <v:fill type="solid"/>
            </v:rect>
            <v:rect style="position:absolute;left:757;top:-548;width:10596;height:47" filled="true" fillcolor="#fafafa" stroked="false">
              <v:fill type="solid"/>
            </v:rect>
            <v:rect style="position:absolute;left:757;top:-501;width:10596;height:47" filled="true" fillcolor="#f9f9f9" stroked="false">
              <v:fill type="solid"/>
            </v:rect>
            <v:shape style="position:absolute;left:757;top:-453;width:10596;height:135" coordorigin="757,-453" coordsize="10596,135" path="m11353,-453l757,-453,757,-366,757,-319,11353,-319,11353,-366,11353,-453e" filled="true" fillcolor="#f8f8f8" stroked="false">
              <v:path arrowok="t"/>
              <v:fill type="solid"/>
            </v:shape>
            <v:rect style="position:absolute;left:757;top:-319;width:10596;height:47" filled="true" fillcolor="#f7f7f7" stroked="false">
              <v:fill type="solid"/>
            </v:rect>
            <v:rect style="position:absolute;left:757;top:-272;width:10596;height:47" filled="true" fillcolor="#f6f6f6" stroked="false">
              <v:fill type="solid"/>
            </v:rect>
            <v:rect style="position:absolute;left:757;top:-224;width:10596;height:47" filled="true" fillcolor="#f5f5f5" stroked="false">
              <v:fill type="solid"/>
            </v:rect>
            <v:rect style="position:absolute;left:757;top:-177;width:10596;height:95" filled="true" fillcolor="#f4f4f4" stroked="false">
              <v:fill type="solid"/>
            </v:rect>
            <v:rect style="position:absolute;left:757;top:-82;width:10596;height:47" filled="true" fillcolor="#f3f3f3" stroked="false">
              <v:fill type="solid"/>
            </v:rect>
            <v:line style="position:absolute" from="757,-27" to="11353,-27" stroked="true" strokeweight=".788996pt" strokecolor="#f1f1f1"/>
            <v:shape style="position:absolute;left:784;top:-698;width:882;height:680" type="#_x0000_t202" filled="false" stroked="false">
              <v:textbox inset="0,0,0,0">
                <w:txbxContent>
                  <w:p>
                    <w:pPr>
                      <w:spacing w:line="193" w:lineRule="exact" w:before="0"/>
                      <w:ind w:left="0" w:right="-3" w:firstLine="0"/>
                      <w:jc w:val="left"/>
                      <w:rPr>
                        <w:rFonts w:ascii="Constantia"/>
                        <w:sz w:val="19"/>
                      </w:rPr>
                    </w:pPr>
                    <w:r>
                      <w:rPr>
                        <w:rFonts w:ascii="Constantia"/>
                        <w:w w:val="90"/>
                        <w:sz w:val="19"/>
                      </w:rPr>
                      <w:t>Valdivia y</w:t>
                    </w:r>
                  </w:p>
                  <w:p>
                    <w:pPr>
                      <w:spacing w:line="254" w:lineRule="auto" w:before="13"/>
                      <w:ind w:left="0" w:right="-3" w:firstLine="0"/>
                      <w:jc w:val="left"/>
                      <w:rPr>
                        <w:rFonts w:ascii="Constantia"/>
                        <w:sz w:val="19"/>
                      </w:rPr>
                    </w:pPr>
                    <w:r>
                      <w:rPr>
                        <w:rFonts w:ascii="Constantia"/>
                        <w:w w:val="85"/>
                        <w:sz w:val="19"/>
                      </w:rPr>
                      <w:t>Montenegro </w:t>
                    </w:r>
                    <w:r>
                      <w:rPr>
                        <w:rFonts w:ascii="Constantia"/>
                        <w:w w:val="95"/>
                        <w:sz w:val="19"/>
                      </w:rPr>
                      <w:t>(2010)</w:t>
                    </w:r>
                  </w:p>
                </w:txbxContent>
              </v:textbox>
              <w10:wrap type="none"/>
            </v:shape>
            <v:shape style="position:absolute;left:2070;top:-440;width:1690;height:151" type="#_x0000_t202" filled="false" stroked="false">
              <v:textbox inset="0,0,0,0">
                <w:txbxContent>
                  <w:p>
                    <w:pPr>
                      <w:spacing w:line="150" w:lineRule="exact" w:before="0"/>
                      <w:ind w:left="0" w:right="-5" w:firstLine="0"/>
                      <w:jc w:val="left"/>
                      <w:rPr>
                        <w:rFonts w:ascii="Constantia"/>
                        <w:sz w:val="15"/>
                      </w:rPr>
                    </w:pPr>
                    <w:r>
                      <w:rPr>
                        <w:rFonts w:ascii="Constantia"/>
                        <w:w w:val="85"/>
                        <w:sz w:val="15"/>
                      </w:rPr>
                      <w:t>Presupuesto fiscal balanceado</w:t>
                    </w:r>
                  </w:p>
                </w:txbxContent>
              </v:textbox>
              <w10:wrap type="none"/>
            </v:shape>
            <v:shape style="position:absolute;left:4841;top:-673;width:1513;height:609" type="#_x0000_t202" filled="false" stroked="false">
              <v:textbox inset="0,0,0,0">
                <w:txbxContent>
                  <w:p>
                    <w:pPr>
                      <w:spacing w:line="168" w:lineRule="exact" w:before="0"/>
                      <w:ind w:left="0" w:right="-9" w:firstLine="0"/>
                      <w:jc w:val="left"/>
                      <w:rPr>
                        <w:rFonts w:ascii="Constantia" w:hAnsi="Constantia"/>
                        <w:sz w:val="16"/>
                      </w:rPr>
                    </w:pPr>
                    <w:r>
                      <w:rPr>
                        <w:rFonts w:ascii="Constantia" w:hAnsi="Constantia"/>
                        <w:w w:val="90"/>
                        <w:sz w:val="16"/>
                      </w:rPr>
                      <w:t>Modelo dinámico y</w:t>
                    </w:r>
                  </w:p>
                  <w:p>
                    <w:pPr>
                      <w:spacing w:line="271" w:lineRule="auto" w:before="26"/>
                      <w:ind w:left="0" w:right="-9" w:firstLine="0"/>
                      <w:jc w:val="left"/>
                      <w:rPr>
                        <w:rFonts w:ascii="Constantia" w:hAnsi="Constantia"/>
                        <w:sz w:val="16"/>
                      </w:rPr>
                    </w:pPr>
                    <w:r>
                      <w:rPr>
                        <w:rFonts w:ascii="Constantia" w:hAnsi="Constantia"/>
                        <w:w w:val="90"/>
                        <w:sz w:val="16"/>
                      </w:rPr>
                      <w:t>estocástico de</w:t>
                    </w:r>
                    <w:r>
                      <w:rPr>
                        <w:rFonts w:ascii="Constantia" w:hAnsi="Constantia"/>
                        <w:spacing w:val="-14"/>
                        <w:w w:val="90"/>
                        <w:sz w:val="16"/>
                      </w:rPr>
                      <w:t> </w:t>
                    </w:r>
                    <w:r>
                      <w:rPr>
                        <w:rFonts w:ascii="Constantia" w:hAnsi="Constantia"/>
                        <w:w w:val="90"/>
                        <w:sz w:val="16"/>
                      </w:rPr>
                      <w:t>equilibrio </w:t>
                    </w:r>
                    <w:r>
                      <w:rPr>
                        <w:rFonts w:ascii="Constantia" w:hAnsi="Constantia"/>
                        <w:sz w:val="16"/>
                      </w:rPr>
                      <w:t>general</w:t>
                    </w:r>
                  </w:p>
                </w:txbxContent>
              </v:textbox>
              <w10:wrap type="none"/>
            </v:shape>
            <v:shape style="position:absolute;left:6674;top:-452;width:814;height:166" type="#_x0000_t202" filled="false" stroked="false">
              <v:textbox inset="0,0,0,0">
                <w:txbxContent>
                  <w:p>
                    <w:pPr>
                      <w:spacing w:line="166" w:lineRule="exact" w:before="0"/>
                      <w:ind w:left="0" w:right="-14" w:firstLine="0"/>
                      <w:jc w:val="left"/>
                      <w:rPr>
                        <w:rFonts w:ascii="Constantia"/>
                        <w:sz w:val="16"/>
                      </w:rPr>
                    </w:pPr>
                    <w:r>
                      <w:rPr>
                        <w:rFonts w:ascii="Constantia"/>
                        <w:w w:val="90"/>
                        <w:sz w:val="16"/>
                      </w:rPr>
                      <w:t>No se</w:t>
                    </w:r>
                    <w:r>
                      <w:rPr>
                        <w:rFonts w:ascii="Constantia"/>
                        <w:spacing w:val="-11"/>
                        <w:w w:val="90"/>
                        <w:sz w:val="16"/>
                      </w:rPr>
                      <w:t> </w:t>
                    </w:r>
                    <w:r>
                      <w:rPr>
                        <w:rFonts w:ascii="Constantia"/>
                        <w:w w:val="90"/>
                        <w:sz w:val="16"/>
                      </w:rPr>
                      <w:t>aborda</w:t>
                    </w:r>
                  </w:p>
                </w:txbxContent>
              </v:textbox>
              <w10:wrap type="none"/>
            </v:shape>
            <v:shape style="position:absolute;left:8514;top:-454;width:219;height:190" type="#_x0000_t202" filled="false" stroked="false">
              <v:textbox inset="0,0,0,0">
                <w:txbxContent>
                  <w:p>
                    <w:pPr>
                      <w:spacing w:line="190" w:lineRule="exact" w:before="0"/>
                      <w:ind w:left="0" w:right="-17" w:firstLine="0"/>
                      <w:jc w:val="left"/>
                      <w:rPr>
                        <w:rFonts w:ascii="Constantia"/>
                        <w:sz w:val="19"/>
                      </w:rPr>
                    </w:pPr>
                    <w:r>
                      <w:rPr>
                        <w:rFonts w:ascii="Constantia"/>
                        <w:w w:val="85"/>
                        <w:sz w:val="19"/>
                      </w:rPr>
                      <w:t>0.0</w:t>
                    </w:r>
                  </w:p>
                </w:txbxContent>
              </v:textbox>
              <w10:wrap type="none"/>
            </v:shape>
            <w10:wrap type="none"/>
          </v:group>
        </w:pict>
      </w:r>
      <w:r>
        <w:rPr>
          <w:rFonts w:ascii="Constantia" w:hAnsi="Constantia"/>
          <w:w w:val="95"/>
          <w:sz w:val="15"/>
        </w:rPr>
        <w:t>Regla Bird in hand: el </w:t>
      </w:r>
      <w:r>
        <w:rPr>
          <w:rFonts w:ascii="Constantia" w:hAnsi="Constantia"/>
          <w:spacing w:val="-3"/>
          <w:w w:val="95"/>
          <w:sz w:val="15"/>
        </w:rPr>
        <w:t>máximo </w:t>
      </w:r>
      <w:r>
        <w:rPr>
          <w:rFonts w:ascii="Constantia" w:hAnsi="Constantia"/>
          <w:w w:val="95"/>
          <w:sz w:val="15"/>
        </w:rPr>
        <w:t>déficit no </w:t>
      </w:r>
      <w:r>
        <w:rPr>
          <w:rFonts w:ascii="Constantia" w:hAnsi="Constantia"/>
          <w:w w:val="90"/>
          <w:sz w:val="15"/>
        </w:rPr>
        <w:t>petrolero</w:t>
      </w:r>
      <w:r>
        <w:rPr>
          <w:rFonts w:ascii="Constantia" w:hAnsi="Constantia"/>
          <w:spacing w:val="-18"/>
          <w:w w:val="90"/>
          <w:sz w:val="15"/>
        </w:rPr>
        <w:t> </w:t>
      </w:r>
      <w:r>
        <w:rPr>
          <w:rFonts w:ascii="Constantia" w:hAnsi="Constantia"/>
          <w:w w:val="90"/>
          <w:sz w:val="15"/>
        </w:rPr>
        <w:t>es</w:t>
      </w:r>
      <w:r>
        <w:rPr>
          <w:rFonts w:ascii="Constantia" w:hAnsi="Constantia"/>
          <w:spacing w:val="-16"/>
          <w:w w:val="90"/>
          <w:sz w:val="15"/>
        </w:rPr>
        <w:t> </w:t>
      </w:r>
      <w:r>
        <w:rPr>
          <w:rFonts w:ascii="Constantia" w:hAnsi="Constantia"/>
          <w:w w:val="90"/>
          <w:sz w:val="15"/>
        </w:rPr>
        <w:t>igual</w:t>
      </w:r>
      <w:r>
        <w:rPr>
          <w:rFonts w:ascii="Constantia" w:hAnsi="Constantia"/>
          <w:spacing w:val="-18"/>
          <w:w w:val="90"/>
          <w:sz w:val="15"/>
        </w:rPr>
        <w:t> </w:t>
      </w:r>
      <w:r>
        <w:rPr>
          <w:rFonts w:ascii="Constantia" w:hAnsi="Constantia"/>
          <w:w w:val="90"/>
          <w:sz w:val="15"/>
        </w:rPr>
        <w:t>al</w:t>
      </w:r>
      <w:r>
        <w:rPr>
          <w:rFonts w:ascii="Constantia" w:hAnsi="Constantia"/>
          <w:spacing w:val="-18"/>
          <w:w w:val="90"/>
          <w:sz w:val="15"/>
        </w:rPr>
        <w:t> </w:t>
      </w:r>
      <w:r>
        <w:rPr>
          <w:rFonts w:ascii="Constantia" w:hAnsi="Constantia"/>
          <w:w w:val="90"/>
          <w:sz w:val="15"/>
        </w:rPr>
        <w:t>rendimiento</w:t>
      </w:r>
      <w:r>
        <w:rPr>
          <w:rFonts w:ascii="Constantia" w:hAnsi="Constantia"/>
          <w:spacing w:val="-18"/>
          <w:w w:val="90"/>
          <w:sz w:val="15"/>
        </w:rPr>
        <w:t> </w:t>
      </w:r>
      <w:r>
        <w:rPr>
          <w:rFonts w:ascii="Constantia" w:hAnsi="Constantia"/>
          <w:w w:val="90"/>
          <w:sz w:val="15"/>
        </w:rPr>
        <w:t>del</w:t>
      </w:r>
      <w:r>
        <w:rPr>
          <w:rFonts w:ascii="Constantia" w:hAnsi="Constantia"/>
          <w:spacing w:val="-18"/>
          <w:w w:val="90"/>
          <w:sz w:val="15"/>
        </w:rPr>
        <w:t> </w:t>
      </w:r>
      <w:r>
        <w:rPr>
          <w:rFonts w:ascii="Constantia" w:hAnsi="Constantia"/>
          <w:w w:val="90"/>
          <w:sz w:val="15"/>
        </w:rPr>
        <w:t>fondo</w:t>
      </w:r>
      <w:r>
        <w:rPr>
          <w:rFonts w:ascii="Constantia" w:hAnsi="Constantia"/>
          <w:spacing w:val="-18"/>
          <w:w w:val="90"/>
          <w:sz w:val="15"/>
        </w:rPr>
        <w:t> </w:t>
      </w:r>
      <w:r>
        <w:rPr>
          <w:rFonts w:ascii="Constantia" w:hAnsi="Constantia"/>
          <w:w w:val="90"/>
          <w:sz w:val="15"/>
        </w:rPr>
        <w:t>de </w:t>
      </w:r>
      <w:r>
        <w:rPr>
          <w:rFonts w:ascii="Constantia" w:hAnsi="Constantia"/>
          <w:w w:val="95"/>
          <w:sz w:val="15"/>
        </w:rPr>
        <w:t>estabilización</w:t>
      </w:r>
    </w:p>
    <w:p>
      <w:pPr>
        <w:spacing w:before="118"/>
        <w:ind w:left="144" w:right="-10" w:firstLine="0"/>
        <w:jc w:val="left"/>
        <w:rPr>
          <w:rFonts w:ascii="Constantia"/>
          <w:sz w:val="15"/>
        </w:rPr>
      </w:pPr>
      <w:r>
        <w:rPr>
          <w:rFonts w:ascii="Constantia"/>
          <w:w w:val="85"/>
          <w:sz w:val="15"/>
        </w:rPr>
        <w:t>Presupuesto fiscal balanceado</w:t>
      </w:r>
    </w:p>
    <w:p>
      <w:pPr>
        <w:spacing w:before="61"/>
        <w:ind w:left="144" w:right="-10" w:firstLine="0"/>
        <w:jc w:val="left"/>
        <w:rPr>
          <w:rFonts w:ascii="Constantia" w:hAnsi="Constantia"/>
          <w:sz w:val="15"/>
        </w:rPr>
      </w:pPr>
      <w:r>
        <w:rPr>
          <w:rFonts w:ascii="Constantia" w:hAnsi="Constantia"/>
          <w:w w:val="85"/>
          <w:sz w:val="15"/>
        </w:rPr>
        <w:t>Balance cíclicamente ajustado (regla chilena)</w:t>
      </w:r>
    </w:p>
    <w:p>
      <w:pPr>
        <w:pStyle w:val="BodyText"/>
        <w:rPr>
          <w:rFonts w:ascii="Constantia"/>
          <w:sz w:val="16"/>
        </w:rPr>
      </w:pPr>
      <w:r>
        <w:rPr/>
        <w:br w:type="column"/>
      </w:r>
      <w:r>
        <w:rPr>
          <w:rFonts w:ascii="Constantia"/>
          <w:sz w:val="16"/>
        </w:rPr>
      </w:r>
    </w:p>
    <w:p>
      <w:pPr>
        <w:pStyle w:val="BodyText"/>
        <w:rPr>
          <w:rFonts w:ascii="Constantia"/>
          <w:sz w:val="16"/>
        </w:rPr>
      </w:pPr>
    </w:p>
    <w:p>
      <w:pPr>
        <w:pStyle w:val="BodyText"/>
        <w:rPr>
          <w:rFonts w:ascii="Constantia"/>
          <w:sz w:val="16"/>
        </w:rPr>
      </w:pPr>
    </w:p>
    <w:p>
      <w:pPr>
        <w:pStyle w:val="BodyText"/>
        <w:rPr>
          <w:rFonts w:ascii="Constantia"/>
          <w:sz w:val="16"/>
        </w:rPr>
      </w:pPr>
    </w:p>
    <w:p>
      <w:pPr>
        <w:pStyle w:val="BodyText"/>
        <w:rPr>
          <w:rFonts w:ascii="Constantia"/>
          <w:sz w:val="16"/>
        </w:rPr>
      </w:pPr>
    </w:p>
    <w:p>
      <w:pPr>
        <w:pStyle w:val="BodyText"/>
        <w:rPr>
          <w:rFonts w:ascii="Constantia"/>
          <w:sz w:val="16"/>
        </w:rPr>
      </w:pPr>
    </w:p>
    <w:p>
      <w:pPr>
        <w:spacing w:line="271" w:lineRule="auto" w:before="103"/>
        <w:ind w:left="144" w:right="-8" w:firstLine="0"/>
        <w:jc w:val="left"/>
        <w:rPr>
          <w:rFonts w:ascii="Constantia" w:hAnsi="Constantia"/>
          <w:sz w:val="16"/>
        </w:rPr>
      </w:pPr>
      <w:r>
        <w:rPr>
          <w:rFonts w:ascii="Constantia" w:hAnsi="Constantia"/>
          <w:w w:val="90"/>
          <w:sz w:val="16"/>
        </w:rPr>
        <w:t>Análisis de sostenbilidad</w:t>
      </w:r>
      <w:r>
        <w:rPr>
          <w:rFonts w:ascii="Constantia" w:hAnsi="Constantia"/>
          <w:spacing w:val="-14"/>
          <w:w w:val="90"/>
          <w:sz w:val="16"/>
        </w:rPr>
        <w:t> </w:t>
      </w:r>
      <w:r>
        <w:rPr>
          <w:rFonts w:ascii="Constantia" w:hAnsi="Constantia"/>
          <w:w w:val="90"/>
          <w:sz w:val="16"/>
        </w:rPr>
        <w:t>de </w:t>
      </w:r>
      <w:r>
        <w:rPr>
          <w:rFonts w:ascii="Constantia" w:hAnsi="Constantia"/>
          <w:w w:val="95"/>
          <w:sz w:val="16"/>
        </w:rPr>
        <w:t>la</w:t>
      </w:r>
      <w:r>
        <w:rPr>
          <w:rFonts w:ascii="Constantia" w:hAnsi="Constantia"/>
          <w:spacing w:val="-22"/>
          <w:w w:val="95"/>
          <w:sz w:val="16"/>
        </w:rPr>
        <w:t> </w:t>
      </w:r>
      <w:r>
        <w:rPr>
          <w:rFonts w:ascii="Constantia" w:hAnsi="Constantia"/>
          <w:w w:val="95"/>
          <w:sz w:val="16"/>
        </w:rPr>
        <w:t>deuda</w:t>
      </w:r>
      <w:r>
        <w:rPr>
          <w:rFonts w:ascii="Constantia" w:hAnsi="Constantia"/>
          <w:spacing w:val="-22"/>
          <w:w w:val="95"/>
          <w:sz w:val="16"/>
        </w:rPr>
        <w:t> </w:t>
      </w:r>
      <w:r>
        <w:rPr>
          <w:rFonts w:ascii="Constantia" w:hAnsi="Constantia"/>
          <w:w w:val="95"/>
          <w:sz w:val="16"/>
        </w:rPr>
        <w:t>pública</w:t>
      </w:r>
      <w:r>
        <w:rPr>
          <w:rFonts w:ascii="Constantia" w:hAnsi="Constantia"/>
          <w:spacing w:val="-22"/>
          <w:w w:val="95"/>
          <w:sz w:val="16"/>
        </w:rPr>
        <w:t> </w:t>
      </w:r>
      <w:r>
        <w:rPr>
          <w:rFonts w:ascii="Constantia" w:hAnsi="Constantia"/>
          <w:w w:val="95"/>
          <w:sz w:val="16"/>
        </w:rPr>
        <w:t>mediante </w:t>
      </w:r>
      <w:r>
        <w:rPr>
          <w:rFonts w:ascii="Constantia" w:hAnsi="Constantia"/>
          <w:sz w:val="16"/>
        </w:rPr>
        <w:t>un modelo de vectores </w:t>
      </w:r>
      <w:r>
        <w:rPr>
          <w:rFonts w:ascii="Constantia" w:hAnsi="Constantia"/>
          <w:w w:val="90"/>
          <w:sz w:val="16"/>
        </w:rPr>
        <w:t>autoregresivos</w:t>
      </w:r>
      <w:r>
        <w:rPr>
          <w:rFonts w:ascii="Constantia" w:hAnsi="Constantia"/>
          <w:spacing w:val="-17"/>
          <w:w w:val="90"/>
          <w:sz w:val="16"/>
        </w:rPr>
        <w:t> </w:t>
      </w:r>
      <w:r>
        <w:rPr>
          <w:rFonts w:ascii="Constantia" w:hAnsi="Constantia"/>
          <w:w w:val="90"/>
          <w:sz w:val="16"/>
        </w:rPr>
        <w:t>(VAR)</w:t>
      </w:r>
    </w:p>
    <w:p>
      <w:pPr>
        <w:pStyle w:val="BodyText"/>
        <w:rPr>
          <w:rFonts w:ascii="Constantia"/>
          <w:sz w:val="18"/>
        </w:rPr>
      </w:pPr>
      <w:r>
        <w:rPr/>
        <w:br w:type="column"/>
      </w:r>
      <w:r>
        <w:rPr>
          <w:rFonts w:ascii="Constantia"/>
          <w:sz w:val="18"/>
        </w:rPr>
      </w:r>
    </w:p>
    <w:p>
      <w:pPr>
        <w:pStyle w:val="BodyText"/>
        <w:rPr>
          <w:rFonts w:ascii="Constantia"/>
          <w:sz w:val="18"/>
        </w:rPr>
      </w:pPr>
    </w:p>
    <w:p>
      <w:pPr>
        <w:pStyle w:val="BodyText"/>
        <w:rPr>
          <w:rFonts w:ascii="Constantia"/>
          <w:sz w:val="18"/>
        </w:rPr>
      </w:pPr>
    </w:p>
    <w:p>
      <w:pPr>
        <w:pStyle w:val="BodyText"/>
        <w:rPr>
          <w:rFonts w:ascii="Constantia"/>
          <w:sz w:val="18"/>
        </w:rPr>
      </w:pPr>
    </w:p>
    <w:p>
      <w:pPr>
        <w:pStyle w:val="BodyText"/>
        <w:rPr>
          <w:rFonts w:ascii="Constantia"/>
          <w:sz w:val="18"/>
        </w:rPr>
      </w:pPr>
    </w:p>
    <w:p>
      <w:pPr>
        <w:pStyle w:val="BodyText"/>
        <w:rPr>
          <w:rFonts w:ascii="Constantia"/>
          <w:sz w:val="18"/>
        </w:rPr>
      </w:pPr>
    </w:p>
    <w:p>
      <w:pPr>
        <w:pStyle w:val="BodyText"/>
        <w:spacing w:before="7"/>
        <w:rPr>
          <w:rFonts w:ascii="Constantia"/>
          <w:sz w:val="22"/>
        </w:rPr>
      </w:pPr>
    </w:p>
    <w:p>
      <w:pPr>
        <w:spacing w:before="0"/>
        <w:ind w:left="125" w:right="-14" w:firstLine="0"/>
        <w:jc w:val="left"/>
        <w:rPr>
          <w:rFonts w:ascii="Constantia"/>
          <w:sz w:val="19"/>
        </w:rPr>
      </w:pPr>
      <w:r>
        <w:rPr>
          <w:rFonts w:ascii="Constantia"/>
          <w:w w:val="85"/>
          <w:sz w:val="19"/>
        </w:rPr>
        <w:t>2010-2014</w:t>
      </w:r>
    </w:p>
    <w:p>
      <w:pPr>
        <w:pStyle w:val="BodyText"/>
        <w:spacing w:before="6"/>
        <w:rPr>
          <w:rFonts w:ascii="Constantia"/>
          <w:sz w:val="9"/>
        </w:rPr>
      </w:pPr>
      <w:r>
        <w:rPr/>
        <w:br w:type="column"/>
      </w:r>
      <w:r>
        <w:rPr>
          <w:rFonts w:ascii="Constantia"/>
          <w:sz w:val="9"/>
        </w:rPr>
      </w:r>
    </w:p>
    <w:p>
      <w:pPr>
        <w:spacing w:line="240" w:lineRule="auto"/>
        <w:ind w:left="3118" w:right="0" w:firstLine="0"/>
        <w:rPr>
          <w:rFonts w:ascii="Constantia"/>
          <w:sz w:val="20"/>
        </w:rPr>
      </w:pPr>
      <w:r>
        <w:rPr>
          <w:rFonts w:ascii="Constantia"/>
          <w:sz w:val="20"/>
        </w:rPr>
        <w:pict>
          <v:group style="width:80.5pt;height:35.950pt;mso-position-horizontal-relative:char;mso-position-vertical-relative:line" coordorigin="0,0" coordsize="1610,719">
            <v:rect style="position:absolute;left:8;top:0;width:1594;height:47" filled="true" fillcolor="#fdfdfd" stroked="false">
              <v:fill type="solid"/>
            </v:rect>
            <v:rect style="position:absolute;left:8;top:47;width:1594;height:95" filled="true" fillcolor="#fcfcfc" stroked="false">
              <v:fill type="solid"/>
            </v:rect>
            <v:rect style="position:absolute;left:8;top:142;width:1594;height:47" filled="true" fillcolor="#fbfbfb" stroked="false">
              <v:fill type="solid"/>
            </v:rect>
            <v:rect style="position:absolute;left:8;top:190;width:1594;height:47" filled="true" fillcolor="#fafafa" stroked="false">
              <v:fill type="solid"/>
            </v:rect>
            <v:rect style="position:absolute;left:8;top:237;width:1594;height:47" filled="true" fillcolor="#f9f9f9" stroked="false">
              <v:fill type="solid"/>
            </v:rect>
            <v:rect style="position:absolute;left:8;top:284;width:1594;height:87" filled="true" fillcolor="#f8f8f8" stroked="false">
              <v:fill type="solid"/>
            </v:rect>
            <v:rect style="position:absolute;left:8;top:371;width:1594;height:47" filled="true" fillcolor="#f8f8f8" stroked="false">
              <v:fill type="solid"/>
            </v:rect>
            <v:rect style="position:absolute;left:8;top:419;width:1594;height:47" filled="true" fillcolor="#f7f7f7" stroked="false">
              <v:fill type="solid"/>
            </v:rect>
            <v:rect style="position:absolute;left:8;top:466;width:1594;height:47" filled="true" fillcolor="#f6f6f6" stroked="false">
              <v:fill type="solid"/>
            </v:rect>
            <v:rect style="position:absolute;left:8;top:513;width:1594;height:47" filled="true" fillcolor="#f5f5f5" stroked="false">
              <v:fill type="solid"/>
            </v:rect>
            <v:rect style="position:absolute;left:8;top:561;width:1594;height:95" filled="true" fillcolor="#f4f4f4" stroked="false">
              <v:fill type="solid"/>
            </v:rect>
            <v:rect style="position:absolute;left:8;top:656;width:1594;height:47" filled="true" fillcolor="#f3f3f3" stroked="false">
              <v:fill type="solid"/>
            </v:rect>
            <v:line style="position:absolute" from="8,711" to="1602,711" stroked="true" strokeweight=".788996pt" strokecolor="#f1f1f1"/>
          </v:group>
        </w:pict>
      </w:r>
      <w:r>
        <w:rPr>
          <w:rFonts w:ascii="Constantia"/>
          <w:sz w:val="20"/>
        </w:rPr>
      </w:r>
      <w:r>
        <w:rPr>
          <w:spacing w:val="15"/>
          <w:sz w:val="20"/>
        </w:rPr>
        <w:t> </w:t>
      </w:r>
      <w:r>
        <w:rPr>
          <w:rFonts w:ascii="Constantia"/>
          <w:spacing w:val="15"/>
          <w:sz w:val="20"/>
        </w:rPr>
        <w:pict>
          <v:group style="width:86.7pt;height:35.950pt;mso-position-horizontal-relative:char;mso-position-vertical-relative:line" coordorigin="0,0" coordsize="1734,719">
            <v:rect style="position:absolute;left:8;top:0;width:1717;height:47" filled="true" fillcolor="#fdfdfd" stroked="false">
              <v:fill type="solid"/>
            </v:rect>
            <v:rect style="position:absolute;left:8;top:47;width:1717;height:95" filled="true" fillcolor="#fcfcfc" stroked="false">
              <v:fill type="solid"/>
            </v:rect>
            <v:rect style="position:absolute;left:8;top:142;width:1717;height:47" filled="true" fillcolor="#fbfbfb" stroked="false">
              <v:fill type="solid"/>
            </v:rect>
            <v:rect style="position:absolute;left:8;top:190;width:1717;height:47" filled="true" fillcolor="#fafafa" stroked="false">
              <v:fill type="solid"/>
            </v:rect>
            <v:rect style="position:absolute;left:8;top:237;width:1717;height:47" filled="true" fillcolor="#f9f9f9" stroked="false">
              <v:fill type="solid"/>
            </v:rect>
            <v:rect style="position:absolute;left:8;top:284;width:1717;height:87" filled="true" fillcolor="#f8f8f8" stroked="false">
              <v:fill type="solid"/>
            </v:rect>
            <v:rect style="position:absolute;left:8;top:371;width:1717;height:47" filled="true" fillcolor="#f8f8f8" stroked="false">
              <v:fill type="solid"/>
            </v:rect>
            <v:rect style="position:absolute;left:8;top:419;width:1717;height:47" filled="true" fillcolor="#f7f7f7" stroked="false">
              <v:fill type="solid"/>
            </v:rect>
            <v:rect style="position:absolute;left:8;top:466;width:1717;height:47" filled="true" fillcolor="#f6f6f6" stroked="false">
              <v:fill type="solid"/>
            </v:rect>
            <v:rect style="position:absolute;left:8;top:513;width:1717;height:47" filled="true" fillcolor="#f5f5f5" stroked="false">
              <v:fill type="solid"/>
            </v:rect>
            <v:rect style="position:absolute;left:8;top:561;width:1717;height:95" filled="true" fillcolor="#f4f4f4" stroked="false">
              <v:fill type="solid"/>
            </v:rect>
            <v:rect style="position:absolute;left:8;top:656;width:1717;height:47" filled="true" fillcolor="#f3f3f3" stroked="false">
              <v:fill type="solid"/>
            </v:rect>
            <v:line style="position:absolute" from="8,711" to="1725,711" stroked="true" strokeweight=".788996pt" strokecolor="#f1f1f1"/>
          </v:group>
        </w:pict>
      </w:r>
      <w:r>
        <w:rPr>
          <w:rFonts w:ascii="Constantia"/>
          <w:spacing w:val="15"/>
          <w:sz w:val="20"/>
        </w:rPr>
      </w:r>
    </w:p>
    <w:p>
      <w:pPr>
        <w:pStyle w:val="BodyText"/>
        <w:spacing w:before="9"/>
        <w:rPr>
          <w:rFonts w:ascii="Constantia"/>
          <w:sz w:val="21"/>
        </w:rPr>
      </w:pPr>
    </w:p>
    <w:p>
      <w:pPr>
        <w:tabs>
          <w:tab w:pos="772" w:val="left" w:leader="none"/>
          <w:tab w:pos="1750" w:val="left" w:leader="none"/>
        </w:tabs>
        <w:spacing w:before="0"/>
        <w:ind w:left="0" w:right="1648" w:firstLine="0"/>
        <w:jc w:val="center"/>
        <w:rPr>
          <w:rFonts w:ascii="Constantia" w:hAnsi="Constantia"/>
          <w:sz w:val="19"/>
        </w:rPr>
      </w:pPr>
      <w:r>
        <w:rPr>
          <w:rFonts w:ascii="Constantia" w:hAnsi="Constantia"/>
          <w:w w:val="95"/>
          <w:sz w:val="19"/>
        </w:rPr>
        <w:t>-2.4</w:t>
        <w:tab/>
      </w:r>
      <w:r>
        <w:rPr>
          <w:rFonts w:ascii="Calibri" w:hAnsi="Calibri"/>
          <w:w w:val="95"/>
          <w:sz w:val="19"/>
        </w:rPr>
        <w:t>≈</w:t>
      </w:r>
      <w:r>
        <w:rPr>
          <w:rFonts w:ascii="Calibri" w:hAnsi="Calibri"/>
          <w:spacing w:val="-6"/>
          <w:w w:val="95"/>
          <w:sz w:val="19"/>
        </w:rPr>
        <w:t> </w:t>
      </w:r>
      <w:r>
        <w:rPr>
          <w:rFonts w:ascii="Constantia" w:hAnsi="Constantia"/>
          <w:w w:val="95"/>
          <w:sz w:val="19"/>
        </w:rPr>
        <w:t>23</w:t>
        <w:tab/>
        <w:t>28</w:t>
      </w:r>
    </w:p>
    <w:p>
      <w:pPr>
        <w:pStyle w:val="BodyText"/>
        <w:spacing w:before="10"/>
        <w:rPr>
          <w:rFonts w:ascii="Constantia"/>
          <w:sz w:val="22"/>
        </w:rPr>
      </w:pPr>
    </w:p>
    <w:p>
      <w:pPr>
        <w:tabs>
          <w:tab w:pos="1621" w:val="left" w:leader="none"/>
          <w:tab w:pos="2456" w:val="left" w:leader="none"/>
          <w:tab w:pos="3400" w:val="left" w:leader="none"/>
        </w:tabs>
        <w:spacing w:before="0"/>
        <w:ind w:left="144" w:right="0" w:firstLine="0"/>
        <w:jc w:val="left"/>
        <w:rPr>
          <w:rFonts w:ascii="Constantia" w:hAnsi="Constantia"/>
          <w:sz w:val="19"/>
        </w:rPr>
      </w:pPr>
      <w:r>
        <w:rPr>
          <w:rFonts w:ascii="Constantia" w:hAnsi="Constantia"/>
          <w:w w:val="95"/>
          <w:position w:val="1"/>
          <w:sz w:val="19"/>
        </w:rPr>
        <w:t>0.0</w:t>
        <w:tab/>
        <w:t>-10.6</w:t>
        <w:tab/>
      </w:r>
      <w:r>
        <w:rPr>
          <w:rFonts w:ascii="Calibri" w:hAnsi="Calibri"/>
          <w:w w:val="95"/>
          <w:sz w:val="19"/>
        </w:rPr>
        <w:t>≈</w:t>
      </w:r>
      <w:r>
        <w:rPr>
          <w:rFonts w:ascii="Constantia" w:hAnsi="Constantia"/>
          <w:w w:val="95"/>
          <w:sz w:val="19"/>
        </w:rPr>
        <w:t>15</w:t>
        <w:tab/>
      </w:r>
      <w:r>
        <w:rPr>
          <w:rFonts w:ascii="Constantia" w:hAnsi="Constantia"/>
          <w:w w:val="95"/>
          <w:position w:val="1"/>
          <w:sz w:val="19"/>
        </w:rPr>
        <w:t>28</w:t>
      </w:r>
    </w:p>
    <w:p>
      <w:pPr>
        <w:tabs>
          <w:tab w:pos="690" w:val="left" w:leader="none"/>
          <w:tab w:pos="1532" w:val="left" w:leader="none"/>
          <w:tab w:pos="2476" w:val="left" w:leader="none"/>
          <w:tab w:pos="3256" w:val="left" w:leader="none"/>
        </w:tabs>
        <w:spacing w:before="5"/>
        <w:ind w:left="0" w:right="1568" w:firstLine="0"/>
        <w:jc w:val="center"/>
        <w:rPr>
          <w:rFonts w:ascii="Constantia" w:hAnsi="Constantia"/>
          <w:sz w:val="19"/>
        </w:rPr>
      </w:pPr>
      <w:r>
        <w:rPr>
          <w:rFonts w:ascii="Constantia" w:hAnsi="Constantia"/>
          <w:w w:val="95"/>
          <w:sz w:val="19"/>
        </w:rPr>
        <w:t>1.0</w:t>
        <w:tab/>
        <w:t>-12.6</w:t>
        <w:tab/>
      </w:r>
      <w:r>
        <w:rPr>
          <w:rFonts w:ascii="Calibri" w:hAnsi="Calibri"/>
          <w:w w:val="95"/>
          <w:sz w:val="19"/>
        </w:rPr>
        <w:t>≈</w:t>
      </w:r>
      <w:r>
        <w:rPr>
          <w:rFonts w:ascii="Constantia" w:hAnsi="Constantia"/>
          <w:w w:val="95"/>
          <w:sz w:val="19"/>
        </w:rPr>
        <w:t>35</w:t>
        <w:tab/>
        <w:t>39</w:t>
        <w:tab/>
        <w:t>1.0</w:t>
      </w:r>
    </w:p>
    <w:p>
      <w:pPr>
        <w:spacing w:after="0"/>
        <w:jc w:val="center"/>
        <w:rPr>
          <w:rFonts w:ascii="Constantia" w:hAnsi="Constantia"/>
          <w:sz w:val="19"/>
        </w:rPr>
        <w:sectPr>
          <w:type w:val="continuous"/>
          <w:pgSz w:w="15850" w:h="12250" w:orient="landscape"/>
          <w:pgMar w:top="1500" w:bottom="280" w:left="640" w:right="600"/>
          <w:cols w:num="5" w:equalWidth="0">
            <w:col w:w="1229" w:space="57"/>
            <w:col w:w="2708" w:space="63"/>
            <w:col w:w="1874" w:space="40"/>
            <w:col w:w="814" w:space="946"/>
            <w:col w:w="6879"/>
          </w:cols>
        </w:sectPr>
      </w:pPr>
    </w:p>
    <w:p>
      <w:pPr>
        <w:tabs>
          <w:tab w:pos="10158" w:val="left" w:leader="none"/>
          <w:tab w:pos="11309" w:val="right" w:leader="none"/>
        </w:tabs>
        <w:spacing w:line="196" w:lineRule="exact" w:before="0"/>
        <w:ind w:left="1430" w:right="0" w:firstLine="0"/>
        <w:jc w:val="left"/>
        <w:rPr>
          <w:rFonts w:ascii="Constantia" w:hAnsi="Constantia"/>
          <w:sz w:val="19"/>
        </w:rPr>
      </w:pPr>
      <w:r>
        <w:rPr>
          <w:rFonts w:ascii="Constantia" w:hAnsi="Constantia"/>
          <w:w w:val="95"/>
          <w:sz w:val="15"/>
        </w:rPr>
        <w:t>Escenario</w:t>
      </w:r>
      <w:r>
        <w:rPr>
          <w:rFonts w:ascii="Constantia" w:hAnsi="Constantia"/>
          <w:spacing w:val="-25"/>
          <w:w w:val="95"/>
          <w:sz w:val="15"/>
        </w:rPr>
        <w:t> </w:t>
      </w:r>
      <w:r>
        <w:rPr>
          <w:rFonts w:ascii="Constantia" w:hAnsi="Constantia"/>
          <w:w w:val="95"/>
          <w:sz w:val="15"/>
        </w:rPr>
        <w:t>base:</w:t>
      </w:r>
      <w:r>
        <w:rPr>
          <w:rFonts w:ascii="Constantia" w:hAnsi="Constantia"/>
          <w:spacing w:val="-24"/>
          <w:w w:val="95"/>
          <w:sz w:val="15"/>
        </w:rPr>
        <w:t> </w:t>
      </w:r>
      <w:r>
        <w:rPr>
          <w:rFonts w:ascii="Constantia" w:hAnsi="Constantia"/>
          <w:w w:val="95"/>
          <w:sz w:val="15"/>
        </w:rPr>
        <w:t>sin</w:t>
      </w:r>
      <w:r>
        <w:rPr>
          <w:rFonts w:ascii="Constantia" w:hAnsi="Constantia"/>
          <w:spacing w:val="-24"/>
          <w:w w:val="95"/>
          <w:sz w:val="15"/>
        </w:rPr>
        <w:t> </w:t>
      </w:r>
      <w:r>
        <w:rPr>
          <w:rFonts w:ascii="Constantia" w:hAnsi="Constantia"/>
          <w:w w:val="95"/>
          <w:sz w:val="15"/>
        </w:rPr>
        <w:t>regla</w:t>
      </w:r>
      <w:r>
        <w:rPr>
          <w:rFonts w:ascii="Constantia" w:hAnsi="Constantia"/>
          <w:spacing w:val="-24"/>
          <w:w w:val="95"/>
          <w:sz w:val="15"/>
        </w:rPr>
        <w:t> </w:t>
      </w:r>
      <w:r>
        <w:rPr>
          <w:rFonts w:ascii="Constantia" w:hAnsi="Constantia"/>
          <w:w w:val="95"/>
          <w:sz w:val="15"/>
        </w:rPr>
        <w:t>fiscal</w:t>
        <w:tab/>
      </w:r>
      <w:r>
        <w:rPr>
          <w:rFonts w:ascii="Calibri" w:hAnsi="Calibri"/>
          <w:w w:val="95"/>
          <w:position w:val="-2"/>
          <w:sz w:val="19"/>
        </w:rPr>
        <w:t>≈</w:t>
      </w:r>
      <w:r>
        <w:rPr>
          <w:rFonts w:ascii="Constantia" w:hAnsi="Constantia"/>
          <w:w w:val="95"/>
          <w:position w:val="-2"/>
          <w:sz w:val="19"/>
        </w:rPr>
        <w:t>40</w:t>
      </w:r>
      <w:r>
        <w:rPr>
          <w:rFonts w:ascii="Constantia" w:hAnsi="Constantia"/>
          <w:w w:val="95"/>
          <w:position w:val="-1"/>
          <w:sz w:val="19"/>
        </w:rPr>
        <w:tab/>
        <w:t>46</w:t>
      </w:r>
    </w:p>
    <w:p>
      <w:pPr>
        <w:tabs>
          <w:tab w:pos="9378" w:val="left" w:leader="none"/>
          <w:tab w:pos="10165" w:val="left" w:leader="none"/>
          <w:tab w:pos="11296" w:val="right" w:leader="none"/>
        </w:tabs>
        <w:spacing w:line="225" w:lineRule="exact" w:before="0"/>
        <w:ind w:left="1430" w:right="0" w:firstLine="0"/>
        <w:jc w:val="left"/>
        <w:rPr>
          <w:rFonts w:ascii="Constantia" w:hAnsi="Constantia"/>
          <w:sz w:val="19"/>
        </w:rPr>
      </w:pPr>
      <w:r>
        <w:rPr/>
        <w:pict>
          <v:group style="position:absolute;margin-left:37.441856pt;margin-top:10.881161pt;width:530.25pt;height:81.350pt;mso-position-horizontal-relative:page;mso-position-vertical-relative:paragraph;z-index:-556816" coordorigin="749,218" coordsize="10605,1627">
            <v:shape style="position:absolute;left:4813;top:218;width:1792;height:679" type="#_x0000_t75" stroked="false">
              <v:imagedata r:id="rId336" o:title=""/>
            </v:shape>
            <v:rect style="position:absolute;left:757;top:1197;width:4063;height:32" filled="true" fillcolor="#f6f6f6" stroked="false">
              <v:fill type="solid"/>
            </v:rect>
            <v:rect style="position:absolute;left:757;top:1229;width:4063;height:24" filled="true" fillcolor="#f5f5f5" stroked="false">
              <v:fill type="solid"/>
            </v:rect>
            <v:rect style="position:absolute;left:757;top:1252;width:4063;height:63" filled="true" fillcolor="#f4f4f4" stroked="false">
              <v:fill type="solid"/>
            </v:rect>
            <v:rect style="position:absolute;left:757;top:1315;width:4063;height:32" filled="true" fillcolor="#f3f3f3" stroked="false">
              <v:fill type="solid"/>
            </v:rect>
            <v:line style="position:absolute" from="757,1351" to="4820,1351" stroked="true" strokeweight=".394498pt" strokecolor="#f1f1f1"/>
            <v:shape style="position:absolute;left:4813;top:889;width:1792;height:474" type="#_x0000_t75" stroked="false">
              <v:imagedata r:id="rId337" o:title=""/>
            </v:shape>
            <v:rect style="position:absolute;left:6592;top:1197;width:4754;height:32" filled="true" fillcolor="#f6f6f6" stroked="false">
              <v:fill type="solid"/>
            </v:rect>
            <v:rect style="position:absolute;left:6592;top:1229;width:4754;height:24" filled="true" fillcolor="#f5f5f5" stroked="false">
              <v:fill type="solid"/>
            </v:rect>
            <v:rect style="position:absolute;left:6592;top:1252;width:4754;height:63" filled="true" fillcolor="#f4f4f4" stroked="false">
              <v:fill type="solid"/>
            </v:rect>
            <v:rect style="position:absolute;left:6592;top:1315;width:4754;height:32" filled="true" fillcolor="#f3f3f3" stroked="false">
              <v:fill type="solid"/>
            </v:rect>
            <v:line style="position:absolute" from="6592,1351" to="11346,1351" stroked="true" strokeweight=".394498pt" strokecolor="#f1f1f1"/>
            <v:line style="position:absolute" from="757,1355" to="4820,1355" stroked="true" strokeweight=".788996pt" strokecolor="#ffffff"/>
            <v:rect style="position:absolute;left:757;top:1363;width:4063;height:32" filled="true" fillcolor="#fdfdfd" stroked="false">
              <v:fill type="solid"/>
            </v:rect>
            <v:rect style="position:absolute;left:757;top:1395;width:4063;height:63" filled="true" fillcolor="#fcfcfc" stroked="false">
              <v:fill type="solid"/>
            </v:rect>
            <v:rect style="position:absolute;left:757;top:1458;width:4063;height:32" filled="true" fillcolor="#fbfbfb" stroked="false">
              <v:fill type="solid"/>
            </v:rect>
            <v:rect style="position:absolute;left:757;top:1489;width:4063;height:24" filled="true" fillcolor="#fafafa" stroked="false">
              <v:fill type="solid"/>
            </v:rect>
            <v:rect style="position:absolute;left:757;top:1513;width:4063;height:32" filled="true" fillcolor="#f9f9f9" stroked="false">
              <v:fill type="solid"/>
            </v:rect>
            <v:shape style="position:absolute;left:757;top:1544;width:4064;height:95" coordorigin="757,1544" coordsize="4064,95" path="m4820,1544l757,1544,757,1608,757,1639,4820,1639,4820,1608,4820,1544e" filled="true" fillcolor="#f8f8f8" stroked="false">
              <v:path arrowok="t"/>
              <v:fill type="solid"/>
            </v:shape>
            <v:rect style="position:absolute;left:757;top:1639;width:4063;height:32" filled="true" fillcolor="#f7f7f7" stroked="false">
              <v:fill type="solid"/>
            </v:rect>
            <v:rect style="position:absolute;left:757;top:1671;width:4063;height:24" filled="true" fillcolor="#f6f6f6" stroked="false">
              <v:fill type="solid"/>
            </v:rect>
            <v:rect style="position:absolute;left:757;top:1695;width:4063;height:32" filled="true" fillcolor="#f5f5f5" stroked="false">
              <v:fill type="solid"/>
            </v:rect>
            <v:rect style="position:absolute;left:757;top:1726;width:4063;height:63" filled="true" fillcolor="#f4f4f4" stroked="false">
              <v:fill type="solid"/>
            </v:rect>
            <v:rect style="position:absolute;left:757;top:1789;width:4063;height:32" filled="true" fillcolor="#f3f3f3" stroked="false">
              <v:fill type="solid"/>
            </v:rect>
            <v:line style="position:absolute" from="757,1825" to="4820,1825" stroked="true" strokeweight=".394498pt" strokecolor="#f1f1f1"/>
            <v:shape style="position:absolute;left:4813;top:1355;width:1792;height:482" type="#_x0000_t75" stroked="false">
              <v:imagedata r:id="rId338" o:title=""/>
            </v:shape>
            <v:line style="position:absolute" from="6592,1355" to="11346,1355" stroked="true" strokeweight=".788996pt" strokecolor="#ffffff"/>
            <v:rect style="position:absolute;left:6592;top:1363;width:4754;height:32" filled="true" fillcolor="#fdfdfd" stroked="false">
              <v:fill type="solid"/>
            </v:rect>
            <v:rect style="position:absolute;left:6592;top:1395;width:4754;height:63" filled="true" fillcolor="#fcfcfc" stroked="false">
              <v:fill type="solid"/>
            </v:rect>
            <v:rect style="position:absolute;left:6592;top:1458;width:4754;height:32" filled="true" fillcolor="#fbfbfb" stroked="false">
              <v:fill type="solid"/>
            </v:rect>
            <v:rect style="position:absolute;left:6592;top:1489;width:4754;height:24" filled="true" fillcolor="#fafafa" stroked="false">
              <v:fill type="solid"/>
            </v:rect>
            <v:rect style="position:absolute;left:6592;top:1513;width:4754;height:32" filled="true" fillcolor="#f9f9f9" stroked="false">
              <v:fill type="solid"/>
            </v:rect>
            <v:shape style="position:absolute;left:6592;top:1544;width:4755;height:95" coordorigin="6592,1544" coordsize="4755,95" path="m11346,1544l6592,1544,6592,1608,6592,1639,11346,1639,11346,1608,11346,1544e" filled="true" fillcolor="#f8f8f8" stroked="false">
              <v:path arrowok="t"/>
              <v:fill type="solid"/>
            </v:shape>
            <v:rect style="position:absolute;left:6592;top:1639;width:4754;height:32" filled="true" fillcolor="#f7f7f7" stroked="false">
              <v:fill type="solid"/>
            </v:rect>
            <v:rect style="position:absolute;left:6592;top:1671;width:4754;height:24" filled="true" fillcolor="#f6f6f6" stroked="false">
              <v:fill type="solid"/>
            </v:rect>
            <v:rect style="position:absolute;left:6592;top:1695;width:4754;height:32" filled="true" fillcolor="#f5f5f5" stroked="false">
              <v:fill type="solid"/>
            </v:rect>
            <v:rect style="position:absolute;left:6592;top:1726;width:4754;height:63" filled="true" fillcolor="#f4f4f4" stroked="false">
              <v:fill type="solid"/>
            </v:rect>
            <v:rect style="position:absolute;left:6592;top:1789;width:4754;height:32" filled="true" fillcolor="#f3f3f3" stroked="false">
              <v:fill type="solid"/>
            </v:rect>
            <v:line style="position:absolute" from="6592,1825" to="11346,1825" stroked="true" strokeweight=".394498pt" strokecolor="#f1f1f1"/>
            <v:line style="position:absolute" from="760,1825" to="11342,1825" stroked="true" strokeweight=".394498pt" strokecolor="#000000"/>
            <v:line style="position:absolute" from="757,1825" to="11346,1825" stroked="true" strokeweight=".394498pt" strokecolor="#000000"/>
            <v:line style="position:absolute" from="760,1841" to="11342,1841" stroked="true" strokeweight=".394498pt" strokecolor="#000000"/>
            <v:line style="position:absolute" from="757,1841" to="11346,1841" stroked="true" strokeweight=".394498pt" strokecolor="#000000"/>
            <v:shape style="position:absolute;left:2070;top:1163;width:1902;height:151" type="#_x0000_t202" filled="false" stroked="false">
              <v:textbox inset="0,0,0,0">
                <w:txbxContent>
                  <w:p>
                    <w:pPr>
                      <w:spacing w:line="150" w:lineRule="exact" w:before="0"/>
                      <w:ind w:left="0" w:right="-5" w:firstLine="0"/>
                      <w:jc w:val="left"/>
                      <w:rPr>
                        <w:rFonts w:ascii="Constantia"/>
                        <w:sz w:val="15"/>
                      </w:rPr>
                    </w:pPr>
                    <w:r>
                      <w:rPr>
                        <w:rFonts w:ascii="Constantia"/>
                        <w:w w:val="90"/>
                        <w:sz w:val="15"/>
                      </w:rPr>
                      <w:t>recurso</w:t>
                    </w:r>
                    <w:r>
                      <w:rPr>
                        <w:rFonts w:ascii="Constantia"/>
                        <w:spacing w:val="-17"/>
                        <w:w w:val="90"/>
                        <w:sz w:val="15"/>
                      </w:rPr>
                      <w:t> </w:t>
                    </w:r>
                    <w:r>
                      <w:rPr>
                        <w:rFonts w:ascii="Constantia"/>
                        <w:w w:val="90"/>
                        <w:sz w:val="15"/>
                      </w:rPr>
                      <w:t>natural</w:t>
                    </w:r>
                    <w:r>
                      <w:rPr>
                        <w:rFonts w:ascii="Constantia"/>
                        <w:spacing w:val="-17"/>
                        <w:w w:val="90"/>
                        <w:sz w:val="15"/>
                      </w:rPr>
                      <w:t> </w:t>
                    </w:r>
                    <w:r>
                      <w:rPr>
                        <w:rFonts w:ascii="Constantia"/>
                        <w:w w:val="90"/>
                        <w:sz w:val="15"/>
                      </w:rPr>
                      <w:t>al</w:t>
                    </w:r>
                    <w:r>
                      <w:rPr>
                        <w:rFonts w:ascii="Constantia"/>
                        <w:spacing w:val="-17"/>
                        <w:w w:val="90"/>
                        <w:sz w:val="15"/>
                      </w:rPr>
                      <w:t> </w:t>
                    </w:r>
                    <w:r>
                      <w:rPr>
                        <w:rFonts w:ascii="Constantia"/>
                        <w:w w:val="90"/>
                        <w:sz w:val="15"/>
                      </w:rPr>
                      <w:t>gasto</w:t>
                    </w:r>
                    <w:r>
                      <w:rPr>
                        <w:rFonts w:ascii="Constantia"/>
                        <w:spacing w:val="-17"/>
                        <w:w w:val="90"/>
                        <w:sz w:val="15"/>
                      </w:rPr>
                      <w:t> </w:t>
                    </w:r>
                    <w:r>
                      <w:rPr>
                        <w:rFonts w:ascii="Constantia"/>
                        <w:w w:val="90"/>
                        <w:sz w:val="15"/>
                      </w:rPr>
                      <w:t>de</w:t>
                    </w:r>
                    <w:r>
                      <w:rPr>
                        <w:rFonts w:ascii="Constantia"/>
                        <w:spacing w:val="-16"/>
                        <w:w w:val="90"/>
                        <w:sz w:val="15"/>
                      </w:rPr>
                      <w:t> </w:t>
                    </w:r>
                    <w:r>
                      <w:rPr>
                        <w:rFonts w:ascii="Constantia"/>
                        <w:w w:val="90"/>
                        <w:sz w:val="15"/>
                      </w:rPr>
                      <w:t>capital</w:t>
                    </w:r>
                  </w:p>
                </w:txbxContent>
              </v:textbox>
              <w10:wrap type="none"/>
            </v:shape>
            <v:shape style="position:absolute;left:4841;top:512;width:1569;height:1051" type="#_x0000_t202" filled="false" stroked="false">
              <v:textbox inset="0,0,0,0">
                <w:txbxContent>
                  <w:p>
                    <w:pPr>
                      <w:spacing w:line="168" w:lineRule="exact" w:before="0"/>
                      <w:ind w:left="0" w:right="-11" w:firstLine="0"/>
                      <w:jc w:val="left"/>
                      <w:rPr>
                        <w:rFonts w:ascii="Constantia" w:hAnsi="Constantia"/>
                        <w:sz w:val="16"/>
                      </w:rPr>
                    </w:pPr>
                    <w:r>
                      <w:rPr>
                        <w:rFonts w:ascii="Constantia" w:hAnsi="Constantia"/>
                        <w:w w:val="90"/>
                        <w:sz w:val="16"/>
                      </w:rPr>
                      <w:t>Canalización de ingresos</w:t>
                    </w:r>
                  </w:p>
                  <w:p>
                    <w:pPr>
                      <w:spacing w:line="271" w:lineRule="auto" w:before="26"/>
                      <w:ind w:left="0" w:right="-11" w:firstLine="0"/>
                      <w:jc w:val="left"/>
                      <w:rPr>
                        <w:rFonts w:ascii="Constantia"/>
                        <w:sz w:val="16"/>
                      </w:rPr>
                    </w:pPr>
                    <w:r>
                      <w:rPr>
                        <w:rFonts w:ascii="Constantia"/>
                        <w:w w:val="95"/>
                        <w:sz w:val="16"/>
                      </w:rPr>
                      <w:t>fiscales</w:t>
                    </w:r>
                    <w:r>
                      <w:rPr>
                        <w:rFonts w:ascii="Constantia"/>
                        <w:spacing w:val="-19"/>
                        <w:w w:val="95"/>
                        <w:sz w:val="16"/>
                      </w:rPr>
                      <w:t> </w:t>
                    </w:r>
                    <w:r>
                      <w:rPr>
                        <w:rFonts w:ascii="Constantia"/>
                        <w:w w:val="95"/>
                        <w:sz w:val="16"/>
                      </w:rPr>
                      <w:t>del</w:t>
                    </w:r>
                    <w:r>
                      <w:rPr>
                        <w:rFonts w:ascii="Constantia"/>
                        <w:spacing w:val="-21"/>
                        <w:w w:val="95"/>
                        <w:sz w:val="16"/>
                      </w:rPr>
                      <w:t> </w:t>
                    </w:r>
                    <w:r>
                      <w:rPr>
                        <w:rFonts w:ascii="Constantia"/>
                        <w:w w:val="95"/>
                        <w:sz w:val="16"/>
                      </w:rPr>
                      <w:t>gas</w:t>
                    </w:r>
                    <w:r>
                      <w:rPr>
                        <w:rFonts w:ascii="Constantia"/>
                        <w:spacing w:val="-19"/>
                        <w:w w:val="95"/>
                        <w:sz w:val="16"/>
                      </w:rPr>
                      <w:t> </w:t>
                    </w:r>
                    <w:r>
                      <w:rPr>
                        <w:rFonts w:ascii="Constantia"/>
                        <w:w w:val="95"/>
                        <w:sz w:val="16"/>
                      </w:rPr>
                      <w:t>natrual</w:t>
                    </w:r>
                    <w:r>
                      <w:rPr>
                        <w:rFonts w:ascii="Constantia"/>
                        <w:spacing w:val="-21"/>
                        <w:w w:val="95"/>
                        <w:sz w:val="16"/>
                      </w:rPr>
                      <w:t> </w:t>
                    </w:r>
                    <w:r>
                      <w:rPr>
                        <w:rFonts w:ascii="Constantia"/>
                        <w:w w:val="95"/>
                        <w:sz w:val="16"/>
                      </w:rPr>
                      <w:t>al </w:t>
                    </w:r>
                    <w:r>
                      <w:rPr>
                        <w:rFonts w:ascii="Constantia"/>
                        <w:w w:val="90"/>
                        <w:sz w:val="16"/>
                      </w:rPr>
                      <w:t>gasto de capital.</w:t>
                    </w:r>
                    <w:r>
                      <w:rPr>
                        <w:rFonts w:ascii="Constantia"/>
                        <w:spacing w:val="-26"/>
                        <w:w w:val="90"/>
                        <w:sz w:val="16"/>
                      </w:rPr>
                      <w:t> </w:t>
                    </w:r>
                    <w:r>
                      <w:rPr>
                        <w:rFonts w:ascii="Constantia"/>
                        <w:w w:val="90"/>
                        <w:sz w:val="16"/>
                      </w:rPr>
                      <w:t>Vectores </w:t>
                    </w:r>
                    <w:r>
                      <w:rPr>
                        <w:rFonts w:ascii="Constantia"/>
                        <w:sz w:val="16"/>
                      </w:rPr>
                      <w:t>autoregresivos </w:t>
                    </w:r>
                    <w:r>
                      <w:rPr>
                        <w:rFonts w:ascii="Constantia"/>
                        <w:w w:val="90"/>
                        <w:sz w:val="16"/>
                      </w:rPr>
                      <w:t>estructurales</w:t>
                    </w:r>
                    <w:r>
                      <w:rPr>
                        <w:rFonts w:ascii="Constantia"/>
                        <w:spacing w:val="-13"/>
                        <w:w w:val="90"/>
                        <w:sz w:val="16"/>
                      </w:rPr>
                      <w:t> </w:t>
                    </w:r>
                    <w:r>
                      <w:rPr>
                        <w:rFonts w:ascii="Constantia"/>
                        <w:w w:val="90"/>
                        <w:sz w:val="16"/>
                      </w:rPr>
                      <w:t>(SVAR)</w:t>
                    </w:r>
                  </w:p>
                </w:txbxContent>
              </v:textbox>
              <w10:wrap type="none"/>
            </v:shape>
            <v:shape style="position:absolute;left:2070;top:1534;width:1690;height:151" type="#_x0000_t202" filled="false" stroked="false">
              <v:textbox inset="0,0,0,0">
                <w:txbxContent>
                  <w:p>
                    <w:pPr>
                      <w:spacing w:line="150" w:lineRule="exact" w:before="0"/>
                      <w:ind w:left="0" w:right="-5" w:firstLine="0"/>
                      <w:jc w:val="left"/>
                      <w:rPr>
                        <w:rFonts w:ascii="Constantia"/>
                        <w:sz w:val="15"/>
                      </w:rPr>
                    </w:pPr>
                    <w:r>
                      <w:rPr>
                        <w:rFonts w:ascii="Constantia"/>
                        <w:w w:val="90"/>
                        <w:sz w:val="15"/>
                      </w:rPr>
                      <w:t>Escenario</w:t>
                    </w:r>
                    <w:r>
                      <w:rPr>
                        <w:rFonts w:ascii="Constantia"/>
                        <w:spacing w:val="-21"/>
                        <w:w w:val="90"/>
                        <w:sz w:val="15"/>
                      </w:rPr>
                      <w:t> </w:t>
                    </w:r>
                    <w:r>
                      <w:rPr>
                        <w:rFonts w:ascii="Constantia"/>
                        <w:w w:val="90"/>
                        <w:sz w:val="15"/>
                      </w:rPr>
                      <w:t>base:</w:t>
                    </w:r>
                    <w:r>
                      <w:rPr>
                        <w:rFonts w:ascii="Constantia"/>
                        <w:spacing w:val="-19"/>
                        <w:w w:val="90"/>
                        <w:sz w:val="15"/>
                      </w:rPr>
                      <w:t> </w:t>
                    </w:r>
                    <w:r>
                      <w:rPr>
                        <w:rFonts w:ascii="Constantia"/>
                        <w:w w:val="90"/>
                        <w:sz w:val="15"/>
                      </w:rPr>
                      <w:t>sin</w:t>
                    </w:r>
                    <w:r>
                      <w:rPr>
                        <w:rFonts w:ascii="Constantia"/>
                        <w:spacing w:val="-20"/>
                        <w:w w:val="90"/>
                        <w:sz w:val="15"/>
                      </w:rPr>
                      <w:t> </w:t>
                    </w:r>
                    <w:r>
                      <w:rPr>
                        <w:rFonts w:ascii="Constantia"/>
                        <w:w w:val="90"/>
                        <w:sz w:val="15"/>
                      </w:rPr>
                      <w:t>regla</w:t>
                    </w:r>
                    <w:r>
                      <w:rPr>
                        <w:rFonts w:ascii="Constantia"/>
                        <w:spacing w:val="-20"/>
                        <w:w w:val="90"/>
                        <w:sz w:val="15"/>
                      </w:rPr>
                      <w:t> </w:t>
                    </w:r>
                    <w:r>
                      <w:rPr>
                        <w:rFonts w:ascii="Constantia"/>
                        <w:w w:val="90"/>
                        <w:sz w:val="15"/>
                      </w:rPr>
                      <w:t>fiscal</w:t>
                    </w:r>
                  </w:p>
                </w:txbxContent>
              </v:textbox>
              <w10:wrap type="none"/>
            </v:shape>
            <w10:wrap type="none"/>
          </v:group>
        </w:pict>
      </w:r>
      <w:r>
        <w:rPr>
          <w:rFonts w:ascii="Constantia" w:hAnsi="Constantia"/>
          <w:w w:val="95"/>
          <w:sz w:val="15"/>
        </w:rPr>
        <w:t>Gasto</w:t>
      </w:r>
      <w:r>
        <w:rPr>
          <w:rFonts w:ascii="Constantia" w:hAnsi="Constantia"/>
          <w:spacing w:val="-24"/>
          <w:w w:val="95"/>
          <w:sz w:val="15"/>
        </w:rPr>
        <w:t> </w:t>
      </w:r>
      <w:r>
        <w:rPr>
          <w:rFonts w:ascii="Constantia" w:hAnsi="Constantia"/>
          <w:w w:val="95"/>
          <w:sz w:val="15"/>
        </w:rPr>
        <w:t>real</w:t>
      </w:r>
      <w:r>
        <w:rPr>
          <w:rFonts w:ascii="Constantia" w:hAnsi="Constantia"/>
          <w:spacing w:val="-24"/>
          <w:w w:val="95"/>
          <w:sz w:val="15"/>
        </w:rPr>
        <w:t> </w:t>
      </w:r>
      <w:r>
        <w:rPr>
          <w:rFonts w:ascii="Constantia" w:hAnsi="Constantia"/>
          <w:w w:val="95"/>
          <w:sz w:val="15"/>
        </w:rPr>
        <w:t>constante</w:t>
        <w:tab/>
      </w:r>
      <w:r>
        <w:rPr>
          <w:rFonts w:ascii="Constantia" w:hAnsi="Constantia"/>
          <w:w w:val="95"/>
          <w:position w:val="-1"/>
          <w:sz w:val="19"/>
        </w:rPr>
        <w:t>-9.7</w:t>
        <w:tab/>
      </w:r>
      <w:r>
        <w:rPr>
          <w:rFonts w:ascii="Calibri" w:hAnsi="Calibri"/>
          <w:w w:val="95"/>
          <w:position w:val="-1"/>
          <w:sz w:val="19"/>
        </w:rPr>
        <w:t>≈</w:t>
      </w:r>
      <w:r>
        <w:rPr>
          <w:rFonts w:ascii="Constantia" w:hAnsi="Constantia"/>
          <w:w w:val="95"/>
          <w:position w:val="-1"/>
          <w:sz w:val="19"/>
        </w:rPr>
        <w:t>50</w:t>
        <w:tab/>
      </w:r>
      <w:r>
        <w:rPr>
          <w:rFonts w:ascii="Constantia" w:hAnsi="Constantia"/>
          <w:spacing w:val="-3"/>
          <w:w w:val="95"/>
          <w:position w:val="-1"/>
          <w:sz w:val="19"/>
        </w:rPr>
        <w:t>54</w:t>
      </w:r>
    </w:p>
    <w:p>
      <w:pPr>
        <w:tabs>
          <w:tab w:pos="5951" w:val="left" w:leader="none"/>
        </w:tabs>
        <w:spacing w:line="240" w:lineRule="auto"/>
        <w:ind w:left="116" w:right="0" w:firstLine="0"/>
        <w:rPr>
          <w:rFonts w:ascii="Constantia"/>
          <w:sz w:val="20"/>
        </w:rPr>
      </w:pPr>
      <w:r>
        <w:rPr>
          <w:rFonts w:ascii="Constantia"/>
          <w:position w:val="68"/>
          <w:sz w:val="20"/>
        </w:rPr>
        <w:pict>
          <v:shape style="width:203.2pt;height:46.65pt;mso-position-horizontal-relative:char;mso-position-vertical-relative:line" type="#_x0000_t202" filled="false" stroked="false">
            <w10:anchorlock/>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063"/>
                  </w:tblGrid>
                  <w:tr>
                    <w:trPr>
                      <w:trHeight w:val="466" w:hRule="exact"/>
                    </w:trPr>
                    <w:tc>
                      <w:tcPr>
                        <w:tcW w:w="4063" w:type="dxa"/>
                        <w:shd w:val="clear" w:color="auto" w:fill="F8F8F8"/>
                      </w:tcPr>
                      <w:p>
                        <w:pPr>
                          <w:pStyle w:val="TableParagraph"/>
                          <w:tabs>
                            <w:tab w:pos="1313" w:val="left" w:leader="none"/>
                          </w:tabs>
                          <w:spacing w:before="85"/>
                          <w:ind w:left="27"/>
                          <w:jc w:val="left"/>
                          <w:rPr>
                            <w:rFonts w:ascii="Constantia" w:hAnsi="Constantia"/>
                            <w:sz w:val="15"/>
                          </w:rPr>
                        </w:pPr>
                        <w:r>
                          <w:rPr>
                            <w:rFonts w:ascii="Constantia" w:hAnsi="Constantia"/>
                            <w:w w:val="95"/>
                            <w:position w:val="1"/>
                            <w:sz w:val="19"/>
                          </w:rPr>
                          <w:t>Investigación</w:t>
                          <w:tab/>
                        </w:r>
                        <w:r>
                          <w:rPr>
                            <w:rFonts w:ascii="Constantia" w:hAnsi="Constantia"/>
                            <w:w w:val="85"/>
                            <w:sz w:val="15"/>
                          </w:rPr>
                          <w:t>Canalización </w:t>
                        </w:r>
                        <w:r>
                          <w:rPr>
                            <w:rFonts w:ascii="Constantia" w:hAnsi="Constantia"/>
                            <w:i/>
                            <w:w w:val="85"/>
                            <w:sz w:val="15"/>
                          </w:rPr>
                          <w:t>media-baja  </w:t>
                        </w:r>
                        <w:r>
                          <w:rPr>
                            <w:rFonts w:ascii="Constantia" w:hAnsi="Constantia"/>
                            <w:w w:val="85"/>
                            <w:sz w:val="15"/>
                          </w:rPr>
                          <w:t>de los ingresos</w:t>
                        </w:r>
                        <w:r>
                          <w:rPr>
                            <w:rFonts w:ascii="Constantia" w:hAnsi="Constantia"/>
                            <w:spacing w:val="16"/>
                            <w:w w:val="85"/>
                            <w:sz w:val="15"/>
                          </w:rPr>
                          <w:t> </w:t>
                        </w:r>
                        <w:r>
                          <w:rPr>
                            <w:rFonts w:ascii="Constantia" w:hAnsi="Constantia"/>
                            <w:w w:val="85"/>
                            <w:sz w:val="15"/>
                          </w:rPr>
                          <w:t>fiscales</w:t>
                        </w:r>
                      </w:p>
                      <w:p>
                        <w:pPr>
                          <w:pStyle w:val="TableParagraph"/>
                          <w:tabs>
                            <w:tab w:pos="1313" w:val="left" w:leader="none"/>
                          </w:tabs>
                          <w:spacing w:line="175" w:lineRule="exact" w:before="13"/>
                          <w:ind w:left="27"/>
                          <w:jc w:val="left"/>
                          <w:rPr>
                            <w:rFonts w:ascii="Constantia"/>
                            <w:sz w:val="15"/>
                          </w:rPr>
                        </w:pPr>
                        <w:r>
                          <w:rPr>
                            <w:rFonts w:ascii="Constantia"/>
                            <w:w w:val="95"/>
                            <w:position w:val="-3"/>
                            <w:sz w:val="19"/>
                          </w:rPr>
                          <w:t>desarrollada*</w:t>
                          <w:tab/>
                        </w:r>
                        <w:r>
                          <w:rPr>
                            <w:rFonts w:ascii="Constantia"/>
                            <w:w w:val="90"/>
                            <w:sz w:val="15"/>
                          </w:rPr>
                          <w:t>del</w:t>
                        </w:r>
                        <w:r>
                          <w:rPr>
                            <w:rFonts w:ascii="Constantia"/>
                            <w:spacing w:val="-16"/>
                            <w:w w:val="90"/>
                            <w:sz w:val="15"/>
                          </w:rPr>
                          <w:t> </w:t>
                        </w:r>
                        <w:r>
                          <w:rPr>
                            <w:rFonts w:ascii="Constantia"/>
                            <w:w w:val="90"/>
                            <w:sz w:val="15"/>
                          </w:rPr>
                          <w:t>recurso</w:t>
                        </w:r>
                        <w:r>
                          <w:rPr>
                            <w:rFonts w:ascii="Constantia"/>
                            <w:spacing w:val="-16"/>
                            <w:w w:val="90"/>
                            <w:sz w:val="15"/>
                          </w:rPr>
                          <w:t> </w:t>
                        </w:r>
                        <w:r>
                          <w:rPr>
                            <w:rFonts w:ascii="Constantia"/>
                            <w:w w:val="90"/>
                            <w:sz w:val="15"/>
                          </w:rPr>
                          <w:t>natural</w:t>
                        </w:r>
                        <w:r>
                          <w:rPr>
                            <w:rFonts w:ascii="Constantia"/>
                            <w:spacing w:val="-16"/>
                            <w:w w:val="90"/>
                            <w:sz w:val="15"/>
                          </w:rPr>
                          <w:t> </w:t>
                        </w:r>
                        <w:r>
                          <w:rPr>
                            <w:rFonts w:ascii="Constantia"/>
                            <w:w w:val="90"/>
                            <w:sz w:val="15"/>
                          </w:rPr>
                          <w:t>al</w:t>
                        </w:r>
                        <w:r>
                          <w:rPr>
                            <w:rFonts w:ascii="Constantia"/>
                            <w:spacing w:val="-16"/>
                            <w:w w:val="90"/>
                            <w:sz w:val="15"/>
                          </w:rPr>
                          <w:t> </w:t>
                        </w:r>
                        <w:r>
                          <w:rPr>
                            <w:rFonts w:ascii="Constantia"/>
                            <w:w w:val="90"/>
                            <w:sz w:val="15"/>
                          </w:rPr>
                          <w:t>gasto</w:t>
                        </w:r>
                        <w:r>
                          <w:rPr>
                            <w:rFonts w:ascii="Constantia"/>
                            <w:spacing w:val="-16"/>
                            <w:w w:val="90"/>
                            <w:sz w:val="15"/>
                          </w:rPr>
                          <w:t> </w:t>
                        </w:r>
                        <w:r>
                          <w:rPr>
                            <w:rFonts w:ascii="Constantia"/>
                            <w:w w:val="90"/>
                            <w:sz w:val="15"/>
                          </w:rPr>
                          <w:t>de</w:t>
                        </w:r>
                        <w:r>
                          <w:rPr>
                            <w:rFonts w:ascii="Constantia"/>
                            <w:spacing w:val="-16"/>
                            <w:w w:val="90"/>
                            <w:sz w:val="15"/>
                          </w:rPr>
                          <w:t> </w:t>
                        </w:r>
                        <w:r>
                          <w:rPr>
                            <w:rFonts w:ascii="Constantia"/>
                            <w:w w:val="90"/>
                            <w:sz w:val="15"/>
                          </w:rPr>
                          <w:t>capital.</w:t>
                        </w:r>
                      </w:p>
                    </w:tc>
                  </w:tr>
                  <w:tr>
                    <w:trPr>
                      <w:trHeight w:val="190" w:hRule="exact"/>
                    </w:trPr>
                    <w:tc>
                      <w:tcPr>
                        <w:tcW w:w="4063" w:type="dxa"/>
                        <w:tcBorders>
                          <w:bottom w:val="single" w:sz="6" w:space="0" w:color="FFFFFF"/>
                        </w:tcBorders>
                        <w:shd w:val="clear" w:color="auto" w:fill="F3F3F3"/>
                      </w:tcPr>
                      <w:p>
                        <w:pPr/>
                      </w:p>
                    </w:tc>
                  </w:tr>
                  <w:tr>
                    <w:trPr>
                      <w:trHeight w:val="276" w:hRule="exact"/>
                    </w:trPr>
                    <w:tc>
                      <w:tcPr>
                        <w:tcW w:w="4063" w:type="dxa"/>
                        <w:tcBorders>
                          <w:top w:val="single" w:sz="6" w:space="0" w:color="FFFFFF"/>
                        </w:tcBorders>
                        <w:shd w:val="clear" w:color="auto" w:fill="F9F9F9"/>
                      </w:tcPr>
                      <w:p>
                        <w:pPr>
                          <w:pStyle w:val="TableParagraph"/>
                          <w:spacing w:before="38"/>
                          <w:ind w:left="1313"/>
                          <w:jc w:val="left"/>
                          <w:rPr>
                            <w:rFonts w:ascii="Constantia" w:hAnsi="Constantia"/>
                            <w:sz w:val="15"/>
                          </w:rPr>
                        </w:pPr>
                        <w:r>
                          <w:rPr>
                            <w:rFonts w:ascii="Constantia" w:hAnsi="Constantia"/>
                            <w:w w:val="95"/>
                            <w:sz w:val="15"/>
                          </w:rPr>
                          <w:t>Canalización </w:t>
                        </w:r>
                        <w:r>
                          <w:rPr>
                            <w:rFonts w:ascii="Constantia" w:hAnsi="Constantia"/>
                            <w:i/>
                            <w:w w:val="95"/>
                            <w:sz w:val="15"/>
                          </w:rPr>
                          <w:t>alta </w:t>
                        </w:r>
                        <w:r>
                          <w:rPr>
                            <w:rFonts w:ascii="Constantia" w:hAnsi="Constantia"/>
                            <w:w w:val="95"/>
                            <w:sz w:val="15"/>
                          </w:rPr>
                          <w:t>de los ingresos fiscales del</w:t>
                        </w:r>
                      </w:p>
                    </w:tc>
                  </w:tr>
                </w:tbl>
                <w:p>
                  <w:pPr>
                    <w:pStyle w:val="BodyText"/>
                  </w:pPr>
                </w:p>
              </w:txbxContent>
            </v:textbox>
          </v:shape>
        </w:pict>
      </w:r>
      <w:r>
        <w:rPr>
          <w:rFonts w:ascii="Constantia"/>
          <w:position w:val="68"/>
          <w:sz w:val="20"/>
        </w:rPr>
      </w:r>
      <w:r>
        <w:rPr>
          <w:rFonts w:ascii="Constantia"/>
          <w:position w:val="68"/>
          <w:sz w:val="20"/>
        </w:rPr>
        <w:tab/>
      </w:r>
      <w:r>
        <w:rPr>
          <w:rFonts w:ascii="Constantia"/>
          <w:position w:val="66"/>
          <w:sz w:val="20"/>
        </w:rPr>
        <w:pict>
          <v:shape style="width:237.75pt;height:47.8pt;mso-position-horizontal-relative:char;mso-position-vertical-relative:line" type="#_x0000_t202" filled="false" stroked="false">
            <w10:anchorlock/>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78"/>
                    <w:gridCol w:w="741"/>
                    <w:gridCol w:w="1162"/>
                    <w:gridCol w:w="1173"/>
                  </w:tblGrid>
                  <w:tr>
                    <w:trPr>
                      <w:trHeight w:val="490" w:hRule="exact"/>
                    </w:trPr>
                    <w:tc>
                      <w:tcPr>
                        <w:tcW w:w="4754" w:type="dxa"/>
                        <w:gridSpan w:val="4"/>
                        <w:shd w:val="clear" w:color="auto" w:fill="F8F8F8"/>
                      </w:tcPr>
                      <w:p>
                        <w:pPr>
                          <w:pStyle w:val="TableParagraph"/>
                          <w:spacing w:before="2"/>
                          <w:jc w:val="left"/>
                          <w:rPr>
                            <w:rFonts w:ascii="Constantia"/>
                            <w:sz w:val="18"/>
                          </w:rPr>
                        </w:pPr>
                      </w:p>
                      <w:p>
                        <w:pPr>
                          <w:pStyle w:val="TableParagraph"/>
                          <w:tabs>
                            <w:tab w:pos="1217" w:val="left" w:leader="none"/>
                            <w:tab w:pos="1928" w:val="left" w:leader="none"/>
                            <w:tab w:pos="2701" w:val="left" w:leader="none"/>
                            <w:tab w:pos="4254" w:val="left" w:leader="none"/>
                          </w:tabs>
                          <w:ind w:left="143"/>
                          <w:jc w:val="left"/>
                          <w:rPr>
                            <w:rFonts w:ascii="Constantia"/>
                            <w:sz w:val="19"/>
                          </w:rPr>
                        </w:pPr>
                        <w:r>
                          <w:rPr>
                            <w:rFonts w:ascii="Constantia"/>
                            <w:sz w:val="19"/>
                          </w:rPr>
                          <w:t>2012-2016</w:t>
                          <w:tab/>
                          <w:t>5.2</w:t>
                          <w:tab/>
                          <w:t>3.0</w:t>
                          <w:tab/>
                          <w:t>5.8</w:t>
                          <w:tab/>
                          <w:t>22</w:t>
                        </w:r>
                      </w:p>
                    </w:tc>
                  </w:tr>
                  <w:tr>
                    <w:trPr>
                      <w:trHeight w:val="190" w:hRule="exact"/>
                    </w:trPr>
                    <w:tc>
                      <w:tcPr>
                        <w:tcW w:w="4754" w:type="dxa"/>
                        <w:gridSpan w:val="4"/>
                        <w:tcBorders>
                          <w:bottom w:val="single" w:sz="6" w:space="0" w:color="FFFFFF"/>
                        </w:tcBorders>
                        <w:shd w:val="clear" w:color="auto" w:fill="F3F3F3"/>
                      </w:tcPr>
                      <w:p>
                        <w:pPr/>
                      </w:p>
                    </w:tc>
                  </w:tr>
                  <w:tr>
                    <w:trPr>
                      <w:trHeight w:val="276" w:hRule="exact"/>
                    </w:trPr>
                    <w:tc>
                      <w:tcPr>
                        <w:tcW w:w="1678" w:type="dxa"/>
                        <w:tcBorders>
                          <w:top w:val="single" w:sz="6" w:space="0" w:color="FFFFFF"/>
                        </w:tcBorders>
                        <w:shd w:val="clear" w:color="auto" w:fill="F9F9F9"/>
                      </w:tcPr>
                      <w:p>
                        <w:pPr>
                          <w:pStyle w:val="TableParagraph"/>
                          <w:spacing w:line="189" w:lineRule="exact" w:before="103"/>
                          <w:ind w:right="255"/>
                          <w:jc w:val="right"/>
                          <w:rPr>
                            <w:rFonts w:ascii="Constantia"/>
                            <w:sz w:val="19"/>
                          </w:rPr>
                        </w:pPr>
                        <w:r>
                          <w:rPr>
                            <w:rFonts w:ascii="Constantia"/>
                            <w:w w:val="85"/>
                            <w:sz w:val="19"/>
                          </w:rPr>
                          <w:t>3.4</w:t>
                        </w:r>
                      </w:p>
                    </w:tc>
                    <w:tc>
                      <w:tcPr>
                        <w:tcW w:w="741" w:type="dxa"/>
                        <w:tcBorders>
                          <w:top w:val="single" w:sz="6" w:space="0" w:color="FFFFFF"/>
                        </w:tcBorders>
                        <w:shd w:val="clear" w:color="auto" w:fill="F9F9F9"/>
                      </w:tcPr>
                      <w:p>
                        <w:pPr>
                          <w:pStyle w:val="TableParagraph"/>
                          <w:spacing w:line="189" w:lineRule="exact" w:before="103"/>
                          <w:ind w:left="223" w:right="246"/>
                          <w:rPr>
                            <w:rFonts w:ascii="Constantia"/>
                            <w:sz w:val="19"/>
                          </w:rPr>
                        </w:pPr>
                        <w:r>
                          <w:rPr>
                            <w:rFonts w:ascii="Constantia"/>
                            <w:sz w:val="19"/>
                          </w:rPr>
                          <w:t>2.5</w:t>
                        </w:r>
                      </w:p>
                    </w:tc>
                    <w:tc>
                      <w:tcPr>
                        <w:tcW w:w="1162" w:type="dxa"/>
                        <w:tcBorders>
                          <w:top w:val="single" w:sz="6" w:space="0" w:color="FFFFFF"/>
                        </w:tcBorders>
                        <w:shd w:val="clear" w:color="auto" w:fill="F9F9F9"/>
                      </w:tcPr>
                      <w:p>
                        <w:pPr>
                          <w:pStyle w:val="TableParagraph"/>
                          <w:spacing w:line="189" w:lineRule="exact" w:before="103"/>
                          <w:ind w:left="282"/>
                          <w:jc w:val="left"/>
                          <w:rPr>
                            <w:rFonts w:ascii="Constantia"/>
                            <w:sz w:val="19"/>
                          </w:rPr>
                        </w:pPr>
                        <w:r>
                          <w:rPr>
                            <w:rFonts w:ascii="Constantia"/>
                            <w:sz w:val="19"/>
                          </w:rPr>
                          <w:t>3.6</w:t>
                        </w:r>
                      </w:p>
                    </w:tc>
                    <w:tc>
                      <w:tcPr>
                        <w:tcW w:w="1173" w:type="dxa"/>
                        <w:tcBorders>
                          <w:top w:val="single" w:sz="6" w:space="0" w:color="FFFFFF"/>
                        </w:tcBorders>
                        <w:shd w:val="clear" w:color="auto" w:fill="F9F9F9"/>
                      </w:tcPr>
                      <w:p>
                        <w:pPr>
                          <w:pStyle w:val="TableParagraph"/>
                          <w:spacing w:line="189" w:lineRule="exact" w:before="103"/>
                          <w:ind w:left="673"/>
                          <w:jc w:val="left"/>
                          <w:rPr>
                            <w:rFonts w:ascii="Constantia"/>
                            <w:sz w:val="19"/>
                          </w:rPr>
                        </w:pPr>
                        <w:r>
                          <w:rPr>
                            <w:rFonts w:ascii="Constantia"/>
                            <w:sz w:val="19"/>
                          </w:rPr>
                          <w:t>20</w:t>
                        </w:r>
                      </w:p>
                    </w:tc>
                  </w:tr>
                </w:tbl>
                <w:p>
                  <w:pPr>
                    <w:pStyle w:val="BodyText"/>
                  </w:pPr>
                </w:p>
              </w:txbxContent>
            </v:textbox>
          </v:shape>
        </w:pict>
      </w:r>
      <w:r>
        <w:rPr>
          <w:rFonts w:ascii="Constantia"/>
          <w:position w:val="66"/>
          <w:sz w:val="20"/>
        </w:rPr>
      </w:r>
      <w:r>
        <w:rPr>
          <w:spacing w:val="92"/>
          <w:position w:val="66"/>
          <w:sz w:val="20"/>
        </w:rPr>
        <w:t> </w:t>
      </w:r>
      <w:r>
        <w:rPr>
          <w:rFonts w:ascii="Constantia"/>
          <w:spacing w:val="92"/>
          <w:sz w:val="20"/>
        </w:rPr>
        <w:pict>
          <v:group style="width:80.5pt;height:80.6pt;mso-position-horizontal-relative:char;mso-position-vertical-relative:line" coordorigin="0,0" coordsize="1610,1612">
            <v:rect style="position:absolute;left:8;top:0;width:1594;height:47" filled="true" fillcolor="#fdfdfd" stroked="false">
              <v:fill type="solid"/>
            </v:rect>
            <v:rect style="position:absolute;left:8;top:47;width:1594;height:79" filled="true" fillcolor="#fcfcfc" stroked="false">
              <v:fill type="solid"/>
            </v:rect>
            <v:rect style="position:absolute;left:8;top:127;width:1594;height:47" filled="true" fillcolor="#fbfbfb" stroked="false">
              <v:fill type="solid"/>
            </v:rect>
            <v:rect style="position:absolute;left:8;top:174;width:1594;height:39" filled="true" fillcolor="#fafafa" stroked="false">
              <v:fill type="solid"/>
            </v:rect>
            <v:rect style="position:absolute;left:8;top:213;width:1594;height:39" filled="true" fillcolor="#f9f9f9" stroked="false">
              <v:fill type="solid"/>
            </v:rect>
            <v:rect style="position:absolute;left:8;top:253;width:1594;height:87" filled="true" fillcolor="#f8f8f8" stroked="false">
              <v:fill type="solid"/>
            </v:rect>
            <v:rect style="position:absolute;left:8;top:340;width:1594;height:47" filled="true" fillcolor="#f8f8f8" stroked="false">
              <v:fill type="solid"/>
            </v:rect>
            <v:rect style="position:absolute;left:8;top:387;width:1594;height:39" filled="true" fillcolor="#f7f7f7" stroked="false">
              <v:fill type="solid"/>
            </v:rect>
            <v:rect style="position:absolute;left:8;top:427;width:1594;height:39" filled="true" fillcolor="#f6f6f6" stroked="false">
              <v:fill type="solid"/>
            </v:rect>
            <v:rect style="position:absolute;left:8;top:466;width:1594;height:47" filled="true" fillcolor="#f5f5f5" stroked="false">
              <v:fill type="solid"/>
            </v:rect>
            <v:rect style="position:absolute;left:8;top:513;width:1594;height:79" filled="true" fillcolor="#f4f4f4" stroked="false">
              <v:fill type="solid"/>
            </v:rect>
            <v:rect style="position:absolute;left:8;top:592;width:1594;height:48" filled="true" fillcolor="#f3f3f3" stroked="false">
              <v:fill type="solid"/>
            </v:rect>
            <v:line style="position:absolute" from="8,648" to="1602,648" stroked="true" strokeweight=".788996pt" strokecolor="#f1f1f1"/>
            <v:line style="position:absolute" from="8,656" to="1602,656" stroked="true" strokeweight=".788996pt" strokecolor="#ffffff"/>
            <v:rect style="position:absolute;left:8;top:664;width:1594;height:32" filled="true" fillcolor="#fdfdfd" stroked="false">
              <v:fill type="solid"/>
            </v:rect>
            <v:rect style="position:absolute;left:8;top:695;width:1594;height:63" filled="true" fillcolor="#fcfcfc" stroked="false">
              <v:fill type="solid"/>
            </v:rect>
            <v:rect style="position:absolute;left:8;top:758;width:1594;height:24" filled="true" fillcolor="#fbfbfb" stroked="false">
              <v:fill type="solid"/>
            </v:rect>
            <v:rect style="position:absolute;left:8;top:782;width:1594;height:32" filled="true" fillcolor="#fafafa" stroked="false">
              <v:fill type="solid"/>
            </v:rect>
            <v:rect style="position:absolute;left:8;top:814;width:1594;height:32" filled="true" fillcolor="#f9f9f9" stroked="false">
              <v:fill type="solid"/>
            </v:rect>
            <v:rect style="position:absolute;left:8;top:845;width:1594;height:55" filled="true" fillcolor="#f8f8f8" stroked="false">
              <v:fill type="solid"/>
            </v:rect>
            <v:rect style="position:absolute;left:8;top:901;width:1594;height:32" filled="true" fillcolor="#f8f8f8" stroked="false">
              <v:fill type="solid"/>
            </v:rect>
            <v:rect style="position:absolute;left:8;top:932;width:1594;height:32" filled="true" fillcolor="#f7f7f7" stroked="false">
              <v:fill type="solid"/>
            </v:rect>
            <v:rect style="position:absolute;left:8;top:964;width:1594;height:32" filled="true" fillcolor="#f6f6f6" stroked="false">
              <v:fill type="solid"/>
            </v:rect>
            <v:rect style="position:absolute;left:8;top:995;width:1594;height:24" filled="true" fillcolor="#f5f5f5" stroked="false">
              <v:fill type="solid"/>
            </v:rect>
            <v:rect style="position:absolute;left:8;top:1019;width:1594;height:63" filled="true" fillcolor="#f4f4f4" stroked="false">
              <v:fill type="solid"/>
            </v:rect>
            <v:rect style="position:absolute;left:8;top:1082;width:1594;height:32" filled="true" fillcolor="#f3f3f3" stroked="false">
              <v:fill type="solid"/>
            </v:rect>
            <v:line style="position:absolute" from="8,1118" to="1602,1118" stroked="true" strokeweight=".394498pt" strokecolor="#f1f1f1"/>
            <v:line style="position:absolute" from="8,1121" to="1602,1121" stroked="true" strokeweight=".788996pt" strokecolor="#ffffff"/>
            <v:rect style="position:absolute;left:8;top:1129;width:1594;height:32" filled="true" fillcolor="#fdfdfd" stroked="false">
              <v:fill type="solid"/>
            </v:rect>
            <v:rect style="position:absolute;left:8;top:1161;width:1594;height:63" filled="true" fillcolor="#fcfcfc" stroked="false">
              <v:fill type="solid"/>
            </v:rect>
            <v:rect style="position:absolute;left:8;top:1224;width:1594;height:32" filled="true" fillcolor="#fbfbfb" stroked="false">
              <v:fill type="solid"/>
            </v:rect>
            <v:rect style="position:absolute;left:8;top:1256;width:1594;height:24" filled="true" fillcolor="#fafafa" stroked="false">
              <v:fill type="solid"/>
            </v:rect>
            <v:rect style="position:absolute;left:8;top:1280;width:1594;height:32" filled="true" fillcolor="#f9f9f9" stroked="false">
              <v:fill type="solid"/>
            </v:rect>
            <v:rect style="position:absolute;left:8;top:1311;width:1594;height:63" filled="true" fillcolor="#f8f8f8" stroked="false">
              <v:fill type="solid"/>
            </v:rect>
            <v:rect style="position:absolute;left:8;top:1374;width:1594;height:32" filled="true" fillcolor="#f8f8f8" stroked="false">
              <v:fill type="solid"/>
            </v:rect>
            <v:rect style="position:absolute;left:8;top:1406;width:1594;height:32" filled="true" fillcolor="#f7f7f7" stroked="false">
              <v:fill type="solid"/>
            </v:rect>
            <v:rect style="position:absolute;left:8;top:1438;width:1594;height:24" filled="true" fillcolor="#f6f6f6" stroked="false">
              <v:fill type="solid"/>
            </v:rect>
            <v:rect style="position:absolute;left:8;top:1461;width:1594;height:32" filled="true" fillcolor="#f5f5f5" stroked="false">
              <v:fill type="solid"/>
            </v:rect>
            <v:rect style="position:absolute;left:8;top:1493;width:1594;height:63" filled="true" fillcolor="#f4f4f4" stroked="false">
              <v:fill type="solid"/>
            </v:rect>
            <v:rect style="position:absolute;left:8;top:1556;width:1594;height:32" filled="true" fillcolor="#f3f3f3" stroked="false">
              <v:fill type="solid"/>
            </v:rect>
            <v:line style="position:absolute" from="8,1591" to="1602,1591" stroked="true" strokeweight=".394498pt" strokecolor="#f1f1f1"/>
            <v:line style="position:absolute" from="25,1591" to="1598,1591" stroked="true" strokeweight=".394498pt" strokecolor="#000000"/>
            <v:line style="position:absolute" from="22,1591" to="1602,1591" stroked="true" strokeweight=".394498pt" strokecolor="#000000"/>
            <v:line style="position:absolute" from="25,1607" to="1598,1607" stroked="true" strokeweight=".394498pt" strokecolor="#000000"/>
            <v:line style="position:absolute" from="22,1607" to="1602,1607" stroked="true" strokeweight=".394498pt" strokecolor="#000000"/>
            <v:shape style="position:absolute;left:288;top:253;width:166;height:190" type="#_x0000_t202" filled="false" stroked="false">
              <v:textbox inset="0,0,0,0">
                <w:txbxContent>
                  <w:p>
                    <w:pPr>
                      <w:spacing w:line="190" w:lineRule="exact" w:before="0"/>
                      <w:ind w:left="0" w:right="-16" w:firstLine="0"/>
                      <w:jc w:val="left"/>
                      <w:rPr>
                        <w:rFonts w:ascii="Constantia"/>
                        <w:sz w:val="19"/>
                      </w:rPr>
                    </w:pPr>
                    <w:r>
                      <w:rPr>
                        <w:rFonts w:ascii="Constantia"/>
                        <w:w w:val="85"/>
                        <w:sz w:val="19"/>
                      </w:rPr>
                      <w:t>39</w:t>
                    </w:r>
                  </w:p>
                </w:txbxContent>
              </v:textbox>
              <w10:wrap type="none"/>
            </v:shape>
            <v:shape style="position:absolute;left:1027;top:253;width:273;height:190" type="#_x0000_t202" filled="false" stroked="false">
              <v:textbox inset="0,0,0,0">
                <w:txbxContent>
                  <w:p>
                    <w:pPr>
                      <w:spacing w:line="190" w:lineRule="exact" w:before="0"/>
                      <w:ind w:left="0" w:right="-12" w:firstLine="0"/>
                      <w:jc w:val="left"/>
                      <w:rPr>
                        <w:rFonts w:ascii="Constantia"/>
                        <w:sz w:val="19"/>
                      </w:rPr>
                    </w:pPr>
                    <w:r>
                      <w:rPr>
                        <w:rFonts w:ascii="Constantia"/>
                        <w:w w:val="85"/>
                        <w:sz w:val="19"/>
                      </w:rPr>
                      <w:t>-2.0</w:t>
                    </w:r>
                  </w:p>
                </w:txbxContent>
              </v:textbox>
              <w10:wrap type="none"/>
            </v:shape>
            <v:shape style="position:absolute;left:8;top:1121;width:1594;height:423" type="#_x0000_t202" filled="false" stroked="false">
              <v:textbox inset="0,0,0,0">
                <w:txbxContent>
                  <w:p>
                    <w:pPr>
                      <w:spacing w:before="127"/>
                      <w:ind w:left="273" w:right="0" w:firstLine="0"/>
                      <w:jc w:val="left"/>
                      <w:rPr>
                        <w:rFonts w:ascii="Constantia"/>
                        <w:sz w:val="19"/>
                      </w:rPr>
                    </w:pPr>
                    <w:r>
                      <w:rPr>
                        <w:rFonts w:ascii="Constantia"/>
                        <w:sz w:val="19"/>
                      </w:rPr>
                      <w:t>48</w:t>
                    </w:r>
                  </w:p>
                </w:txbxContent>
              </v:textbox>
              <w10:wrap type="none"/>
            </v:shape>
            <v:shape style="position:absolute;left:288;top:821;width:166;height:190" type="#_x0000_t202" filled="false" stroked="false">
              <v:textbox inset="0,0,0,0">
                <w:txbxContent>
                  <w:p>
                    <w:pPr>
                      <w:spacing w:line="190" w:lineRule="exact" w:before="0"/>
                      <w:ind w:left="0" w:right="-14" w:firstLine="0"/>
                      <w:jc w:val="left"/>
                      <w:rPr>
                        <w:rFonts w:ascii="Constantia"/>
                        <w:sz w:val="19"/>
                      </w:rPr>
                    </w:pPr>
                    <w:r>
                      <w:rPr>
                        <w:rFonts w:ascii="Constantia"/>
                        <w:w w:val="85"/>
                        <w:sz w:val="19"/>
                      </w:rPr>
                      <w:t>43</w:t>
                    </w:r>
                  </w:p>
                </w:txbxContent>
              </v:textbox>
              <w10:wrap type="none"/>
            </v:shape>
            <v:shape style="position:absolute;left:1027;top:821;width:264;height:190" type="#_x0000_t202" filled="false" stroked="false">
              <v:textbox inset="0,0,0,0">
                <w:txbxContent>
                  <w:p>
                    <w:pPr>
                      <w:spacing w:line="190" w:lineRule="exact" w:before="0"/>
                      <w:ind w:left="0" w:right="-12" w:firstLine="0"/>
                      <w:jc w:val="left"/>
                      <w:rPr>
                        <w:rFonts w:ascii="Constantia"/>
                        <w:sz w:val="19"/>
                      </w:rPr>
                    </w:pPr>
                    <w:r>
                      <w:rPr>
                        <w:rFonts w:ascii="Constantia"/>
                        <w:w w:val="85"/>
                        <w:sz w:val="19"/>
                      </w:rPr>
                      <w:t>-2.2</w:t>
                    </w:r>
                  </w:p>
                </w:txbxContent>
              </v:textbox>
              <w10:wrap type="none"/>
            </v:shape>
          </v:group>
        </w:pict>
      </w:r>
      <w:r>
        <w:rPr>
          <w:rFonts w:ascii="Constantia"/>
          <w:spacing w:val="92"/>
          <w:sz w:val="20"/>
        </w:rPr>
      </w:r>
      <w:r>
        <w:rPr>
          <w:spacing w:val="15"/>
          <w:sz w:val="20"/>
        </w:rPr>
        <w:t> </w:t>
      </w:r>
      <w:r>
        <w:rPr>
          <w:rFonts w:ascii="Constantia"/>
          <w:spacing w:val="15"/>
          <w:sz w:val="20"/>
        </w:rPr>
        <w:pict>
          <v:group style="width:86.7pt;height:80.6pt;mso-position-horizontal-relative:char;mso-position-vertical-relative:line" coordorigin="0,0" coordsize="1734,1612">
            <v:rect style="position:absolute;left:8;top:0;width:1717;height:47" filled="true" fillcolor="#fdfdfd" stroked="false">
              <v:fill type="solid"/>
            </v:rect>
            <v:rect style="position:absolute;left:8;top:47;width:1717;height:79" filled="true" fillcolor="#fcfcfc" stroked="false">
              <v:fill type="solid"/>
            </v:rect>
            <v:rect style="position:absolute;left:8;top:127;width:1717;height:47" filled="true" fillcolor="#fbfbfb" stroked="false">
              <v:fill type="solid"/>
            </v:rect>
            <v:rect style="position:absolute;left:8;top:174;width:1717;height:39" filled="true" fillcolor="#fafafa" stroked="false">
              <v:fill type="solid"/>
            </v:rect>
            <v:rect style="position:absolute;left:8;top:213;width:1717;height:39" filled="true" fillcolor="#f9f9f9" stroked="false">
              <v:fill type="solid"/>
            </v:rect>
            <v:rect style="position:absolute;left:8;top:253;width:1717;height:87" filled="true" fillcolor="#f8f8f8" stroked="false">
              <v:fill type="solid"/>
            </v:rect>
            <v:rect style="position:absolute;left:8;top:340;width:1717;height:47" filled="true" fillcolor="#f8f8f8" stroked="false">
              <v:fill type="solid"/>
            </v:rect>
            <v:rect style="position:absolute;left:8;top:387;width:1717;height:39" filled="true" fillcolor="#f7f7f7" stroked="false">
              <v:fill type="solid"/>
            </v:rect>
            <v:rect style="position:absolute;left:8;top:427;width:1717;height:39" filled="true" fillcolor="#f6f6f6" stroked="false">
              <v:fill type="solid"/>
            </v:rect>
            <v:rect style="position:absolute;left:8;top:466;width:1717;height:47" filled="true" fillcolor="#f5f5f5" stroked="false">
              <v:fill type="solid"/>
            </v:rect>
            <v:rect style="position:absolute;left:8;top:513;width:1717;height:79" filled="true" fillcolor="#f4f4f4" stroked="false">
              <v:fill type="solid"/>
            </v:rect>
            <v:rect style="position:absolute;left:8;top:592;width:1717;height:48" filled="true" fillcolor="#f3f3f3" stroked="false">
              <v:fill type="solid"/>
            </v:rect>
            <v:line style="position:absolute" from="8,648" to="1725,648" stroked="true" strokeweight=".788996pt" strokecolor="#f1f1f1"/>
            <v:line style="position:absolute" from="8,656" to="1725,656" stroked="true" strokeweight=".788996pt" strokecolor="#ffffff"/>
            <v:rect style="position:absolute;left:8;top:664;width:1717;height:32" filled="true" fillcolor="#fdfdfd" stroked="false">
              <v:fill type="solid"/>
            </v:rect>
            <v:rect style="position:absolute;left:8;top:695;width:1717;height:63" filled="true" fillcolor="#fcfcfc" stroked="false">
              <v:fill type="solid"/>
            </v:rect>
            <v:rect style="position:absolute;left:8;top:758;width:1717;height:24" filled="true" fillcolor="#fbfbfb" stroked="false">
              <v:fill type="solid"/>
            </v:rect>
            <v:rect style="position:absolute;left:8;top:782;width:1717;height:32" filled="true" fillcolor="#fafafa" stroked="false">
              <v:fill type="solid"/>
            </v:rect>
            <v:rect style="position:absolute;left:8;top:814;width:1717;height:32" filled="true" fillcolor="#f9f9f9" stroked="false">
              <v:fill type="solid"/>
            </v:rect>
            <v:rect style="position:absolute;left:8;top:845;width:1717;height:55" filled="true" fillcolor="#f8f8f8" stroked="false">
              <v:fill type="solid"/>
            </v:rect>
            <v:rect style="position:absolute;left:8;top:901;width:1717;height:32" filled="true" fillcolor="#f8f8f8" stroked="false">
              <v:fill type="solid"/>
            </v:rect>
            <v:rect style="position:absolute;left:8;top:932;width:1717;height:32" filled="true" fillcolor="#f7f7f7" stroked="false">
              <v:fill type="solid"/>
            </v:rect>
            <v:rect style="position:absolute;left:8;top:964;width:1717;height:32" filled="true" fillcolor="#f6f6f6" stroked="false">
              <v:fill type="solid"/>
            </v:rect>
            <v:rect style="position:absolute;left:8;top:995;width:1717;height:24" filled="true" fillcolor="#f5f5f5" stroked="false">
              <v:fill type="solid"/>
            </v:rect>
            <v:rect style="position:absolute;left:8;top:1019;width:1717;height:63" filled="true" fillcolor="#f4f4f4" stroked="false">
              <v:fill type="solid"/>
            </v:rect>
            <v:rect style="position:absolute;left:8;top:1082;width:1717;height:32" filled="true" fillcolor="#f3f3f3" stroked="false">
              <v:fill type="solid"/>
            </v:rect>
            <v:line style="position:absolute" from="8,1118" to="1725,1118" stroked="true" strokeweight=".394498pt" strokecolor="#f1f1f1"/>
            <v:line style="position:absolute" from="8,1121" to="1725,1121" stroked="true" strokeweight=".788996pt" strokecolor="#ffffff"/>
            <v:rect style="position:absolute;left:8;top:1129;width:1717;height:32" filled="true" fillcolor="#fdfdfd" stroked="false">
              <v:fill type="solid"/>
            </v:rect>
            <v:rect style="position:absolute;left:8;top:1161;width:1717;height:63" filled="true" fillcolor="#fcfcfc" stroked="false">
              <v:fill type="solid"/>
            </v:rect>
            <v:rect style="position:absolute;left:8;top:1224;width:1717;height:32" filled="true" fillcolor="#fbfbfb" stroked="false">
              <v:fill type="solid"/>
            </v:rect>
            <v:rect style="position:absolute;left:8;top:1256;width:1717;height:24" filled="true" fillcolor="#fafafa" stroked="false">
              <v:fill type="solid"/>
            </v:rect>
            <v:rect style="position:absolute;left:8;top:1280;width:1717;height:32" filled="true" fillcolor="#f9f9f9" stroked="false">
              <v:fill type="solid"/>
            </v:rect>
            <v:rect style="position:absolute;left:8;top:1311;width:1717;height:63" filled="true" fillcolor="#f8f8f8" stroked="false">
              <v:fill type="solid"/>
            </v:rect>
            <v:rect style="position:absolute;left:8;top:1374;width:1717;height:32" filled="true" fillcolor="#f8f8f8" stroked="false">
              <v:fill type="solid"/>
            </v:rect>
            <v:rect style="position:absolute;left:8;top:1406;width:1717;height:32" filled="true" fillcolor="#f7f7f7" stroked="false">
              <v:fill type="solid"/>
            </v:rect>
            <v:rect style="position:absolute;left:8;top:1438;width:1717;height:24" filled="true" fillcolor="#f6f6f6" stroked="false">
              <v:fill type="solid"/>
            </v:rect>
            <v:rect style="position:absolute;left:8;top:1461;width:1717;height:32" filled="true" fillcolor="#f5f5f5" stroked="false">
              <v:fill type="solid"/>
            </v:rect>
            <v:rect style="position:absolute;left:8;top:1493;width:1717;height:63" filled="true" fillcolor="#f4f4f4" stroked="false">
              <v:fill type="solid"/>
            </v:rect>
            <v:rect style="position:absolute;left:8;top:1556;width:1717;height:32" filled="true" fillcolor="#f3f3f3" stroked="false">
              <v:fill type="solid"/>
            </v:rect>
            <v:line style="position:absolute" from="8,1591" to="1725,1591" stroked="true" strokeweight=".394498pt" strokecolor="#f1f1f1"/>
            <v:line style="position:absolute" from="25,1591" to="1722,1591" stroked="true" strokeweight=".394498pt" strokecolor="#000000"/>
            <v:line style="position:absolute" from="22,1591" to="1725,1591" stroked="true" strokeweight=".394498pt" strokecolor="#000000"/>
            <v:line style="position:absolute" from="25,1607" to="1722,1607" stroked="true" strokeweight=".394498pt" strokecolor="#000000"/>
            <v:line style="position:absolute" from="22,1607" to="1725,1607" stroked="true" strokeweight=".394498pt" strokecolor="#000000"/>
            <v:shape style="position:absolute;left:282;top:253;width:290;height:190" type="#_x0000_t202" filled="false" stroked="false">
              <v:textbox inset="0,0,0,0">
                <w:txbxContent>
                  <w:p>
                    <w:pPr>
                      <w:spacing w:line="190" w:lineRule="exact" w:before="0"/>
                      <w:ind w:left="0" w:right="-14" w:firstLine="0"/>
                      <w:jc w:val="left"/>
                      <w:rPr>
                        <w:rFonts w:ascii="Constantia"/>
                        <w:sz w:val="19"/>
                      </w:rPr>
                    </w:pPr>
                    <w:r>
                      <w:rPr>
                        <w:rFonts w:ascii="Constantia"/>
                        <w:w w:val="85"/>
                        <w:sz w:val="19"/>
                      </w:rPr>
                      <w:t>0.25</w:t>
                    </w:r>
                  </w:p>
                </w:txbxContent>
              </v:textbox>
              <w10:wrap type="none"/>
            </v:shape>
            <v:shape style="position:absolute;left:1164;top:253;width:226;height:190" type="#_x0000_t202" filled="false" stroked="false">
              <v:textbox inset="0,0,0,0">
                <w:txbxContent>
                  <w:p>
                    <w:pPr>
                      <w:spacing w:line="190" w:lineRule="exact" w:before="0"/>
                      <w:ind w:left="0" w:right="-11" w:firstLine="0"/>
                      <w:jc w:val="left"/>
                      <w:rPr>
                        <w:rFonts w:ascii="Constantia"/>
                        <w:sz w:val="19"/>
                      </w:rPr>
                    </w:pPr>
                    <w:r>
                      <w:rPr>
                        <w:rFonts w:ascii="Constantia"/>
                        <w:w w:val="85"/>
                        <w:sz w:val="19"/>
                      </w:rPr>
                      <w:t>1.13</w:t>
                    </w:r>
                  </w:p>
                </w:txbxContent>
              </v:textbox>
              <w10:wrap type="none"/>
            </v:shape>
            <v:shape style="position:absolute;left:268;top:821;width:308;height:190" type="#_x0000_t202" filled="false" stroked="false">
              <v:textbox inset="0,0,0,0">
                <w:txbxContent>
                  <w:p>
                    <w:pPr>
                      <w:spacing w:line="190" w:lineRule="exact" w:before="0"/>
                      <w:ind w:left="0" w:right="-16" w:firstLine="0"/>
                      <w:jc w:val="left"/>
                      <w:rPr>
                        <w:rFonts w:ascii="Constantia"/>
                        <w:sz w:val="19"/>
                      </w:rPr>
                    </w:pPr>
                    <w:r>
                      <w:rPr>
                        <w:rFonts w:ascii="Constantia"/>
                        <w:w w:val="85"/>
                        <w:sz w:val="19"/>
                      </w:rPr>
                      <w:t>0.90</w:t>
                    </w:r>
                  </w:p>
                </w:txbxContent>
              </v:textbox>
              <w10:wrap type="none"/>
            </v:shape>
            <v:shape style="position:absolute;left:1157;top:821;width:236;height:190" type="#_x0000_t202" filled="false" stroked="false">
              <v:textbox inset="0,0,0,0">
                <w:txbxContent>
                  <w:p>
                    <w:pPr>
                      <w:spacing w:line="190" w:lineRule="exact" w:before="0"/>
                      <w:ind w:left="0" w:right="-14" w:firstLine="0"/>
                      <w:jc w:val="left"/>
                      <w:rPr>
                        <w:rFonts w:ascii="Constantia"/>
                        <w:sz w:val="19"/>
                      </w:rPr>
                    </w:pPr>
                    <w:r>
                      <w:rPr>
                        <w:rFonts w:ascii="Constantia"/>
                        <w:w w:val="85"/>
                        <w:sz w:val="19"/>
                      </w:rPr>
                      <w:t>1.01</w:t>
                    </w:r>
                  </w:p>
                </w:txbxContent>
              </v:textbox>
              <w10:wrap type="none"/>
            </v:shape>
          </v:group>
        </w:pict>
      </w:r>
      <w:r>
        <w:rPr>
          <w:rFonts w:ascii="Constantia"/>
          <w:spacing w:val="15"/>
          <w:sz w:val="20"/>
        </w:rPr>
      </w:r>
    </w:p>
    <w:p>
      <w:pPr>
        <w:spacing w:before="0"/>
        <w:ind w:left="137" w:right="0" w:firstLine="0"/>
        <w:jc w:val="left"/>
        <w:rPr>
          <w:rFonts w:ascii="Constantia" w:hAnsi="Constantia"/>
          <w:sz w:val="15"/>
        </w:rPr>
      </w:pPr>
      <w:r>
        <w:rPr>
          <w:rFonts w:ascii="Calibri" w:hAnsi="Calibri"/>
          <w:w w:val="90"/>
          <w:sz w:val="15"/>
        </w:rPr>
        <w:t>†</w:t>
      </w:r>
      <w:r>
        <w:rPr>
          <w:rFonts w:ascii="Constantia" w:hAnsi="Constantia"/>
          <w:w w:val="90"/>
          <w:sz w:val="15"/>
        </w:rPr>
        <w:t>Incluye al Banco Central de Bolivia</w:t>
      </w:r>
    </w:p>
    <w:p>
      <w:pPr>
        <w:spacing w:before="22"/>
        <w:ind w:left="137" w:right="0" w:firstLine="0"/>
        <w:jc w:val="left"/>
        <w:rPr>
          <w:rFonts w:ascii="Constantia" w:hAnsi="Constantia"/>
          <w:sz w:val="15"/>
        </w:rPr>
      </w:pPr>
      <w:r>
        <w:rPr>
          <w:rFonts w:ascii="Constantia" w:hAnsi="Constantia"/>
          <w:w w:val="90"/>
          <w:sz w:val="15"/>
        </w:rPr>
        <w:t>*El límite definido en el balance global cíclicicamente ajustado funciona como cláusula de escape</w:t>
      </w:r>
    </w:p>
    <w:p>
      <w:pPr>
        <w:pStyle w:val="BodyText"/>
        <w:rPr>
          <w:rFonts w:ascii="Constantia"/>
          <w:sz w:val="20"/>
        </w:rPr>
      </w:pPr>
    </w:p>
    <w:p>
      <w:pPr>
        <w:pStyle w:val="BodyText"/>
        <w:rPr>
          <w:rFonts w:ascii="Constantia"/>
          <w:sz w:val="20"/>
        </w:rPr>
      </w:pPr>
    </w:p>
    <w:p>
      <w:pPr>
        <w:pStyle w:val="BodyText"/>
        <w:spacing w:before="215"/>
        <w:ind w:left="7086" w:right="7124"/>
        <w:jc w:val="center"/>
      </w:pPr>
      <w:r>
        <w:rPr/>
        <w:t>189</w:t>
      </w:r>
    </w:p>
    <w:p>
      <w:pPr>
        <w:spacing w:after="0"/>
        <w:jc w:val="center"/>
        <w:sectPr>
          <w:type w:val="continuous"/>
          <w:pgSz w:w="15850" w:h="12250" w:orient="landscape"/>
          <w:pgMar w:top="1500" w:bottom="280" w:left="640" w:right="600"/>
        </w:sectPr>
      </w:pPr>
    </w:p>
    <w:p>
      <w:pPr>
        <w:pStyle w:val="BodyText"/>
        <w:spacing w:line="360" w:lineRule="auto" w:before="50"/>
        <w:ind w:left="102" w:right="117" w:firstLine="707"/>
        <w:jc w:val="both"/>
      </w:pPr>
      <w:r>
        <w:rPr/>
        <w:t>El común denominador de las diversas propuestas de reglas fiscales en Bolivia se ha centrado en un diseño el mediano plazo. Al comparar los resultados encontrados de la tesis con los trabajos previos, existen similitudes para la presencia de superávit fiscal primario durante el período de similar prospectiva (Lora, et al., 2002; Navajas, et al., 2008) y en especial valores afines para la deuda pública máxima (Zambrano &amp; Aguilera, 2010; Navajas, et al., 2008).</w:t>
      </w:r>
    </w:p>
    <w:p>
      <w:pPr>
        <w:pStyle w:val="BodyText"/>
        <w:spacing w:line="360" w:lineRule="auto" w:before="6"/>
        <w:ind w:left="102" w:right="125" w:firstLine="707"/>
        <w:jc w:val="both"/>
      </w:pPr>
      <w:r>
        <w:rPr/>
        <w:t>Sin embargo, los estudios previos no abordaron la asignación de los ingresos  fiscales (con y sin gas natural) al gasto de capital y gasto corriente, así como los fundamentos que contemplan la cláusula de escape como límites de déficits para el balance global cíclicamente</w:t>
      </w:r>
      <w:r>
        <w:rPr>
          <w:spacing w:val="-6"/>
        </w:rPr>
        <w:t> </w:t>
      </w:r>
      <w:r>
        <w:rPr/>
        <w:t>ajustado.</w:t>
      </w:r>
    </w:p>
    <w:p>
      <w:pPr>
        <w:pStyle w:val="BodyText"/>
        <w:spacing w:before="7"/>
        <w:rPr>
          <w:sz w:val="21"/>
        </w:rPr>
      </w:pPr>
    </w:p>
    <w:p>
      <w:pPr>
        <w:pStyle w:val="Heading4"/>
        <w:ind w:left="678" w:right="127" w:firstLine="0"/>
      </w:pPr>
      <w:bookmarkStart w:name="_bookmark155" w:id="210"/>
      <w:bookmarkEnd w:id="210"/>
      <w:r>
        <w:rPr>
          <w:b w:val="0"/>
        </w:rPr>
      </w:r>
      <w:r>
        <w:rPr/>
        <w:t>Síntesis</w:t>
      </w:r>
    </w:p>
    <w:p>
      <w:pPr>
        <w:pStyle w:val="BodyText"/>
        <w:rPr>
          <w:b/>
          <w:sz w:val="29"/>
        </w:rPr>
      </w:pPr>
    </w:p>
    <w:p>
      <w:pPr>
        <w:pStyle w:val="BodyText"/>
        <w:spacing w:line="360" w:lineRule="auto"/>
        <w:ind w:left="102" w:right="114" w:firstLine="707"/>
        <w:jc w:val="both"/>
      </w:pPr>
      <w:r>
        <w:rPr/>
        <w:t>Este capítulo persiguió dos objetivos particulares de la tesis: 1] analizar el efecto contemporáneo y dinámico que ejercen los choques de precios del gas natural y la asignación de ingresos fiscales gasíferos y no gasíferos (con y sin gas natural) en la posición fiscal de Bolivia (2003 -2011) y 2] evaluar escenarios de reglas fiscales que mejoren el prospecto de la deuda pública en el corto y mediano plazo (2012 – 2016) en comparación con un escenario base (sin regla fiscal). Se consideraron dos posturas teóricas contrarias para la asignación de los ingresos fiscales derivados de un recurso natural: la teoría del ingreso permanente – la cual sugiere ahorrar los recursos monetarios derivados del petróleo – y su versión modificada – canalizarlos a la inversión pública o gasto de capital</w:t>
      </w:r>
      <w:r>
        <w:rPr>
          <w:spacing w:val="-4"/>
        </w:rPr>
        <w:t> </w:t>
      </w:r>
      <w:r>
        <w:rPr/>
        <w:t>-.</w:t>
      </w:r>
    </w:p>
    <w:p>
      <w:pPr>
        <w:pStyle w:val="BodyText"/>
        <w:spacing w:line="360" w:lineRule="auto" w:before="6"/>
        <w:ind w:left="102" w:right="116" w:firstLine="707"/>
        <w:jc w:val="both"/>
      </w:pPr>
      <w:r>
        <w:rPr/>
        <w:t>Los resultados sugieren que el gasto de capital afecta de forma negativa al resultado fiscal e incrementa el endeudamiento público, en consecuencia, la canalización de ingresos fiscales del gas natural al gasto de capital deteriora la posición fiscal.</w:t>
      </w:r>
    </w:p>
    <w:p>
      <w:pPr>
        <w:pStyle w:val="BodyText"/>
        <w:spacing w:line="360" w:lineRule="auto" w:before="6"/>
        <w:ind w:left="102" w:right="120" w:firstLine="707"/>
        <w:jc w:val="both"/>
      </w:pPr>
      <w:r>
        <w:rPr/>
        <w:t>El mecanismo de ahorrar los ingresos fiscales del gas natural conlleva a un balance primario más exigente en comparación con la canalización de ingresos gasíferos al gasto de capital en distintos niveles alternativos; sin embargo, cuando los ingresos derivados del recurso natural no se canalizan al gasto de capital, existe mayor propensión al gasto corriente.</w:t>
      </w:r>
    </w:p>
    <w:p>
      <w:pPr>
        <w:spacing w:after="0" w:line="360" w:lineRule="auto"/>
        <w:jc w:val="both"/>
        <w:sectPr>
          <w:footerReference w:type="default" r:id="rId339"/>
          <w:pgSz w:w="12250" w:h="15850"/>
          <w:pgMar w:footer="1037" w:header="0" w:top="1360" w:bottom="1220" w:left="1600" w:right="1580"/>
          <w:pgNumType w:start="190"/>
        </w:sectPr>
      </w:pPr>
    </w:p>
    <w:p>
      <w:pPr>
        <w:pStyle w:val="BodyText"/>
        <w:spacing w:line="360" w:lineRule="auto" w:before="50"/>
        <w:ind w:left="122" w:right="119" w:firstLine="707"/>
        <w:jc w:val="both"/>
      </w:pPr>
      <w:r>
        <w:rPr/>
        <w:t>En términos de posición fiscal, la exigencia de mayores resultados fiscales, y por tanto mayor ahorro de ingresos fiscales del gas natural, mostró mejores resultados que la versión  modificada  de  la  teoría  del  ingreso  permanente    </w:t>
      </w:r>
      <w:r>
        <w:rPr>
          <w:w w:val="1"/>
        </w:rPr>
        <w:t> </w:t>
      </w:r>
      <w:r>
        <w:rPr/>
        <w:t>    </w:t>
      </w:r>
      <w:r>
        <w:rPr>
          <w:w w:val="177"/>
        </w:rPr>
        <w:t> </w:t>
      </w:r>
      <w:r>
        <w:rPr>
          <w:w w:val="140"/>
        </w:rPr>
        <w:t>   </w:t>
      </w:r>
      <w:r>
        <w:rPr>
          <w:w w:val="177"/>
        </w:rPr>
        <w:t>  </w:t>
      </w:r>
      <w:r>
        <w:rPr>
          <w:w w:val="162"/>
        </w:rPr>
        <w:t>   </w:t>
      </w:r>
      <w:r>
        <w:rPr/>
        <w:t>  </w:t>
      </w:r>
      <w:r>
        <w:rPr>
          <w:w w:val="177"/>
        </w:rPr>
        <w:t> </w:t>
      </w:r>
      <w:r>
        <w:rPr/>
        <w:t>  </w:t>
      </w:r>
      <w:r>
        <w:rPr>
          <w:w w:val="177"/>
        </w:rPr>
        <w:t>  </w:t>
      </w:r>
      <w:r>
        <w:rPr>
          <w:w w:val="204"/>
        </w:rPr>
        <w:t>     </w:t>
      </w:r>
      <w:r>
        <w:rPr>
          <w:w w:val="177"/>
        </w:rPr>
        <w:t> </w:t>
      </w:r>
      <w:r>
        <w:rPr>
          <w:w w:val="155"/>
        </w:rPr>
        <w:t> </w:t>
      </w:r>
      <w:r>
        <w:rPr/>
        <w:t>  </w:t>
      </w:r>
      <w:r>
        <w:rPr>
          <w:w w:val="177"/>
        </w:rPr>
        <w:t> </w:t>
      </w:r>
      <w:r>
        <w:rPr>
          <w:w w:val="200"/>
        </w:rPr>
        <w:t> </w:t>
      </w:r>
    </w:p>
    <w:p>
      <w:pPr>
        <w:pStyle w:val="BodyText"/>
        <w:spacing w:line="360" w:lineRule="auto" w:before="4"/>
        <w:ind w:left="122" w:right="118"/>
        <w:jc w:val="both"/>
      </w:pPr>
      <w:r>
        <w:rPr>
          <w:w w:val="188"/>
        </w:rPr>
        <w:t>  </w:t>
      </w:r>
      <w:r>
        <w:rPr>
          <w:w w:val="166"/>
        </w:rPr>
        <w:t>  </w:t>
      </w:r>
      <w:r>
        <w:rPr>
          <w:w w:val="133"/>
        </w:rPr>
        <w:t>  </w:t>
      </w:r>
      <w:r>
        <w:rPr>
          <w:w w:val="140"/>
        </w:rPr>
        <w:t>   </w:t>
      </w:r>
      <w:r>
        <w:rPr>
          <w:w w:val="200"/>
        </w:rPr>
        <w:t> </w:t>
      </w:r>
      <w:r>
        <w:rPr/>
        <w:t> </w:t>
      </w:r>
      <w:r>
        <w:rPr>
          <w:w w:val="177"/>
        </w:rPr>
        <w:t> </w:t>
      </w:r>
      <w:r>
        <w:rPr>
          <w:w w:val="200"/>
        </w:rPr>
        <w:t>  </w:t>
      </w:r>
      <w:r>
        <w:rPr/>
        <w:t> </w:t>
      </w:r>
      <w:r>
        <w:rPr>
          <w:w w:val="177"/>
        </w:rPr>
        <w:t> </w:t>
      </w:r>
      <w:r>
        <w:rPr>
          <w:w w:val="166"/>
        </w:rPr>
        <w:t>  </w:t>
      </w:r>
      <w:r>
        <w:rPr>
          <w:w w:val="177"/>
        </w:rPr>
        <w:t> </w:t>
      </w:r>
      <w:r>
        <w:rPr>
          <w:w w:val="166"/>
        </w:rPr>
        <w:t>  </w:t>
      </w:r>
      <w:r>
        <w:rPr>
          <w:w w:val="177"/>
        </w:rPr>
        <w:t> </w:t>
      </w:r>
      <w:r>
        <w:rPr/>
        <w:t> </w:t>
      </w:r>
      <w:r>
        <w:rPr>
          <w:w w:val="188"/>
        </w:rPr>
        <w:t>  </w:t>
      </w:r>
      <w:r>
        <w:rPr/>
        <w:t> </w:t>
      </w:r>
      <w:r>
        <w:rPr>
          <w:w w:val="177"/>
        </w:rPr>
        <w:t>  </w:t>
      </w:r>
      <w:r>
        <w:rPr>
          <w:w w:val="140"/>
        </w:rPr>
        <w:t>   </w:t>
      </w:r>
      <w:r>
        <w:rPr>
          <w:w w:val="177"/>
        </w:rPr>
        <w:t> </w:t>
      </w:r>
      <w:r>
        <w:rPr>
          <w:w w:val="111"/>
        </w:rPr>
        <w:t> </w:t>
      </w:r>
      <w:r>
        <w:rPr/>
        <w:t> </w:t>
      </w:r>
      <w:r>
        <w:rPr>
          <w:w w:val="50"/>
        </w:rPr>
        <w:t>  </w:t>
      </w:r>
      <w:r>
        <w:rPr/>
        <w:t>   </w:t>
      </w:r>
      <w:r>
        <w:rPr>
          <w:w w:val="244"/>
        </w:rPr>
        <w:t> </w:t>
      </w:r>
      <w:r>
        <w:rPr>
          <w:w w:val="177"/>
        </w:rPr>
        <w:t> </w:t>
      </w:r>
      <w:r>
        <w:rPr>
          <w:w w:val="155"/>
        </w:rPr>
        <w:t> </w:t>
      </w:r>
      <w:r>
        <w:rPr/>
        <w:t> </w:t>
      </w:r>
      <w:r>
        <w:rPr>
          <w:w w:val="177"/>
        </w:rPr>
        <w:t> </w:t>
      </w:r>
      <w:r>
        <w:rPr>
          <w:w w:val="161"/>
        </w:rPr>
        <w:t>       </w:t>
      </w:r>
      <w:r>
        <w:rPr>
          <w:w w:val="200"/>
        </w:rPr>
        <w:t> </w:t>
      </w:r>
      <w:r>
        <w:rPr>
          <w:w w:val="177"/>
        </w:rPr>
        <w:t> </w:t>
      </w:r>
      <w:r>
        <w:rPr>
          <w:w w:val="155"/>
        </w:rPr>
        <w:t> </w:t>
      </w:r>
      <w:r>
        <w:rPr/>
        <w:t> </w:t>
      </w:r>
      <w:r>
        <w:rPr>
          <w:w w:val="144"/>
        </w:rPr>
        <w:t>    </w:t>
      </w:r>
      <w:r>
        <w:rPr>
          <w:w w:val="177"/>
        </w:rPr>
        <w:t> </w:t>
      </w:r>
      <w:r>
        <w:rPr>
          <w:w w:val="148"/>
        </w:rPr>
        <w:t>   </w:t>
      </w:r>
      <w:r>
        <w:rPr/>
        <w:t> </w:t>
      </w:r>
      <w:r>
        <w:rPr>
          <w:w w:val="188"/>
        </w:rPr>
        <w:t>    </w:t>
      </w:r>
      <w:r>
        <w:rPr>
          <w:w w:val="200"/>
        </w:rPr>
        <w:t> </w:t>
      </w:r>
      <w:r>
        <w:rPr/>
        <w:t> </w:t>
      </w:r>
      <w:r>
        <w:rPr>
          <w:w w:val="177"/>
        </w:rPr>
        <w:t> </w:t>
      </w:r>
      <w:r>
        <w:rPr>
          <w:w w:val="166"/>
        </w:rPr>
        <w:t>    </w:t>
      </w:r>
      <w:r>
        <w:rPr>
          <w:w w:val="200"/>
        </w:rPr>
        <w:t> </w:t>
      </w:r>
      <w:r>
        <w:rPr/>
        <w:t>erar la disyuntiva entre sacrificar los resultados fiscales/endeudamiento público o realizar mayor gasto de capital, siempre y cuando, existan arreglos institucionales que permitan no sobrepasar un umbral del gasto público y de deuda pública como una perspectiva de sostenibilidad fiscal.</w:t>
      </w:r>
    </w:p>
    <w:p>
      <w:pPr>
        <w:pStyle w:val="BodyText"/>
        <w:spacing w:line="360" w:lineRule="auto" w:before="4"/>
        <w:ind w:left="122" w:right="117" w:firstLine="707"/>
        <w:jc w:val="both"/>
      </w:pPr>
      <w:r>
        <w:rPr/>
        <w:t>El rol de los choques de precios y la asignación de ingresos fiscales sobre  la posición fiscal se puede resumir en cuatro puntos centrales: i) la presencia de efectos contemporáneos; ii) el rol de los efectos dinámicos; iii) la importancia relativa de los choques; iv) los choques determinantes de forma dinámica.</w:t>
      </w:r>
    </w:p>
    <w:p>
      <w:pPr>
        <w:pStyle w:val="BodyText"/>
        <w:spacing w:line="360" w:lineRule="auto" w:before="4"/>
        <w:ind w:left="122" w:right="118" w:firstLine="707"/>
        <w:jc w:val="both"/>
      </w:pPr>
      <w:r>
        <w:rPr>
          <w:w w:val="177"/>
        </w:rPr>
        <w:t>  </w:t>
      </w:r>
      <w:r>
        <w:rPr>
          <w:spacing w:val="19"/>
        </w:rPr>
        <w:t> </w:t>
      </w:r>
      <w:r>
        <w:rPr>
          <w:w w:val="166"/>
        </w:rPr>
        <w:t> </w:t>
      </w:r>
      <w:r>
        <w:rPr>
          <w:spacing w:val="-1"/>
          <w:w w:val="166"/>
        </w:rPr>
        <w:t> </w:t>
      </w:r>
      <w:r>
        <w:rPr>
          <w:w w:val="211"/>
        </w:rPr>
        <w:t>  </w:t>
      </w:r>
      <w:r>
        <w:rPr>
          <w:spacing w:val="-1"/>
          <w:w w:val="177"/>
        </w:rPr>
        <w:t> </w:t>
      </w:r>
      <w:r>
        <w:rPr>
          <w:w w:val="133"/>
        </w:rPr>
        <w:t> </w:t>
      </w:r>
      <w:r>
        <w:rPr>
          <w:spacing w:val="18"/>
        </w:rPr>
        <w:t> </w:t>
      </w:r>
      <w:r>
        <w:rPr>
          <w:w w:val="182"/>
        </w:rPr>
        <w:t>     </w:t>
      </w:r>
      <w:r>
        <w:rPr>
          <w:spacing w:val="19"/>
        </w:rPr>
        <w:t> </w:t>
      </w:r>
      <w:r>
        <w:rPr>
          <w:w w:val="166"/>
        </w:rPr>
        <w:t> </w:t>
      </w:r>
      <w:r>
        <w:rPr>
          <w:spacing w:val="-1"/>
          <w:w w:val="166"/>
        </w:rPr>
        <w:t> </w:t>
      </w:r>
      <w:r>
        <w:rPr>
          <w:w w:val="188"/>
        </w:rPr>
        <w:t> </w:t>
      </w:r>
      <w:r>
        <w:rPr>
          <w:spacing w:val="-1"/>
          <w:w w:val="188"/>
        </w:rPr>
        <w:t> </w:t>
      </w:r>
      <w:r>
        <w:rPr>
          <w:w w:val="155"/>
        </w:rPr>
        <w:t>  </w:t>
      </w:r>
      <w:r>
        <w:rPr>
          <w:spacing w:val="19"/>
        </w:rPr>
        <w:t> </w:t>
      </w:r>
      <w:r>
        <w:rPr>
          <w:w w:val="192"/>
        </w:rPr>
        <w:t>   </w:t>
      </w:r>
      <w:r>
        <w:rPr>
          <w:spacing w:val="18"/>
        </w:rPr>
        <w:t> </w:t>
      </w:r>
      <w:r>
        <w:rPr>
          <w:w w:val="188"/>
        </w:rPr>
        <w:t> </w:t>
      </w:r>
      <w:r>
        <w:rPr>
          <w:spacing w:val="-1"/>
          <w:w w:val="188"/>
        </w:rPr>
        <w:t> </w:t>
      </w:r>
      <w:r>
        <w:rPr>
          <w:w w:val="155"/>
        </w:rPr>
        <w:t>  </w:t>
      </w:r>
      <w:r>
        <w:rPr>
          <w:spacing w:val="19"/>
        </w:rPr>
        <w:t> </w:t>
      </w:r>
      <w:r>
        <w:rPr>
          <w:spacing w:val="-1"/>
          <w:w w:val="177"/>
        </w:rPr>
        <w:t> </w:t>
      </w:r>
      <w:r>
        <w:rPr>
          <w:w w:val="155"/>
        </w:rPr>
        <w:t> </w:t>
      </w:r>
      <w:r>
        <w:rPr>
          <w:spacing w:val="-2"/>
          <w:w w:val="155"/>
        </w:rPr>
        <w:t> </w:t>
      </w:r>
      <w:r>
        <w:rPr>
          <w:spacing w:val="-1"/>
          <w:w w:val="177"/>
        </w:rPr>
        <w:t> </w:t>
      </w:r>
      <w:r>
        <w:rPr>
          <w:w w:val="155"/>
        </w:rPr>
        <w:t>   </w:t>
      </w:r>
      <w:r>
        <w:rPr>
          <w:spacing w:val="19"/>
        </w:rPr>
        <w:t> </w:t>
      </w:r>
      <w:r>
        <w:rPr>
          <w:spacing w:val="-1"/>
          <w:w w:val="177"/>
        </w:rPr>
        <w:t> </w:t>
      </w:r>
      <w:r>
        <w:rPr>
          <w:w w:val="200"/>
        </w:rPr>
        <w:t>     </w:t>
      </w:r>
      <w:r>
        <w:rPr>
          <w:spacing w:val="2"/>
          <w:w w:val="200"/>
        </w:rPr>
        <w:t> </w:t>
      </w:r>
      <w:r>
        <w:rPr>
          <w:w w:val="166"/>
        </w:rPr>
        <w:t> </w:t>
      </w:r>
      <w:r>
        <w:rPr>
          <w:spacing w:val="-1"/>
          <w:w w:val="166"/>
        </w:rPr>
        <w:t> </w:t>
      </w:r>
      <w:r>
        <w:rPr>
          <w:spacing w:val="-1"/>
          <w:w w:val="177"/>
        </w:rPr>
        <w:t> </w:t>
      </w:r>
      <w:r>
        <w:rPr>
          <w:w w:val="188"/>
        </w:rPr>
        <w:t> </w:t>
      </w:r>
      <w:r>
        <w:rPr>
          <w:spacing w:val="-1"/>
          <w:w w:val="188"/>
        </w:rPr>
        <w:t> </w:t>
      </w:r>
      <w:r>
        <w:rPr>
          <w:w w:val="177"/>
        </w:rPr>
        <w:t>  </w:t>
      </w:r>
      <w:r>
        <w:rPr/>
        <w:t> </w:t>
      </w:r>
      <w:r>
        <w:rPr>
          <w:w w:val="1"/>
        </w:rPr>
        <w:t> </w:t>
      </w:r>
      <w:r>
        <w:rPr/>
        <w:t>  </w:t>
      </w:r>
      <w:r>
        <w:rPr>
          <w:spacing w:val="-22"/>
        </w:rPr>
        <w:t> </w:t>
      </w:r>
      <w:r>
        <w:rPr>
          <w:spacing w:val="-1"/>
          <w:w w:val="177"/>
        </w:rPr>
        <w:t> </w:t>
      </w:r>
      <w:r>
        <w:rPr>
          <w:w w:val="200"/>
        </w:rPr>
        <w:t> </w:t>
      </w:r>
      <w:r>
        <w:rPr>
          <w:spacing w:val="18"/>
        </w:rPr>
        <w:t> </w:t>
      </w:r>
      <w:r>
        <w:rPr>
          <w:spacing w:val="-1"/>
          <w:w w:val="177"/>
        </w:rPr>
        <w:t> </w:t>
      </w:r>
      <w:r>
        <w:rPr>
          <w:w w:val="111"/>
        </w:rPr>
        <w:t> </w:t>
      </w:r>
      <w:r>
        <w:rPr>
          <w:spacing w:val="19"/>
        </w:rPr>
        <w:t> </w:t>
      </w:r>
      <w:r>
        <w:rPr>
          <w:w w:val="211"/>
        </w:rPr>
        <w:t>  </w:t>
      </w:r>
      <w:r>
        <w:rPr>
          <w:w w:val="222"/>
        </w:rPr>
        <w:t>   </w:t>
      </w:r>
      <w:r>
        <w:rPr>
          <w:spacing w:val="19"/>
        </w:rPr>
        <w:t> </w:t>
      </w:r>
      <w:r>
        <w:rPr>
          <w:w w:val="158"/>
        </w:rPr>
        <w:t>         </w:t>
      </w:r>
      <w:r>
        <w:rPr>
          <w:spacing w:val="-2"/>
        </w:rPr>
        <w:t> </w:t>
      </w:r>
      <w:r>
        <w:rPr>
          <w:w w:val="1"/>
        </w:rPr>
        <w:t> </w:t>
      </w:r>
      <w:r>
        <w:rPr>
          <w:spacing w:val="18"/>
        </w:rPr>
        <w:t> </w:t>
      </w:r>
      <w:r>
        <w:rPr/>
        <w:t> </w:t>
      </w:r>
      <w:r>
        <w:rPr>
          <w:w w:val="99"/>
        </w:rPr>
        <w:t>los</w:t>
      </w:r>
      <w:r>
        <w:rPr>
          <w:spacing w:val="10"/>
        </w:rPr>
        <w:t> </w:t>
      </w:r>
      <w:r>
        <w:rPr>
          <w:spacing w:val="-1"/>
        </w:rPr>
        <w:t>c</w:t>
      </w:r>
      <w:r>
        <w:rPr/>
        <w:t>hoqu</w:t>
      </w:r>
      <w:r>
        <w:rPr>
          <w:spacing w:val="-1"/>
        </w:rPr>
        <w:t>e</w:t>
      </w:r>
      <w:r>
        <w:rPr>
          <w:w w:val="99"/>
        </w:rPr>
        <w:t>s</w:t>
      </w:r>
      <w:r>
        <w:rPr>
          <w:spacing w:val="9"/>
        </w:rPr>
        <w:t> </w:t>
      </w:r>
      <w:r>
        <w:rPr/>
        <w:t>de</w:t>
      </w:r>
      <w:r>
        <w:rPr>
          <w:spacing w:val="8"/>
        </w:rPr>
        <w:t> </w:t>
      </w:r>
      <w:r>
        <w:rPr/>
        <w:t>la</w:t>
      </w:r>
      <w:r>
        <w:rPr>
          <w:spacing w:val="11"/>
        </w:rPr>
        <w:t> </w:t>
      </w:r>
      <w:r>
        <w:rPr>
          <w:spacing w:val="-1"/>
        </w:rPr>
        <w:t>a</w:t>
      </w:r>
      <w:r>
        <w:rPr>
          <w:w w:val="99"/>
        </w:rPr>
        <w:t>si</w:t>
      </w:r>
      <w:r>
        <w:rPr>
          <w:spacing w:val="-2"/>
          <w:w w:val="99"/>
        </w:rPr>
        <w:t>g</w:t>
      </w:r>
      <w:r>
        <w:rPr>
          <w:spacing w:val="2"/>
        </w:rPr>
        <w:t>n</w:t>
      </w:r>
      <w:r>
        <w:rPr>
          <w:spacing w:val="1"/>
        </w:rPr>
        <w:t>a</w:t>
      </w:r>
      <w:r>
        <w:rPr>
          <w:spacing w:val="-1"/>
        </w:rPr>
        <w:t>c</w:t>
      </w:r>
      <w:r>
        <w:rPr/>
        <w:t>ión</w:t>
      </w:r>
      <w:r>
        <w:rPr>
          <w:spacing w:val="11"/>
        </w:rPr>
        <w:t> </w:t>
      </w:r>
      <w:r>
        <w:rPr/>
        <w:t>de</w:t>
      </w:r>
      <w:r>
        <w:rPr>
          <w:spacing w:val="8"/>
        </w:rPr>
        <w:t> </w:t>
      </w:r>
      <w:r>
        <w:rPr/>
        <w:t>ingr</w:t>
      </w:r>
      <w:r>
        <w:rPr>
          <w:spacing w:val="-2"/>
        </w:rPr>
        <w:t>e</w:t>
      </w:r>
      <w:r>
        <w:rPr>
          <w:w w:val="99"/>
        </w:rPr>
        <w:t>sos</w:t>
      </w:r>
      <w:r>
        <w:rPr>
          <w:spacing w:val="9"/>
        </w:rPr>
        <w:t> </w:t>
      </w:r>
      <w:r>
        <w:rPr>
          <w:w w:val="99"/>
        </w:rPr>
        <w:t>fis</w:t>
      </w:r>
      <w:r>
        <w:rPr>
          <w:spacing w:val="1"/>
          <w:w w:val="99"/>
        </w:rPr>
        <w:t>c</w:t>
      </w:r>
      <w:r>
        <w:rPr>
          <w:spacing w:val="-1"/>
        </w:rPr>
        <w:t>a</w:t>
      </w:r>
      <w:r>
        <w:rPr>
          <w:w w:val="99"/>
        </w:rPr>
        <w:t>les</w:t>
      </w:r>
      <w:r>
        <w:rPr>
          <w:spacing w:val="11"/>
        </w:rPr>
        <w:t> </w:t>
      </w:r>
      <w:r>
        <w:rPr/>
        <w:t>fu</w:t>
      </w:r>
      <w:r>
        <w:rPr>
          <w:spacing w:val="-2"/>
        </w:rPr>
        <w:t>e</w:t>
      </w:r>
      <w:r>
        <w:rPr/>
        <w:t>ron</w:t>
      </w:r>
      <w:r>
        <w:rPr>
          <w:spacing w:val="8"/>
        </w:rPr>
        <w:t> </w:t>
      </w:r>
      <w:r>
        <w:rPr/>
        <w:t>más</w:t>
      </w:r>
      <w:r>
        <w:rPr>
          <w:spacing w:val="13"/>
        </w:rPr>
        <w:t> </w:t>
      </w:r>
      <w:r>
        <w:rPr/>
        <w:t>r</w:t>
      </w:r>
      <w:r>
        <w:rPr>
          <w:spacing w:val="-2"/>
        </w:rPr>
        <w:t>e</w:t>
      </w:r>
      <w:r>
        <w:rPr/>
        <w:t>lev</w:t>
      </w:r>
      <w:r>
        <w:rPr>
          <w:spacing w:val="-2"/>
        </w:rPr>
        <w:t>a</w:t>
      </w:r>
      <w:r>
        <w:rPr/>
        <w:t>n</w:t>
      </w:r>
      <w:r>
        <w:rPr>
          <w:spacing w:val="2"/>
        </w:rPr>
        <w:t>t</w:t>
      </w:r>
      <w:r>
        <w:rPr>
          <w:spacing w:val="-1"/>
        </w:rPr>
        <w:t>e</w:t>
      </w:r>
      <w:r>
        <w:rPr>
          <w:w w:val="99"/>
        </w:rPr>
        <w:t>s</w:t>
      </w:r>
      <w:r>
        <w:rPr>
          <w:spacing w:val="10"/>
        </w:rPr>
        <w:t> </w:t>
      </w:r>
      <w:r>
        <w:rPr/>
        <w:t>q</w:t>
      </w:r>
      <w:r>
        <w:rPr>
          <w:spacing w:val="2"/>
        </w:rPr>
        <w:t>u</w:t>
      </w:r>
      <w:r>
        <w:rPr/>
        <w:t>e</w:t>
      </w:r>
      <w:r>
        <w:rPr>
          <w:spacing w:val="8"/>
        </w:rPr>
        <w:t> </w:t>
      </w:r>
      <w:r>
        <w:rPr>
          <w:w w:val="99"/>
        </w:rPr>
        <w:t>los</w:t>
      </w:r>
      <w:r>
        <w:rPr>
          <w:spacing w:val="10"/>
        </w:rPr>
        <w:t> </w:t>
      </w:r>
      <w:r>
        <w:rPr>
          <w:spacing w:val="-1"/>
        </w:rPr>
        <w:t>c</w:t>
      </w:r>
      <w:r>
        <w:rPr/>
        <w:t>hoqu</w:t>
      </w:r>
      <w:r>
        <w:rPr>
          <w:spacing w:val="-1"/>
        </w:rPr>
        <w:t>e</w:t>
      </w:r>
      <w:r>
        <w:rPr>
          <w:w w:val="99"/>
        </w:rPr>
        <w:t>s</w:t>
      </w:r>
      <w:r>
        <w:rPr>
          <w:spacing w:val="9"/>
        </w:rPr>
        <w:t> </w:t>
      </w:r>
      <w:r>
        <w:rPr/>
        <w:t>de precios del gas natural, con un impacto negativo y significativo para las distintas mediciones de resultados fiscales, por tanto, existió soporte empírico para la </w:t>
      </w:r>
      <w:r>
        <w:rPr>
          <w:i/>
        </w:rPr>
        <w:t>hipótesis 1 </w:t>
      </w:r>
      <w:r>
        <w:rPr/>
        <w:t>(</w:t>
      </w:r>
      <w:r>
        <w:rPr>
          <w:spacing w:val="-2"/>
        </w:rPr>
        <w:t>r</w:t>
      </w:r>
      <w:r>
        <w:rPr>
          <w:spacing w:val="-1"/>
        </w:rPr>
        <w:t>e</w:t>
      </w:r>
      <w:r>
        <w:rPr>
          <w:w w:val="99"/>
        </w:rPr>
        <w:t>sul</w:t>
      </w:r>
      <w:r>
        <w:rPr>
          <w:spacing w:val="1"/>
          <w:w w:val="99"/>
        </w:rPr>
        <w:t>t</w:t>
      </w:r>
      <w:r>
        <w:rPr>
          <w:spacing w:val="-1"/>
        </w:rPr>
        <w:t>a</w:t>
      </w:r>
      <w:r>
        <w:rPr>
          <w:w w:val="99"/>
        </w:rPr>
        <w:t>dos</w:t>
      </w:r>
      <w:r>
        <w:rPr>
          <w:spacing w:val="19"/>
        </w:rPr>
        <w:t> </w:t>
      </w:r>
      <w:r>
        <w:rPr>
          <w:w w:val="99"/>
        </w:rPr>
        <w:t>fis</w:t>
      </w:r>
      <w:r>
        <w:rPr>
          <w:spacing w:val="-1"/>
          <w:w w:val="99"/>
        </w:rPr>
        <w:t>c</w:t>
      </w:r>
      <w:r>
        <w:rPr>
          <w:spacing w:val="-1"/>
        </w:rPr>
        <w:t>a</w:t>
      </w:r>
      <w:r>
        <w:rPr>
          <w:w w:val="99"/>
        </w:rPr>
        <w:t>les</w:t>
      </w:r>
      <w:r>
        <w:rPr>
          <w:spacing w:val="21"/>
        </w:rPr>
        <w:t> </w:t>
      </w:r>
      <w:r>
        <w:rPr>
          <w:spacing w:val="-1"/>
        </w:rPr>
        <w:t>c</w:t>
      </w:r>
      <w:r>
        <w:rPr/>
        <w:t>omo</w:t>
      </w:r>
      <w:r>
        <w:rPr>
          <w:spacing w:val="19"/>
        </w:rPr>
        <w:t> </w:t>
      </w:r>
      <w:r>
        <w:rPr/>
        <w:t>posi</w:t>
      </w:r>
      <w:r>
        <w:rPr>
          <w:spacing w:val="-1"/>
        </w:rPr>
        <w:t>c</w:t>
      </w:r>
      <w:r>
        <w:rPr/>
        <w:t>ión</w:t>
      </w:r>
      <w:r>
        <w:rPr>
          <w:spacing w:val="19"/>
        </w:rPr>
        <w:t> </w:t>
      </w:r>
      <w:r>
        <w:rPr>
          <w:w w:val="99"/>
        </w:rPr>
        <w:t>fis</w:t>
      </w:r>
      <w:r>
        <w:rPr>
          <w:spacing w:val="-1"/>
          <w:w w:val="99"/>
        </w:rPr>
        <w:t>c</w:t>
      </w:r>
      <w:r>
        <w:rPr>
          <w:spacing w:val="-1"/>
        </w:rPr>
        <w:t>a</w:t>
      </w:r>
      <w:r>
        <w:rPr/>
        <w:t>l);</w:t>
      </w:r>
      <w:r>
        <w:rPr>
          <w:spacing w:val="19"/>
        </w:rPr>
        <w:t> </w:t>
      </w:r>
      <w:r>
        <w:rPr>
          <w:w w:val="99"/>
        </w:rPr>
        <w:t>sin</w:t>
      </w:r>
      <w:r>
        <w:rPr>
          <w:spacing w:val="19"/>
        </w:rPr>
        <w:t> </w:t>
      </w:r>
      <w:r>
        <w:rPr>
          <w:spacing w:val="-1"/>
        </w:rPr>
        <w:t>e</w:t>
      </w:r>
      <w:r>
        <w:rPr/>
        <w:t>mba</w:t>
      </w:r>
      <w:r>
        <w:rPr>
          <w:spacing w:val="-2"/>
        </w:rPr>
        <w:t>r</w:t>
      </w:r>
      <w:r>
        <w:rPr>
          <w:spacing w:val="-3"/>
        </w:rPr>
        <w:t>g</w:t>
      </w:r>
      <w:r>
        <w:rPr/>
        <w:t>o,</w:t>
      </w:r>
      <w:r>
        <w:rPr>
          <w:spacing w:val="18"/>
        </w:rPr>
        <w:t> </w:t>
      </w:r>
      <w:r>
        <w:rPr>
          <w:spacing w:val="2"/>
        </w:rPr>
        <w:t>p</w:t>
      </w:r>
      <w:r>
        <w:rPr>
          <w:spacing w:val="-1"/>
        </w:rPr>
        <w:t>a</w:t>
      </w:r>
      <w:r>
        <w:rPr/>
        <w:t>ra</w:t>
      </w:r>
      <w:r>
        <w:rPr>
          <w:spacing w:val="20"/>
        </w:rPr>
        <w:t> </w:t>
      </w:r>
      <w:r>
        <w:rPr/>
        <w:t>la</w:t>
      </w:r>
      <w:r>
        <w:rPr>
          <w:spacing w:val="18"/>
        </w:rPr>
        <w:t> </w:t>
      </w:r>
      <w:r>
        <w:rPr/>
        <w:t>d</w:t>
      </w:r>
      <w:r>
        <w:rPr>
          <w:spacing w:val="-1"/>
        </w:rPr>
        <w:t>e</w:t>
      </w:r>
      <w:r>
        <w:rPr/>
        <w:t>u</w:t>
      </w:r>
      <w:r>
        <w:rPr>
          <w:spacing w:val="2"/>
        </w:rPr>
        <w:t>d</w:t>
      </w:r>
      <w:r>
        <w:rPr/>
        <w:t>a</w:t>
      </w:r>
      <w:r>
        <w:rPr>
          <w:spacing w:val="18"/>
        </w:rPr>
        <w:t> </w:t>
      </w:r>
      <w:r>
        <w:rPr/>
        <w:t>públi</w:t>
      </w:r>
      <w:r>
        <w:rPr>
          <w:spacing w:val="-1"/>
        </w:rPr>
        <w:t>c</w:t>
      </w:r>
      <w:r>
        <w:rPr/>
        <w:t>a</w:t>
      </w:r>
      <w:r>
        <w:rPr>
          <w:spacing w:val="18"/>
        </w:rPr>
        <w:t> </w:t>
      </w:r>
      <w:r>
        <w:rPr>
          <w:w w:val="99"/>
        </w:rPr>
        <w:t>los</w:t>
      </w:r>
      <w:r>
        <w:rPr>
          <w:spacing w:val="19"/>
        </w:rPr>
        <w:t> </w:t>
      </w:r>
      <w:r>
        <w:rPr>
          <w:spacing w:val="-1"/>
        </w:rPr>
        <w:t>c</w:t>
      </w:r>
      <w:r>
        <w:rPr/>
        <w:t>hoqu</w:t>
      </w:r>
      <w:r>
        <w:rPr>
          <w:spacing w:val="-1"/>
        </w:rPr>
        <w:t>e</w:t>
      </w:r>
      <w:r>
        <w:rPr>
          <w:w w:val="99"/>
        </w:rPr>
        <w:t>s </w:t>
      </w:r>
      <w:r>
        <w:rPr/>
        <w:t>de</w:t>
      </w:r>
      <w:r>
        <w:rPr>
          <w:spacing w:val="1"/>
        </w:rPr>
        <w:t> </w:t>
      </w:r>
      <w:r>
        <w:rPr/>
        <w:t>p</w:t>
      </w:r>
      <w:r>
        <w:rPr>
          <w:spacing w:val="-1"/>
        </w:rPr>
        <w:t>r</w:t>
      </w:r>
      <w:r>
        <w:rPr>
          <w:spacing w:val="1"/>
        </w:rPr>
        <w:t>e</w:t>
      </w:r>
      <w:r>
        <w:rPr>
          <w:spacing w:val="-1"/>
        </w:rPr>
        <w:t>c</w:t>
      </w:r>
      <w:r>
        <w:rPr>
          <w:w w:val="99"/>
        </w:rPr>
        <w:t>ios</w:t>
      </w:r>
      <w:r>
        <w:rPr>
          <w:spacing w:val="2"/>
        </w:rPr>
        <w:t> </w:t>
      </w:r>
      <w:r>
        <w:rPr/>
        <w:t>d</w:t>
      </w:r>
      <w:r>
        <w:rPr>
          <w:spacing w:val="-1"/>
        </w:rPr>
        <w:t>e</w:t>
      </w:r>
      <w:r>
        <w:rPr/>
        <w:t>l</w:t>
      </w:r>
      <w:r>
        <w:rPr>
          <w:spacing w:val="5"/>
        </w:rPr>
        <w:t> </w:t>
      </w:r>
      <w:r>
        <w:rPr>
          <w:spacing w:val="-3"/>
        </w:rPr>
        <w:t>g</w:t>
      </w:r>
      <w:r>
        <w:rPr>
          <w:spacing w:val="-1"/>
        </w:rPr>
        <w:t>a</w:t>
      </w:r>
      <w:r>
        <w:rPr>
          <w:w w:val="99"/>
        </w:rPr>
        <w:t>s</w:t>
      </w:r>
      <w:r>
        <w:rPr>
          <w:spacing w:val="2"/>
        </w:rPr>
        <w:t> n</w:t>
      </w:r>
      <w:r>
        <w:rPr>
          <w:spacing w:val="-1"/>
        </w:rPr>
        <w:t>a</w:t>
      </w:r>
      <w:r>
        <w:rPr/>
        <w:t>tur</w:t>
      </w:r>
      <w:r>
        <w:rPr>
          <w:spacing w:val="-2"/>
        </w:rPr>
        <w:t>a</w:t>
      </w:r>
      <w:r>
        <w:rPr/>
        <w:t>l</w:t>
      </w:r>
      <w:r>
        <w:rPr>
          <w:spacing w:val="4"/>
        </w:rPr>
        <w:t> </w:t>
      </w:r>
      <w:r>
        <w:rPr/>
        <w:t>fu</w:t>
      </w:r>
      <w:r>
        <w:rPr>
          <w:spacing w:val="-2"/>
        </w:rPr>
        <w:t>e</w:t>
      </w:r>
      <w:r>
        <w:rPr/>
        <w:t>ron</w:t>
      </w:r>
      <w:r>
        <w:rPr>
          <w:spacing w:val="1"/>
        </w:rPr>
        <w:t> </w:t>
      </w:r>
      <w:r>
        <w:rPr/>
        <w:t>más</w:t>
      </w:r>
      <w:r>
        <w:rPr>
          <w:spacing w:val="7"/>
        </w:rPr>
        <w:t> </w:t>
      </w:r>
      <w:r>
        <w:rPr/>
        <w:t>r</w:t>
      </w:r>
      <w:r>
        <w:rPr>
          <w:spacing w:val="-2"/>
        </w:rPr>
        <w:t>e</w:t>
      </w:r>
      <w:r>
        <w:rPr/>
        <w:t>le</w:t>
      </w:r>
      <w:r>
        <w:rPr>
          <w:spacing w:val="1"/>
        </w:rPr>
        <w:t>v</w:t>
      </w:r>
      <w:r>
        <w:rPr>
          <w:spacing w:val="-1"/>
        </w:rPr>
        <w:t>a</w:t>
      </w:r>
      <w:r>
        <w:rPr/>
        <w:t>ntes,</w:t>
      </w:r>
      <w:r>
        <w:rPr>
          <w:spacing w:val="2"/>
        </w:rPr>
        <w:t> </w:t>
      </w:r>
      <w:r>
        <w:rPr>
          <w:spacing w:val="1"/>
        </w:rPr>
        <w:t>c</w:t>
      </w:r>
      <w:r>
        <w:rPr/>
        <w:t>on</w:t>
      </w:r>
      <w:r>
        <w:rPr>
          <w:spacing w:val="2"/>
        </w:rPr>
        <w:t> </w:t>
      </w:r>
      <w:r>
        <w:rPr/>
        <w:t>un</w:t>
      </w:r>
      <w:r>
        <w:rPr>
          <w:spacing w:val="2"/>
        </w:rPr>
        <w:t> </w:t>
      </w:r>
      <w:r>
        <w:rPr/>
        <w:t>imp</w:t>
      </w:r>
      <w:r>
        <w:rPr>
          <w:spacing w:val="-1"/>
        </w:rPr>
        <w:t>ac</w:t>
      </w:r>
      <w:r>
        <w:rPr/>
        <w:t>to</w:t>
      </w:r>
      <w:r>
        <w:rPr>
          <w:spacing w:val="2"/>
        </w:rPr>
        <w:t> </w:t>
      </w:r>
      <w:r>
        <w:rPr/>
        <w:t>n</w:t>
      </w:r>
      <w:r>
        <w:rPr>
          <w:spacing w:val="1"/>
        </w:rPr>
        <w:t>e</w:t>
      </w:r>
      <w:r>
        <w:rPr>
          <w:spacing w:val="-3"/>
        </w:rPr>
        <w:t>g</w:t>
      </w:r>
      <w:r>
        <w:rPr>
          <w:spacing w:val="-1"/>
        </w:rPr>
        <w:t>a</w:t>
      </w:r>
      <w:r>
        <w:rPr/>
        <w:t>tivo,</w:t>
      </w:r>
      <w:r>
        <w:rPr>
          <w:spacing w:val="4"/>
        </w:rPr>
        <w:t> </w:t>
      </w:r>
      <w:r>
        <w:rPr/>
        <w:t>por</w:t>
      </w:r>
      <w:r>
        <w:rPr>
          <w:spacing w:val="1"/>
        </w:rPr>
        <w:t> </w:t>
      </w:r>
      <w:r>
        <w:rPr/>
        <w:t>lo</w:t>
      </w:r>
      <w:r>
        <w:rPr>
          <w:spacing w:val="2"/>
        </w:rPr>
        <w:t> </w:t>
      </w:r>
      <w:r>
        <w:rPr>
          <w:spacing w:val="-1"/>
        </w:rPr>
        <w:t>c</w:t>
      </w:r>
      <w:r>
        <w:rPr/>
        <w:t>u</w:t>
      </w:r>
      <w:r>
        <w:rPr>
          <w:spacing w:val="-1"/>
        </w:rPr>
        <w:t>a</w:t>
      </w:r>
      <w:r>
        <w:rPr/>
        <w:t>l</w:t>
      </w:r>
      <w:r>
        <w:rPr>
          <w:spacing w:val="2"/>
        </w:rPr>
        <w:t> </w:t>
      </w:r>
      <w:r>
        <w:rPr/>
        <w:t>no</w:t>
      </w:r>
      <w:r>
        <w:rPr>
          <w:spacing w:val="2"/>
        </w:rPr>
        <w:t> </w:t>
      </w:r>
      <w:r>
        <w:rPr>
          <w:w w:val="99"/>
        </w:rPr>
        <w:t>se </w:t>
      </w:r>
      <w:r>
        <w:rPr>
          <w:spacing w:val="-1"/>
        </w:rPr>
        <w:t>e</w:t>
      </w:r>
      <w:r>
        <w:rPr/>
        <w:t>viden</w:t>
      </w:r>
      <w:r>
        <w:rPr>
          <w:spacing w:val="-2"/>
        </w:rPr>
        <w:t>c</w:t>
      </w:r>
      <w:r>
        <w:rPr/>
        <w:t>ió </w:t>
      </w:r>
      <w:r>
        <w:rPr>
          <w:spacing w:val="-15"/>
        </w:rPr>
        <w:t> </w:t>
      </w:r>
      <w:r>
        <w:rPr/>
        <w:t>soporte </w:t>
      </w:r>
      <w:r>
        <w:rPr>
          <w:spacing w:val="-16"/>
        </w:rPr>
        <w:t> </w:t>
      </w:r>
      <w:r>
        <w:rPr/>
        <w:t>p</w:t>
      </w:r>
      <w:r>
        <w:rPr>
          <w:spacing w:val="-1"/>
        </w:rPr>
        <w:t>a</w:t>
      </w:r>
      <w:r>
        <w:rPr/>
        <w:t>ra </w:t>
      </w:r>
      <w:r>
        <w:rPr>
          <w:spacing w:val="-17"/>
        </w:rPr>
        <w:t> </w:t>
      </w:r>
      <w:r>
        <w:rPr>
          <w:spacing w:val="2"/>
        </w:rPr>
        <w:t>l</w:t>
      </w:r>
      <w:r>
        <w:rPr/>
        <w:t>a </w:t>
      </w:r>
      <w:r>
        <w:rPr>
          <w:spacing w:val="-14"/>
        </w:rPr>
        <w:t> </w:t>
      </w:r>
      <w:r>
        <w:rPr>
          <w:i/>
        </w:rPr>
        <w:t>hipót</w:t>
      </w:r>
      <w:r>
        <w:rPr>
          <w:i/>
          <w:spacing w:val="-1"/>
        </w:rPr>
        <w:t>e</w:t>
      </w:r>
      <w:r>
        <w:rPr>
          <w:i/>
          <w:w w:val="99"/>
        </w:rPr>
        <w:t>sis</w:t>
      </w:r>
      <w:r>
        <w:rPr>
          <w:i/>
        </w:rPr>
        <w:t> </w:t>
      </w:r>
      <w:r>
        <w:rPr>
          <w:i/>
          <w:spacing w:val="-14"/>
        </w:rPr>
        <w:t> </w:t>
      </w:r>
      <w:r>
        <w:rPr>
          <w:i/>
        </w:rPr>
        <w:t>1 </w:t>
      </w:r>
      <w:r>
        <w:rPr>
          <w:i/>
          <w:spacing w:val="-14"/>
        </w:rPr>
        <w:t> </w:t>
      </w:r>
      <w:r>
        <w:rPr/>
        <w:t>de </w:t>
      </w:r>
      <w:r>
        <w:rPr>
          <w:spacing w:val="-16"/>
        </w:rPr>
        <w:t> </w:t>
      </w:r>
      <w:r>
        <w:rPr/>
        <w:t>la </w:t>
      </w:r>
      <w:r>
        <w:rPr>
          <w:spacing w:val="-18"/>
        </w:rPr>
        <w:t> </w:t>
      </w:r>
      <w:r>
        <w:rPr/>
        <w:t>investi</w:t>
      </w:r>
      <w:r>
        <w:rPr>
          <w:spacing w:val="-3"/>
        </w:rPr>
        <w:t>g</w:t>
      </w:r>
      <w:r>
        <w:rPr>
          <w:spacing w:val="-1"/>
        </w:rPr>
        <w:t>ac</w:t>
      </w:r>
      <w:r>
        <w:rPr/>
        <w:t>ión </w:t>
      </w:r>
      <w:r>
        <w:rPr>
          <w:spacing w:val="-15"/>
        </w:rPr>
        <w:t> </w:t>
      </w:r>
      <w:r>
        <w:rPr/>
        <w:t>(d</w:t>
      </w:r>
      <w:r>
        <w:rPr>
          <w:spacing w:val="-2"/>
        </w:rPr>
        <w:t>e</w:t>
      </w:r>
      <w:r>
        <w:rPr/>
        <w:t>u</w:t>
      </w:r>
      <w:r>
        <w:rPr>
          <w:spacing w:val="2"/>
        </w:rPr>
        <w:t>d</w:t>
      </w:r>
      <w:r>
        <w:rPr/>
        <w:t>a </w:t>
      </w:r>
      <w:r>
        <w:rPr>
          <w:spacing w:val="-16"/>
        </w:rPr>
        <w:t> </w:t>
      </w:r>
      <w:r>
        <w:rPr/>
        <w:t>públi</w:t>
      </w:r>
      <w:r>
        <w:rPr>
          <w:spacing w:val="-1"/>
        </w:rPr>
        <w:t>c</w:t>
      </w:r>
      <w:r>
        <w:rPr/>
        <w:t>a </w:t>
      </w:r>
      <w:r>
        <w:rPr>
          <w:spacing w:val="-14"/>
        </w:rPr>
        <w:t> </w:t>
      </w:r>
      <w:r>
        <w:rPr>
          <w:spacing w:val="-1"/>
        </w:rPr>
        <w:t>c</w:t>
      </w:r>
      <w:r>
        <w:rPr/>
        <w:t>omo </w:t>
      </w:r>
      <w:r>
        <w:rPr>
          <w:spacing w:val="-15"/>
        </w:rPr>
        <w:t> </w:t>
      </w:r>
      <w:r>
        <w:rPr/>
        <w:t>posi</w:t>
      </w:r>
      <w:r>
        <w:rPr>
          <w:spacing w:val="-1"/>
        </w:rPr>
        <w:t>c</w:t>
      </w:r>
      <w:r>
        <w:rPr/>
        <w:t>i</w:t>
      </w:r>
      <w:r>
        <w:rPr>
          <w:spacing w:val="-2"/>
        </w:rPr>
        <w:t>ó</w:t>
      </w:r>
      <w:r>
        <w:rPr/>
        <w:t>n </w:t>
      </w:r>
      <w:r>
        <w:rPr>
          <w:w w:val="99"/>
        </w:rPr>
        <w:t>fis</w:t>
      </w:r>
      <w:r>
        <w:rPr>
          <w:spacing w:val="-1"/>
          <w:w w:val="99"/>
        </w:rPr>
        <w:t>c</w:t>
      </w:r>
      <w:r>
        <w:rPr>
          <w:spacing w:val="-1"/>
        </w:rPr>
        <w:t>a</w:t>
      </w:r>
      <w:r>
        <w:rPr/>
        <w:t>l).</w:t>
      </w:r>
    </w:p>
    <w:p>
      <w:pPr>
        <w:pStyle w:val="BodyText"/>
        <w:spacing w:line="352" w:lineRule="auto" w:before="4"/>
        <w:ind w:left="122" w:right="117" w:firstLine="707"/>
        <w:jc w:val="both"/>
      </w:pPr>
      <w:r>
        <w:rPr/>
        <w:t>Un segundo factor indicó que los choques de precios del gas natural impactaron con menor gasto de capital                                     </w:t>
      </w:r>
      <w:r>
        <w:rPr>
          <w:position w:val="11"/>
          <w:sz w:val="16"/>
        </w:rPr>
        <w:t>80  </w:t>
      </w:r>
      <w:r>
        <w:rPr/>
        <w:t>El efecto de los choques de precios fue   una mejora sobre el resto de los balances fiscales (balance primario, balance global cíclicamente ajustado y balance global) con excepción del balance primario no gasífero.  Los choques de la asignación de ingresos fiscales (al gasto de capital y gasto corriente) deterioraron todos los balances</w:t>
      </w:r>
      <w:r>
        <w:rPr>
          <w:spacing w:val="-9"/>
        </w:rPr>
        <w:t> </w:t>
      </w:r>
      <w:r>
        <w:rPr/>
        <w:t>fiscales.</w:t>
      </w:r>
    </w:p>
    <w:p>
      <w:pPr>
        <w:pStyle w:val="BodyText"/>
        <w:spacing w:line="360" w:lineRule="auto" w:before="14"/>
        <w:ind w:left="122" w:right="118" w:firstLine="707"/>
        <w:jc w:val="both"/>
      </w:pPr>
      <w:r>
        <w:rPr/>
        <w:t>En tercer lugar, mediante la descomposición estructural de varianza, se confirmó  que los choques de la asignación de ingresos fiscales (al gasto público) fueron más relevantes para el balance primario (con y sin gas natural) en comparación con los choques de precios del gas natural; sin embargo, para la deuda pública los choques de precios fueron</w:t>
      </w:r>
    </w:p>
    <w:p>
      <w:pPr>
        <w:pStyle w:val="BodyText"/>
        <w:rPr>
          <w:sz w:val="20"/>
        </w:rPr>
      </w:pPr>
    </w:p>
    <w:p>
      <w:pPr>
        <w:pStyle w:val="BodyText"/>
        <w:spacing w:before="11"/>
        <w:rPr>
          <w:sz w:val="13"/>
        </w:rPr>
      </w:pPr>
      <w:r>
        <w:rPr/>
        <w:pict>
          <v:line style="position:absolute;mso-position-horizontal-relative:page;mso-position-vertical-relative:paragraph;z-index:15400;mso-wrap-distance-left:0;mso-wrap-distance-right:0" from="85.103996pt,10.276719pt" to="229.123996pt,10.276719pt" stroked="true" strokeweight=".60004pt" strokecolor="#000000">
            <w10:wrap type="topAndBottom"/>
          </v:line>
        </w:pict>
      </w:r>
    </w:p>
    <w:p>
      <w:pPr>
        <w:spacing w:before="50"/>
        <w:ind w:left="122" w:right="115" w:firstLine="0"/>
        <w:jc w:val="left"/>
        <w:rPr>
          <w:sz w:val="20"/>
        </w:rPr>
      </w:pPr>
      <w:r>
        <w:rPr>
          <w:position w:val="9"/>
          <w:sz w:val="13"/>
        </w:rPr>
        <w:t>80 </w:t>
      </w:r>
      <w:r>
        <w:rPr>
          <w:sz w:val="20"/>
        </w:rPr>
        <w:t>Donde el gasto de capital y el gasto corriente fueron medidos de forma proporcional a los ingresos fiscales con y sin recurso natural respectivamente.</w:t>
      </w:r>
    </w:p>
    <w:p>
      <w:pPr>
        <w:spacing w:after="0"/>
        <w:jc w:val="left"/>
        <w:rPr>
          <w:sz w:val="20"/>
        </w:rPr>
        <w:sectPr>
          <w:pgSz w:w="12250" w:h="15850"/>
          <w:pgMar w:header="0" w:footer="1037" w:top="1360" w:bottom="1220" w:left="1580" w:right="1580"/>
        </w:sectPr>
      </w:pPr>
    </w:p>
    <w:p>
      <w:pPr>
        <w:pStyle w:val="BodyText"/>
        <w:spacing w:line="360" w:lineRule="auto" w:before="50"/>
        <w:ind w:left="102" w:right="118"/>
        <w:jc w:val="both"/>
      </w:pPr>
      <w:r>
        <w:rPr/>
        <w:t>más importantes que la asignación de ingresos fiscales al gasto público, se mencionó que la variabilidad en la deuda pública respondió de forma predominante a sus propias innovaciones con posibles eventos exógenos como la condonación en la deuda pública externa.</w:t>
      </w:r>
    </w:p>
    <w:p>
      <w:pPr>
        <w:pStyle w:val="BodyText"/>
        <w:spacing w:line="360" w:lineRule="auto" w:before="6"/>
        <w:ind w:left="102" w:right="115" w:firstLine="707"/>
        <w:jc w:val="both"/>
      </w:pPr>
      <w:r>
        <w:rPr/>
        <w:t>En cuarto punto, mediante el análisis de choques determinantes dinámicos, se evidenció que la asignación de ingresos fiscales gasíferos razón gasto de capital/ ingresos fiscales gasíferos   afectó negativa y significativamente al balance primario no gasífero y   de forma positiva y significativa a la deuda pública. Los choques de precios del gas natural, predominaron con un efecto negativo y significativo sobre la deuda</w:t>
      </w:r>
      <w:r>
        <w:rPr>
          <w:spacing w:val="-15"/>
        </w:rPr>
        <w:t> </w:t>
      </w:r>
      <w:r>
        <w:rPr/>
        <w:t>pública.</w:t>
      </w:r>
    </w:p>
    <w:p>
      <w:pPr>
        <w:pStyle w:val="BodyText"/>
        <w:spacing w:line="360" w:lineRule="auto" w:before="4"/>
        <w:ind w:left="102" w:right="122" w:firstLine="707"/>
        <w:jc w:val="both"/>
      </w:pPr>
      <w:r>
        <w:rPr/>
        <w:t>En la simulación de reglas fiscales, se concluyó que a mayor gasto de capital (inversión pública) disminuye el superávit fiscal, incrementa el endeudamiento público y exige menor gasto corriente (efecto                 entre gasto de capital y gasto corriente).</w:t>
      </w:r>
    </w:p>
    <w:p>
      <w:pPr>
        <w:pStyle w:val="BodyText"/>
        <w:spacing w:line="360" w:lineRule="auto" w:before="6"/>
        <w:ind w:left="102" w:right="117" w:firstLine="707"/>
        <w:jc w:val="both"/>
      </w:pPr>
      <w:r>
        <w:rPr/>
        <w:t>Los diferentes escenarios de reglas fiscales, basados en distintas magnitudes de canalización de ingresos del recurso natural hacia el gasto de capital, mostraron menor  nivel </w:t>
      </w:r>
      <w:r>
        <w:rPr>
          <w:i/>
        </w:rPr>
        <w:t>deuda pública máxima </w:t>
      </w:r>
      <w:r>
        <w:rPr/>
        <w:t>en comparación con el escenario base (sin regla fiscal). Se evidenciaron diferencias estadísticas y significativas del endeudamiento en el corto y mediano</w:t>
      </w:r>
      <w:r>
        <w:rPr>
          <w:spacing w:val="-1"/>
        </w:rPr>
        <w:t> </w:t>
      </w:r>
      <w:r>
        <w:rPr/>
        <w:t>plazo.</w:t>
      </w:r>
    </w:p>
    <w:p>
      <w:pPr>
        <w:pStyle w:val="BodyText"/>
        <w:spacing w:line="360" w:lineRule="auto" w:before="4"/>
        <w:ind w:left="102" w:right="118" w:firstLine="707"/>
        <w:jc w:val="both"/>
      </w:pPr>
      <w:r>
        <w:rPr>
          <w:w w:val="233"/>
        </w:rPr>
        <w:t>  </w:t>
      </w:r>
      <w:r>
        <w:rPr>
          <w:spacing w:val="29"/>
        </w:rPr>
        <w:t> </w:t>
      </w:r>
      <w:r>
        <w:rPr>
          <w:w w:val="155"/>
        </w:rPr>
        <w:t>   </w:t>
      </w:r>
      <w:r>
        <w:rPr/>
        <w:t> </w:t>
      </w:r>
      <w:r>
        <w:rPr>
          <w:spacing w:val="-26"/>
        </w:rPr>
        <w:t> </w:t>
      </w:r>
      <w:r>
        <w:rPr>
          <w:spacing w:val="-1"/>
          <w:w w:val="177"/>
        </w:rPr>
        <w:t> </w:t>
      </w:r>
      <w:r>
        <w:rPr>
          <w:w w:val="166"/>
        </w:rPr>
        <w:t> </w:t>
      </w:r>
      <w:r>
        <w:rPr>
          <w:spacing w:val="-1"/>
          <w:w w:val="166"/>
        </w:rPr>
        <w:t> </w:t>
      </w:r>
      <w:r>
        <w:rPr>
          <w:spacing w:val="-1"/>
          <w:w w:val="177"/>
        </w:rPr>
        <w:t> </w:t>
      </w:r>
      <w:r>
        <w:rPr>
          <w:spacing w:val="2"/>
          <w:w w:val="200"/>
        </w:rPr>
        <w:t> </w:t>
      </w:r>
      <w:r>
        <w:rPr>
          <w:spacing w:val="-1"/>
          <w:w w:val="177"/>
        </w:rPr>
        <w:t> </w:t>
      </w:r>
      <w:r>
        <w:rPr>
          <w:w w:val="150"/>
        </w:rPr>
        <w:t>    </w:t>
      </w:r>
      <w:r>
        <w:rPr/>
        <w:t> </w:t>
      </w:r>
      <w:r>
        <w:rPr>
          <w:spacing w:val="-30"/>
        </w:rPr>
        <w:t> </w:t>
      </w:r>
      <w:r>
        <w:rPr>
          <w:w w:val="162"/>
        </w:rPr>
        <w:t>     </w:t>
      </w:r>
      <w:r>
        <w:rPr>
          <w:spacing w:val="1"/>
          <w:w w:val="162"/>
        </w:rPr>
        <w:t> </w:t>
      </w:r>
      <w:r>
        <w:rPr>
          <w:spacing w:val="-1"/>
          <w:w w:val="177"/>
        </w:rPr>
        <w:t> </w:t>
      </w:r>
      <w:r>
        <w:rPr>
          <w:w w:val="163"/>
        </w:rPr>
        <w:t>    </w:t>
      </w:r>
      <w:r>
        <w:rPr/>
        <w:t> </w:t>
      </w:r>
      <w:r>
        <w:rPr>
          <w:spacing w:val="-29"/>
        </w:rPr>
        <w:t> </w:t>
      </w:r>
      <w:r>
        <w:rPr>
          <w:w w:val="166"/>
        </w:rPr>
        <w:t>  </w:t>
      </w:r>
      <w:r>
        <w:rPr/>
        <w:t> </w:t>
      </w:r>
      <w:r>
        <w:rPr>
          <w:spacing w:val="-28"/>
        </w:rPr>
        <w:t> </w:t>
      </w:r>
      <w:r>
        <w:rPr>
          <w:w w:val="192"/>
        </w:rPr>
        <w:t>  </w:t>
      </w:r>
      <w:r>
        <w:rPr>
          <w:spacing w:val="-1"/>
          <w:w w:val="192"/>
        </w:rPr>
        <w:t> </w:t>
      </w:r>
      <w:r>
        <w:rPr>
          <w:w w:val="188"/>
        </w:rPr>
        <w:t> </w:t>
      </w:r>
      <w:r>
        <w:rPr>
          <w:spacing w:val="-1"/>
          <w:w w:val="188"/>
        </w:rPr>
        <w:t> </w:t>
      </w:r>
      <w:r>
        <w:rPr>
          <w:w w:val="200"/>
        </w:rPr>
        <w:t> </w:t>
      </w:r>
      <w:r>
        <w:rPr/>
        <w:t> </w:t>
      </w:r>
      <w:r>
        <w:rPr>
          <w:spacing w:val="-27"/>
        </w:rPr>
        <w:t> </w:t>
      </w:r>
      <w:r>
        <w:rPr>
          <w:w w:val="207"/>
        </w:rPr>
        <w:t>   </w:t>
      </w:r>
      <w:r>
        <w:rPr>
          <w:spacing w:val="-1"/>
          <w:w w:val="177"/>
        </w:rPr>
        <w:t> </w:t>
      </w:r>
      <w:r>
        <w:rPr>
          <w:w w:val="133"/>
        </w:rPr>
        <w:t> </w:t>
      </w:r>
      <w:r>
        <w:rPr/>
        <w:t> </w:t>
      </w:r>
      <w:r>
        <w:rPr>
          <w:spacing w:val="-30"/>
        </w:rPr>
        <w:t> </w:t>
      </w:r>
      <w:r>
        <w:rPr>
          <w:spacing w:val="2"/>
          <w:w w:val="200"/>
        </w:rPr>
        <w:t> </w:t>
      </w:r>
      <w:r>
        <w:rPr>
          <w:w w:val="177"/>
        </w:rPr>
        <w:t>  </w:t>
      </w:r>
      <w:r>
        <w:rPr/>
        <w:t> </w:t>
      </w:r>
      <w:r>
        <w:rPr>
          <w:spacing w:val="-29"/>
        </w:rPr>
        <w:t> </w:t>
      </w:r>
      <w:r>
        <w:rPr>
          <w:spacing w:val="-1"/>
          <w:w w:val="177"/>
        </w:rPr>
        <w:t> </w:t>
      </w:r>
      <w:r>
        <w:rPr>
          <w:w w:val="111"/>
        </w:rPr>
        <w:t>  </w:t>
      </w:r>
      <w:r>
        <w:rPr>
          <w:spacing w:val="-1"/>
          <w:w w:val="177"/>
        </w:rPr>
        <w:t> </w:t>
      </w:r>
      <w:r>
        <w:rPr>
          <w:w w:val="170"/>
        </w:rPr>
        <w:t>  </w:t>
      </w:r>
      <w:r>
        <w:rPr>
          <w:spacing w:val="-2"/>
          <w:w w:val="170"/>
        </w:rPr>
        <w:t> </w:t>
      </w:r>
      <w:r>
        <w:rPr>
          <w:w w:val="111"/>
        </w:rPr>
        <w:t>  </w:t>
      </w:r>
      <w:r>
        <w:rPr>
          <w:w w:val="188"/>
        </w:rPr>
        <w:t> </w:t>
      </w:r>
      <w:r>
        <w:rPr>
          <w:spacing w:val="-1"/>
          <w:w w:val="188"/>
        </w:rPr>
        <w:t> </w:t>
      </w:r>
      <w:r>
        <w:rPr>
          <w:w w:val="155"/>
        </w:rPr>
        <w:t> </w:t>
      </w:r>
      <w:r>
        <w:rPr/>
        <w:t> </w:t>
      </w:r>
      <w:r>
        <w:rPr>
          <w:spacing w:val="-27"/>
        </w:rPr>
        <w:t> </w:t>
      </w:r>
      <w:r>
        <w:rPr>
          <w:w w:val="188"/>
        </w:rPr>
        <w:t>  </w:t>
      </w:r>
      <w:r>
        <w:rPr/>
        <w:t> </w:t>
      </w:r>
      <w:r>
        <w:rPr>
          <w:spacing w:val="-28"/>
        </w:rPr>
        <w:t> </w:t>
      </w:r>
      <w:r>
        <w:rPr>
          <w:w w:val="155"/>
        </w:rPr>
        <w:t>  </w:t>
      </w:r>
      <w:r>
        <w:rPr>
          <w:spacing w:val="-3"/>
          <w:w w:val="200"/>
        </w:rPr>
        <w:t> </w:t>
      </w:r>
      <w:r>
        <w:rPr>
          <w:w w:val="148"/>
        </w:rPr>
        <w:t>   </w:t>
      </w:r>
      <w:r>
        <w:rPr/>
        <w:t> </w:t>
      </w:r>
      <w:r>
        <w:rPr>
          <w:spacing w:val="-28"/>
        </w:rPr>
        <w:t> </w:t>
      </w:r>
      <w:r>
        <w:rPr>
          <w:w w:val="144"/>
        </w:rPr>
        <w:t>   </w:t>
      </w:r>
      <w:r>
        <w:rPr>
          <w:spacing w:val="-1"/>
          <w:w w:val="144"/>
        </w:rPr>
        <w:t> </w:t>
      </w:r>
      <w:r>
        <w:rPr>
          <w:spacing w:val="-1"/>
          <w:w w:val="177"/>
        </w:rPr>
        <w:t> </w:t>
      </w:r>
      <w:r>
        <w:rPr>
          <w:w w:val="148"/>
        </w:rPr>
        <w:t>   </w:t>
      </w:r>
      <w:r>
        <w:rPr>
          <w:spacing w:val="1"/>
        </w:rPr>
        <w:t> </w:t>
      </w:r>
      <w:r>
        <w:rPr>
          <w:w w:val="1"/>
        </w:rPr>
        <w:t> </w:t>
      </w:r>
      <w:r>
        <w:rPr/>
        <w:t>d</w:t>
      </w:r>
      <w:r>
        <w:rPr>
          <w:spacing w:val="-1"/>
        </w:rPr>
        <w:t>a</w:t>
      </w:r>
      <w:r>
        <w:rPr/>
        <w:t>da </w:t>
      </w:r>
      <w:r>
        <w:rPr>
          <w:spacing w:val="-14"/>
        </w:rPr>
        <w:t> </w:t>
      </w:r>
      <w:r>
        <w:rPr/>
        <w:t>la </w:t>
      </w:r>
      <w:r>
        <w:rPr>
          <w:spacing w:val="-13"/>
        </w:rPr>
        <w:t> </w:t>
      </w:r>
      <w:r>
        <w:rPr>
          <w:w w:val="99"/>
        </w:rPr>
        <w:t>s</w:t>
      </w:r>
      <w:r>
        <w:rPr>
          <w:spacing w:val="2"/>
          <w:w w:val="99"/>
        </w:rPr>
        <w:t>i</w:t>
      </w:r>
      <w:r>
        <w:rPr>
          <w:spacing w:val="-3"/>
        </w:rPr>
        <w:t>g</w:t>
      </w:r>
      <w:r>
        <w:rPr/>
        <w:t>nifi</w:t>
      </w:r>
      <w:r>
        <w:rPr>
          <w:spacing w:val="-1"/>
        </w:rPr>
        <w:t>ca</w:t>
      </w:r>
      <w:r>
        <w:rPr>
          <w:spacing w:val="2"/>
        </w:rPr>
        <w:t>n</w:t>
      </w:r>
      <w:r>
        <w:rPr>
          <w:spacing w:val="-1"/>
        </w:rPr>
        <w:t>c</w:t>
      </w:r>
      <w:r>
        <w:rPr/>
        <w:t>ia </w:t>
      </w:r>
      <w:r>
        <w:rPr>
          <w:spacing w:val="-13"/>
        </w:rPr>
        <w:t> </w:t>
      </w:r>
      <w:r>
        <w:rPr>
          <w:spacing w:val="-1"/>
        </w:rPr>
        <w:t>e</w:t>
      </w:r>
      <w:r>
        <w:rPr>
          <w:w w:val="99"/>
        </w:rPr>
        <w:t>s</w:t>
      </w:r>
      <w:r>
        <w:rPr>
          <w:spacing w:val="2"/>
          <w:w w:val="99"/>
        </w:rPr>
        <w:t>t</w:t>
      </w:r>
      <w:r>
        <w:rPr>
          <w:spacing w:val="-1"/>
        </w:rPr>
        <w:t>a</w:t>
      </w:r>
      <w:r>
        <w:rPr>
          <w:w w:val="99"/>
        </w:rPr>
        <w:t>dís</w:t>
      </w:r>
      <w:r>
        <w:rPr>
          <w:spacing w:val="1"/>
          <w:w w:val="99"/>
        </w:rPr>
        <w:t>t</w:t>
      </w:r>
      <w:r>
        <w:rPr/>
        <w:t>ica </w:t>
      </w:r>
      <w:r>
        <w:rPr>
          <w:spacing w:val="-14"/>
        </w:rPr>
        <w:t> </w:t>
      </w:r>
      <w:r>
        <w:rPr/>
        <w:t>de </w:t>
      </w:r>
      <w:r>
        <w:rPr>
          <w:spacing w:val="-14"/>
        </w:rPr>
        <w:t> </w:t>
      </w:r>
      <w:r>
        <w:rPr>
          <w:w w:val="99"/>
        </w:rPr>
        <w:t>los</w:t>
      </w:r>
      <w:r>
        <w:rPr/>
        <w:t> </w:t>
      </w:r>
      <w:r>
        <w:rPr>
          <w:spacing w:val="-12"/>
        </w:rPr>
        <w:t> </w:t>
      </w:r>
      <w:r>
        <w:rPr/>
        <w:t>r</w:t>
      </w:r>
      <w:r>
        <w:rPr>
          <w:spacing w:val="-2"/>
        </w:rPr>
        <w:t>e</w:t>
      </w:r>
      <w:r>
        <w:rPr>
          <w:w w:val="99"/>
        </w:rPr>
        <w:t>sul</w:t>
      </w:r>
      <w:r>
        <w:rPr>
          <w:spacing w:val="1"/>
          <w:w w:val="99"/>
        </w:rPr>
        <w:t>t</w:t>
      </w:r>
      <w:r>
        <w:rPr>
          <w:spacing w:val="-1"/>
        </w:rPr>
        <w:t>a</w:t>
      </w:r>
      <w:r>
        <w:rPr/>
        <w:t>d</w:t>
      </w:r>
      <w:r>
        <w:rPr>
          <w:spacing w:val="2"/>
        </w:rPr>
        <w:t>o</w:t>
      </w:r>
      <w:r>
        <w:rPr>
          <w:w w:val="99"/>
        </w:rPr>
        <w:t>s:</w:t>
      </w:r>
      <w:r>
        <w:rPr/>
        <w:t> </w:t>
      </w:r>
      <w:r>
        <w:rPr>
          <w:spacing w:val="-12"/>
        </w:rPr>
        <w:t> </w:t>
      </w:r>
      <w:r>
        <w:rPr/>
        <w:t>1] </w:t>
      </w:r>
      <w:r>
        <w:rPr>
          <w:spacing w:val="-11"/>
        </w:rPr>
        <w:t> </w:t>
      </w:r>
      <w:r>
        <w:rPr/>
        <w:t>la </w:t>
      </w:r>
      <w:r>
        <w:rPr>
          <w:spacing w:val="-13"/>
        </w:rPr>
        <w:t> </w:t>
      </w:r>
      <w:r>
        <w:rPr/>
        <w:t>más </w:t>
      </w:r>
      <w:r>
        <w:rPr>
          <w:spacing w:val="-13"/>
        </w:rPr>
        <w:t> </w:t>
      </w:r>
      <w:r>
        <w:rPr>
          <w:spacing w:val="-1"/>
        </w:rPr>
        <w:t>e</w:t>
      </w:r>
      <w:r>
        <w:rPr/>
        <w:t>xi</w:t>
      </w:r>
      <w:r>
        <w:rPr>
          <w:spacing w:val="-2"/>
        </w:rPr>
        <w:t>g</w:t>
      </w:r>
      <w:r>
        <w:rPr>
          <w:spacing w:val="-1"/>
        </w:rPr>
        <w:t>e</w:t>
      </w:r>
      <w:r>
        <w:rPr/>
        <w:t>nte </w:t>
      </w:r>
      <w:r>
        <w:rPr>
          <w:spacing w:val="-13"/>
        </w:rPr>
        <w:t> </w:t>
      </w:r>
      <w:r>
        <w:rPr>
          <w:spacing w:val="2"/>
        </w:rPr>
        <w:t>q</w:t>
      </w:r>
      <w:r>
        <w:rPr/>
        <w:t>ue </w:t>
      </w:r>
      <w:r>
        <w:rPr>
          <w:spacing w:val="-14"/>
        </w:rPr>
        <w:t> </w:t>
      </w:r>
      <w:r>
        <w:rPr>
          <w:spacing w:val="-1"/>
        </w:rPr>
        <w:t>c</w:t>
      </w:r>
      <w:r>
        <w:rPr/>
        <w:t>onsi</w:t>
      </w:r>
      <w:r>
        <w:rPr>
          <w:w w:val="99"/>
        </w:rPr>
        <w:t>ste</w:t>
      </w:r>
      <w:r>
        <w:rPr/>
        <w:t> </w:t>
      </w:r>
      <w:r>
        <w:rPr>
          <w:spacing w:val="-13"/>
        </w:rPr>
        <w:t> </w:t>
      </w:r>
      <w:r>
        <w:rPr/>
        <w:t>una </w:t>
      </w:r>
      <w:r>
        <w:rPr>
          <w:i/>
          <w:spacing w:val="-1"/>
        </w:rPr>
        <w:t>c</w:t>
      </w:r>
      <w:r>
        <w:rPr>
          <w:i/>
        </w:rPr>
        <w:t>anali</w:t>
      </w:r>
      <w:r>
        <w:rPr>
          <w:i/>
          <w:w w:val="99"/>
        </w:rPr>
        <w:t>za</w:t>
      </w:r>
      <w:r>
        <w:rPr>
          <w:i/>
          <w:spacing w:val="-1"/>
        </w:rPr>
        <w:t>c</w:t>
      </w:r>
      <w:r>
        <w:rPr>
          <w:i/>
        </w:rPr>
        <w:t>ión </w:t>
      </w:r>
      <w:r>
        <w:rPr>
          <w:i/>
          <w:spacing w:val="-3"/>
        </w:rPr>
        <w:t> </w:t>
      </w:r>
      <w:r>
        <w:rPr>
          <w:i/>
          <w:w w:val="99"/>
        </w:rPr>
        <w:t>m</w:t>
      </w:r>
      <w:r>
        <w:rPr>
          <w:i/>
          <w:spacing w:val="-2"/>
          <w:w w:val="99"/>
        </w:rPr>
        <w:t>e</w:t>
      </w:r>
      <w:r>
        <w:rPr>
          <w:i/>
        </w:rPr>
        <w:t>dia</w:t>
      </w:r>
      <w:r>
        <w:rPr>
          <w:i/>
          <w:spacing w:val="-1"/>
        </w:rPr>
        <w:t>-</w:t>
      </w:r>
      <w:r>
        <w:rPr>
          <w:i/>
        </w:rPr>
        <w:t>baja </w:t>
      </w:r>
      <w:r>
        <w:rPr>
          <w:i/>
          <w:spacing w:val="1"/>
        </w:rPr>
        <w:t> </w:t>
      </w:r>
      <w:r>
        <w:rPr/>
        <w:t>de </w:t>
      </w:r>
      <w:r>
        <w:rPr>
          <w:spacing w:val="-4"/>
        </w:rPr>
        <w:t> </w:t>
      </w:r>
      <w:r>
        <w:rPr>
          <w:w w:val="99"/>
        </w:rPr>
        <w:t>los</w:t>
      </w:r>
      <w:r>
        <w:rPr/>
        <w:t> </w:t>
      </w:r>
      <w:r>
        <w:rPr>
          <w:spacing w:val="-2"/>
        </w:rPr>
        <w:t> </w:t>
      </w:r>
      <w:r>
        <w:rPr/>
        <w:t>ingr</w:t>
      </w:r>
      <w:r>
        <w:rPr>
          <w:spacing w:val="-2"/>
        </w:rPr>
        <w:t>e</w:t>
      </w:r>
      <w:r>
        <w:rPr>
          <w:w w:val="99"/>
        </w:rPr>
        <w:t>sos</w:t>
      </w:r>
      <w:r>
        <w:rPr/>
        <w:t> </w:t>
      </w:r>
      <w:r>
        <w:rPr>
          <w:spacing w:val="-3"/>
        </w:rPr>
        <w:t> </w:t>
      </w:r>
      <w:r>
        <w:rPr>
          <w:w w:val="99"/>
        </w:rPr>
        <w:t>fis</w:t>
      </w:r>
      <w:r>
        <w:rPr>
          <w:spacing w:val="1"/>
          <w:w w:val="99"/>
        </w:rPr>
        <w:t>c</w:t>
      </w:r>
      <w:r>
        <w:rPr>
          <w:spacing w:val="-1"/>
        </w:rPr>
        <w:t>a</w:t>
      </w:r>
      <w:r>
        <w:rPr/>
        <w:t>l</w:t>
      </w:r>
      <w:r>
        <w:rPr>
          <w:spacing w:val="1"/>
        </w:rPr>
        <w:t>e</w:t>
      </w:r>
      <w:r>
        <w:rPr>
          <w:w w:val="99"/>
        </w:rPr>
        <w:t>s</w:t>
      </w:r>
      <w:r>
        <w:rPr/>
        <w:t> </w:t>
      </w:r>
      <w:r>
        <w:rPr>
          <w:spacing w:val="-3"/>
        </w:rPr>
        <w:t> </w:t>
      </w:r>
      <w:r>
        <w:rPr/>
        <w:t>d</w:t>
      </w:r>
      <w:r>
        <w:rPr>
          <w:spacing w:val="-1"/>
        </w:rPr>
        <w:t>e</w:t>
      </w:r>
      <w:r>
        <w:rPr/>
        <w:t>l </w:t>
      </w:r>
      <w:r>
        <w:rPr>
          <w:spacing w:val="-3"/>
        </w:rPr>
        <w:t> </w:t>
      </w:r>
      <w:r>
        <w:rPr/>
        <w:t>re</w:t>
      </w:r>
      <w:r>
        <w:rPr>
          <w:spacing w:val="-1"/>
        </w:rPr>
        <w:t>c</w:t>
      </w:r>
      <w:r>
        <w:rPr/>
        <w:t>u</w:t>
      </w:r>
      <w:r>
        <w:rPr>
          <w:spacing w:val="-1"/>
        </w:rPr>
        <w:t>r</w:t>
      </w:r>
      <w:r>
        <w:rPr>
          <w:w w:val="99"/>
        </w:rPr>
        <w:t>so</w:t>
      </w:r>
      <w:r>
        <w:rPr/>
        <w:t> </w:t>
      </w:r>
      <w:r>
        <w:rPr>
          <w:spacing w:val="-3"/>
        </w:rPr>
        <w:t> </w:t>
      </w:r>
      <w:r>
        <w:rPr/>
        <w:t>n</w:t>
      </w:r>
      <w:r>
        <w:rPr>
          <w:spacing w:val="-1"/>
        </w:rPr>
        <w:t>a</w:t>
      </w:r>
      <w:r>
        <w:rPr/>
        <w:t>tu</w:t>
      </w:r>
      <w:r>
        <w:rPr>
          <w:spacing w:val="1"/>
        </w:rPr>
        <w:t>r</w:t>
      </w:r>
      <w:r>
        <w:rPr>
          <w:spacing w:val="-1"/>
        </w:rPr>
        <w:t>a</w:t>
      </w:r>
      <w:r>
        <w:rPr/>
        <w:t>l </w:t>
      </w:r>
      <w:r>
        <w:rPr>
          <w:spacing w:val="-3"/>
        </w:rPr>
        <w:t> </w:t>
      </w:r>
      <w:r>
        <w:rPr>
          <w:spacing w:val="2"/>
        </w:rPr>
        <w:t>h</w:t>
      </w:r>
      <w:r>
        <w:rPr>
          <w:spacing w:val="-1"/>
        </w:rPr>
        <w:t>ac</w:t>
      </w:r>
      <w:r>
        <w:rPr/>
        <w:t>ia </w:t>
      </w:r>
      <w:r>
        <w:rPr>
          <w:spacing w:val="-1"/>
        </w:rPr>
        <w:t> e</w:t>
      </w:r>
      <w:r>
        <w:rPr/>
        <w:t>l </w:t>
      </w:r>
      <w:r>
        <w:rPr>
          <w:spacing w:val="-3"/>
        </w:rPr>
        <w:t> </w:t>
      </w:r>
      <w:r>
        <w:rPr/>
        <w:t>g</w:t>
      </w:r>
      <w:r>
        <w:rPr>
          <w:spacing w:val="-1"/>
        </w:rPr>
        <w:t>a</w:t>
      </w:r>
      <w:r>
        <w:rPr>
          <w:w w:val="99"/>
        </w:rPr>
        <w:t>sto</w:t>
      </w:r>
      <w:r>
        <w:rPr/>
        <w:t> </w:t>
      </w:r>
      <w:r>
        <w:rPr>
          <w:spacing w:val="-2"/>
        </w:rPr>
        <w:t> </w:t>
      </w:r>
      <w:r>
        <w:rPr/>
        <w:t>de </w:t>
      </w:r>
      <w:r>
        <w:rPr>
          <w:spacing w:val="-1"/>
        </w:rPr>
        <w:t>ca</w:t>
      </w:r>
      <w:r>
        <w:rPr/>
        <w:t>pit</w:t>
      </w:r>
      <w:r>
        <w:rPr>
          <w:spacing w:val="-1"/>
        </w:rPr>
        <w:t>a</w:t>
      </w:r>
      <w:r>
        <w:rPr/>
        <w:t>l</w:t>
      </w:r>
      <w:r>
        <w:rPr>
          <w:spacing w:val="12"/>
        </w:rPr>
        <w:t> </w:t>
      </w:r>
      <w:r>
        <w:rPr/>
        <w:t>(25%)</w:t>
      </w:r>
      <w:r>
        <w:rPr>
          <w:spacing w:val="15"/>
        </w:rPr>
        <w:t> </w:t>
      </w:r>
      <w:r>
        <w:rPr/>
        <w:t>y</w:t>
      </w:r>
      <w:r>
        <w:rPr>
          <w:spacing w:val="10"/>
        </w:rPr>
        <w:t> </w:t>
      </w:r>
      <w:r>
        <w:rPr/>
        <w:t>fijar</w:t>
      </w:r>
      <w:r>
        <w:rPr>
          <w:spacing w:val="10"/>
        </w:rPr>
        <w:t> </w:t>
      </w:r>
      <w:r>
        <w:rPr/>
        <w:t>un</w:t>
      </w:r>
      <w:r>
        <w:rPr>
          <w:spacing w:val="11"/>
        </w:rPr>
        <w:t> </w:t>
      </w:r>
      <w:r>
        <w:rPr>
          <w:spacing w:val="2"/>
        </w:rPr>
        <w:t>l</w:t>
      </w:r>
      <w:r>
        <w:rPr/>
        <w:t>ímite</w:t>
      </w:r>
      <w:r>
        <w:rPr>
          <w:spacing w:val="10"/>
        </w:rPr>
        <w:t> </w:t>
      </w:r>
      <w:r>
        <w:rPr/>
        <w:t>p</w:t>
      </w:r>
      <w:r>
        <w:rPr>
          <w:spacing w:val="-1"/>
        </w:rPr>
        <w:t>a</w:t>
      </w:r>
      <w:r>
        <w:rPr/>
        <w:t>ra</w:t>
      </w:r>
      <w:r>
        <w:rPr>
          <w:spacing w:val="12"/>
        </w:rPr>
        <w:t> </w:t>
      </w:r>
      <w:r>
        <w:rPr>
          <w:spacing w:val="-1"/>
        </w:rPr>
        <w:t>e</w:t>
      </w:r>
      <w:r>
        <w:rPr/>
        <w:t>l</w:t>
      </w:r>
      <w:r>
        <w:rPr>
          <w:spacing w:val="14"/>
        </w:rPr>
        <w:t> </w:t>
      </w:r>
      <w:r>
        <w:rPr>
          <w:spacing w:val="-3"/>
        </w:rPr>
        <w:t>g</w:t>
      </w:r>
      <w:r>
        <w:rPr>
          <w:spacing w:val="-1"/>
        </w:rPr>
        <w:t>a</w:t>
      </w:r>
      <w:r>
        <w:rPr>
          <w:w w:val="99"/>
        </w:rPr>
        <w:t>sto</w:t>
      </w:r>
      <w:r>
        <w:rPr>
          <w:spacing w:val="12"/>
        </w:rPr>
        <w:t> </w:t>
      </w:r>
      <w:r>
        <w:rPr>
          <w:spacing w:val="-1"/>
        </w:rPr>
        <w:t>c</w:t>
      </w:r>
      <w:r>
        <w:rPr>
          <w:spacing w:val="2"/>
        </w:rPr>
        <w:t>o</w:t>
      </w:r>
      <w:r>
        <w:rPr/>
        <w:t>r</w:t>
      </w:r>
      <w:r>
        <w:rPr>
          <w:spacing w:val="-2"/>
        </w:rPr>
        <w:t>r</w:t>
      </w:r>
      <w:r>
        <w:rPr/>
        <w:t>i</w:t>
      </w:r>
      <w:r>
        <w:rPr>
          <w:spacing w:val="1"/>
        </w:rPr>
        <w:t>e</w:t>
      </w:r>
      <w:r>
        <w:rPr/>
        <w:t>nte</w:t>
      </w:r>
      <w:r>
        <w:rPr>
          <w:spacing w:val="11"/>
        </w:rPr>
        <w:t> </w:t>
      </w:r>
      <w:r>
        <w:rPr>
          <w:spacing w:val="-1"/>
        </w:rPr>
        <w:t>e</w:t>
      </w:r>
      <w:r>
        <w:rPr/>
        <w:t>quival</w:t>
      </w:r>
      <w:r>
        <w:rPr>
          <w:spacing w:val="-1"/>
        </w:rPr>
        <w:t>e</w:t>
      </w:r>
      <w:r>
        <w:rPr/>
        <w:t>nte</w:t>
      </w:r>
      <w:r>
        <w:rPr>
          <w:spacing w:val="13"/>
        </w:rPr>
        <w:t> </w:t>
      </w:r>
      <w:r>
        <w:rPr/>
        <w:t>a</w:t>
      </w:r>
      <w:r>
        <w:rPr>
          <w:spacing w:val="10"/>
        </w:rPr>
        <w:t> </w:t>
      </w:r>
      <w:r>
        <w:rPr/>
        <w:t>1.13</w:t>
      </w:r>
      <w:r>
        <w:rPr>
          <w:spacing w:val="13"/>
        </w:rPr>
        <w:t> </w:t>
      </w:r>
      <w:r>
        <w:rPr/>
        <w:t>v</w:t>
      </w:r>
      <w:r>
        <w:rPr>
          <w:spacing w:val="1"/>
        </w:rPr>
        <w:t>e</w:t>
      </w:r>
      <w:r>
        <w:rPr>
          <w:spacing w:val="-1"/>
        </w:rPr>
        <w:t>ce</w:t>
      </w:r>
      <w:r>
        <w:rPr>
          <w:w w:val="99"/>
        </w:rPr>
        <w:t>s</w:t>
      </w:r>
      <w:r>
        <w:rPr>
          <w:spacing w:val="12"/>
        </w:rPr>
        <w:t> </w:t>
      </w:r>
      <w:r>
        <w:rPr>
          <w:w w:val="99"/>
        </w:rPr>
        <w:t>los</w:t>
      </w:r>
      <w:r>
        <w:rPr>
          <w:spacing w:val="12"/>
        </w:rPr>
        <w:t> </w:t>
      </w:r>
      <w:r>
        <w:rPr/>
        <w:t>i</w:t>
      </w:r>
      <w:r>
        <w:rPr>
          <w:spacing w:val="2"/>
        </w:rPr>
        <w:t>n</w:t>
      </w:r>
      <w:r>
        <w:rPr>
          <w:spacing w:val="-3"/>
        </w:rPr>
        <w:t>g</w:t>
      </w:r>
      <w:r>
        <w:rPr/>
        <w:t>r</w:t>
      </w:r>
      <w:r>
        <w:rPr>
          <w:spacing w:val="-2"/>
        </w:rPr>
        <w:t>e</w:t>
      </w:r>
      <w:r>
        <w:rPr>
          <w:w w:val="99"/>
        </w:rPr>
        <w:t>sos </w:t>
      </w:r>
      <w:r>
        <w:rPr/>
        <w:t>fiscales no gasíferos: 2] la menos restringente que consiste en </w:t>
      </w:r>
      <w:r>
        <w:rPr>
          <w:i/>
        </w:rPr>
        <w:t>canalización alta </w:t>
      </w:r>
      <w:r>
        <w:rPr/>
        <w:t>de ingresos </w:t>
      </w:r>
      <w:r>
        <w:rPr>
          <w:w w:val="99"/>
        </w:rPr>
        <w:t>fis</w:t>
      </w:r>
      <w:r>
        <w:rPr>
          <w:spacing w:val="-1"/>
          <w:w w:val="99"/>
        </w:rPr>
        <w:t>c</w:t>
      </w:r>
      <w:r>
        <w:rPr>
          <w:spacing w:val="-1"/>
        </w:rPr>
        <w:t>a</w:t>
      </w:r>
      <w:r>
        <w:rPr>
          <w:w w:val="99"/>
        </w:rPr>
        <w:t>les</w:t>
      </w:r>
      <w:r>
        <w:rPr/>
        <w:t> </w:t>
      </w:r>
      <w:r>
        <w:rPr>
          <w:spacing w:val="-15"/>
        </w:rPr>
        <w:t> </w:t>
      </w:r>
      <w:r>
        <w:rPr/>
        <w:t>g</w:t>
      </w:r>
      <w:r>
        <w:rPr>
          <w:spacing w:val="-1"/>
        </w:rPr>
        <w:t>a</w:t>
      </w:r>
      <w:r>
        <w:rPr>
          <w:w w:val="99"/>
        </w:rPr>
        <w:t>síf</w:t>
      </w:r>
      <w:r>
        <w:rPr>
          <w:spacing w:val="-1"/>
          <w:w w:val="99"/>
        </w:rPr>
        <w:t>e</w:t>
      </w:r>
      <w:r>
        <w:rPr>
          <w:w w:val="99"/>
        </w:rPr>
        <w:t>ros</w:t>
      </w:r>
      <w:r>
        <w:rPr/>
        <w:t> </w:t>
      </w:r>
      <w:r>
        <w:rPr>
          <w:spacing w:val="-16"/>
        </w:rPr>
        <w:t> </w:t>
      </w:r>
      <w:r>
        <w:rPr/>
        <w:t>(90</w:t>
      </w:r>
      <w:r>
        <w:rPr>
          <w:spacing w:val="-2"/>
        </w:rPr>
        <w:t>%</w:t>
      </w:r>
      <w:r>
        <w:rPr/>
        <w:t>) </w:t>
      </w:r>
      <w:r>
        <w:rPr>
          <w:spacing w:val="-16"/>
        </w:rPr>
        <w:t> </w:t>
      </w:r>
      <w:r>
        <w:rPr/>
        <w:t>donde </w:t>
      </w:r>
      <w:r>
        <w:rPr>
          <w:spacing w:val="-18"/>
        </w:rPr>
        <w:t> </w:t>
      </w:r>
      <w:r>
        <w:rPr>
          <w:spacing w:val="-1"/>
        </w:rPr>
        <w:t>e</w:t>
      </w:r>
      <w:r>
        <w:rPr/>
        <w:t>l </w:t>
      </w:r>
      <w:r>
        <w:rPr>
          <w:spacing w:val="-15"/>
        </w:rPr>
        <w:t> </w:t>
      </w:r>
      <w:r>
        <w:rPr/>
        <w:t>g</w:t>
      </w:r>
      <w:r>
        <w:rPr>
          <w:spacing w:val="-1"/>
        </w:rPr>
        <w:t>a</w:t>
      </w:r>
      <w:r>
        <w:rPr>
          <w:w w:val="99"/>
        </w:rPr>
        <w:t>sto</w:t>
      </w:r>
      <w:r>
        <w:rPr/>
        <w:t> </w:t>
      </w:r>
      <w:r>
        <w:rPr>
          <w:spacing w:val="-17"/>
        </w:rPr>
        <w:t> </w:t>
      </w:r>
      <w:r>
        <w:rPr>
          <w:spacing w:val="-1"/>
        </w:rPr>
        <w:t>c</w:t>
      </w:r>
      <w:r>
        <w:rPr/>
        <w:t>o</w:t>
      </w:r>
      <w:r>
        <w:rPr>
          <w:spacing w:val="1"/>
        </w:rPr>
        <w:t>r</w:t>
      </w:r>
      <w:r>
        <w:rPr/>
        <w:t>ri</w:t>
      </w:r>
      <w:r>
        <w:rPr>
          <w:spacing w:val="-2"/>
        </w:rPr>
        <w:t>e</w:t>
      </w:r>
      <w:r>
        <w:rPr/>
        <w:t>n</w:t>
      </w:r>
      <w:r>
        <w:rPr>
          <w:spacing w:val="2"/>
        </w:rPr>
        <w:t>t</w:t>
      </w:r>
      <w:r>
        <w:rPr/>
        <w:t>e </w:t>
      </w:r>
      <w:r>
        <w:rPr>
          <w:spacing w:val="-18"/>
        </w:rPr>
        <w:t> </w:t>
      </w:r>
      <w:r>
        <w:rPr>
          <w:w w:val="99"/>
        </w:rPr>
        <w:t>se</w:t>
      </w:r>
      <w:r>
        <w:rPr/>
        <w:t> </w:t>
      </w:r>
      <w:r>
        <w:rPr>
          <w:spacing w:val="-16"/>
        </w:rPr>
        <w:t> </w:t>
      </w:r>
      <w:r>
        <w:rPr/>
        <w:t>r</w:t>
      </w:r>
      <w:r>
        <w:rPr>
          <w:spacing w:val="-2"/>
        </w:rPr>
        <w:t>e</w:t>
      </w:r>
      <w:r>
        <w:rPr/>
        <w:t>stri</w:t>
      </w:r>
      <w:r>
        <w:rPr>
          <w:spacing w:val="2"/>
        </w:rPr>
        <w:t>n</w:t>
      </w:r>
      <w:r>
        <w:rPr>
          <w:spacing w:val="-3"/>
        </w:rPr>
        <w:t>g</w:t>
      </w:r>
      <w:r>
        <w:rPr/>
        <w:t>e </w:t>
      </w:r>
      <w:r>
        <w:rPr>
          <w:spacing w:val="-16"/>
        </w:rPr>
        <w:t> </w:t>
      </w:r>
      <w:r>
        <w:rPr/>
        <w:t>a </w:t>
      </w:r>
      <w:r>
        <w:rPr>
          <w:spacing w:val="-18"/>
        </w:rPr>
        <w:t> </w:t>
      </w:r>
      <w:r>
        <w:rPr>
          <w:w w:val="99"/>
        </w:rPr>
        <w:t>los</w:t>
      </w:r>
      <w:r>
        <w:rPr/>
        <w:t> </w:t>
      </w:r>
      <w:r>
        <w:rPr>
          <w:spacing w:val="-17"/>
        </w:rPr>
        <w:t> </w:t>
      </w:r>
      <w:r>
        <w:rPr/>
        <w:t>i</w:t>
      </w:r>
      <w:r>
        <w:rPr>
          <w:spacing w:val="2"/>
        </w:rPr>
        <w:t>n</w:t>
      </w:r>
      <w:r>
        <w:rPr>
          <w:spacing w:val="-3"/>
        </w:rPr>
        <w:t>g</w:t>
      </w:r>
      <w:r>
        <w:rPr>
          <w:spacing w:val="1"/>
        </w:rPr>
        <w:t>r</w:t>
      </w:r>
      <w:r>
        <w:rPr>
          <w:spacing w:val="-1"/>
        </w:rPr>
        <w:t>e</w:t>
      </w:r>
      <w:r>
        <w:rPr>
          <w:w w:val="99"/>
        </w:rPr>
        <w:t>sos</w:t>
      </w:r>
      <w:r>
        <w:rPr/>
        <w:t> </w:t>
      </w:r>
      <w:r>
        <w:rPr>
          <w:spacing w:val="-17"/>
        </w:rPr>
        <w:t> </w:t>
      </w:r>
      <w:r>
        <w:rPr>
          <w:w w:val="99"/>
        </w:rPr>
        <w:t>fis</w:t>
      </w:r>
      <w:r>
        <w:rPr>
          <w:spacing w:val="-1"/>
          <w:w w:val="99"/>
        </w:rPr>
        <w:t>c</w:t>
      </w:r>
      <w:r>
        <w:rPr>
          <w:spacing w:val="-1"/>
        </w:rPr>
        <w:t>a</w:t>
      </w:r>
      <w:r>
        <w:rPr>
          <w:w w:val="99"/>
        </w:rPr>
        <w:t>les</w:t>
      </w:r>
      <w:r>
        <w:rPr/>
        <w:t> </w:t>
      </w:r>
      <w:r>
        <w:rPr>
          <w:spacing w:val="-16"/>
        </w:rPr>
        <w:t> </w:t>
      </w:r>
      <w:r>
        <w:rPr/>
        <w:t>no </w:t>
      </w:r>
      <w:r>
        <w:rPr>
          <w:spacing w:val="-3"/>
        </w:rPr>
        <w:t>g</w:t>
      </w:r>
      <w:r>
        <w:rPr>
          <w:spacing w:val="-1"/>
        </w:rPr>
        <w:t>a</w:t>
      </w:r>
      <w:r>
        <w:rPr>
          <w:w w:val="99"/>
        </w:rPr>
        <w:t>sí</w:t>
      </w:r>
      <w:r>
        <w:rPr>
          <w:spacing w:val="2"/>
          <w:w w:val="99"/>
        </w:rPr>
        <w:t>f</w:t>
      </w:r>
      <w:r>
        <w:rPr>
          <w:spacing w:val="-1"/>
        </w:rPr>
        <w:t>e</w:t>
      </w:r>
      <w:r>
        <w:rPr>
          <w:w w:val="99"/>
        </w:rPr>
        <w:t>ros.</w:t>
      </w:r>
    </w:p>
    <w:p>
      <w:pPr>
        <w:pStyle w:val="BodyText"/>
        <w:spacing w:line="360" w:lineRule="auto" w:before="4"/>
        <w:ind w:left="102" w:right="112" w:firstLine="707"/>
        <w:jc w:val="both"/>
      </w:pPr>
      <w:r>
        <w:rPr/>
        <w:t>Un análisis complementario reveló que al canalizar los ingresos del gas natural al gasto de capital en magnitud </w:t>
      </w:r>
      <w:r>
        <w:rPr>
          <w:i/>
        </w:rPr>
        <w:t>media-baja</w:t>
      </w:r>
      <w:r>
        <w:rPr/>
        <w:t>, se genera menor volatilidad en la deuda pública y en comparación con el escenario base y las reglas fiscales alternativas.</w:t>
      </w:r>
    </w:p>
    <w:p>
      <w:pPr>
        <w:pStyle w:val="BodyText"/>
        <w:spacing w:line="360" w:lineRule="auto" w:before="6"/>
        <w:ind w:left="102" w:right="116" w:firstLine="707"/>
        <w:jc w:val="both"/>
      </w:pPr>
      <w:r>
        <w:rPr/>
        <w:t>La inclusión de las cláusulas de escape permite flexibilidad para enfrentar choques externos (precios del gas natural) y perturbaciones internas (brecha del producto) con objetivos de sostenibilidad fiscal mediante el establecimiento de límites máximos sobre el déficit del balance global cíclicamente ajustado,  del gasto corriente y  de la deuda   pública</w:t>
      </w:r>
    </w:p>
    <w:p>
      <w:pPr>
        <w:spacing w:after="0" w:line="360" w:lineRule="auto"/>
        <w:jc w:val="both"/>
        <w:sectPr>
          <w:pgSz w:w="12250" w:h="15850"/>
          <w:pgMar w:header="0" w:footer="1037" w:top="1360" w:bottom="1220" w:left="1600" w:right="1580"/>
        </w:sectPr>
      </w:pPr>
    </w:p>
    <w:p>
      <w:pPr>
        <w:pStyle w:val="BodyText"/>
        <w:spacing w:line="360" w:lineRule="auto" w:before="50"/>
        <w:ind w:left="102" w:right="102"/>
        <w:jc w:val="both"/>
      </w:pPr>
      <w:r>
        <w:rPr/>
        <w:t>de forma respectiva. En concordancia con lo anterior, el gasto de capital se convierte en el instrumento fiscal que mitiga los choques externos y el único argumento que posibilita la presencia de déficits fiscales durante la fase de contracción del ciclo económico.</w:t>
      </w:r>
    </w:p>
    <w:p>
      <w:pPr>
        <w:spacing w:after="0" w:line="360" w:lineRule="auto"/>
        <w:jc w:val="both"/>
        <w:sectPr>
          <w:pgSz w:w="12250" w:h="15850"/>
          <w:pgMar w:header="0" w:footer="1037" w:top="1360" w:bottom="1220" w:left="1600" w:right="1600"/>
        </w:sectPr>
      </w:pPr>
    </w:p>
    <w:p>
      <w:pPr>
        <w:spacing w:before="53"/>
        <w:ind w:left="434" w:right="22" w:firstLine="0"/>
        <w:jc w:val="center"/>
        <w:rPr>
          <w:b/>
          <w:sz w:val="19"/>
        </w:rPr>
      </w:pPr>
      <w:bookmarkStart w:name="_bookmark156" w:id="211"/>
      <w:bookmarkEnd w:id="211"/>
      <w:r>
        <w:rPr/>
      </w:r>
      <w:r>
        <w:rPr>
          <w:b/>
          <w:sz w:val="24"/>
        </w:rPr>
        <w:t>C</w:t>
      </w:r>
      <w:r>
        <w:rPr>
          <w:b/>
          <w:sz w:val="19"/>
        </w:rPr>
        <w:t>ONCLUSIONES GENERALES</w:t>
      </w:r>
    </w:p>
    <w:p>
      <w:pPr>
        <w:pStyle w:val="BodyText"/>
        <w:rPr>
          <w:b/>
        </w:rPr>
      </w:pPr>
    </w:p>
    <w:p>
      <w:pPr>
        <w:pStyle w:val="BodyText"/>
        <w:spacing w:line="360" w:lineRule="auto" w:before="194"/>
        <w:ind w:left="102" w:right="118" w:firstLine="707"/>
        <w:jc w:val="both"/>
      </w:pPr>
      <w:r>
        <w:rPr/>
        <w:t>En el capítulo I se expusieron los argumentos teóricos y las evidencias empíricas vinculados a dos temas: la posición fiscal y su dependencia de recursos naturales, de los cuales se explicaron las relaciones básicas entre los choques de precios de los recursos naturales, la reacción esperada del gasto público, los resultados fiscales (balances con y sin recurso natural) y la deuda pública.</w:t>
      </w:r>
    </w:p>
    <w:p>
      <w:pPr>
        <w:pStyle w:val="BodyText"/>
        <w:spacing w:before="6"/>
        <w:ind w:left="810" w:right="127"/>
      </w:pPr>
      <w:r>
        <w:rPr/>
        <w:t>Las conclusiones generales de la tesis se encuentran divididas en seis segmentos:</w:t>
      </w:r>
    </w:p>
    <w:p>
      <w:pPr>
        <w:pStyle w:val="BodyText"/>
        <w:spacing w:line="360" w:lineRule="auto" w:before="137"/>
        <w:ind w:left="102" w:right="117" w:firstLine="707"/>
        <w:jc w:val="both"/>
      </w:pPr>
      <w:r>
        <w:rPr/>
        <w:t>En el primer segmento aborda los resultados encontrados de la investigación en cuanto a dos preguntas de investigación, dos hipótesis y sus resultados encontrados de forma respectiva. De forma adicional, con base en los resultados se ofrece una explicación sobre la posición fiscal de Bolivia durante el período de estudio (2003-2011) con una prospectiva hacia el mediano plazo (hasta el 2016) rescatando elementos de los capítulos </w:t>
      </w:r>
      <w:r>
        <w:rPr>
          <w:spacing w:val="-3"/>
        </w:rPr>
        <w:t>II, </w:t>
      </w:r>
      <w:r>
        <w:rPr/>
        <w:t>III y</w:t>
      </w:r>
      <w:r>
        <w:rPr>
          <w:spacing w:val="-7"/>
        </w:rPr>
        <w:t> </w:t>
      </w:r>
      <w:r>
        <w:rPr/>
        <w:t>IV.</w:t>
      </w:r>
    </w:p>
    <w:p>
      <w:pPr>
        <w:pStyle w:val="BodyText"/>
        <w:spacing w:line="360" w:lineRule="auto" w:before="4"/>
        <w:ind w:left="102" w:right="117" w:firstLine="707"/>
        <w:jc w:val="both"/>
      </w:pPr>
      <w:r>
        <w:rPr/>
        <w:t>En el segundo segmento se realiza una discusión sobre los resultados encontrados  de forma vinculada con el capítulo teórico-contextual: 1) una interpretación del significado de los hallazgos; 2) lo que se debió haber encontrado conforme a la teoría; 3) una comparación con estudios</w:t>
      </w:r>
      <w:r>
        <w:rPr>
          <w:spacing w:val="-6"/>
        </w:rPr>
        <w:t> </w:t>
      </w:r>
      <w:r>
        <w:rPr/>
        <w:t>previos.</w:t>
      </w:r>
    </w:p>
    <w:p>
      <w:pPr>
        <w:pStyle w:val="BodyText"/>
        <w:spacing w:line="360" w:lineRule="auto" w:before="4"/>
        <w:ind w:left="102" w:right="116" w:firstLine="707"/>
        <w:jc w:val="both"/>
      </w:pPr>
      <w:r>
        <w:rPr/>
        <w:t>En el tercer segmento se explica el rol institucional del gobierno en la posición  fiscal como el campo de intersección económico-administrativo de la investigación; de  igual forma, se menciona una crítica a la intersección</w:t>
      </w:r>
      <w:r>
        <w:rPr>
          <w:spacing w:val="-12"/>
        </w:rPr>
        <w:t> </w:t>
      </w:r>
      <w:r>
        <w:rPr/>
        <w:t>señalada.</w:t>
      </w:r>
    </w:p>
    <w:p>
      <w:pPr>
        <w:pStyle w:val="BodyText"/>
        <w:spacing w:line="360" w:lineRule="auto" w:before="6"/>
        <w:ind w:left="102" w:right="119" w:firstLine="707"/>
        <w:jc w:val="both"/>
      </w:pPr>
      <w:r>
        <w:rPr/>
        <w:t>En el cuarto punto se brindan las conclusiones finales de la investigación que brinda un resumen de los objetivos alcanzados, las contribuciones del trabajo y el cierre final.</w:t>
      </w:r>
    </w:p>
    <w:p>
      <w:pPr>
        <w:pStyle w:val="BodyText"/>
        <w:spacing w:line="360" w:lineRule="auto" w:before="7"/>
        <w:ind w:left="102" w:right="117" w:firstLine="707"/>
        <w:jc w:val="both"/>
      </w:pPr>
      <w:r>
        <w:rPr/>
        <w:t>En los últimos dos segmentos: quinto y sexto, de forma respectiva, se señalan las implicaciones para las políticas públicas, en dos casos: para países dependientes de un recurso natural y para el caso particular de Bolivia; al final, se ofrecen las limitaciones del trabajo y la agenda para futuras investigaciones.</w:t>
      </w:r>
    </w:p>
    <w:p>
      <w:pPr>
        <w:spacing w:after="0" w:line="360" w:lineRule="auto"/>
        <w:jc w:val="both"/>
        <w:sectPr>
          <w:pgSz w:w="12250" w:h="15850"/>
          <w:pgMar w:header="0" w:footer="1037" w:top="1360" w:bottom="1220" w:left="1600" w:right="1580"/>
        </w:sectPr>
      </w:pPr>
    </w:p>
    <w:p>
      <w:pPr>
        <w:pStyle w:val="Heading4"/>
        <w:numPr>
          <w:ilvl w:val="0"/>
          <w:numId w:val="19"/>
        </w:numPr>
        <w:tabs>
          <w:tab w:pos="822" w:val="left" w:leader="none"/>
        </w:tabs>
        <w:spacing w:line="240" w:lineRule="auto" w:before="53" w:after="0"/>
        <w:ind w:left="822" w:right="0" w:hanging="360"/>
        <w:jc w:val="left"/>
      </w:pPr>
      <w:bookmarkStart w:name="_bookmark157" w:id="212"/>
      <w:bookmarkEnd w:id="212"/>
      <w:r>
        <w:rPr>
          <w:b w:val="0"/>
        </w:rPr>
      </w:r>
      <w:bookmarkStart w:name="_bookmark157" w:id="213"/>
      <w:bookmarkEnd w:id="213"/>
      <w:r>
        <w:rPr/>
        <w:t>R</w:t>
      </w:r>
      <w:r>
        <w:rPr/>
        <w:t>esultados encontrados en la</w:t>
      </w:r>
      <w:r>
        <w:rPr>
          <w:spacing w:val="-7"/>
        </w:rPr>
        <w:t> </w:t>
      </w:r>
      <w:r>
        <w:rPr/>
        <w:t>investigación</w:t>
      </w:r>
    </w:p>
    <w:p>
      <w:pPr>
        <w:pStyle w:val="BodyText"/>
        <w:rPr>
          <w:b/>
        </w:rPr>
      </w:pPr>
    </w:p>
    <w:p>
      <w:pPr>
        <w:pStyle w:val="BodyText"/>
        <w:spacing w:line="360" w:lineRule="auto" w:before="194"/>
        <w:ind w:left="102" w:right="120" w:firstLine="707"/>
        <w:jc w:val="both"/>
      </w:pPr>
      <w:r>
        <w:rPr/>
        <w:t>En esta tesis, se abordaron dos preguntas de investigación y dos hipótesis respectivas, para lo cual se exponen los principales resultados encontrados en la investigación.</w:t>
      </w:r>
    </w:p>
    <w:p>
      <w:pPr>
        <w:pStyle w:val="BodyText"/>
      </w:pPr>
    </w:p>
    <w:p>
      <w:pPr>
        <w:spacing w:before="143"/>
        <w:ind w:left="102" w:right="0" w:firstLine="0"/>
        <w:jc w:val="both"/>
        <w:rPr>
          <w:sz w:val="24"/>
        </w:rPr>
      </w:pPr>
      <w:r>
        <w:rPr>
          <w:sz w:val="24"/>
        </w:rPr>
        <w:t>Se recapitula la </w:t>
      </w:r>
      <w:r>
        <w:rPr>
          <w:i/>
          <w:sz w:val="24"/>
        </w:rPr>
        <w:t>pregunta </w:t>
      </w:r>
      <w:r>
        <w:rPr>
          <w:sz w:val="24"/>
        </w:rPr>
        <w:t>e </w:t>
      </w:r>
      <w:r>
        <w:rPr>
          <w:i/>
          <w:sz w:val="24"/>
        </w:rPr>
        <w:t>hipótesis 1 </w:t>
      </w:r>
      <w:r>
        <w:rPr>
          <w:sz w:val="24"/>
        </w:rPr>
        <w:t>con sus respectivos resultados:</w:t>
      </w:r>
    </w:p>
    <w:p>
      <w:pPr>
        <w:pStyle w:val="BodyText"/>
      </w:pPr>
    </w:p>
    <w:p>
      <w:pPr>
        <w:pStyle w:val="BodyText"/>
      </w:pPr>
    </w:p>
    <w:p>
      <w:pPr>
        <w:pStyle w:val="ListParagraph"/>
        <w:numPr>
          <w:ilvl w:val="0"/>
          <w:numId w:val="20"/>
        </w:numPr>
        <w:tabs>
          <w:tab w:pos="470" w:val="left" w:leader="none"/>
        </w:tabs>
        <w:spacing w:line="360" w:lineRule="auto" w:before="0" w:after="0"/>
        <w:ind w:left="102" w:right="122" w:firstLine="60"/>
        <w:jc w:val="both"/>
        <w:rPr>
          <w:sz w:val="24"/>
        </w:rPr>
      </w:pPr>
      <w:r>
        <w:rPr>
          <w:sz w:val="24"/>
        </w:rPr>
        <w:t>¿Cuál es el rol que ejercen los choques de precios y la asignación de los ingresos fiscales en la posición fiscal de</w:t>
      </w:r>
      <w:r>
        <w:rPr>
          <w:spacing w:val="-8"/>
          <w:sz w:val="24"/>
        </w:rPr>
        <w:t> </w:t>
      </w:r>
      <w:r>
        <w:rPr>
          <w:sz w:val="24"/>
        </w:rPr>
        <w:t>Bolivia?</w:t>
      </w:r>
    </w:p>
    <w:p>
      <w:pPr>
        <w:pStyle w:val="BodyText"/>
      </w:pPr>
    </w:p>
    <w:p>
      <w:pPr>
        <w:pStyle w:val="BodyText"/>
        <w:spacing w:line="360" w:lineRule="auto" w:before="143"/>
        <w:ind w:left="810" w:right="118"/>
        <w:jc w:val="both"/>
      </w:pPr>
      <w:r>
        <w:rPr>
          <w:i/>
        </w:rPr>
        <w:t>Hipótesis 1</w:t>
      </w:r>
      <w:r>
        <w:rPr/>
        <w:t>:                                                                                            al gasto público ejerce el rol de choque estructural más relevante sobre la posición fiscal en comparación con los choques de precios del gas</w:t>
      </w:r>
      <w:r>
        <w:rPr>
          <w:spacing w:val="-13"/>
        </w:rPr>
        <w:t> </w:t>
      </w:r>
      <w:r>
        <w:rPr/>
        <w:t>natural.</w:t>
      </w:r>
    </w:p>
    <w:p>
      <w:pPr>
        <w:pStyle w:val="BodyText"/>
      </w:pPr>
    </w:p>
    <w:p>
      <w:pPr>
        <w:pStyle w:val="BodyText"/>
        <w:spacing w:line="360" w:lineRule="auto" w:before="143"/>
        <w:ind w:left="102" w:right="119" w:firstLine="707"/>
        <w:jc w:val="both"/>
      </w:pPr>
      <w:r>
        <w:rPr>
          <w:spacing w:val="-3"/>
          <w:w w:val="244"/>
        </w:rPr>
        <w:t> </w:t>
      </w:r>
      <w:r>
        <w:rPr>
          <w:w w:val="177"/>
        </w:rPr>
        <w:t>  </w:t>
      </w:r>
      <w:r>
        <w:rPr/>
        <w:t> </w:t>
      </w:r>
      <w:r>
        <w:rPr>
          <w:spacing w:val="-12"/>
        </w:rPr>
        <w:t> </w:t>
      </w:r>
      <w:r>
        <w:rPr>
          <w:w w:val="155"/>
        </w:rPr>
        <w:t> </w:t>
      </w:r>
      <w:r>
        <w:rPr>
          <w:spacing w:val="-2"/>
          <w:w w:val="155"/>
        </w:rPr>
        <w:t> </w:t>
      </w:r>
      <w:r>
        <w:rPr>
          <w:w w:val="144"/>
        </w:rPr>
        <w:t>    </w:t>
      </w:r>
      <w:r>
        <w:rPr>
          <w:spacing w:val="-1"/>
          <w:w w:val="177"/>
        </w:rPr>
        <w:t> </w:t>
      </w:r>
      <w:r>
        <w:rPr>
          <w:w w:val="185"/>
        </w:rPr>
        <w:t>   </w:t>
      </w:r>
      <w:r>
        <w:rPr/>
        <w:t> </w:t>
      </w:r>
      <w:r>
        <w:rPr>
          <w:spacing w:val="-12"/>
        </w:rPr>
        <w:t> </w:t>
      </w:r>
      <w:r>
        <w:rPr>
          <w:w w:val="188"/>
        </w:rPr>
        <w:t>  </w:t>
      </w:r>
      <w:r>
        <w:rPr/>
        <w:t> </w:t>
      </w:r>
      <w:r>
        <w:rPr>
          <w:spacing w:val="-14"/>
        </w:rPr>
        <w:t> </w:t>
      </w:r>
      <w:r>
        <w:rPr>
          <w:w w:val="144"/>
        </w:rPr>
        <w:t>  </w:t>
      </w:r>
      <w:r>
        <w:rPr/>
        <w:t> </w:t>
      </w:r>
      <w:r>
        <w:rPr>
          <w:spacing w:val="-13"/>
        </w:rPr>
        <w:t> </w:t>
      </w:r>
      <w:r>
        <w:rPr>
          <w:w w:val="155"/>
        </w:rPr>
        <w:t> </w:t>
      </w:r>
      <w:r>
        <w:rPr>
          <w:spacing w:val="-2"/>
          <w:w w:val="155"/>
        </w:rPr>
        <w:t> </w:t>
      </w:r>
      <w:r>
        <w:rPr>
          <w:spacing w:val="1"/>
          <w:w w:val="177"/>
        </w:rPr>
        <w:t> </w:t>
      </w:r>
      <w:r>
        <w:rPr>
          <w:w w:val="146"/>
        </w:rPr>
        <w:t>    </w:t>
      </w:r>
      <w:r>
        <w:rPr>
          <w:spacing w:val="1"/>
          <w:w w:val="146"/>
        </w:rPr>
        <w:t> </w:t>
      </w:r>
      <w:r>
        <w:rPr>
          <w:spacing w:val="-1"/>
          <w:w w:val="177"/>
        </w:rPr>
        <w:t>  </w:t>
      </w:r>
      <w:r>
        <w:rPr>
          <w:w w:val="170"/>
        </w:rPr>
        <w:t>   </w:t>
      </w:r>
      <w:r>
        <w:rPr/>
        <w:t> </w:t>
      </w:r>
      <w:r>
        <w:rPr>
          <w:spacing w:val="-12"/>
        </w:rPr>
        <w:t> </w:t>
      </w:r>
      <w:r>
        <w:rPr>
          <w:spacing w:val="-1"/>
          <w:w w:val="177"/>
        </w:rPr>
        <w:t> </w:t>
      </w:r>
      <w:r>
        <w:rPr>
          <w:w w:val="155"/>
        </w:rPr>
        <w:t>    </w:t>
      </w:r>
      <w:r>
        <w:rPr>
          <w:spacing w:val="-1"/>
          <w:w w:val="155"/>
        </w:rPr>
        <w:t> </w:t>
      </w:r>
      <w:r>
        <w:rPr>
          <w:w w:val="155"/>
        </w:rPr>
        <w:t>   </w:t>
      </w:r>
      <w:r>
        <w:rPr>
          <w:spacing w:val="-2"/>
          <w:w w:val="155"/>
        </w:rPr>
        <w:t> </w:t>
      </w:r>
      <w:r>
        <w:rPr>
          <w:w w:val="111"/>
        </w:rPr>
        <w:t> </w:t>
      </w:r>
      <w:r>
        <w:rPr/>
        <w:t> </w:t>
      </w:r>
      <w:r>
        <w:rPr>
          <w:spacing w:val="-12"/>
        </w:rPr>
        <w:t> </w:t>
      </w:r>
      <w:r>
        <w:rPr>
          <w:w w:val="155"/>
        </w:rPr>
        <w:t>  </w:t>
      </w:r>
      <w:r>
        <w:rPr>
          <w:w w:val="188"/>
        </w:rPr>
        <w:t> </w:t>
      </w:r>
      <w:r>
        <w:rPr>
          <w:spacing w:val="-1"/>
          <w:w w:val="188"/>
        </w:rPr>
        <w:t> </w:t>
      </w:r>
      <w:r>
        <w:rPr>
          <w:w w:val="140"/>
        </w:rPr>
        <w:t>  </w:t>
      </w:r>
      <w:r>
        <w:rPr>
          <w:spacing w:val="-2"/>
          <w:w w:val="140"/>
        </w:rPr>
        <w:t> </w:t>
      </w:r>
      <w:r>
        <w:rPr>
          <w:w w:val="200"/>
        </w:rPr>
        <w:t>  </w:t>
      </w:r>
      <w:r>
        <w:rPr/>
        <w:t> </w:t>
      </w:r>
      <w:r>
        <w:rPr>
          <w:w w:val="1"/>
        </w:rPr>
        <w:t> </w:t>
      </w:r>
      <w:r>
        <w:rPr/>
        <w:t> </w:t>
      </w:r>
      <w:r>
        <w:rPr>
          <w:spacing w:val="-13"/>
        </w:rPr>
        <w:t> </w:t>
      </w:r>
      <w:r>
        <w:rPr>
          <w:spacing w:val="-1"/>
          <w:w w:val="177"/>
        </w:rPr>
        <w:t> </w:t>
      </w:r>
      <w:r>
        <w:rPr>
          <w:spacing w:val="1"/>
          <w:w w:val="133"/>
        </w:rPr>
        <w:t> </w:t>
      </w:r>
      <w:r>
        <w:rPr>
          <w:spacing w:val="-1"/>
          <w:w w:val="177"/>
        </w:rPr>
        <w:t>  </w:t>
      </w:r>
      <w:r>
        <w:rPr>
          <w:w w:val="155"/>
        </w:rPr>
        <w:t>   </w:t>
      </w:r>
      <w:r>
        <w:rPr/>
        <w:t> </w:t>
      </w:r>
      <w:r>
        <w:rPr>
          <w:spacing w:val="-12"/>
        </w:rPr>
        <w:t> </w:t>
      </w:r>
      <w:r>
        <w:rPr>
          <w:spacing w:val="-1"/>
          <w:w w:val="177"/>
        </w:rPr>
        <w:t> </w:t>
      </w:r>
      <w:r>
        <w:rPr>
          <w:w w:val="200"/>
        </w:rPr>
        <w:t>    </w:t>
      </w:r>
      <w:r>
        <w:rPr>
          <w:spacing w:val="2"/>
          <w:w w:val="200"/>
        </w:rPr>
        <w:t> </w:t>
      </w:r>
      <w:r>
        <w:rPr>
          <w:w w:val="177"/>
        </w:rPr>
        <w:t>   </w:t>
      </w:r>
      <w:r>
        <w:rPr>
          <w:spacing w:val="-2"/>
          <w:w w:val="177"/>
        </w:rPr>
        <w:t> </w:t>
      </w:r>
      <w:r>
        <w:rPr>
          <w:w w:val="188"/>
        </w:rPr>
        <w:t> </w:t>
      </w:r>
      <w:r>
        <w:rPr>
          <w:spacing w:val="-1"/>
          <w:w w:val="188"/>
        </w:rPr>
        <w:t> </w:t>
      </w:r>
      <w:r>
        <w:rPr>
          <w:w w:val="177"/>
        </w:rPr>
        <w:t>  </w:t>
      </w:r>
      <w:r>
        <w:rPr/>
        <w:t> </w:t>
      </w:r>
      <w:r>
        <w:rPr>
          <w:w w:val="1"/>
        </w:rPr>
        <w:t> </w:t>
      </w:r>
      <w:r>
        <w:rPr/>
        <w:t>que los choques en la asignación de ingresos fiscales no gasíferos, es decir el mecanismo por </w:t>
      </w:r>
      <w:r>
        <w:rPr>
          <w:spacing w:val="-30"/>
        </w:rPr>
        <w:t> </w:t>
      </w:r>
      <w:r>
        <w:rPr>
          <w:spacing w:val="-1"/>
        </w:rPr>
        <w:t>e</w:t>
      </w:r>
      <w:r>
        <w:rPr/>
        <w:t>l </w:t>
      </w:r>
      <w:r>
        <w:rPr>
          <w:spacing w:val="-27"/>
        </w:rPr>
        <w:t> </w:t>
      </w:r>
      <w:r>
        <w:rPr>
          <w:spacing w:val="-1"/>
        </w:rPr>
        <w:t>c</w:t>
      </w:r>
      <w:r>
        <w:rPr/>
        <w:t>u</w:t>
      </w:r>
      <w:r>
        <w:rPr>
          <w:spacing w:val="-1"/>
        </w:rPr>
        <w:t>a</w:t>
      </w:r>
      <w:r>
        <w:rPr/>
        <w:t>l </w:t>
      </w:r>
      <w:r>
        <w:rPr>
          <w:spacing w:val="-29"/>
        </w:rPr>
        <w:t> </w:t>
      </w:r>
      <w:r>
        <w:rPr>
          <w:w w:val="99"/>
        </w:rPr>
        <w:t>los</w:t>
      </w:r>
      <w:r>
        <w:rPr/>
        <w:t> </w:t>
      </w:r>
      <w:r>
        <w:rPr>
          <w:spacing w:val="-29"/>
        </w:rPr>
        <w:t> </w:t>
      </w:r>
      <w:r>
        <w:rPr/>
        <w:t>i</w:t>
      </w:r>
      <w:r>
        <w:rPr>
          <w:spacing w:val="2"/>
        </w:rPr>
        <w:t>n</w:t>
      </w:r>
      <w:r>
        <w:rPr>
          <w:spacing w:val="-3"/>
        </w:rPr>
        <w:t>g</w:t>
      </w:r>
      <w:r>
        <w:rPr>
          <w:spacing w:val="1"/>
        </w:rPr>
        <w:t>r</w:t>
      </w:r>
      <w:r>
        <w:rPr>
          <w:spacing w:val="-1"/>
        </w:rPr>
        <w:t>e</w:t>
      </w:r>
      <w:r>
        <w:rPr>
          <w:w w:val="99"/>
        </w:rPr>
        <w:t>sos</w:t>
      </w:r>
      <w:r>
        <w:rPr/>
        <w:t> </w:t>
      </w:r>
      <w:r>
        <w:rPr>
          <w:spacing w:val="-27"/>
        </w:rPr>
        <w:t> </w:t>
      </w:r>
      <w:r>
        <w:rPr>
          <w:w w:val="99"/>
        </w:rPr>
        <w:t>fis</w:t>
      </w:r>
      <w:r>
        <w:rPr>
          <w:spacing w:val="-1"/>
          <w:w w:val="99"/>
        </w:rPr>
        <w:t>c</w:t>
      </w:r>
      <w:r>
        <w:rPr>
          <w:spacing w:val="-1"/>
        </w:rPr>
        <w:t>a</w:t>
      </w:r>
      <w:r>
        <w:rPr>
          <w:w w:val="99"/>
        </w:rPr>
        <w:t>les</w:t>
      </w:r>
      <w:r>
        <w:rPr/>
        <w:t> </w:t>
      </w:r>
      <w:r>
        <w:rPr>
          <w:spacing w:val="-27"/>
        </w:rPr>
        <w:t> </w:t>
      </w:r>
      <w:r>
        <w:rPr>
          <w:spacing w:val="-1"/>
        </w:rPr>
        <w:t>a</w:t>
      </w:r>
      <w:r>
        <w:rPr/>
        <w:t>jenos </w:t>
      </w:r>
      <w:r>
        <w:rPr>
          <w:spacing w:val="-27"/>
        </w:rPr>
        <w:t> </w:t>
      </w:r>
      <w:r>
        <w:rPr>
          <w:spacing w:val="-1"/>
        </w:rPr>
        <w:t>a</w:t>
      </w:r>
      <w:r>
        <w:rPr/>
        <w:t>l </w:t>
      </w:r>
      <w:r>
        <w:rPr>
          <w:spacing w:val="-29"/>
        </w:rPr>
        <w:t> </w:t>
      </w:r>
      <w:r>
        <w:rPr/>
        <w:t>re</w:t>
      </w:r>
      <w:r>
        <w:rPr>
          <w:spacing w:val="-1"/>
        </w:rPr>
        <w:t>c</w:t>
      </w:r>
      <w:r>
        <w:rPr/>
        <w:t>u</w:t>
      </w:r>
      <w:r>
        <w:rPr>
          <w:spacing w:val="-1"/>
        </w:rPr>
        <w:t>r</w:t>
      </w:r>
      <w:r>
        <w:rPr>
          <w:spacing w:val="2"/>
          <w:w w:val="99"/>
        </w:rPr>
        <w:t>s</w:t>
      </w:r>
      <w:r>
        <w:rPr/>
        <w:t>o </w:t>
      </w:r>
      <w:r>
        <w:rPr>
          <w:spacing w:val="-30"/>
        </w:rPr>
        <w:t> </w:t>
      </w:r>
      <w:r>
        <w:rPr/>
        <w:t>n</w:t>
      </w:r>
      <w:r>
        <w:rPr>
          <w:spacing w:val="-1"/>
        </w:rPr>
        <w:t>a</w:t>
      </w:r>
      <w:r>
        <w:rPr/>
        <w:t>tur</w:t>
      </w:r>
      <w:r>
        <w:rPr>
          <w:spacing w:val="-2"/>
        </w:rPr>
        <w:t>a</w:t>
      </w:r>
      <w:r>
        <w:rPr/>
        <w:t>l </w:t>
      </w:r>
      <w:r>
        <w:rPr>
          <w:spacing w:val="-29"/>
        </w:rPr>
        <w:t> </w:t>
      </w:r>
      <w:r>
        <w:rPr>
          <w:spacing w:val="2"/>
          <w:w w:val="99"/>
        </w:rPr>
        <w:t>s</w:t>
      </w:r>
      <w:r>
        <w:rPr/>
        <w:t>e </w:t>
      </w:r>
      <w:r>
        <w:rPr>
          <w:spacing w:val="-28"/>
        </w:rPr>
        <w:t> </w:t>
      </w:r>
      <w:r>
        <w:rPr>
          <w:spacing w:val="-1"/>
        </w:rPr>
        <w:t>ca</w:t>
      </w:r>
      <w:r>
        <w:rPr/>
        <w:t>n</w:t>
      </w:r>
      <w:r>
        <w:rPr>
          <w:spacing w:val="-1"/>
        </w:rPr>
        <w:t>a</w:t>
      </w:r>
      <w:r>
        <w:rPr/>
        <w:t>li</w:t>
      </w:r>
      <w:r>
        <w:rPr>
          <w:spacing w:val="1"/>
        </w:rPr>
        <w:t>z</w:t>
      </w:r>
      <w:r>
        <w:rPr>
          <w:spacing w:val="-1"/>
        </w:rPr>
        <w:t>a</w:t>
      </w:r>
      <w:r>
        <w:rPr/>
        <w:t>n </w:t>
      </w:r>
      <w:r>
        <w:rPr>
          <w:spacing w:val="-30"/>
        </w:rPr>
        <w:t> </w:t>
      </w:r>
      <w:r>
        <w:rPr>
          <w:spacing w:val="-1"/>
        </w:rPr>
        <w:t>a</w:t>
      </w:r>
      <w:r>
        <w:rPr/>
        <w:t>l </w:t>
      </w:r>
      <w:r>
        <w:rPr>
          <w:spacing w:val="-27"/>
        </w:rPr>
        <w:t> </w:t>
      </w:r>
      <w:r>
        <w:rPr/>
        <w:t>g</w:t>
      </w:r>
      <w:r>
        <w:rPr>
          <w:spacing w:val="-1"/>
        </w:rPr>
        <w:t>a</w:t>
      </w:r>
      <w:r>
        <w:rPr>
          <w:w w:val="99"/>
        </w:rPr>
        <w:t>sto</w:t>
      </w:r>
      <w:r>
        <w:rPr/>
        <w:t> </w:t>
      </w:r>
      <w:r>
        <w:rPr>
          <w:spacing w:val="-29"/>
        </w:rPr>
        <w:t> </w:t>
      </w:r>
      <w:r>
        <w:rPr>
          <w:spacing w:val="-1"/>
        </w:rPr>
        <w:t>c</w:t>
      </w:r>
      <w:r>
        <w:rPr>
          <w:spacing w:val="2"/>
        </w:rPr>
        <w:t>o</w:t>
      </w:r>
      <w:r>
        <w:rPr/>
        <w:t>r</w:t>
      </w:r>
      <w:r>
        <w:rPr>
          <w:spacing w:val="-2"/>
        </w:rPr>
        <w:t>r</w:t>
      </w:r>
      <w:r>
        <w:rPr/>
        <w:t>ient</w:t>
      </w:r>
      <w:r>
        <w:rPr>
          <w:spacing w:val="-1"/>
        </w:rPr>
        <w:t>e</w:t>
      </w:r>
      <w:r>
        <w:rPr/>
        <w:t>, r</w:t>
      </w:r>
      <w:r>
        <w:rPr>
          <w:spacing w:val="-2"/>
        </w:rPr>
        <w:t>e</w:t>
      </w:r>
      <w:r>
        <w:rPr/>
        <w:t>fl</w:t>
      </w:r>
      <w:r>
        <w:rPr>
          <w:spacing w:val="-2"/>
        </w:rPr>
        <w:t>e</w:t>
      </w:r>
      <w:r>
        <w:rPr/>
        <w:t>j</w:t>
      </w:r>
      <w:r>
        <w:rPr>
          <w:spacing w:val="1"/>
        </w:rPr>
        <w:t>a</w:t>
      </w:r>
      <w:r>
        <w:rPr/>
        <w:t>ron</w:t>
      </w:r>
      <w:r>
        <w:rPr>
          <w:spacing w:val="8"/>
        </w:rPr>
        <w:t> </w:t>
      </w:r>
      <w:r>
        <w:rPr>
          <w:spacing w:val="-1"/>
        </w:rPr>
        <w:t>e</w:t>
      </w:r>
      <w:r>
        <w:rPr/>
        <w:t>l</w:t>
      </w:r>
      <w:r>
        <w:rPr>
          <w:spacing w:val="9"/>
        </w:rPr>
        <w:t> </w:t>
      </w:r>
      <w:r>
        <w:rPr/>
        <w:t>p</w:t>
      </w:r>
      <w:r>
        <w:rPr>
          <w:spacing w:val="-1"/>
        </w:rPr>
        <w:t>a</w:t>
      </w:r>
      <w:r>
        <w:rPr/>
        <w:t>p</w:t>
      </w:r>
      <w:r>
        <w:rPr>
          <w:spacing w:val="-1"/>
        </w:rPr>
        <w:t>e</w:t>
      </w:r>
      <w:r>
        <w:rPr/>
        <w:t>l</w:t>
      </w:r>
      <w:r>
        <w:rPr>
          <w:spacing w:val="9"/>
        </w:rPr>
        <w:t> </w:t>
      </w:r>
      <w:r>
        <w:rPr/>
        <w:t>más</w:t>
      </w:r>
      <w:r>
        <w:rPr>
          <w:spacing w:val="10"/>
        </w:rPr>
        <w:t> </w:t>
      </w:r>
      <w:r>
        <w:rPr>
          <w:spacing w:val="1"/>
        </w:rPr>
        <w:t>r</w:t>
      </w:r>
      <w:r>
        <w:rPr>
          <w:spacing w:val="-1"/>
        </w:rPr>
        <w:t>e</w:t>
      </w:r>
      <w:r>
        <w:rPr/>
        <w:t>lev</w:t>
      </w:r>
      <w:r>
        <w:rPr>
          <w:spacing w:val="-2"/>
        </w:rPr>
        <w:t>a</w:t>
      </w:r>
      <w:r>
        <w:rPr/>
        <w:t>nte</w:t>
      </w:r>
      <w:r>
        <w:rPr>
          <w:spacing w:val="10"/>
        </w:rPr>
        <w:t> </w:t>
      </w:r>
      <w:r>
        <w:rPr/>
        <w:t>que</w:t>
      </w:r>
      <w:r>
        <w:rPr>
          <w:spacing w:val="8"/>
        </w:rPr>
        <w:t> </w:t>
      </w:r>
      <w:r>
        <w:rPr/>
        <w:t>infl</w:t>
      </w:r>
      <w:r>
        <w:rPr>
          <w:spacing w:val="4"/>
        </w:rPr>
        <w:t>u</w:t>
      </w:r>
      <w:r>
        <w:rPr>
          <w:spacing w:val="-5"/>
        </w:rPr>
        <w:t>y</w:t>
      </w:r>
      <w:r>
        <w:rPr/>
        <w:t>e</w:t>
      </w:r>
      <w:r>
        <w:rPr>
          <w:spacing w:val="8"/>
        </w:rPr>
        <w:t> </w:t>
      </w:r>
      <w:r>
        <w:rPr/>
        <w:t>de</w:t>
      </w:r>
      <w:r>
        <w:rPr>
          <w:spacing w:val="8"/>
        </w:rPr>
        <w:t> </w:t>
      </w:r>
      <w:r>
        <w:rPr>
          <w:spacing w:val="1"/>
        </w:rPr>
        <w:t>f</w:t>
      </w:r>
      <w:r>
        <w:rPr/>
        <w:t>o</w:t>
      </w:r>
      <w:r>
        <w:rPr>
          <w:spacing w:val="-1"/>
        </w:rPr>
        <w:t>r</w:t>
      </w:r>
      <w:r>
        <w:rPr/>
        <w:t>ma</w:t>
      </w:r>
      <w:r>
        <w:rPr>
          <w:spacing w:val="8"/>
        </w:rPr>
        <w:t> </w:t>
      </w:r>
      <w:r>
        <w:rPr/>
        <w:t>n</w:t>
      </w:r>
      <w:r>
        <w:rPr>
          <w:spacing w:val="1"/>
        </w:rPr>
        <w:t>e</w:t>
      </w:r>
      <w:r>
        <w:rPr>
          <w:spacing w:val="-3"/>
        </w:rPr>
        <w:t>g</w:t>
      </w:r>
      <w:r>
        <w:rPr>
          <w:spacing w:val="-1"/>
        </w:rPr>
        <w:t>a</w:t>
      </w:r>
      <w:r>
        <w:rPr/>
        <w:t>tiva</w:t>
      </w:r>
      <w:r>
        <w:rPr>
          <w:spacing w:val="8"/>
        </w:rPr>
        <w:t> </w:t>
      </w:r>
      <w:r>
        <w:rPr/>
        <w:t>sobre </w:t>
      </w:r>
      <w:r>
        <w:rPr>
          <w:spacing w:val="20"/>
        </w:rPr>
        <w:t> </w:t>
      </w:r>
      <w:r>
        <w:rPr>
          <w:w w:val="99"/>
        </w:rPr>
        <w:t>las</w:t>
      </w:r>
      <w:r>
        <w:rPr>
          <w:spacing w:val="9"/>
        </w:rPr>
        <w:t> </w:t>
      </w:r>
      <w:r>
        <w:rPr/>
        <w:t>innova</w:t>
      </w:r>
      <w:r>
        <w:rPr>
          <w:spacing w:val="-2"/>
        </w:rPr>
        <w:t>c</w:t>
      </w:r>
      <w:r>
        <w:rPr/>
        <w:t>iones</w:t>
      </w:r>
      <w:r>
        <w:rPr>
          <w:spacing w:val="9"/>
        </w:rPr>
        <w:t> </w:t>
      </w:r>
      <w:r>
        <w:rPr/>
        <w:t>d</w:t>
      </w:r>
      <w:r>
        <w:rPr>
          <w:spacing w:val="-1"/>
        </w:rPr>
        <w:t>e</w:t>
      </w:r>
      <w:r>
        <w:rPr/>
        <w:t>l b</w:t>
      </w:r>
      <w:r>
        <w:rPr>
          <w:spacing w:val="-1"/>
        </w:rPr>
        <w:t>a</w:t>
      </w:r>
      <w:r>
        <w:rPr/>
        <w:t>lan</w:t>
      </w:r>
      <w:r>
        <w:rPr>
          <w:spacing w:val="-2"/>
        </w:rPr>
        <w:t>c</w:t>
      </w:r>
      <w:r>
        <w:rPr/>
        <w:t>e</w:t>
      </w:r>
      <w:r>
        <w:rPr>
          <w:spacing w:val="-1"/>
        </w:rPr>
        <w:t> </w:t>
      </w:r>
      <w:r>
        <w:rPr>
          <w:spacing w:val="2"/>
        </w:rPr>
        <w:t>p</w:t>
      </w:r>
      <w:r>
        <w:rPr/>
        <w:t>rima</w:t>
      </w:r>
      <w:r>
        <w:rPr>
          <w:spacing w:val="-2"/>
        </w:rPr>
        <w:t>r</w:t>
      </w:r>
      <w:r>
        <w:rPr/>
        <w:t>io no</w:t>
      </w:r>
      <w:r>
        <w:rPr>
          <w:spacing w:val="2"/>
        </w:rPr>
        <w:t> </w:t>
      </w:r>
      <w:r>
        <w:rPr>
          <w:spacing w:val="-3"/>
        </w:rPr>
        <w:t>g</w:t>
      </w:r>
      <w:r>
        <w:rPr>
          <w:spacing w:val="-1"/>
        </w:rPr>
        <w:t>a</w:t>
      </w:r>
      <w:r>
        <w:rPr>
          <w:w w:val="99"/>
        </w:rPr>
        <w:t>sí</w:t>
      </w:r>
      <w:r>
        <w:rPr>
          <w:spacing w:val="2"/>
          <w:w w:val="99"/>
        </w:rPr>
        <w:t>f</w:t>
      </w:r>
      <w:r>
        <w:rPr>
          <w:spacing w:val="-1"/>
        </w:rPr>
        <w:t>e</w:t>
      </w:r>
      <w:r>
        <w:rPr/>
        <w:t>ro </w:t>
      </w:r>
      <w:r>
        <w:rPr>
          <w:spacing w:val="-2"/>
        </w:rPr>
        <w:t>(</w:t>
      </w:r>
      <w:r>
        <w:rPr>
          <w:w w:val="99"/>
        </w:rPr>
        <w:t>sin</w:t>
      </w:r>
      <w:r>
        <w:rPr/>
        <w:t> r</w:t>
      </w:r>
      <w:r>
        <w:rPr>
          <w:spacing w:val="1"/>
        </w:rPr>
        <w:t>e</w:t>
      </w:r>
      <w:r>
        <w:rPr>
          <w:spacing w:val="-1"/>
        </w:rPr>
        <w:t>c</w:t>
      </w:r>
      <w:r>
        <w:rPr/>
        <w:t>ur</w:t>
      </w:r>
      <w:r>
        <w:rPr>
          <w:w w:val="99"/>
        </w:rPr>
        <w:t>so</w:t>
      </w:r>
      <w:r>
        <w:rPr/>
        <w:t> n</w:t>
      </w:r>
      <w:r>
        <w:rPr>
          <w:spacing w:val="-1"/>
        </w:rPr>
        <w:t>a</w:t>
      </w:r>
      <w:r>
        <w:rPr/>
        <w:t>t</w:t>
      </w:r>
      <w:r>
        <w:rPr>
          <w:spacing w:val="2"/>
        </w:rPr>
        <w:t>u</w:t>
      </w:r>
      <w:r>
        <w:rPr/>
        <w:t>r</w:t>
      </w:r>
      <w:r>
        <w:rPr>
          <w:spacing w:val="-2"/>
        </w:rPr>
        <w:t>a</w:t>
      </w:r>
      <w:r>
        <w:rPr/>
        <w:t>l).</w:t>
      </w:r>
    </w:p>
    <w:p>
      <w:pPr>
        <w:pStyle w:val="BodyText"/>
        <w:spacing w:line="360" w:lineRule="auto" w:before="4"/>
        <w:ind w:left="102" w:right="118" w:firstLine="707"/>
        <w:jc w:val="both"/>
      </w:pPr>
      <w:r>
        <w:rPr/>
        <w:t>De forma similar la descomposición de varianza estructural confirmó que la asignación de los ingresos fiscales gasíferos y no gasíferos al gasto público fueron las principales fuentes de varianza para el balance primario (con y sin gas natural). Por lo  tanto, se evidenció soporte empírico para la </w:t>
      </w:r>
      <w:r>
        <w:rPr>
          <w:i/>
        </w:rPr>
        <w:t>hipótesis 1 </w:t>
      </w:r>
      <w:r>
        <w:rPr/>
        <w:t>al considerar la asignación de los ingresos fiscales al gasto público como los choques más relevantes sobre la posición</w:t>
      </w:r>
      <w:r>
        <w:rPr>
          <w:spacing w:val="-13"/>
        </w:rPr>
        <w:t> </w:t>
      </w:r>
      <w:r>
        <w:rPr/>
        <w:t>fiscal.</w:t>
      </w:r>
    </w:p>
    <w:p>
      <w:pPr>
        <w:pStyle w:val="BodyText"/>
        <w:spacing w:line="360" w:lineRule="auto" w:before="4"/>
        <w:ind w:left="102" w:right="117" w:firstLine="707"/>
        <w:jc w:val="both"/>
      </w:pPr>
      <w:r>
        <w:rPr/>
        <w:t>Al considerar la deuda pública como segunda medida de la posición fiscal, no existió soporte empírico para la </w:t>
      </w:r>
      <w:r>
        <w:rPr>
          <w:i/>
        </w:rPr>
        <w:t>hipótesis</w:t>
      </w:r>
      <w:r>
        <w:rPr>
          <w:i/>
          <w:spacing w:val="5"/>
        </w:rPr>
        <w:t> </w:t>
      </w:r>
      <w:r>
        <w:rPr>
          <w:i/>
        </w:rPr>
        <w:t>1,</w:t>
      </w:r>
      <w:r>
        <w:rPr>
          <w:i/>
          <w:spacing w:val="3"/>
        </w:rPr>
        <w:t> </w:t>
      </w:r>
      <w:r>
        <w:rPr>
          <w:w w:val="172"/>
        </w:rPr>
        <w:t>    </w:t>
      </w:r>
      <w:r>
        <w:rPr>
          <w:spacing w:val="1"/>
        </w:rPr>
        <w:t> </w:t>
      </w:r>
      <w:r>
        <w:rPr>
          <w:w w:val="188"/>
        </w:rPr>
        <w:t> </w:t>
      </w:r>
      <w:r>
        <w:rPr>
          <w:spacing w:val="-1"/>
          <w:w w:val="188"/>
        </w:rPr>
        <w:t> </w:t>
      </w:r>
      <w:r>
        <w:rPr>
          <w:w w:val="177"/>
        </w:rPr>
        <w:t> </w:t>
      </w:r>
      <w:r>
        <w:rPr/>
        <w:t> </w:t>
      </w:r>
      <w:r>
        <w:rPr>
          <w:spacing w:val="5"/>
        </w:rPr>
        <w:t> </w:t>
      </w:r>
      <w:r>
        <w:rPr>
          <w:w w:val="192"/>
        </w:rPr>
        <w:t>   </w:t>
      </w:r>
      <w:r>
        <w:rPr/>
        <w:t> </w:t>
      </w:r>
      <w:r>
        <w:rPr>
          <w:spacing w:val="3"/>
        </w:rPr>
        <w:t> </w:t>
      </w:r>
      <w:r>
        <w:rPr>
          <w:w w:val="155"/>
        </w:rPr>
        <w:t>   </w:t>
      </w:r>
      <w:r>
        <w:rPr/>
        <w:t> </w:t>
      </w:r>
      <w:r>
        <w:rPr>
          <w:w w:val="166"/>
        </w:rPr>
        <w:t> </w:t>
      </w:r>
      <w:r>
        <w:rPr>
          <w:spacing w:val="-1"/>
          <w:w w:val="166"/>
        </w:rPr>
        <w:t> </w:t>
      </w:r>
      <w:r>
        <w:rPr>
          <w:spacing w:val="-1"/>
          <w:w w:val="177"/>
        </w:rPr>
        <w:t>  </w:t>
      </w:r>
      <w:r>
        <w:rPr>
          <w:w w:val="155"/>
        </w:rPr>
        <w:t>   </w:t>
      </w:r>
      <w:r>
        <w:rPr>
          <w:spacing w:val="2"/>
        </w:rPr>
        <w:t> </w:t>
      </w:r>
      <w:r>
        <w:rPr>
          <w:w w:val="188"/>
        </w:rPr>
        <w:t> </w:t>
      </w:r>
      <w:r>
        <w:rPr>
          <w:spacing w:val="-1"/>
          <w:w w:val="188"/>
        </w:rPr>
        <w:t> </w:t>
      </w:r>
      <w:r>
        <w:rPr>
          <w:w w:val="111"/>
        </w:rPr>
        <w:t> </w:t>
      </w:r>
      <w:r>
        <w:rPr>
          <w:spacing w:val="2"/>
        </w:rPr>
        <w:t> </w:t>
      </w:r>
      <w:r>
        <w:rPr>
          <w:spacing w:val="-3"/>
          <w:w w:val="200"/>
        </w:rPr>
        <w:t> </w:t>
      </w:r>
      <w:r>
        <w:rPr>
          <w:spacing w:val="-1"/>
          <w:w w:val="177"/>
        </w:rPr>
        <w:t> </w:t>
      </w:r>
      <w:r>
        <w:rPr>
          <w:w w:val="155"/>
        </w:rPr>
        <w:t> </w:t>
      </w:r>
      <w:r>
        <w:rPr>
          <w:spacing w:val="2"/>
        </w:rPr>
        <w:t> </w:t>
      </w:r>
      <w:r>
        <w:rPr>
          <w:w w:val="188"/>
        </w:rPr>
        <w:t> </w:t>
      </w:r>
      <w:r>
        <w:rPr>
          <w:spacing w:val="-1"/>
          <w:w w:val="188"/>
        </w:rPr>
        <w:t> </w:t>
      </w:r>
      <w:r>
        <w:rPr>
          <w:w w:val="155"/>
        </w:rPr>
        <w:t> </w:t>
      </w:r>
      <w:r>
        <w:rPr>
          <w:spacing w:val="2"/>
          <w:w w:val="155"/>
        </w:rPr>
        <w:t> </w:t>
      </w:r>
      <w:r>
        <w:rPr>
          <w:w w:val="155"/>
        </w:rPr>
        <w:t> </w:t>
      </w:r>
      <w:r>
        <w:rPr>
          <w:spacing w:val="-2"/>
          <w:w w:val="155"/>
        </w:rPr>
        <w:t> </w:t>
      </w:r>
      <w:r>
        <w:rPr>
          <w:w w:val="111"/>
        </w:rPr>
        <w:t> </w:t>
      </w:r>
      <w:r>
        <w:rPr>
          <w:spacing w:val="2"/>
        </w:rPr>
        <w:t> </w:t>
      </w:r>
      <w:r>
        <w:rPr>
          <w:w w:val="170"/>
        </w:rPr>
        <w:t>  </w:t>
      </w:r>
      <w:r>
        <w:rPr>
          <w:spacing w:val="-2"/>
          <w:w w:val="170"/>
        </w:rPr>
        <w:t> </w:t>
      </w:r>
      <w:r>
        <w:rPr>
          <w:w w:val="177"/>
        </w:rPr>
        <w:t>   </w:t>
      </w:r>
    </w:p>
    <w:p>
      <w:pPr>
        <w:pStyle w:val="BodyText"/>
        <w:spacing w:line="360" w:lineRule="auto" w:before="4"/>
        <w:ind w:left="102" w:right="114"/>
        <w:jc w:val="both"/>
      </w:pPr>
      <w:r>
        <w:rPr>
          <w:spacing w:val="-1"/>
          <w:w w:val="177"/>
        </w:rPr>
        <w:t> </w:t>
      </w:r>
      <w:r>
        <w:rPr>
          <w:w w:val="111"/>
        </w:rPr>
        <w:t> </w:t>
      </w:r>
      <w:r>
        <w:rPr/>
        <w:t> </w:t>
      </w:r>
      <w:r>
        <w:rPr>
          <w:spacing w:val="-27"/>
        </w:rPr>
        <w:t> </w:t>
      </w:r>
      <w:r>
        <w:rPr>
          <w:w w:val="166"/>
        </w:rPr>
        <w:t> </w:t>
      </w:r>
      <w:r>
        <w:rPr>
          <w:spacing w:val="-1"/>
          <w:w w:val="166"/>
        </w:rPr>
        <w:t> </w:t>
      </w:r>
      <w:r>
        <w:rPr>
          <w:w w:val="162"/>
        </w:rPr>
        <w:t>     </w:t>
      </w:r>
      <w:r>
        <w:rPr>
          <w:spacing w:val="-1"/>
          <w:w w:val="162"/>
        </w:rPr>
        <w:t> </w:t>
      </w:r>
      <w:r>
        <w:rPr>
          <w:w w:val="111"/>
        </w:rPr>
        <w:t> </w:t>
      </w:r>
      <w:r>
        <w:rPr/>
        <w:t> </w:t>
      </w:r>
      <w:r>
        <w:rPr>
          <w:spacing w:val="-27"/>
        </w:rPr>
        <w:t> </w:t>
      </w:r>
      <w:r>
        <w:rPr>
          <w:spacing w:val="-1"/>
          <w:w w:val="177"/>
        </w:rPr>
        <w:t> </w:t>
      </w:r>
      <w:r>
        <w:rPr>
          <w:w w:val="195"/>
        </w:rPr>
        <w:t>     </w:t>
      </w:r>
      <w:r>
        <w:rPr/>
        <w:t> </w:t>
      </w:r>
      <w:r>
        <w:rPr>
          <w:spacing w:val="-28"/>
        </w:rPr>
        <w:t> </w:t>
      </w:r>
      <w:r>
        <w:rPr>
          <w:w w:val="188"/>
        </w:rPr>
        <w:t> </w:t>
      </w:r>
      <w:r>
        <w:rPr>
          <w:spacing w:val="-1"/>
          <w:w w:val="188"/>
        </w:rPr>
        <w:t> </w:t>
      </w:r>
      <w:r>
        <w:rPr>
          <w:w w:val="144"/>
        </w:rPr>
        <w:t> </w:t>
      </w:r>
      <w:r>
        <w:rPr>
          <w:spacing w:val="1"/>
          <w:w w:val="144"/>
        </w:rPr>
        <w:t> </w:t>
      </w:r>
      <w:r>
        <w:rPr>
          <w:w w:val="186"/>
        </w:rPr>
        <w:t>    </w:t>
      </w:r>
      <w:r>
        <w:rPr>
          <w:spacing w:val="-1"/>
          <w:w w:val="186"/>
        </w:rPr>
        <w:t> </w:t>
      </w:r>
      <w:r>
        <w:rPr>
          <w:w w:val="162"/>
        </w:rPr>
        <w:t>   </w:t>
      </w:r>
      <w:r>
        <w:rPr/>
        <w:t> </w:t>
      </w:r>
      <w:r>
        <w:rPr>
          <w:w w:val="1"/>
        </w:rPr>
        <w:t> </w:t>
      </w:r>
      <w:r>
        <w:rPr/>
        <w:t> </w:t>
      </w:r>
      <w:r>
        <w:rPr>
          <w:spacing w:val="-28"/>
        </w:rPr>
        <w:t> </w:t>
      </w:r>
      <w:r>
        <w:rPr>
          <w:w w:val="188"/>
        </w:rPr>
        <w:t>  </w:t>
      </w:r>
      <w:r>
        <w:rPr/>
        <w:t> </w:t>
      </w:r>
      <w:r>
        <w:rPr>
          <w:spacing w:val="-28"/>
        </w:rPr>
        <w:t> </w:t>
      </w:r>
      <w:r>
        <w:rPr>
          <w:w w:val="155"/>
        </w:rPr>
        <w:t>  </w:t>
      </w:r>
      <w:r>
        <w:rPr>
          <w:spacing w:val="-2"/>
          <w:w w:val="155"/>
        </w:rPr>
        <w:t> </w:t>
      </w:r>
      <w:r>
        <w:rPr>
          <w:w w:val="244"/>
        </w:rPr>
        <w:t>  </w:t>
      </w:r>
      <w:r>
        <w:rPr/>
        <w:t> </w:t>
      </w:r>
      <w:r>
        <w:rPr>
          <w:spacing w:val="-28"/>
        </w:rPr>
        <w:t> </w:t>
      </w:r>
      <w:r>
        <w:rPr>
          <w:spacing w:val="-1"/>
          <w:w w:val="177"/>
        </w:rPr>
        <w:t> </w:t>
      </w:r>
      <w:r>
        <w:rPr>
          <w:w w:val="191"/>
        </w:rPr>
        <w:t>       </w:t>
      </w:r>
      <w:r>
        <w:rPr>
          <w:spacing w:val="-1"/>
          <w:w w:val="191"/>
        </w:rPr>
        <w:t> </w:t>
      </w:r>
      <w:r>
        <w:rPr>
          <w:spacing w:val="-1"/>
          <w:w w:val="177"/>
        </w:rPr>
        <w:t> </w:t>
      </w:r>
      <w:r>
        <w:rPr>
          <w:w w:val="188"/>
        </w:rPr>
        <w:t> </w:t>
      </w:r>
      <w:r>
        <w:rPr>
          <w:spacing w:val="1"/>
          <w:w w:val="188"/>
        </w:rPr>
        <w:t> </w:t>
      </w:r>
      <w:r>
        <w:rPr>
          <w:w w:val="177"/>
        </w:rPr>
        <w:t> </w:t>
      </w:r>
      <w:r>
        <w:rPr/>
        <w:t> </w:t>
      </w:r>
      <w:r>
        <w:rPr>
          <w:spacing w:val="-26"/>
        </w:rPr>
        <w:t> </w:t>
      </w:r>
      <w:r>
        <w:rPr>
          <w:w w:val="200"/>
        </w:rPr>
        <w:t> </w:t>
      </w:r>
      <w:r>
        <w:rPr>
          <w:spacing w:val="28"/>
        </w:rPr>
        <w:t> </w:t>
      </w:r>
      <w:r>
        <w:rPr>
          <w:w w:val="183"/>
        </w:rPr>
        <w:t>        </w:t>
      </w:r>
      <w:r>
        <w:rPr>
          <w:spacing w:val="-2"/>
        </w:rPr>
        <w:t> </w:t>
      </w:r>
      <w:r>
        <w:rPr>
          <w:w w:val="1"/>
        </w:rPr>
        <w:t> </w:t>
      </w:r>
      <w:r>
        <w:rPr/>
        <w:t>  </w:t>
      </w:r>
      <w:r>
        <w:rPr>
          <w:spacing w:val="9"/>
        </w:rPr>
        <w:t> </w:t>
      </w:r>
      <w:r>
        <w:rPr>
          <w:spacing w:val="-1"/>
          <w:w w:val="177"/>
        </w:rPr>
        <w:t> </w:t>
      </w:r>
      <w:r>
        <w:rPr>
          <w:w w:val="200"/>
        </w:rPr>
        <w:t> </w:t>
      </w:r>
      <w:r>
        <w:rPr/>
        <w:t> </w:t>
      </w:r>
      <w:r>
        <w:rPr>
          <w:spacing w:val="-27"/>
        </w:rPr>
        <w:t> </w:t>
      </w:r>
      <w:r>
        <w:rPr>
          <w:spacing w:val="-1"/>
          <w:w w:val="177"/>
        </w:rPr>
        <w:t> </w:t>
      </w:r>
      <w:r>
        <w:rPr>
          <w:w w:val="204"/>
        </w:rPr>
        <w:t>    </w:t>
      </w:r>
      <w:r>
        <w:rPr>
          <w:spacing w:val="-2"/>
          <w:w w:val="204"/>
        </w:rPr>
        <w:t> </w:t>
      </w:r>
      <w:r>
        <w:rPr>
          <w:spacing w:val="-1"/>
          <w:w w:val="177"/>
        </w:rPr>
        <w:t>  </w:t>
      </w:r>
      <w:r>
        <w:rPr>
          <w:w w:val="170"/>
        </w:rPr>
        <w:t>   </w:t>
      </w:r>
      <w:r>
        <w:rPr>
          <w:spacing w:val="-1"/>
        </w:rPr>
        <w:t>c</w:t>
      </w:r>
      <w:r>
        <w:rPr/>
        <w:t>on </w:t>
      </w:r>
      <w:r>
        <w:rPr>
          <w:spacing w:val="-10"/>
        </w:rPr>
        <w:t> </w:t>
      </w:r>
      <w:r>
        <w:rPr/>
        <w:t>la </w:t>
      </w:r>
      <w:r>
        <w:rPr>
          <w:spacing w:val="-11"/>
        </w:rPr>
        <w:t> </w:t>
      </w:r>
      <w:r>
        <w:rPr>
          <w:spacing w:val="-1"/>
        </w:rPr>
        <w:t>a</w:t>
      </w:r>
      <w:r>
        <w:rPr>
          <w:w w:val="99"/>
        </w:rPr>
        <w:t>si</w:t>
      </w:r>
      <w:r>
        <w:rPr>
          <w:spacing w:val="-2"/>
          <w:w w:val="99"/>
        </w:rPr>
        <w:t>g</w:t>
      </w:r>
      <w:r>
        <w:rPr>
          <w:spacing w:val="2"/>
        </w:rPr>
        <w:t>n</w:t>
      </w:r>
      <w:r>
        <w:rPr>
          <w:spacing w:val="-1"/>
        </w:rPr>
        <w:t>ac</w:t>
      </w:r>
      <w:r>
        <w:rPr/>
        <w:t>ión </w:t>
      </w:r>
      <w:r>
        <w:rPr>
          <w:spacing w:val="-10"/>
        </w:rPr>
        <w:t> </w:t>
      </w:r>
      <w:r>
        <w:rPr/>
        <w:t>de </w:t>
      </w:r>
      <w:r>
        <w:rPr>
          <w:spacing w:val="-11"/>
        </w:rPr>
        <w:t> </w:t>
      </w:r>
      <w:r>
        <w:rPr/>
        <w:t>l</w:t>
      </w:r>
      <w:r>
        <w:rPr>
          <w:spacing w:val="2"/>
        </w:rPr>
        <w:t>o</w:t>
      </w:r>
      <w:r>
        <w:rPr>
          <w:w w:val="99"/>
        </w:rPr>
        <w:t>s</w:t>
      </w:r>
      <w:r>
        <w:rPr/>
        <w:t> </w:t>
      </w:r>
      <w:r>
        <w:rPr>
          <w:spacing w:val="-10"/>
        </w:rPr>
        <w:t> </w:t>
      </w:r>
      <w:r>
        <w:rPr/>
        <w:t>in</w:t>
      </w:r>
      <w:r>
        <w:rPr>
          <w:spacing w:val="-2"/>
        </w:rPr>
        <w:t>g</w:t>
      </w:r>
      <w:r>
        <w:rPr/>
        <w:t>r</w:t>
      </w:r>
      <w:r>
        <w:rPr>
          <w:spacing w:val="-2"/>
        </w:rPr>
        <w:t>e</w:t>
      </w:r>
      <w:r>
        <w:rPr>
          <w:w w:val="99"/>
        </w:rPr>
        <w:t>sos</w:t>
      </w:r>
      <w:r>
        <w:rPr/>
        <w:t> </w:t>
      </w:r>
      <w:r>
        <w:rPr>
          <w:spacing w:val="-10"/>
        </w:rPr>
        <w:t> </w:t>
      </w:r>
      <w:r>
        <w:rPr>
          <w:w w:val="99"/>
        </w:rPr>
        <w:t>fis</w:t>
      </w:r>
      <w:r>
        <w:rPr>
          <w:spacing w:val="1"/>
          <w:w w:val="99"/>
        </w:rPr>
        <w:t>c</w:t>
      </w:r>
      <w:r>
        <w:rPr>
          <w:spacing w:val="-1"/>
        </w:rPr>
        <w:t>a</w:t>
      </w:r>
      <w:r>
        <w:rPr>
          <w:w w:val="99"/>
        </w:rPr>
        <w:t>les</w:t>
      </w:r>
      <w:r>
        <w:rPr/>
        <w:t> </w:t>
      </w:r>
      <w:r>
        <w:rPr>
          <w:spacing w:val="-11"/>
        </w:rPr>
        <w:t> </w:t>
      </w:r>
      <w:r>
        <w:rPr/>
        <w:t>(</w:t>
      </w:r>
      <w:r>
        <w:rPr>
          <w:spacing w:val="-2"/>
        </w:rPr>
        <w:t>c</w:t>
      </w:r>
      <w:r>
        <w:rPr/>
        <w:t>on </w:t>
      </w:r>
      <w:r>
        <w:rPr>
          <w:spacing w:val="-6"/>
        </w:rPr>
        <w:t> </w:t>
      </w:r>
      <w:r>
        <w:rPr/>
        <w:t>y </w:t>
      </w:r>
      <w:r>
        <w:rPr>
          <w:spacing w:val="-15"/>
        </w:rPr>
        <w:t> </w:t>
      </w:r>
      <w:r>
        <w:rPr>
          <w:w w:val="99"/>
        </w:rPr>
        <w:t>sin</w:t>
      </w:r>
      <w:r>
        <w:rPr/>
        <w:t> </w:t>
      </w:r>
      <w:r>
        <w:rPr>
          <w:spacing w:val="-5"/>
        </w:rPr>
        <w:t> </w:t>
      </w:r>
      <w:r>
        <w:rPr/>
        <w:t>g</w:t>
      </w:r>
      <w:r>
        <w:rPr>
          <w:spacing w:val="-1"/>
        </w:rPr>
        <w:t>a</w:t>
      </w:r>
      <w:r>
        <w:rPr>
          <w:w w:val="99"/>
        </w:rPr>
        <w:t>s</w:t>
      </w:r>
      <w:r>
        <w:rPr/>
        <w:t> </w:t>
      </w:r>
      <w:r>
        <w:rPr>
          <w:spacing w:val="-10"/>
        </w:rPr>
        <w:t> </w:t>
      </w:r>
      <w:r>
        <w:rPr/>
        <w:t>n</w:t>
      </w:r>
      <w:r>
        <w:rPr>
          <w:spacing w:val="-1"/>
        </w:rPr>
        <w:t>a</w:t>
      </w:r>
      <w:r>
        <w:rPr/>
        <w:t>tur</w:t>
      </w:r>
      <w:r>
        <w:rPr>
          <w:spacing w:val="-2"/>
        </w:rPr>
        <w:t>a</w:t>
      </w:r>
      <w:r>
        <w:rPr/>
        <w:t>l) </w:t>
      </w:r>
      <w:r>
        <w:rPr>
          <w:spacing w:val="-11"/>
        </w:rPr>
        <w:t> </w:t>
      </w:r>
      <w:r>
        <w:rPr>
          <w:spacing w:val="-1"/>
        </w:rPr>
        <w:t>a</w:t>
      </w:r>
      <w:r>
        <w:rPr/>
        <w:t>l </w:t>
      </w:r>
      <w:r>
        <w:rPr>
          <w:spacing w:val="-7"/>
        </w:rPr>
        <w:t> </w:t>
      </w:r>
      <w:r>
        <w:rPr/>
        <w:t>g</w:t>
      </w:r>
      <w:r>
        <w:rPr>
          <w:spacing w:val="-1"/>
        </w:rPr>
        <w:t>a</w:t>
      </w:r>
      <w:r>
        <w:rPr>
          <w:w w:val="99"/>
        </w:rPr>
        <w:t>sto</w:t>
      </w:r>
      <w:r>
        <w:rPr/>
        <w:t> </w:t>
      </w:r>
      <w:r>
        <w:rPr>
          <w:spacing w:val="-10"/>
        </w:rPr>
        <w:t> </w:t>
      </w:r>
      <w:r>
        <w:rPr/>
        <w:t>públi</w:t>
      </w:r>
      <w:r>
        <w:rPr>
          <w:spacing w:val="-1"/>
        </w:rPr>
        <w:t>c</w:t>
      </w:r>
      <w:r>
        <w:rPr/>
        <w:t>o. </w:t>
      </w:r>
      <w:r>
        <w:rPr>
          <w:spacing w:val="-8"/>
        </w:rPr>
        <w:t> </w:t>
      </w:r>
      <w:r>
        <w:rPr/>
        <w:t>En </w:t>
      </w:r>
      <w:r>
        <w:rPr>
          <w:spacing w:val="-1"/>
        </w:rPr>
        <w:t>c</w:t>
      </w:r>
      <w:r>
        <w:rPr/>
        <w:t>onse</w:t>
      </w:r>
      <w:r>
        <w:rPr>
          <w:spacing w:val="-2"/>
        </w:rPr>
        <w:t>c</w:t>
      </w:r>
      <w:r>
        <w:rPr/>
        <w:t>u</w:t>
      </w:r>
      <w:r>
        <w:rPr>
          <w:spacing w:val="-1"/>
        </w:rPr>
        <w:t>e</w:t>
      </w:r>
      <w:r>
        <w:rPr>
          <w:spacing w:val="2"/>
        </w:rPr>
        <w:t>n</w:t>
      </w:r>
      <w:r>
        <w:rPr>
          <w:spacing w:val="-1"/>
        </w:rPr>
        <w:t>c</w:t>
      </w:r>
      <w:r>
        <w:rPr/>
        <w:t>ia,</w:t>
      </w:r>
      <w:r>
        <w:rPr>
          <w:spacing w:val="28"/>
        </w:rPr>
        <w:t> </w:t>
      </w:r>
      <w:r>
        <w:rPr/>
        <w:t>la</w:t>
      </w:r>
      <w:r>
        <w:rPr>
          <w:spacing w:val="28"/>
        </w:rPr>
        <w:t> </w:t>
      </w:r>
      <w:r>
        <w:rPr/>
        <w:t>d</w:t>
      </w:r>
      <w:r>
        <w:rPr>
          <w:spacing w:val="-1"/>
        </w:rPr>
        <w:t>e</w:t>
      </w:r>
      <w:r>
        <w:rPr/>
        <w:t>uda </w:t>
      </w:r>
      <w:r>
        <w:rPr>
          <w:spacing w:val="-30"/>
        </w:rPr>
        <w:t> </w:t>
      </w:r>
      <w:r>
        <w:rPr/>
        <w:t>públi</w:t>
      </w:r>
      <w:r>
        <w:rPr>
          <w:spacing w:val="-1"/>
        </w:rPr>
        <w:t>c</w:t>
      </w:r>
      <w:r>
        <w:rPr/>
        <w:t>a</w:t>
      </w:r>
      <w:r>
        <w:rPr>
          <w:spacing w:val="27"/>
        </w:rPr>
        <w:t> </w:t>
      </w:r>
      <w:r>
        <w:rPr/>
        <w:t>de</w:t>
      </w:r>
      <w:r>
        <w:rPr>
          <w:spacing w:val="27"/>
        </w:rPr>
        <w:t> </w:t>
      </w:r>
      <w:r>
        <w:rPr>
          <w:spacing w:val="-2"/>
        </w:rPr>
        <w:t>B</w:t>
      </w:r>
      <w:r>
        <w:rPr/>
        <w:t>olivia,</w:t>
      </w:r>
      <w:r>
        <w:rPr>
          <w:spacing w:val="28"/>
        </w:rPr>
        <w:t> </w:t>
      </w:r>
      <w:r>
        <w:rPr/>
        <w:t>r</w:t>
      </w:r>
      <w:r>
        <w:rPr>
          <w:spacing w:val="-2"/>
        </w:rPr>
        <w:t>e</w:t>
      </w:r>
      <w:r>
        <w:rPr>
          <w:spacing w:val="1"/>
        </w:rPr>
        <w:t>ac</w:t>
      </w:r>
      <w:r>
        <w:rPr>
          <w:spacing w:val="-1"/>
        </w:rPr>
        <w:t>c</w:t>
      </w:r>
      <w:r>
        <w:rPr/>
        <w:t>ionó</w:t>
      </w:r>
      <w:r>
        <w:rPr>
          <w:spacing w:val="28"/>
        </w:rPr>
        <w:t> </w:t>
      </w:r>
      <w:r>
        <w:rPr/>
        <w:t>de</w:t>
      </w:r>
      <w:r>
        <w:rPr>
          <w:spacing w:val="27"/>
        </w:rPr>
        <w:t> </w:t>
      </w:r>
      <w:r>
        <w:rPr/>
        <w:t>fo</w:t>
      </w:r>
      <w:r>
        <w:rPr>
          <w:spacing w:val="-2"/>
        </w:rPr>
        <w:t>r</w:t>
      </w:r>
      <w:r>
        <w:rPr/>
        <w:t>ma</w:t>
      </w:r>
      <w:r>
        <w:rPr>
          <w:spacing w:val="28"/>
        </w:rPr>
        <w:t> </w:t>
      </w:r>
      <w:r>
        <w:rPr>
          <w:spacing w:val="-1"/>
        </w:rPr>
        <w:t>c</w:t>
      </w:r>
      <w:r>
        <w:rPr/>
        <w:t>ontr</w:t>
      </w:r>
      <w:r>
        <w:rPr>
          <w:spacing w:val="1"/>
        </w:rPr>
        <w:t>a</w:t>
      </w:r>
      <w:r>
        <w:rPr>
          <w:spacing w:val="-1"/>
        </w:rPr>
        <w:t>c</w:t>
      </w:r>
      <w:r>
        <w:rPr>
          <w:spacing w:val="2"/>
        </w:rPr>
        <w:t>í</w:t>
      </w:r>
      <w:r>
        <w:rPr>
          <w:spacing w:val="-1"/>
        </w:rPr>
        <w:t>c</w:t>
      </w:r>
      <w:r>
        <w:rPr/>
        <w:t>li</w:t>
      </w:r>
      <w:r>
        <w:rPr>
          <w:spacing w:val="-1"/>
        </w:rPr>
        <w:t>c</w:t>
      </w:r>
      <w:r>
        <w:rPr/>
        <w:t>a</w:t>
      </w:r>
      <w:r>
        <w:rPr>
          <w:spacing w:val="27"/>
        </w:rPr>
        <w:t> </w:t>
      </w:r>
      <w:r>
        <w:rPr/>
        <w:t>a</w:t>
      </w:r>
      <w:r>
        <w:rPr>
          <w:spacing w:val="27"/>
        </w:rPr>
        <w:t> </w:t>
      </w:r>
      <w:r>
        <w:rPr/>
        <w:t>un</w:t>
      </w:r>
      <w:r>
        <w:rPr>
          <w:spacing w:val="28"/>
        </w:rPr>
        <w:t> </w:t>
      </w:r>
      <w:r>
        <w:rPr>
          <w:spacing w:val="-1"/>
        </w:rPr>
        <w:t>c</w:t>
      </w:r>
      <w:r>
        <w:rPr/>
        <w:t>hoque positivo </w:t>
      </w:r>
      <w:r>
        <w:rPr>
          <w:spacing w:val="-1"/>
        </w:rPr>
        <w:t>e</w:t>
      </w:r>
      <w:r>
        <w:rPr/>
        <w:t>n </w:t>
      </w:r>
      <w:r>
        <w:rPr>
          <w:w w:val="99"/>
        </w:rPr>
        <w:t>los</w:t>
      </w:r>
      <w:r>
        <w:rPr/>
        <w:t> p</w:t>
      </w:r>
      <w:r>
        <w:rPr>
          <w:spacing w:val="-1"/>
        </w:rPr>
        <w:t>rec</w:t>
      </w:r>
      <w:r>
        <w:rPr>
          <w:w w:val="99"/>
        </w:rPr>
        <w:t>ios</w:t>
      </w:r>
      <w:r>
        <w:rPr>
          <w:spacing w:val="-1"/>
        </w:rPr>
        <w:t> </w:t>
      </w:r>
      <w:r>
        <w:rPr/>
        <w:t>d</w:t>
      </w:r>
      <w:r>
        <w:rPr>
          <w:spacing w:val="1"/>
        </w:rPr>
        <w:t>e</w:t>
      </w:r>
      <w:r>
        <w:rPr/>
        <w:t>l </w:t>
      </w:r>
      <w:r>
        <w:rPr>
          <w:spacing w:val="-2"/>
        </w:rPr>
        <w:t>g</w:t>
      </w:r>
      <w:r>
        <w:rPr>
          <w:spacing w:val="-1"/>
        </w:rPr>
        <w:t>a</w:t>
      </w:r>
      <w:r>
        <w:rPr>
          <w:w w:val="99"/>
        </w:rPr>
        <w:t>s</w:t>
      </w:r>
      <w:r>
        <w:rPr/>
        <w:t> nat</w:t>
      </w:r>
      <w:r>
        <w:rPr>
          <w:spacing w:val="2"/>
        </w:rPr>
        <w:t>u</w:t>
      </w:r>
      <w:r>
        <w:rPr/>
        <w:t>r</w:t>
      </w:r>
      <w:r>
        <w:rPr>
          <w:spacing w:val="-2"/>
        </w:rPr>
        <w:t>a</w:t>
      </w:r>
      <w:r>
        <w:rPr/>
        <w:t>l.</w:t>
      </w:r>
    </w:p>
    <w:p>
      <w:pPr>
        <w:spacing w:after="0" w:line="360" w:lineRule="auto"/>
        <w:jc w:val="both"/>
        <w:sectPr>
          <w:pgSz w:w="12250" w:h="15850"/>
          <w:pgMar w:header="0" w:footer="1037" w:top="1360" w:bottom="1220" w:left="1600" w:right="1580"/>
        </w:sectPr>
      </w:pPr>
    </w:p>
    <w:p>
      <w:pPr>
        <w:spacing w:line="360" w:lineRule="auto" w:before="50"/>
        <w:ind w:left="102" w:right="119" w:firstLine="707"/>
        <w:jc w:val="both"/>
        <w:rPr>
          <w:sz w:val="24"/>
        </w:rPr>
      </w:pPr>
      <w:r>
        <w:rPr>
          <w:sz w:val="24"/>
        </w:rPr>
        <w:t>De forma similar, se recapitula la </w:t>
      </w:r>
      <w:r>
        <w:rPr>
          <w:i/>
          <w:sz w:val="24"/>
        </w:rPr>
        <w:t>pregunta </w:t>
      </w:r>
      <w:r>
        <w:rPr>
          <w:sz w:val="24"/>
        </w:rPr>
        <w:t>e </w:t>
      </w:r>
      <w:r>
        <w:rPr>
          <w:i/>
          <w:sz w:val="24"/>
        </w:rPr>
        <w:t>hipótesis 2 </w:t>
      </w:r>
      <w:r>
        <w:rPr>
          <w:sz w:val="24"/>
        </w:rPr>
        <w:t>con sus respectivos resultados:</w:t>
      </w:r>
    </w:p>
    <w:p>
      <w:pPr>
        <w:pStyle w:val="BodyText"/>
      </w:pPr>
    </w:p>
    <w:p>
      <w:pPr>
        <w:pStyle w:val="ListParagraph"/>
        <w:numPr>
          <w:ilvl w:val="0"/>
          <w:numId w:val="20"/>
        </w:numPr>
        <w:tabs>
          <w:tab w:pos="494" w:val="left" w:leader="none"/>
        </w:tabs>
        <w:spacing w:line="360" w:lineRule="auto" w:before="143" w:after="0"/>
        <w:ind w:left="102" w:right="120" w:firstLine="60"/>
        <w:jc w:val="left"/>
        <w:rPr>
          <w:i/>
          <w:sz w:val="24"/>
        </w:rPr>
      </w:pPr>
      <w:r>
        <w:rPr>
          <w:i/>
          <w:sz w:val="24"/>
        </w:rPr>
        <w:t>¿Qué escenarios de reglas fiscales permitirían un mejor prospecto de la deuda pública </w:t>
      </w:r>
      <w:r>
        <w:rPr>
          <w:i/>
          <w:sz w:val="24"/>
        </w:rPr>
        <w:t>máxima en el corto y mediano</w:t>
      </w:r>
      <w:r>
        <w:rPr>
          <w:i/>
          <w:spacing w:val="-5"/>
          <w:sz w:val="24"/>
        </w:rPr>
        <w:t> </w:t>
      </w:r>
      <w:r>
        <w:rPr>
          <w:i/>
          <w:sz w:val="24"/>
        </w:rPr>
        <w:t>plazo?</w:t>
      </w:r>
    </w:p>
    <w:p>
      <w:pPr>
        <w:pStyle w:val="BodyText"/>
        <w:rPr>
          <w:i/>
        </w:rPr>
      </w:pPr>
    </w:p>
    <w:p>
      <w:pPr>
        <w:pStyle w:val="BodyText"/>
        <w:spacing w:line="360" w:lineRule="auto" w:before="143"/>
        <w:ind w:left="810" w:right="120"/>
        <w:jc w:val="both"/>
      </w:pPr>
      <w:r>
        <w:rPr>
          <w:i/>
        </w:rPr>
        <w:t>Hipótesis 2</w:t>
      </w:r>
      <w:r>
        <w:rPr/>
        <w:t>: Las reglas fiscales basadas en diversas magnitudes de canalización de ingresos del recurso natural hacia el gasto de capital (baja, intermedia o alta) disminuyen la deuda pública máxima en el corto y mediano plazo comparado con una trayectoria de escenario base (sin regla fiscal).</w:t>
      </w:r>
    </w:p>
    <w:p>
      <w:pPr>
        <w:pStyle w:val="BodyText"/>
      </w:pPr>
    </w:p>
    <w:p>
      <w:pPr>
        <w:pStyle w:val="BodyText"/>
        <w:spacing w:line="360" w:lineRule="auto" w:before="143"/>
        <w:ind w:left="102" w:right="116" w:firstLine="707"/>
        <w:jc w:val="both"/>
      </w:pPr>
      <w:r>
        <w:rPr/>
        <w:t>Para evaluar la </w:t>
      </w:r>
      <w:r>
        <w:rPr>
          <w:i/>
        </w:rPr>
        <w:t>hipótesis 2</w:t>
      </w:r>
      <w:r>
        <w:rPr/>
        <w:t>, se plantearon cinco escenarios de canalización de ingresos fiscales del recurso natural hacia el gasto de capital: baja (10%), media-baja  (25%), intermedia (50%), media-alta (75%) y alta (90%). Para cada escenario de regla fiscal se obtuvo la </w:t>
      </w:r>
      <w:r>
        <w:rPr>
          <w:i/>
        </w:rPr>
        <w:t>deuda pública a PIB máxima </w:t>
      </w:r>
      <w:r>
        <w:rPr/>
        <w:t>para el corto y mediano plazo al 90% de confianza (hasta</w:t>
      </w:r>
      <w:r>
        <w:rPr>
          <w:spacing w:val="-5"/>
        </w:rPr>
        <w:t> </w:t>
      </w:r>
      <w:r>
        <w:rPr/>
        <w:t>2016).</w:t>
      </w:r>
    </w:p>
    <w:p>
      <w:pPr>
        <w:pStyle w:val="BodyText"/>
        <w:spacing w:line="360" w:lineRule="auto" w:before="6"/>
        <w:ind w:left="102" w:right="115" w:firstLine="707"/>
        <w:jc w:val="both"/>
      </w:pPr>
      <w:r>
        <w:rPr/>
        <w:t>Los resultados demostraron que frente a los diversos escenarios de reglas fiscales el impacto se reflejó en menor endeudamiento público en el corto y mediano plazo al compararse con  el escenario base (sin regla fiscal).</w:t>
      </w:r>
    </w:p>
    <w:p>
      <w:pPr>
        <w:pStyle w:val="BodyText"/>
        <w:spacing w:line="360" w:lineRule="auto" w:before="4"/>
        <w:ind w:left="102" w:right="117" w:firstLine="707"/>
        <w:jc w:val="both"/>
      </w:pPr>
      <w:r>
        <w:rPr/>
        <w:t>De igual forma, se obtuvieron diferencias estadísticas y significativas entre la </w:t>
      </w:r>
      <w:r>
        <w:rPr>
          <w:i/>
        </w:rPr>
        <w:t>deuda </w:t>
      </w:r>
      <w:r>
        <w:rPr>
          <w:i/>
        </w:rPr>
        <w:t>pública máxima </w:t>
      </w:r>
      <w:r>
        <w:rPr/>
        <w:t>para los escenarios de reglas fiscales y para el escenario sin regla fiscal con dos niveles distintos de significancia: de mayor diferencia para canalización </w:t>
      </w:r>
      <w:r>
        <w:rPr>
          <w:i/>
        </w:rPr>
        <w:t>baja, media- </w:t>
      </w:r>
      <w:r>
        <w:rPr>
          <w:i/>
        </w:rPr>
        <w:t>baja e intermedia </w:t>
      </w:r>
      <w:r>
        <w:rPr/>
        <w:t>(al nivel del 1%); de menor diferencia para canalización </w:t>
      </w:r>
      <w:r>
        <w:rPr>
          <w:i/>
        </w:rPr>
        <w:t>media-alta y alta </w:t>
      </w:r>
      <w:r>
        <w:rPr/>
        <w:t>(al nivel del 5%.). Sin embargo, existió soporte empírico para la </w:t>
      </w:r>
      <w:r>
        <w:rPr>
          <w:i/>
        </w:rPr>
        <w:t>hipótesis 2</w:t>
      </w:r>
      <w:r>
        <w:rPr/>
        <w:t>.</w:t>
      </w:r>
    </w:p>
    <w:p>
      <w:pPr>
        <w:pStyle w:val="BodyText"/>
        <w:spacing w:line="360" w:lineRule="auto" w:before="4"/>
        <w:ind w:left="102" w:right="114" w:firstLine="707"/>
        <w:jc w:val="both"/>
      </w:pPr>
      <w:r>
        <w:rPr/>
        <w:t>Los resultados de los escenarios de reglas fiscales reflejaron la reducción en la volatilidad en la </w:t>
      </w:r>
      <w:r>
        <w:rPr>
          <w:i/>
        </w:rPr>
        <w:t>deuda pública máxima </w:t>
      </w:r>
      <w:r>
        <w:rPr/>
        <w:t>mediante el establecimiento de límites numéricos sobre: i) el gasto de capital en términos de ingresos fiscales del recurso natural, ii) el gasto corriente en términos de ingresos fiscales sin recurso natural y iii) los resultados fiscales, cuyas variables presentaban un comportamiento estocástico (sin regla fiscal).</w:t>
      </w:r>
    </w:p>
    <w:p>
      <w:pPr>
        <w:spacing w:after="0" w:line="360" w:lineRule="auto"/>
        <w:jc w:val="both"/>
        <w:sectPr>
          <w:pgSz w:w="12250" w:h="15850"/>
          <w:pgMar w:header="0" w:footer="1037" w:top="1360" w:bottom="1220" w:left="1600" w:right="1580"/>
        </w:sectPr>
      </w:pPr>
    </w:p>
    <w:p>
      <w:pPr>
        <w:spacing w:line="360" w:lineRule="auto" w:before="50"/>
        <w:ind w:left="102" w:right="163" w:firstLine="0"/>
        <w:jc w:val="left"/>
        <w:rPr>
          <w:i/>
          <w:sz w:val="24"/>
        </w:rPr>
      </w:pPr>
      <w:r>
        <w:rPr>
          <w:i/>
          <w:sz w:val="24"/>
        </w:rPr>
        <w:t>Una explicación sobre la posición fiscal de Bolivia (2003 – 2011) y su prospectiva a corto  </w:t>
      </w:r>
      <w:r>
        <w:rPr>
          <w:i/>
          <w:sz w:val="24"/>
        </w:rPr>
        <w:t>y mediano plazo (hasta el</w:t>
      </w:r>
      <w:r>
        <w:rPr>
          <w:i/>
          <w:spacing w:val="-5"/>
          <w:sz w:val="24"/>
        </w:rPr>
        <w:t> </w:t>
      </w:r>
      <w:r>
        <w:rPr>
          <w:i/>
          <w:sz w:val="24"/>
        </w:rPr>
        <w:t>2016)</w:t>
      </w:r>
    </w:p>
    <w:p>
      <w:pPr>
        <w:pStyle w:val="BodyText"/>
        <w:rPr>
          <w:i/>
        </w:rPr>
      </w:pPr>
    </w:p>
    <w:p>
      <w:pPr>
        <w:pStyle w:val="BodyText"/>
        <w:tabs>
          <w:tab w:pos="1697" w:val="left" w:leader="none"/>
          <w:tab w:pos="3968" w:val="left" w:leader="none"/>
          <w:tab w:pos="4565" w:val="left" w:leader="none"/>
        </w:tabs>
        <w:spacing w:line="360" w:lineRule="auto" w:before="143"/>
        <w:ind w:left="102" w:right="118" w:firstLine="707"/>
        <w:jc w:val="right"/>
      </w:pPr>
      <w:r>
        <w:rPr/>
        <w:t>En  el  capítulo  II </w:t>
      </w:r>
      <w:r>
        <w:rPr>
          <w:spacing w:val="20"/>
        </w:rPr>
        <w:t> </w:t>
      </w:r>
      <w:r>
        <w:rPr/>
        <w:t>se </w:t>
      </w:r>
      <w:r>
        <w:rPr>
          <w:spacing w:val="5"/>
        </w:rPr>
        <w:t> </w:t>
      </w:r>
      <w:r>
        <w:rPr/>
        <w:t>explicó</w:t>
        <w:tab/>
        <w:t>que</w:t>
        <w:tab/>
        <w:t>para  el  período  2003-2008,  los </w:t>
      </w:r>
      <w:r>
        <w:rPr>
          <w:spacing w:val="27"/>
        </w:rPr>
        <w:t> </w:t>
      </w:r>
      <w:r>
        <w:rPr/>
        <w:t>precios </w:t>
      </w:r>
      <w:r>
        <w:rPr>
          <w:spacing w:val="5"/>
        </w:rPr>
        <w:t> </w:t>
      </w:r>
      <w:r>
        <w:rPr/>
        <w:t>de exportación del gas natural fueron crecientes (20% promedio anual); sin embargo,</w:t>
      </w:r>
      <w:r>
        <w:rPr>
          <w:spacing w:val="40"/>
        </w:rPr>
        <w:t> </w:t>
      </w:r>
      <w:r>
        <w:rPr/>
        <w:t>para</w:t>
      </w:r>
      <w:r>
        <w:rPr>
          <w:spacing w:val="13"/>
        </w:rPr>
        <w:t> </w:t>
      </w:r>
      <w:r>
        <w:rPr/>
        <w:t>el período</w:t>
      </w:r>
      <w:r>
        <w:rPr>
          <w:spacing w:val="46"/>
        </w:rPr>
        <w:t> </w:t>
      </w:r>
      <w:r>
        <w:rPr/>
        <w:t>2009,</w:t>
        <w:tab/>
        <w:t>estos precios sufrieron una contracción  cercana al    </w:t>
      </w:r>
      <w:r>
        <w:rPr>
          <w:spacing w:val="26"/>
        </w:rPr>
        <w:t> </w:t>
      </w:r>
      <w:r>
        <w:rPr/>
        <w:t>25%,</w:t>
      </w:r>
      <w:r>
        <w:rPr>
          <w:spacing w:val="48"/>
        </w:rPr>
        <w:t> </w:t>
      </w:r>
      <w:r>
        <w:rPr/>
        <w:t>identificándose algunos factores: i) la desaceleración económica internacional</w:t>
      </w:r>
      <w:r>
        <w:rPr>
          <w:spacing w:val="29"/>
        </w:rPr>
        <w:t> </w:t>
      </w:r>
      <w:r>
        <w:rPr/>
        <w:t>y ii) la caída en los</w:t>
      </w:r>
      <w:r>
        <w:rPr>
          <w:spacing w:val="17"/>
        </w:rPr>
        <w:t> </w:t>
      </w:r>
      <w:r>
        <w:rPr/>
        <w:t>precios</w:t>
      </w:r>
      <w:r>
        <w:rPr>
          <w:w w:val="99"/>
        </w:rPr>
        <w:t> </w:t>
      </w:r>
      <w:r>
        <w:rPr/>
        <w:t>del</w:t>
      </w:r>
      <w:r>
        <w:rPr>
          <w:spacing w:val="19"/>
        </w:rPr>
        <w:t> </w:t>
      </w:r>
      <w:r>
        <w:rPr/>
        <w:t>petróleo</w:t>
      </w:r>
      <w:r>
        <w:rPr>
          <w:spacing w:val="19"/>
        </w:rPr>
        <w:t> </w:t>
      </w:r>
      <w:r>
        <w:rPr/>
        <w:t>que</w:t>
      </w:r>
      <w:r>
        <w:rPr>
          <w:spacing w:val="18"/>
        </w:rPr>
        <w:t> </w:t>
      </w:r>
      <w:r>
        <w:rPr/>
        <w:t>mantienen</w:t>
      </w:r>
      <w:r>
        <w:rPr>
          <w:spacing w:val="19"/>
        </w:rPr>
        <w:t> </w:t>
      </w:r>
      <w:r>
        <w:rPr/>
        <w:t>una</w:t>
      </w:r>
      <w:r>
        <w:rPr>
          <w:spacing w:val="18"/>
        </w:rPr>
        <w:t> </w:t>
      </w:r>
      <w:r>
        <w:rPr/>
        <w:t>relación</w:t>
      </w:r>
      <w:r>
        <w:rPr>
          <w:spacing w:val="19"/>
        </w:rPr>
        <w:t> </w:t>
      </w:r>
      <w:r>
        <w:rPr/>
        <w:t>directa</w:t>
      </w:r>
      <w:r>
        <w:rPr>
          <w:spacing w:val="18"/>
        </w:rPr>
        <w:t> </w:t>
      </w:r>
      <w:r>
        <w:rPr/>
        <w:t>con</w:t>
      </w:r>
      <w:r>
        <w:rPr>
          <w:spacing w:val="19"/>
        </w:rPr>
        <w:t> </w:t>
      </w:r>
      <w:r>
        <w:rPr/>
        <w:t>los</w:t>
      </w:r>
      <w:r>
        <w:rPr>
          <w:spacing w:val="20"/>
        </w:rPr>
        <w:t> </w:t>
      </w:r>
      <w:r>
        <w:rPr/>
        <w:t>precios</w:t>
      </w:r>
      <w:r>
        <w:rPr>
          <w:spacing w:val="20"/>
        </w:rPr>
        <w:t> </w:t>
      </w:r>
      <w:r>
        <w:rPr/>
        <w:t>del</w:t>
      </w:r>
      <w:r>
        <w:rPr>
          <w:spacing w:val="19"/>
        </w:rPr>
        <w:t> </w:t>
      </w:r>
      <w:r>
        <w:rPr/>
        <w:t>gas</w:t>
      </w:r>
      <w:r>
        <w:rPr>
          <w:spacing w:val="19"/>
        </w:rPr>
        <w:t> </w:t>
      </w:r>
      <w:r>
        <w:rPr/>
        <w:t>natural.</w:t>
      </w:r>
      <w:r>
        <w:rPr>
          <w:spacing w:val="19"/>
        </w:rPr>
        <w:t> </w:t>
      </w:r>
      <w:r>
        <w:rPr/>
        <w:t>De</w:t>
      </w:r>
      <w:r>
        <w:rPr>
          <w:spacing w:val="17"/>
        </w:rPr>
        <w:t> </w:t>
      </w:r>
      <w:r>
        <w:rPr/>
        <w:t>forma posterior</w:t>
      </w:r>
      <w:r>
        <w:rPr>
          <w:spacing w:val="17"/>
        </w:rPr>
        <w:t> </w:t>
      </w:r>
      <w:r>
        <w:rPr/>
        <w:t>al</w:t>
      </w:r>
      <w:r>
        <w:rPr>
          <w:spacing w:val="18"/>
        </w:rPr>
        <w:t> </w:t>
      </w:r>
      <w:r>
        <w:rPr/>
        <w:t>2009,</w:t>
      </w:r>
      <w:r>
        <w:rPr>
          <w:spacing w:val="17"/>
        </w:rPr>
        <w:t> </w:t>
      </w:r>
      <w:r>
        <w:rPr/>
        <w:t>la</w:t>
      </w:r>
      <w:r>
        <w:rPr>
          <w:spacing w:val="20"/>
        </w:rPr>
        <w:t> </w:t>
      </w:r>
      <w:r>
        <w:rPr/>
        <w:t>senda</w:t>
      </w:r>
      <w:r>
        <w:rPr>
          <w:spacing w:val="17"/>
        </w:rPr>
        <w:t> </w:t>
      </w:r>
      <w:r>
        <w:rPr/>
        <w:t>de</w:t>
      </w:r>
      <w:r>
        <w:rPr>
          <w:spacing w:val="19"/>
        </w:rPr>
        <w:t> </w:t>
      </w:r>
      <w:r>
        <w:rPr/>
        <w:t>expansión</w:t>
      </w:r>
      <w:r>
        <w:rPr>
          <w:spacing w:val="18"/>
        </w:rPr>
        <w:t> </w:t>
      </w:r>
      <w:r>
        <w:rPr/>
        <w:t>de</w:t>
      </w:r>
      <w:r>
        <w:rPr>
          <w:spacing w:val="17"/>
        </w:rPr>
        <w:t> </w:t>
      </w:r>
      <w:r>
        <w:rPr/>
        <w:t>los</w:t>
      </w:r>
      <w:r>
        <w:rPr>
          <w:spacing w:val="18"/>
        </w:rPr>
        <w:t> </w:t>
      </w:r>
      <w:r>
        <w:rPr/>
        <w:t>precios</w:t>
      </w:r>
      <w:r>
        <w:rPr>
          <w:spacing w:val="18"/>
        </w:rPr>
        <w:t> </w:t>
      </w:r>
      <w:r>
        <w:rPr/>
        <w:t>del</w:t>
      </w:r>
      <w:r>
        <w:rPr>
          <w:spacing w:val="20"/>
        </w:rPr>
        <w:t> </w:t>
      </w:r>
      <w:r>
        <w:rPr/>
        <w:t>recurso</w:t>
      </w:r>
      <w:r>
        <w:rPr>
          <w:spacing w:val="17"/>
        </w:rPr>
        <w:t> </w:t>
      </w:r>
      <w:r>
        <w:rPr/>
        <w:t>natural</w:t>
      </w:r>
      <w:r>
        <w:rPr>
          <w:spacing w:val="23"/>
        </w:rPr>
        <w:t> </w:t>
      </w:r>
      <w:r>
        <w:rPr/>
        <w:t>continuó</w:t>
      </w:r>
      <w:r>
        <w:rPr>
          <w:spacing w:val="19"/>
        </w:rPr>
        <w:t> </w:t>
      </w:r>
      <w:r>
        <w:rPr/>
        <w:t>como fruto de la recuperación económica internacional y recuperación de los precios del</w:t>
      </w:r>
      <w:r>
        <w:rPr>
          <w:spacing w:val="-11"/>
        </w:rPr>
        <w:t> </w:t>
      </w:r>
      <w:r>
        <w:rPr/>
        <w:t>petróleo.</w:t>
      </w:r>
    </w:p>
    <w:p>
      <w:pPr>
        <w:pStyle w:val="BodyText"/>
        <w:spacing w:line="360" w:lineRule="auto" w:before="6"/>
        <w:ind w:left="102" w:right="121" w:firstLine="707"/>
        <w:jc w:val="both"/>
      </w:pPr>
      <w:r>
        <w:rPr/>
        <w:t>Por otra parte, en  el capítulo III se explicó el pasado reciente de la posición fiscal  de Bolivia basados en tres hechos a partir de la nacionalización de los hidrocarburos   (2006) en el país señalado: i) presencia de superávit fiscal primario (con recurso natural); ii) deterioro progresivo del déficit fiscal primario no gasífero (sin recurso natural); iii) disminución de la deuda</w:t>
      </w:r>
      <w:r>
        <w:rPr>
          <w:spacing w:val="-4"/>
        </w:rPr>
        <w:t> </w:t>
      </w:r>
      <w:r>
        <w:rPr/>
        <w:t>pública.</w:t>
      </w:r>
    </w:p>
    <w:p>
      <w:pPr>
        <w:pStyle w:val="BodyText"/>
        <w:spacing w:line="360" w:lineRule="auto" w:before="4"/>
        <w:ind w:left="102" w:right="119" w:firstLine="707"/>
        <w:jc w:val="both"/>
      </w:pPr>
      <w:r>
        <w:rPr/>
        <w:t>De forma adicional, en el capítulo III, se mencionó que frente al auge de los precios del gas natural, la política fiscal de Bolivia                     fue de   tipo expansiva en el     gasto público y con una orientación procíclica al emplear la metodología de balance fiscal cíclicamente</w:t>
      </w:r>
      <w:r>
        <w:rPr>
          <w:spacing w:val="-4"/>
        </w:rPr>
        <w:t> </w:t>
      </w:r>
      <w:r>
        <w:rPr/>
        <w:t>ajustado.</w:t>
      </w:r>
    </w:p>
    <w:p>
      <w:pPr>
        <w:pStyle w:val="BodyText"/>
        <w:spacing w:line="360" w:lineRule="auto" w:before="4"/>
        <w:ind w:left="102" w:right="117" w:firstLine="707"/>
        <w:jc w:val="both"/>
      </w:pPr>
      <w:r>
        <w:rPr/>
        <w:t>A partir de la nacionalización de los hidrocarburos en Bolivia (2006), se reflejó una transición cíclica en el balance fiscal: a) una fase inicial con disminución en la dependencia de la renta interna (ingresos tributarios domésticos); b) una etapa intermedia con mayor dependencia de la venta doméstica del gas natural; c) y finalmente, la consolidación en la dependencia de la venta externa del gas natural (2008 como año cumbre).</w:t>
      </w:r>
    </w:p>
    <w:p>
      <w:pPr>
        <w:pStyle w:val="BodyText"/>
        <w:spacing w:line="360" w:lineRule="auto" w:before="4"/>
        <w:ind w:left="102" w:right="119" w:firstLine="707"/>
        <w:jc w:val="both"/>
      </w:pPr>
      <w:r>
        <w:rPr/>
        <w:t>Finalmente, en el capítulo III se evaluó la sostenibilidad de la posición fiscal de Bolivia para el período 2003-2011 mediante el algoritmo de posición fiscal sostenible  (PFS) propuesto por Croce &amp; Hugo (2003). Se consideraron dos prospectos: un escenario base en condiciones estables de crecimiento del PIB real, tipo de cambio y tasas de interés (distribución promedio de las series) y un escenario volátil (máxima distribución de las series).</w:t>
      </w:r>
    </w:p>
    <w:p>
      <w:pPr>
        <w:spacing w:after="0" w:line="360" w:lineRule="auto"/>
        <w:jc w:val="both"/>
        <w:sectPr>
          <w:pgSz w:w="12250" w:h="15850"/>
          <w:pgMar w:header="0" w:footer="1037" w:top="1360" w:bottom="1220" w:left="1600" w:right="1580"/>
        </w:sectPr>
      </w:pPr>
    </w:p>
    <w:p>
      <w:pPr>
        <w:pStyle w:val="BodyText"/>
        <w:spacing w:line="360" w:lineRule="auto" w:before="50"/>
        <w:ind w:left="102" w:right="118" w:firstLine="707"/>
        <w:jc w:val="both"/>
      </w:pPr>
      <w:r>
        <w:rPr/>
        <w:t>En el capítulo II, se mencionaron dos historias diferentes sobre la sostenibilidad de la posición fiscal de Bolivia para el período 2003-2011: la primera es con ingresos del gas natural (</w:t>
      </w:r>
      <w:r>
        <w:rPr>
          <w:i/>
        </w:rPr>
        <w:t>sostenible/inconcluyente</w:t>
      </w:r>
      <w:r>
        <w:rPr/>
        <w:t>) y la segunda corresponde al excluir los ingresos del recurso natural</w:t>
      </w:r>
      <w:r>
        <w:rPr>
          <w:spacing w:val="-6"/>
        </w:rPr>
        <w:t> </w:t>
      </w:r>
      <w:r>
        <w:rPr/>
        <w:t>(</w:t>
      </w:r>
      <w:r>
        <w:rPr>
          <w:i/>
        </w:rPr>
        <w:t>insostenible</w:t>
      </w:r>
      <w:r>
        <w:rPr/>
        <w:t>).</w:t>
      </w:r>
    </w:p>
    <w:p>
      <w:pPr>
        <w:pStyle w:val="BodyText"/>
        <w:spacing w:line="360" w:lineRule="auto" w:before="6"/>
        <w:ind w:left="102" w:right="117" w:firstLine="707"/>
        <w:jc w:val="both"/>
      </w:pPr>
      <w:r>
        <w:rPr/>
        <w:t>Al contemplar los ingresos del gas natural, la posición fiscal fue </w:t>
      </w:r>
      <w:r>
        <w:rPr>
          <w:i/>
        </w:rPr>
        <w:t>sostenible </w:t>
      </w:r>
      <w:r>
        <w:rPr/>
        <w:t>en un escenario de condiciones estables para variables claves (crecimiento del producto, tipo de cambio y tasa de interés); sin embargo, para un escenario de volatilidad sobre las variables claves, la sostenibilidad fue de tipo </w:t>
      </w:r>
      <w:r>
        <w:rPr>
          <w:i/>
        </w:rPr>
        <w:t>inconcluyente </w:t>
      </w:r>
      <w:r>
        <w:rPr/>
        <w:t>debido al que el balance primario requerido fue más exigente y durante varios períodos, el resultado fiscal no fue alcanzado.</w:t>
      </w:r>
    </w:p>
    <w:p>
      <w:pPr>
        <w:pStyle w:val="BodyText"/>
        <w:spacing w:line="360" w:lineRule="auto" w:before="4"/>
        <w:ind w:left="102" w:right="120" w:firstLine="707"/>
        <w:jc w:val="both"/>
      </w:pPr>
      <w:r>
        <w:rPr/>
        <w:t>Cuando se omitieron los ingresos fiscales del gas natural, la posición fiscal de Bolivia fue </w:t>
      </w:r>
      <w:r>
        <w:rPr>
          <w:i/>
        </w:rPr>
        <w:t>insostenible </w:t>
      </w:r>
      <w:r>
        <w:rPr/>
        <w:t>en ambos escenarios (estable y volátil). Para finalizar, se recapitula los resultados del capítulo III, en el cual se encontró una insostenibilidad progresiva desde de la nacionalización de los hidrocarburos en Bolivia (año 2006).</w:t>
      </w:r>
    </w:p>
    <w:p>
      <w:pPr>
        <w:pStyle w:val="BodyText"/>
        <w:spacing w:line="360" w:lineRule="auto" w:before="4"/>
        <w:ind w:left="102" w:right="119" w:firstLine="707"/>
        <w:jc w:val="both"/>
      </w:pPr>
      <w:r>
        <w:rPr/>
        <w:t>Un elemento para destacar sobre el manejo de la deuda pública de Bolivia fue su orientación contracíclica a las fluctuaciones de la actividad económica interna y los precios externos del gas natural (aspecto destacable). Pese a ello, se reflejo un rol fiscal deficiente dado el deterioro del resultado fiscal sin recurso natural, la orientación procíclica de la política fiscal, el incremento de la dependencia externa del recurso natural y la insostenibilidad de la posición fiscal (sin recurso natural).</w:t>
      </w:r>
    </w:p>
    <w:p>
      <w:pPr>
        <w:pStyle w:val="BodyText"/>
        <w:spacing w:line="360" w:lineRule="auto" w:before="4"/>
        <w:ind w:left="102" w:right="122" w:firstLine="707"/>
        <w:jc w:val="both"/>
      </w:pPr>
      <w:r>
        <w:rPr/>
        <w:t>De acuerdo con los resultados del capítulo IV, existió un canal de transmisión entre los choques de precios del recurso natural y el resultado fiscal a través de la asignación de los ingresos fiscales al gasto público mediante efectos contemporáneos y dinámicos:</w:t>
      </w:r>
    </w:p>
    <w:p>
      <w:pPr>
        <w:pStyle w:val="ListParagraph"/>
        <w:numPr>
          <w:ilvl w:val="1"/>
          <w:numId w:val="20"/>
        </w:numPr>
        <w:tabs>
          <w:tab w:pos="822" w:val="left" w:leader="none"/>
        </w:tabs>
        <w:spacing w:line="360" w:lineRule="auto" w:before="6" w:after="0"/>
        <w:ind w:left="822" w:right="119" w:hanging="360"/>
        <w:jc w:val="both"/>
        <w:rPr>
          <w:sz w:val="24"/>
        </w:rPr>
      </w:pPr>
      <w:r>
        <w:rPr>
          <w:sz w:val="24"/>
        </w:rPr>
        <w:t>Un choque positivo en el precio del recurso natural afectó negativamente a la asignación de ingresos fiscales del recurso natural hacia el gasto de capital; es decir, el gasto de capital se incrementó en menor proporción que el aumento de los ingresos del recurso</w:t>
      </w:r>
      <w:r>
        <w:rPr>
          <w:spacing w:val="-6"/>
          <w:sz w:val="24"/>
        </w:rPr>
        <w:t> </w:t>
      </w:r>
      <w:r>
        <w:rPr>
          <w:sz w:val="24"/>
        </w:rPr>
        <w:t>natural.</w:t>
      </w:r>
    </w:p>
    <w:p>
      <w:pPr>
        <w:pStyle w:val="ListParagraph"/>
        <w:numPr>
          <w:ilvl w:val="1"/>
          <w:numId w:val="20"/>
        </w:numPr>
        <w:tabs>
          <w:tab w:pos="822" w:val="left" w:leader="none"/>
        </w:tabs>
        <w:spacing w:line="360" w:lineRule="auto" w:before="4" w:after="0"/>
        <w:ind w:left="822" w:right="121" w:hanging="360"/>
        <w:jc w:val="both"/>
        <w:rPr>
          <w:sz w:val="24"/>
        </w:rPr>
      </w:pPr>
      <w:r>
        <w:rPr>
          <w:sz w:val="24"/>
        </w:rPr>
        <w:t>Un choque positivo en el precio del recurso natural incrementó el gasto corriente en mayor proporción que el aumento de los ingresos fiscales sin recurso natural: el gasto corriente fue financiado con parte de los ingresos del gas</w:t>
      </w:r>
      <w:r>
        <w:rPr>
          <w:spacing w:val="-12"/>
          <w:sz w:val="24"/>
        </w:rPr>
        <w:t> </w:t>
      </w:r>
      <w:r>
        <w:rPr>
          <w:sz w:val="24"/>
        </w:rPr>
        <w:t>natural.</w:t>
      </w:r>
    </w:p>
    <w:p>
      <w:pPr>
        <w:pStyle w:val="ListParagraph"/>
        <w:numPr>
          <w:ilvl w:val="1"/>
          <w:numId w:val="20"/>
        </w:numPr>
        <w:tabs>
          <w:tab w:pos="822" w:val="left" w:leader="none"/>
        </w:tabs>
        <w:spacing w:line="360" w:lineRule="auto" w:before="6" w:after="0"/>
        <w:ind w:left="822" w:right="118" w:hanging="360"/>
        <w:jc w:val="both"/>
        <w:rPr>
          <w:sz w:val="24"/>
        </w:rPr>
      </w:pPr>
      <w:r>
        <w:rPr>
          <w:sz w:val="24"/>
        </w:rPr>
        <w:t>Un choque positivo en asignación de ingresos fiscales al gasto público deterioró el resultado fiscal sin recurso natural (balance no</w:t>
      </w:r>
      <w:r>
        <w:rPr>
          <w:spacing w:val="-11"/>
          <w:sz w:val="24"/>
        </w:rPr>
        <w:t> </w:t>
      </w:r>
      <w:r>
        <w:rPr>
          <w:sz w:val="24"/>
        </w:rPr>
        <w:t>gasífero).</w:t>
      </w:r>
    </w:p>
    <w:p>
      <w:pPr>
        <w:spacing w:after="0" w:line="360" w:lineRule="auto"/>
        <w:jc w:val="both"/>
        <w:rPr>
          <w:sz w:val="24"/>
        </w:rPr>
        <w:sectPr>
          <w:pgSz w:w="12250" w:h="15850"/>
          <w:pgMar w:header="0" w:footer="1037" w:top="1360" w:bottom="1220" w:left="1600" w:right="1580"/>
        </w:sectPr>
      </w:pPr>
    </w:p>
    <w:p>
      <w:pPr>
        <w:pStyle w:val="BodyText"/>
        <w:spacing w:line="360" w:lineRule="auto" w:before="50"/>
        <w:ind w:left="102" w:right="123" w:firstLine="707"/>
        <w:jc w:val="both"/>
      </w:pPr>
      <w:r>
        <w:rPr/>
        <w:t>En suma, los puntos 1), 2) y 3) pueden ser sintetizados de la siguiente manera: para Bolivia,  un choque positivo en el precio del gas natural no se canalizó proporcionalmente  al gasto de capital y provocó un efecto positivo (incremento) sobre el gasto corriente, lo cual deterioro del resultado fiscal sin recurso natural como principal factor</w:t>
      </w:r>
      <w:r>
        <w:rPr>
          <w:spacing w:val="-16"/>
        </w:rPr>
        <w:t> </w:t>
      </w:r>
      <w:r>
        <w:rPr/>
        <w:t>determinante.</w:t>
      </w:r>
    </w:p>
    <w:p>
      <w:pPr>
        <w:pStyle w:val="BodyText"/>
        <w:spacing w:line="360" w:lineRule="auto" w:before="6"/>
        <w:ind w:left="102" w:right="119" w:firstLine="707"/>
        <w:jc w:val="both"/>
      </w:pPr>
      <w:r>
        <w:rPr/>
        <w:t>Los choques positivos de precios del gas natural fueron un factor explicativo para la generación de superávit fiscales para Bolivia. La disminución de la deuda pública  de Bolivia fue explicada principalmente por sus propias innovaciones, por la variabilidad de superávit fiscales y por los choques positivos de precios del recurso natural, lo cual reflejó la orientación contracíclica en el manejo de la deuda</w:t>
      </w:r>
      <w:r>
        <w:rPr>
          <w:spacing w:val="-7"/>
        </w:rPr>
        <w:t> </w:t>
      </w:r>
      <w:r>
        <w:rPr/>
        <w:t>pública.</w:t>
      </w:r>
    </w:p>
    <w:p>
      <w:pPr>
        <w:pStyle w:val="BodyText"/>
        <w:spacing w:line="360" w:lineRule="auto" w:before="4"/>
        <w:ind w:left="102" w:right="115" w:firstLine="707"/>
        <w:jc w:val="both"/>
      </w:pPr>
      <w:r>
        <w:rPr>
          <w:w w:val="222"/>
        </w:rPr>
        <w:t> </w:t>
      </w:r>
      <w:r>
        <w:rPr>
          <w:w w:val="177"/>
        </w:rPr>
        <w:t> </w:t>
      </w:r>
      <w:r>
        <w:rPr>
          <w:w w:val="155"/>
        </w:rPr>
        <w:t>  </w:t>
      </w:r>
      <w:r>
        <w:rPr/>
        <w:t> </w:t>
      </w:r>
      <w:r>
        <w:rPr>
          <w:w w:val="177"/>
        </w:rPr>
        <w:t> </w:t>
      </w:r>
      <w:r>
        <w:rPr>
          <w:w w:val="111"/>
        </w:rPr>
        <w:t> </w:t>
      </w:r>
      <w:r>
        <w:rPr/>
        <w:t> </w:t>
      </w:r>
      <w:r>
        <w:rPr>
          <w:w w:val="195"/>
        </w:rPr>
        <w:t>     </w:t>
      </w:r>
      <w:r>
        <w:rPr>
          <w:w w:val="200"/>
        </w:rPr>
        <w:t>  </w:t>
      </w:r>
      <w:r>
        <w:rPr/>
        <w:t> </w:t>
      </w:r>
      <w:r>
        <w:rPr>
          <w:w w:val="155"/>
        </w:rPr>
        <w:t>  </w:t>
      </w:r>
      <w:r>
        <w:rPr>
          <w:w w:val="177"/>
        </w:rPr>
        <w:t>  </w:t>
      </w:r>
      <w:r>
        <w:rPr>
          <w:w w:val="200"/>
        </w:rPr>
        <w:t> </w:t>
      </w:r>
      <w:r>
        <w:rPr/>
        <w:t>  </w:t>
      </w:r>
      <w:r>
        <w:rPr>
          <w:w w:val="1"/>
        </w:rPr>
        <w:t> </w:t>
      </w:r>
      <w:r>
        <w:rPr/>
        <w:t> </w:t>
      </w:r>
      <w:r>
        <w:rPr>
          <w:w w:val="188"/>
        </w:rPr>
        <w:t>  </w:t>
      </w:r>
      <w:r>
        <w:rPr>
          <w:w w:val="148"/>
        </w:rPr>
        <w:t>   </w:t>
      </w:r>
      <w:r>
        <w:rPr/>
        <w:t> </w:t>
      </w:r>
      <w:r>
        <w:rPr>
          <w:w w:val="177"/>
        </w:rPr>
        <w:t> </w:t>
      </w:r>
      <w:r>
        <w:rPr>
          <w:w w:val="111"/>
        </w:rPr>
        <w:t> </w:t>
      </w:r>
      <w:r>
        <w:rPr/>
        <w:t> </w:t>
      </w:r>
      <w:r>
        <w:rPr>
          <w:w w:val="200"/>
        </w:rPr>
        <w:t>   </w:t>
      </w:r>
      <w:r>
        <w:rPr/>
        <w:t>6 la prospectiva señala una senda creciente de los precios del gas natural en torno a su pasado reciente y en función de las expectativas de crecimiento de los precios del petróleo.</w:t>
      </w:r>
    </w:p>
    <w:p>
      <w:pPr>
        <w:pStyle w:val="BodyText"/>
        <w:spacing w:line="360" w:lineRule="auto" w:before="6"/>
        <w:ind w:left="102" w:right="115" w:firstLine="707"/>
        <w:jc w:val="both"/>
      </w:pPr>
      <w:r>
        <w:rPr/>
        <w:t>Para el caso de Bolivia, se espera un incremento optimista en la producción del gas natural dada las condiciones contractuales de los mercados de exportación del gas  boliviano, así como el plan de inversiones y producción realizado por la empresa hidrocarburífera de Bolivia, todos estos elementos fueron explicados en el capítulo II y como elementos de proyección para las estimaciones (capítulo</w:t>
      </w:r>
      <w:r>
        <w:rPr>
          <w:spacing w:val="-15"/>
        </w:rPr>
        <w:t> </w:t>
      </w:r>
      <w:r>
        <w:rPr/>
        <w:t>IV).</w:t>
      </w:r>
    </w:p>
    <w:p>
      <w:pPr>
        <w:pStyle w:val="BodyText"/>
        <w:spacing w:line="360" w:lineRule="auto" w:before="4"/>
        <w:ind w:left="102" w:right="118" w:firstLine="707"/>
        <w:jc w:val="both"/>
      </w:pPr>
      <w:r>
        <w:rPr/>
        <w:t>De forma adicional, para el mediano plazo se espera una tasa de crecimiento del producto real en torno al 5%: la economía boliviana crecería alrededor de su producto potencial con tasas de interés estables para la deuda pública (variables de control empleadas en la modelación).</w:t>
      </w:r>
    </w:p>
    <w:p>
      <w:pPr>
        <w:pStyle w:val="BodyText"/>
        <w:spacing w:line="360" w:lineRule="auto" w:before="4"/>
        <w:ind w:left="102" w:right="115" w:firstLine="707"/>
        <w:jc w:val="both"/>
      </w:pPr>
      <w:r>
        <w:rPr/>
        <w:t>La expectativa creciente en los precios del gas natural, la expansión de la  producción gasífera y el crecimiento económico en torno a su nivel potencial influirían con una tendencia a la presencia de superávits fiscales primarios. En consecuencia, en el capítulo IV se mencionó que existe una probabilidad considerable para la disminución de la deuda pública en el mediano plazo (alrededor del 0.60 de</w:t>
      </w:r>
      <w:r>
        <w:rPr>
          <w:spacing w:val="-10"/>
        </w:rPr>
        <w:t> </w:t>
      </w:r>
      <w:r>
        <w:rPr/>
        <w:t>probabilidad).</w:t>
      </w:r>
    </w:p>
    <w:p>
      <w:pPr>
        <w:pStyle w:val="BodyText"/>
        <w:spacing w:line="360" w:lineRule="auto" w:before="4"/>
        <w:ind w:left="102" w:right="116" w:firstLine="707"/>
        <w:jc w:val="both"/>
      </w:pPr>
      <w:r>
        <w:rPr/>
        <w:t>Sin embargo, dada la ausencia de una regla fiscal en Bolivia, brinda la posibilidad  de incrementos no controlables en el gasto público, presencia de déficits fiscales, y por consiguiente,  incremento de la deuda pública. En consecuencia,  bajo un escenario base </w:t>
      </w:r>
      <w:r>
        <w:rPr>
          <w:spacing w:val="18"/>
        </w:rPr>
        <w:t> </w:t>
      </w:r>
      <w:r>
        <w:rPr/>
        <w:t>de</w:t>
      </w:r>
    </w:p>
    <w:p>
      <w:pPr>
        <w:spacing w:after="0" w:line="360" w:lineRule="auto"/>
        <w:jc w:val="both"/>
        <w:sectPr>
          <w:pgSz w:w="12250" w:h="15850"/>
          <w:pgMar w:header="0" w:footer="1037" w:top="1360" w:bottom="1220" w:left="1600" w:right="1580"/>
        </w:sectPr>
      </w:pPr>
    </w:p>
    <w:p>
      <w:pPr>
        <w:pStyle w:val="BodyText"/>
        <w:tabs>
          <w:tab w:pos="4922" w:val="left" w:leader="none"/>
        </w:tabs>
        <w:spacing w:line="328" w:lineRule="auto" w:before="50"/>
        <w:ind w:left="122" w:right="119"/>
        <w:rPr>
          <w:sz w:val="16"/>
        </w:rPr>
      </w:pPr>
      <w:r>
        <w:rPr/>
        <w:t>trayectoria probalística    al 90%</w:t>
      </w:r>
      <w:r>
        <w:rPr>
          <w:spacing w:val="55"/>
        </w:rPr>
        <w:t> </w:t>
      </w:r>
      <w:r>
        <w:rPr/>
        <w:t>de</w:t>
      </w:r>
      <w:r>
        <w:rPr>
          <w:spacing w:val="19"/>
        </w:rPr>
        <w:t> </w:t>
      </w:r>
      <w:r>
        <w:rPr/>
        <w:t>confianza</w:t>
        <w:tab/>
        <w:t>la deuda pública máxima </w:t>
      </w:r>
      <w:r>
        <w:rPr>
          <w:spacing w:val="14"/>
        </w:rPr>
        <w:t> </w:t>
      </w:r>
      <w:r>
        <w:rPr/>
        <w:t>podría</w:t>
      </w:r>
      <w:r>
        <w:rPr>
          <w:spacing w:val="20"/>
        </w:rPr>
        <w:t> </w:t>
      </w:r>
      <w:r>
        <w:rPr/>
        <w:t>alcanzar hasta el  48% del PIB.</w:t>
      </w:r>
      <w:r>
        <w:rPr>
          <w:spacing w:val="-2"/>
        </w:rPr>
        <w:t> </w:t>
      </w:r>
      <w:r>
        <w:rPr>
          <w:position w:val="11"/>
          <w:sz w:val="16"/>
        </w:rPr>
        <w:t>81</w:t>
      </w:r>
    </w:p>
    <w:p>
      <w:pPr>
        <w:pStyle w:val="BodyText"/>
        <w:spacing w:before="4"/>
        <w:rPr>
          <w:sz w:val="23"/>
        </w:rPr>
      </w:pPr>
    </w:p>
    <w:p>
      <w:pPr>
        <w:pStyle w:val="Heading4"/>
        <w:numPr>
          <w:ilvl w:val="0"/>
          <w:numId w:val="19"/>
        </w:numPr>
        <w:tabs>
          <w:tab w:pos="842" w:val="left" w:leader="none"/>
        </w:tabs>
        <w:spacing w:line="240" w:lineRule="auto" w:before="0" w:after="0"/>
        <w:ind w:left="842" w:right="0" w:hanging="360"/>
        <w:jc w:val="left"/>
      </w:pPr>
      <w:bookmarkStart w:name="_bookmark158" w:id="214"/>
      <w:bookmarkEnd w:id="214"/>
      <w:r>
        <w:rPr>
          <w:b w:val="0"/>
        </w:rPr>
      </w:r>
      <w:bookmarkStart w:name="_bookmark158" w:id="215"/>
      <w:bookmarkEnd w:id="215"/>
      <w:r>
        <w:rPr/>
        <w:t>Discusión</w:t>
      </w:r>
      <w:r>
        <w:rPr/>
        <w:t> de</w:t>
      </w:r>
      <w:r>
        <w:rPr>
          <w:spacing w:val="-4"/>
        </w:rPr>
        <w:t> </w:t>
      </w:r>
      <w:r>
        <w:rPr/>
        <w:t>resultados</w:t>
      </w:r>
    </w:p>
    <w:p>
      <w:pPr>
        <w:pStyle w:val="BodyText"/>
        <w:rPr>
          <w:b/>
          <w:sz w:val="29"/>
        </w:rPr>
      </w:pPr>
    </w:p>
    <w:p>
      <w:pPr>
        <w:pStyle w:val="BodyText"/>
        <w:spacing w:line="360" w:lineRule="auto"/>
        <w:ind w:left="122" w:right="120" w:firstLine="707"/>
        <w:jc w:val="both"/>
      </w:pPr>
      <w:r>
        <w:rPr/>
        <w:t>En el capítulo I se propuso un modelo hipotético (p. 32) que mostraba las relaciones entre: 1) choques de precios del gas natural; 2) asignación de ingresos fiscales (con y sin recurso natural) al gasto público (capital y corriente); 3) resultados fiscales; y 4) deuda pública.</w:t>
      </w:r>
    </w:p>
    <w:p>
      <w:pPr>
        <w:pStyle w:val="BodyText"/>
        <w:spacing w:line="360" w:lineRule="auto" w:before="7"/>
        <w:ind w:left="122" w:right="120" w:firstLine="767"/>
        <w:jc w:val="both"/>
      </w:pPr>
      <w:r>
        <w:rPr/>
        <w:t>Con base en el caso de Bolivia,  se encontró que la asignación de ingresos fiscales  al gasto público fue el canal de transmisión entre los choques de precios del recurso natural y los resultados fiscales (con y sin recurso</w:t>
      </w:r>
      <w:r>
        <w:rPr>
          <w:spacing w:val="-10"/>
        </w:rPr>
        <w:t> </w:t>
      </w:r>
      <w:r>
        <w:rPr/>
        <w:t>natural).</w:t>
      </w:r>
    </w:p>
    <w:p>
      <w:pPr>
        <w:pStyle w:val="BodyText"/>
        <w:spacing w:line="360" w:lineRule="auto" w:before="4"/>
        <w:ind w:left="122" w:right="122" w:firstLine="767"/>
        <w:jc w:val="both"/>
      </w:pPr>
      <w:r>
        <w:rPr/>
        <w:t>A continuación se explicará, para el caso de Bolivia, como el gasto de capital y el gasto corriente en términos de ingresos fiscales  reaccionaron frente a un choque positivo  en el precio del gas natural comparado con la respuesta esperada de las posturas  Keynesiana y neoclásica</w:t>
      </w:r>
      <w:r>
        <w:rPr>
          <w:spacing w:val="-2"/>
        </w:rPr>
        <w:t> </w:t>
      </w:r>
      <w:r>
        <w:rPr/>
        <w:t>.</w:t>
      </w:r>
    </w:p>
    <w:p>
      <w:pPr>
        <w:pStyle w:val="BodyText"/>
        <w:spacing w:line="360" w:lineRule="auto" w:before="4"/>
        <w:ind w:left="122" w:right="118" w:firstLine="707"/>
        <w:jc w:val="both"/>
      </w:pPr>
      <w:r>
        <w:rPr/>
        <w:t>La reacción del gasto corriente y gasto de capital de Bolivia no concuerdan con lo sugerido por la postura neoclásica y la Keynesiana frente a un choque positivo en los precios del recurso natural.</w:t>
      </w:r>
    </w:p>
    <w:p>
      <w:pPr>
        <w:pStyle w:val="BodyText"/>
        <w:spacing w:line="360" w:lineRule="auto" w:before="6"/>
        <w:ind w:left="122" w:right="119" w:firstLine="707"/>
        <w:jc w:val="both"/>
      </w:pPr>
      <w:r>
        <w:rPr/>
        <w:t>Un choque positivo en el precio del gas natural reaccionó de forma negativa sobre  el gasto de capital en términos de los ingresos fiscales del recurso natural. De acuerdo a la postura                                                                                                                         gresos del recurso natural debieron canalizarse proporcionalmente al gasto de capital e inclusive como una reacción positiva como fruto de la asignación de otros ingresos fiscales distintos del recurso natural. Una reacción neutral hubiese reflejado que los choques del recurso natural no afecten al gasto de capital de forma independiente  a lo que suceda  con  los  ingre                                       lo cual es   acorde a la orientación  neoclásica de la   economía.</w:t>
      </w:r>
    </w:p>
    <w:p>
      <w:pPr>
        <w:pStyle w:val="BodyText"/>
        <w:spacing w:line="360" w:lineRule="auto" w:before="6"/>
        <w:ind w:left="122" w:right="118" w:firstLine="707"/>
        <w:jc w:val="both"/>
      </w:pPr>
      <w:r>
        <w:rPr/>
        <w:t>Para el gasto corriente, el efecto encontrado fue contrario a la reacción del gasto de capital.  Un choque positivo afectó de  forma positiva al gasto corriente: por tanto, el   gasto</w:t>
      </w:r>
    </w:p>
    <w:p>
      <w:pPr>
        <w:pStyle w:val="BodyText"/>
        <w:rPr>
          <w:sz w:val="20"/>
        </w:rPr>
      </w:pPr>
    </w:p>
    <w:p>
      <w:pPr>
        <w:pStyle w:val="BodyText"/>
        <w:spacing w:before="10"/>
        <w:rPr>
          <w:sz w:val="11"/>
        </w:rPr>
      </w:pPr>
      <w:r>
        <w:rPr/>
        <w:pict>
          <v:line style="position:absolute;mso-position-horizontal-relative:page;mso-position-vertical-relative:paragraph;z-index:15424;mso-wrap-distance-left:0;mso-wrap-distance-right:0" from="85.103996pt,9.076722pt" to="229.123996pt,9.076722pt" stroked="true" strokeweight=".60004pt" strokecolor="#000000">
            <w10:wrap type="topAndBottom"/>
          </v:line>
        </w:pict>
      </w:r>
    </w:p>
    <w:p>
      <w:pPr>
        <w:spacing w:before="50"/>
        <w:ind w:left="122" w:right="115" w:firstLine="0"/>
        <w:jc w:val="left"/>
        <w:rPr>
          <w:sz w:val="20"/>
        </w:rPr>
      </w:pPr>
      <w:r>
        <w:rPr>
          <w:position w:val="9"/>
          <w:sz w:val="13"/>
        </w:rPr>
        <w:t>81 </w:t>
      </w:r>
      <w:r>
        <w:rPr>
          <w:sz w:val="20"/>
        </w:rPr>
        <w:t>En el 2011, la deuda pública de Bolivia fue del 28% del PIB . Para el mediano plazo, el máximo incremento probalístico sería hasta el 20% del PIB con relación a su valor inicial observado.</w:t>
      </w:r>
    </w:p>
    <w:p>
      <w:pPr>
        <w:spacing w:after="0"/>
        <w:jc w:val="left"/>
        <w:rPr>
          <w:sz w:val="20"/>
        </w:rPr>
        <w:sectPr>
          <w:footerReference w:type="default" r:id="rId340"/>
          <w:pgSz w:w="12250" w:h="15850"/>
          <w:pgMar w:footer="1037" w:header="0" w:top="1360" w:bottom="1220" w:left="1580" w:right="1580"/>
        </w:sectPr>
      </w:pPr>
    </w:p>
    <w:p>
      <w:pPr>
        <w:pStyle w:val="BodyText"/>
        <w:spacing w:line="360" w:lineRule="auto" w:before="50"/>
        <w:ind w:left="102" w:right="120"/>
        <w:jc w:val="both"/>
      </w:pPr>
      <w:r>
        <w:rPr/>
        <w:t>corriente se incrementó en mayor proporción que los ingresos fiscales sin recurso natural,   y en cierta medida, financiados por los ingresos del recurso natural. Desde la postura Keynesiana se hubiera encontrado una reacción negativa a los choques de precios del recurso natural, basado en la orientación contracíclica que debe seguir el  gasto corriente.  En contraste, para la postura neoclásica se hubiera observado una respuesta neutral del  gasto corriente frente a un choque positivo en el precio del recurso</w:t>
      </w:r>
      <w:r>
        <w:rPr>
          <w:spacing w:val="-13"/>
        </w:rPr>
        <w:t> </w:t>
      </w:r>
      <w:r>
        <w:rPr/>
        <w:t>natural.</w:t>
      </w:r>
    </w:p>
    <w:p>
      <w:pPr>
        <w:pStyle w:val="BodyText"/>
        <w:spacing w:line="360" w:lineRule="auto" w:before="6"/>
        <w:ind w:left="102" w:right="117" w:firstLine="707"/>
        <w:jc w:val="both"/>
      </w:pPr>
      <w:r>
        <w:rPr/>
        <w:t>En el capítulo II se demostró que el ahorro de los ingresos del recurso natural, así como el establecimiento de un fondo soberano restringe el máximo déficit del balance primario no petrolero al rendimiento del fondo de inversiones, de esta forma, se obtendría un mejor prospecto para la disminución de la deuda pública; por tanto, mediante la aplicación de la teoría  del ingreso permanente                            mejoraría la     sostenibilidad</w:t>
      </w:r>
      <w:r>
        <w:rPr>
          <w:spacing w:val="-5"/>
        </w:rPr>
        <w:t> </w:t>
      </w:r>
      <w:r>
        <w:rPr/>
        <w:t>fiscal.</w:t>
      </w:r>
    </w:p>
    <w:p>
      <w:pPr>
        <w:pStyle w:val="BodyText"/>
        <w:spacing w:line="360" w:lineRule="auto" w:before="6"/>
        <w:ind w:left="102" w:right="117" w:firstLine="707"/>
        <w:jc w:val="both"/>
      </w:pPr>
      <w:r>
        <w:rPr/>
        <w:t>La gran limitante de la teoría del ingreso permanente se centra en su impacto negativo sobre el consumo del gobierno y la inversión pública: disminuye el bienestar  social dada una contracción continúa del producto en comparación con el crecimiento observado de Bolivia durante el período 2003-</w:t>
      </w:r>
      <w:r>
        <w:rPr>
          <w:spacing w:val="-6"/>
        </w:rPr>
        <w:t> </w:t>
      </w:r>
      <w:r>
        <w:rPr/>
        <w:t>2011.</w:t>
      </w:r>
    </w:p>
    <w:p>
      <w:pPr>
        <w:pStyle w:val="BodyText"/>
        <w:spacing w:line="360" w:lineRule="auto" w:before="6"/>
        <w:ind w:left="102" w:right="115" w:firstLine="767"/>
        <w:jc w:val="both"/>
      </w:pPr>
      <w:r>
        <w:rPr/>
        <w:t>Una postura contraria, es la teoría modificada del ingreso permanente, la cual recomienda canalizar los ingresos fiscales del recurso natural a la inversión pública (van  der Ploeg &amp; Venables, 2009; Moss, 2011; Baunsgaard, et al., 2012; Cherif &amp; Hasanov, 2011)</w:t>
      </w:r>
      <w:r>
        <w:rPr>
          <w:spacing w:val="-1"/>
        </w:rPr>
        <w:t> </w:t>
      </w:r>
      <w:r>
        <w:rPr>
          <w:spacing w:val="-1"/>
          <w:w w:val="177"/>
        </w:rPr>
        <w:t> </w:t>
      </w:r>
      <w:r>
        <w:rPr>
          <w:w w:val="200"/>
        </w:rPr>
        <w:t>  </w:t>
      </w:r>
      <w:r>
        <w:rPr/>
        <w:t> </w:t>
      </w:r>
      <w:r>
        <w:rPr>
          <w:spacing w:val="2"/>
          <w:w w:val="200"/>
        </w:rPr>
        <w:t> </w:t>
      </w:r>
      <w:r>
        <w:rPr>
          <w:spacing w:val="-1"/>
          <w:w w:val="177"/>
        </w:rPr>
        <w:t> </w:t>
      </w:r>
      <w:r>
        <w:rPr>
          <w:w w:val="166"/>
        </w:rPr>
        <w:t>  </w:t>
      </w:r>
      <w:r>
        <w:rPr>
          <w:spacing w:val="1"/>
        </w:rPr>
        <w:t> </w:t>
      </w:r>
      <w:r>
        <w:rPr>
          <w:spacing w:val="-1"/>
          <w:w w:val="177"/>
        </w:rPr>
        <w:t> </w:t>
      </w:r>
      <w:r>
        <w:rPr>
          <w:w w:val="200"/>
        </w:rPr>
        <w:t> </w:t>
      </w:r>
      <w:r>
        <w:rPr/>
        <w:t> </w:t>
      </w:r>
      <w:r>
        <w:rPr>
          <w:w w:val="144"/>
        </w:rPr>
        <w:t>  </w:t>
      </w:r>
      <w:r>
        <w:rPr/>
        <w:t> </w:t>
      </w:r>
      <w:r>
        <w:rPr>
          <w:spacing w:val="1"/>
          <w:w w:val="200"/>
        </w:rPr>
        <w:t> </w:t>
      </w:r>
      <w:r>
        <w:rPr>
          <w:spacing w:val="-1"/>
          <w:w w:val="177"/>
        </w:rPr>
        <w:t> </w:t>
      </w:r>
      <w:r>
        <w:rPr>
          <w:w w:val="144"/>
        </w:rPr>
        <w:t> </w:t>
      </w:r>
      <w:r>
        <w:rPr>
          <w:spacing w:val="1"/>
          <w:w w:val="144"/>
        </w:rPr>
        <w:t> </w:t>
      </w:r>
      <w:r>
        <w:rPr>
          <w:w w:val="188"/>
        </w:rPr>
        <w:t> </w:t>
      </w:r>
      <w:r>
        <w:rPr>
          <w:spacing w:val="-1"/>
          <w:w w:val="188"/>
        </w:rPr>
        <w:t> </w:t>
      </w:r>
      <w:r>
        <w:rPr>
          <w:spacing w:val="-1"/>
          <w:w w:val="177"/>
        </w:rPr>
        <w:t> </w:t>
      </w:r>
      <w:r>
        <w:rPr>
          <w:w w:val="111"/>
        </w:rPr>
        <w:t>  </w:t>
      </w:r>
      <w:r>
        <w:rPr>
          <w:w w:val="188"/>
        </w:rPr>
        <w:t>  </w:t>
      </w:r>
      <w:r>
        <w:rPr>
          <w:spacing w:val="-1"/>
        </w:rPr>
        <w:t> </w:t>
      </w:r>
      <w:r>
        <w:rPr>
          <w:spacing w:val="1"/>
          <w:w w:val="288"/>
        </w:rPr>
        <w:t> </w:t>
      </w:r>
      <w:r>
        <w:rPr>
          <w:spacing w:val="3"/>
          <w:w w:val="177"/>
        </w:rPr>
        <w:t> </w:t>
      </w:r>
      <w:r>
        <w:rPr>
          <w:spacing w:val="-5"/>
          <w:w w:val="200"/>
        </w:rPr>
        <w:t> </w:t>
      </w:r>
      <w:r>
        <w:rPr>
          <w:w w:val="188"/>
        </w:rPr>
        <w:t> </w:t>
      </w:r>
      <w:r>
        <w:rPr>
          <w:spacing w:val="-1"/>
          <w:w w:val="188"/>
        </w:rPr>
        <w:t> </w:t>
      </w:r>
      <w:r>
        <w:rPr>
          <w:w w:val="164"/>
        </w:rPr>
        <w:t>     </w:t>
      </w:r>
      <w:r>
        <w:rPr/>
        <w:t>  </w:t>
      </w:r>
      <w:r>
        <w:rPr>
          <w:w w:val="1"/>
        </w:rPr>
        <w:t> </w:t>
      </w:r>
      <w:r>
        <w:rPr/>
        <w:t> </w:t>
      </w:r>
      <w:r>
        <w:rPr>
          <w:spacing w:val="2"/>
        </w:rPr>
        <w:t> </w:t>
      </w:r>
      <w:r>
        <w:rPr>
          <w:spacing w:val="-1"/>
          <w:w w:val="177"/>
        </w:rPr>
        <w:t> </w:t>
      </w:r>
      <w:r>
        <w:rPr>
          <w:w w:val="111"/>
        </w:rPr>
        <w:t> </w:t>
      </w:r>
      <w:r>
        <w:rPr>
          <w:spacing w:val="2"/>
        </w:rPr>
        <w:t> </w:t>
      </w:r>
      <w:r>
        <w:rPr>
          <w:spacing w:val="-3"/>
          <w:w w:val="200"/>
        </w:rPr>
        <w:t> </w:t>
      </w:r>
      <w:r>
        <w:rPr>
          <w:spacing w:val="-1"/>
          <w:w w:val="177"/>
        </w:rPr>
        <w:t> </w:t>
      </w:r>
      <w:r>
        <w:rPr>
          <w:w w:val="155"/>
        </w:rPr>
        <w:t>   </w:t>
      </w:r>
      <w:r>
        <w:rPr/>
        <w:t> </w:t>
      </w:r>
      <w:r>
        <w:rPr>
          <w:w w:val="200"/>
        </w:rPr>
        <w:t>  </w:t>
      </w:r>
      <w:r>
        <w:rPr>
          <w:w w:val="140"/>
        </w:rPr>
        <w:t>   </w:t>
      </w:r>
      <w:r>
        <w:rPr>
          <w:spacing w:val="-1"/>
          <w:w w:val="177"/>
        </w:rPr>
        <w:t> </w:t>
      </w:r>
      <w:r>
        <w:rPr>
          <w:w w:val="200"/>
        </w:rPr>
        <w:t> </w:t>
      </w:r>
      <w:r>
        <w:rPr>
          <w:spacing w:val="4"/>
        </w:rPr>
        <w:t> </w:t>
      </w:r>
      <w:r>
        <w:rPr>
          <w:spacing w:val="-3"/>
          <w:w w:val="200"/>
        </w:rPr>
        <w:t> </w:t>
      </w:r>
      <w:r>
        <w:rPr>
          <w:spacing w:val="-1"/>
          <w:w w:val="177"/>
        </w:rPr>
        <w:t> </w:t>
      </w:r>
      <w:r>
        <w:rPr>
          <w:w w:val="188"/>
        </w:rPr>
        <w:t> </w:t>
      </w:r>
      <w:r>
        <w:rPr>
          <w:spacing w:val="1"/>
          <w:w w:val="188"/>
        </w:rPr>
        <w:t> </w:t>
      </w:r>
      <w:r>
        <w:rPr>
          <w:w w:val="155"/>
        </w:rPr>
        <w:t>  </w:t>
      </w:r>
      <w:r>
        <w:rPr>
          <w:spacing w:val="-2"/>
        </w:rPr>
        <w:t> </w:t>
      </w:r>
      <w:r>
        <w:rPr>
          <w:w w:val="200"/>
        </w:rPr>
        <w:t>  </w:t>
      </w:r>
      <w:r>
        <w:rPr>
          <w:spacing w:val="2"/>
        </w:rPr>
        <w:t> </w:t>
      </w:r>
      <w:r>
        <w:rPr>
          <w:spacing w:val="1"/>
          <w:w w:val="177"/>
        </w:rPr>
        <w:t> </w:t>
      </w:r>
      <w:r>
        <w:rPr>
          <w:w w:val="155"/>
        </w:rPr>
        <w:t> </w:t>
      </w:r>
      <w:r>
        <w:rPr>
          <w:spacing w:val="-2"/>
          <w:w w:val="155"/>
        </w:rPr>
        <w:t> </w:t>
      </w:r>
      <w:r>
        <w:rPr>
          <w:spacing w:val="-1"/>
          <w:w w:val="177"/>
        </w:rPr>
        <w:t> </w:t>
      </w:r>
      <w:r>
        <w:rPr>
          <w:w w:val="155"/>
        </w:rPr>
        <w:t>  </w:t>
      </w:r>
      <w:r>
        <w:rPr/>
        <w:t> </w:t>
      </w:r>
      <w:r>
        <w:rPr>
          <w:w w:val="185"/>
        </w:rPr>
        <w:t>   </w:t>
      </w:r>
      <w:r>
        <w:rPr>
          <w:w w:val="111"/>
        </w:rPr>
        <w:t>  </w:t>
      </w:r>
      <w:r>
        <w:rPr>
          <w:w w:val="170"/>
        </w:rPr>
        <w:t>   </w:t>
      </w:r>
      <w:r>
        <w:rPr/>
        <w:t> </w:t>
      </w:r>
      <w:r>
        <w:rPr>
          <w:w w:val="188"/>
        </w:rPr>
        <w:t>  </w:t>
      </w:r>
    </w:p>
    <w:p>
      <w:pPr>
        <w:pStyle w:val="BodyText"/>
        <w:spacing w:line="360" w:lineRule="auto" w:before="6"/>
        <w:ind w:left="102" w:right="121"/>
        <w:jc w:val="both"/>
      </w:pPr>
      <w:r>
        <w:rPr>
          <w:w w:val="144"/>
        </w:rPr>
        <w:t>  </w:t>
      </w:r>
      <w:r>
        <w:rPr/>
        <w:t> </w:t>
      </w:r>
      <w:r>
        <w:rPr>
          <w:spacing w:val="1"/>
        </w:rPr>
        <w:t> </w:t>
      </w:r>
      <w:r>
        <w:rPr>
          <w:w w:val="188"/>
        </w:rPr>
        <w:t> </w:t>
      </w:r>
      <w:r>
        <w:rPr>
          <w:spacing w:val="-1"/>
          <w:w w:val="188"/>
        </w:rPr>
        <w:t> </w:t>
      </w:r>
      <w:r>
        <w:rPr>
          <w:w w:val="213"/>
        </w:rPr>
        <w:t>     </w:t>
      </w:r>
      <w:r>
        <w:rPr/>
        <w:t>  </w:t>
      </w:r>
      <w:r>
        <w:rPr>
          <w:spacing w:val="1"/>
          <w:w w:val="177"/>
        </w:rPr>
        <w:t> </w:t>
      </w:r>
      <w:r>
        <w:rPr>
          <w:spacing w:val="-3"/>
          <w:w w:val="200"/>
        </w:rPr>
        <w:t> </w:t>
      </w:r>
      <w:r>
        <w:rPr>
          <w:spacing w:val="1"/>
          <w:w w:val="133"/>
        </w:rPr>
        <w:t> </w:t>
      </w:r>
      <w:r>
        <w:rPr>
          <w:spacing w:val="1"/>
          <w:w w:val="177"/>
        </w:rPr>
        <w:t> </w:t>
      </w:r>
      <w:r>
        <w:rPr>
          <w:spacing w:val="-3"/>
          <w:w w:val="200"/>
        </w:rPr>
        <w:t> </w:t>
      </w:r>
      <w:r>
        <w:rPr>
          <w:spacing w:val="-1"/>
          <w:w w:val="177"/>
        </w:rPr>
        <w:t> </w:t>
      </w:r>
      <w:r>
        <w:rPr>
          <w:w w:val="188"/>
        </w:rPr>
        <w:t>  </w:t>
      </w:r>
      <w:r>
        <w:rPr>
          <w:spacing w:val="-1"/>
        </w:rPr>
        <w:t> </w:t>
      </w:r>
      <w:r>
        <w:rPr>
          <w:w w:val="50"/>
        </w:rPr>
        <w:t>  </w:t>
      </w:r>
      <w:r>
        <w:rPr/>
        <w:t>   </w:t>
      </w:r>
      <w:r>
        <w:rPr>
          <w:spacing w:val="6"/>
        </w:rPr>
        <w:t> </w:t>
      </w:r>
      <w:r>
        <w:rPr>
          <w:w w:val="168"/>
        </w:rPr>
        <w:t>     </w:t>
      </w:r>
      <w:r>
        <w:rPr/>
        <w:t> </w:t>
      </w:r>
      <w:r>
        <w:rPr>
          <w:spacing w:val="1"/>
        </w:rPr>
        <w:t> </w:t>
      </w:r>
      <w:r>
        <w:rPr>
          <w:spacing w:val="-1"/>
          <w:w w:val="177"/>
        </w:rPr>
        <w:t> </w:t>
      </w:r>
      <w:r>
        <w:rPr>
          <w:w w:val="166"/>
        </w:rPr>
        <w:t>    </w:t>
      </w:r>
      <w:r>
        <w:rPr>
          <w:w w:val="188"/>
        </w:rPr>
        <w:t> </w:t>
      </w:r>
      <w:r>
        <w:rPr>
          <w:spacing w:val="-1"/>
          <w:w w:val="188"/>
        </w:rPr>
        <w:t> </w:t>
      </w:r>
      <w:r>
        <w:rPr>
          <w:w w:val="155"/>
        </w:rPr>
        <w:t> </w:t>
      </w:r>
      <w:r>
        <w:rPr>
          <w:spacing w:val="-2"/>
          <w:w w:val="155"/>
        </w:rPr>
        <w:t> </w:t>
      </w:r>
      <w:r>
        <w:rPr>
          <w:spacing w:val="-1"/>
          <w:w w:val="177"/>
        </w:rPr>
        <w:t> </w:t>
      </w:r>
      <w:r>
        <w:rPr>
          <w:w w:val="168"/>
        </w:rPr>
        <w:t>     </w:t>
      </w:r>
      <w:r>
        <w:rPr/>
        <w:t> </w:t>
      </w:r>
      <w:r>
        <w:rPr>
          <w:spacing w:val="4"/>
        </w:rPr>
        <w:t> </w:t>
      </w:r>
      <w:r>
        <w:rPr>
          <w:w w:val="170"/>
        </w:rPr>
        <w:t>  </w:t>
      </w:r>
      <w:r>
        <w:rPr>
          <w:spacing w:val="-2"/>
          <w:w w:val="170"/>
        </w:rPr>
        <w:t> </w:t>
      </w:r>
      <w:r>
        <w:rPr>
          <w:w w:val="177"/>
        </w:rPr>
        <w:t>   </w:t>
      </w:r>
      <w:r>
        <w:rPr/>
        <w:t> </w:t>
      </w:r>
      <w:r>
        <w:rPr>
          <w:spacing w:val="1"/>
        </w:rPr>
        <w:t> </w:t>
      </w:r>
      <w:r>
        <w:rPr>
          <w:spacing w:val="-1"/>
          <w:w w:val="177"/>
        </w:rPr>
        <w:t> </w:t>
      </w:r>
      <w:r>
        <w:rPr>
          <w:w w:val="140"/>
        </w:rPr>
        <w:t>   </w:t>
      </w:r>
      <w:r>
        <w:rPr>
          <w:spacing w:val="-1"/>
          <w:w w:val="177"/>
        </w:rPr>
        <w:t>  </w:t>
      </w:r>
      <w:r>
        <w:rPr>
          <w:spacing w:val="2"/>
          <w:w w:val="200"/>
        </w:rPr>
        <w:t> </w:t>
      </w:r>
      <w:r>
        <w:rPr>
          <w:spacing w:val="-1"/>
          <w:w w:val="177"/>
        </w:rPr>
        <w:t> </w:t>
      </w:r>
      <w:r>
        <w:rPr>
          <w:w w:val="155"/>
        </w:rPr>
        <w:t> </w:t>
      </w:r>
      <w:r>
        <w:rPr/>
        <w:t> </w:t>
      </w:r>
      <w:r>
        <w:rPr>
          <w:spacing w:val="2"/>
        </w:rPr>
        <w:t> </w:t>
      </w:r>
      <w:r>
        <w:rPr>
          <w:w w:val="188"/>
        </w:rPr>
        <w:t> </w:t>
      </w:r>
      <w:r>
        <w:rPr>
          <w:spacing w:val="-1"/>
          <w:w w:val="188"/>
        </w:rPr>
        <w:t> </w:t>
      </w:r>
      <w:r>
        <w:rPr>
          <w:w w:val="155"/>
        </w:rPr>
        <w:t>  </w:t>
      </w:r>
      <w:r>
        <w:rPr/>
        <w:t>  </w:t>
      </w:r>
      <w:r>
        <w:rPr>
          <w:spacing w:val="2"/>
          <w:w w:val="111"/>
        </w:rPr>
        <w:t> </w:t>
      </w:r>
      <w:r>
        <w:rPr>
          <w:w w:val="177"/>
        </w:rPr>
        <w:t> </w:t>
      </w:r>
      <w:r>
        <w:rPr/>
        <w:t> </w:t>
      </w:r>
      <w:r>
        <w:rPr>
          <w:spacing w:val="1"/>
        </w:rPr>
        <w:t> </w:t>
      </w:r>
      <w:r>
        <w:rPr>
          <w:w w:val="166"/>
        </w:rPr>
        <w:t>    </w:t>
      </w:r>
      <w:r>
        <w:rPr>
          <w:spacing w:val="-1"/>
          <w:w w:val="177"/>
        </w:rPr>
        <w:t> </w:t>
      </w:r>
      <w:r>
        <w:rPr>
          <w:w w:val="170"/>
        </w:rPr>
        <w:t>   </w:t>
      </w:r>
      <w:r>
        <w:rPr/>
        <w:t> </w:t>
      </w:r>
      <w:r>
        <w:rPr>
          <w:spacing w:val="2"/>
        </w:rPr>
        <w:t> </w:t>
      </w:r>
      <w:r>
        <w:rPr>
          <w:w w:val="144"/>
        </w:rPr>
        <w:t>   </w:t>
      </w:r>
      <w:r>
        <w:rPr>
          <w:spacing w:val="-1"/>
          <w:w w:val="144"/>
        </w:rPr>
        <w:t> </w:t>
      </w:r>
      <w:r>
        <w:rPr>
          <w:spacing w:val="-1"/>
          <w:w w:val="177"/>
        </w:rPr>
        <w:t> </w:t>
      </w:r>
      <w:r>
        <w:rPr>
          <w:w w:val="111"/>
        </w:rPr>
        <w:t> </w:t>
      </w:r>
      <w:r>
        <w:rPr>
          <w:w w:val="99"/>
        </w:rPr>
        <w:t>(b</w:t>
      </w:r>
      <w:r>
        <w:rPr>
          <w:spacing w:val="-2"/>
          <w:w w:val="99"/>
        </w:rPr>
        <w:t>a</w:t>
      </w:r>
      <w:r>
        <w:rPr>
          <w:w w:val="99"/>
        </w:rPr>
        <w:t>lance</w:t>
      </w:r>
      <w:r>
        <w:rPr>
          <w:spacing w:val="-1"/>
          <w:w w:val="99"/>
        </w:rPr>
        <w:t> f</w:t>
      </w:r>
      <w:r>
        <w:rPr>
          <w:w w:val="99"/>
        </w:rPr>
        <w:t>isc</w:t>
      </w:r>
      <w:r>
        <w:rPr>
          <w:spacing w:val="-2"/>
          <w:w w:val="99"/>
        </w:rPr>
        <w:t>a</w:t>
      </w:r>
      <w:r>
        <w:rPr>
          <w:w w:val="99"/>
        </w:rPr>
        <w:t>l</w:t>
      </w:r>
      <w:r>
        <w:rPr>
          <w:spacing w:val="5"/>
          <w:w w:val="99"/>
        </w:rPr>
        <w:t> </w:t>
      </w:r>
      <w:r>
        <w:rPr>
          <w:w w:val="99"/>
        </w:rPr>
        <w:t>y</w:t>
      </w:r>
      <w:r>
        <w:rPr>
          <w:spacing w:val="-5"/>
          <w:w w:val="99"/>
        </w:rPr>
        <w:t> </w:t>
      </w:r>
      <w:r>
        <w:rPr>
          <w:spacing w:val="2"/>
          <w:w w:val="99"/>
        </w:rPr>
        <w:t>d</w:t>
      </w:r>
      <w:r>
        <w:rPr>
          <w:spacing w:val="-1"/>
          <w:w w:val="99"/>
        </w:rPr>
        <w:t>e</w:t>
      </w:r>
      <w:r>
        <w:rPr>
          <w:w w:val="99"/>
        </w:rPr>
        <w:t>uda</w:t>
      </w:r>
      <w:r>
        <w:rPr>
          <w:spacing w:val="-1"/>
          <w:w w:val="99"/>
        </w:rPr>
        <w:t> </w:t>
      </w:r>
      <w:r>
        <w:rPr>
          <w:spacing w:val="2"/>
          <w:w w:val="99"/>
        </w:rPr>
        <w:t>p</w:t>
      </w:r>
      <w:r>
        <w:rPr>
          <w:w w:val="99"/>
        </w:rPr>
        <w:t>úbli</w:t>
      </w:r>
      <w:r>
        <w:rPr>
          <w:spacing w:val="-1"/>
          <w:w w:val="99"/>
        </w:rPr>
        <w:t>ca</w:t>
      </w:r>
      <w:r>
        <w:rPr>
          <w:w w:val="99"/>
        </w:rPr>
        <w:t>).</w:t>
      </w:r>
    </w:p>
    <w:p>
      <w:pPr>
        <w:pStyle w:val="BodyText"/>
        <w:spacing w:line="360" w:lineRule="auto" w:before="6"/>
        <w:ind w:left="102" w:right="120" w:firstLine="707"/>
        <w:jc w:val="both"/>
      </w:pPr>
      <w:r>
        <w:rPr/>
        <w:t>Cuando los ingresos fiscales del gas natural son canalizados al gasto de capital en </w:t>
      </w:r>
      <w:r>
        <w:rPr>
          <w:i/>
        </w:rPr>
        <w:t>alta proporción </w:t>
      </w:r>
      <w:r>
        <w:rPr/>
        <w:t>(e.j. en 90%), se requiere menor gasto corriente y mayor reasignación al gasto de capital,  lo cual es concordante con los resultados de Agénor y Yilmaz (2011).</w:t>
      </w:r>
    </w:p>
    <w:p>
      <w:pPr>
        <w:pStyle w:val="BodyText"/>
        <w:spacing w:before="6"/>
        <w:ind w:left="870" w:right="127"/>
      </w:pPr>
      <w:r>
        <w:rPr/>
        <w:t>En la medida que la mayor proporción de los </w:t>
      </w:r>
      <w:r>
        <w:rPr>
          <w:w w:val="170"/>
        </w:rPr>
        <w:t>   </w:t>
      </w:r>
      <w:r>
        <w:rPr>
          <w:w w:val="133"/>
        </w:rPr>
        <w:t> </w:t>
      </w:r>
      <w:r>
        <w:rPr>
          <w:w w:val="177"/>
        </w:rPr>
        <w:t> </w:t>
      </w:r>
      <w:r>
        <w:rPr>
          <w:w w:val="170"/>
        </w:rPr>
        <w:t>   </w:t>
      </w:r>
      <w:r>
        <w:rPr/>
        <w:t> </w:t>
      </w:r>
      <w:r>
        <w:rPr>
          <w:w w:val="151"/>
        </w:rPr>
        <w:t>     </w:t>
      </w:r>
      <w:r>
        <w:rPr>
          <w:w w:val="148"/>
        </w:rPr>
        <w:t>   </w:t>
      </w:r>
      <w:r>
        <w:rPr/>
        <w:t> </w:t>
      </w:r>
      <w:r>
        <w:rPr>
          <w:w w:val="200"/>
        </w:rPr>
        <w:t> </w:t>
      </w:r>
      <w:r>
        <w:rPr>
          <w:w w:val="177"/>
        </w:rPr>
        <w:t> </w:t>
      </w:r>
      <w:r>
        <w:rPr>
          <w:w w:val="155"/>
        </w:rPr>
        <w:t>    </w:t>
      </w:r>
      <w:r>
        <w:rPr>
          <w:w w:val="185"/>
        </w:rPr>
        <w:t>   </w:t>
      </w:r>
      <w:r>
        <w:rPr/>
        <w:t> </w:t>
      </w:r>
      <w:r>
        <w:rPr>
          <w:w w:val="200"/>
        </w:rPr>
        <w:t> </w:t>
      </w:r>
      <w:r>
        <w:rPr>
          <w:w w:val="177"/>
        </w:rPr>
        <w:t> </w:t>
      </w:r>
      <w:r>
        <w:rPr>
          <w:w w:val="111"/>
        </w:rPr>
        <w:t> </w:t>
      </w:r>
      <w:r>
        <w:rPr/>
        <w:t> </w:t>
      </w:r>
      <w:r>
        <w:rPr>
          <w:w w:val="155"/>
        </w:rPr>
        <w:t>  </w:t>
      </w:r>
      <w:r>
        <w:rPr>
          <w:w w:val="177"/>
        </w:rPr>
        <w:t> </w:t>
      </w:r>
      <w:r>
        <w:rPr>
          <w:w w:val="200"/>
        </w:rPr>
        <w:t> </w:t>
      </w:r>
      <w:r>
        <w:rPr>
          <w:w w:val="162"/>
        </w:rPr>
        <w:t>   </w:t>
      </w:r>
    </w:p>
    <w:p>
      <w:pPr>
        <w:pStyle w:val="BodyText"/>
        <w:spacing w:before="137"/>
        <w:ind w:left="102"/>
        <w:jc w:val="both"/>
      </w:pPr>
      <w:r>
        <w:rPr>
          <w:w w:val="188"/>
        </w:rPr>
        <w:t> </w:t>
      </w:r>
      <w:r>
        <w:rPr>
          <w:spacing w:val="-1"/>
          <w:w w:val="188"/>
        </w:rPr>
        <w:t> </w:t>
      </w:r>
      <w:r>
        <w:rPr>
          <w:w w:val="155"/>
        </w:rPr>
        <w:t>   </w:t>
      </w:r>
      <w:r>
        <w:rPr>
          <w:spacing w:val="-2"/>
          <w:w w:val="155"/>
        </w:rPr>
        <w:t> </w:t>
      </w:r>
      <w:r>
        <w:rPr>
          <w:w w:val="111"/>
        </w:rPr>
        <w:t> </w:t>
      </w:r>
      <w:r>
        <w:rPr>
          <w:spacing w:val="2"/>
        </w:rPr>
        <w:t> </w:t>
      </w:r>
      <w:r>
        <w:rPr>
          <w:w w:val="166"/>
        </w:rPr>
        <w:t>  </w:t>
      </w:r>
      <w:r>
        <w:rPr>
          <w:spacing w:val="1"/>
        </w:rPr>
        <w:t> </w:t>
      </w:r>
      <w:r>
        <w:rPr>
          <w:w w:val="188"/>
        </w:rPr>
        <w:t> </w:t>
      </w:r>
      <w:r>
        <w:rPr>
          <w:spacing w:val="-1"/>
          <w:w w:val="188"/>
        </w:rPr>
        <w:t> </w:t>
      </w:r>
      <w:r>
        <w:rPr>
          <w:w w:val="126"/>
        </w:rPr>
        <w:t>   </w:t>
      </w:r>
      <w:r>
        <w:rPr>
          <w:w w:val="188"/>
        </w:rPr>
        <w:t> </w:t>
      </w:r>
      <w:r>
        <w:rPr>
          <w:spacing w:val="-1"/>
          <w:w w:val="188"/>
        </w:rPr>
        <w:t> </w:t>
      </w:r>
      <w:r>
        <w:rPr>
          <w:w w:val="200"/>
        </w:rPr>
        <w:t> </w:t>
      </w:r>
      <w:r>
        <w:rPr>
          <w:spacing w:val="4"/>
        </w:rPr>
        <w:t> </w:t>
      </w:r>
      <w:r>
        <w:rPr>
          <w:spacing w:val="-1"/>
          <w:w w:val="177"/>
        </w:rPr>
        <w:t> </w:t>
      </w:r>
      <w:r>
        <w:rPr>
          <w:w w:val="111"/>
        </w:rPr>
        <w:t> </w:t>
      </w:r>
      <w:r>
        <w:rPr>
          <w:spacing w:val="2"/>
        </w:rPr>
        <w:t> </w:t>
      </w:r>
      <w:r>
        <w:rPr>
          <w:w w:val="188"/>
        </w:rPr>
        <w:t> </w:t>
      </w:r>
      <w:r>
        <w:rPr>
          <w:spacing w:val="-1"/>
          <w:w w:val="188"/>
        </w:rPr>
        <w:t> </w:t>
      </w:r>
      <w:r>
        <w:rPr>
          <w:spacing w:val="2"/>
          <w:w w:val="155"/>
        </w:rPr>
        <w:t> </w:t>
      </w:r>
      <w:r>
        <w:rPr>
          <w:w w:val="155"/>
        </w:rPr>
        <w:t>  </w:t>
      </w:r>
      <w:r>
        <w:rPr>
          <w:spacing w:val="2"/>
        </w:rPr>
        <w:t> </w:t>
      </w:r>
      <w:r>
        <w:rPr>
          <w:w w:val="188"/>
        </w:rPr>
        <w:t>  </w:t>
      </w:r>
      <w:r>
        <w:rPr>
          <w:spacing w:val="1"/>
        </w:rPr>
        <w:t> </w:t>
      </w:r>
      <w:r>
        <w:rPr>
          <w:spacing w:val="-1"/>
          <w:w w:val="177"/>
        </w:rPr>
        <w:t>  </w:t>
      </w:r>
      <w:r>
        <w:rPr>
          <w:w w:val="140"/>
        </w:rPr>
        <w:t>   </w:t>
      </w:r>
      <w:r>
        <w:rPr>
          <w:spacing w:val="-1"/>
          <w:w w:val="177"/>
        </w:rPr>
        <w:t> </w:t>
      </w:r>
      <w:r>
        <w:rPr>
          <w:w w:val="105"/>
        </w:rPr>
        <w:t>  </w:t>
      </w:r>
      <w:r>
        <w:rPr/>
        <w:t> </w:t>
      </w:r>
      <w:r>
        <w:rPr>
          <w:spacing w:val="4"/>
        </w:rPr>
        <w:t> </w:t>
      </w:r>
      <w:r>
        <w:rPr>
          <w:spacing w:val="-1"/>
          <w:w w:val="177"/>
        </w:rPr>
        <w:t> </w:t>
      </w:r>
      <w:r>
        <w:rPr>
          <w:w w:val="111"/>
        </w:rPr>
        <w:t> </w:t>
      </w:r>
      <w:r>
        <w:rPr>
          <w:spacing w:val="2"/>
        </w:rPr>
        <w:t> </w:t>
      </w:r>
      <w:r>
        <w:rPr>
          <w:w w:val="174"/>
        </w:rPr>
        <w:t>      </w:t>
      </w:r>
      <w:r>
        <w:rPr>
          <w:spacing w:val="1"/>
        </w:rPr>
        <w:t> </w:t>
      </w:r>
      <w:r>
        <w:rPr>
          <w:w w:val="122"/>
        </w:rPr>
        <w:t> </w:t>
      </w:r>
      <w:r>
        <w:rPr>
          <w:spacing w:val="1"/>
          <w:w w:val="122"/>
        </w:rPr>
        <w:t> </w:t>
      </w:r>
      <w:r>
        <w:rPr>
          <w:w w:val="166"/>
        </w:rPr>
        <w:t> </w:t>
      </w:r>
      <w:r>
        <w:rPr>
          <w:spacing w:val="-1"/>
          <w:w w:val="166"/>
        </w:rPr>
        <w:t> </w:t>
      </w:r>
      <w:r>
        <w:rPr>
          <w:spacing w:val="-1"/>
          <w:w w:val="177"/>
        </w:rPr>
        <w:t> </w:t>
      </w:r>
      <w:r>
        <w:rPr>
          <w:w w:val="111"/>
        </w:rPr>
        <w:t> </w:t>
      </w:r>
      <w:r>
        <w:rPr>
          <w:spacing w:val="2"/>
        </w:rPr>
        <w:t> </w:t>
      </w:r>
      <w:r>
        <w:rPr>
          <w:spacing w:val="-1"/>
          <w:w w:val="177"/>
        </w:rPr>
        <w:t> </w:t>
      </w:r>
      <w:r>
        <w:rPr>
          <w:w w:val="194"/>
        </w:rPr>
        <w:t>   </w:t>
      </w:r>
      <w:r>
        <w:rPr>
          <w:spacing w:val="1"/>
          <w:w w:val="194"/>
        </w:rPr>
        <w:t> </w:t>
      </w:r>
      <w:r>
        <w:rPr>
          <w:spacing w:val="1"/>
          <w:w w:val="133"/>
        </w:rPr>
        <w:t> </w:t>
      </w:r>
      <w:r>
        <w:rPr>
          <w:spacing w:val="-3"/>
          <w:w w:val="200"/>
        </w:rPr>
        <w:t> </w:t>
      </w:r>
      <w:r>
        <w:rPr>
          <w:w w:val="177"/>
        </w:rPr>
        <w:t> </w:t>
      </w:r>
      <w:r>
        <w:rPr>
          <w:spacing w:val="1"/>
        </w:rPr>
        <w:t> </w:t>
      </w:r>
      <w:r>
        <w:rPr>
          <w:w w:val="177"/>
        </w:rPr>
        <w:t> </w:t>
      </w:r>
      <w:r>
        <w:rPr>
          <w:spacing w:val="1"/>
        </w:rPr>
        <w:t> </w:t>
      </w:r>
      <w:r>
        <w:rPr>
          <w:w w:val="200"/>
        </w:rPr>
        <w:t> </w:t>
      </w:r>
      <w:r>
        <w:rPr>
          <w:spacing w:val="2"/>
          <w:w w:val="200"/>
        </w:rPr>
        <w:t> </w:t>
      </w:r>
      <w:r>
        <w:rPr>
          <w:w w:val="177"/>
        </w:rPr>
        <w:t> </w:t>
      </w:r>
      <w:r>
        <w:rPr>
          <w:spacing w:val="1"/>
        </w:rPr>
        <w:t> </w:t>
      </w:r>
      <w:r>
        <w:rPr>
          <w:spacing w:val="-1"/>
          <w:w w:val="177"/>
        </w:rPr>
        <w:t> </w:t>
      </w:r>
      <w:r>
        <w:rPr>
          <w:w w:val="170"/>
        </w:rPr>
        <w:t>  </w:t>
      </w:r>
      <w:r>
        <w:rPr>
          <w:spacing w:val="2"/>
          <w:w w:val="170"/>
        </w:rPr>
        <w:t> </w:t>
      </w:r>
      <w:r>
        <w:rPr>
          <w:w w:val="188"/>
        </w:rPr>
        <w:t> </w:t>
      </w:r>
      <w:r>
        <w:rPr>
          <w:spacing w:val="-1"/>
          <w:w w:val="188"/>
        </w:rPr>
        <w:t> </w:t>
      </w:r>
      <w:r>
        <w:rPr>
          <w:w w:val="166"/>
        </w:rPr>
        <w:t>   </w:t>
      </w:r>
      <w:r>
        <w:rPr>
          <w:spacing w:val="-2"/>
          <w:w w:val="166"/>
        </w:rPr>
        <w:t> </w:t>
      </w:r>
      <w:r>
        <w:rPr>
          <w:w w:val="144"/>
        </w:rPr>
        <w:t>  </w:t>
      </w:r>
      <w:r>
        <w:rPr>
          <w:spacing w:val="1"/>
        </w:rPr>
        <w:t> </w:t>
      </w:r>
      <w:r>
        <w:rPr>
          <w:w w:val="188"/>
        </w:rPr>
        <w:t>  </w:t>
      </w:r>
      <w:r>
        <w:rPr>
          <w:spacing w:val="3"/>
        </w:rPr>
        <w:t> </w:t>
      </w:r>
      <w:r>
        <w:rPr>
          <w:w w:val="155"/>
        </w:rPr>
        <w:t>  </w:t>
      </w:r>
      <w:r>
        <w:rPr>
          <w:spacing w:val="-3"/>
          <w:w w:val="200"/>
        </w:rPr>
        <w:t> </w:t>
      </w:r>
      <w:r>
        <w:rPr>
          <w:w w:val="144"/>
        </w:rPr>
        <w:t>  </w:t>
      </w:r>
    </w:p>
    <w:p>
      <w:pPr>
        <w:pStyle w:val="BodyText"/>
        <w:spacing w:before="139"/>
        <w:ind w:left="102"/>
        <w:jc w:val="both"/>
      </w:pPr>
      <w:r>
        <w:rPr>
          <w:w w:val="144"/>
        </w:rPr>
        <w:t>    </w:t>
      </w:r>
      <w:r>
        <w:rPr>
          <w:w w:val="177"/>
        </w:rPr>
        <w:t> </w:t>
      </w:r>
      <w:r>
        <w:rPr>
          <w:w w:val="111"/>
        </w:rPr>
        <w:t> </w:t>
      </w:r>
      <w:r>
        <w:rPr/>
        <w:t> </w:t>
      </w:r>
      <w:r>
        <w:rPr>
          <w:w w:val="188"/>
        </w:rPr>
        <w:t>  </w:t>
      </w:r>
      <w:r>
        <w:rPr/>
        <w:t> </w:t>
      </w:r>
      <w:r>
        <w:rPr>
          <w:w w:val="166"/>
        </w:rPr>
        <w:t>  </w:t>
      </w:r>
      <w:r>
        <w:rPr>
          <w:w w:val="200"/>
        </w:rPr>
        <w:t> </w:t>
      </w:r>
      <w:r>
        <w:rPr/>
        <w:t> </w:t>
      </w:r>
      <w:r>
        <w:rPr>
          <w:w w:val="188"/>
        </w:rPr>
        <w:t>  </w:t>
      </w:r>
      <w:r>
        <w:rPr>
          <w:w w:val="133"/>
        </w:rPr>
        <w:t> </w:t>
      </w:r>
      <w:r>
        <w:rPr>
          <w:w w:val="177"/>
        </w:rPr>
        <w:t> </w:t>
      </w:r>
      <w:r>
        <w:rPr/>
        <w:t> </w:t>
      </w:r>
      <w:r>
        <w:rPr>
          <w:w w:val="188"/>
        </w:rPr>
        <w:t>  </w:t>
      </w:r>
      <w:r>
        <w:rPr>
          <w:w w:val="150"/>
        </w:rPr>
        <w:t>    </w:t>
      </w:r>
      <w:r>
        <w:rPr/>
        <w:t> </w:t>
      </w:r>
      <w:r>
        <w:rPr>
          <w:w w:val="188"/>
        </w:rPr>
        <w:t>  </w:t>
      </w:r>
      <w:r>
        <w:rPr>
          <w:w w:val="146"/>
        </w:rPr>
        <w:t>     </w:t>
      </w:r>
      <w:r>
        <w:rPr>
          <w:w w:val="145"/>
        </w:rPr>
        <w:t>   </w:t>
      </w:r>
      <w:r>
        <w:rPr>
          <w:w w:val="145"/>
        </w:rPr>
        <w:t>:</w:t>
      </w:r>
      <w:r>
        <w:rPr/>
        <w:t> </w:t>
      </w:r>
      <w:r>
        <w:rPr>
          <w:w w:val="177"/>
        </w:rPr>
        <w:t> </w:t>
      </w:r>
      <w:r>
        <w:rPr>
          <w:w w:val="111"/>
        </w:rPr>
        <w:t> </w:t>
      </w:r>
      <w:r>
        <w:rPr/>
        <w:t> </w:t>
      </w:r>
      <w:r>
        <w:rPr>
          <w:w w:val="188"/>
        </w:rPr>
        <w:t>  </w:t>
      </w:r>
      <w:r>
        <w:rPr>
          <w:w w:val="155"/>
        </w:rPr>
        <w:t>   </w:t>
      </w:r>
      <w:r>
        <w:rPr/>
        <w:t> </w:t>
      </w:r>
      <w:r>
        <w:rPr>
          <w:w w:val="177"/>
        </w:rPr>
        <w:t> </w:t>
      </w:r>
      <w:r>
        <w:rPr>
          <w:w w:val="166"/>
        </w:rPr>
        <w:t>  </w:t>
      </w:r>
      <w:r>
        <w:rPr>
          <w:w w:val="133"/>
        </w:rPr>
        <w:t> </w:t>
      </w:r>
      <w:r>
        <w:rPr>
          <w:w w:val="155"/>
        </w:rPr>
        <w:t>     </w:t>
      </w:r>
      <w:r>
        <w:rPr/>
        <w:t> </w:t>
      </w:r>
      <w:r>
        <w:rPr>
          <w:w w:val="166"/>
        </w:rPr>
        <w:t>  </w:t>
      </w:r>
      <w:r>
        <w:rPr/>
        <w:t> </w:t>
      </w:r>
      <w:r>
        <w:rPr>
          <w:w w:val="111"/>
        </w:rPr>
        <w:t>  </w:t>
      </w:r>
      <w:r>
        <w:rPr>
          <w:w w:val="211"/>
        </w:rPr>
        <w:t>  </w:t>
      </w:r>
      <w:r>
        <w:rPr>
          <w:w w:val="144"/>
        </w:rPr>
        <w:t>  </w:t>
      </w:r>
      <w:r>
        <w:rPr/>
        <w:t> </w:t>
      </w:r>
      <w:r>
        <w:rPr>
          <w:w w:val="177"/>
        </w:rPr>
        <w:t> </w:t>
      </w:r>
      <w:r>
        <w:rPr/>
        <w:t> </w:t>
      </w:r>
      <w:r>
        <w:rPr>
          <w:w w:val="155"/>
        </w:rPr>
        <w:t>   </w:t>
      </w:r>
      <w:r>
        <w:rPr/>
        <w:t>   </w:t>
      </w:r>
      <w:r>
        <w:rPr>
          <w:w w:val="164"/>
        </w:rPr>
        <w:t>     </w:t>
      </w:r>
      <w:r>
        <w:rPr>
          <w:w w:val="170"/>
        </w:rPr>
        <w:t>   </w:t>
      </w:r>
      <w:r>
        <w:rPr/>
        <w:t> </w:t>
      </w:r>
      <w:r>
        <w:rPr>
          <w:w w:val="144"/>
        </w:rPr>
        <w:t>    </w:t>
      </w:r>
      <w:r>
        <w:rPr>
          <w:w w:val="177"/>
        </w:rPr>
        <w:t> </w:t>
      </w:r>
      <w:r>
        <w:rPr>
          <w:w w:val="111"/>
        </w:rPr>
        <w:t> </w:t>
      </w:r>
      <w:r>
        <w:rPr>
          <w:w w:val="177"/>
        </w:rPr>
        <w:t> </w:t>
      </w:r>
      <w:r>
        <w:rPr>
          <w:w w:val="155"/>
        </w:rPr>
        <w:t> </w:t>
      </w:r>
      <w:r>
        <w:rPr/>
        <w:t> </w:t>
      </w:r>
      <w:r>
        <w:rPr>
          <w:w w:val="200"/>
        </w:rPr>
        <w:t>  </w:t>
      </w:r>
    </w:p>
    <w:p>
      <w:pPr>
        <w:pStyle w:val="BodyText"/>
        <w:spacing w:before="137"/>
        <w:ind w:left="102"/>
        <w:jc w:val="both"/>
      </w:pPr>
      <w:r>
        <w:rPr>
          <w:spacing w:val="-3"/>
          <w:w w:val="200"/>
        </w:rPr>
        <w:t> </w:t>
      </w:r>
      <w:r>
        <w:rPr>
          <w:spacing w:val="-1"/>
          <w:w w:val="177"/>
        </w:rPr>
        <w:t> </w:t>
      </w:r>
      <w:r>
        <w:rPr>
          <w:w w:val="133"/>
        </w:rPr>
        <w:t>  </w:t>
      </w:r>
      <w:r>
        <w:rPr>
          <w:spacing w:val="2"/>
          <w:w w:val="133"/>
        </w:rPr>
        <w:t> </w:t>
      </w:r>
      <w:r>
        <w:rPr>
          <w:spacing w:val="-1"/>
          <w:w w:val="177"/>
        </w:rPr>
        <w:t> </w:t>
      </w:r>
      <w:r>
        <w:rPr>
          <w:w w:val="162"/>
        </w:rPr>
        <w:t>   </w:t>
      </w:r>
      <w:r>
        <w:rPr/>
        <w:t> </w:t>
      </w:r>
      <w:r>
        <w:rPr>
          <w:w w:val="1"/>
        </w:rPr>
        <w:t> </w:t>
      </w:r>
      <w:r>
        <w:rPr/>
        <w:t> </w:t>
      </w:r>
      <w:r>
        <w:rPr>
          <w:w w:val="144"/>
        </w:rPr>
        <w:t> </w:t>
      </w:r>
      <w:r>
        <w:rPr>
          <w:spacing w:val="-1"/>
          <w:w w:val="144"/>
        </w:rPr>
        <w:t> </w:t>
      </w:r>
      <w:r>
        <w:rPr>
          <w:w w:val="166"/>
        </w:rPr>
        <w:t> </w:t>
      </w:r>
      <w:r>
        <w:rPr>
          <w:spacing w:val="-1"/>
          <w:w w:val="166"/>
        </w:rPr>
        <w:t> </w:t>
      </w:r>
      <w:r>
        <w:rPr>
          <w:spacing w:val="2"/>
          <w:w w:val="111"/>
        </w:rPr>
        <w:t> </w:t>
      </w:r>
      <w:r>
        <w:rPr>
          <w:spacing w:val="-1"/>
          <w:w w:val="177"/>
        </w:rPr>
        <w:t>  </w:t>
      </w:r>
      <w:r>
        <w:rPr>
          <w:w w:val="195"/>
        </w:rPr>
        <w:t>     </w:t>
      </w:r>
      <w:r>
        <w:rPr>
          <w:spacing w:val="-1"/>
        </w:rPr>
        <w:t> </w:t>
      </w:r>
      <w:r>
        <w:rPr>
          <w:spacing w:val="2"/>
          <w:w w:val="200"/>
        </w:rPr>
        <w:t> </w:t>
      </w:r>
      <w:r>
        <w:rPr>
          <w:spacing w:val="-1"/>
          <w:w w:val="177"/>
        </w:rPr>
        <w:t> </w:t>
      </w:r>
      <w:r>
        <w:rPr>
          <w:w w:val="166"/>
        </w:rPr>
        <w:t> </w:t>
      </w:r>
      <w:r>
        <w:rPr>
          <w:spacing w:val="-1"/>
          <w:w w:val="166"/>
        </w:rPr>
        <w:t> </w:t>
      </w:r>
      <w:r>
        <w:rPr>
          <w:spacing w:val="-1"/>
          <w:w w:val="177"/>
        </w:rPr>
        <w:t> </w:t>
      </w:r>
      <w:r>
        <w:rPr>
          <w:w w:val="162"/>
        </w:rPr>
        <w:t>   </w:t>
      </w:r>
      <w:r>
        <w:rPr/>
        <w:t> </w:t>
      </w:r>
      <w:r>
        <w:rPr>
          <w:w w:val="50"/>
        </w:rPr>
        <w:t>  </w:t>
      </w:r>
    </w:p>
    <w:p>
      <w:pPr>
        <w:pStyle w:val="BodyText"/>
        <w:spacing w:line="360" w:lineRule="auto" w:before="139"/>
        <w:ind w:left="102" w:right="118" w:firstLine="770"/>
        <w:jc w:val="both"/>
      </w:pPr>
      <w:r>
        <w:rPr/>
        <w:t>Los resultados encontrados sugieren que a mayor gasto de capital financiado con ingresos fiscales del gas natural se presentan mayores niveles de deuda pública, por tanto,</w:t>
      </w:r>
    </w:p>
    <w:p>
      <w:pPr>
        <w:spacing w:after="0" w:line="360" w:lineRule="auto"/>
        <w:jc w:val="both"/>
        <w:sectPr>
          <w:footerReference w:type="default" r:id="rId341"/>
          <w:pgSz w:w="12250" w:h="15850"/>
          <w:pgMar w:footer="977" w:header="0" w:top="1360" w:bottom="1160" w:left="1600" w:right="1580"/>
          <w:pgNumType w:start="201"/>
        </w:sectPr>
      </w:pPr>
    </w:p>
    <w:p>
      <w:pPr>
        <w:pStyle w:val="BodyText"/>
        <w:spacing w:line="360" w:lineRule="auto" w:before="50"/>
        <w:ind w:left="102" w:right="120"/>
        <w:jc w:val="both"/>
      </w:pPr>
      <w:r>
        <w:rPr/>
        <w:t>la evidencia empírica encontrada para Bolivia ofrece mejores resultados al ahorrar los ingresos del gas natural en comparación con destinarlos a la inversión pública, lo cual es concordante con algunos estudios previos (Medas &amp; Zakharova, 2009; Segura, 2006; Bjerkholt &amp; Niculescu, 2004).</w:t>
      </w:r>
    </w:p>
    <w:p>
      <w:pPr>
        <w:pStyle w:val="BodyText"/>
        <w:spacing w:line="360" w:lineRule="auto" w:before="6"/>
        <w:ind w:left="102" w:right="116" w:firstLine="707"/>
        <w:jc w:val="both"/>
      </w:pPr>
      <w:r>
        <w:rPr/>
        <w:t>A pesar de los resultados encontrados, países en vías de desarrollo necesitan de inversión pública para promover el desarrollo social, representándose un </w:t>
      </w:r>
      <w:r>
        <w:rPr>
          <w:i/>
        </w:rPr>
        <w:t>trade-off </w:t>
      </w:r>
      <w:r>
        <w:rPr/>
        <w:t>entre niveles de inversión pública y razón de deuda pública a PIB (con objetivos de  sostenibilidad</w:t>
      </w:r>
      <w:r>
        <w:rPr>
          <w:spacing w:val="-5"/>
        </w:rPr>
        <w:t> </w:t>
      </w:r>
      <w:r>
        <w:rPr/>
        <w:t>fiscal).</w:t>
      </w:r>
    </w:p>
    <w:p>
      <w:pPr>
        <w:pStyle w:val="BodyText"/>
        <w:spacing w:line="360" w:lineRule="auto" w:before="7"/>
        <w:ind w:left="102" w:right="119" w:firstLine="707"/>
        <w:jc w:val="both"/>
      </w:pPr>
      <w:r>
        <w:rPr/>
        <w:t>La utilización de los ingresos fiscales derivados del gas natural se interpreta como la fuente de financiamiento para tres destinos complementarios y a la vez rivales: i) inversión pública; ii) gasto corriente; iii) reducción de deuda pública. La disminución del endeudamiento y la mejora del balance primario no petrolero se podría alcanzar con una combinación (i) y (iii) (van der Ploeg &amp; Venables, 2009) al considerar que en el largo plazo, mayor inversión pública estimularía la demanda agregada y permitiría mayor diversificación de los ingresos fiscales con menor dependencia de un recurso</w:t>
      </w:r>
      <w:r>
        <w:rPr>
          <w:spacing w:val="-17"/>
        </w:rPr>
        <w:t> </w:t>
      </w:r>
      <w:r>
        <w:rPr/>
        <w:t>natural.</w:t>
      </w:r>
    </w:p>
    <w:p>
      <w:pPr>
        <w:pStyle w:val="BodyText"/>
        <w:spacing w:line="360" w:lineRule="auto" w:before="4"/>
        <w:ind w:left="102" w:right="119" w:firstLine="707"/>
        <w:jc w:val="both"/>
      </w:pPr>
      <w:r>
        <w:rPr/>
        <w:t>De forma contemporánea y dinámica, </w:t>
      </w:r>
      <w:r>
        <w:rPr>
          <w:spacing w:val="2"/>
        </w:rPr>
        <w:t>se </w:t>
      </w:r>
      <w:r>
        <w:rPr/>
        <w:t>evidenció un desacoplamiento entre la reacción                                                       de                                                       </w:t>
      </w:r>
      <w:r>
        <w:rPr>
          <w:spacing w:val="3"/>
        </w:rPr>
        <w:t>l </w:t>
      </w:r>
      <w:r>
        <w:rPr/>
        <w:t>concordante con los hallazgos de Kapopoulos &amp; Lazaretou  (2011)  Esta desconexión  ofrece una crítica en la aplicabilidad del análisis tradicional de la deuda pública sostenible que asume un mecanismo directo entre ambos elementos de la posición fiscal, por lo cual existen otras decisiones institucionales que explican la reacción de la deuda pública por sus propias innovaciones y factores adicionales como el precio del gas natural y la asignación de los ingresos fiscales</w:t>
      </w:r>
      <w:r>
        <w:rPr>
          <w:spacing w:val="-8"/>
        </w:rPr>
        <w:t> </w:t>
      </w:r>
      <w:r>
        <w:rPr/>
        <w:t>gasíferos.</w:t>
      </w:r>
    </w:p>
    <w:p>
      <w:pPr>
        <w:pStyle w:val="BodyText"/>
        <w:spacing w:line="360" w:lineRule="auto" w:before="4"/>
        <w:ind w:left="102" w:right="119" w:firstLine="707"/>
        <w:jc w:val="both"/>
      </w:pPr>
      <w:r>
        <w:rPr/>
        <w:t>El desacoplamiento entre los choques de resultados fiscales y sus efectos en la  deuda pública no significa que no que no exista un impacto, sólo que mediante canales de transmisión, un ajuste o imposiciones de restricciones en el balance primario no petrolero no afectaría a la deuda pública: el riesgo se consumaría en el agotamiento del recurso natural. Por otra parte, la deuda pública y los ingresos del recurso natural se comportan como sustitutos perfectos para el financiamiento del gasto</w:t>
      </w:r>
      <w:r>
        <w:rPr>
          <w:spacing w:val="-12"/>
        </w:rPr>
        <w:t> </w:t>
      </w:r>
      <w:r>
        <w:rPr/>
        <w:t>corriente.</w:t>
      </w:r>
    </w:p>
    <w:p>
      <w:pPr>
        <w:pStyle w:val="BodyText"/>
        <w:spacing w:line="360" w:lineRule="auto" w:before="6"/>
        <w:ind w:left="102" w:right="116" w:firstLine="707"/>
        <w:jc w:val="both"/>
      </w:pPr>
      <w:r>
        <w:rPr>
          <w:spacing w:val="-3"/>
          <w:w w:val="244"/>
        </w:rPr>
        <w:t> </w:t>
      </w:r>
      <w:r>
        <w:rPr>
          <w:w w:val="177"/>
        </w:rPr>
        <w:t> </w:t>
      </w:r>
      <w:r>
        <w:rPr/>
        <w:t> </w:t>
      </w:r>
      <w:r>
        <w:rPr>
          <w:spacing w:val="-26"/>
        </w:rPr>
        <w:t> </w:t>
      </w:r>
      <w:r>
        <w:rPr>
          <w:w w:val="211"/>
        </w:rPr>
        <w:t>  </w:t>
      </w:r>
      <w:r>
        <w:rPr>
          <w:w w:val="164"/>
        </w:rPr>
        <w:t>    </w:t>
      </w:r>
      <w:r>
        <w:rPr>
          <w:spacing w:val="-2"/>
          <w:w w:val="164"/>
        </w:rPr>
        <w:t> </w:t>
      </w:r>
      <w:r>
        <w:rPr>
          <w:spacing w:val="2"/>
          <w:w w:val="200"/>
        </w:rPr>
        <w:t> </w:t>
      </w:r>
      <w:r>
        <w:rPr>
          <w:spacing w:val="-1"/>
          <w:w w:val="177"/>
        </w:rPr>
        <w:t> </w:t>
      </w:r>
      <w:r>
        <w:rPr>
          <w:w w:val="144"/>
        </w:rPr>
        <w:t>  </w:t>
      </w:r>
      <w:r>
        <w:rPr/>
        <w:t> </w:t>
      </w:r>
      <w:r>
        <w:rPr>
          <w:spacing w:val="-25"/>
        </w:rPr>
        <w:t> </w:t>
      </w:r>
      <w:r>
        <w:rPr>
          <w:w w:val="188"/>
        </w:rPr>
        <w:t> </w:t>
      </w:r>
      <w:r>
        <w:rPr>
          <w:spacing w:val="-1"/>
          <w:w w:val="188"/>
        </w:rPr>
        <w:t> </w:t>
      </w:r>
      <w:r>
        <w:rPr>
          <w:w w:val="111"/>
        </w:rPr>
        <w:t> </w:t>
      </w:r>
      <w:r>
        <w:rPr/>
        <w:t> </w:t>
      </w:r>
      <w:r>
        <w:rPr>
          <w:spacing w:val="-24"/>
        </w:rPr>
        <w:t> </w:t>
      </w:r>
      <w:r>
        <w:rPr>
          <w:w w:val="161"/>
        </w:rPr>
        <w:t>   </w:t>
      </w:r>
      <w:r>
        <w:rPr>
          <w:spacing w:val="1"/>
          <w:w w:val="161"/>
        </w:rPr>
        <w:t> </w:t>
      </w:r>
      <w:r>
        <w:rPr>
          <w:w w:val="200"/>
        </w:rPr>
        <w:t>  </w:t>
      </w:r>
      <w:r>
        <w:rPr/>
        <w:t> </w:t>
      </w:r>
      <w:r>
        <w:rPr>
          <w:spacing w:val="-25"/>
        </w:rPr>
        <w:t> </w:t>
      </w:r>
      <w:r>
        <w:rPr>
          <w:w w:val="188"/>
        </w:rPr>
        <w:t>  </w:t>
      </w:r>
      <w:r>
        <w:rPr/>
        <w:t> </w:t>
      </w:r>
      <w:r>
        <w:rPr>
          <w:spacing w:val="-26"/>
        </w:rPr>
        <w:t> </w:t>
      </w:r>
      <w:r>
        <w:rPr>
          <w:w w:val="192"/>
        </w:rPr>
        <w:t>   </w:t>
      </w:r>
      <w:r>
        <w:rPr/>
        <w:t> </w:t>
      </w:r>
      <w:r>
        <w:rPr>
          <w:spacing w:val="-26"/>
        </w:rPr>
        <w:t> </w:t>
      </w:r>
      <w:r>
        <w:rPr>
          <w:w w:val="155"/>
        </w:rPr>
        <w:t>    </w:t>
      </w:r>
      <w:r>
        <w:rPr>
          <w:w w:val="111"/>
        </w:rPr>
        <w:t>  </w:t>
      </w:r>
      <w:r>
        <w:rPr>
          <w:spacing w:val="-1"/>
          <w:w w:val="177"/>
        </w:rPr>
        <w:t> </w:t>
      </w:r>
      <w:r>
        <w:rPr>
          <w:w w:val="177"/>
        </w:rPr>
        <w:t> </w:t>
      </w:r>
      <w:r>
        <w:rPr/>
        <w:t> </w:t>
      </w:r>
      <w:r>
        <w:rPr>
          <w:spacing w:val="-26"/>
        </w:rPr>
        <w:t> </w:t>
      </w:r>
      <w:r>
        <w:rPr>
          <w:w w:val="144"/>
        </w:rPr>
        <w:t>   </w:t>
      </w:r>
      <w:r>
        <w:rPr>
          <w:spacing w:val="-1"/>
          <w:w w:val="144"/>
        </w:rPr>
        <w:t> </w:t>
      </w:r>
      <w:r>
        <w:rPr>
          <w:spacing w:val="-1"/>
          <w:w w:val="177"/>
        </w:rPr>
        <w:t> </w:t>
      </w:r>
      <w:r>
        <w:rPr>
          <w:w w:val="111"/>
        </w:rPr>
        <w:t> </w:t>
      </w:r>
      <w:r>
        <w:rPr/>
        <w:t> </w:t>
      </w:r>
      <w:r>
        <w:rPr>
          <w:w w:val="1"/>
        </w:rPr>
        <w:t> </w:t>
      </w:r>
      <w:r>
        <w:rPr/>
        <w:t> </w:t>
      </w:r>
      <w:r>
        <w:rPr>
          <w:spacing w:val="-24"/>
        </w:rPr>
        <w:t> </w:t>
      </w:r>
      <w:r>
        <w:rPr>
          <w:spacing w:val="-1"/>
          <w:w w:val="177"/>
        </w:rPr>
        <w:t> </w:t>
      </w:r>
      <w:r>
        <w:rPr>
          <w:w w:val="200"/>
        </w:rPr>
        <w:t>  </w:t>
      </w:r>
      <w:r>
        <w:rPr/>
        <w:t> </w:t>
      </w:r>
      <w:r>
        <w:rPr>
          <w:spacing w:val="-25"/>
        </w:rPr>
        <w:t> </w:t>
      </w:r>
      <w:r>
        <w:rPr>
          <w:w w:val="188"/>
        </w:rPr>
        <w:t> </w:t>
      </w:r>
      <w:r>
        <w:rPr>
          <w:spacing w:val="-1"/>
          <w:w w:val="188"/>
        </w:rPr>
        <w:t> </w:t>
      </w:r>
      <w:r>
        <w:rPr>
          <w:w w:val="166"/>
        </w:rPr>
        <w:t>  </w:t>
      </w:r>
      <w:r>
        <w:rPr/>
        <w:t> </w:t>
      </w:r>
      <w:r>
        <w:rPr>
          <w:spacing w:val="-25"/>
        </w:rPr>
        <w:t> </w:t>
      </w:r>
      <w:r>
        <w:rPr>
          <w:spacing w:val="-1"/>
          <w:w w:val="177"/>
        </w:rPr>
        <w:t> </w:t>
      </w:r>
      <w:r>
        <w:rPr>
          <w:w w:val="200"/>
        </w:rPr>
        <w:t> </w:t>
      </w:r>
      <w:r>
        <w:rPr/>
        <w:t> </w:t>
      </w:r>
      <w:r>
        <w:rPr>
          <w:spacing w:val="-25"/>
        </w:rPr>
        <w:t> </w:t>
      </w:r>
      <w:r>
        <w:rPr>
          <w:w w:val="192"/>
        </w:rPr>
        <w:t>   </w:t>
      </w:r>
      <w:r>
        <w:rPr/>
        <w:t> </w:t>
      </w:r>
      <w:r>
        <w:rPr>
          <w:spacing w:val="-26"/>
        </w:rPr>
        <w:t> </w:t>
      </w:r>
      <w:r>
        <w:rPr>
          <w:w w:val="155"/>
        </w:rPr>
        <w:t>  </w:t>
      </w:r>
      <w:r>
        <w:rPr>
          <w:spacing w:val="-3"/>
          <w:w w:val="200"/>
        </w:rPr>
        <w:t> </w:t>
      </w:r>
      <w:r>
        <w:rPr>
          <w:w w:val="144"/>
        </w:rPr>
        <w:t>  </w:t>
      </w:r>
      <w:r>
        <w:rPr/>
        <w:t> </w:t>
      </w:r>
      <w:r>
        <w:rPr>
          <w:spacing w:val="-23"/>
        </w:rPr>
        <w:t> </w:t>
      </w:r>
      <w:r>
        <w:rPr>
          <w:w w:val="144"/>
        </w:rPr>
        <w:t>   </w:t>
      </w:r>
      <w:r>
        <w:rPr>
          <w:spacing w:val="-1"/>
          <w:w w:val="144"/>
        </w:rPr>
        <w:t> </w:t>
      </w:r>
      <w:r>
        <w:rPr>
          <w:spacing w:val="-1"/>
          <w:w w:val="177"/>
        </w:rPr>
        <w:t> </w:t>
      </w:r>
      <w:r>
        <w:rPr>
          <w:w w:val="111"/>
        </w:rPr>
        <w:t> </w:t>
      </w:r>
      <w:r>
        <w:rPr/>
        <w:t> </w:t>
      </w:r>
      <w:r>
        <w:rPr>
          <w:w w:val="1"/>
        </w:rPr>
        <w:t> </w:t>
      </w:r>
      <w:r>
        <w:rPr/>
        <w:t> </w:t>
      </w:r>
      <w:r>
        <w:rPr>
          <w:spacing w:val="-24"/>
        </w:rPr>
        <w:t> </w:t>
      </w:r>
      <w:r>
        <w:rPr>
          <w:w w:val="166"/>
        </w:rPr>
        <w:t>  </w:t>
      </w:r>
      <w:r>
        <w:rPr>
          <w:spacing w:val="-1"/>
        </w:rPr>
        <w:t>ce</w:t>
      </w:r>
      <w:r>
        <w:rPr/>
        <w:t>ntra</w:t>
      </w:r>
      <w:r>
        <w:rPr>
          <w:spacing w:val="27"/>
        </w:rPr>
        <w:t> </w:t>
      </w:r>
      <w:r>
        <w:rPr>
          <w:spacing w:val="-1"/>
        </w:rPr>
        <w:t>e</w:t>
      </w:r>
      <w:r>
        <w:rPr/>
        <w:t>n</w:t>
      </w:r>
      <w:r>
        <w:rPr>
          <w:spacing w:val="28"/>
        </w:rPr>
        <w:t> </w:t>
      </w:r>
      <w:r>
        <w:rPr/>
        <w:t>la</w:t>
      </w:r>
      <w:r>
        <w:rPr>
          <w:spacing w:val="25"/>
        </w:rPr>
        <w:t> </w:t>
      </w:r>
      <w:r>
        <w:rPr/>
        <w:t>fij</w:t>
      </w:r>
      <w:r>
        <w:rPr>
          <w:spacing w:val="1"/>
        </w:rPr>
        <w:t>a</w:t>
      </w:r>
      <w:r>
        <w:rPr>
          <w:spacing w:val="-1"/>
        </w:rPr>
        <w:t>c</w:t>
      </w:r>
      <w:r>
        <w:rPr/>
        <w:t>ión</w:t>
      </w:r>
      <w:r>
        <w:rPr>
          <w:spacing w:val="26"/>
        </w:rPr>
        <w:t> </w:t>
      </w:r>
      <w:r>
        <w:rPr/>
        <w:t>de</w:t>
      </w:r>
      <w:r>
        <w:rPr>
          <w:spacing w:val="29"/>
        </w:rPr>
        <w:t> </w:t>
      </w:r>
      <w:r>
        <w:rPr/>
        <w:t>un</w:t>
      </w:r>
      <w:r>
        <w:rPr>
          <w:spacing w:val="26"/>
        </w:rPr>
        <w:t> </w:t>
      </w:r>
      <w:r>
        <w:rPr>
          <w:spacing w:val="-1"/>
        </w:rPr>
        <w:t>c</w:t>
      </w:r>
      <w:r>
        <w:rPr/>
        <w:t>ontr</w:t>
      </w:r>
      <w:r>
        <w:rPr>
          <w:spacing w:val="-2"/>
        </w:rPr>
        <w:t>a</w:t>
      </w:r>
      <w:r>
        <w:rPr/>
        <w:t>to</w:t>
      </w:r>
      <w:r>
        <w:rPr>
          <w:spacing w:val="28"/>
        </w:rPr>
        <w:t> </w:t>
      </w:r>
      <w:r>
        <w:rPr>
          <w:spacing w:val="-1"/>
        </w:rPr>
        <w:t>e</w:t>
      </w:r>
      <w:r>
        <w:rPr/>
        <w:t>ntre</w:t>
      </w:r>
      <w:r>
        <w:rPr>
          <w:spacing w:val="27"/>
        </w:rPr>
        <w:t> </w:t>
      </w:r>
      <w:r>
        <w:rPr/>
        <w:t>soci</w:t>
      </w:r>
      <w:r>
        <w:rPr>
          <w:spacing w:val="-2"/>
        </w:rPr>
        <w:t>e</w:t>
      </w:r>
      <w:r>
        <w:rPr>
          <w:spacing w:val="2"/>
        </w:rPr>
        <w:t>d</w:t>
      </w:r>
      <w:r>
        <w:rPr>
          <w:spacing w:val="-1"/>
        </w:rPr>
        <w:t>a</w:t>
      </w:r>
      <w:r>
        <w:rPr/>
        <w:t>d </w:t>
      </w:r>
      <w:r>
        <w:rPr>
          <w:spacing w:val="-30"/>
        </w:rPr>
        <w:t> </w:t>
      </w:r>
      <w:r>
        <w:rPr/>
        <w:t>y</w:t>
      </w:r>
      <w:r>
        <w:rPr>
          <w:spacing w:val="21"/>
        </w:rPr>
        <w:t> </w:t>
      </w:r>
      <w:r>
        <w:rPr/>
        <w:t>Estado</w:t>
      </w:r>
      <w:r>
        <w:rPr>
          <w:spacing w:val="27"/>
        </w:rPr>
        <w:t> </w:t>
      </w:r>
      <w:r>
        <w:rPr/>
        <w:t>(n</w:t>
      </w:r>
      <w:r>
        <w:rPr>
          <w:spacing w:val="1"/>
        </w:rPr>
        <w:t>u</w:t>
      </w:r>
      <w:r>
        <w:rPr>
          <w:spacing w:val="-1"/>
        </w:rPr>
        <w:t>e</w:t>
      </w:r>
      <w:r>
        <w:rPr/>
        <w:t>vo</w:t>
      </w:r>
      <w:r>
        <w:rPr>
          <w:spacing w:val="26"/>
        </w:rPr>
        <w:t> </w:t>
      </w:r>
      <w:r>
        <w:rPr>
          <w:spacing w:val="7"/>
        </w:rPr>
        <w:t>c</w:t>
      </w:r>
      <w:r>
        <w:rPr>
          <w:spacing w:val="-1"/>
          <w:w w:val="177"/>
        </w:rPr>
        <w:t> </w:t>
      </w:r>
      <w:r>
        <w:rPr>
          <w:spacing w:val="2"/>
          <w:w w:val="311"/>
        </w:rPr>
        <w:t> </w:t>
      </w:r>
      <w:r>
        <w:rPr>
          <w:w w:val="170"/>
        </w:rPr>
        <w:t>   </w:t>
      </w:r>
      <w:r>
        <w:rPr>
          <w:spacing w:val="26"/>
        </w:rPr>
        <w:t> </w:t>
      </w:r>
      <w:r>
        <w:rPr>
          <w:w w:val="144"/>
        </w:rPr>
        <w:t>    </w:t>
      </w:r>
      <w:r>
        <w:rPr>
          <w:w w:val="111"/>
        </w:rPr>
        <w:t>  </w:t>
      </w:r>
      <w:r>
        <w:rPr>
          <w:w w:val="188"/>
        </w:rPr>
        <w:t> </w:t>
      </w:r>
      <w:r>
        <w:rPr>
          <w:spacing w:val="-1"/>
          <w:w w:val="188"/>
        </w:rPr>
        <w:t> </w:t>
      </w:r>
      <w:r>
        <w:rPr>
          <w:w w:val="155"/>
        </w:rPr>
        <w:t>      </w:t>
      </w:r>
    </w:p>
    <w:p>
      <w:pPr>
        <w:spacing w:after="0" w:line="360" w:lineRule="auto"/>
        <w:jc w:val="both"/>
        <w:sectPr>
          <w:pgSz w:w="12250" w:h="15850"/>
          <w:pgMar w:header="0" w:footer="977" w:top="1360" w:bottom="1220" w:left="1600" w:right="1580"/>
        </w:sectPr>
      </w:pPr>
    </w:p>
    <w:p>
      <w:pPr>
        <w:pStyle w:val="BodyText"/>
        <w:spacing w:before="50"/>
        <w:ind w:left="102"/>
        <w:jc w:val="both"/>
      </w:pPr>
      <w:r>
        <w:rPr>
          <w:w w:val="192"/>
        </w:rPr>
        <w:t>   </w:t>
      </w:r>
      <w:r>
        <w:rPr>
          <w:spacing w:val="10"/>
        </w:rPr>
        <w:t> </w:t>
      </w:r>
      <w:r>
        <w:rPr>
          <w:w w:val="188"/>
        </w:rPr>
        <w:t> </w:t>
      </w:r>
      <w:r>
        <w:rPr>
          <w:spacing w:val="-1"/>
          <w:w w:val="188"/>
        </w:rPr>
        <w:t> </w:t>
      </w:r>
      <w:r>
        <w:rPr>
          <w:w w:val="168"/>
        </w:rPr>
        <w:t>     </w:t>
      </w:r>
      <w:r>
        <w:rPr>
          <w:spacing w:val="11"/>
        </w:rPr>
        <w:t> </w:t>
      </w:r>
      <w:r>
        <w:rPr>
          <w:w w:val="186"/>
        </w:rPr>
        <w:t>     </w:t>
      </w:r>
      <w:r>
        <w:rPr>
          <w:spacing w:val="13"/>
        </w:rPr>
        <w:t> </w:t>
      </w:r>
      <w:r>
        <w:rPr>
          <w:spacing w:val="-1"/>
          <w:w w:val="177"/>
        </w:rPr>
        <w:t> </w:t>
      </w:r>
      <w:r>
        <w:rPr>
          <w:w w:val="155"/>
        </w:rPr>
        <w:t>  </w:t>
      </w:r>
      <w:r>
        <w:rPr>
          <w:spacing w:val="-2"/>
          <w:w w:val="155"/>
        </w:rPr>
        <w:t> </w:t>
      </w:r>
      <w:r>
        <w:rPr>
          <w:spacing w:val="2"/>
          <w:w w:val="200"/>
        </w:rPr>
        <w:t> </w:t>
      </w:r>
      <w:r>
        <w:rPr>
          <w:spacing w:val="-1"/>
          <w:w w:val="177"/>
        </w:rPr>
        <w:t>  </w:t>
      </w:r>
      <w:r>
        <w:rPr>
          <w:w w:val="170"/>
        </w:rPr>
        <w:t>   </w:t>
      </w:r>
      <w:r>
        <w:rPr>
          <w:spacing w:val="12"/>
        </w:rPr>
        <w:t> </w:t>
      </w:r>
      <w:r>
        <w:rPr>
          <w:w w:val="188"/>
        </w:rPr>
        <w:t>  </w:t>
      </w:r>
      <w:r>
        <w:rPr>
          <w:spacing w:val="10"/>
        </w:rPr>
        <w:t> </w:t>
      </w:r>
      <w:r>
        <w:rPr>
          <w:w w:val="155"/>
        </w:rPr>
        <w:t>   </w:t>
      </w:r>
      <w:r>
        <w:rPr>
          <w:spacing w:val="12"/>
        </w:rPr>
        <w:t> </w:t>
      </w:r>
      <w:r>
        <w:rPr>
          <w:w w:val="155"/>
        </w:rPr>
        <w:t> </w:t>
      </w:r>
      <w:r>
        <w:rPr>
          <w:spacing w:val="2"/>
          <w:w w:val="155"/>
        </w:rPr>
        <w:t> </w:t>
      </w:r>
      <w:r>
        <w:rPr>
          <w:spacing w:val="-3"/>
          <w:w w:val="200"/>
        </w:rPr>
        <w:t> </w:t>
      </w:r>
      <w:r>
        <w:rPr>
          <w:w w:val="155"/>
        </w:rPr>
        <w:t> </w:t>
      </w:r>
      <w:r>
        <w:rPr>
          <w:spacing w:val="-2"/>
          <w:w w:val="155"/>
        </w:rPr>
        <w:t> </w:t>
      </w:r>
      <w:r>
        <w:rPr>
          <w:w w:val="170"/>
        </w:rPr>
        <w:t>   </w:t>
      </w:r>
      <w:r>
        <w:rPr>
          <w:spacing w:val="14"/>
        </w:rPr>
        <w:t> </w:t>
      </w:r>
      <w:r>
        <w:rPr>
          <w:w w:val="144"/>
        </w:rPr>
        <w:t>   </w:t>
      </w:r>
      <w:r>
        <w:rPr>
          <w:spacing w:val="-1"/>
          <w:w w:val="144"/>
        </w:rPr>
        <w:t> </w:t>
      </w:r>
      <w:r>
        <w:rPr>
          <w:spacing w:val="-1"/>
          <w:w w:val="177"/>
        </w:rPr>
        <w:t> </w:t>
      </w:r>
      <w:r>
        <w:rPr>
          <w:w w:val="148"/>
        </w:rPr>
        <w:t>   </w:t>
      </w:r>
      <w:r>
        <w:rPr>
          <w:spacing w:val="11"/>
        </w:rPr>
        <w:t> </w:t>
      </w:r>
      <w:r>
        <w:rPr>
          <w:spacing w:val="1"/>
          <w:w w:val="133"/>
        </w:rPr>
        <w:t> </w:t>
      </w:r>
      <w:r>
        <w:rPr>
          <w:spacing w:val="-1"/>
          <w:w w:val="177"/>
        </w:rPr>
        <w:t> </w:t>
      </w:r>
      <w:r>
        <w:rPr>
          <w:w w:val="200"/>
        </w:rPr>
        <w:t>  </w:t>
      </w:r>
      <w:r>
        <w:rPr>
          <w:spacing w:val="16"/>
        </w:rPr>
        <w:t> </w:t>
      </w:r>
      <w:r>
        <w:rPr>
          <w:w w:val="200"/>
        </w:rPr>
        <w:t> </w:t>
      </w:r>
      <w:r>
        <w:rPr>
          <w:spacing w:val="6"/>
        </w:rPr>
        <w:t> </w:t>
      </w:r>
      <w:r>
        <w:rPr>
          <w:w w:val="155"/>
        </w:rPr>
        <w:t>   </w:t>
      </w:r>
      <w:r>
        <w:rPr>
          <w:spacing w:val="12"/>
        </w:rPr>
        <w:t> </w:t>
      </w:r>
      <w:r>
        <w:rPr>
          <w:w w:val="155"/>
        </w:rPr>
        <w:t>  </w:t>
      </w:r>
      <w:r>
        <w:rPr>
          <w:spacing w:val="-1"/>
          <w:w w:val="177"/>
        </w:rPr>
        <w:t> </w:t>
      </w:r>
      <w:r>
        <w:rPr>
          <w:w w:val="166"/>
        </w:rPr>
        <w:t> </w:t>
      </w:r>
      <w:r>
        <w:rPr>
          <w:spacing w:val="-1"/>
          <w:w w:val="166"/>
        </w:rPr>
        <w:t> </w:t>
      </w:r>
      <w:r>
        <w:rPr>
          <w:w w:val="177"/>
        </w:rPr>
        <w:t>  </w:t>
      </w:r>
      <w:r>
        <w:rPr>
          <w:spacing w:val="14"/>
        </w:rPr>
        <w:t> </w:t>
      </w:r>
      <w:r>
        <w:rPr>
          <w:w w:val="188"/>
        </w:rPr>
        <w:t> </w:t>
      </w:r>
      <w:r>
        <w:rPr>
          <w:spacing w:val="-1"/>
          <w:w w:val="188"/>
        </w:rPr>
        <w:t> </w:t>
      </w:r>
      <w:r>
        <w:rPr>
          <w:w w:val="155"/>
        </w:rPr>
        <w:t>   </w:t>
      </w:r>
      <w:r>
        <w:rPr>
          <w:spacing w:val="-2"/>
          <w:w w:val="155"/>
        </w:rPr>
        <w:t> </w:t>
      </w:r>
      <w:r>
        <w:rPr>
          <w:w w:val="122"/>
        </w:rPr>
        <w:t>  </w:t>
      </w:r>
      <w:r>
        <w:rPr>
          <w:spacing w:val="11"/>
        </w:rPr>
        <w:t> </w:t>
      </w:r>
      <w:r>
        <w:rPr>
          <w:spacing w:val="-1"/>
          <w:w w:val="177"/>
        </w:rPr>
        <w:t> </w:t>
      </w:r>
      <w:r>
        <w:rPr>
          <w:w w:val="111"/>
        </w:rPr>
        <w:t> </w:t>
      </w:r>
      <w:r>
        <w:rPr>
          <w:spacing w:val="14"/>
        </w:rPr>
        <w:t> </w:t>
      </w:r>
      <w:r>
        <w:rPr>
          <w:w w:val="188"/>
        </w:rPr>
        <w:t> </w:t>
      </w:r>
      <w:r>
        <w:rPr>
          <w:spacing w:val="-1"/>
          <w:w w:val="188"/>
        </w:rPr>
        <w:t> </w:t>
      </w:r>
      <w:r>
        <w:rPr>
          <w:w w:val="155"/>
        </w:rPr>
        <w:t>   </w:t>
      </w:r>
      <w:r>
        <w:rPr>
          <w:spacing w:val="12"/>
        </w:rPr>
        <w:t> </w:t>
      </w:r>
      <w:r>
        <w:rPr>
          <w:w w:val="177"/>
        </w:rPr>
        <w:t> </w:t>
      </w:r>
    </w:p>
    <w:p>
      <w:pPr>
        <w:pStyle w:val="BodyText"/>
        <w:spacing w:line="360" w:lineRule="auto" w:before="137"/>
        <w:ind w:left="102" w:right="120"/>
        <w:jc w:val="both"/>
      </w:pPr>
      <w:r>
        <w:rPr>
          <w:w w:val="164"/>
        </w:rPr>
        <w:t>    </w:t>
      </w:r>
      <w:r>
        <w:rPr>
          <w:spacing w:val="-2"/>
          <w:w w:val="164"/>
        </w:rPr>
        <w:t> </w:t>
      </w:r>
      <w:r>
        <w:rPr>
          <w:w w:val="166"/>
        </w:rPr>
        <w:t>    </w:t>
      </w:r>
      <w:r>
        <w:rPr>
          <w:spacing w:val="10"/>
        </w:rPr>
        <w:t> </w:t>
      </w:r>
      <w:r>
        <w:rPr>
          <w:w w:val="164"/>
        </w:rPr>
        <w:t>     </w:t>
      </w:r>
      <w:r>
        <w:rPr>
          <w:spacing w:val="-1"/>
          <w:w w:val="177"/>
        </w:rPr>
        <w:t> </w:t>
      </w:r>
      <w:r>
        <w:rPr>
          <w:w w:val="177"/>
        </w:rPr>
        <w:t> </w:t>
      </w:r>
      <w:r>
        <w:rPr>
          <w:spacing w:val="-1"/>
        </w:rPr>
        <w:t> </w:t>
      </w:r>
      <w:r>
        <w:rPr>
          <w:w w:val="1"/>
        </w:rPr>
        <w:t> </w:t>
      </w:r>
      <w:r>
        <w:rPr>
          <w:spacing w:val="9"/>
        </w:rPr>
        <w:t> </w:t>
      </w:r>
      <w:r>
        <w:rPr>
          <w:w w:val="155"/>
        </w:rPr>
        <w:t>   </w:t>
      </w:r>
      <w:r>
        <w:rPr>
          <w:spacing w:val="-2"/>
          <w:w w:val="155"/>
        </w:rPr>
        <w:t> </w:t>
      </w:r>
      <w:r>
        <w:rPr>
          <w:w w:val="144"/>
        </w:rPr>
        <w:t>  </w:t>
      </w:r>
      <w:r>
        <w:rPr>
          <w:spacing w:val="11"/>
        </w:rPr>
        <w:t> </w:t>
      </w:r>
      <w:r>
        <w:rPr>
          <w:w w:val="188"/>
        </w:rPr>
        <w:t>  </w:t>
      </w:r>
      <w:r>
        <w:rPr>
          <w:spacing w:val="8"/>
        </w:rPr>
        <w:t> </w:t>
      </w:r>
      <w:r>
        <w:rPr>
          <w:spacing w:val="-1"/>
          <w:w w:val="177"/>
        </w:rPr>
        <w:t> </w:t>
      </w:r>
      <w:r>
        <w:rPr>
          <w:w w:val="164"/>
        </w:rPr>
        <w:t>     </w:t>
      </w:r>
      <w:r>
        <w:rPr>
          <w:spacing w:val="10"/>
        </w:rPr>
        <w:t> </w:t>
      </w:r>
      <w:r>
        <w:rPr>
          <w:w w:val="188"/>
        </w:rPr>
        <w:t>  </w:t>
      </w:r>
      <w:r>
        <w:rPr>
          <w:spacing w:val="8"/>
        </w:rPr>
        <w:t> </w:t>
      </w:r>
      <w:r>
        <w:rPr>
          <w:w w:val="140"/>
        </w:rPr>
        <w:t>  </w:t>
      </w:r>
      <w:r>
        <w:rPr>
          <w:spacing w:val="-2"/>
          <w:w w:val="140"/>
        </w:rPr>
        <w:t> </w:t>
      </w:r>
      <w:r>
        <w:rPr>
          <w:w w:val="177"/>
        </w:rPr>
        <w:t>  </w:t>
      </w:r>
      <w:r>
        <w:rPr>
          <w:spacing w:val="1"/>
          <w:w w:val="177"/>
        </w:rPr>
        <w:t> </w:t>
      </w:r>
      <w:r>
        <w:rPr>
          <w:spacing w:val="-1"/>
          <w:w w:val="177"/>
        </w:rPr>
        <w:t>  </w:t>
      </w:r>
      <w:r>
        <w:rPr>
          <w:w w:val="170"/>
        </w:rPr>
        <w:t>   </w:t>
      </w:r>
      <w:r>
        <w:rPr/>
        <w:t> </w:t>
      </w:r>
      <w:r>
        <w:rPr>
          <w:spacing w:val="2"/>
          <w:w w:val="1"/>
        </w:rPr>
        <w:t> </w:t>
      </w:r>
      <w:r>
        <w:rPr/>
        <w:t>;                                                  (problema de agentes y principales); de tal forma, que las instituciones públicas sean eficientes en concordancia con la postura del Nuevo Institucionalismo</w:t>
      </w:r>
      <w:r>
        <w:rPr>
          <w:spacing w:val="-11"/>
        </w:rPr>
        <w:t> </w:t>
      </w:r>
      <w:r>
        <w:rPr/>
        <w:t>Económico.</w:t>
      </w:r>
    </w:p>
    <w:p>
      <w:pPr>
        <w:pStyle w:val="BodyText"/>
        <w:spacing w:line="360" w:lineRule="auto" w:before="6"/>
        <w:ind w:left="102" w:right="119" w:firstLine="707"/>
        <w:jc w:val="both"/>
      </w:pPr>
      <w:r>
        <w:rPr/>
        <w:t>La eficiencia fiscal se ve reflejada con dos elementos: 1) una posición fiscal sostenible en su interdependencia con el ambiente económico; 2) la orientación de la política fiscal exige un papel contracíclico con base en la postura Keynesiana y neutral según la postura neoclásica de la economía.</w:t>
      </w:r>
    </w:p>
    <w:p>
      <w:pPr>
        <w:pStyle w:val="BodyText"/>
        <w:spacing w:line="360" w:lineRule="auto" w:before="7"/>
        <w:ind w:left="102" w:right="119" w:firstLine="707"/>
        <w:jc w:val="both"/>
      </w:pPr>
      <w:r>
        <w:rPr/>
        <w:t>La sostenibilidad fiscal se interpreta como la interacción de las finanzas públicas  con el entorno económico (Collignon, 2012), así como la consistencia con otras políticas económicas (inversión para el desarrollo: infraestructura, programas sociales, etc.) (Burger &amp; Marinkov, 2012). No se puede abordar un diseño de marco fiscal sin considerar los objetivos      inflacionarios      y      los      objetivos      de      tasas      de      </w:t>
      </w:r>
      <w:r>
        <w:rPr>
          <w:spacing w:val="2"/>
        </w:rPr>
        <w:t>int </w:t>
      </w:r>
      <w:r>
        <w:rPr/>
        <w:t>coordinación entre la política fiscal y                (Linnemann &amp; Schabert, 2012), así como  las volatilidades sobre la posición fiscal que puedan generar las reglas fiscales alternativas (Brzozowski  &amp;  Gorzelak,</w:t>
      </w:r>
      <w:r>
        <w:rPr>
          <w:spacing w:val="22"/>
        </w:rPr>
        <w:t> </w:t>
      </w:r>
      <w:r>
        <w:rPr/>
        <w:t>2010) </w:t>
      </w:r>
      <w:r>
        <w:rPr>
          <w:spacing w:val="-6"/>
        </w:rPr>
        <w:t> </w:t>
      </w:r>
      <w:r>
        <w:rPr>
          <w:w w:val="200"/>
        </w:rPr>
        <w:t> </w:t>
      </w:r>
      <w:r>
        <w:rPr/>
        <w:t> </w:t>
      </w:r>
      <w:r>
        <w:rPr>
          <w:spacing w:val="-18"/>
        </w:rPr>
        <w:t> </w:t>
      </w:r>
      <w:r>
        <w:rPr>
          <w:w w:val="148"/>
        </w:rPr>
        <w:t>   </w:t>
      </w:r>
      <w:r>
        <w:rPr/>
        <w:t> </w:t>
      </w:r>
      <w:r>
        <w:rPr>
          <w:spacing w:val="-11"/>
        </w:rPr>
        <w:t> </w:t>
      </w:r>
      <w:r>
        <w:rPr>
          <w:spacing w:val="-1"/>
          <w:w w:val="177"/>
        </w:rPr>
        <w:t> </w:t>
      </w:r>
      <w:r>
        <w:rPr>
          <w:w w:val="171"/>
        </w:rPr>
        <w:t>      </w:t>
      </w:r>
      <w:r>
        <w:rPr>
          <w:spacing w:val="2"/>
          <w:w w:val="171"/>
        </w:rPr>
        <w:t> </w:t>
      </w:r>
      <w:r>
        <w:rPr>
          <w:w w:val="188"/>
        </w:rPr>
        <w:t> </w:t>
      </w:r>
      <w:r>
        <w:rPr>
          <w:spacing w:val="-1"/>
          <w:w w:val="188"/>
        </w:rPr>
        <w:t> </w:t>
      </w:r>
      <w:r>
        <w:rPr>
          <w:w w:val="155"/>
        </w:rPr>
        <w:t> </w:t>
      </w:r>
      <w:r>
        <w:rPr/>
        <w:t> </w:t>
      </w:r>
      <w:r>
        <w:rPr>
          <w:spacing w:val="-10"/>
        </w:rPr>
        <w:t> </w:t>
      </w:r>
      <w:r>
        <w:rPr>
          <w:w w:val="188"/>
        </w:rPr>
        <w:t> </w:t>
      </w:r>
      <w:r>
        <w:rPr>
          <w:spacing w:val="-1"/>
          <w:w w:val="188"/>
        </w:rPr>
        <w:t> </w:t>
      </w:r>
      <w:r>
        <w:rPr>
          <w:w w:val="155"/>
        </w:rPr>
        <w:t>  </w:t>
      </w:r>
      <w:r>
        <w:rPr/>
        <w:t> </w:t>
      </w:r>
      <w:r>
        <w:rPr>
          <w:spacing w:val="-10"/>
        </w:rPr>
        <w:t> </w:t>
      </w:r>
      <w:r>
        <w:rPr>
          <w:w w:val="148"/>
        </w:rPr>
        <w:t>   </w:t>
      </w:r>
      <w:r>
        <w:rPr/>
        <w:t> </w:t>
      </w:r>
      <w:r>
        <w:rPr>
          <w:spacing w:val="-11"/>
        </w:rPr>
        <w:t> </w:t>
      </w:r>
      <w:r>
        <w:rPr>
          <w:spacing w:val="-1"/>
          <w:w w:val="177"/>
        </w:rPr>
        <w:t> </w:t>
      </w:r>
      <w:r>
        <w:rPr>
          <w:w w:val="188"/>
        </w:rPr>
        <w:t> </w:t>
      </w:r>
      <w:r>
        <w:rPr>
          <w:spacing w:val="-1"/>
          <w:w w:val="188"/>
        </w:rPr>
        <w:t> </w:t>
      </w:r>
      <w:r>
        <w:rPr>
          <w:w w:val="148"/>
        </w:rPr>
        <w:t>   </w:t>
      </w:r>
      <w:r>
        <w:rPr/>
        <w:t> </w:t>
      </w:r>
      <w:r>
        <w:rPr>
          <w:spacing w:val="-11"/>
        </w:rPr>
        <w:t> </w:t>
      </w:r>
      <w:r>
        <w:rPr>
          <w:w w:val="192"/>
        </w:rPr>
        <w:t>  </w:t>
      </w:r>
      <w:r>
        <w:rPr>
          <w:spacing w:val="-1"/>
          <w:w w:val="192"/>
        </w:rPr>
        <w:t> </w:t>
      </w:r>
      <w:r>
        <w:rPr>
          <w:w w:val="188"/>
        </w:rPr>
        <w:t> </w:t>
      </w:r>
      <w:r>
        <w:rPr>
          <w:spacing w:val="-1"/>
          <w:w w:val="188"/>
        </w:rPr>
        <w:t> </w:t>
      </w:r>
      <w:r>
        <w:rPr>
          <w:w w:val="200"/>
        </w:rPr>
        <w:t> </w:t>
      </w:r>
      <w:r>
        <w:rPr/>
        <w:t> </w:t>
      </w:r>
      <w:r>
        <w:rPr>
          <w:spacing w:val="-10"/>
        </w:rPr>
        <w:t> </w:t>
      </w:r>
      <w:r>
        <w:rPr>
          <w:w w:val="177"/>
        </w:rPr>
        <w:t>         </w:t>
      </w:r>
      <w:r>
        <w:rPr>
          <w:spacing w:val="-1"/>
          <w:w w:val="177"/>
        </w:rPr>
        <w:t> </w:t>
      </w:r>
      <w:r>
        <w:rPr>
          <w:w w:val="155"/>
        </w:rPr>
        <w:t> </w:t>
      </w:r>
      <w:r>
        <w:rPr/>
        <w:t> </w:t>
      </w:r>
      <w:r>
        <w:rPr>
          <w:w w:val="1"/>
        </w:rPr>
        <w:t> </w:t>
      </w:r>
    </w:p>
    <w:p>
      <w:pPr>
        <w:pStyle w:val="BodyText"/>
        <w:spacing w:before="6"/>
        <w:ind w:left="102"/>
        <w:jc w:val="both"/>
      </w:pPr>
      <w:r>
        <w:rPr>
          <w:w w:val="152"/>
        </w:rPr>
        <w:t>       </w:t>
      </w:r>
      <w:r>
        <w:rPr>
          <w:w w:val="200"/>
        </w:rPr>
        <w:t>  </w:t>
      </w:r>
      <w:r>
        <w:rPr/>
        <w:t> </w:t>
      </w:r>
      <w:r>
        <w:rPr>
          <w:w w:val="188"/>
        </w:rPr>
        <w:t>  </w:t>
      </w:r>
      <w:r>
        <w:rPr/>
        <w:t> </w:t>
      </w:r>
      <w:r>
        <w:rPr>
          <w:w w:val="177"/>
        </w:rPr>
        <w:t> </w:t>
      </w:r>
      <w:r>
        <w:rPr>
          <w:w w:val="161"/>
        </w:rPr>
        <w:t>        </w:t>
      </w:r>
      <w:r>
        <w:rPr/>
        <w:t> </w:t>
      </w:r>
      <w:r>
        <w:rPr>
          <w:w w:val="188"/>
        </w:rPr>
        <w:t>  </w:t>
      </w:r>
      <w:r>
        <w:rPr/>
        <w:t> </w:t>
      </w:r>
      <w:r>
        <w:rPr>
          <w:w w:val="177"/>
        </w:rPr>
        <w:t> </w:t>
      </w:r>
      <w:r>
        <w:rPr>
          <w:w w:val="166"/>
        </w:rPr>
        <w:t>  </w:t>
      </w:r>
      <w:r>
        <w:rPr>
          <w:w w:val="177"/>
        </w:rPr>
        <w:t> </w:t>
      </w:r>
      <w:r>
        <w:rPr>
          <w:w w:val="188"/>
        </w:rPr>
        <w:t>  </w:t>
      </w:r>
      <w:r>
        <w:rPr/>
        <w:t> </w:t>
      </w:r>
      <w:r>
        <w:rPr>
          <w:w w:val="1"/>
        </w:rPr>
        <w:t> </w:t>
      </w:r>
      <w:r>
        <w:rPr/>
        <w:t> .</w:t>
      </w:r>
    </w:p>
    <w:p>
      <w:pPr>
        <w:pStyle w:val="BodyText"/>
        <w:spacing w:line="360" w:lineRule="auto" w:before="137"/>
        <w:ind w:left="102" w:right="118" w:firstLine="707"/>
        <w:jc w:val="both"/>
      </w:pPr>
      <w:r>
        <w:rPr/>
        <w:t>Los hallazgos de la presente investigación son compatibles con la sugerencia reciente de una política fiscal basada en la generación de superávits fiscales (Agénor &amp; Yilmaz, 2011; Piasecki &amp; Wulf, 2013; Schick, 2010); sin embargo, no es una regla  perpetua en el tiempo, por tanto, la acumulación de superávits fiscales tiene como destino final la canalización en inversión pública durante períodos de recesión económica, desaceleración   de   la   economía   o </w:t>
      </w:r>
      <w:r>
        <w:rPr>
          <w:spacing w:val="11"/>
        </w:rPr>
        <w:t> </w:t>
      </w:r>
      <w:r>
        <w:rPr/>
        <w:t>desastr</w:t>
      </w:r>
      <w:r>
        <w:rPr>
          <w:spacing w:val="-1"/>
          <w:w w:val="177"/>
        </w:rPr>
        <w:t> </w:t>
      </w:r>
      <w:r>
        <w:rPr>
          <w:w w:val="155"/>
        </w:rPr>
        <w:t> </w:t>
      </w:r>
      <w:r>
        <w:rPr/>
        <w:t>  </w:t>
      </w:r>
      <w:r>
        <w:rPr>
          <w:spacing w:val="-10"/>
        </w:rPr>
        <w:t> </w:t>
      </w:r>
      <w:r>
        <w:rPr>
          <w:spacing w:val="2"/>
          <w:w w:val="200"/>
        </w:rPr>
        <w:t> </w:t>
      </w:r>
      <w:r>
        <w:rPr>
          <w:spacing w:val="-1"/>
          <w:w w:val="177"/>
        </w:rPr>
        <w:t> </w:t>
      </w:r>
      <w:r>
        <w:rPr>
          <w:w w:val="155"/>
        </w:rPr>
        <w:t>   </w:t>
      </w:r>
      <w:r>
        <w:rPr>
          <w:spacing w:val="-2"/>
          <w:w w:val="155"/>
        </w:rPr>
        <w:t> </w:t>
      </w:r>
      <w:r>
        <w:rPr>
          <w:w w:val="148"/>
        </w:rPr>
        <w:t>   </w:t>
      </w:r>
      <w:r>
        <w:rPr/>
        <w:t> </w:t>
      </w:r>
      <w:r>
        <w:rPr>
          <w:w w:val="1"/>
        </w:rPr>
        <w:t> </w:t>
      </w:r>
      <w:r>
        <w:rPr/>
        <w:t>  </w:t>
      </w:r>
      <w:r>
        <w:rPr>
          <w:spacing w:val="-11"/>
        </w:rPr>
        <w:t> </w:t>
      </w:r>
      <w:r>
        <w:rPr>
          <w:spacing w:val="2"/>
          <w:w w:val="200"/>
        </w:rPr>
        <w:t> </w:t>
      </w:r>
      <w:r>
        <w:rPr>
          <w:spacing w:val="-1"/>
          <w:w w:val="177"/>
        </w:rPr>
        <w:t> </w:t>
      </w:r>
      <w:r>
        <w:rPr>
          <w:w w:val="140"/>
        </w:rPr>
        <w:t>  </w:t>
      </w:r>
      <w:r>
        <w:rPr>
          <w:spacing w:val="-2"/>
          <w:w w:val="140"/>
        </w:rPr>
        <w:t> </w:t>
      </w:r>
      <w:r>
        <w:rPr>
          <w:w w:val="111"/>
        </w:rPr>
        <w:t>  </w:t>
      </w:r>
      <w:r>
        <w:rPr>
          <w:w w:val="155"/>
        </w:rPr>
        <w:t> </w:t>
      </w:r>
      <w:r>
        <w:rPr/>
        <w:t>  </w:t>
      </w:r>
      <w:r>
        <w:rPr>
          <w:spacing w:val="-8"/>
        </w:rPr>
        <w:t> </w:t>
      </w:r>
      <w:r>
        <w:rPr>
          <w:w w:val="144"/>
        </w:rPr>
        <w:t>   </w:t>
      </w:r>
      <w:r>
        <w:rPr>
          <w:spacing w:val="-1"/>
          <w:w w:val="144"/>
        </w:rPr>
        <w:t> </w:t>
      </w:r>
      <w:r>
        <w:rPr>
          <w:spacing w:val="-1"/>
          <w:w w:val="177"/>
        </w:rPr>
        <w:t> </w:t>
      </w:r>
      <w:r>
        <w:rPr>
          <w:spacing w:val="2"/>
          <w:w w:val="111"/>
        </w:rPr>
        <w:t> </w:t>
      </w:r>
      <w:r>
        <w:rPr>
          <w:spacing w:val="-1"/>
          <w:w w:val="177"/>
        </w:rPr>
        <w:t> </w:t>
      </w:r>
      <w:r>
        <w:rPr>
          <w:w w:val="155"/>
        </w:rPr>
        <w:t> </w:t>
      </w:r>
      <w:r>
        <w:rPr/>
        <w:t>  </w:t>
      </w:r>
      <w:r>
        <w:rPr>
          <w:spacing w:val="-10"/>
        </w:rPr>
        <w:t> </w:t>
      </w:r>
      <w:r>
        <w:rPr>
          <w:spacing w:val="-1"/>
          <w:w w:val="177"/>
        </w:rPr>
        <w:t> </w:t>
      </w:r>
      <w:r>
        <w:rPr>
          <w:w w:val="137"/>
        </w:rPr>
        <w:t>    </w:t>
      </w:r>
      <w:r>
        <w:rPr>
          <w:spacing w:val="1"/>
          <w:w w:val="137"/>
        </w:rPr>
        <w:t> </w:t>
      </w:r>
      <w:r>
        <w:rPr>
          <w:spacing w:val="-1"/>
          <w:w w:val="177"/>
        </w:rPr>
        <w:t> </w:t>
      </w:r>
      <w:r>
        <w:rPr>
          <w:w w:val="195"/>
        </w:rPr>
        <w:t>     </w:t>
      </w:r>
    </w:p>
    <w:p>
      <w:pPr>
        <w:pStyle w:val="BodyText"/>
        <w:spacing w:line="360" w:lineRule="auto" w:before="4"/>
        <w:ind w:left="102" w:right="121"/>
        <w:jc w:val="both"/>
      </w:pPr>
      <w:r>
        <w:rPr>
          <w:w w:val="177"/>
        </w:rPr>
        <w:t> </w:t>
      </w:r>
      <w:r>
        <w:rPr>
          <w:w w:val="144"/>
        </w:rPr>
        <w:t>    </w:t>
      </w:r>
      <w:r>
        <w:rPr>
          <w:w w:val="177"/>
        </w:rPr>
        <w:t> </w:t>
      </w:r>
      <w:r>
        <w:rPr>
          <w:w w:val="185"/>
        </w:rPr>
        <w:t>   </w:t>
      </w:r>
      <w:r>
        <w:rPr/>
        <w:t> </w:t>
      </w:r>
      <w:r>
        <w:rPr>
          <w:w w:val="50"/>
        </w:rPr>
        <w:t>  </w:t>
      </w:r>
      <w:r>
        <w:rPr/>
        <w:t>   De igual forma, la generación de superávit fiscal no debe dejar de lado los objetivos sociales y programas de desarrollo.</w:t>
      </w:r>
    </w:p>
    <w:p>
      <w:pPr>
        <w:pStyle w:val="BodyText"/>
        <w:spacing w:line="360" w:lineRule="auto" w:before="6"/>
        <w:ind w:left="102" w:right="117" w:firstLine="707"/>
        <w:jc w:val="both"/>
      </w:pPr>
      <w:r>
        <w:rPr/>
        <w:t>Al comparar las                                                                                           con  relación a las encontradas en este documento, se encuentran ciertas similitudes: </w:t>
      </w:r>
      <w:r>
        <w:rPr>
          <w:spacing w:val="-3"/>
        </w:rPr>
        <w:t>1] </w:t>
      </w:r>
      <w:r>
        <w:rPr/>
        <w:t>orientación hacia un mediano plazo; 2] requerimiento de superávit fiscal primario en períodos de similar prospectiva (Lora, et al., 2002; Navajas, et al., 2008); 3] estimaciones similares  para la  deuda  pública máxima  (Zambrano  &amp;  Aguilera,  2010;  Navajas,  et</w:t>
      </w:r>
      <w:r>
        <w:rPr>
          <w:spacing w:val="54"/>
        </w:rPr>
        <w:t> </w:t>
      </w:r>
      <w:r>
        <w:rPr/>
        <w:t>al.,</w:t>
      </w:r>
    </w:p>
    <w:p>
      <w:pPr>
        <w:spacing w:after="0" w:line="360" w:lineRule="auto"/>
        <w:jc w:val="both"/>
        <w:sectPr>
          <w:pgSz w:w="12250" w:h="15850"/>
          <w:pgMar w:header="0" w:footer="977" w:top="1360" w:bottom="1220" w:left="1600" w:right="1580"/>
        </w:sectPr>
      </w:pPr>
    </w:p>
    <w:p>
      <w:pPr>
        <w:pStyle w:val="BodyText"/>
        <w:spacing w:line="360" w:lineRule="auto" w:before="50"/>
        <w:ind w:left="102"/>
      </w:pPr>
      <w:r>
        <w:rPr/>
        <w:t>2008). No obstante, los estudios previos citados no consideraron las distintas magnitudes de canalización de ingresos del recurso natural  hacia el gasto de capital y gasto corriente.</w:t>
      </w:r>
    </w:p>
    <w:p>
      <w:pPr>
        <w:pStyle w:val="BodyText"/>
        <w:spacing w:before="7"/>
        <w:rPr>
          <w:sz w:val="21"/>
        </w:rPr>
      </w:pPr>
    </w:p>
    <w:p>
      <w:pPr>
        <w:pStyle w:val="Heading4"/>
        <w:numPr>
          <w:ilvl w:val="0"/>
          <w:numId w:val="19"/>
        </w:numPr>
        <w:tabs>
          <w:tab w:pos="822" w:val="left" w:leader="none"/>
        </w:tabs>
        <w:spacing w:line="240" w:lineRule="auto" w:before="0" w:after="0"/>
        <w:ind w:left="822" w:right="845" w:hanging="360"/>
        <w:jc w:val="left"/>
      </w:pPr>
      <w:bookmarkStart w:name="_bookmark159" w:id="216"/>
      <w:bookmarkEnd w:id="216"/>
      <w:r>
        <w:rPr>
          <w:b w:val="0"/>
        </w:rPr>
      </w:r>
      <w:bookmarkStart w:name="_bookmark159" w:id="217"/>
      <w:bookmarkEnd w:id="217"/>
      <w:r>
        <w:rPr/>
        <w:t>C</w:t>
      </w:r>
      <w:r>
        <w:rPr/>
        <w:t>ampo de intersección económico-administrativas para la investigación desarrollada</w:t>
      </w:r>
    </w:p>
    <w:p>
      <w:pPr>
        <w:pStyle w:val="BodyText"/>
        <w:rPr>
          <w:b/>
          <w:sz w:val="29"/>
        </w:rPr>
      </w:pPr>
    </w:p>
    <w:p>
      <w:pPr>
        <w:pStyle w:val="BodyText"/>
        <w:spacing w:line="360" w:lineRule="auto"/>
        <w:ind w:left="102" w:right="119" w:firstLine="707"/>
        <w:jc w:val="both"/>
      </w:pPr>
      <w:r>
        <w:rPr/>
        <w:t>La intersección de estudios en Ciencias Económico-Administrativas (CEA) tiene su origen en las ciencias sociales. La investigación en ciencias sociales es una combinación de aspectos teóricos y filosóficos desde un lente multivariado, con diversos orígenes y aplicaciones al estudio de la sociedad.</w:t>
      </w:r>
    </w:p>
    <w:p>
      <w:pPr>
        <w:pStyle w:val="BodyText"/>
        <w:spacing w:line="360" w:lineRule="auto" w:before="6"/>
        <w:ind w:left="102" w:right="117" w:firstLine="707"/>
        <w:jc w:val="both"/>
      </w:pPr>
      <w:r>
        <w:rPr/>
        <w:t>La naturaleza de las ciencias sociales tienen dos objetivos: simplificar la realidad para comprenderla mejor y buscar su exactitud mediante predicciones que puedan compararse en la realidad (Manheim &amp; Rich, 1999). Para ello se deben emplear teorías que estén relacionadas de forma lógica y que representen lo que se supone que explica y se interpreta en la sociedad.</w:t>
      </w:r>
    </w:p>
    <w:p>
      <w:pPr>
        <w:pStyle w:val="BodyText"/>
        <w:spacing w:line="360" w:lineRule="auto" w:before="4"/>
        <w:ind w:left="102" w:right="116" w:firstLine="707"/>
        <w:jc w:val="both"/>
      </w:pPr>
      <w:r>
        <w:rPr/>
        <w:t>En las ciencias sociales, con base en posturas filosóficas del positivismo, se fundamentan con la existencia de hechos reales, precisos y discernimiento entre lo útil y lo inútil (Briones, 2006). En consecuencia, los datos observados por los sentidos utilizan el método de la observación, la experimentación o asociación y la comparación como la alternativa para la generación de leyes científicas.</w:t>
      </w:r>
    </w:p>
    <w:p>
      <w:pPr>
        <w:pStyle w:val="BodyText"/>
        <w:spacing w:line="360" w:lineRule="auto" w:before="6"/>
        <w:ind w:left="102" w:right="118" w:firstLine="707"/>
        <w:jc w:val="both"/>
      </w:pPr>
      <w:r>
        <w:rPr/>
        <w:t>De acuerdo con el positivismo, las ciencias sociales son empíricas con sistemas de teorías y enunciados universales (Popper, 1973). Sin embargo, no se puede tener certeza que cada teoría sea verdadera, por tanto, existe la posibilidad de que sea</w:t>
      </w:r>
      <w:r>
        <w:rPr>
          <w:spacing w:val="-11"/>
        </w:rPr>
        <w:t> </w:t>
      </w:r>
      <w:r>
        <w:rPr/>
        <w:t>falsa.</w:t>
      </w:r>
    </w:p>
    <w:p>
      <w:pPr>
        <w:pStyle w:val="BodyText"/>
        <w:spacing w:line="360" w:lineRule="auto" w:before="4"/>
        <w:ind w:left="102" w:right="118" w:firstLine="767"/>
        <w:jc w:val="both"/>
      </w:pPr>
      <w:r>
        <w:rPr/>
        <w:t>En suma, las ciencias sociales al estar conformadas por teorías como simples hipótesis pueden estar sujetas a cambios constantes y ser rechazadas en cierto momento de la realidad. La metodología de las ciencias sociales induce a su continua reingeniería, a un crecimiento acumulativo del conocimiento por dos partes: i) la contrastación empírica y la eliminación del error de investigación; ii) tratar de responder: ¿qué se sabe de nuevo que no se sabía antes? (Popper, 1975).</w:t>
      </w:r>
    </w:p>
    <w:p>
      <w:pPr>
        <w:pStyle w:val="BodyText"/>
        <w:spacing w:line="360" w:lineRule="auto" w:before="6"/>
        <w:ind w:left="102" w:right="116" w:firstLine="707"/>
        <w:jc w:val="both"/>
      </w:pPr>
      <w:r>
        <w:rPr/>
        <w:t>Después de haber realizado una breve introducción en el campo económico- administrativo, como una ciencia social, es necesario definir a la economía y a la administración, así como sus respectivas áreas de investigación para explicar la intersección encontrada en la investigación abordada.</w:t>
      </w:r>
    </w:p>
    <w:p>
      <w:pPr>
        <w:spacing w:after="0" w:line="360" w:lineRule="auto"/>
        <w:jc w:val="both"/>
        <w:sectPr>
          <w:pgSz w:w="12250" w:h="15850"/>
          <w:pgMar w:header="0" w:footer="977" w:top="1360" w:bottom="1220" w:left="1600" w:right="1580"/>
        </w:sectPr>
      </w:pPr>
    </w:p>
    <w:p>
      <w:pPr>
        <w:pStyle w:val="BodyText"/>
        <w:spacing w:line="360" w:lineRule="auto" w:before="50"/>
        <w:ind w:left="102" w:right="118" w:firstLine="707"/>
        <w:jc w:val="both"/>
      </w:pPr>
      <w:r>
        <w:rPr/>
        <w:t>La economía se define como una ciencia social que estudia las elecciones de los agentes económicos (familias, empresas y gobierno) para enfrentar el problema de la escasez de los factores productivos (Parkín &amp; Loría, 2010, pág. 2)  o lo que formalmente se</w:t>
      </w:r>
    </w:p>
    <w:p>
      <w:pPr>
        <w:pStyle w:val="BodyText"/>
        <w:spacing w:line="360" w:lineRule="auto" w:before="4"/>
        <w:ind w:left="102" w:right="120"/>
        <w:jc w:val="both"/>
      </w:pPr>
      <w:r>
        <w:rPr>
          <w:w w:val="177"/>
        </w:rPr>
        <w:t> </w:t>
      </w:r>
      <w:r>
        <w:rPr>
          <w:w w:val="194"/>
        </w:rPr>
        <w:t>    </w:t>
      </w:r>
      <w:r>
        <w:rPr>
          <w:spacing w:val="-1"/>
          <w:w w:val="177"/>
        </w:rPr>
        <w:t> </w:t>
      </w:r>
      <w:r>
        <w:rPr/>
        <w:t> </w:t>
      </w:r>
      <w:r>
        <w:rPr>
          <w:spacing w:val="6"/>
          <w:w w:val="177"/>
        </w:rPr>
        <w:t> </w:t>
      </w:r>
      <w:r>
        <w:rPr>
          <w:w w:val="237"/>
        </w:rPr>
        <w:t>   </w:t>
      </w:r>
      <w:r>
        <w:rPr/>
        <w:t> </w:t>
      </w:r>
      <w:r>
        <w:rPr>
          <w:w w:val="85"/>
        </w:rPr>
        <w:t>―                                                                                                                             </w:t>
      </w:r>
      <w:r>
        <w:rPr>
          <w:spacing w:val="51"/>
          <w:w w:val="85"/>
        </w:rPr>
        <w:t> </w:t>
      </w:r>
      <w:r>
        <w:rPr>
          <w:w w:val="135"/>
        </w:rPr>
        <w:t>‖ </w:t>
      </w:r>
      <w:r>
        <w:rPr/>
        <w:t>división tradicional de la economía se centra en dos áreas: </w:t>
      </w:r>
      <w:r>
        <w:rPr>
          <w:i/>
        </w:rPr>
        <w:t>la microeconomía </w:t>
      </w:r>
      <w:r>
        <w:rPr/>
        <w:t>y </w:t>
      </w:r>
      <w:r>
        <w:rPr>
          <w:i/>
        </w:rPr>
        <w:t>la </w:t>
      </w:r>
      <w:r>
        <w:rPr>
          <w:i/>
        </w:rPr>
        <w:t>macroeconomía</w:t>
      </w:r>
      <w:r>
        <w:rPr/>
        <w:t>.</w:t>
      </w:r>
    </w:p>
    <w:p>
      <w:pPr>
        <w:spacing w:line="360" w:lineRule="auto" w:before="6"/>
        <w:ind w:left="102" w:right="120" w:firstLine="707"/>
        <w:jc w:val="both"/>
        <w:rPr>
          <w:sz w:val="24"/>
        </w:rPr>
      </w:pPr>
      <w:r>
        <w:rPr>
          <w:sz w:val="24"/>
        </w:rPr>
        <w:t>La </w:t>
      </w:r>
      <w:r>
        <w:rPr>
          <w:i/>
          <w:sz w:val="24"/>
        </w:rPr>
        <w:t>microeconomía </w:t>
      </w:r>
      <w:r>
        <w:rPr>
          <w:sz w:val="24"/>
        </w:rPr>
        <w:t>estudia el comportamiento económico de las decisiones individuales de los consumidores, los propietarios de los recursos y las empresas. Otros nombres de la microeconomía son la </w:t>
      </w:r>
      <w:r>
        <w:rPr>
          <w:i/>
          <w:sz w:val="24"/>
        </w:rPr>
        <w:t>teoría microeconómica </w:t>
      </w:r>
      <w:r>
        <w:rPr>
          <w:sz w:val="24"/>
        </w:rPr>
        <w:t>o </w:t>
      </w:r>
      <w:r>
        <w:rPr>
          <w:i/>
          <w:sz w:val="24"/>
        </w:rPr>
        <w:t>teoría de los precios </w:t>
      </w:r>
      <w:r>
        <w:rPr>
          <w:sz w:val="24"/>
        </w:rPr>
        <w:t>(Salvatore, 2009, pág. 1).</w:t>
      </w:r>
    </w:p>
    <w:p>
      <w:pPr>
        <w:pStyle w:val="BodyText"/>
        <w:spacing w:line="360" w:lineRule="auto" w:before="6"/>
        <w:ind w:left="102" w:right="116" w:firstLine="707"/>
        <w:jc w:val="both"/>
      </w:pPr>
      <w:r>
        <w:rPr/>
        <w:t>El otro campo de la economía es la </w:t>
      </w:r>
      <w:r>
        <w:rPr>
          <w:i/>
        </w:rPr>
        <w:t>macroeconomía </w:t>
      </w:r>
      <w:r>
        <w:rPr/>
        <w:t>que se encarga del estudio de los agregados económicos: la producción nacional, el nivel de precios, el sector externo, el sector fiscal, comercio exterior y el sector monetario. De forma adicional, la </w:t>
      </w:r>
      <w:r>
        <w:rPr>
          <w:i/>
        </w:rPr>
        <w:t>macroeconomía </w:t>
      </w:r>
      <w:r>
        <w:rPr/>
        <w:t>estudia el funcionamiento de la economía en su conjunto y ayuda a entender las implicaciones de política económica (De Gregorio, 2007, pág.</w:t>
      </w:r>
      <w:r>
        <w:rPr>
          <w:spacing w:val="-13"/>
        </w:rPr>
        <w:t> </w:t>
      </w:r>
      <w:r>
        <w:rPr/>
        <w:t>1).</w:t>
      </w:r>
    </w:p>
    <w:p>
      <w:pPr>
        <w:pStyle w:val="BodyText"/>
        <w:spacing w:line="360" w:lineRule="auto" w:before="4"/>
        <w:ind w:left="102" w:right="122" w:firstLine="707"/>
        <w:jc w:val="both"/>
      </w:pPr>
      <w:r>
        <w:rPr/>
        <w:t>Por el lado de la </w:t>
      </w:r>
      <w:r>
        <w:rPr>
          <w:i/>
        </w:rPr>
        <w:t>Administración</w:t>
      </w:r>
      <w:r>
        <w:rPr/>
        <w:t>, esta ciencia social se define como la dirección racional de las actividades de una organización, lucrativa o no, que conlleva procesos como la planificación, organización, dirección, ejecución y control de las actividades separadas por el trabajo que ocurren dentro de la organización (Chiavenato, 2006, pág. 1).</w:t>
      </w:r>
    </w:p>
    <w:p>
      <w:pPr>
        <w:pStyle w:val="BodyText"/>
        <w:spacing w:line="360" w:lineRule="auto" w:before="4"/>
        <w:ind w:left="102" w:right="116" w:firstLine="707"/>
        <w:jc w:val="both"/>
      </w:pPr>
      <w:r>
        <w:rPr/>
        <w:t>En la ciencia administrativa, existen varios campos, de los principales se pueden señalar dos: i) la </w:t>
      </w:r>
      <w:r>
        <w:rPr>
          <w:i/>
        </w:rPr>
        <w:t>teoría moderna de las organizaciones</w:t>
      </w:r>
      <w:r>
        <w:rPr/>
        <w:t>, que contempla las perspectivas teóricas que explican el comportamiento de las organizaciones y ii) </w:t>
      </w:r>
      <w:r>
        <w:rPr>
          <w:i/>
        </w:rPr>
        <w:t>la administración </w:t>
      </w:r>
      <w:r>
        <w:rPr>
          <w:i/>
        </w:rPr>
        <w:t>estratégica </w:t>
      </w:r>
      <w:r>
        <w:rPr/>
        <w:t>que aborda la selección de industrias de valor, el análisis de acción-reacción de competidores y finalmente los recursos y capacidades dinámicas de las organizaciones con el fin de obtener estrategias y ventajas competitivas que sean difíciles de replicar e imitar por sus competidores (Teece, Pisano, &amp; Shuen, 1997) .</w:t>
      </w:r>
    </w:p>
    <w:p>
      <w:pPr>
        <w:spacing w:after="0" w:line="360" w:lineRule="auto"/>
        <w:jc w:val="both"/>
        <w:sectPr>
          <w:pgSz w:w="12250" w:h="15850"/>
          <w:pgMar w:header="0" w:footer="977" w:top="1360" w:bottom="1220" w:left="1600" w:right="1580"/>
        </w:sectPr>
      </w:pPr>
    </w:p>
    <w:p>
      <w:pPr>
        <w:pStyle w:val="Heading5"/>
        <w:spacing w:line="360" w:lineRule="auto" w:before="55"/>
      </w:pPr>
      <w:r>
        <w:rPr>
          <w:i/>
        </w:rPr>
        <w:t>Una justificación central para el estudio en ciencias económico-administrativas: La </w:t>
      </w:r>
      <w:r>
        <w:rPr/>
        <w:t>política fiscal  y la teoría institucional</w:t>
      </w:r>
    </w:p>
    <w:p>
      <w:pPr>
        <w:pStyle w:val="BodyText"/>
        <w:rPr>
          <w:b/>
          <w:i/>
        </w:rPr>
      </w:pPr>
    </w:p>
    <w:p>
      <w:pPr>
        <w:pStyle w:val="BodyText"/>
        <w:spacing w:line="360" w:lineRule="auto" w:before="138"/>
        <w:ind w:left="102" w:right="120" w:firstLine="707"/>
        <w:jc w:val="both"/>
      </w:pPr>
      <w:r>
        <w:rPr/>
        <w:t>El programa doctoral en Ciencias Económico-Administrativo tiene como propósito formar investigadores, capaces de generar respuesta, mediante la investigación y la docencia, a los problemas económico - administrativos con orientación hacia los sectores productivos y las organizaciones.</w:t>
      </w:r>
    </w:p>
    <w:p>
      <w:pPr>
        <w:pStyle w:val="BodyText"/>
        <w:spacing w:line="360" w:lineRule="auto" w:before="4"/>
        <w:ind w:left="102" w:right="113" w:firstLine="707"/>
        <w:jc w:val="both"/>
      </w:pPr>
      <w:r>
        <w:rPr/>
        <w:t>Ante la premisa anterior, la tesis propuesta engloba al sector público no financiero (excepto el banco central) como un sector productivo que ofrece bienes y servicios públicos a favor la sociedad que no son producidos por el mercado, tales como: producción y explotación monopólica de recursos naturales estratégicos, seguridad nacional, educación pública, inversión pública en infraestructura, compras y subsidios, políticas de desarrollo sectorial, entre otros (Parkín &amp; Loría, 2010).</w:t>
      </w:r>
    </w:p>
    <w:p>
      <w:pPr>
        <w:pStyle w:val="BodyText"/>
        <w:spacing w:line="360" w:lineRule="auto" w:before="4"/>
        <w:ind w:left="102" w:right="120" w:firstLine="707"/>
        <w:jc w:val="both"/>
      </w:pPr>
      <w:r>
        <w:rPr/>
        <w:t>El sector público no financiero está conformado por el gobierno central, gobiernos regionales y municipales, así como empresas públicas. Para tal efecto, en la investigación  se presentan cuatro variables de análisis agregadas del sector: gasto público, ingresos fiscales, balance fiscal (con y sin recurso natural) y deuda pública. La macroeconomía comprende el estudio de la política fiscal, y por tanto, las variables agregadas del sector público.</w:t>
      </w:r>
    </w:p>
    <w:p>
      <w:pPr>
        <w:pStyle w:val="BodyText"/>
        <w:spacing w:line="360" w:lineRule="auto" w:before="4"/>
        <w:ind w:left="102" w:right="119" w:firstLine="707"/>
        <w:jc w:val="both"/>
      </w:pPr>
      <w:r>
        <w:rPr/>
        <w:t>En el capítulo I de la tesis, se definió a la política fiscal como las decisiones que toma el gobierno en términos de expansión o contracción de gasto público, ingresos fiscales, resultado fiscal y deuda pública relacionando los instrumentos fiscales señalados con las fases del ciclo</w:t>
      </w:r>
      <w:r>
        <w:rPr>
          <w:spacing w:val="-4"/>
        </w:rPr>
        <w:t> </w:t>
      </w:r>
      <w:r>
        <w:rPr/>
        <w:t>económico.</w:t>
      </w:r>
    </w:p>
    <w:p>
      <w:pPr>
        <w:spacing w:line="360" w:lineRule="auto" w:before="4"/>
        <w:ind w:left="102" w:right="117" w:firstLine="707"/>
        <w:jc w:val="both"/>
        <w:rPr>
          <w:sz w:val="24"/>
        </w:rPr>
      </w:pPr>
      <w:r>
        <w:rPr>
          <w:sz w:val="24"/>
        </w:rPr>
        <w:t>Por el lado de la </w:t>
      </w:r>
      <w:r>
        <w:rPr>
          <w:i/>
          <w:sz w:val="24"/>
        </w:rPr>
        <w:t>administración</w:t>
      </w:r>
      <w:r>
        <w:rPr>
          <w:sz w:val="24"/>
        </w:rPr>
        <w:t>, se había mencionado que una rama de la administración es la </w:t>
      </w:r>
      <w:r>
        <w:rPr>
          <w:i/>
          <w:sz w:val="24"/>
        </w:rPr>
        <w:t>teoría moderna de las organizaciones</w:t>
      </w:r>
      <w:r>
        <w:rPr>
          <w:sz w:val="24"/>
        </w:rPr>
        <w:t>, área de estudio que contempla a la </w:t>
      </w:r>
      <w:r>
        <w:rPr>
          <w:i/>
          <w:sz w:val="24"/>
        </w:rPr>
        <w:t>teoría institucional </w:t>
      </w:r>
      <w:r>
        <w:rPr>
          <w:sz w:val="24"/>
        </w:rPr>
        <w:t>como un factor que explica las fuentes de cambio en las organizaciones.</w:t>
      </w:r>
    </w:p>
    <w:p>
      <w:pPr>
        <w:spacing w:line="360" w:lineRule="auto" w:before="6"/>
        <w:ind w:left="102" w:right="118" w:firstLine="707"/>
        <w:jc w:val="both"/>
        <w:rPr>
          <w:sz w:val="24"/>
        </w:rPr>
      </w:pPr>
      <w:r>
        <w:rPr>
          <w:sz w:val="24"/>
        </w:rPr>
        <w:t>En consecuencia, para esta investigación se propone </w:t>
      </w:r>
      <w:r>
        <w:rPr>
          <w:i/>
          <w:sz w:val="24"/>
        </w:rPr>
        <w:t>al rol institucional del  </w:t>
      </w:r>
      <w:r>
        <w:rPr>
          <w:i/>
          <w:sz w:val="24"/>
        </w:rPr>
        <w:t>gobierno para el manejo de la posición fiscal </w:t>
      </w:r>
      <w:r>
        <w:rPr>
          <w:sz w:val="24"/>
        </w:rPr>
        <w:t>como la intersección de las ciencias económico-administrativo mediante el  establecimiento de una regla    </w:t>
      </w:r>
      <w:r>
        <w:rPr>
          <w:spacing w:val="55"/>
          <w:sz w:val="24"/>
        </w:rPr>
        <w:t> </w:t>
      </w:r>
      <w:r>
        <w:rPr>
          <w:sz w:val="24"/>
        </w:rPr>
        <w:t>fiscal como  arreglo</w:t>
      </w:r>
    </w:p>
    <w:p>
      <w:pPr>
        <w:spacing w:after="0" w:line="360" w:lineRule="auto"/>
        <w:jc w:val="both"/>
        <w:rPr>
          <w:sz w:val="24"/>
        </w:rPr>
        <w:sectPr>
          <w:pgSz w:w="12250" w:h="15850"/>
          <w:pgMar w:header="0" w:footer="977" w:top="1360" w:bottom="1220" w:left="1600" w:right="1580"/>
        </w:sectPr>
      </w:pPr>
    </w:p>
    <w:p>
      <w:pPr>
        <w:pStyle w:val="BodyText"/>
        <w:spacing w:line="360" w:lineRule="auto" w:before="50"/>
        <w:ind w:left="102" w:right="127"/>
      </w:pPr>
      <w:r>
        <w:rPr/>
        <w:t>institucional frente a la dependencia de un recurso natural al asignar los ingresos fiscales al gasto público, resultados fiscales y deuda pública.</w:t>
      </w:r>
    </w:p>
    <w:p>
      <w:pPr>
        <w:pStyle w:val="BodyText"/>
        <w:spacing w:line="360" w:lineRule="auto" w:before="6"/>
        <w:ind w:left="102" w:right="120" w:firstLine="707"/>
        <w:jc w:val="both"/>
      </w:pPr>
      <w:r>
        <w:rPr/>
        <w:t>De forma seguida, se explican dos argumentos  para la investigación  derivados de  la teoría institucional (campo de la administración): i) la importancia del rol institucional en países dependientes de recursos naturales y ii) la justificación institucional para la implementación de reglas</w:t>
      </w:r>
      <w:r>
        <w:rPr>
          <w:spacing w:val="-8"/>
        </w:rPr>
        <w:t> </w:t>
      </w:r>
      <w:r>
        <w:rPr/>
        <w:t>fiscales.</w:t>
      </w:r>
    </w:p>
    <w:p>
      <w:pPr>
        <w:pStyle w:val="BodyText"/>
        <w:spacing w:line="360" w:lineRule="auto" w:before="6"/>
        <w:ind w:left="102" w:right="118" w:firstLine="707"/>
        <w:jc w:val="both"/>
      </w:pPr>
      <w:r>
        <w:rPr/>
        <w:t>La importancia del rol de las instituciones en las finanzas públicas  se caracteriza  por la manera en que son administrados los recursos naturales con relación al gasto público y mitigación de choques de precios internacionales mediante la aplicación de normas formales que conduzcan a una posición fiscal</w:t>
      </w:r>
      <w:r>
        <w:rPr>
          <w:spacing w:val="-9"/>
        </w:rPr>
        <w:t> </w:t>
      </w:r>
      <w:r>
        <w:rPr/>
        <w:t>sostenible.</w:t>
      </w:r>
    </w:p>
    <w:p>
      <w:pPr>
        <w:pStyle w:val="BodyText"/>
        <w:spacing w:line="360" w:lineRule="auto" w:before="6"/>
        <w:ind w:left="102" w:right="118" w:firstLine="707"/>
        <w:jc w:val="both"/>
      </w:pPr>
      <w:r>
        <w:rPr/>
        <w:t>En el capítulo I, se mencionó que existe una extensa literatura que relaciona la presencia de un recurso natural abundante y el papel de las instituciones; en tanto que se ha mencionado que los recursos naturales son una especie de maldición económica para los países, también se ha encontrado que el papel de las instituciones es el factor determinante para la maldición o bendición del recurso natural.</w:t>
      </w:r>
    </w:p>
    <w:p>
      <w:pPr>
        <w:pStyle w:val="BodyText"/>
        <w:spacing w:line="360" w:lineRule="auto" w:before="4"/>
        <w:ind w:left="102" w:right="117" w:firstLine="707"/>
        <w:jc w:val="both"/>
      </w:pPr>
      <w:r>
        <w:rPr/>
        <w:t>Para la justificación institucional sobre la implementación de una regla fiscal, con base en argumentos clásicos como el de Coase (1937) cuando señaló: ¿por qué una organizaciones son más eficientes que otras?, la respuesta se basa en la mejor organización económica, y por tato más eficiente. Posturas teóricas como el Nuevo Institucionalismo Económico (NIE) y los Costos de Transacción Económicos (CTE) explican la existencia de instituciones económicamente eficientes según su rol de maximizar los beneficios de la sociedad o minimizar los costos de transacción para la asignación de los recursos económicos, en este caso los ingresos del recurso natural.</w:t>
      </w:r>
    </w:p>
    <w:p>
      <w:pPr>
        <w:pStyle w:val="BodyText"/>
        <w:spacing w:line="360" w:lineRule="auto" w:before="4"/>
        <w:ind w:left="102" w:right="118" w:firstLine="707"/>
        <w:jc w:val="both"/>
      </w:pPr>
      <w:r>
        <w:rPr/>
        <w:t>De forma adicional, en el capítulo I se explicó que los gobiernos no implementan reglas fiscales por evitar eliminar el oportunismo de maximizar su interés propio, cuya concepción es análoga al problema de agentes y principales desde la teoría de las organizaciones.</w:t>
      </w:r>
    </w:p>
    <w:p>
      <w:pPr>
        <w:pStyle w:val="BodyText"/>
        <w:spacing w:before="6"/>
        <w:ind w:left="810" w:right="127"/>
      </w:pPr>
      <w:r>
        <w:rPr/>
        <w:t>Asimismo, se mencionó que la importancia de introducir una regla    fiscal </w:t>
      </w:r>
      <w:r>
        <w:rPr>
          <w:w w:val="1"/>
        </w:rPr>
        <w:t> </w:t>
      </w:r>
      <w:r>
        <w:rPr/>
        <w:t> </w:t>
      </w:r>
      <w:r>
        <w:rPr>
          <w:w w:val="177"/>
        </w:rPr>
        <w:t> </w:t>
      </w:r>
      <w:r>
        <w:rPr>
          <w:w w:val="164"/>
        </w:rPr>
        <w:t>     </w:t>
      </w:r>
      <w:r>
        <w:rPr>
          <w:w w:val="155"/>
        </w:rPr>
        <w:t>  </w:t>
      </w:r>
    </w:p>
    <w:p>
      <w:pPr>
        <w:pStyle w:val="BodyText"/>
        <w:spacing w:line="360" w:lineRule="auto" w:before="137"/>
        <w:ind w:left="102"/>
      </w:pPr>
      <w:r>
        <w:rPr>
          <w:w w:val="177"/>
        </w:rPr>
        <w:t> </w:t>
      </w:r>
      <w:r>
        <w:rPr>
          <w:w w:val="155"/>
        </w:rPr>
        <w:t>    </w:t>
      </w:r>
      <w:r>
        <w:rPr/>
        <w:t>  </w:t>
      </w:r>
      <w:r>
        <w:rPr>
          <w:w w:val="200"/>
        </w:rPr>
        <w:t> </w:t>
      </w:r>
      <w:r>
        <w:rPr>
          <w:w w:val="172"/>
        </w:rPr>
        <w:t>    </w:t>
      </w:r>
      <w:r>
        <w:rPr>
          <w:w w:val="177"/>
        </w:rPr>
        <w:t>   </w:t>
      </w:r>
      <w:r>
        <w:rPr/>
        <w:t>  </w:t>
      </w:r>
      <w:r>
        <w:rPr>
          <w:w w:val="200"/>
        </w:rPr>
        <w:t> </w:t>
      </w:r>
      <w:r>
        <w:rPr/>
        <w:t>  </w:t>
      </w:r>
      <w:r>
        <w:rPr>
          <w:w w:val="164"/>
        </w:rPr>
        <w:t>     </w:t>
      </w:r>
      <w:r>
        <w:rPr>
          <w:w w:val="200"/>
        </w:rPr>
        <w:t> </w:t>
      </w:r>
      <w:r>
        <w:rPr>
          <w:w w:val="177"/>
        </w:rPr>
        <w:t> </w:t>
      </w:r>
      <w:r>
        <w:rPr>
          <w:w w:val="200"/>
        </w:rPr>
        <w:t> </w:t>
      </w:r>
      <w:r>
        <w:rPr/>
        <w:t> </w:t>
      </w:r>
      <w:r>
        <w:rPr>
          <w:w w:val="1"/>
        </w:rPr>
        <w:t> </w:t>
      </w:r>
      <w:r>
        <w:rPr/>
        <w:t>   se basa en reducir el oportunismo del gobierno (agente), en términos del manejo del gasto público, resultados fiscales y deuda pública.  Los   beneficios</w:t>
      </w:r>
    </w:p>
    <w:p>
      <w:pPr>
        <w:spacing w:after="0" w:line="360" w:lineRule="auto"/>
        <w:sectPr>
          <w:pgSz w:w="12250" w:h="15850"/>
          <w:pgMar w:header="0" w:footer="977" w:top="1360" w:bottom="1220" w:left="1600" w:right="1580"/>
        </w:sectPr>
      </w:pPr>
    </w:p>
    <w:p>
      <w:pPr>
        <w:pStyle w:val="BodyText"/>
        <w:spacing w:line="360" w:lineRule="auto" w:before="50"/>
        <w:ind w:left="102" w:right="127"/>
      </w:pPr>
      <w:r>
        <w:rPr/>
        <w:t>de una regla fiscal mejorarán la eficiencia económica del Estado y estarán a favor de la sociedad (principales).</w:t>
      </w:r>
    </w:p>
    <w:p>
      <w:pPr>
        <w:pStyle w:val="BodyText"/>
        <w:spacing w:before="6"/>
        <w:ind w:left="810"/>
      </w:pPr>
      <w:r>
        <w:rPr>
          <w:w w:val="288"/>
        </w:rPr>
        <w:t> </w:t>
      </w:r>
      <w:r>
        <w:rPr>
          <w:spacing w:val="8"/>
        </w:rPr>
        <w:t> </w:t>
      </w:r>
      <w:r>
        <w:rPr>
          <w:w w:val="216"/>
        </w:rPr>
        <w:t>   </w:t>
      </w:r>
      <w:r>
        <w:rPr>
          <w:spacing w:val="-2"/>
          <w:w w:val="216"/>
        </w:rPr>
        <w:t> </w:t>
      </w:r>
      <w:r>
        <w:rPr>
          <w:spacing w:val="1"/>
          <w:w w:val="133"/>
        </w:rPr>
        <w:t> </w:t>
      </w:r>
      <w:r>
        <w:rPr>
          <w:w w:val="177"/>
        </w:rPr>
        <w:t> </w:t>
      </w:r>
      <w:r>
        <w:rPr>
          <w:spacing w:val="8"/>
        </w:rPr>
        <w:t> </w:t>
      </w:r>
      <w:r>
        <w:rPr>
          <w:w w:val="188"/>
        </w:rPr>
        <w:t>  </w:t>
      </w:r>
      <w:r>
        <w:rPr>
          <w:spacing w:val="8"/>
        </w:rPr>
        <w:t> </w:t>
      </w:r>
      <w:r>
        <w:rPr>
          <w:w w:val="144"/>
        </w:rPr>
        <w:t>    </w:t>
      </w:r>
      <w:r>
        <w:rPr>
          <w:spacing w:val="-1"/>
          <w:w w:val="177"/>
        </w:rPr>
        <w:t> </w:t>
      </w:r>
      <w:r>
        <w:rPr>
          <w:w w:val="140"/>
        </w:rPr>
        <w:t>   </w:t>
      </w:r>
      <w:r>
        <w:rPr/>
        <w:t> </w:t>
      </w:r>
      <w:r>
        <w:rPr>
          <w:spacing w:val="11"/>
        </w:rPr>
        <w:t> </w:t>
      </w:r>
      <w:r>
        <w:rPr>
          <w:spacing w:val="-1"/>
          <w:w w:val="177"/>
        </w:rPr>
        <w:t> </w:t>
      </w:r>
      <w:r>
        <w:rPr>
          <w:w w:val="111"/>
        </w:rPr>
        <w:t> </w:t>
      </w:r>
      <w:r>
        <w:rPr>
          <w:spacing w:val="12"/>
        </w:rPr>
        <w:t> </w:t>
      </w:r>
      <w:r>
        <w:rPr>
          <w:w w:val="148"/>
        </w:rPr>
        <w:t>   </w:t>
      </w:r>
      <w:r>
        <w:rPr>
          <w:spacing w:val="9"/>
        </w:rPr>
        <w:t> </w:t>
      </w:r>
      <w:r>
        <w:rPr>
          <w:w w:val="144"/>
        </w:rPr>
        <w:t>    </w:t>
      </w:r>
      <w:r>
        <w:rPr>
          <w:w w:val="111"/>
        </w:rPr>
        <w:t>  </w:t>
      </w:r>
      <w:r>
        <w:rPr>
          <w:w w:val="188"/>
        </w:rPr>
        <w:t> </w:t>
      </w:r>
      <w:r>
        <w:rPr>
          <w:spacing w:val="-1"/>
          <w:w w:val="188"/>
        </w:rPr>
        <w:t> </w:t>
      </w:r>
      <w:r>
        <w:rPr>
          <w:w w:val="160"/>
        </w:rPr>
        <w:t>     </w:t>
      </w:r>
      <w:r>
        <w:rPr>
          <w:spacing w:val="9"/>
        </w:rPr>
        <w:t> </w:t>
      </w:r>
      <w:r>
        <w:rPr>
          <w:w w:val="188"/>
        </w:rPr>
        <w:t> </w:t>
      </w:r>
      <w:r>
        <w:rPr>
          <w:spacing w:val="-1"/>
          <w:w w:val="188"/>
        </w:rPr>
        <w:t> </w:t>
      </w:r>
      <w:r>
        <w:rPr>
          <w:w w:val="111"/>
        </w:rPr>
        <w:t> </w:t>
      </w:r>
      <w:r>
        <w:rPr>
          <w:spacing w:val="9"/>
        </w:rPr>
        <w:t> </w:t>
      </w:r>
      <w:r>
        <w:rPr>
          <w:spacing w:val="-3"/>
          <w:w w:val="200"/>
        </w:rPr>
        <w:t> </w:t>
      </w:r>
      <w:r>
        <w:rPr>
          <w:w w:val="170"/>
        </w:rPr>
        <w:t>  </w:t>
      </w:r>
      <w:r>
        <w:rPr>
          <w:spacing w:val="2"/>
          <w:w w:val="170"/>
        </w:rPr>
        <w:t> </w:t>
      </w:r>
      <w:r>
        <w:rPr>
          <w:spacing w:val="-1"/>
          <w:w w:val="177"/>
        </w:rPr>
        <w:t> </w:t>
      </w:r>
      <w:r>
        <w:rPr>
          <w:w w:val="177"/>
        </w:rPr>
        <w:t>   </w:t>
      </w:r>
      <w:r>
        <w:rPr>
          <w:spacing w:val="8"/>
        </w:rPr>
        <w:t> </w:t>
      </w:r>
      <w:r>
        <w:rPr>
          <w:w w:val="188"/>
        </w:rPr>
        <w:t> </w:t>
      </w:r>
      <w:r>
        <w:rPr>
          <w:spacing w:val="1"/>
          <w:w w:val="188"/>
        </w:rPr>
        <w:t> </w:t>
      </w:r>
      <w:r>
        <w:rPr>
          <w:w w:val="155"/>
        </w:rPr>
        <w:t>  </w:t>
      </w:r>
      <w:r>
        <w:rPr>
          <w:spacing w:val="10"/>
        </w:rPr>
        <w:t> </w:t>
      </w:r>
      <w:r>
        <w:rPr>
          <w:spacing w:val="-1"/>
          <w:w w:val="177"/>
        </w:rPr>
        <w:t> </w:t>
      </w:r>
      <w:r>
        <w:rPr>
          <w:w w:val="111"/>
        </w:rPr>
        <w:t> </w:t>
      </w:r>
      <w:r>
        <w:rPr>
          <w:spacing w:val="9"/>
        </w:rPr>
        <w:t> </w:t>
      </w:r>
      <w:r>
        <w:rPr>
          <w:w w:val="216"/>
        </w:rPr>
        <w:t>   </w:t>
      </w:r>
      <w:r>
        <w:rPr>
          <w:spacing w:val="-2"/>
          <w:w w:val="216"/>
        </w:rPr>
        <w:t> </w:t>
      </w:r>
      <w:r>
        <w:rPr>
          <w:w w:val="155"/>
        </w:rPr>
        <w:t>  </w:t>
      </w:r>
      <w:r>
        <w:rPr>
          <w:spacing w:val="9"/>
        </w:rPr>
        <w:t> </w:t>
      </w:r>
      <w:r>
        <w:rPr>
          <w:w w:val="188"/>
        </w:rPr>
        <w:t>  </w:t>
      </w:r>
      <w:r>
        <w:rPr>
          <w:spacing w:val="10"/>
        </w:rPr>
        <w:t> </w:t>
      </w:r>
      <w:r>
        <w:rPr>
          <w:w w:val="144"/>
        </w:rPr>
        <w:t>  </w:t>
      </w:r>
      <w:r>
        <w:rPr>
          <w:spacing w:val="8"/>
        </w:rPr>
        <w:t> </w:t>
      </w:r>
      <w:r>
        <w:rPr>
          <w:w w:val="166"/>
        </w:rPr>
        <w:t>    </w:t>
      </w:r>
      <w:r>
        <w:rPr>
          <w:spacing w:val="-1"/>
          <w:w w:val="177"/>
        </w:rPr>
        <w:t> </w:t>
      </w:r>
      <w:r>
        <w:rPr>
          <w:w w:val="170"/>
        </w:rPr>
        <w:t>   </w:t>
      </w:r>
    </w:p>
    <w:p>
      <w:pPr>
        <w:pStyle w:val="BodyText"/>
        <w:spacing w:line="360" w:lineRule="auto" w:before="137"/>
        <w:ind w:left="102" w:right="-793"/>
      </w:pPr>
      <w:r>
        <w:rPr>
          <w:w w:val="144"/>
        </w:rPr>
        <w:t>   </w:t>
      </w:r>
      <w:r>
        <w:rPr>
          <w:spacing w:val="-1"/>
          <w:w w:val="144"/>
        </w:rPr>
        <w:t> </w:t>
      </w:r>
      <w:r>
        <w:rPr>
          <w:spacing w:val="-1"/>
          <w:w w:val="177"/>
        </w:rPr>
        <w:t> </w:t>
      </w:r>
      <w:r>
        <w:rPr>
          <w:w w:val="111"/>
        </w:rPr>
        <w:t> </w:t>
      </w:r>
      <w:r>
        <w:rPr/>
        <w:t> </w:t>
      </w:r>
      <w:r>
        <w:rPr>
          <w:w w:val="1"/>
        </w:rPr>
        <w:t> </w:t>
      </w:r>
      <w:r>
        <w:rPr/>
        <w:t> </w:t>
      </w:r>
      <w:r>
        <w:rPr>
          <w:spacing w:val="-5"/>
        </w:rPr>
        <w:t> </w:t>
      </w:r>
      <w:r>
        <w:rPr>
          <w:spacing w:val="-1"/>
          <w:w w:val="177"/>
        </w:rPr>
        <w:t> </w:t>
      </w:r>
      <w:r>
        <w:rPr>
          <w:w w:val="200"/>
        </w:rPr>
        <w:t> </w:t>
      </w:r>
      <w:r>
        <w:rPr/>
        <w:t> </w:t>
      </w:r>
      <w:r>
        <w:rPr>
          <w:spacing w:val="-6"/>
        </w:rPr>
        <w:t> </w:t>
      </w:r>
      <w:r>
        <w:rPr>
          <w:w w:val="188"/>
        </w:rPr>
        <w:t> </w:t>
      </w:r>
      <w:r>
        <w:rPr>
          <w:spacing w:val="-1"/>
          <w:w w:val="188"/>
        </w:rPr>
        <w:t> </w:t>
      </w:r>
      <w:r>
        <w:rPr>
          <w:w w:val="150"/>
        </w:rPr>
        <w:t>    </w:t>
      </w:r>
      <w:r>
        <w:rPr/>
        <w:t> </w:t>
      </w:r>
      <w:r>
        <w:rPr>
          <w:spacing w:val="-6"/>
        </w:rPr>
        <w:t> </w:t>
      </w:r>
      <w:r>
        <w:rPr>
          <w:w w:val="200"/>
        </w:rPr>
        <w:t> </w:t>
      </w:r>
      <w:r>
        <w:rPr>
          <w:spacing w:val="2"/>
          <w:w w:val="200"/>
        </w:rPr>
        <w:t> </w:t>
      </w:r>
      <w:r>
        <w:rPr>
          <w:w w:val="177"/>
        </w:rPr>
        <w:t> </w:t>
      </w:r>
      <w:r>
        <w:rPr/>
        <w:t> </w:t>
      </w:r>
      <w:r>
        <w:rPr>
          <w:spacing w:val="-6"/>
        </w:rPr>
        <w:t> </w:t>
      </w:r>
      <w:r>
        <w:rPr>
          <w:w w:val="188"/>
        </w:rPr>
        <w:t> </w:t>
      </w:r>
      <w:r>
        <w:rPr>
          <w:spacing w:val="1"/>
          <w:w w:val="188"/>
        </w:rPr>
        <w:t> </w:t>
      </w:r>
      <w:r>
        <w:rPr>
          <w:w w:val="188"/>
        </w:rPr>
        <w:t> </w:t>
      </w:r>
      <w:r>
        <w:rPr>
          <w:spacing w:val="-1"/>
          <w:w w:val="188"/>
        </w:rPr>
        <w:t> </w:t>
      </w:r>
      <w:r>
        <w:rPr>
          <w:w w:val="192"/>
        </w:rPr>
        <w:t>  </w:t>
      </w:r>
      <w:r>
        <w:rPr>
          <w:spacing w:val="-1"/>
          <w:w w:val="192"/>
        </w:rPr>
        <w:t> </w:t>
      </w:r>
      <w:r>
        <w:rPr>
          <w:w w:val="200"/>
        </w:rPr>
        <w:t> </w:t>
      </w:r>
      <w:r>
        <w:rPr/>
        <w:t> </w:t>
      </w:r>
      <w:r>
        <w:rPr>
          <w:spacing w:val="-6"/>
        </w:rPr>
        <w:t> </w:t>
      </w:r>
      <w:r>
        <w:rPr>
          <w:w w:val="188"/>
        </w:rPr>
        <w:t>  </w:t>
      </w:r>
      <w:r>
        <w:rPr/>
        <w:t> </w:t>
      </w:r>
      <w:r>
        <w:rPr>
          <w:spacing w:val="-4"/>
        </w:rPr>
        <w:t> </w:t>
      </w:r>
      <w:r>
        <w:rPr>
          <w:spacing w:val="1"/>
          <w:w w:val="133"/>
        </w:rPr>
        <w:t> </w:t>
      </w:r>
      <w:r>
        <w:rPr>
          <w:spacing w:val="-1"/>
          <w:w w:val="177"/>
        </w:rPr>
        <w:t>  </w:t>
      </w:r>
      <w:r>
        <w:rPr>
          <w:w w:val="166"/>
        </w:rPr>
        <w:t> </w:t>
      </w:r>
      <w:r>
        <w:rPr>
          <w:spacing w:val="-1"/>
          <w:w w:val="166"/>
        </w:rPr>
        <w:t> </w:t>
      </w:r>
      <w:r>
        <w:rPr>
          <w:w w:val="170"/>
        </w:rPr>
        <w:t>   </w:t>
      </w:r>
      <w:r>
        <w:rPr/>
        <w:t> </w:t>
      </w:r>
      <w:r>
        <w:rPr>
          <w:spacing w:val="-5"/>
        </w:rPr>
        <w:t> </w:t>
      </w:r>
      <w:r>
        <w:rPr>
          <w:spacing w:val="2"/>
          <w:w w:val="200"/>
        </w:rPr>
        <w:t> </w:t>
      </w:r>
      <w:r>
        <w:rPr>
          <w:spacing w:val="-1"/>
          <w:w w:val="177"/>
        </w:rPr>
        <w:t> </w:t>
      </w:r>
      <w:r>
        <w:rPr>
          <w:w w:val="155"/>
        </w:rPr>
        <w:t>   </w:t>
      </w:r>
      <w:r>
        <w:rPr>
          <w:spacing w:val="-2"/>
          <w:w w:val="155"/>
        </w:rPr>
        <w:t> </w:t>
      </w:r>
      <w:r>
        <w:rPr>
          <w:w w:val="148"/>
        </w:rPr>
        <w:t>   </w:t>
      </w:r>
      <w:r>
        <w:rPr/>
        <w:t> </w:t>
      </w:r>
      <w:r>
        <w:rPr>
          <w:w w:val="1"/>
        </w:rPr>
        <w:t> </w:t>
      </w:r>
      <w:r>
        <w:rPr/>
        <w:t> </w:t>
      </w:r>
      <w:r>
        <w:rPr>
          <w:spacing w:val="-6"/>
        </w:rPr>
        <w:t> </w:t>
      </w:r>
      <w:r>
        <w:rPr>
          <w:w w:val="166"/>
        </w:rPr>
        <w:t>  </w:t>
      </w:r>
      <w:r>
        <w:rPr/>
        <w:t> </w:t>
      </w:r>
      <w:r>
        <w:rPr>
          <w:spacing w:val="-6"/>
        </w:rPr>
        <w:t> </w:t>
      </w:r>
      <w:r>
        <w:rPr>
          <w:spacing w:val="1"/>
          <w:w w:val="133"/>
        </w:rPr>
        <w:t> </w:t>
      </w:r>
      <w:r>
        <w:rPr>
          <w:spacing w:val="-1"/>
          <w:w w:val="177"/>
        </w:rPr>
        <w:t> </w:t>
      </w:r>
      <w:r>
        <w:rPr>
          <w:w w:val="211"/>
        </w:rPr>
        <w:t>    </w:t>
      </w:r>
      <w:r>
        <w:rPr/>
        <w:t> </w:t>
      </w:r>
      <w:r>
        <w:rPr>
          <w:spacing w:val="-6"/>
        </w:rPr>
        <w:t> </w:t>
      </w:r>
      <w:r>
        <w:rPr>
          <w:spacing w:val="-1"/>
          <w:w w:val="177"/>
        </w:rPr>
        <w:t> </w:t>
      </w:r>
      <w:r>
        <w:rPr>
          <w:w w:val="200"/>
        </w:rPr>
        <w:t> </w:t>
      </w:r>
      <w:r>
        <w:rPr/>
        <w:t> </w:t>
      </w:r>
      <w:r>
        <w:rPr>
          <w:spacing w:val="-6"/>
        </w:rPr>
        <w:t> </w:t>
      </w:r>
      <w:r>
        <w:rPr>
          <w:w w:val="155"/>
        </w:rPr>
        <w:t> </w:t>
      </w:r>
      <w:r>
        <w:rPr>
          <w:spacing w:val="2"/>
          <w:w w:val="155"/>
        </w:rPr>
        <w:t> </w:t>
      </w:r>
      <w:r>
        <w:rPr>
          <w:w w:val="155"/>
        </w:rPr>
        <w:t> </w:t>
      </w:r>
      <w:r>
        <w:rPr/>
        <w:t> </w:t>
      </w:r>
      <w:r>
        <w:rPr>
          <w:spacing w:val="-5"/>
        </w:rPr>
        <w:t> </w:t>
      </w:r>
      <w:r>
        <w:rPr>
          <w:w w:val="155"/>
        </w:rPr>
        <w:t>  </w:t>
      </w:r>
      <w:r>
        <w:rPr>
          <w:spacing w:val="-2"/>
          <w:w w:val="155"/>
        </w:rPr>
        <w:t> </w:t>
      </w:r>
      <w:r>
        <w:rPr>
          <w:w w:val="162"/>
        </w:rPr>
        <w:t>     </w:t>
      </w:r>
      <w:r>
        <w:rPr>
          <w:spacing w:val="-1"/>
          <w:w w:val="162"/>
        </w:rPr>
        <w:t> </w:t>
      </w:r>
      <w:r>
        <w:rPr>
          <w:w w:val="155"/>
        </w:rPr>
        <w:t> </w:t>
      </w:r>
      <w:r>
        <w:rPr/>
        <w:t> </w:t>
      </w:r>
      <w:r>
        <w:rPr>
          <w:spacing w:val="-5"/>
        </w:rPr>
        <w:t> </w:t>
      </w:r>
      <w:r>
        <w:rPr>
          <w:spacing w:val="-1"/>
          <w:w w:val="177"/>
        </w:rPr>
        <w:t> </w:t>
      </w:r>
      <w:r>
        <w:rPr>
          <w:w w:val="148"/>
        </w:rPr>
        <w:t>   </w:t>
      </w:r>
      <w:r>
        <w:rPr>
          <w:spacing w:val="-1"/>
        </w:rPr>
        <w:t>ce</w:t>
      </w:r>
      <w:r>
        <w:rPr/>
        <w:t>ntr</w:t>
      </w:r>
      <w:r>
        <w:rPr>
          <w:spacing w:val="-2"/>
        </w:rPr>
        <w:t>a</w:t>
      </w:r>
      <w:r>
        <w:rPr>
          <w:w w:val="99"/>
        </w:rPr>
        <w:t>les:</w:t>
      </w:r>
    </w:p>
    <w:p>
      <w:pPr>
        <w:pStyle w:val="ListParagraph"/>
        <w:numPr>
          <w:ilvl w:val="0"/>
          <w:numId w:val="21"/>
        </w:numPr>
        <w:tabs>
          <w:tab w:pos="885" w:val="left" w:leader="none"/>
        </w:tabs>
        <w:spacing w:line="360" w:lineRule="auto" w:before="4" w:after="0"/>
        <w:ind w:left="884" w:right="118" w:hanging="360"/>
        <w:jc w:val="both"/>
        <w:rPr>
          <w:sz w:val="24"/>
        </w:rPr>
      </w:pPr>
      <w:r>
        <w:rPr>
          <w:i/>
          <w:sz w:val="24"/>
        </w:rPr>
        <w:t>Orientación cíclica a los precios del recurso natural</w:t>
      </w:r>
      <w:r>
        <w:rPr>
          <w:sz w:val="24"/>
        </w:rPr>
        <w:t>: el gasto público debe ser contracíclico a las fluctuaciones de precios externos (postura Keynesiana) o neutral (postura</w:t>
      </w:r>
      <w:r>
        <w:rPr>
          <w:spacing w:val="-6"/>
          <w:sz w:val="24"/>
        </w:rPr>
        <w:t> </w:t>
      </w:r>
      <w:r>
        <w:rPr>
          <w:sz w:val="24"/>
        </w:rPr>
        <w:t>neoclásica).</w:t>
      </w:r>
    </w:p>
    <w:p>
      <w:pPr>
        <w:pStyle w:val="ListParagraph"/>
        <w:numPr>
          <w:ilvl w:val="0"/>
          <w:numId w:val="21"/>
        </w:numPr>
        <w:tabs>
          <w:tab w:pos="885" w:val="left" w:leader="none"/>
        </w:tabs>
        <w:spacing w:line="360" w:lineRule="auto" w:before="7" w:after="0"/>
        <w:ind w:left="884" w:right="121" w:hanging="360"/>
        <w:jc w:val="both"/>
        <w:rPr>
          <w:sz w:val="24"/>
        </w:rPr>
      </w:pPr>
      <w:r>
        <w:rPr>
          <w:i/>
          <w:sz w:val="24"/>
        </w:rPr>
        <w:t>Asignación de ingresos del recurso natural al gasto público</w:t>
      </w:r>
      <w:r>
        <w:rPr>
          <w:sz w:val="24"/>
        </w:rPr>
        <w:t>: ahorro para la teoría del ingreso permanente (postura neoclásica) o canalización hacia la inversión pública acorde a la teoría modificada del ingreso permanente (postura</w:t>
      </w:r>
      <w:r>
        <w:rPr>
          <w:spacing w:val="-18"/>
          <w:sz w:val="24"/>
        </w:rPr>
        <w:t> </w:t>
      </w:r>
      <w:r>
        <w:rPr>
          <w:sz w:val="24"/>
        </w:rPr>
        <w:t>Keynesiana).</w:t>
      </w:r>
    </w:p>
    <w:p>
      <w:pPr>
        <w:pStyle w:val="ListParagraph"/>
        <w:numPr>
          <w:ilvl w:val="0"/>
          <w:numId w:val="21"/>
        </w:numPr>
        <w:tabs>
          <w:tab w:pos="885" w:val="left" w:leader="none"/>
        </w:tabs>
        <w:spacing w:line="360" w:lineRule="auto" w:before="4" w:after="0"/>
        <w:ind w:left="884" w:right="118" w:hanging="360"/>
        <w:jc w:val="both"/>
        <w:rPr>
          <w:sz w:val="24"/>
        </w:rPr>
      </w:pPr>
      <w:r>
        <w:rPr>
          <w:i/>
          <w:sz w:val="24"/>
        </w:rPr>
        <w:t>Resultado fiscal global en épocas de auges de precios</w:t>
      </w:r>
      <w:r>
        <w:rPr>
          <w:sz w:val="24"/>
        </w:rPr>
        <w:t>: la sugerencia se direcciona hacia el superávit fiscal como elemento neurálgico de intersección en las posturas neoclásicas y</w:t>
      </w:r>
      <w:r>
        <w:rPr>
          <w:spacing w:val="-4"/>
          <w:sz w:val="24"/>
        </w:rPr>
        <w:t> </w:t>
      </w:r>
      <w:r>
        <w:rPr>
          <w:sz w:val="24"/>
        </w:rPr>
        <w:t>Keynesianas.</w:t>
      </w:r>
    </w:p>
    <w:p>
      <w:pPr>
        <w:pStyle w:val="ListParagraph"/>
        <w:numPr>
          <w:ilvl w:val="0"/>
          <w:numId w:val="21"/>
        </w:numPr>
        <w:tabs>
          <w:tab w:pos="885" w:val="left" w:leader="none"/>
        </w:tabs>
        <w:spacing w:line="360" w:lineRule="auto" w:before="6" w:after="0"/>
        <w:ind w:left="884" w:right="119" w:hanging="360"/>
        <w:jc w:val="both"/>
        <w:rPr>
          <w:sz w:val="24"/>
        </w:rPr>
      </w:pPr>
      <w:r>
        <w:rPr>
          <w:i/>
          <w:sz w:val="24"/>
        </w:rPr>
        <w:t>Resultado fiscal sin recurso natural</w:t>
      </w:r>
      <w:r>
        <w:rPr>
          <w:sz w:val="24"/>
        </w:rPr>
        <w:t>: la sugerencia es evitar el deterioro del déficit fiscal no petrolero o al menos que se mantenga</w:t>
      </w:r>
      <w:r>
        <w:rPr>
          <w:spacing w:val="-5"/>
          <w:sz w:val="24"/>
        </w:rPr>
        <w:t> </w:t>
      </w:r>
      <w:r>
        <w:rPr>
          <w:sz w:val="24"/>
        </w:rPr>
        <w:t>constante.</w:t>
      </w:r>
    </w:p>
    <w:p>
      <w:pPr>
        <w:pStyle w:val="ListParagraph"/>
        <w:numPr>
          <w:ilvl w:val="0"/>
          <w:numId w:val="21"/>
        </w:numPr>
        <w:tabs>
          <w:tab w:pos="885" w:val="left" w:leader="none"/>
        </w:tabs>
        <w:spacing w:line="360" w:lineRule="auto" w:before="6" w:after="0"/>
        <w:ind w:left="884" w:right="120" w:hanging="360"/>
        <w:jc w:val="both"/>
        <w:rPr>
          <w:sz w:val="24"/>
        </w:rPr>
      </w:pPr>
      <w:r>
        <w:rPr>
          <w:i/>
          <w:sz w:val="24"/>
        </w:rPr>
        <w:t>Manejo de la deuda pública</w:t>
      </w:r>
      <w:r>
        <w:rPr>
          <w:sz w:val="24"/>
        </w:rPr>
        <w:t>: diseño contracíclico a los precios del recurso natural. Acumulación de superávits fiscales y disminución de deuda</w:t>
      </w:r>
      <w:r>
        <w:rPr>
          <w:spacing w:val="-11"/>
          <w:sz w:val="24"/>
        </w:rPr>
        <w:t> </w:t>
      </w:r>
      <w:r>
        <w:rPr>
          <w:sz w:val="24"/>
        </w:rPr>
        <w:t>pública.</w:t>
      </w:r>
    </w:p>
    <w:p>
      <w:pPr>
        <w:pStyle w:val="ListParagraph"/>
        <w:numPr>
          <w:ilvl w:val="0"/>
          <w:numId w:val="21"/>
        </w:numPr>
        <w:tabs>
          <w:tab w:pos="885" w:val="left" w:leader="none"/>
        </w:tabs>
        <w:spacing w:line="360" w:lineRule="auto" w:before="6" w:after="0"/>
        <w:ind w:left="884" w:right="118" w:hanging="360"/>
        <w:jc w:val="both"/>
        <w:rPr>
          <w:sz w:val="24"/>
        </w:rPr>
      </w:pPr>
      <w:r>
        <w:rPr>
          <w:i/>
          <w:sz w:val="24"/>
        </w:rPr>
        <w:t>Implementación de reglas fiscales</w:t>
      </w:r>
      <w:r>
        <w:rPr>
          <w:sz w:val="24"/>
        </w:rPr>
        <w:t>: es el valor institucional del gobierno como un acuerdo entre sociedad y estado con el fin de mejorar la eficiencia pública en función del contexto económico interno y</w:t>
      </w:r>
      <w:r>
        <w:rPr>
          <w:spacing w:val="-8"/>
          <w:sz w:val="24"/>
        </w:rPr>
        <w:t> </w:t>
      </w:r>
      <w:r>
        <w:rPr>
          <w:sz w:val="24"/>
        </w:rPr>
        <w:t>externo.</w:t>
      </w:r>
    </w:p>
    <w:p>
      <w:pPr>
        <w:pStyle w:val="BodyText"/>
      </w:pPr>
    </w:p>
    <w:p>
      <w:pPr>
        <w:pStyle w:val="BodyText"/>
        <w:spacing w:line="360" w:lineRule="auto" w:before="143"/>
        <w:ind w:left="102" w:right="116" w:firstLine="707"/>
        <w:jc w:val="both"/>
      </w:pPr>
      <w:r>
        <w:rPr/>
        <w:t>Finalmente, la crítica principal a la intersección del campo económico- administrativo en esta tesis, se centra en la no modelación de las variables institucionales (por el lado de la administración) como elemento de análisis: simplemente se emplean las teorías del campo administrativo como justificativo teórico para la tesis, lo cual constituye una crítica y limitación a la vez.</w:t>
      </w:r>
    </w:p>
    <w:p>
      <w:pPr>
        <w:pStyle w:val="BodyText"/>
        <w:spacing w:before="7"/>
        <w:rPr>
          <w:sz w:val="21"/>
        </w:rPr>
      </w:pPr>
    </w:p>
    <w:p>
      <w:pPr>
        <w:pStyle w:val="Heading4"/>
        <w:numPr>
          <w:ilvl w:val="0"/>
          <w:numId w:val="19"/>
        </w:numPr>
        <w:tabs>
          <w:tab w:pos="822" w:val="left" w:leader="none"/>
        </w:tabs>
        <w:spacing w:line="240" w:lineRule="auto" w:before="0" w:after="0"/>
        <w:ind w:left="822" w:right="0" w:hanging="360"/>
        <w:jc w:val="left"/>
      </w:pPr>
      <w:bookmarkStart w:name="_bookmark160" w:id="218"/>
      <w:bookmarkEnd w:id="218"/>
      <w:r>
        <w:rPr>
          <w:b w:val="0"/>
        </w:rPr>
      </w:r>
      <w:bookmarkStart w:name="_bookmark160" w:id="219"/>
      <w:bookmarkEnd w:id="219"/>
      <w:r>
        <w:rPr/>
        <w:t>Conclusio</w:t>
      </w:r>
      <w:r>
        <w:rPr/>
        <w:t>nes de la</w:t>
      </w:r>
      <w:r>
        <w:rPr>
          <w:spacing w:val="-6"/>
        </w:rPr>
        <w:t> </w:t>
      </w:r>
      <w:r>
        <w:rPr/>
        <w:t>investigación</w:t>
      </w:r>
    </w:p>
    <w:p>
      <w:pPr>
        <w:pStyle w:val="BodyText"/>
        <w:rPr>
          <w:b/>
          <w:sz w:val="29"/>
        </w:rPr>
      </w:pPr>
    </w:p>
    <w:p>
      <w:pPr>
        <w:pStyle w:val="BodyText"/>
        <w:spacing w:line="360" w:lineRule="auto"/>
        <w:ind w:left="102" w:right="117" w:firstLine="707"/>
        <w:jc w:val="both"/>
      </w:pPr>
      <w:r>
        <w:rPr/>
        <w:t>La literatura tradicional de sostenibilidad fiscal evalúa relaciones de largo plazo entre el gasto público, ingresos fiscales, balances primarios y deuda pública para al  </w:t>
      </w:r>
      <w:r>
        <w:rPr>
          <w:spacing w:val="51"/>
        </w:rPr>
        <w:t> </w:t>
      </w:r>
      <w:r>
        <w:rPr/>
        <w:t>menos</w:t>
      </w:r>
    </w:p>
    <w:p>
      <w:pPr>
        <w:spacing w:after="0" w:line="360" w:lineRule="auto"/>
        <w:jc w:val="both"/>
        <w:sectPr>
          <w:pgSz w:w="12250" w:h="15850"/>
          <w:pgMar w:header="0" w:footer="977" w:top="1360" w:bottom="1220" w:left="1600" w:right="1580"/>
        </w:sectPr>
      </w:pPr>
    </w:p>
    <w:p>
      <w:pPr>
        <w:pStyle w:val="BodyText"/>
        <w:spacing w:line="360" w:lineRule="auto" w:before="50"/>
        <w:ind w:left="102" w:right="119"/>
        <w:jc w:val="both"/>
      </w:pPr>
      <w:r>
        <w:rPr/>
        <w:t>40 o 50 años en adelante. En este documento se propone replantear el análisis tradicional de la sostenibilidad fiscal: largos períodos de tiempo contaminan la generalización sobre regímenes  fiscales  específicos,  lo  cual  restringe  el  análisis  económic                      ;  </w:t>
      </w:r>
      <w:r>
        <w:rPr>
          <w:w w:val="177"/>
        </w:rPr>
        <w:t> </w:t>
      </w:r>
      <w:r>
        <w:rPr>
          <w:w w:val="200"/>
        </w:rPr>
        <w:t> </w:t>
      </w:r>
    </w:p>
    <w:p>
      <w:pPr>
        <w:pStyle w:val="BodyText"/>
        <w:spacing w:before="4"/>
        <w:ind w:left="102"/>
        <w:jc w:val="both"/>
      </w:pPr>
      <w:r>
        <w:rPr>
          <w:spacing w:val="-1"/>
          <w:w w:val="177"/>
        </w:rPr>
        <w:t> </w:t>
      </w:r>
      <w:r>
        <w:rPr>
          <w:w w:val="182"/>
        </w:rPr>
        <w:t>    </w:t>
      </w:r>
      <w:r>
        <w:rPr>
          <w:spacing w:val="-2"/>
          <w:w w:val="182"/>
        </w:rPr>
        <w:t> </w:t>
      </w:r>
      <w:r>
        <w:rPr>
          <w:w w:val="188"/>
        </w:rPr>
        <w:t> </w:t>
      </w:r>
      <w:r>
        <w:rPr>
          <w:spacing w:val="-1"/>
          <w:w w:val="188"/>
        </w:rPr>
        <w:t> </w:t>
      </w:r>
      <w:r>
        <w:rPr>
          <w:spacing w:val="2"/>
          <w:w w:val="200"/>
        </w:rPr>
        <w:t> </w:t>
      </w:r>
      <w:r>
        <w:rPr>
          <w:spacing w:val="-1"/>
          <w:w w:val="177"/>
        </w:rPr>
        <w:t> </w:t>
      </w:r>
      <w:r>
        <w:rPr>
          <w:w w:val="129"/>
        </w:rPr>
        <w:t>   </w:t>
      </w:r>
      <w:r>
        <w:rPr/>
        <w:t> </w:t>
      </w:r>
      <w:r>
        <w:rPr>
          <w:w w:val="144"/>
        </w:rPr>
        <w:t>  </w:t>
      </w:r>
      <w:r>
        <w:rPr>
          <w:spacing w:val="-1"/>
        </w:rPr>
        <w:t> </w:t>
      </w:r>
      <w:r>
        <w:rPr>
          <w:spacing w:val="2"/>
          <w:w w:val="200"/>
        </w:rPr>
        <w:t> </w:t>
      </w:r>
      <w:r>
        <w:rPr>
          <w:w w:val="182"/>
        </w:rPr>
        <w:t>    </w:t>
      </w:r>
      <w:r>
        <w:rPr>
          <w:spacing w:val="-2"/>
          <w:w w:val="182"/>
        </w:rPr>
        <w:t> </w:t>
      </w:r>
      <w:r>
        <w:rPr>
          <w:spacing w:val="2"/>
          <w:w w:val="155"/>
        </w:rPr>
        <w:t> </w:t>
      </w:r>
      <w:r>
        <w:rPr>
          <w:w w:val="144"/>
        </w:rPr>
        <w:t>  </w:t>
      </w:r>
      <w:r>
        <w:rPr/>
        <w:t> </w:t>
      </w:r>
      <w:r>
        <w:rPr>
          <w:spacing w:val="-3"/>
          <w:w w:val="200"/>
        </w:rPr>
        <w:t> </w:t>
      </w:r>
      <w:r>
        <w:rPr>
          <w:w w:val="122"/>
        </w:rPr>
        <w:t> </w:t>
      </w:r>
      <w:r>
        <w:rPr>
          <w:spacing w:val="1"/>
          <w:w w:val="122"/>
        </w:rPr>
        <w:t> </w:t>
      </w:r>
      <w:r>
        <w:rPr>
          <w:w w:val="177"/>
        </w:rPr>
        <w:t> </w:t>
      </w:r>
      <w:r>
        <w:rPr>
          <w:spacing w:val="-1"/>
        </w:rPr>
        <w:t> </w:t>
      </w:r>
      <w:r>
        <w:rPr>
          <w:w w:val="177"/>
        </w:rPr>
        <w:t> </w:t>
      </w:r>
      <w:r>
        <w:rPr>
          <w:spacing w:val="-1"/>
        </w:rPr>
        <w:t> </w:t>
      </w:r>
      <w:r>
        <w:rPr>
          <w:spacing w:val="-1"/>
          <w:w w:val="177"/>
        </w:rPr>
        <w:t> </w:t>
      </w:r>
      <w:r>
        <w:rPr>
          <w:spacing w:val="2"/>
          <w:w w:val="200"/>
        </w:rPr>
        <w:t> </w:t>
      </w:r>
      <w:r>
        <w:rPr>
          <w:spacing w:val="-1"/>
          <w:w w:val="177"/>
        </w:rPr>
        <w:t> </w:t>
      </w:r>
      <w:r>
        <w:rPr>
          <w:w w:val="155"/>
        </w:rPr>
        <w:t>    </w:t>
      </w:r>
      <w:r>
        <w:rPr>
          <w:spacing w:val="-2"/>
        </w:rPr>
        <w:t> </w:t>
      </w:r>
      <w:r>
        <w:rPr>
          <w:w w:val="166"/>
        </w:rPr>
        <w:t>      </w:t>
      </w:r>
      <w:r>
        <w:rPr>
          <w:spacing w:val="2"/>
        </w:rPr>
        <w:t> </w:t>
      </w:r>
      <w:r>
        <w:rPr>
          <w:spacing w:val="1"/>
          <w:w w:val="177"/>
        </w:rPr>
        <w:t> </w:t>
      </w:r>
      <w:r>
        <w:rPr>
          <w:w w:val="177"/>
        </w:rPr>
        <w:t>   </w:t>
      </w:r>
      <w:r>
        <w:rPr>
          <w:spacing w:val="-2"/>
          <w:w w:val="177"/>
        </w:rPr>
        <w:t> </w:t>
      </w:r>
      <w:r>
        <w:rPr>
          <w:w w:val="148"/>
        </w:rPr>
        <w:t>      </w:t>
      </w:r>
      <w:r>
        <w:rPr/>
        <w:t> </w:t>
      </w:r>
      <w:r>
        <w:rPr>
          <w:w w:val="188"/>
        </w:rPr>
        <w:t>  </w:t>
      </w:r>
      <w:r>
        <w:rPr>
          <w:spacing w:val="-2"/>
        </w:rPr>
        <w:t> </w:t>
      </w:r>
      <w:r>
        <w:rPr>
          <w:w w:val="111"/>
        </w:rPr>
        <w:t>  </w:t>
      </w:r>
      <w:r>
        <w:rPr>
          <w:spacing w:val="-1"/>
          <w:w w:val="177"/>
        </w:rPr>
        <w:t> </w:t>
      </w:r>
      <w:r>
        <w:rPr>
          <w:w w:val="237"/>
        </w:rPr>
        <w:t>   </w:t>
      </w:r>
      <w:r>
        <w:rPr/>
        <w:t> </w:t>
      </w:r>
      <w:r>
        <w:rPr>
          <w:w w:val="1"/>
        </w:rPr>
        <w:t> </w:t>
      </w:r>
      <w:r>
        <w:rPr/>
        <w:t> </w:t>
      </w:r>
      <w:r>
        <w:rPr>
          <w:w w:val="188"/>
        </w:rPr>
        <w:t> </w:t>
      </w:r>
      <w:r>
        <w:rPr>
          <w:spacing w:val="1"/>
          <w:w w:val="188"/>
        </w:rPr>
        <w:t> </w:t>
      </w:r>
      <w:r>
        <w:rPr>
          <w:spacing w:val="1"/>
          <w:w w:val="133"/>
        </w:rPr>
        <w:t> </w:t>
      </w:r>
      <w:r>
        <w:rPr>
          <w:w w:val="155"/>
        </w:rPr>
        <w:t>  </w:t>
      </w:r>
      <w:r>
        <w:rPr/>
        <w:t> </w:t>
      </w:r>
      <w:r>
        <w:rPr>
          <w:w w:val="155"/>
        </w:rPr>
        <w:t>  </w:t>
      </w:r>
      <w:r>
        <w:rPr>
          <w:spacing w:val="-1"/>
          <w:w w:val="177"/>
        </w:rPr>
        <w:t> </w:t>
      </w:r>
      <w:r>
        <w:rPr>
          <w:spacing w:val="1"/>
          <w:w w:val="177"/>
        </w:rPr>
        <w:t> </w:t>
      </w:r>
      <w:r>
        <w:rPr>
          <w:w w:val="200"/>
        </w:rPr>
        <w:t> </w:t>
      </w:r>
      <w:r>
        <w:rPr/>
        <w:t> </w:t>
      </w:r>
      <w:r>
        <w:rPr>
          <w:w w:val="50"/>
        </w:rPr>
        <w:t>  </w:t>
      </w:r>
    </w:p>
    <w:p>
      <w:pPr>
        <w:pStyle w:val="BodyText"/>
        <w:spacing w:line="360" w:lineRule="auto" w:before="139"/>
        <w:ind w:left="102" w:right="119" w:firstLine="707"/>
        <w:jc w:val="both"/>
      </w:pPr>
      <w:r>
        <w:rPr/>
        <w:t>El análisis tradicional de sostenibilidad fiscal gira en torno al balance fiscal primario y la deuda pública. La propuesta de esta tesis, es que para países dependientes de recursos naturales se requiere complementar con balances fiscales no petroleros, además de analizar la reacción del gasto público medido en términos de presión fiscal; es decir, se debe desagregar el gasto público (corriente y de capital) y relacionarse con los ingresos fiscales (con y sin recurso natural).</w:t>
      </w:r>
    </w:p>
    <w:p>
      <w:pPr>
        <w:pStyle w:val="BodyText"/>
        <w:spacing w:line="360" w:lineRule="auto" w:before="6"/>
        <w:ind w:left="102" w:right="120" w:firstLine="707"/>
        <w:jc w:val="both"/>
      </w:pPr>
      <w:r>
        <w:rPr/>
        <w:t>La literatura tradicional relacionada señala que los principales determinantes del balance fiscal primario son la brecha del producto y la deuda pública en rezago. Para la deuda pública se ha evidenciado que los principales factores explicativos son el crecimiento del producto, la tasa de interés, la inflación, el tipo de cambio de real y el balance fiscal primario (basado en el análisis de sostenibilidad de la deuda pública, DSA por sus siglas en inglés).</w:t>
      </w:r>
    </w:p>
    <w:p>
      <w:pPr>
        <w:pStyle w:val="BodyText"/>
        <w:spacing w:line="360" w:lineRule="auto" w:before="6"/>
        <w:ind w:left="102" w:right="116" w:firstLine="707"/>
        <w:jc w:val="both"/>
      </w:pPr>
      <w:r>
        <w:rPr/>
        <w:t>En la tesis, se definió a la posición fiscal como el análisis del estado contable, en corto y mediano plazo, para las finanzas públicas en términos de balance fiscal y deuda pública. Frente a ello, abordaron dos preguntas de investigación: i) la primera señalaba cuál era el rol que ejercían los choques de precios y la asignación de los ingresos fiscales en la posición fiscal de Bolivia; ii) la segunda mencionada que escenarios de reglas fiscales permitían un mejor prospecto de la deuda pública en el corto y mediano plazo.</w:t>
      </w:r>
    </w:p>
    <w:p>
      <w:pPr>
        <w:pStyle w:val="BodyText"/>
        <w:spacing w:line="360" w:lineRule="auto" w:before="6"/>
        <w:ind w:left="102" w:right="118" w:firstLine="707"/>
        <w:jc w:val="both"/>
      </w:pPr>
      <w:r>
        <w:rPr/>
        <w:t>La contribución de este trabajo a la posición fiscal de Bolivia, gira en los siguientes aspectos:</w:t>
      </w:r>
    </w:p>
    <w:p>
      <w:pPr>
        <w:pStyle w:val="ListParagraph"/>
        <w:numPr>
          <w:ilvl w:val="0"/>
          <w:numId w:val="22"/>
        </w:numPr>
        <w:tabs>
          <w:tab w:pos="462" w:val="left" w:leader="none"/>
        </w:tabs>
        <w:spacing w:line="360" w:lineRule="auto" w:before="4" w:after="0"/>
        <w:ind w:left="462" w:right="121" w:hanging="360"/>
        <w:jc w:val="both"/>
        <w:rPr>
          <w:sz w:val="24"/>
        </w:rPr>
      </w:pPr>
      <w:r>
        <w:rPr>
          <w:sz w:val="24"/>
        </w:rPr>
        <w:t>Se determinó la respuesta del gasto público, en términos de presión fiscal, demostrando que frente a choques positivos en los precios externos del recurso natural: i] los ingresos de hidrocarburos se canalizan en menor proporción hacia el gasto de capital (disminución relativa del gasto de capital); ii] el gasto corriente se incrementa en mayor proporción que los ingresos no hidrocarburíferos (aumento relativo del gasto</w:t>
      </w:r>
      <w:r>
        <w:rPr>
          <w:spacing w:val="-19"/>
          <w:sz w:val="24"/>
        </w:rPr>
        <w:t> </w:t>
      </w:r>
      <w:r>
        <w:rPr>
          <w:sz w:val="24"/>
        </w:rPr>
        <w:t>corriente).</w:t>
      </w:r>
    </w:p>
    <w:p>
      <w:pPr>
        <w:pStyle w:val="BodyText"/>
        <w:spacing w:line="364" w:lineRule="auto" w:before="14"/>
        <w:ind w:left="461" w:right="123" w:hanging="360"/>
        <w:jc w:val="both"/>
      </w:pPr>
      <w:r>
        <w:rPr>
          <w:rFonts w:ascii="Wingdings" w:hAnsi="Wingdings"/>
        </w:rPr>
        <w:t></w:t>
      </w:r>
      <w:r>
        <w:rPr/>
        <w:t>                                                                                                                                 asignación de ingresos fiscales al gasto publico fue el rol más relevante en</w:t>
      </w:r>
      <w:r>
        <w:rPr>
          <w:spacing w:val="34"/>
        </w:rPr>
        <w:t> </w:t>
      </w:r>
      <w:r>
        <w:rPr/>
        <w:t>comparación</w:t>
      </w:r>
    </w:p>
    <w:p>
      <w:pPr>
        <w:spacing w:after="0" w:line="364" w:lineRule="auto"/>
        <w:jc w:val="both"/>
        <w:sectPr>
          <w:pgSz w:w="12250" w:h="15850"/>
          <w:pgMar w:header="0" w:footer="977" w:top="1360" w:bottom="1220" w:left="1600" w:right="1580"/>
        </w:sectPr>
      </w:pPr>
    </w:p>
    <w:p>
      <w:pPr>
        <w:pStyle w:val="BodyText"/>
        <w:spacing w:line="360" w:lineRule="auto" w:before="50"/>
        <w:ind w:left="461" w:right="122"/>
        <w:jc w:val="both"/>
      </w:pPr>
      <w:r>
        <w:rPr/>
        <w:t>con los choques de precios del gas natural; en contraposición, para la deuda pública, sus propias innovaciones tuvieron mayor peso en comparación con los precios del gas natural, la asignación de ingresos al gasto público y los resultados fiscales.</w:t>
      </w:r>
    </w:p>
    <w:p>
      <w:pPr>
        <w:pStyle w:val="BodyText"/>
        <w:tabs>
          <w:tab w:pos="461" w:val="left" w:leader="none"/>
        </w:tabs>
        <w:spacing w:before="4"/>
        <w:ind w:left="102" w:right="127"/>
      </w:pPr>
      <w:r>
        <w:rPr>
          <w:rFonts w:ascii="Wingdings" w:hAnsi="Wingdings"/>
        </w:rPr>
        <w:t></w:t>
      </w:r>
      <w:r>
        <w:rPr/>
        <w:tab/>
        <w:t>Los</w:t>
      </w:r>
      <w:r>
        <w:rPr>
          <w:spacing w:val="22"/>
        </w:rPr>
        <w:t> </w:t>
      </w:r>
      <w:r>
        <w:rPr/>
        <w:t>choques</w:t>
      </w:r>
      <w:r>
        <w:rPr>
          <w:spacing w:val="27"/>
        </w:rPr>
        <w:t> </w:t>
      </w:r>
      <w:r>
        <w:rPr>
          <w:w w:val="188"/>
        </w:rPr>
        <w:t>  </w:t>
      </w:r>
      <w:r>
        <w:rPr>
          <w:spacing w:val="25"/>
        </w:rPr>
        <w:t> </w:t>
      </w:r>
      <w:r>
        <w:rPr>
          <w:w w:val="166"/>
        </w:rPr>
        <w:t> </w:t>
      </w:r>
      <w:r>
        <w:rPr>
          <w:spacing w:val="-1"/>
          <w:w w:val="166"/>
        </w:rPr>
        <w:t> </w:t>
      </w:r>
      <w:r>
        <w:rPr>
          <w:spacing w:val="-1"/>
          <w:w w:val="177"/>
        </w:rPr>
        <w:t>  </w:t>
      </w:r>
      <w:r>
        <w:rPr>
          <w:w w:val="155"/>
        </w:rPr>
        <w:t>   </w:t>
      </w:r>
      <w:r>
        <w:rPr>
          <w:spacing w:val="29"/>
        </w:rPr>
        <w:t> </w:t>
      </w:r>
      <w:r>
        <w:rPr>
          <w:w w:val="188"/>
        </w:rPr>
        <w:t> </w:t>
      </w:r>
      <w:r>
        <w:rPr>
          <w:spacing w:val="-1"/>
          <w:w w:val="188"/>
        </w:rPr>
        <w:t> </w:t>
      </w:r>
      <w:r>
        <w:rPr>
          <w:w w:val="111"/>
        </w:rPr>
        <w:t> </w:t>
      </w:r>
      <w:r>
        <w:rPr>
          <w:spacing w:val="26"/>
        </w:rPr>
        <w:t> </w:t>
      </w:r>
      <w:r>
        <w:rPr>
          <w:spacing w:val="-3"/>
          <w:w w:val="200"/>
        </w:rPr>
        <w:t> </w:t>
      </w:r>
      <w:r>
        <w:rPr>
          <w:spacing w:val="-1"/>
          <w:w w:val="177"/>
        </w:rPr>
        <w:t> </w:t>
      </w:r>
      <w:r>
        <w:rPr>
          <w:w w:val="155"/>
        </w:rPr>
        <w:t> </w:t>
      </w:r>
      <w:r>
        <w:rPr>
          <w:spacing w:val="26"/>
        </w:rPr>
        <w:t> </w:t>
      </w:r>
      <w:r>
        <w:rPr>
          <w:w w:val="188"/>
        </w:rPr>
        <w:t> </w:t>
      </w:r>
      <w:r>
        <w:rPr>
          <w:spacing w:val="-1"/>
          <w:w w:val="188"/>
        </w:rPr>
        <w:t> </w:t>
      </w:r>
      <w:r>
        <w:rPr>
          <w:w w:val="148"/>
        </w:rPr>
        <w:t>  </w:t>
      </w:r>
      <w:r>
        <w:rPr>
          <w:spacing w:val="1"/>
          <w:w w:val="148"/>
        </w:rPr>
        <w:t> </w:t>
      </w:r>
      <w:r>
        <w:rPr>
          <w:spacing w:val="-1"/>
          <w:w w:val="177"/>
        </w:rPr>
        <w:t> </w:t>
      </w:r>
      <w:r>
        <w:rPr>
          <w:w w:val="111"/>
        </w:rPr>
        <w:t> </w:t>
      </w:r>
      <w:r>
        <w:rPr>
          <w:spacing w:val="26"/>
        </w:rPr>
        <w:t> </w:t>
      </w:r>
      <w:r>
        <w:rPr>
          <w:w w:val="155"/>
        </w:rPr>
        <w:t> </w:t>
      </w:r>
      <w:r>
        <w:rPr>
          <w:spacing w:val="-2"/>
          <w:w w:val="155"/>
        </w:rPr>
        <w:t> </w:t>
      </w:r>
      <w:r>
        <w:rPr>
          <w:w w:val="122"/>
        </w:rPr>
        <w:t> </w:t>
      </w:r>
      <w:r>
        <w:rPr>
          <w:spacing w:val="1"/>
          <w:w w:val="122"/>
        </w:rPr>
        <w:t> </w:t>
      </w:r>
      <w:r>
        <w:rPr>
          <w:spacing w:val="-1"/>
          <w:w w:val="177"/>
        </w:rPr>
        <w:t> </w:t>
      </w:r>
      <w:r>
        <w:rPr>
          <w:w w:val="140"/>
        </w:rPr>
        <w:t>  </w:t>
      </w:r>
      <w:r>
        <w:rPr>
          <w:spacing w:val="-2"/>
          <w:w w:val="140"/>
        </w:rPr>
        <w:t> </w:t>
      </w:r>
      <w:r>
        <w:rPr>
          <w:spacing w:val="2"/>
          <w:w w:val="200"/>
        </w:rPr>
        <w:t> </w:t>
      </w:r>
      <w:r>
        <w:rPr>
          <w:w w:val="200"/>
        </w:rPr>
        <w:t> </w:t>
      </w:r>
      <w:r>
        <w:rPr>
          <w:spacing w:val="26"/>
        </w:rPr>
        <w:t> </w:t>
      </w:r>
      <w:r>
        <w:rPr>
          <w:spacing w:val="-1"/>
          <w:w w:val="177"/>
        </w:rPr>
        <w:t> </w:t>
      </w:r>
      <w:r>
        <w:rPr>
          <w:w w:val="155"/>
        </w:rPr>
        <w:t> </w:t>
      </w:r>
      <w:r>
        <w:rPr>
          <w:spacing w:val="-2"/>
          <w:w w:val="155"/>
        </w:rPr>
        <w:t> </w:t>
      </w:r>
      <w:r>
        <w:rPr>
          <w:spacing w:val="-1"/>
          <w:w w:val="177"/>
        </w:rPr>
        <w:t> </w:t>
      </w:r>
      <w:r>
        <w:rPr>
          <w:w w:val="155"/>
        </w:rPr>
        <w:t>   </w:t>
      </w:r>
      <w:r>
        <w:rPr>
          <w:spacing w:val="26"/>
        </w:rPr>
        <w:t> </w:t>
      </w:r>
      <w:r>
        <w:rPr>
          <w:w w:val="166"/>
        </w:rPr>
        <w:t>    </w:t>
      </w:r>
      <w:r>
        <w:rPr>
          <w:w w:val="111"/>
        </w:rPr>
        <w:t>  </w:t>
      </w:r>
      <w:r>
        <w:rPr>
          <w:w w:val="185"/>
        </w:rPr>
        <w:t>   </w:t>
      </w:r>
      <w:r>
        <w:rPr>
          <w:spacing w:val="26"/>
        </w:rPr>
        <w:t> </w:t>
      </w:r>
      <w:r>
        <w:rPr>
          <w:w w:val="173"/>
        </w:rPr>
        <w:t>     </w:t>
      </w:r>
      <w:r>
        <w:rPr>
          <w:spacing w:val="24"/>
        </w:rPr>
        <w:t> </w:t>
      </w:r>
      <w:r>
        <w:rPr>
          <w:w w:val="155"/>
        </w:rPr>
        <w:t>   </w:t>
      </w:r>
      <w:r>
        <w:rPr>
          <w:spacing w:val="26"/>
        </w:rPr>
        <w:t> </w:t>
      </w:r>
      <w:r>
        <w:rPr>
          <w:w w:val="188"/>
        </w:rPr>
        <w:t> </w:t>
      </w:r>
      <w:r>
        <w:rPr>
          <w:spacing w:val="-1"/>
          <w:w w:val="188"/>
        </w:rPr>
        <w:t> </w:t>
      </w:r>
      <w:r>
        <w:rPr>
          <w:w w:val="166"/>
        </w:rPr>
        <w:t>   </w:t>
      </w:r>
      <w:r>
        <w:rPr>
          <w:spacing w:val="-2"/>
          <w:w w:val="166"/>
        </w:rPr>
        <w:t> </w:t>
      </w:r>
      <w:r>
        <w:rPr>
          <w:spacing w:val="-1"/>
          <w:w w:val="177"/>
        </w:rPr>
        <w:t> </w:t>
      </w:r>
      <w:r>
        <w:rPr>
          <w:w w:val="155"/>
        </w:rPr>
        <w:t> </w:t>
      </w:r>
    </w:p>
    <w:p>
      <w:pPr>
        <w:pStyle w:val="BodyText"/>
        <w:spacing w:line="360" w:lineRule="auto" w:before="139"/>
        <w:ind w:left="461" w:right="121"/>
        <w:jc w:val="both"/>
      </w:pPr>
      <w:r>
        <w:rPr>
          <w:w w:val="144"/>
        </w:rPr>
        <w:t>   </w:t>
      </w:r>
      <w:r>
        <w:rPr>
          <w:spacing w:val="-1"/>
          <w:w w:val="144"/>
        </w:rPr>
        <w:t> </w:t>
      </w:r>
      <w:r>
        <w:rPr>
          <w:spacing w:val="-1"/>
          <w:w w:val="177"/>
        </w:rPr>
        <w:t> </w:t>
      </w:r>
      <w:r>
        <w:rPr>
          <w:w w:val="148"/>
        </w:rPr>
        <w:t>   </w:t>
      </w:r>
      <w:r>
        <w:rPr/>
        <w:t> </w:t>
      </w:r>
      <w:r>
        <w:rPr>
          <w:spacing w:val="-27"/>
        </w:rPr>
        <w:t> </w:t>
      </w:r>
      <w:r>
        <w:rPr>
          <w:spacing w:val="-1"/>
          <w:w w:val="177"/>
        </w:rPr>
        <w:t> </w:t>
      </w:r>
      <w:r>
        <w:rPr>
          <w:w w:val="200"/>
        </w:rPr>
        <w:t>  </w:t>
      </w:r>
      <w:r>
        <w:rPr/>
        <w:t> </w:t>
      </w:r>
      <w:r>
        <w:rPr>
          <w:spacing w:val="-27"/>
        </w:rPr>
        <w:t> </w:t>
      </w:r>
      <w:r>
        <w:rPr>
          <w:w w:val="164"/>
        </w:rPr>
        <w:t>    </w:t>
      </w:r>
      <w:r>
        <w:rPr>
          <w:spacing w:val="-2"/>
          <w:w w:val="164"/>
        </w:rPr>
        <w:t> </w:t>
      </w:r>
      <w:r>
        <w:rPr>
          <w:w w:val="170"/>
        </w:rPr>
        <w:t>   </w:t>
      </w:r>
      <w:r>
        <w:rPr/>
        <w:t> </w:t>
      </w:r>
      <w:r>
        <w:rPr>
          <w:spacing w:val="-27"/>
        </w:rPr>
        <w:t> </w:t>
      </w:r>
      <w:r>
        <w:rPr>
          <w:w w:val="188"/>
        </w:rPr>
        <w:t> </w:t>
      </w:r>
      <w:r>
        <w:rPr>
          <w:spacing w:val="-1"/>
          <w:w w:val="188"/>
        </w:rPr>
        <w:t> </w:t>
      </w:r>
      <w:r>
        <w:rPr>
          <w:w w:val="111"/>
        </w:rPr>
        <w:t> </w:t>
      </w:r>
      <w:r>
        <w:rPr/>
        <w:t> </w:t>
      </w:r>
      <w:r>
        <w:rPr>
          <w:spacing w:val="-24"/>
        </w:rPr>
        <w:t> </w:t>
      </w:r>
      <w:r>
        <w:rPr>
          <w:w w:val="155"/>
        </w:rPr>
        <w:t> </w:t>
      </w:r>
      <w:r>
        <w:rPr>
          <w:spacing w:val="-2"/>
          <w:w w:val="155"/>
        </w:rPr>
        <w:t> </w:t>
      </w:r>
      <w:r>
        <w:rPr>
          <w:spacing w:val="-1"/>
          <w:w w:val="177"/>
        </w:rPr>
        <w:t> </w:t>
      </w:r>
      <w:r>
        <w:rPr>
          <w:w w:val="166"/>
        </w:rPr>
        <w:t> </w:t>
      </w:r>
      <w:r>
        <w:rPr>
          <w:spacing w:val="-1"/>
          <w:w w:val="166"/>
        </w:rPr>
        <w:t> </w:t>
      </w:r>
      <w:r>
        <w:rPr>
          <w:w w:val="177"/>
        </w:rPr>
        <w:t>  </w:t>
      </w:r>
      <w:r>
        <w:rPr/>
        <w:t> </w:t>
      </w:r>
      <w:r>
        <w:rPr>
          <w:spacing w:val="-27"/>
        </w:rPr>
        <w:t> </w:t>
      </w:r>
      <w:r>
        <w:rPr>
          <w:w w:val="188"/>
        </w:rPr>
        <w:t> </w:t>
      </w:r>
      <w:r>
        <w:rPr>
          <w:spacing w:val="-1"/>
          <w:w w:val="188"/>
        </w:rPr>
        <w:t> </w:t>
      </w:r>
      <w:r>
        <w:rPr>
          <w:w w:val="155"/>
        </w:rPr>
        <w:t>   </w:t>
      </w:r>
      <w:r>
        <w:rPr>
          <w:spacing w:val="-2"/>
          <w:w w:val="155"/>
        </w:rPr>
        <w:t> </w:t>
      </w:r>
      <w:r>
        <w:rPr>
          <w:w w:val="111"/>
        </w:rPr>
        <w:t> </w:t>
      </w:r>
      <w:r>
        <w:rPr/>
        <w:t>  </w:t>
      </w:r>
      <w:r>
        <w:rPr>
          <w:spacing w:val="-27"/>
        </w:rPr>
        <w:t> </w:t>
      </w:r>
      <w:r>
        <w:rPr>
          <w:w w:val="1"/>
        </w:rPr>
        <w:t> </w:t>
      </w:r>
      <w:r>
        <w:rPr/>
        <w:t> </w:t>
      </w:r>
      <w:r>
        <w:rPr>
          <w:spacing w:val="-27"/>
        </w:rPr>
        <w:t> </w:t>
      </w:r>
      <w:r>
        <w:rPr>
          <w:w w:val="188"/>
        </w:rPr>
        <w:t>  </w:t>
      </w:r>
      <w:r>
        <w:rPr/>
        <w:t> </w:t>
      </w:r>
      <w:r>
        <w:rPr>
          <w:spacing w:val="-28"/>
        </w:rPr>
        <w:t> </w:t>
      </w:r>
      <w:r>
        <w:rPr>
          <w:w w:val="155"/>
        </w:rPr>
        <w:t>   </w:t>
      </w:r>
      <w:r>
        <w:rPr>
          <w:w w:val="244"/>
        </w:rPr>
        <w:t>  </w:t>
      </w:r>
      <w:r>
        <w:rPr/>
        <w:t> </w:t>
      </w:r>
      <w:r>
        <w:rPr>
          <w:spacing w:val="-28"/>
        </w:rPr>
        <w:t> </w:t>
      </w:r>
      <w:r>
        <w:rPr>
          <w:spacing w:val="-1"/>
          <w:w w:val="177"/>
        </w:rPr>
        <w:t> </w:t>
      </w:r>
      <w:r>
        <w:rPr>
          <w:w w:val="191"/>
        </w:rPr>
        <w:t>       </w:t>
      </w:r>
      <w:r>
        <w:rPr>
          <w:spacing w:val="-1"/>
          <w:w w:val="191"/>
        </w:rPr>
        <w:t> </w:t>
      </w:r>
      <w:r>
        <w:rPr>
          <w:spacing w:val="-1"/>
          <w:w w:val="177"/>
        </w:rPr>
        <w:t> </w:t>
      </w:r>
      <w:r>
        <w:rPr>
          <w:w w:val="188"/>
        </w:rPr>
        <w:t> </w:t>
      </w:r>
      <w:r>
        <w:rPr>
          <w:spacing w:val="1"/>
          <w:w w:val="188"/>
        </w:rPr>
        <w:t> </w:t>
      </w:r>
      <w:r>
        <w:rPr>
          <w:w w:val="177"/>
        </w:rPr>
        <w:t> </w:t>
      </w:r>
      <w:r>
        <w:rPr/>
        <w:t> </w:t>
      </w:r>
      <w:r>
        <w:rPr>
          <w:spacing w:val="-26"/>
        </w:rPr>
        <w:t> </w:t>
      </w:r>
      <w:r>
        <w:rPr>
          <w:w w:val="200"/>
        </w:rPr>
        <w:t> </w:t>
      </w:r>
      <w:r>
        <w:rPr>
          <w:spacing w:val="28"/>
        </w:rPr>
        <w:t> </w:t>
      </w:r>
      <w:r>
        <w:rPr>
          <w:w w:val="155"/>
        </w:rPr>
        <w:t> </w:t>
      </w:r>
      <w:r>
        <w:rPr>
          <w:spacing w:val="2"/>
          <w:w w:val="155"/>
        </w:rPr>
        <w:t> </w:t>
      </w:r>
      <w:r>
        <w:rPr>
          <w:w w:val="188"/>
        </w:rPr>
        <w:t> </w:t>
      </w:r>
      <w:r>
        <w:rPr>
          <w:spacing w:val="-1"/>
          <w:w w:val="188"/>
        </w:rPr>
        <w:t> </w:t>
      </w:r>
      <w:r>
        <w:rPr>
          <w:w w:val="211"/>
        </w:rPr>
        <w:t>  </w:t>
      </w:r>
      <w:r>
        <w:rPr>
          <w:spacing w:val="-1"/>
          <w:w w:val="177"/>
        </w:rPr>
        <w:t> </w:t>
      </w:r>
      <w:r>
        <w:rPr>
          <w:w w:val="177"/>
        </w:rPr>
        <w:t> </w:t>
      </w:r>
      <w:r>
        <w:rPr>
          <w:spacing w:val="-1"/>
        </w:rPr>
        <w:t> </w:t>
      </w:r>
      <w:r>
        <w:rPr>
          <w:w w:val="1"/>
        </w:rPr>
        <w:t> </w:t>
      </w:r>
      <w:r>
        <w:rPr/>
        <w:t>    </w:t>
      </w:r>
      <w:r>
        <w:rPr>
          <w:spacing w:val="-20"/>
        </w:rPr>
        <w:t> </w:t>
      </w:r>
      <w:r>
        <w:rPr>
          <w:spacing w:val="-1"/>
          <w:w w:val="177"/>
        </w:rPr>
        <w:t> </w:t>
      </w:r>
      <w:r>
        <w:rPr>
          <w:spacing w:val="-3"/>
          <w:w w:val="155"/>
        </w:rPr>
        <w:t> </w:t>
      </w:r>
      <w:r>
        <w:rPr>
          <w:w w:val="111"/>
        </w:rPr>
        <w:t> </w:t>
      </w:r>
      <w:r>
        <w:rPr>
          <w:spacing w:val="-1"/>
        </w:rPr>
        <w:t>c</w:t>
      </w:r>
      <w:r>
        <w:rPr/>
        <w:t>omo</w:t>
      </w:r>
      <w:r>
        <w:rPr>
          <w:spacing w:val="26"/>
        </w:rPr>
        <w:t> </w:t>
      </w:r>
      <w:r>
        <w:rPr/>
        <w:t>dis</w:t>
      </w:r>
      <w:r>
        <w:rPr>
          <w:spacing w:val="1"/>
        </w:rPr>
        <w:t>m</w:t>
      </w:r>
      <w:r>
        <w:rPr/>
        <w:t>inución</w:t>
      </w:r>
      <w:r>
        <w:rPr>
          <w:spacing w:val="26"/>
        </w:rPr>
        <w:t> </w:t>
      </w:r>
      <w:r>
        <w:rPr>
          <w:spacing w:val="-1"/>
        </w:rPr>
        <w:t>e</w:t>
      </w:r>
      <w:r>
        <w:rPr/>
        <w:t>n</w:t>
      </w:r>
      <w:r>
        <w:rPr>
          <w:spacing w:val="26"/>
        </w:rPr>
        <w:t> </w:t>
      </w:r>
      <w:r>
        <w:rPr/>
        <w:t>la</w:t>
      </w:r>
      <w:r>
        <w:rPr>
          <w:spacing w:val="23"/>
        </w:rPr>
        <w:t> </w:t>
      </w:r>
      <w:r>
        <w:rPr/>
        <w:t>d</w:t>
      </w:r>
      <w:r>
        <w:rPr>
          <w:spacing w:val="-1"/>
        </w:rPr>
        <w:t>e</w:t>
      </w:r>
      <w:r>
        <w:rPr/>
        <w:t>uda</w:t>
      </w:r>
      <w:r>
        <w:rPr>
          <w:spacing w:val="25"/>
        </w:rPr>
        <w:t> </w:t>
      </w:r>
      <w:r>
        <w:rPr/>
        <w:t>públi</w:t>
      </w:r>
      <w:r>
        <w:rPr>
          <w:spacing w:val="-1"/>
        </w:rPr>
        <w:t>ca</w:t>
      </w:r>
      <w:r>
        <w:rPr/>
        <w:t>;</w:t>
      </w:r>
      <w:r>
        <w:rPr>
          <w:spacing w:val="26"/>
        </w:rPr>
        <w:t> </w:t>
      </w:r>
      <w:r>
        <w:rPr>
          <w:w w:val="99"/>
        </w:rPr>
        <w:t>sin</w:t>
      </w:r>
      <w:r>
        <w:rPr>
          <w:spacing w:val="26"/>
        </w:rPr>
        <w:t> </w:t>
      </w:r>
      <w:r>
        <w:rPr>
          <w:spacing w:val="-1"/>
        </w:rPr>
        <w:t>e</w:t>
      </w:r>
      <w:r>
        <w:rPr/>
        <w:t>mbar</w:t>
      </w:r>
      <w:r>
        <w:rPr>
          <w:spacing w:val="-3"/>
        </w:rPr>
        <w:t>g</w:t>
      </w:r>
      <w:r>
        <w:rPr/>
        <w:t>o,</w:t>
      </w:r>
      <w:r>
        <w:rPr>
          <w:spacing w:val="26"/>
        </w:rPr>
        <w:t> </w:t>
      </w:r>
      <w:r>
        <w:rPr/>
        <w:t>la</w:t>
      </w:r>
      <w:r>
        <w:rPr>
          <w:spacing w:val="25"/>
        </w:rPr>
        <w:t> </w:t>
      </w:r>
      <w:r>
        <w:rPr/>
        <w:t>posi</w:t>
      </w:r>
      <w:r>
        <w:rPr>
          <w:spacing w:val="-1"/>
        </w:rPr>
        <w:t>c</w:t>
      </w:r>
      <w:r>
        <w:rPr/>
        <w:t>ión</w:t>
      </w:r>
      <w:r>
        <w:rPr>
          <w:spacing w:val="26"/>
        </w:rPr>
        <w:t> </w:t>
      </w:r>
      <w:r>
        <w:rPr>
          <w:w w:val="99"/>
        </w:rPr>
        <w:t>fis</w:t>
      </w:r>
      <w:r>
        <w:rPr>
          <w:spacing w:val="-1"/>
          <w:w w:val="99"/>
        </w:rPr>
        <w:t>c</w:t>
      </w:r>
      <w:r>
        <w:rPr>
          <w:spacing w:val="-1"/>
        </w:rPr>
        <w:t>a</w:t>
      </w:r>
      <w:r>
        <w:rPr/>
        <w:t>l</w:t>
      </w:r>
      <w:r>
        <w:rPr>
          <w:spacing w:val="26"/>
        </w:rPr>
        <w:t> </w:t>
      </w:r>
      <w:r>
        <w:rPr/>
        <w:t>de</w:t>
      </w:r>
      <w:r>
        <w:rPr>
          <w:spacing w:val="25"/>
        </w:rPr>
        <w:t> </w:t>
      </w:r>
      <w:r>
        <w:rPr>
          <w:spacing w:val="-2"/>
        </w:rPr>
        <w:t>B</w:t>
      </w:r>
      <w:r>
        <w:rPr/>
        <w:t>olivia</w:t>
      </w:r>
      <w:r>
        <w:rPr>
          <w:spacing w:val="25"/>
        </w:rPr>
        <w:t> </w:t>
      </w:r>
      <w:r>
        <w:rPr>
          <w:w w:val="99"/>
        </w:rPr>
        <w:t>sin los</w:t>
      </w:r>
      <w:r>
        <w:rPr>
          <w:spacing w:val="14"/>
        </w:rPr>
        <w:t> </w:t>
      </w:r>
      <w:r>
        <w:rPr/>
        <w:t>in</w:t>
      </w:r>
      <w:r>
        <w:rPr>
          <w:spacing w:val="-2"/>
        </w:rPr>
        <w:t>g</w:t>
      </w:r>
      <w:r>
        <w:rPr/>
        <w:t>r</w:t>
      </w:r>
      <w:r>
        <w:rPr>
          <w:spacing w:val="-2"/>
        </w:rPr>
        <w:t>e</w:t>
      </w:r>
      <w:r>
        <w:rPr>
          <w:w w:val="99"/>
        </w:rPr>
        <w:t>sos</w:t>
      </w:r>
      <w:r>
        <w:rPr>
          <w:spacing w:val="14"/>
        </w:rPr>
        <w:t> </w:t>
      </w:r>
      <w:r>
        <w:rPr/>
        <w:t>de</w:t>
      </w:r>
      <w:r>
        <w:rPr>
          <w:spacing w:val="13"/>
        </w:rPr>
        <w:t> </w:t>
      </w:r>
      <w:r>
        <w:rPr/>
        <w:t>hidro</w:t>
      </w:r>
      <w:r>
        <w:rPr>
          <w:spacing w:val="-2"/>
        </w:rPr>
        <w:t>c</w:t>
      </w:r>
      <w:r>
        <w:rPr>
          <w:spacing w:val="-1"/>
        </w:rPr>
        <w:t>a</w:t>
      </w:r>
      <w:r>
        <w:rPr/>
        <w:t>r</w:t>
      </w:r>
      <w:r>
        <w:rPr>
          <w:spacing w:val="1"/>
        </w:rPr>
        <w:t>b</w:t>
      </w:r>
      <w:r>
        <w:rPr/>
        <w:t>u</w:t>
      </w:r>
      <w:r>
        <w:rPr>
          <w:spacing w:val="-1"/>
        </w:rPr>
        <w:t>r</w:t>
      </w:r>
      <w:r>
        <w:rPr>
          <w:w w:val="99"/>
        </w:rPr>
        <w:t>os</w:t>
      </w:r>
      <w:r>
        <w:rPr>
          <w:spacing w:val="14"/>
        </w:rPr>
        <w:t> </w:t>
      </w:r>
      <w:r>
        <w:rPr/>
        <w:t>no</w:t>
      </w:r>
      <w:r>
        <w:rPr>
          <w:spacing w:val="14"/>
        </w:rPr>
        <w:t> </w:t>
      </w:r>
      <w:r>
        <w:rPr>
          <w:spacing w:val="-1"/>
        </w:rPr>
        <w:t>e</w:t>
      </w:r>
      <w:r>
        <w:rPr>
          <w:w w:val="99"/>
        </w:rPr>
        <w:t>s</w:t>
      </w:r>
      <w:r>
        <w:rPr>
          <w:spacing w:val="14"/>
        </w:rPr>
        <w:t> </w:t>
      </w:r>
      <w:r>
        <w:rPr>
          <w:w w:val="99"/>
        </w:rPr>
        <w:t>sost</w:t>
      </w:r>
      <w:r>
        <w:rPr>
          <w:spacing w:val="-1"/>
        </w:rPr>
        <w:t>e</w:t>
      </w:r>
      <w:r>
        <w:rPr/>
        <w:t>nible</w:t>
      </w:r>
      <w:r>
        <w:rPr>
          <w:spacing w:val="13"/>
        </w:rPr>
        <w:t> </w:t>
      </w:r>
      <w:r>
        <w:rPr/>
        <w:t>d</w:t>
      </w:r>
      <w:r>
        <w:rPr>
          <w:spacing w:val="-1"/>
        </w:rPr>
        <w:t>a</w:t>
      </w:r>
      <w:r>
        <w:rPr>
          <w:spacing w:val="-3"/>
        </w:rPr>
        <w:t>d</w:t>
      </w:r>
      <w:r>
        <w:rPr/>
        <w:t>o</w:t>
      </w:r>
      <w:r>
        <w:rPr>
          <w:spacing w:val="14"/>
        </w:rPr>
        <w:t> </w:t>
      </w:r>
      <w:r>
        <w:rPr>
          <w:spacing w:val="-1"/>
        </w:rPr>
        <w:t>e</w:t>
      </w:r>
      <w:r>
        <w:rPr/>
        <w:t>l</w:t>
      </w:r>
      <w:r>
        <w:rPr>
          <w:spacing w:val="14"/>
        </w:rPr>
        <w:t> </w:t>
      </w:r>
      <w:r>
        <w:rPr/>
        <w:t>p</w:t>
      </w:r>
      <w:r>
        <w:rPr>
          <w:spacing w:val="-1"/>
        </w:rPr>
        <w:t>r</w:t>
      </w:r>
      <w:r>
        <w:rPr/>
        <w:t>o</w:t>
      </w:r>
      <w:r>
        <w:rPr>
          <w:spacing w:val="-3"/>
        </w:rPr>
        <w:t>g</w:t>
      </w:r>
      <w:r>
        <w:rPr/>
        <w:t>r</w:t>
      </w:r>
      <w:r>
        <w:rPr>
          <w:spacing w:val="-2"/>
        </w:rPr>
        <w:t>e</w:t>
      </w:r>
      <w:r>
        <w:rPr/>
        <w:t>sivo</w:t>
      </w:r>
      <w:r>
        <w:rPr>
          <w:spacing w:val="14"/>
        </w:rPr>
        <w:t> </w:t>
      </w:r>
      <w:r>
        <w:rPr/>
        <w:t>d</w:t>
      </w:r>
      <w:r>
        <w:rPr>
          <w:spacing w:val="-1"/>
        </w:rPr>
        <w:t>e</w:t>
      </w:r>
      <w:r>
        <w:rPr/>
        <w:t>t</w:t>
      </w:r>
      <w:r>
        <w:rPr>
          <w:spacing w:val="1"/>
        </w:rPr>
        <w:t>e</w:t>
      </w:r>
      <w:r>
        <w:rPr/>
        <w:t>rio</w:t>
      </w:r>
      <w:r>
        <w:rPr>
          <w:spacing w:val="-1"/>
        </w:rPr>
        <w:t>r</w:t>
      </w:r>
      <w:r>
        <w:rPr/>
        <w:t>o</w:t>
      </w:r>
      <w:r>
        <w:rPr>
          <w:spacing w:val="18"/>
        </w:rPr>
        <w:t> </w:t>
      </w:r>
      <w:r>
        <w:rPr/>
        <w:t>y</w:t>
      </w:r>
      <w:r>
        <w:rPr>
          <w:spacing w:val="6"/>
        </w:rPr>
        <w:t> </w:t>
      </w:r>
      <w:r>
        <w:rPr/>
        <w:t>m</w:t>
      </w:r>
      <w:r>
        <w:rPr>
          <w:spacing w:val="1"/>
        </w:rPr>
        <w:t>a</w:t>
      </w:r>
      <w:r>
        <w:rPr>
          <w:spacing w:val="-3"/>
        </w:rPr>
        <w:t>g</w:t>
      </w:r>
      <w:r>
        <w:rPr/>
        <w:t>nitud d</w:t>
      </w:r>
      <w:r>
        <w:rPr>
          <w:spacing w:val="-1"/>
        </w:rPr>
        <w:t>e</w:t>
      </w:r>
      <w:r>
        <w:rPr/>
        <w:t>l dé</w:t>
      </w:r>
      <w:r>
        <w:rPr>
          <w:spacing w:val="-2"/>
        </w:rPr>
        <w:t>f</w:t>
      </w:r>
      <w:r>
        <w:rPr/>
        <w:t>icit fisc</w:t>
      </w:r>
      <w:r>
        <w:rPr>
          <w:spacing w:val="-2"/>
        </w:rPr>
        <w:t>a</w:t>
      </w:r>
      <w:r>
        <w:rPr/>
        <w:t>l no hid</w:t>
      </w:r>
      <w:r>
        <w:rPr>
          <w:spacing w:val="-1"/>
        </w:rPr>
        <w:t>r</w:t>
      </w:r>
      <w:r>
        <w:rPr>
          <w:spacing w:val="2"/>
        </w:rPr>
        <w:t>o</w:t>
      </w:r>
      <w:r>
        <w:rPr>
          <w:spacing w:val="-1"/>
        </w:rPr>
        <w:t>ca</w:t>
      </w:r>
      <w:r>
        <w:rPr/>
        <w:t>rbu</w:t>
      </w:r>
      <w:r>
        <w:rPr>
          <w:spacing w:val="-2"/>
        </w:rPr>
        <w:t>r</w:t>
      </w:r>
      <w:r>
        <w:rPr/>
        <w:t>í</w:t>
      </w:r>
      <w:r>
        <w:rPr>
          <w:spacing w:val="1"/>
        </w:rPr>
        <w:t>f</w:t>
      </w:r>
      <w:r>
        <w:rPr>
          <w:spacing w:val="-1"/>
        </w:rPr>
        <w:t>e</w:t>
      </w:r>
      <w:r>
        <w:rPr/>
        <w:t>ro.</w:t>
      </w:r>
    </w:p>
    <w:p>
      <w:pPr>
        <w:pStyle w:val="ListParagraph"/>
        <w:numPr>
          <w:ilvl w:val="0"/>
          <w:numId w:val="22"/>
        </w:numPr>
        <w:tabs>
          <w:tab w:pos="462" w:val="left" w:leader="none"/>
        </w:tabs>
        <w:spacing w:line="360" w:lineRule="auto" w:before="7" w:after="0"/>
        <w:ind w:left="462" w:right="114" w:hanging="360"/>
        <w:jc w:val="both"/>
        <w:rPr>
          <w:sz w:val="24"/>
        </w:rPr>
      </w:pPr>
      <w:r>
        <w:rPr>
          <w:sz w:val="24"/>
        </w:rPr>
        <w:t>La implementación de reglas fiscales en distintos escenarios de canalización de ingresos fiscales del recurso natural hacia el gasto de capital mejoran la prospectiva de corto y mediano plazo en la deuda pública máxima al eliminar el componente estocástico de la asignación de ingresos fiscales al gasto</w:t>
      </w:r>
      <w:r>
        <w:rPr>
          <w:spacing w:val="-13"/>
          <w:sz w:val="24"/>
        </w:rPr>
        <w:t> </w:t>
      </w:r>
      <w:r>
        <w:rPr>
          <w:sz w:val="24"/>
        </w:rPr>
        <w:t>público.</w:t>
      </w:r>
    </w:p>
    <w:p>
      <w:pPr>
        <w:pStyle w:val="BodyText"/>
        <w:spacing w:line="360" w:lineRule="auto" w:before="6"/>
        <w:ind w:left="102" w:right="119" w:firstLine="707"/>
        <w:jc w:val="both"/>
      </w:pPr>
      <w:r>
        <w:rPr/>
        <w:t>Con base en simulaciones sobre el caso de Bolivia, se encontró que la estrategia  más selecta para la asignación de ingresos fiscales gasíferos y no gasíferos se basa en una correcta distribución de ingresos públicos al gasto de capital, el gasto corriente y el ahorro público mediante la acumulación de superávit</w:t>
      </w:r>
      <w:r>
        <w:rPr>
          <w:spacing w:val="-12"/>
        </w:rPr>
        <w:t> </w:t>
      </w:r>
      <w:r>
        <w:rPr/>
        <w:t>fiscales.</w:t>
      </w:r>
    </w:p>
    <w:p>
      <w:pPr>
        <w:pStyle w:val="BodyText"/>
        <w:spacing w:line="360" w:lineRule="auto" w:before="6"/>
        <w:ind w:left="102" w:right="123" w:firstLine="707"/>
        <w:jc w:val="both"/>
      </w:pPr>
      <w:r>
        <w:rPr/>
        <w:t>Para obtener las conclusiones previas fue necesario el cumplimiento de seis objetivos particulares de la</w:t>
      </w:r>
      <w:r>
        <w:rPr>
          <w:spacing w:val="-3"/>
        </w:rPr>
        <w:t> </w:t>
      </w:r>
      <w:r>
        <w:rPr/>
        <w:t>tesis:</w:t>
      </w:r>
    </w:p>
    <w:p>
      <w:pPr>
        <w:pStyle w:val="BodyText"/>
        <w:spacing w:line="360" w:lineRule="auto" w:before="6"/>
        <w:ind w:left="102" w:right="117" w:firstLine="707"/>
        <w:jc w:val="both"/>
      </w:pPr>
      <w:r>
        <w:rPr/>
        <w:t>El primer objetivo fue obtener el sendero de proyección para los precios y la producción de gas natural de Bolivia hacia el corto y mediano plazo (2012 – 2016). A diferencia de los precios del petróle                                              el mercado internacional del gas natural se encuentra regionalizado con mecanismos distintos para la asignación de precios: indexados al precio del petróleo (Asia), estructura competitiva y precios  financieros (EEUU); contratos de importación (Europa). Para el caso de Bolivia, los precios del gas natural están indexados al precio del petróleo (mediante fórmulas de ajuste trimestral).</w:t>
      </w:r>
    </w:p>
    <w:p>
      <w:pPr>
        <w:pStyle w:val="BodyText"/>
        <w:spacing w:line="360" w:lineRule="auto" w:before="4"/>
        <w:ind w:left="102" w:right="117" w:firstLine="707"/>
        <w:jc w:val="both"/>
      </w:pPr>
      <w:r>
        <w:rPr/>
        <w:t>El segundo objetivo consistió en explicar las implicaciones de los cambios institucionales sobre la posición fiscal, el cual se constituyó como aporte adicional a la literatura existente. Se abordaron dos tipos de cambios institucionales: la nacionalización  de los hidrocarburos (cambio formal); la asignación de los ingresos fiscales gasíferos y no gasíferos</w:t>
      </w:r>
      <w:r>
        <w:rPr>
          <w:spacing w:val="39"/>
        </w:rPr>
        <w:t> </w:t>
      </w:r>
      <w:r>
        <w:rPr/>
        <w:t>(cambios</w:t>
      </w:r>
      <w:r>
        <w:rPr>
          <w:spacing w:val="37"/>
        </w:rPr>
        <w:t> </w:t>
      </w:r>
      <w:r>
        <w:rPr/>
        <w:t>informales</w:t>
      </w:r>
      <w:r>
        <w:rPr>
          <w:spacing w:val="39"/>
        </w:rPr>
        <w:t> </w:t>
      </w:r>
      <w:r>
        <w:rPr/>
        <w:t>o</w:t>
      </w:r>
      <w:r>
        <w:rPr>
          <w:spacing w:val="39"/>
        </w:rPr>
        <w:t> </w:t>
      </w:r>
      <w:r>
        <w:rPr/>
        <w:t>elementos</w:t>
      </w:r>
      <w:r>
        <w:rPr>
          <w:spacing w:val="37"/>
        </w:rPr>
        <w:t> </w:t>
      </w:r>
      <w:r>
        <w:rPr/>
        <w:t>no</w:t>
      </w:r>
      <w:r>
        <w:rPr>
          <w:spacing w:val="39"/>
        </w:rPr>
        <w:t> </w:t>
      </w:r>
      <w:r>
        <w:rPr/>
        <w:t>normados).</w:t>
      </w:r>
      <w:r>
        <w:rPr>
          <w:spacing w:val="38"/>
        </w:rPr>
        <w:t> </w:t>
      </w:r>
      <w:r>
        <w:rPr/>
        <w:t>Los</w:t>
      </w:r>
      <w:r>
        <w:rPr>
          <w:spacing w:val="39"/>
        </w:rPr>
        <w:t> </w:t>
      </w:r>
      <w:r>
        <w:rPr/>
        <w:t>resultados</w:t>
      </w:r>
      <w:r>
        <w:rPr>
          <w:spacing w:val="37"/>
        </w:rPr>
        <w:t> </w:t>
      </w:r>
      <w:r>
        <w:rPr/>
        <w:t>mostraron</w:t>
      </w:r>
      <w:r>
        <w:rPr>
          <w:spacing w:val="36"/>
        </w:rPr>
        <w:t> </w:t>
      </w:r>
      <w:r>
        <w:rPr/>
        <w:t>que</w:t>
      </w:r>
    </w:p>
    <w:p>
      <w:pPr>
        <w:spacing w:after="0" w:line="360" w:lineRule="auto"/>
        <w:jc w:val="both"/>
        <w:sectPr>
          <w:pgSz w:w="12250" w:h="15850"/>
          <w:pgMar w:header="0" w:footer="977" w:top="1360" w:bottom="1220" w:left="1600" w:right="1580"/>
        </w:sectPr>
      </w:pPr>
    </w:p>
    <w:p>
      <w:pPr>
        <w:pStyle w:val="BodyText"/>
        <w:spacing w:line="360" w:lineRule="auto" w:before="50"/>
        <w:ind w:left="102" w:right="118"/>
        <w:jc w:val="both"/>
      </w:pPr>
      <w:r>
        <w:rPr/>
        <w:t>posterior a la nacionalización de los hidrocarburos surgieron nuevos mecanismos para asignar los ingresos fiscales, con y sin gas natural, los cuales se asociaron con un deterioro del balance primario no gasífero.</w:t>
      </w:r>
    </w:p>
    <w:p>
      <w:pPr>
        <w:pStyle w:val="BodyText"/>
        <w:spacing w:line="360" w:lineRule="auto" w:before="4"/>
        <w:ind w:left="102" w:right="116" w:firstLine="707"/>
        <w:jc w:val="both"/>
      </w:pPr>
      <w:r>
        <w:rPr/>
        <w:t>El tercer objetivo se basó en evaluar la eficiencia del rol fiscal de Bolivia, cuyo resultado fue deficiente fundamentado en los siguientes hallazgos principales: orientación procíclica a la actividad económica; incremento en la dependencia del gas natural a través de la participación cíclica de los precios del gas natural en el balance global cíclicamente ajustado;   insostenibilidad   fiscal   del   balance   primario   no   gasífero   </w:t>
      </w:r>
      <w:r>
        <w:rPr>
          <w:w w:val="177"/>
        </w:rPr>
        <w:t> </w:t>
      </w:r>
      <w:r>
        <w:rPr/>
        <w:t>   </w:t>
      </w:r>
      <w:r>
        <w:rPr>
          <w:w w:val="188"/>
        </w:rPr>
        <w:t>  </w:t>
      </w:r>
      <w:r>
        <w:rPr>
          <w:w w:val="122"/>
        </w:rPr>
        <w:t>    </w:t>
      </w:r>
      <w:r>
        <w:rPr/>
        <w:t>   </w:t>
      </w:r>
      <w:r>
        <w:rPr>
          <w:w w:val="188"/>
        </w:rPr>
        <w:t>  </w:t>
      </w:r>
      <w:r>
        <w:rPr/>
        <w:t>   </w:t>
      </w:r>
      <w:r>
        <w:rPr>
          <w:w w:val="111"/>
        </w:rPr>
        <w:t> </w:t>
      </w:r>
      <w:r>
        <w:rPr>
          <w:w w:val="177"/>
        </w:rPr>
        <w:t> </w:t>
      </w:r>
    </w:p>
    <w:p>
      <w:pPr>
        <w:pStyle w:val="BodyText"/>
        <w:spacing w:before="7"/>
        <w:ind w:left="102"/>
        <w:jc w:val="both"/>
      </w:pPr>
      <w:r>
        <w:rPr>
          <w:w w:val="188"/>
        </w:rPr>
        <w:t> </w:t>
      </w:r>
      <w:r>
        <w:rPr>
          <w:spacing w:val="-1"/>
          <w:w w:val="188"/>
        </w:rPr>
        <w:t> </w:t>
      </w:r>
      <w:r>
        <w:rPr>
          <w:spacing w:val="-1"/>
          <w:w w:val="177"/>
        </w:rPr>
        <w:t> </w:t>
      </w:r>
      <w:r>
        <w:rPr>
          <w:w w:val="155"/>
        </w:rPr>
        <w:t>      </w:t>
      </w:r>
      <w:r>
        <w:rPr>
          <w:spacing w:val="1"/>
          <w:w w:val="155"/>
        </w:rPr>
        <w:t> </w:t>
      </w:r>
      <w:r>
        <w:rPr>
          <w:spacing w:val="-1"/>
          <w:w w:val="177"/>
        </w:rPr>
        <w:t>  </w:t>
      </w:r>
      <w:r>
        <w:rPr>
          <w:w w:val="170"/>
        </w:rPr>
        <w:t>   </w:t>
      </w:r>
      <w:r>
        <w:rPr/>
        <w:t>  </w:t>
      </w:r>
      <w:r>
        <w:rPr>
          <w:w w:val="188"/>
        </w:rPr>
        <w:t>  </w:t>
      </w:r>
      <w:r>
        <w:rPr/>
        <w:t> </w:t>
      </w:r>
      <w:r>
        <w:rPr>
          <w:spacing w:val="-2"/>
        </w:rPr>
        <w:t> </w:t>
      </w:r>
      <w:r>
        <w:rPr>
          <w:w w:val="155"/>
        </w:rPr>
        <w:t>   </w:t>
      </w:r>
      <w:r>
        <w:rPr/>
        <w:t>  </w:t>
      </w:r>
      <w:r>
        <w:rPr>
          <w:w w:val="170"/>
        </w:rPr>
        <w:t>     </w:t>
      </w:r>
      <w:r>
        <w:rPr>
          <w:spacing w:val="-2"/>
          <w:w w:val="170"/>
        </w:rPr>
        <w:t> </w:t>
      </w:r>
      <w:r>
        <w:rPr>
          <w:spacing w:val="-1"/>
          <w:w w:val="177"/>
        </w:rPr>
        <w:t> </w:t>
      </w:r>
      <w:r>
        <w:rPr>
          <w:w w:val="166"/>
        </w:rPr>
        <w:t>   </w:t>
      </w:r>
      <w:r>
        <w:rPr>
          <w:spacing w:val="-2"/>
          <w:w w:val="166"/>
        </w:rPr>
        <w:t> </w:t>
      </w:r>
      <w:r>
        <w:rPr>
          <w:w w:val="151"/>
        </w:rPr>
        <w:t>   </w:t>
      </w:r>
      <w:r>
        <w:rPr/>
        <w:t>  </w:t>
      </w:r>
      <w:r>
        <w:rPr>
          <w:w w:val="266"/>
        </w:rPr>
        <w:t> </w:t>
      </w:r>
      <w:r>
        <w:rPr>
          <w:spacing w:val="-1"/>
          <w:w w:val="177"/>
        </w:rPr>
        <w:t> </w:t>
      </w:r>
      <w:r>
        <w:rPr>
          <w:spacing w:val="2"/>
          <w:w w:val="200"/>
        </w:rPr>
        <w:t> </w:t>
      </w:r>
      <w:r>
        <w:rPr>
          <w:w w:val="177"/>
        </w:rPr>
        <w:t> </w:t>
      </w:r>
      <w:r>
        <w:rPr/>
        <w:t> </w:t>
      </w:r>
      <w:r>
        <w:rPr>
          <w:spacing w:val="-2"/>
        </w:rPr>
        <w:t> </w:t>
      </w:r>
      <w:r>
        <w:rPr>
          <w:w w:val="244"/>
        </w:rPr>
        <w:t> </w:t>
      </w:r>
      <w:r>
        <w:rPr>
          <w:spacing w:val="1"/>
          <w:w w:val="244"/>
        </w:rPr>
        <w:t> </w:t>
      </w:r>
      <w:r>
        <w:rPr>
          <w:w w:val="188"/>
        </w:rPr>
        <w:t> </w:t>
      </w:r>
      <w:r>
        <w:rPr>
          <w:spacing w:val="-1"/>
          <w:w w:val="188"/>
        </w:rPr>
        <w:t> </w:t>
      </w:r>
      <w:r>
        <w:rPr>
          <w:w w:val="164"/>
        </w:rPr>
        <w:t>     </w:t>
      </w:r>
      <w:r>
        <w:rPr/>
        <w:t> </w:t>
      </w:r>
      <w:r>
        <w:rPr>
          <w:spacing w:val="-2"/>
        </w:rPr>
        <w:t> </w:t>
      </w:r>
      <w:r>
        <w:rPr>
          <w:w w:val="192"/>
        </w:rPr>
        <w:t>   </w:t>
      </w:r>
      <w:r>
        <w:rPr/>
        <w:t> </w:t>
      </w:r>
      <w:r>
        <w:rPr>
          <w:spacing w:val="-2"/>
        </w:rPr>
        <w:t> </w:t>
      </w:r>
      <w:r>
        <w:rPr>
          <w:w w:val="200"/>
        </w:rPr>
        <w:t>  </w:t>
      </w:r>
      <w:r>
        <w:rPr/>
        <w:t> </w:t>
      </w:r>
      <w:r>
        <w:rPr>
          <w:spacing w:val="-1"/>
        </w:rPr>
        <w:t> </w:t>
      </w:r>
      <w:r>
        <w:rPr>
          <w:spacing w:val="-1"/>
          <w:w w:val="177"/>
        </w:rPr>
        <w:t> </w:t>
      </w:r>
      <w:r>
        <w:rPr>
          <w:w w:val="177"/>
        </w:rPr>
        <w:t> </w:t>
      </w:r>
      <w:r>
        <w:rPr>
          <w:spacing w:val="2"/>
          <w:w w:val="177"/>
        </w:rPr>
        <w:t> </w:t>
      </w:r>
      <w:r>
        <w:rPr>
          <w:spacing w:val="-1"/>
          <w:w w:val="177"/>
        </w:rPr>
        <w:t>  </w:t>
      </w:r>
      <w:r>
        <w:rPr>
          <w:w w:val="155"/>
        </w:rPr>
        <w:t>  </w:t>
      </w:r>
      <w:r>
        <w:rPr/>
        <w:t> </w:t>
      </w:r>
      <w:r>
        <w:rPr>
          <w:spacing w:val="2"/>
        </w:rPr>
        <w:t> </w:t>
      </w:r>
      <w:r>
        <w:rPr>
          <w:w w:val="155"/>
        </w:rPr>
        <w:t> </w:t>
      </w:r>
      <w:r>
        <w:rPr>
          <w:spacing w:val="-2"/>
          <w:w w:val="155"/>
        </w:rPr>
        <w:t> </w:t>
      </w:r>
      <w:r>
        <w:rPr>
          <w:w w:val="177"/>
        </w:rPr>
        <w:t>   </w:t>
      </w:r>
      <w:r>
        <w:rPr>
          <w:spacing w:val="-2"/>
          <w:w w:val="177"/>
        </w:rPr>
        <w:t> </w:t>
      </w:r>
      <w:r>
        <w:rPr>
          <w:w w:val="162"/>
        </w:rPr>
        <w:t>   </w:t>
      </w:r>
      <w:r>
        <w:rPr/>
        <w:t> </w:t>
      </w:r>
      <w:r>
        <w:rPr>
          <w:spacing w:val="-1"/>
        </w:rPr>
        <w:t> </w:t>
      </w:r>
      <w:r>
        <w:rPr>
          <w:spacing w:val="2"/>
          <w:w w:val="200"/>
        </w:rPr>
        <w:t> </w:t>
      </w:r>
      <w:r>
        <w:rPr>
          <w:w w:val="177"/>
        </w:rPr>
        <w:t> </w:t>
      </w:r>
      <w:r>
        <w:rPr/>
        <w:t> </w:t>
      </w:r>
      <w:r>
        <w:rPr>
          <w:spacing w:val="-2"/>
        </w:rPr>
        <w:t> </w:t>
      </w:r>
      <w:r>
        <w:rPr>
          <w:w w:val="144"/>
        </w:rPr>
        <w:t>  </w:t>
      </w:r>
    </w:p>
    <w:p>
      <w:pPr>
        <w:pStyle w:val="BodyText"/>
        <w:spacing w:line="360" w:lineRule="auto" w:before="137"/>
        <w:ind w:left="102" w:right="115"/>
        <w:jc w:val="both"/>
      </w:pPr>
      <w:r>
        <w:rPr>
          <w:w w:val="155"/>
        </w:rPr>
        <w:t>    </w:t>
      </w:r>
      <w:r>
        <w:rPr>
          <w:w w:val="111"/>
        </w:rPr>
        <w:t>  </w:t>
      </w:r>
      <w:r>
        <w:rPr>
          <w:w w:val="177"/>
        </w:rPr>
        <w:t>  </w:t>
      </w:r>
      <w:r>
        <w:rPr/>
        <w:t>  </w:t>
      </w:r>
      <w:r>
        <w:rPr>
          <w:w w:val="144"/>
        </w:rPr>
        <w:t>    </w:t>
      </w:r>
      <w:r>
        <w:rPr>
          <w:w w:val="177"/>
        </w:rPr>
        <w:t> </w:t>
      </w:r>
      <w:r>
        <w:rPr>
          <w:w w:val="111"/>
        </w:rPr>
        <w:t> </w:t>
      </w:r>
      <w:r>
        <w:rPr/>
        <w:t>  </w:t>
      </w:r>
      <w:r>
        <w:rPr>
          <w:w w:val="200"/>
        </w:rPr>
        <w:t> </w:t>
      </w:r>
      <w:r>
        <w:rPr>
          <w:w w:val="177"/>
        </w:rPr>
        <w:t> </w:t>
      </w:r>
      <w:r>
        <w:rPr/>
        <w:t>  </w:t>
      </w:r>
      <w:r>
        <w:rPr>
          <w:w w:val="266"/>
        </w:rPr>
        <w:t> </w:t>
      </w:r>
      <w:r>
        <w:rPr>
          <w:w w:val="140"/>
        </w:rPr>
        <w:t>   </w:t>
      </w:r>
      <w:r>
        <w:rPr>
          <w:w w:val="200"/>
        </w:rPr>
        <w:t> </w:t>
      </w:r>
      <w:r>
        <w:rPr>
          <w:w w:val="144"/>
        </w:rPr>
        <w:t>  </w:t>
      </w:r>
      <w:r>
        <w:rPr/>
        <w:t>  </w:t>
      </w:r>
      <w:r>
        <w:rPr>
          <w:w w:val="170"/>
        </w:rPr>
        <w:t>   </w:t>
      </w:r>
      <w:r>
        <w:rPr/>
        <w:t>  </w:t>
      </w:r>
      <w:r>
        <w:rPr>
          <w:w w:val="177"/>
        </w:rPr>
        <w:t> </w:t>
      </w:r>
      <w:r>
        <w:rPr>
          <w:w w:val="111"/>
        </w:rPr>
        <w:t> </w:t>
      </w:r>
      <w:r>
        <w:rPr/>
        <w:t>  </w:t>
      </w:r>
      <w:r>
        <w:rPr>
          <w:w w:val="311"/>
        </w:rPr>
        <w:t> </w:t>
      </w:r>
      <w:r>
        <w:rPr>
          <w:w w:val="177"/>
        </w:rPr>
        <w:t> </w:t>
      </w:r>
      <w:r>
        <w:rPr>
          <w:w w:val="188"/>
        </w:rPr>
        <w:t>  </w:t>
      </w:r>
      <w:r>
        <w:rPr>
          <w:w w:val="155"/>
        </w:rPr>
        <w:t>  </w:t>
      </w:r>
      <w:r>
        <w:rPr/>
        <w:t>  </w:t>
      </w:r>
      <w:r>
        <w:rPr>
          <w:w w:val="177"/>
        </w:rPr>
        <w:t> </w:t>
      </w:r>
      <w:r>
        <w:rPr>
          <w:w w:val="161"/>
        </w:rPr>
        <w:t>    </w:t>
      </w:r>
      <w:r>
        <w:rPr>
          <w:w w:val="177"/>
        </w:rPr>
        <w:t>  </w:t>
      </w:r>
      <w:r>
        <w:rPr>
          <w:w w:val="148"/>
        </w:rPr>
        <w:t>      </w:t>
      </w:r>
      <w:r>
        <w:rPr/>
        <w:t>  </w:t>
      </w:r>
      <w:r>
        <w:rPr>
          <w:w w:val="200"/>
        </w:rPr>
        <w:t> </w:t>
      </w:r>
      <w:r>
        <w:rPr>
          <w:w w:val="177"/>
        </w:rPr>
        <w:t> </w:t>
      </w:r>
      <w:r>
        <w:rPr/>
        <w:t>  </w:t>
      </w:r>
      <w:r>
        <w:rPr>
          <w:w w:val="144"/>
        </w:rPr>
        <w:t>  </w:t>
      </w:r>
      <w:r>
        <w:rPr/>
        <w:t>  </w:t>
      </w:r>
      <w:r>
        <w:rPr>
          <w:w w:val="188"/>
        </w:rPr>
        <w:t>  </w:t>
      </w:r>
      <w:r>
        <w:rPr>
          <w:w w:val="200"/>
        </w:rPr>
        <w:t>  </w:t>
      </w:r>
      <w:r>
        <w:rPr>
          <w:w w:val="177"/>
        </w:rPr>
        <w:t> </w:t>
      </w:r>
      <w:r>
        <w:rPr/>
        <w:t>  </w:t>
      </w:r>
      <w:r>
        <w:rPr>
          <w:w w:val="200"/>
        </w:rPr>
        <w:t> </w:t>
      </w:r>
      <w:r>
        <w:rPr>
          <w:w w:val="155"/>
        </w:rPr>
        <w:t>    </w:t>
      </w:r>
      <w:r>
        <w:rPr>
          <w:w w:val="177"/>
        </w:rPr>
        <w:t>  </w:t>
      </w:r>
      <w:r>
        <w:rPr/>
        <w:t> </w:t>
      </w:r>
      <w:r>
        <w:rPr>
          <w:w w:val="1"/>
        </w:rPr>
        <w:t> </w:t>
      </w:r>
      <w:r>
        <w:rPr/>
        <w:t>    </w:t>
      </w:r>
      <w:r>
        <w:rPr>
          <w:w w:val="177"/>
        </w:rPr>
        <w:t> </w:t>
      </w:r>
      <w:r>
        <w:rPr>
          <w:w w:val="111"/>
        </w:rPr>
        <w:t> </w:t>
      </w:r>
      <w:r>
        <w:rPr/>
        <w:t>  ciclo económico y  los precios externos </w:t>
      </w:r>
      <w:r>
        <w:rPr>
          <w:w w:val="1"/>
        </w:rPr>
        <w:t> </w:t>
      </w:r>
      <w:r>
        <w:rPr/>
        <w:t>  </w:t>
      </w:r>
    </w:p>
    <w:p>
      <w:pPr>
        <w:pStyle w:val="BodyText"/>
        <w:spacing w:line="360" w:lineRule="auto" w:before="4"/>
        <w:ind w:left="102" w:right="120" w:firstLine="707"/>
        <w:jc w:val="both"/>
      </w:pPr>
      <w:r>
        <w:rPr/>
        <w:t>El cuarto objetivo se relacionó con la estimación del balance fiscal global cíclicamente ajustado que permitió verificar la transición de los movimientos cíclicos sobre el resultado fiscal global, reflejándose menor dependencia de la economía doméstica (impuestos internos) hacia una mayor dependencia de los mercados externos del gas  natural.</w:t>
      </w:r>
    </w:p>
    <w:p>
      <w:pPr>
        <w:pStyle w:val="BodyText"/>
        <w:spacing w:line="360" w:lineRule="auto" w:before="6"/>
        <w:ind w:left="102" w:right="118" w:firstLine="707"/>
        <w:jc w:val="both"/>
      </w:pPr>
      <w:r>
        <w:rPr/>
        <w:t>El quinto objetivo fue analizar el efecto contemporáneo y dinámico que ejercen los choques de precios del gas natural y la asignación de los ingresos fiscales gasíferos y no gasíferos en la posición fiscal de Bolivia (2003 -2011) como se explicó de forma anterior.</w:t>
      </w:r>
    </w:p>
    <w:p>
      <w:pPr>
        <w:pStyle w:val="BodyText"/>
        <w:spacing w:line="360" w:lineRule="auto" w:before="4"/>
        <w:ind w:left="102" w:right="119" w:firstLine="707"/>
        <w:jc w:val="both"/>
      </w:pPr>
      <w:r>
        <w:rPr/>
        <w:t>El último objetivo particular consistió en evaluar escenarios de reglas fiscales para Bolivia, cuyo diseño consideró lo siguientes elementos:</w:t>
      </w:r>
    </w:p>
    <w:p>
      <w:pPr>
        <w:pStyle w:val="ListParagraph"/>
        <w:numPr>
          <w:ilvl w:val="0"/>
          <w:numId w:val="23"/>
        </w:numPr>
        <w:tabs>
          <w:tab w:pos="1206" w:val="left" w:leader="none"/>
        </w:tabs>
        <w:spacing w:line="360" w:lineRule="auto" w:before="4" w:after="0"/>
        <w:ind w:left="810" w:right="122" w:firstLine="0"/>
        <w:jc w:val="left"/>
        <w:rPr>
          <w:sz w:val="24"/>
        </w:rPr>
      </w:pPr>
      <w:r>
        <w:rPr>
          <w:sz w:val="24"/>
        </w:rPr>
        <w:t>Entorno económico como variables de control (brecha del producto, tasas de interés; producción del recurso</w:t>
      </w:r>
      <w:r>
        <w:rPr>
          <w:spacing w:val="-8"/>
          <w:sz w:val="24"/>
        </w:rPr>
        <w:t> </w:t>
      </w:r>
      <w:r>
        <w:rPr>
          <w:sz w:val="24"/>
        </w:rPr>
        <w:t>natural).</w:t>
      </w:r>
    </w:p>
    <w:p>
      <w:pPr>
        <w:pStyle w:val="ListParagraph"/>
        <w:numPr>
          <w:ilvl w:val="0"/>
          <w:numId w:val="23"/>
        </w:numPr>
        <w:tabs>
          <w:tab w:pos="1149" w:val="left" w:leader="none"/>
        </w:tabs>
        <w:spacing w:line="360" w:lineRule="auto" w:before="4" w:after="0"/>
        <w:ind w:left="810" w:right="125" w:firstLine="0"/>
        <w:jc w:val="left"/>
        <w:rPr>
          <w:sz w:val="24"/>
        </w:rPr>
      </w:pPr>
      <w:r>
        <w:rPr>
          <w:sz w:val="24"/>
        </w:rPr>
        <w:t>Consideración de cláusulas de escape frente a la presencia de recesión o desacelaración económica y desastres</w:t>
      </w:r>
      <w:r>
        <w:rPr>
          <w:spacing w:val="-13"/>
          <w:sz w:val="24"/>
        </w:rPr>
        <w:t> </w:t>
      </w:r>
      <w:r>
        <w:rPr>
          <w:sz w:val="24"/>
        </w:rPr>
        <w:t>naturales.</w:t>
      </w:r>
    </w:p>
    <w:p>
      <w:pPr>
        <w:pStyle w:val="ListParagraph"/>
        <w:numPr>
          <w:ilvl w:val="0"/>
          <w:numId w:val="23"/>
        </w:numPr>
        <w:tabs>
          <w:tab w:pos="1070" w:val="left" w:leader="none"/>
        </w:tabs>
        <w:spacing w:line="240" w:lineRule="auto" w:before="6" w:after="0"/>
        <w:ind w:left="1069" w:right="0" w:hanging="259"/>
        <w:jc w:val="left"/>
        <w:rPr>
          <w:sz w:val="24"/>
        </w:rPr>
      </w:pPr>
      <w:r>
        <w:rPr>
          <w:sz w:val="24"/>
        </w:rPr>
        <w:t>Evaluación de volatilidades para reglas</w:t>
      </w:r>
      <w:r>
        <w:rPr>
          <w:spacing w:val="-11"/>
          <w:sz w:val="24"/>
        </w:rPr>
        <w:t> </w:t>
      </w:r>
      <w:r>
        <w:rPr>
          <w:sz w:val="24"/>
        </w:rPr>
        <w:t>fiscales</w:t>
      </w:r>
      <w:r>
        <w:rPr>
          <w:spacing w:val="1"/>
          <w:sz w:val="24"/>
        </w:rPr>
        <w:t> </w:t>
      </w:r>
      <w:r>
        <w:rPr>
          <w:spacing w:val="-1"/>
          <w:w w:val="177"/>
          <w:sz w:val="24"/>
        </w:rPr>
        <w:t> </w:t>
      </w:r>
      <w:r>
        <w:rPr>
          <w:w w:val="111"/>
          <w:sz w:val="24"/>
        </w:rPr>
        <w:t>  </w:t>
      </w:r>
      <w:r>
        <w:rPr>
          <w:spacing w:val="-1"/>
          <w:w w:val="177"/>
          <w:sz w:val="24"/>
        </w:rPr>
        <w:t> </w:t>
      </w:r>
      <w:r>
        <w:rPr>
          <w:w w:val="170"/>
          <w:sz w:val="24"/>
        </w:rPr>
        <w:t>  </w:t>
      </w:r>
      <w:r>
        <w:rPr>
          <w:spacing w:val="-2"/>
          <w:w w:val="170"/>
          <w:sz w:val="24"/>
        </w:rPr>
        <w:t> </w:t>
      </w:r>
      <w:r>
        <w:rPr>
          <w:w w:val="111"/>
          <w:sz w:val="24"/>
        </w:rPr>
        <w:t>  </w:t>
      </w:r>
      <w:r>
        <w:rPr>
          <w:w w:val="188"/>
          <w:sz w:val="24"/>
        </w:rPr>
        <w:t> </w:t>
      </w:r>
      <w:r>
        <w:rPr>
          <w:spacing w:val="-1"/>
          <w:w w:val="188"/>
          <w:sz w:val="24"/>
        </w:rPr>
        <w:t> </w:t>
      </w:r>
      <w:r>
        <w:rPr>
          <w:w w:val="155"/>
          <w:sz w:val="24"/>
        </w:rPr>
        <w:t> </w:t>
      </w:r>
      <w:r>
        <w:rPr>
          <w:sz w:val="24"/>
        </w:rPr>
        <w:t> </w:t>
      </w:r>
      <w:r>
        <w:rPr>
          <w:w w:val="1"/>
          <w:sz w:val="24"/>
        </w:rPr>
        <w:t> </w:t>
      </w:r>
      <w:r>
        <w:rPr>
          <w:sz w:val="24"/>
        </w:rPr>
        <w:t> </w:t>
      </w:r>
      <w:r>
        <w:rPr>
          <w:w w:val="166"/>
          <w:sz w:val="24"/>
        </w:rPr>
        <w:t> </w:t>
      </w:r>
      <w:r>
        <w:rPr>
          <w:spacing w:val="1"/>
          <w:w w:val="166"/>
          <w:sz w:val="24"/>
        </w:rPr>
        <w:t> </w:t>
      </w:r>
      <w:r>
        <w:rPr>
          <w:spacing w:val="-1"/>
          <w:w w:val="177"/>
          <w:sz w:val="24"/>
        </w:rPr>
        <w:t>  </w:t>
      </w:r>
      <w:r>
        <w:rPr>
          <w:w w:val="188"/>
          <w:sz w:val="24"/>
        </w:rPr>
        <w:t> </w:t>
      </w:r>
      <w:r>
        <w:rPr>
          <w:spacing w:val="1"/>
          <w:w w:val="188"/>
          <w:sz w:val="24"/>
        </w:rPr>
        <w:t> </w:t>
      </w:r>
      <w:r>
        <w:rPr>
          <w:w w:val="150"/>
          <w:sz w:val="24"/>
        </w:rPr>
        <w:t>    </w:t>
      </w:r>
      <w:r>
        <w:rPr>
          <w:sz w:val="24"/>
        </w:rPr>
        <w:t> </w:t>
      </w:r>
      <w:r>
        <w:rPr>
          <w:w w:val="1"/>
          <w:sz w:val="24"/>
        </w:rPr>
        <w:t> </w:t>
      </w:r>
      <w:r>
        <w:rPr>
          <w:sz w:val="24"/>
        </w:rPr>
        <w:t>  </w:t>
      </w:r>
    </w:p>
    <w:p>
      <w:pPr>
        <w:pStyle w:val="ListParagraph"/>
        <w:numPr>
          <w:ilvl w:val="0"/>
          <w:numId w:val="23"/>
        </w:numPr>
        <w:tabs>
          <w:tab w:pos="1108" w:val="left" w:leader="none"/>
        </w:tabs>
        <w:spacing w:line="360" w:lineRule="auto" w:before="137" w:after="0"/>
        <w:ind w:left="810" w:right="124" w:firstLine="0"/>
        <w:jc w:val="left"/>
        <w:rPr>
          <w:sz w:val="24"/>
        </w:rPr>
      </w:pPr>
      <w:r>
        <w:rPr>
          <w:sz w:val="24"/>
        </w:rPr>
        <w:t>Objetivos de sostenibilidad fiscal (límites de gastos fiscales, límites de déficit fiscales y deuda pública</w:t>
      </w:r>
      <w:r>
        <w:rPr>
          <w:spacing w:val="-4"/>
          <w:sz w:val="24"/>
        </w:rPr>
        <w:t> </w:t>
      </w:r>
      <w:r>
        <w:rPr>
          <w:sz w:val="24"/>
        </w:rPr>
        <w:t>máxima).</w:t>
      </w:r>
    </w:p>
    <w:p>
      <w:pPr>
        <w:pStyle w:val="BodyText"/>
        <w:spacing w:line="360" w:lineRule="auto" w:before="4"/>
        <w:ind w:left="102" w:right="118" w:firstLine="767"/>
        <w:jc w:val="both"/>
      </w:pPr>
      <w:r>
        <w:rPr/>
        <w:t>Economías similares pueden considerar los elementos propuestos con una regla fiscal de nueva generación.</w:t>
      </w:r>
    </w:p>
    <w:p>
      <w:pPr>
        <w:spacing w:after="0" w:line="360" w:lineRule="auto"/>
        <w:jc w:val="both"/>
        <w:sectPr>
          <w:pgSz w:w="12250" w:h="15850"/>
          <w:pgMar w:header="0" w:footer="977" w:top="1360" w:bottom="1220" w:left="1600" w:right="1580"/>
        </w:sectPr>
      </w:pPr>
    </w:p>
    <w:p>
      <w:pPr>
        <w:pStyle w:val="BodyText"/>
        <w:spacing w:line="360" w:lineRule="auto" w:before="50"/>
        <w:ind w:left="102" w:right="117" w:firstLine="707"/>
        <w:jc w:val="both"/>
      </w:pPr>
      <w:r>
        <w:rPr/>
        <w:t>Las ciencias sociales originaron al campo económico-administrativa (CEA) con una orientación filosófica de tipo positivista, simplificada y representativa de la realidad, así como de constante cambio: nada es absoluto en el tiempo.</w:t>
      </w:r>
    </w:p>
    <w:p>
      <w:pPr>
        <w:pStyle w:val="BodyText"/>
        <w:spacing w:line="360" w:lineRule="auto" w:before="4"/>
        <w:ind w:left="102" w:right="117" w:firstLine="707"/>
        <w:jc w:val="both"/>
      </w:pPr>
      <w:r>
        <w:rPr/>
        <w:t>En la tesis desarrollada, se encontró la intersección por el lado del </w:t>
      </w:r>
      <w:r>
        <w:rPr>
          <w:i/>
        </w:rPr>
        <w:t>rol institucional </w:t>
      </w:r>
      <w:r>
        <w:rPr>
          <w:i/>
        </w:rPr>
        <w:t>del gobierno para el manejo de la posición fiscal </w:t>
      </w:r>
      <w:r>
        <w:rPr/>
        <w:t>basado en el establecimiento de reglas fiscales como arreglos institucionales que permitan una mejor asignación de los ingresos fiscales de un recurso natural en relación con el gasto público, resultados fiscales y deuda pública.</w:t>
      </w:r>
    </w:p>
    <w:p>
      <w:pPr>
        <w:pStyle w:val="BodyText"/>
        <w:spacing w:line="360" w:lineRule="auto" w:before="7"/>
        <w:ind w:left="102" w:right="118" w:firstLine="707"/>
        <w:jc w:val="both"/>
      </w:pPr>
      <w:r>
        <w:rPr/>
        <w:t>Por el lado de la economía se fundamentan las posturas de la economía: la neoclásica y Keynesiana, cuyos enfoques sugieren como debe comportarse el gasto público frente a los ingresos del recurso natural y cómo dichos ingresos deben ser</w:t>
      </w:r>
      <w:r>
        <w:rPr>
          <w:spacing w:val="-14"/>
        </w:rPr>
        <w:t> </w:t>
      </w:r>
      <w:r>
        <w:rPr/>
        <w:t>administrados.</w:t>
      </w:r>
    </w:p>
    <w:p>
      <w:pPr>
        <w:spacing w:line="360" w:lineRule="auto" w:before="4"/>
        <w:ind w:left="102" w:right="116" w:firstLine="707"/>
        <w:jc w:val="both"/>
        <w:rPr>
          <w:sz w:val="24"/>
        </w:rPr>
      </w:pPr>
      <w:r>
        <w:rPr>
          <w:sz w:val="24"/>
        </w:rPr>
        <w:t>Por lado de la administración, se justifica teóricamente </w:t>
      </w:r>
      <w:r>
        <w:rPr>
          <w:i/>
          <w:sz w:val="24"/>
        </w:rPr>
        <w:t>¿por qué las instituciones </w:t>
      </w:r>
      <w:r>
        <w:rPr>
          <w:i/>
          <w:sz w:val="24"/>
        </w:rPr>
        <w:t>son importantes frente a la dependencia de un recurso natural? </w:t>
      </w:r>
      <w:r>
        <w:rPr>
          <w:sz w:val="24"/>
        </w:rPr>
        <w:t>y </w:t>
      </w:r>
      <w:r>
        <w:rPr>
          <w:i/>
          <w:sz w:val="24"/>
        </w:rPr>
        <w:t>¿cuál es la justificación </w:t>
      </w:r>
      <w:r>
        <w:rPr>
          <w:i/>
          <w:sz w:val="24"/>
        </w:rPr>
        <w:t>institucional para implementar una regla fiscal? </w:t>
      </w:r>
      <w:r>
        <w:rPr>
          <w:sz w:val="24"/>
        </w:rPr>
        <w:t>con base en el problema de agentes y principales (minimizar el oportunismo del gobierno) y la teoría de costos transacción (el Estado como organización más eficiente de</w:t>
      </w:r>
      <w:r>
        <w:rPr>
          <w:spacing w:val="-9"/>
          <w:sz w:val="24"/>
        </w:rPr>
        <w:t> </w:t>
      </w:r>
      <w:r>
        <w:rPr>
          <w:sz w:val="24"/>
        </w:rPr>
        <w:t>recursos).</w:t>
      </w:r>
    </w:p>
    <w:p>
      <w:pPr>
        <w:pStyle w:val="BodyText"/>
        <w:spacing w:line="360" w:lineRule="auto" w:before="6"/>
        <w:ind w:left="102" w:right="117" w:firstLine="707"/>
        <w:jc w:val="both"/>
      </w:pPr>
      <w:r>
        <w:rPr/>
        <w:t>La crítica principal a los estudios económico-administrativos se basa  en  su dificultad por la operacionalización de variables que permitan modelar o medir los fenómenos citados de intersección.</w:t>
      </w:r>
    </w:p>
    <w:p>
      <w:pPr>
        <w:pStyle w:val="BodyText"/>
        <w:spacing w:before="4"/>
        <w:rPr>
          <w:sz w:val="21"/>
        </w:rPr>
      </w:pPr>
    </w:p>
    <w:p>
      <w:pPr>
        <w:pStyle w:val="Heading4"/>
        <w:numPr>
          <w:ilvl w:val="0"/>
          <w:numId w:val="19"/>
        </w:numPr>
        <w:tabs>
          <w:tab w:pos="822" w:val="left" w:leader="none"/>
        </w:tabs>
        <w:spacing w:line="240" w:lineRule="auto" w:before="1" w:after="0"/>
        <w:ind w:left="822" w:right="0" w:hanging="360"/>
        <w:jc w:val="left"/>
      </w:pPr>
      <w:bookmarkStart w:name="_bookmark161" w:id="220"/>
      <w:bookmarkEnd w:id="220"/>
      <w:r>
        <w:rPr>
          <w:b w:val="0"/>
        </w:rPr>
      </w:r>
      <w:bookmarkStart w:name="_bookmark161" w:id="221"/>
      <w:bookmarkEnd w:id="221"/>
      <w:r>
        <w:rPr/>
        <w:t>I</w:t>
      </w:r>
      <w:r>
        <w:rPr/>
        <w:t>mplicaciones para las políticas</w:t>
      </w:r>
      <w:r>
        <w:rPr>
          <w:spacing w:val="-10"/>
        </w:rPr>
        <w:t> </w:t>
      </w:r>
      <w:r>
        <w:rPr/>
        <w:t>públicas</w:t>
      </w:r>
    </w:p>
    <w:p>
      <w:pPr>
        <w:pStyle w:val="BodyText"/>
        <w:spacing w:before="10"/>
        <w:rPr>
          <w:b/>
          <w:sz w:val="20"/>
        </w:rPr>
      </w:pPr>
    </w:p>
    <w:p>
      <w:pPr>
        <w:pStyle w:val="ListParagraph"/>
        <w:numPr>
          <w:ilvl w:val="1"/>
          <w:numId w:val="19"/>
        </w:numPr>
        <w:tabs>
          <w:tab w:pos="1511" w:val="left" w:leader="none"/>
        </w:tabs>
        <w:spacing w:line="240" w:lineRule="auto" w:before="0" w:after="0"/>
        <w:ind w:left="1510" w:right="0" w:hanging="547"/>
        <w:jc w:val="left"/>
        <w:rPr>
          <w:b/>
          <w:sz w:val="24"/>
        </w:rPr>
      </w:pPr>
      <w:bookmarkStart w:name="_bookmark162" w:id="222"/>
      <w:bookmarkEnd w:id="222"/>
      <w:r>
        <w:rPr/>
      </w:r>
      <w:bookmarkStart w:name="_bookmark162" w:id="223"/>
      <w:bookmarkEnd w:id="223"/>
      <w:r>
        <w:rPr>
          <w:b/>
          <w:sz w:val="24"/>
        </w:rPr>
        <w:t>P</w:t>
      </w:r>
      <w:r>
        <w:rPr>
          <w:b/>
          <w:sz w:val="24"/>
        </w:rPr>
        <w:t>ara países dependientes de un recurso</w:t>
      </w:r>
      <w:r>
        <w:rPr>
          <w:b/>
          <w:spacing w:val="-16"/>
          <w:sz w:val="24"/>
        </w:rPr>
        <w:t> </w:t>
      </w:r>
      <w:r>
        <w:rPr>
          <w:b/>
          <w:sz w:val="24"/>
        </w:rPr>
        <w:t>natural</w:t>
      </w:r>
    </w:p>
    <w:p>
      <w:pPr>
        <w:pStyle w:val="BodyText"/>
        <w:rPr>
          <w:b/>
        </w:rPr>
      </w:pPr>
    </w:p>
    <w:p>
      <w:pPr>
        <w:pStyle w:val="BodyText"/>
        <w:spacing w:line="360" w:lineRule="auto" w:before="197"/>
        <w:ind w:left="102" w:right="115" w:firstLine="707"/>
        <w:jc w:val="both"/>
      </w:pPr>
      <w:r>
        <w:rPr/>
        <w:t>Se ha recomendado que para las implicaciones de política, los aspectos teóricos de sugerencia deben guardar cierta similitud con la </w:t>
      </w:r>
      <w:r>
        <w:rPr>
          <w:i/>
        </w:rPr>
        <w:t>ciencia médica</w:t>
      </w:r>
      <w:r>
        <w:rPr/>
        <w:t>, de tal forma, que los síntomas y diagnósticos permitan identificar los tratamientos respectivos (Weick, 1995).</w:t>
      </w:r>
    </w:p>
    <w:p>
      <w:pPr>
        <w:pStyle w:val="BodyText"/>
        <w:spacing w:line="360" w:lineRule="auto" w:before="6"/>
        <w:ind w:left="102" w:right="113" w:firstLine="707"/>
        <w:jc w:val="both"/>
      </w:pPr>
      <w:r>
        <w:rPr/>
        <w:t>En tal sentido, para países cuyas finanzas públicas dependen en alta medida de un recurso natural [(ingresos fiscales mayores o iguales al 20% (Baunsgaard, et al., 2012)] y cuando se presenten ciertos sintómas en el manejo de la política fiscal: i) política expansiva del gasto público; ii) orientación procíclica a las fluctuaciones de la economía interna y precios externos; iii) ausencia de una regla fiscal; iv) deterioro en el balance fiscal primario no  petrolero;  es muy probable  que  para  el  mediano  plazo  sean  vulnerables  a  una  alta</w:t>
      </w:r>
    </w:p>
    <w:p>
      <w:pPr>
        <w:spacing w:after="0" w:line="360" w:lineRule="auto"/>
        <w:jc w:val="both"/>
        <w:sectPr>
          <w:pgSz w:w="12250" w:h="15850"/>
          <w:pgMar w:header="0" w:footer="977" w:top="1360" w:bottom="1220" w:left="1600" w:right="1580"/>
        </w:sectPr>
      </w:pPr>
    </w:p>
    <w:p>
      <w:pPr>
        <w:pStyle w:val="BodyText"/>
        <w:spacing w:before="50"/>
        <w:ind w:left="102" w:right="127"/>
      </w:pPr>
      <w:r>
        <w:rPr/>
        <w:t>volatilidad en la deuda   pública   </w:t>
      </w:r>
      <w:r>
        <w:rPr>
          <w:w w:val="1"/>
        </w:rPr>
        <w:t> </w:t>
      </w:r>
      <w:r>
        <w:rPr/>
        <w:t>  </w:t>
      </w:r>
      <w:r>
        <w:rPr>
          <w:w w:val="177"/>
        </w:rPr>
        <w:t> </w:t>
      </w:r>
      <w:r>
        <w:rPr/>
        <w:t>  </w:t>
      </w:r>
      <w:r>
        <w:rPr>
          <w:w w:val="148"/>
        </w:rPr>
        <w:t>   </w:t>
      </w:r>
      <w:r>
        <w:rPr>
          <w:w w:val="177"/>
        </w:rPr>
        <w:t> </w:t>
      </w:r>
      <w:r>
        <w:rPr>
          <w:w w:val="155"/>
        </w:rPr>
        <w:t>  </w:t>
      </w:r>
      <w:r>
        <w:rPr>
          <w:w w:val="200"/>
        </w:rPr>
        <w:t> </w:t>
      </w:r>
      <w:r>
        <w:rPr>
          <w:w w:val="177"/>
        </w:rPr>
        <w:t> </w:t>
      </w:r>
      <w:r>
        <w:rPr>
          <w:w w:val="144"/>
        </w:rPr>
        <w:t>  </w:t>
      </w:r>
      <w:r>
        <w:rPr/>
        <w:t>  </w:t>
      </w:r>
      <w:r>
        <w:rPr>
          <w:w w:val="200"/>
        </w:rPr>
        <w:t> </w:t>
      </w:r>
      <w:r>
        <w:rPr>
          <w:w w:val="177"/>
        </w:rPr>
        <w:t> </w:t>
      </w:r>
      <w:r>
        <w:rPr/>
        <w:t>  </w:t>
      </w:r>
      <w:r>
        <w:rPr>
          <w:w w:val="177"/>
        </w:rPr>
        <w:t> </w:t>
      </w:r>
      <w:r>
        <w:rPr>
          <w:w w:val="192"/>
        </w:rPr>
        <w:t>   </w:t>
      </w:r>
      <w:r>
        <w:rPr>
          <w:w w:val="111"/>
        </w:rPr>
        <w:t>  </w:t>
      </w:r>
      <w:r>
        <w:rPr>
          <w:w w:val="177"/>
        </w:rPr>
        <w:t>  </w:t>
      </w:r>
      <w:r>
        <w:rPr/>
        <w:t>  </w:t>
      </w:r>
      <w:r>
        <w:rPr>
          <w:w w:val="188"/>
        </w:rPr>
        <w:t>  </w:t>
      </w:r>
      <w:r>
        <w:rPr>
          <w:w w:val="150"/>
        </w:rPr>
        <w:t>    </w:t>
      </w:r>
      <w:r>
        <w:rPr/>
        <w:t>  </w:t>
      </w:r>
      <w:r>
        <w:rPr>
          <w:w w:val="200"/>
        </w:rPr>
        <w:t>  </w:t>
      </w:r>
      <w:r>
        <w:rPr>
          <w:w w:val="177"/>
        </w:rPr>
        <w:t> </w:t>
      </w:r>
      <w:r>
        <w:rPr/>
        <w:t>  </w:t>
      </w:r>
      <w:r>
        <w:rPr>
          <w:w w:val="177"/>
        </w:rPr>
        <w:t> </w:t>
      </w:r>
      <w:r>
        <w:rPr>
          <w:w w:val="200"/>
        </w:rPr>
        <w:t> </w:t>
      </w:r>
      <w:r>
        <w:rPr>
          <w:w w:val="177"/>
        </w:rPr>
        <w:t> </w:t>
      </w:r>
      <w:r>
        <w:rPr>
          <w:w w:val="172"/>
        </w:rPr>
        <w:t>    </w:t>
      </w:r>
      <w:r>
        <w:rPr/>
        <w:t>  </w:t>
      </w:r>
      <w:r>
        <w:rPr>
          <w:w w:val="177"/>
        </w:rPr>
        <w:t> </w:t>
      </w:r>
      <w:r>
        <w:rPr>
          <w:w w:val="200"/>
        </w:rPr>
        <w:t>  </w:t>
      </w:r>
      <w:r>
        <w:rPr/>
        <w:t>  </w:t>
      </w:r>
      <w:r>
        <w:rPr>
          <w:w w:val="133"/>
        </w:rPr>
        <w:t> </w:t>
      </w:r>
      <w:r>
        <w:rPr>
          <w:w w:val="177"/>
        </w:rPr>
        <w:t> </w:t>
      </w:r>
      <w:r>
        <w:rPr>
          <w:w w:val="200"/>
        </w:rPr>
        <w:t> </w:t>
      </w:r>
      <w:r>
        <w:rPr>
          <w:w w:val="148"/>
        </w:rPr>
        <w:t>   </w:t>
      </w:r>
    </w:p>
    <w:p>
      <w:pPr>
        <w:pStyle w:val="BodyText"/>
        <w:spacing w:before="137"/>
        <w:ind w:left="102" w:right="127"/>
      </w:pPr>
      <w:r>
        <w:rPr>
          <w:w w:val="144"/>
        </w:rPr>
        <w:t>    </w:t>
      </w:r>
      <w:r>
        <w:rPr>
          <w:w w:val="177"/>
        </w:rPr>
        <w:t> </w:t>
      </w:r>
      <w:r>
        <w:rPr>
          <w:w w:val="148"/>
        </w:rPr>
        <w:t>   </w:t>
      </w:r>
      <w:r>
        <w:rPr/>
        <w:t> </w:t>
      </w:r>
      <w:r>
        <w:rPr>
          <w:w w:val="1"/>
        </w:rPr>
        <w:t> </w:t>
      </w:r>
      <w:r>
        <w:rPr/>
        <w:t> ; y por consiguiente insostenibilidad de la posición fiscal sin el recurso natural.</w:t>
      </w:r>
    </w:p>
    <w:p>
      <w:pPr>
        <w:pStyle w:val="BodyText"/>
        <w:spacing w:line="360" w:lineRule="auto" w:before="139"/>
        <w:ind w:left="102" w:right="118" w:firstLine="707"/>
        <w:jc w:val="both"/>
      </w:pPr>
      <w:r>
        <w:rPr/>
        <w:t>Frente a los sintomas señalados, los gobiernos deben decidir como deben mitigar los choques de precios del recurso natural. Para ello deben elegir una de las posturas de la economía: la Keynesiana o la neoclásica, inclusive una combinación de las mismas al desagregar la respuesta esperada del gasto público (gasto de capital y gasto corriente). Así por ejemplo, los tomadores de política  pueden  dec                                                   basada en  la  teoría  mo                                      donde  el  gasto  de  capital  responde positivamente a los choques de precios del gas natural. De forma alternativa, el gasto corriente puede reaccionar de acuerdo a la teoría neoclásica: los choques de precios del recurso natural no influyen sobre el gasto</w:t>
      </w:r>
      <w:r>
        <w:rPr>
          <w:spacing w:val="-9"/>
        </w:rPr>
        <w:t> </w:t>
      </w:r>
      <w:r>
        <w:rPr/>
        <w:t>corriente.</w:t>
      </w:r>
    </w:p>
    <w:p>
      <w:pPr>
        <w:pStyle w:val="BodyText"/>
        <w:spacing w:line="360" w:lineRule="auto" w:before="4"/>
        <w:ind w:left="102" w:right="118" w:firstLine="707"/>
        <w:jc w:val="both"/>
      </w:pPr>
      <w:r>
        <w:rPr/>
        <w:t>Cuando se confrontan dos posturas teóricas, es necesario explicar ¿bajo que circunstancias? y ¿por qué? una teória puede prevalecer sobre otra (Sparrowe &amp; Mayer, 2011). En tal sentido, para países dependientes de un recurso natural y que a la vez son países en vías de de desarrollo, se ha recomendado que la postura Keynesiana puede prevalecer sobre la neoclásica al vincular los ingresos del recurso natural y la inversión pública dada la escacez de capital y  limitaciones en el acceso a financiamiento externo  para estos países, lo cual sugiere una relación directa entre ingresos fiscales del recurso natural e inversión</w:t>
      </w:r>
      <w:r>
        <w:rPr>
          <w:spacing w:val="-4"/>
        </w:rPr>
        <w:t> </w:t>
      </w:r>
      <w:r>
        <w:rPr/>
        <w:t>pública.</w:t>
      </w:r>
    </w:p>
    <w:p>
      <w:pPr>
        <w:pStyle w:val="BodyText"/>
        <w:spacing w:line="360" w:lineRule="auto" w:before="4"/>
        <w:ind w:left="102" w:right="117" w:firstLine="707"/>
        <w:jc w:val="both"/>
      </w:pPr>
      <w:r>
        <w:rPr/>
        <w:t>Para realizar lo anterior, los gobiernos petroleros (o de algún recurso natural) deben decidir como se asignan los ingresos fiscales al gasto público y en que medida se direccionan los ingresos del recurso natural al gasto de capital, gasto corriente y ahorro público; es decir, mediante la inclusión de reglas fiscales.</w:t>
      </w:r>
    </w:p>
    <w:p>
      <w:pPr>
        <w:pStyle w:val="BodyText"/>
        <w:spacing w:line="360" w:lineRule="auto" w:before="4"/>
        <w:ind w:left="102" w:right="118" w:firstLine="707"/>
        <w:jc w:val="both"/>
      </w:pPr>
      <w:r>
        <w:rPr/>
        <w:t>De acuerdo con reportes del Fondo Monetario Internacional (2012), desde el 2010  se ha evidenciado una tendencia creciente en los países que han implementado reglas fiscales; sin embargo, existen aspectos que no han sido considerados, mismos que se detallan a</w:t>
      </w:r>
      <w:r>
        <w:rPr>
          <w:spacing w:val="-4"/>
        </w:rPr>
        <w:t> </w:t>
      </w:r>
      <w:r>
        <w:rPr/>
        <w:t>continuación.</w:t>
      </w:r>
    </w:p>
    <w:p>
      <w:pPr>
        <w:pStyle w:val="BodyText"/>
        <w:spacing w:before="6"/>
        <w:ind w:left="810"/>
      </w:pPr>
      <w:r>
        <w:rPr>
          <w:w w:val="177"/>
        </w:rPr>
        <w:t>  </w:t>
      </w:r>
      <w:r>
        <w:rPr/>
        <w:t> </w:t>
      </w:r>
      <w:r>
        <w:rPr>
          <w:spacing w:val="-10"/>
        </w:rPr>
        <w:t> </w:t>
      </w:r>
      <w:r>
        <w:rPr>
          <w:w w:val="174"/>
        </w:rPr>
        <w:t>      </w:t>
      </w:r>
      <w:r>
        <w:rPr/>
        <w:t> </w:t>
      </w:r>
      <w:r>
        <w:rPr>
          <w:spacing w:val="-11"/>
        </w:rPr>
        <w:t> </w:t>
      </w:r>
      <w:r>
        <w:rPr>
          <w:w w:val="188"/>
        </w:rPr>
        <w:t>  </w:t>
      </w:r>
      <w:r>
        <w:rPr/>
        <w:t> </w:t>
      </w:r>
      <w:r>
        <w:rPr>
          <w:spacing w:val="-9"/>
        </w:rPr>
        <w:t> </w:t>
      </w:r>
      <w:r>
        <w:rPr>
          <w:w w:val="155"/>
        </w:rPr>
        <w:t>  </w:t>
      </w:r>
      <w:r>
        <w:rPr>
          <w:spacing w:val="-3"/>
          <w:w w:val="200"/>
        </w:rPr>
        <w:t> </w:t>
      </w:r>
      <w:r>
        <w:rPr>
          <w:w w:val="148"/>
        </w:rPr>
        <w:t>   </w:t>
      </w:r>
      <w:r>
        <w:rPr/>
        <w:t> </w:t>
      </w:r>
      <w:r>
        <w:rPr>
          <w:spacing w:val="-8"/>
        </w:rPr>
        <w:t> </w:t>
      </w:r>
      <w:r>
        <w:rPr>
          <w:w w:val="144"/>
        </w:rPr>
        <w:t>   </w:t>
      </w:r>
      <w:r>
        <w:rPr>
          <w:spacing w:val="1"/>
          <w:w w:val="144"/>
        </w:rPr>
        <w:t> </w:t>
      </w:r>
      <w:r>
        <w:rPr>
          <w:spacing w:val="-1"/>
          <w:w w:val="177"/>
        </w:rPr>
        <w:t> </w:t>
      </w:r>
      <w:r>
        <w:rPr>
          <w:w w:val="148"/>
        </w:rPr>
        <w:t>   </w:t>
      </w:r>
      <w:r>
        <w:rPr/>
        <w:t> </w:t>
      </w:r>
      <w:r>
        <w:rPr>
          <w:spacing w:val="-11"/>
        </w:rPr>
        <w:t> </w:t>
      </w:r>
      <w:r>
        <w:rPr>
          <w:w w:val="188"/>
        </w:rPr>
        <w:t> </w:t>
      </w:r>
      <w:r>
        <w:rPr>
          <w:spacing w:val="-1"/>
          <w:w w:val="188"/>
        </w:rPr>
        <w:t> </w:t>
      </w:r>
      <w:r>
        <w:rPr>
          <w:spacing w:val="2"/>
          <w:w w:val="200"/>
        </w:rPr>
        <w:t> </w:t>
      </w:r>
      <w:r>
        <w:rPr>
          <w:w w:val="177"/>
        </w:rPr>
        <w:t> </w:t>
      </w:r>
      <w:r>
        <w:rPr/>
        <w:t> </w:t>
      </w:r>
      <w:r>
        <w:rPr>
          <w:spacing w:val="-11"/>
        </w:rPr>
        <w:t> </w:t>
      </w:r>
      <w:r>
        <w:rPr>
          <w:w w:val="149"/>
        </w:rPr>
        <w:t>       </w:t>
      </w:r>
      <w:r>
        <w:rPr/>
        <w:t> </w:t>
      </w:r>
      <w:r>
        <w:rPr>
          <w:spacing w:val="-8"/>
        </w:rPr>
        <w:t> </w:t>
      </w:r>
      <w:r>
        <w:rPr>
          <w:w w:val="155"/>
        </w:rPr>
        <w:t> </w:t>
      </w:r>
      <w:r>
        <w:rPr>
          <w:spacing w:val="-2"/>
          <w:w w:val="155"/>
        </w:rPr>
        <w:t> </w:t>
      </w:r>
      <w:r>
        <w:rPr>
          <w:w w:val="137"/>
        </w:rPr>
        <w:t>    </w:t>
      </w:r>
      <w:r>
        <w:rPr>
          <w:spacing w:val="1"/>
          <w:w w:val="137"/>
        </w:rPr>
        <w:t> </w:t>
      </w:r>
      <w:r>
        <w:rPr>
          <w:spacing w:val="-1"/>
          <w:w w:val="177"/>
        </w:rPr>
        <w:t> </w:t>
      </w:r>
      <w:r>
        <w:rPr>
          <w:w w:val="168"/>
        </w:rPr>
        <w:t>     </w:t>
      </w:r>
      <w:r>
        <w:rPr/>
        <w:t> </w:t>
      </w:r>
      <w:r>
        <w:rPr>
          <w:spacing w:val="-11"/>
        </w:rPr>
        <w:t> </w:t>
      </w:r>
      <w:r>
        <w:rPr>
          <w:w w:val="173"/>
        </w:rPr>
        <w:t>     </w:t>
      </w:r>
      <w:r>
        <w:rPr/>
        <w:t> </w:t>
      </w:r>
      <w:r>
        <w:rPr>
          <w:spacing w:val="-10"/>
        </w:rPr>
        <w:t> </w:t>
      </w:r>
      <w:r>
        <w:rPr>
          <w:spacing w:val="-1"/>
          <w:w w:val="177"/>
        </w:rPr>
        <w:t> </w:t>
      </w:r>
      <w:r>
        <w:rPr>
          <w:w w:val="111"/>
        </w:rPr>
        <w:t> </w:t>
      </w:r>
      <w:r>
        <w:rPr/>
        <w:t> </w:t>
      </w:r>
      <w:r>
        <w:rPr>
          <w:spacing w:val="-7"/>
        </w:rPr>
        <w:t> </w:t>
      </w:r>
      <w:r>
        <w:rPr>
          <w:w w:val="188"/>
        </w:rPr>
        <w:t> </w:t>
      </w:r>
      <w:r>
        <w:rPr>
          <w:spacing w:val="-1"/>
          <w:w w:val="188"/>
        </w:rPr>
        <w:t> </w:t>
      </w:r>
      <w:r>
        <w:rPr>
          <w:w w:val="155"/>
        </w:rPr>
        <w:t>   </w:t>
      </w:r>
      <w:r>
        <w:rPr/>
        <w:t> </w:t>
      </w:r>
      <w:r>
        <w:rPr>
          <w:spacing w:val="-10"/>
        </w:rPr>
        <w:t> </w:t>
      </w:r>
      <w:r>
        <w:rPr>
          <w:spacing w:val="2"/>
          <w:w w:val="200"/>
        </w:rPr>
        <w:t> </w:t>
      </w:r>
      <w:r>
        <w:rPr>
          <w:w w:val="155"/>
        </w:rPr>
        <w:t>    </w:t>
      </w:r>
      <w:r>
        <w:rPr>
          <w:spacing w:val="-1"/>
          <w:w w:val="177"/>
        </w:rPr>
        <w:t> </w:t>
      </w:r>
      <w:r>
        <w:rPr>
          <w:w w:val="200"/>
        </w:rPr>
        <w:t> </w:t>
      </w:r>
      <w:r>
        <w:rPr/>
        <w:t> </w:t>
      </w:r>
      <w:r>
        <w:rPr>
          <w:spacing w:val="-10"/>
        </w:rPr>
        <w:t> </w:t>
      </w:r>
      <w:r>
        <w:rPr>
          <w:spacing w:val="-1"/>
          <w:w w:val="177"/>
        </w:rPr>
        <w:t> </w:t>
      </w:r>
      <w:r>
        <w:rPr>
          <w:w w:val="200"/>
        </w:rPr>
        <w:t> </w:t>
      </w:r>
    </w:p>
    <w:p>
      <w:pPr>
        <w:pStyle w:val="BodyText"/>
        <w:spacing w:before="137"/>
        <w:ind w:left="102" w:right="127"/>
      </w:pPr>
      <w:r>
        <w:rPr>
          <w:w w:val="155"/>
        </w:rPr>
        <w:t>  </w:t>
      </w:r>
      <w:r>
        <w:rPr>
          <w:w w:val="155"/>
        </w:rPr>
        <w:t>   </w:t>
      </w:r>
      <w:r>
        <w:rPr>
          <w:w w:val="170"/>
        </w:rPr>
        <w:t>   </w:t>
      </w:r>
      <w:r>
        <w:rPr/>
        <w:t> </w:t>
      </w:r>
      <w:r>
        <w:rPr>
          <w:w w:val="177"/>
        </w:rPr>
        <w:t> </w:t>
      </w:r>
      <w:r>
        <w:rPr>
          <w:w w:val="200"/>
        </w:rPr>
        <w:t>  </w:t>
      </w:r>
      <w:r>
        <w:rPr/>
        <w:t> </w:t>
      </w:r>
      <w:r>
        <w:rPr>
          <w:w w:val="155"/>
        </w:rPr>
        <w:t>   </w:t>
      </w:r>
      <w:r>
        <w:rPr/>
        <w:t> </w:t>
      </w:r>
      <w:r>
        <w:rPr>
          <w:w w:val="144"/>
        </w:rPr>
        <w:t>    </w:t>
      </w:r>
      <w:r>
        <w:rPr>
          <w:w w:val="140"/>
        </w:rPr>
        <w:t>   </w:t>
      </w:r>
      <w:r>
        <w:rPr>
          <w:w w:val="177"/>
        </w:rPr>
        <w:t>  </w:t>
      </w:r>
      <w:r>
        <w:rPr/>
        <w:t> </w:t>
      </w:r>
      <w:r>
        <w:rPr>
          <w:w w:val="111"/>
        </w:rPr>
        <w:t>  </w:t>
      </w:r>
      <w:r>
        <w:rPr>
          <w:w w:val="185"/>
        </w:rPr>
        <w:t>   </w:t>
      </w:r>
      <w:r>
        <w:rPr/>
        <w:t> </w:t>
      </w:r>
      <w:r>
        <w:rPr>
          <w:w w:val="188"/>
        </w:rPr>
        <w:t>  </w:t>
      </w:r>
      <w:r>
        <w:rPr/>
        <w:t> </w:t>
      </w:r>
      <w:r>
        <w:rPr>
          <w:w w:val="170"/>
        </w:rPr>
        <w:t>   </w:t>
      </w:r>
      <w:r>
        <w:rPr>
          <w:w w:val="155"/>
        </w:rPr>
        <w:t>  </w:t>
      </w:r>
      <w:r>
        <w:rPr>
          <w:w w:val="170"/>
        </w:rPr>
        <w:t>   </w:t>
      </w:r>
      <w:r>
        <w:rPr/>
        <w:t> </w:t>
      </w:r>
      <w:r>
        <w:rPr>
          <w:w w:val="144"/>
        </w:rPr>
        <w:t>    </w:t>
      </w:r>
      <w:r>
        <w:rPr>
          <w:w w:val="177"/>
        </w:rPr>
        <w:t> </w:t>
      </w:r>
      <w:r>
        <w:rPr>
          <w:w w:val="144"/>
        </w:rPr>
        <w:t>  </w:t>
      </w:r>
      <w:r>
        <w:rPr>
          <w:w w:val="155"/>
        </w:rPr>
        <w:t> </w:t>
      </w:r>
      <w:r>
        <w:rPr/>
        <w:t> </w:t>
      </w:r>
      <w:r>
        <w:rPr>
          <w:w w:val="1"/>
        </w:rPr>
        <w:t> </w:t>
      </w:r>
      <w:r>
        <w:rPr/>
        <w:t>  </w:t>
      </w:r>
      <w:r>
        <w:rPr>
          <w:w w:val="177"/>
        </w:rPr>
        <w:t> </w:t>
      </w:r>
      <w:r>
        <w:rPr>
          <w:w w:val="200"/>
        </w:rPr>
        <w:t>  </w:t>
      </w:r>
      <w:r>
        <w:rPr/>
        <w:t> </w:t>
      </w:r>
      <w:r>
        <w:rPr>
          <w:w w:val="200"/>
        </w:rPr>
        <w:t> </w:t>
      </w:r>
      <w:r>
        <w:rPr/>
        <w:t> </w:t>
      </w:r>
      <w:r>
        <w:rPr>
          <w:w w:val="155"/>
        </w:rPr>
        <w:t>   </w:t>
      </w:r>
      <w:r>
        <w:rPr/>
        <w:t> </w:t>
      </w:r>
      <w:r>
        <w:rPr>
          <w:w w:val="188"/>
        </w:rPr>
        <w:t>  </w:t>
      </w:r>
      <w:r>
        <w:rPr>
          <w:w w:val="138"/>
        </w:rPr>
        <w:t>    </w:t>
      </w:r>
      <w:r>
        <w:rPr>
          <w:w w:val="177"/>
        </w:rPr>
        <w:t> </w:t>
      </w:r>
      <w:r>
        <w:rPr>
          <w:w w:val="200"/>
        </w:rPr>
        <w:t> </w:t>
      </w:r>
      <w:r>
        <w:rPr/>
        <w:t> o gas natural </w:t>
      </w:r>
      <w:r>
        <w:rPr>
          <w:w w:val="177"/>
        </w:rPr>
        <w:t> </w:t>
      </w:r>
      <w:r>
        <w:rPr>
          <w:w w:val="237"/>
        </w:rPr>
        <w:t>   </w:t>
      </w:r>
    </w:p>
    <w:p>
      <w:pPr>
        <w:pStyle w:val="BodyText"/>
        <w:spacing w:before="139"/>
        <w:ind w:left="102" w:right="127"/>
      </w:pPr>
      <w:r>
        <w:rPr>
          <w:w w:val="196"/>
        </w:rPr>
        <w:t>      </w:t>
      </w:r>
      <w:r>
        <w:rPr>
          <w:spacing w:val="-1"/>
          <w:w w:val="155"/>
        </w:rPr>
        <w:t> </w:t>
      </w:r>
      <w:r>
        <w:rPr/>
        <w:t> </w:t>
      </w:r>
      <w:r>
        <w:rPr>
          <w:w w:val="188"/>
        </w:rPr>
        <w:t>  </w:t>
      </w:r>
      <w:r>
        <w:rPr/>
        <w:t> </w:t>
      </w:r>
      <w:r>
        <w:rPr>
          <w:spacing w:val="13"/>
          <w:w w:val="166"/>
        </w:rPr>
        <w:t> </w:t>
      </w:r>
      <w:r>
        <w:rPr>
          <w:w w:val="166"/>
        </w:rPr>
        <w:t> </w:t>
      </w:r>
      <w:r>
        <w:rPr>
          <w:spacing w:val="1"/>
          <w:w w:val="177"/>
        </w:rPr>
        <w:t> </w:t>
      </w:r>
      <w:r>
        <w:rPr>
          <w:w w:val="166"/>
        </w:rPr>
        <w:t>    </w:t>
      </w:r>
      <w:r>
        <w:rPr/>
        <w:t> </w:t>
      </w:r>
      <w:r>
        <w:rPr>
          <w:w w:val="144"/>
        </w:rPr>
        <w:t>    </w:t>
      </w:r>
      <w:r>
        <w:rPr>
          <w:spacing w:val="-1"/>
          <w:w w:val="177"/>
        </w:rPr>
        <w:t> </w:t>
      </w:r>
      <w:r>
        <w:rPr>
          <w:spacing w:val="1"/>
          <w:w w:val="111"/>
        </w:rPr>
        <w:t> </w:t>
      </w:r>
      <w:r>
        <w:rPr>
          <w:spacing w:val="1"/>
        </w:rPr>
        <w:t> </w:t>
      </w:r>
      <w:r>
        <w:rPr>
          <w:spacing w:val="1"/>
          <w:w w:val="1"/>
        </w:rPr>
        <w:t> </w:t>
      </w:r>
      <w:r>
        <w:rPr/>
        <w:t> ; con objetivos de superávit sobre el balance fiscal </w:t>
      </w:r>
      <w:r>
        <w:rPr>
          <w:spacing w:val="55"/>
        </w:rPr>
        <w:t> </w:t>
      </w:r>
      <w:r>
        <w:rPr/>
        <w:t>cíclicamente</w:t>
      </w:r>
    </w:p>
    <w:p>
      <w:pPr>
        <w:spacing w:after="0"/>
        <w:sectPr>
          <w:pgSz w:w="12250" w:h="15850"/>
          <w:pgMar w:header="0" w:footer="977" w:top="1360" w:bottom="1220" w:left="1600" w:right="1580"/>
        </w:sectPr>
      </w:pPr>
    </w:p>
    <w:p>
      <w:pPr>
        <w:pStyle w:val="BodyText"/>
        <w:spacing w:line="360" w:lineRule="auto" w:before="50"/>
        <w:ind w:left="102" w:right="104"/>
        <w:jc w:val="both"/>
      </w:pPr>
      <w:r>
        <w:rPr/>
        <w:t>ajustado y mediante el establecimiento de déficits máximos durante épocas de recesión económica, desastres naturales o desacelaración económica.</w:t>
      </w:r>
    </w:p>
    <w:p>
      <w:pPr>
        <w:pStyle w:val="BodyText"/>
        <w:spacing w:line="360" w:lineRule="auto" w:before="6"/>
        <w:ind w:left="102" w:right="101" w:firstLine="707"/>
        <w:jc w:val="both"/>
      </w:pPr>
      <w:r>
        <w:rPr/>
        <w:t>En sí, la dependencia fiscal proveniente de recursos naturales es más exigente (en resultados fiscales) en comparación de aquellos países que no dependen de un recurso natural de tal forma que se ha recomendado la generación de ahorro e inversión pública  para paìses petroleros (Bjerkholt &amp; Niculescu,</w:t>
      </w:r>
      <w:r>
        <w:rPr>
          <w:spacing w:val="-8"/>
        </w:rPr>
        <w:t> </w:t>
      </w:r>
      <w:r>
        <w:rPr/>
        <w:t>2004).</w:t>
      </w:r>
    </w:p>
    <w:p>
      <w:pPr>
        <w:pStyle w:val="BodyText"/>
        <w:spacing w:line="360" w:lineRule="auto" w:before="6"/>
        <w:ind w:left="102" w:right="98" w:firstLine="707"/>
        <w:jc w:val="both"/>
      </w:pPr>
      <w:r>
        <w:rPr/>
        <w:t>La recomendación principal se ha basado en el establecimiento de balances fiscales cíclicamente ajustados (como objetivos de la política fiscal); sin embargo, su implementación requiere la adopción de procesos de isomorfismo normativo fundamentado</w:t>
      </w:r>
    </w:p>
    <w:p>
      <w:pPr>
        <w:pStyle w:val="BodyText"/>
        <w:spacing w:before="4"/>
        <w:ind w:left="102"/>
        <w:jc w:val="both"/>
      </w:pPr>
      <w:r>
        <w:rPr>
          <w:spacing w:val="-1"/>
          <w:w w:val="177"/>
        </w:rPr>
        <w:t> </w:t>
      </w:r>
      <w:r>
        <w:rPr>
          <w:w w:val="200"/>
        </w:rPr>
        <w:t> </w:t>
      </w:r>
      <w:r>
        <w:rPr>
          <w:spacing w:val="6"/>
        </w:rPr>
        <w:t> </w:t>
      </w:r>
      <w:r>
        <w:rPr>
          <w:w w:val="144"/>
        </w:rPr>
        <w:t>  </w:t>
      </w:r>
      <w:r>
        <w:rPr>
          <w:spacing w:val="6"/>
        </w:rPr>
        <w:t> </w:t>
      </w:r>
      <w:r>
        <w:rPr>
          <w:spacing w:val="-1"/>
          <w:w w:val="177"/>
        </w:rPr>
        <w:t> </w:t>
      </w:r>
      <w:r>
        <w:rPr>
          <w:w w:val="140"/>
        </w:rPr>
        <w:t>   </w:t>
      </w:r>
      <w:r>
        <w:rPr>
          <w:spacing w:val="-1"/>
          <w:w w:val="177"/>
        </w:rPr>
        <w:t> </w:t>
      </w:r>
      <w:r>
        <w:rPr>
          <w:spacing w:val="1"/>
          <w:w w:val="177"/>
        </w:rPr>
        <w:t> </w:t>
      </w:r>
      <w:r>
        <w:rPr>
          <w:spacing w:val="-1"/>
          <w:w w:val="177"/>
        </w:rPr>
        <w:t> </w:t>
      </w:r>
      <w:r>
        <w:rPr>
          <w:w w:val="170"/>
        </w:rPr>
        <w:t>   </w:t>
      </w:r>
      <w:r>
        <w:rPr>
          <w:spacing w:val="7"/>
        </w:rPr>
        <w:t> </w:t>
      </w:r>
      <w:r>
        <w:rPr>
          <w:w w:val="188"/>
        </w:rPr>
        <w:t>  </w:t>
      </w:r>
      <w:r>
        <w:rPr>
          <w:spacing w:val="6"/>
        </w:rPr>
        <w:t> </w:t>
      </w:r>
      <w:r>
        <w:rPr>
          <w:w w:val="192"/>
        </w:rPr>
        <w:t>  </w:t>
      </w:r>
      <w:r>
        <w:rPr>
          <w:spacing w:val="-1"/>
          <w:w w:val="192"/>
        </w:rPr>
        <w:t> </w:t>
      </w:r>
      <w:r>
        <w:rPr>
          <w:w w:val="188"/>
        </w:rPr>
        <w:t> </w:t>
      </w:r>
      <w:r>
        <w:rPr>
          <w:spacing w:val="1"/>
          <w:w w:val="188"/>
        </w:rPr>
        <w:t> </w:t>
      </w:r>
      <w:r>
        <w:rPr>
          <w:w w:val="155"/>
        </w:rPr>
        <w:t> </w:t>
      </w:r>
      <w:r>
        <w:rPr>
          <w:spacing w:val="7"/>
        </w:rPr>
        <w:t> </w:t>
      </w:r>
      <w:r>
        <w:rPr>
          <w:w w:val="166"/>
        </w:rPr>
        <w:t> </w:t>
      </w:r>
      <w:r>
        <w:rPr>
          <w:spacing w:val="-1"/>
          <w:w w:val="166"/>
        </w:rPr>
        <w:t> </w:t>
      </w:r>
      <w:r>
        <w:rPr>
          <w:spacing w:val="-1"/>
          <w:w w:val="177"/>
        </w:rPr>
        <w:t>  </w:t>
      </w:r>
      <w:r>
        <w:rPr>
          <w:w w:val="111"/>
        </w:rPr>
        <w:t>  </w:t>
      </w:r>
      <w:r>
        <w:rPr>
          <w:spacing w:val="-1"/>
          <w:w w:val="177"/>
        </w:rPr>
        <w:t>  </w:t>
      </w:r>
      <w:r>
        <w:rPr>
          <w:w w:val="155"/>
        </w:rPr>
        <w:t> </w:t>
      </w:r>
      <w:r>
        <w:rPr>
          <w:spacing w:val="7"/>
        </w:rPr>
        <w:t> </w:t>
      </w:r>
      <w:r>
        <w:rPr>
          <w:w w:val="140"/>
        </w:rPr>
        <w:t>   </w:t>
      </w:r>
      <w:r>
        <w:rPr>
          <w:spacing w:val="-1"/>
          <w:w w:val="177"/>
        </w:rPr>
        <w:t> </w:t>
      </w:r>
      <w:r>
        <w:rPr>
          <w:w w:val="166"/>
        </w:rPr>
        <w:t> </w:t>
      </w:r>
      <w:r>
        <w:rPr>
          <w:spacing w:val="1"/>
          <w:w w:val="166"/>
        </w:rPr>
        <w:t> </w:t>
      </w:r>
      <w:r>
        <w:rPr>
          <w:spacing w:val="-1"/>
          <w:w w:val="177"/>
        </w:rPr>
        <w:t>  </w:t>
      </w:r>
      <w:r>
        <w:rPr>
          <w:w w:val="162"/>
        </w:rPr>
        <w:t>     </w:t>
      </w:r>
      <w:r>
        <w:rPr>
          <w:spacing w:val="1"/>
          <w:w w:val="162"/>
        </w:rPr>
        <w:t> </w:t>
      </w:r>
      <w:r>
        <w:rPr>
          <w:w w:val="155"/>
        </w:rPr>
        <w:t> </w:t>
      </w:r>
      <w:r>
        <w:rPr>
          <w:spacing w:val="7"/>
        </w:rPr>
        <w:t> </w:t>
      </w:r>
      <w:r>
        <w:rPr>
          <w:spacing w:val="-1"/>
          <w:w w:val="177"/>
        </w:rPr>
        <w:t> </w:t>
      </w:r>
      <w:r>
        <w:rPr>
          <w:w w:val="237"/>
        </w:rPr>
        <w:t>   </w:t>
      </w:r>
      <w:r>
        <w:rPr>
          <w:spacing w:val="7"/>
        </w:rPr>
        <w:t> </w:t>
      </w:r>
      <w:r>
        <w:rPr>
          <w:spacing w:val="-1"/>
          <w:w w:val="177"/>
        </w:rPr>
        <w:t> </w:t>
      </w:r>
      <w:r>
        <w:rPr>
          <w:w w:val="111"/>
        </w:rPr>
        <w:t> </w:t>
      </w:r>
      <w:r>
        <w:rPr>
          <w:spacing w:val="7"/>
        </w:rPr>
        <w:t> </w:t>
      </w:r>
      <w:r>
        <w:rPr>
          <w:spacing w:val="-1"/>
          <w:w w:val="177"/>
        </w:rPr>
        <w:t> </w:t>
      </w:r>
      <w:r>
        <w:rPr>
          <w:w w:val="155"/>
        </w:rPr>
        <w:t>     </w:t>
      </w:r>
      <w:r>
        <w:rPr>
          <w:spacing w:val="-1"/>
          <w:w w:val="155"/>
        </w:rPr>
        <w:t> </w:t>
      </w:r>
      <w:r>
        <w:rPr>
          <w:spacing w:val="-1"/>
          <w:w w:val="177"/>
        </w:rPr>
        <w:t> </w:t>
      </w:r>
      <w:r>
        <w:rPr>
          <w:w w:val="211"/>
        </w:rPr>
        <w:t>  </w:t>
      </w:r>
      <w:r>
        <w:rPr>
          <w:w w:val="150"/>
        </w:rPr>
        <w:t>   </w:t>
      </w:r>
      <w:r>
        <w:rPr>
          <w:spacing w:val="2"/>
          <w:w w:val="150"/>
        </w:rPr>
        <w:t> </w:t>
      </w:r>
      <w:r>
        <w:rPr>
          <w:w w:val="200"/>
        </w:rPr>
        <w:t> </w:t>
      </w:r>
      <w:r>
        <w:rPr>
          <w:spacing w:val="6"/>
        </w:rPr>
        <w:t> </w:t>
      </w:r>
      <w:r>
        <w:rPr>
          <w:w w:val="188"/>
        </w:rPr>
        <w:t>  </w:t>
      </w:r>
      <w:r>
        <w:rPr>
          <w:spacing w:val="6"/>
        </w:rPr>
        <w:t> </w:t>
      </w:r>
      <w:r>
        <w:rPr>
          <w:spacing w:val="-1"/>
          <w:w w:val="177"/>
        </w:rPr>
        <w:t> </w:t>
      </w:r>
      <w:r>
        <w:rPr>
          <w:w w:val="207"/>
        </w:rPr>
        <w:t>   </w:t>
      </w:r>
      <w:r>
        <w:rPr>
          <w:w w:val="166"/>
        </w:rPr>
        <w:t>      </w:t>
      </w:r>
    </w:p>
    <w:p>
      <w:pPr>
        <w:pStyle w:val="BodyText"/>
        <w:spacing w:line="360" w:lineRule="auto" w:before="139"/>
        <w:ind w:left="102" w:right="101"/>
        <w:jc w:val="both"/>
      </w:pPr>
      <w:r>
        <w:rPr>
          <w:w w:val="188"/>
        </w:rPr>
        <w:t> </w:t>
      </w:r>
      <w:r>
        <w:rPr>
          <w:spacing w:val="-1"/>
          <w:w w:val="188"/>
        </w:rPr>
        <w:t> </w:t>
      </w:r>
      <w:r>
        <w:rPr>
          <w:spacing w:val="-1"/>
          <w:w w:val="177"/>
        </w:rPr>
        <w:t> </w:t>
      </w:r>
      <w:r>
        <w:rPr>
          <w:w w:val="162"/>
        </w:rPr>
        <w:t>     </w:t>
      </w:r>
      <w:r>
        <w:rPr>
          <w:spacing w:val="-1"/>
          <w:w w:val="162"/>
        </w:rPr>
        <w:t> </w:t>
      </w:r>
      <w:r>
        <w:rPr>
          <w:w w:val="155"/>
        </w:rPr>
        <w:t> </w:t>
      </w:r>
      <w:r>
        <w:rPr>
          <w:spacing w:val="24"/>
        </w:rPr>
        <w:t> </w:t>
      </w:r>
      <w:r>
        <w:rPr>
          <w:w w:val="144"/>
        </w:rPr>
        <w:t>   </w:t>
      </w:r>
      <w:r>
        <w:rPr>
          <w:spacing w:val="1"/>
          <w:w w:val="144"/>
        </w:rPr>
        <w:t> </w:t>
      </w:r>
      <w:r>
        <w:rPr>
          <w:spacing w:val="-1"/>
          <w:w w:val="177"/>
        </w:rPr>
        <w:t> </w:t>
      </w:r>
      <w:r>
        <w:rPr>
          <w:w w:val="148"/>
        </w:rPr>
        <w:t>   </w:t>
      </w:r>
      <w:r>
        <w:rPr>
          <w:spacing w:val="23"/>
        </w:rPr>
        <w:t> </w:t>
      </w:r>
      <w:r>
        <w:rPr>
          <w:spacing w:val="-1"/>
          <w:w w:val="177"/>
        </w:rPr>
        <w:t> </w:t>
      </w:r>
      <w:r>
        <w:rPr>
          <w:w w:val="200"/>
        </w:rPr>
        <w:t>  </w:t>
      </w:r>
      <w:r>
        <w:rPr>
          <w:spacing w:val="26"/>
        </w:rPr>
        <w:t> </w:t>
      </w:r>
      <w:r>
        <w:rPr>
          <w:spacing w:val="1"/>
          <w:w w:val="177"/>
        </w:rPr>
        <w:t> </w:t>
      </w:r>
      <w:r>
        <w:rPr>
          <w:spacing w:val="-1"/>
          <w:w w:val="177"/>
        </w:rPr>
        <w:t> </w:t>
      </w:r>
      <w:r>
        <w:rPr>
          <w:w w:val="155"/>
        </w:rPr>
        <w:t> </w:t>
      </w:r>
      <w:r>
        <w:rPr>
          <w:spacing w:val="-2"/>
          <w:w w:val="155"/>
        </w:rPr>
        <w:t> </w:t>
      </w:r>
      <w:r>
        <w:rPr>
          <w:spacing w:val="-1"/>
          <w:w w:val="177"/>
        </w:rPr>
        <w:t> </w:t>
      </w:r>
      <w:r>
        <w:rPr>
          <w:spacing w:val="2"/>
          <w:w w:val="111"/>
        </w:rPr>
        <w:t> </w:t>
      </w:r>
      <w:r>
        <w:rPr>
          <w:spacing w:val="-1"/>
          <w:w w:val="177"/>
        </w:rPr>
        <w:t> </w:t>
      </w:r>
      <w:r>
        <w:rPr>
          <w:w w:val="133"/>
        </w:rPr>
        <w:t> </w:t>
      </w:r>
      <w:r>
        <w:rPr>
          <w:spacing w:val="23"/>
        </w:rPr>
        <w:t> </w:t>
      </w:r>
      <w:r>
        <w:rPr>
          <w:w w:val="177"/>
        </w:rPr>
        <w:t>    </w:t>
      </w:r>
      <w:r>
        <w:rPr>
          <w:spacing w:val="1"/>
          <w:w w:val="177"/>
        </w:rPr>
        <w:t> </w:t>
      </w:r>
      <w:r>
        <w:rPr>
          <w:spacing w:val="-1"/>
          <w:w w:val="177"/>
        </w:rPr>
        <w:t> </w:t>
      </w:r>
      <w:r>
        <w:rPr>
          <w:w w:val="168"/>
        </w:rPr>
        <w:t>       </w:t>
      </w:r>
      <w:r>
        <w:rPr/>
        <w:t> </w:t>
      </w:r>
      <w:r>
        <w:rPr>
          <w:spacing w:val="22"/>
        </w:rPr>
        <w:t> </w:t>
      </w:r>
      <w:r>
        <w:rPr>
          <w:w w:val="1"/>
        </w:rPr>
        <w:t> </w:t>
      </w:r>
      <w:r>
        <w:rPr>
          <w:spacing w:val="23"/>
        </w:rPr>
        <w:t> </w:t>
      </w:r>
      <w:r>
        <w:rPr>
          <w:spacing w:val="1"/>
          <w:w w:val="177"/>
        </w:rPr>
        <w:t> </w:t>
      </w:r>
      <w:r>
        <w:rPr>
          <w:w w:val="111"/>
        </w:rPr>
        <w:t> </w:t>
      </w:r>
      <w:r>
        <w:rPr>
          <w:spacing w:val="24"/>
        </w:rPr>
        <w:t> </w:t>
      </w:r>
      <w:r>
        <w:rPr>
          <w:w w:val="155"/>
        </w:rPr>
        <w:t> </w:t>
      </w:r>
      <w:r>
        <w:rPr>
          <w:spacing w:val="-2"/>
          <w:w w:val="155"/>
        </w:rPr>
        <w:t> </w:t>
      </w:r>
      <w:r>
        <w:rPr>
          <w:w w:val="188"/>
        </w:rPr>
        <w:t> </w:t>
      </w:r>
      <w:r>
        <w:rPr>
          <w:spacing w:val="-1"/>
          <w:w w:val="188"/>
        </w:rPr>
        <w:t> </w:t>
      </w:r>
      <w:r>
        <w:rPr>
          <w:w w:val="111"/>
        </w:rPr>
        <w:t> </w:t>
      </w:r>
      <w:r>
        <w:rPr>
          <w:spacing w:val="24"/>
        </w:rPr>
        <w:t> </w:t>
      </w:r>
      <w:r>
        <w:rPr>
          <w:w w:val="192"/>
        </w:rPr>
        <w:t>   </w:t>
      </w:r>
      <w:r>
        <w:rPr>
          <w:spacing w:val="22"/>
        </w:rPr>
        <w:t> </w:t>
      </w:r>
      <w:r>
        <w:rPr>
          <w:w w:val="155"/>
        </w:rPr>
        <w:t>   </w:t>
      </w:r>
      <w:r>
        <w:rPr>
          <w:spacing w:val="24"/>
        </w:rPr>
        <w:t> </w:t>
      </w:r>
      <w:r>
        <w:rPr>
          <w:w w:val="188"/>
        </w:rPr>
        <w:t> </w:t>
      </w:r>
      <w:r>
        <w:rPr>
          <w:spacing w:val="-1"/>
          <w:w w:val="188"/>
        </w:rPr>
        <w:t> </w:t>
      </w:r>
      <w:r>
        <w:rPr>
          <w:spacing w:val="2"/>
          <w:w w:val="200"/>
        </w:rPr>
        <w:t> </w:t>
      </w:r>
      <w:r>
        <w:rPr>
          <w:spacing w:val="-1"/>
          <w:w w:val="177"/>
        </w:rPr>
        <w:t> </w:t>
      </w:r>
      <w:r>
        <w:rPr>
          <w:w w:val="177"/>
        </w:rPr>
        <w:t>  </w:t>
      </w:r>
      <w:r>
        <w:rPr>
          <w:spacing w:val="24"/>
        </w:rPr>
        <w:t> </w:t>
      </w:r>
      <w:r>
        <w:rPr>
          <w:spacing w:val="1"/>
          <w:w w:val="177"/>
        </w:rPr>
        <w:t> </w:t>
      </w:r>
      <w:r>
        <w:rPr>
          <w:spacing w:val="-1"/>
          <w:w w:val="177"/>
        </w:rPr>
        <w:t> </w:t>
      </w:r>
      <w:r>
        <w:rPr>
          <w:w w:val="155"/>
        </w:rPr>
        <w:t>   </w:t>
      </w:r>
      <w:r>
        <w:rPr>
          <w:spacing w:val="-2"/>
          <w:w w:val="155"/>
        </w:rPr>
        <w:t> </w:t>
      </w:r>
      <w:r>
        <w:rPr>
          <w:w w:val="148"/>
        </w:rPr>
        <w:t>   </w:t>
      </w:r>
      <w:r>
        <w:rPr/>
        <w:t> </w:t>
      </w:r>
      <w:r>
        <w:rPr>
          <w:w w:val="1"/>
        </w:rPr>
        <w:t> </w:t>
      </w:r>
      <w:r>
        <w:rPr/>
        <w:t>  </w:t>
      </w:r>
      <w:r>
        <w:rPr>
          <w:spacing w:val="-13"/>
        </w:rPr>
        <w:t> </w:t>
      </w:r>
      <w:r>
        <w:rPr>
          <w:spacing w:val="-1"/>
          <w:w w:val="177"/>
        </w:rPr>
        <w:t> </w:t>
      </w:r>
      <w:r>
        <w:rPr>
          <w:w w:val="200"/>
        </w:rPr>
        <w:t> </w:t>
      </w:r>
      <w:r>
        <w:rPr>
          <w:spacing w:val="23"/>
        </w:rPr>
        <w:t> </w:t>
      </w:r>
      <w:r>
        <w:rPr>
          <w:w w:val="185"/>
        </w:rPr>
        <w:t>   </w:t>
      </w:r>
      <w:r>
        <w:rPr>
          <w:w w:val="99"/>
        </w:rPr>
        <w:t>fun</w:t>
      </w:r>
      <w:r>
        <w:rPr>
          <w:spacing w:val="-2"/>
          <w:w w:val="99"/>
        </w:rPr>
        <w:t>c</w:t>
      </w:r>
      <w:r>
        <w:rPr>
          <w:w w:val="99"/>
        </w:rPr>
        <w:t>iones</w:t>
      </w:r>
      <w:r>
        <w:rPr>
          <w:spacing w:val="25"/>
          <w:w w:val="99"/>
        </w:rPr>
        <w:t> </w:t>
      </w:r>
      <w:r>
        <w:rPr>
          <w:w w:val="99"/>
        </w:rPr>
        <w:t>b</w:t>
      </w:r>
      <w:r>
        <w:rPr>
          <w:spacing w:val="-1"/>
          <w:w w:val="99"/>
        </w:rPr>
        <w:t>á</w:t>
      </w:r>
      <w:r>
        <w:rPr>
          <w:w w:val="99"/>
        </w:rPr>
        <w:t>si</w:t>
      </w:r>
      <w:r>
        <w:rPr>
          <w:spacing w:val="2"/>
          <w:w w:val="99"/>
        </w:rPr>
        <w:t>c</w:t>
      </w:r>
      <w:r>
        <w:rPr>
          <w:spacing w:val="-1"/>
        </w:rPr>
        <w:t>a</w:t>
      </w:r>
      <w:r>
        <w:rPr>
          <w:w w:val="99"/>
        </w:rPr>
        <w:t>s:</w:t>
      </w:r>
      <w:r>
        <w:rPr>
          <w:spacing w:val="26"/>
        </w:rPr>
        <w:t> </w:t>
      </w:r>
      <w:r>
        <w:rPr/>
        <w:t>1)</w:t>
      </w:r>
      <w:r>
        <w:rPr>
          <w:spacing w:val="27"/>
        </w:rPr>
        <w:t> </w:t>
      </w:r>
      <w:r>
        <w:rPr>
          <w:spacing w:val="-3"/>
        </w:rPr>
        <w:t>g</w:t>
      </w:r>
      <w:r>
        <w:rPr>
          <w:spacing w:val="1"/>
        </w:rPr>
        <w:t>e</w:t>
      </w:r>
      <w:r>
        <w:rPr/>
        <w:t>n</w:t>
      </w:r>
      <w:r>
        <w:rPr>
          <w:spacing w:val="-1"/>
        </w:rPr>
        <w:t>e</w:t>
      </w:r>
      <w:r>
        <w:rPr/>
        <w:t>r</w:t>
      </w:r>
      <w:r>
        <w:rPr>
          <w:spacing w:val="-2"/>
        </w:rPr>
        <w:t>a</w:t>
      </w:r>
      <w:r>
        <w:rPr/>
        <w:t>r</w:t>
      </w:r>
      <w:r>
        <w:rPr>
          <w:spacing w:val="25"/>
        </w:rPr>
        <w:t> </w:t>
      </w:r>
      <w:r>
        <w:rPr>
          <w:spacing w:val="2"/>
        </w:rPr>
        <w:t>l</w:t>
      </w:r>
      <w:r>
        <w:rPr/>
        <w:t>a</w:t>
      </w:r>
      <w:r>
        <w:rPr>
          <w:spacing w:val="25"/>
        </w:rPr>
        <w:t> </w:t>
      </w:r>
      <w:r>
        <w:rPr/>
        <w:t>p</w:t>
      </w:r>
      <w:r>
        <w:rPr>
          <w:spacing w:val="-1"/>
        </w:rPr>
        <w:t>e</w:t>
      </w:r>
      <w:r>
        <w:rPr>
          <w:w w:val="99"/>
        </w:rPr>
        <w:t>r</w:t>
      </w:r>
      <w:r>
        <w:rPr>
          <w:spacing w:val="1"/>
          <w:w w:val="99"/>
        </w:rPr>
        <w:t>s</w:t>
      </w:r>
      <w:r>
        <w:rPr>
          <w:spacing w:val="2"/>
        </w:rPr>
        <w:t>p</w:t>
      </w:r>
      <w:r>
        <w:rPr>
          <w:spacing w:val="-1"/>
        </w:rPr>
        <w:t>ec</w:t>
      </w:r>
      <w:r>
        <w:rPr/>
        <w:t>tiva</w:t>
      </w:r>
      <w:r>
        <w:rPr>
          <w:spacing w:val="25"/>
        </w:rPr>
        <w:t> </w:t>
      </w:r>
      <w:r>
        <w:rPr/>
        <w:t>m</w:t>
      </w:r>
      <w:r>
        <w:rPr>
          <w:spacing w:val="1"/>
        </w:rPr>
        <w:t>ac</w:t>
      </w:r>
      <w:r>
        <w:rPr/>
        <w:t>ro</w:t>
      </w:r>
      <w:r>
        <w:rPr>
          <w:spacing w:val="-2"/>
        </w:rPr>
        <w:t>e</w:t>
      </w:r>
      <w:r>
        <w:rPr>
          <w:spacing w:val="-1"/>
        </w:rPr>
        <w:t>c</w:t>
      </w:r>
      <w:r>
        <w:rPr/>
        <w:t>onómi</w:t>
      </w:r>
      <w:r>
        <w:rPr>
          <w:spacing w:val="-1"/>
        </w:rPr>
        <w:t>c</w:t>
      </w:r>
      <w:r>
        <w:rPr/>
        <w:t>a</w:t>
      </w:r>
      <w:r>
        <w:rPr>
          <w:spacing w:val="25"/>
        </w:rPr>
        <w:t> </w:t>
      </w:r>
      <w:r>
        <w:rPr>
          <w:spacing w:val="2"/>
        </w:rPr>
        <w:t>d</w:t>
      </w:r>
      <w:r>
        <w:rPr/>
        <w:t>e</w:t>
      </w:r>
      <w:r>
        <w:rPr>
          <w:spacing w:val="25"/>
        </w:rPr>
        <w:t> </w:t>
      </w:r>
      <w:r>
        <w:rPr/>
        <w:t>medi</w:t>
      </w:r>
      <w:r>
        <w:rPr>
          <w:spacing w:val="-1"/>
        </w:rPr>
        <w:t>a</w:t>
      </w:r>
      <w:r>
        <w:rPr>
          <w:spacing w:val="2"/>
        </w:rPr>
        <w:t>n</w:t>
      </w:r>
      <w:r>
        <w:rPr/>
        <w:t>o</w:t>
      </w:r>
      <w:r>
        <w:rPr>
          <w:spacing w:val="26"/>
        </w:rPr>
        <w:t> </w:t>
      </w:r>
      <w:r>
        <w:rPr/>
        <w:t>plazo,</w:t>
      </w:r>
      <w:r>
        <w:rPr>
          <w:spacing w:val="26"/>
        </w:rPr>
        <w:t> </w:t>
      </w:r>
      <w:r>
        <w:rPr>
          <w:spacing w:val="-1"/>
        </w:rPr>
        <w:t>e</w:t>
      </w:r>
      <w:r>
        <w:rPr>
          <w:w w:val="99"/>
        </w:rPr>
        <w:t>s</w:t>
      </w:r>
      <w:r>
        <w:rPr>
          <w:spacing w:val="26"/>
        </w:rPr>
        <w:t> </w:t>
      </w:r>
      <w:r>
        <w:rPr/>
        <w:t>d</w:t>
      </w:r>
      <w:r>
        <w:rPr>
          <w:spacing w:val="-1"/>
        </w:rPr>
        <w:t>ec</w:t>
      </w:r>
      <w:r>
        <w:rPr/>
        <w:t>ir, d</w:t>
      </w:r>
      <w:r>
        <w:rPr>
          <w:spacing w:val="-1"/>
        </w:rPr>
        <w:t>e</w:t>
      </w:r>
      <w:r>
        <w:rPr/>
        <w:t>te</w:t>
      </w:r>
      <w:r>
        <w:rPr>
          <w:spacing w:val="-2"/>
        </w:rPr>
        <w:t>r</w:t>
      </w:r>
      <w:r>
        <w:rPr/>
        <w:t>min</w:t>
      </w:r>
      <w:r>
        <w:rPr>
          <w:spacing w:val="-1"/>
        </w:rPr>
        <w:t>a</w:t>
      </w:r>
      <w:r>
        <w:rPr/>
        <w:t>r</w:t>
      </w:r>
      <w:r>
        <w:rPr>
          <w:spacing w:val="20"/>
        </w:rPr>
        <w:t> </w:t>
      </w:r>
      <w:r>
        <w:rPr/>
        <w:t>la</w:t>
      </w:r>
      <w:r>
        <w:rPr>
          <w:spacing w:val="20"/>
        </w:rPr>
        <w:t> </w:t>
      </w:r>
      <w:r>
        <w:rPr/>
        <w:t>b</w:t>
      </w:r>
      <w:r>
        <w:rPr>
          <w:spacing w:val="1"/>
        </w:rPr>
        <w:t>r</w:t>
      </w:r>
      <w:r>
        <w:rPr>
          <w:spacing w:val="-1"/>
        </w:rPr>
        <w:t>ec</w:t>
      </w:r>
      <w:r>
        <w:rPr>
          <w:spacing w:val="2"/>
        </w:rPr>
        <w:t>h</w:t>
      </w:r>
      <w:r>
        <w:rPr/>
        <w:t>a</w:t>
      </w:r>
      <w:r>
        <w:rPr>
          <w:spacing w:val="20"/>
        </w:rPr>
        <w:t> </w:t>
      </w:r>
      <w:r>
        <w:rPr/>
        <w:t>d</w:t>
      </w:r>
      <w:r>
        <w:rPr>
          <w:spacing w:val="-1"/>
        </w:rPr>
        <w:t>e</w:t>
      </w:r>
      <w:r>
        <w:rPr/>
        <w:t>l</w:t>
      </w:r>
      <w:r>
        <w:rPr>
          <w:spacing w:val="24"/>
        </w:rPr>
        <w:t> </w:t>
      </w:r>
      <w:r>
        <w:rPr/>
        <w:t>p</w:t>
      </w:r>
      <w:r>
        <w:rPr>
          <w:spacing w:val="-1"/>
        </w:rPr>
        <w:t>r</w:t>
      </w:r>
      <w:r>
        <w:rPr/>
        <w:t>odu</w:t>
      </w:r>
      <w:r>
        <w:rPr>
          <w:spacing w:val="-1"/>
        </w:rPr>
        <w:t>c</w:t>
      </w:r>
      <w:r>
        <w:rPr/>
        <w:t>to</w:t>
      </w:r>
      <w:r>
        <w:rPr>
          <w:spacing w:val="21"/>
        </w:rPr>
        <w:t> </w:t>
      </w:r>
      <w:r>
        <w:rPr>
          <w:spacing w:val="-1"/>
        </w:rPr>
        <w:t>e</w:t>
      </w:r>
      <w:r>
        <w:rPr>
          <w:w w:val="99"/>
        </w:rPr>
        <w:t>sper</w:t>
      </w:r>
      <w:r>
        <w:rPr>
          <w:spacing w:val="-1"/>
        </w:rPr>
        <w:t>a</w:t>
      </w:r>
      <w:r>
        <w:rPr/>
        <w:t>do;</w:t>
      </w:r>
      <w:r>
        <w:rPr>
          <w:spacing w:val="21"/>
        </w:rPr>
        <w:t> </w:t>
      </w:r>
      <w:r>
        <w:rPr/>
        <w:t>2)</w:t>
      </w:r>
      <w:r>
        <w:rPr>
          <w:spacing w:val="20"/>
        </w:rPr>
        <w:t> </w:t>
      </w:r>
      <w:r>
        <w:rPr>
          <w:spacing w:val="1"/>
        </w:rPr>
        <w:t>r</w:t>
      </w:r>
      <w:r>
        <w:rPr>
          <w:spacing w:val="-1"/>
        </w:rPr>
        <w:t>ea</w:t>
      </w:r>
      <w:r>
        <w:rPr/>
        <w:t>li</w:t>
      </w:r>
      <w:r>
        <w:rPr>
          <w:spacing w:val="1"/>
        </w:rPr>
        <w:t>z</w:t>
      </w:r>
      <w:r>
        <w:rPr>
          <w:spacing w:val="-1"/>
        </w:rPr>
        <w:t>a</w:t>
      </w:r>
      <w:r>
        <w:rPr/>
        <w:t>r</w:t>
      </w:r>
      <w:r>
        <w:rPr>
          <w:spacing w:val="20"/>
        </w:rPr>
        <w:t> </w:t>
      </w:r>
      <w:r>
        <w:rPr/>
        <w:t>la</w:t>
      </w:r>
      <w:r>
        <w:rPr>
          <w:spacing w:val="20"/>
        </w:rPr>
        <w:t> </w:t>
      </w:r>
      <w:r>
        <w:rPr/>
        <w:t>p</w:t>
      </w:r>
      <w:r>
        <w:rPr>
          <w:spacing w:val="-1"/>
        </w:rPr>
        <w:t>r</w:t>
      </w:r>
      <w:r>
        <w:rPr/>
        <w:t>ospe</w:t>
      </w:r>
      <w:r>
        <w:rPr>
          <w:spacing w:val="-2"/>
        </w:rPr>
        <w:t>c</w:t>
      </w:r>
      <w:r>
        <w:rPr/>
        <w:t>tiva</w:t>
      </w:r>
      <w:r>
        <w:rPr>
          <w:spacing w:val="20"/>
        </w:rPr>
        <w:t> </w:t>
      </w:r>
      <w:r>
        <w:rPr>
          <w:spacing w:val="2"/>
        </w:rPr>
        <w:t>d</w:t>
      </w:r>
      <w:r>
        <w:rPr/>
        <w:t>e</w:t>
      </w:r>
      <w:r>
        <w:rPr>
          <w:spacing w:val="22"/>
        </w:rPr>
        <w:t> </w:t>
      </w:r>
      <w:r>
        <w:rPr/>
        <w:t>medi</w:t>
      </w:r>
      <w:r>
        <w:rPr>
          <w:spacing w:val="-1"/>
        </w:rPr>
        <w:t>a</w:t>
      </w:r>
      <w:r>
        <w:rPr/>
        <w:t>no</w:t>
      </w:r>
      <w:r>
        <w:rPr>
          <w:spacing w:val="23"/>
        </w:rPr>
        <w:t> </w:t>
      </w:r>
      <w:r>
        <w:rPr/>
        <w:t>y</w:t>
      </w:r>
      <w:r>
        <w:rPr>
          <w:spacing w:val="16"/>
        </w:rPr>
        <w:t> </w:t>
      </w:r>
      <w:r>
        <w:rPr/>
        <w:t>l</w:t>
      </w:r>
      <w:r>
        <w:rPr>
          <w:spacing w:val="1"/>
        </w:rPr>
        <w:t>ar</w:t>
      </w:r>
      <w:r>
        <w:rPr>
          <w:spacing w:val="-3"/>
        </w:rPr>
        <w:t>g</w:t>
      </w:r>
      <w:r>
        <w:rPr/>
        <w:t>o plazo p</w:t>
      </w:r>
      <w:r>
        <w:rPr>
          <w:spacing w:val="-1"/>
        </w:rPr>
        <w:t>a</w:t>
      </w:r>
      <w:r>
        <w:rPr/>
        <w:t>ra</w:t>
      </w:r>
      <w:r>
        <w:rPr>
          <w:spacing w:val="-2"/>
        </w:rPr>
        <w:t> </w:t>
      </w:r>
      <w:r>
        <w:rPr>
          <w:w w:val="99"/>
        </w:rPr>
        <w:t>los</w:t>
      </w:r>
      <w:r>
        <w:rPr>
          <w:spacing w:val="-1"/>
        </w:rPr>
        <w:t> </w:t>
      </w:r>
      <w:r>
        <w:rPr/>
        <w:t>pr</w:t>
      </w:r>
      <w:r>
        <w:rPr>
          <w:spacing w:val="-2"/>
        </w:rPr>
        <w:t>e</w:t>
      </w:r>
      <w:r>
        <w:rPr>
          <w:spacing w:val="-1"/>
        </w:rPr>
        <w:t>c</w:t>
      </w:r>
      <w:r>
        <w:rPr>
          <w:w w:val="99"/>
        </w:rPr>
        <w:t>ios</w:t>
      </w:r>
      <w:r>
        <w:rPr>
          <w:spacing w:val="-1"/>
        </w:rPr>
        <w:t> </w:t>
      </w:r>
      <w:r>
        <w:rPr>
          <w:spacing w:val="2"/>
        </w:rPr>
        <w:t>d</w:t>
      </w:r>
      <w:r>
        <w:rPr>
          <w:spacing w:val="-1"/>
        </w:rPr>
        <w:t>e</w:t>
      </w:r>
      <w:r>
        <w:rPr/>
        <w:t>l r</w:t>
      </w:r>
      <w:r>
        <w:rPr>
          <w:spacing w:val="-2"/>
        </w:rPr>
        <w:t>e</w:t>
      </w:r>
      <w:r>
        <w:rPr>
          <w:spacing w:val="-1"/>
        </w:rPr>
        <w:t>c</w:t>
      </w:r>
      <w:r>
        <w:rPr/>
        <w:t>u</w:t>
      </w:r>
      <w:r>
        <w:rPr>
          <w:spacing w:val="-1"/>
        </w:rPr>
        <w:t>r</w:t>
      </w:r>
      <w:r>
        <w:rPr>
          <w:w w:val="99"/>
        </w:rPr>
        <w:t>so</w:t>
      </w:r>
      <w:r>
        <w:rPr/>
        <w:t> </w:t>
      </w:r>
      <w:r>
        <w:rPr>
          <w:spacing w:val="2"/>
        </w:rPr>
        <w:t>n</w:t>
      </w:r>
      <w:r>
        <w:rPr>
          <w:spacing w:val="-1"/>
        </w:rPr>
        <w:t>a</w:t>
      </w:r>
      <w:r>
        <w:rPr/>
        <w:t>tur</w:t>
      </w:r>
      <w:r>
        <w:rPr>
          <w:spacing w:val="-2"/>
        </w:rPr>
        <w:t>a</w:t>
      </w:r>
      <w:r>
        <w:rPr/>
        <w:t>l.</w:t>
      </w:r>
    </w:p>
    <w:p>
      <w:pPr>
        <w:pStyle w:val="BodyText"/>
        <w:spacing w:before="6"/>
        <w:ind w:left="872"/>
      </w:pPr>
      <w:r>
        <w:rPr/>
        <w:t>La   crítica  principal  en  la  fijación  de  balances  cíclicamente     ajustad</w:t>
      </w:r>
      <w:r>
        <w:rPr>
          <w:w w:val="177"/>
        </w:rPr>
        <w:t>  </w:t>
      </w:r>
      <w:r>
        <w:rPr/>
        <w:t> </w:t>
      </w:r>
      <w:r>
        <w:rPr>
          <w:w w:val="1"/>
        </w:rPr>
        <w:t> </w:t>
      </w:r>
      <w:r>
        <w:rPr/>
        <w:t>  </w:t>
      </w:r>
      <w:r>
        <w:rPr>
          <w:w w:val="177"/>
        </w:rPr>
        <w:t> </w:t>
      </w:r>
      <w:r>
        <w:rPr>
          <w:w w:val="237"/>
        </w:rPr>
        <w:t>   </w:t>
      </w:r>
    </w:p>
    <w:p>
      <w:pPr>
        <w:pStyle w:val="BodyText"/>
        <w:spacing w:line="360" w:lineRule="auto" w:before="137"/>
        <w:ind w:left="102" w:right="100"/>
        <w:jc w:val="both"/>
      </w:pPr>
      <w:r>
        <w:rPr>
          <w:spacing w:val="-1"/>
          <w:w w:val="177"/>
        </w:rPr>
        <w:t> </w:t>
      </w:r>
      <w:r>
        <w:rPr>
          <w:w w:val="194"/>
        </w:rPr>
        <w:t>   </w:t>
      </w:r>
      <w:r>
        <w:rPr>
          <w:spacing w:val="-1"/>
          <w:w w:val="194"/>
        </w:rPr>
        <w:t> </w:t>
      </w:r>
      <w:r>
        <w:rPr>
          <w:w w:val="170"/>
        </w:rPr>
        <w:t>   </w:t>
      </w:r>
      <w:r>
        <w:rPr>
          <w:spacing w:val="26"/>
        </w:rPr>
        <w:t> </w:t>
      </w:r>
      <w:r>
        <w:rPr>
          <w:w w:val="188"/>
        </w:rPr>
        <w:t>  </w:t>
      </w:r>
      <w:r>
        <w:rPr>
          <w:spacing w:val="25"/>
        </w:rPr>
        <w:t> </w:t>
      </w:r>
      <w:r>
        <w:rPr>
          <w:spacing w:val="1"/>
          <w:w w:val="133"/>
        </w:rPr>
        <w:t> </w:t>
      </w:r>
      <w:r>
        <w:rPr>
          <w:spacing w:val="1"/>
          <w:w w:val="177"/>
        </w:rPr>
        <w:t> </w:t>
      </w:r>
      <w:r>
        <w:rPr>
          <w:spacing w:val="-3"/>
          <w:w w:val="200"/>
        </w:rPr>
        <w:t> </w:t>
      </w:r>
      <w:r>
        <w:rPr>
          <w:w w:val="144"/>
        </w:rPr>
        <w:t>  </w:t>
      </w:r>
      <w:r>
        <w:rPr>
          <w:spacing w:val="25"/>
        </w:rPr>
        <w:t> </w:t>
      </w:r>
      <w:r>
        <w:rPr>
          <w:w w:val="144"/>
        </w:rPr>
        <w:t>   </w:t>
      </w:r>
      <w:r>
        <w:rPr>
          <w:spacing w:val="1"/>
          <w:w w:val="144"/>
        </w:rPr>
        <w:t> </w:t>
      </w:r>
      <w:r>
        <w:rPr>
          <w:spacing w:val="-1"/>
          <w:w w:val="177"/>
        </w:rPr>
        <w:t> </w:t>
      </w:r>
      <w:r>
        <w:rPr>
          <w:w w:val="111"/>
        </w:rPr>
        <w:t> </w:t>
      </w:r>
      <w:r>
        <w:rPr/>
        <w:t> </w:t>
      </w:r>
      <w:r>
        <w:rPr>
          <w:w w:val="1"/>
        </w:rPr>
        <w:t> </w:t>
      </w:r>
      <w:r>
        <w:rPr>
          <w:spacing w:val="26"/>
        </w:rPr>
        <w:t> </w:t>
      </w:r>
      <w:r>
        <w:rPr>
          <w:w w:val="166"/>
        </w:rPr>
        <w:t>  </w:t>
      </w:r>
      <w:r>
        <w:rPr>
          <w:spacing w:val="25"/>
        </w:rPr>
        <w:t> </w:t>
      </w:r>
      <w:r>
        <w:rPr>
          <w:spacing w:val="-1"/>
          <w:w w:val="177"/>
        </w:rPr>
        <w:t>  </w:t>
      </w:r>
      <w:r>
        <w:rPr>
          <w:w w:val="148"/>
        </w:rPr>
        <w:t>  </w:t>
      </w:r>
      <w:r>
        <w:rPr>
          <w:spacing w:val="1"/>
          <w:w w:val="148"/>
        </w:rPr>
        <w:t> </w:t>
      </w:r>
      <w:r>
        <w:rPr>
          <w:w w:val="177"/>
        </w:rPr>
        <w:t> </w:t>
      </w:r>
      <w:r>
        <w:rPr>
          <w:spacing w:val="25"/>
        </w:rPr>
        <w:t> </w:t>
      </w:r>
      <w:r>
        <w:rPr>
          <w:spacing w:val="-1"/>
          <w:w w:val="177"/>
        </w:rPr>
        <w:t> </w:t>
      </w:r>
      <w:r>
        <w:rPr>
          <w:w w:val="200"/>
        </w:rPr>
        <w:t> </w:t>
      </w:r>
      <w:r>
        <w:rPr>
          <w:spacing w:val="26"/>
        </w:rPr>
        <w:t> </w:t>
      </w:r>
      <w:r>
        <w:rPr>
          <w:w w:val="144"/>
        </w:rPr>
        <w:t>  </w:t>
      </w:r>
      <w:r>
        <w:rPr>
          <w:spacing w:val="28"/>
        </w:rPr>
        <w:t> </w:t>
      </w:r>
      <w:r>
        <w:rPr>
          <w:w w:val="155"/>
        </w:rPr>
        <w:t> </w:t>
      </w:r>
      <w:r>
        <w:rPr>
          <w:spacing w:val="-2"/>
          <w:w w:val="155"/>
        </w:rPr>
        <w:t> </w:t>
      </w:r>
      <w:r>
        <w:rPr>
          <w:w w:val="111"/>
        </w:rPr>
        <w:t>  </w:t>
      </w:r>
      <w:r>
        <w:rPr>
          <w:w w:val="177"/>
        </w:rPr>
        <w:t> </w:t>
      </w:r>
      <w:r>
        <w:rPr>
          <w:spacing w:val="25"/>
        </w:rPr>
        <w:t> </w:t>
      </w:r>
      <w:r>
        <w:rPr>
          <w:w w:val="188"/>
        </w:rPr>
        <w:t>  </w:t>
      </w:r>
      <w:r>
        <w:rPr>
          <w:spacing w:val="27"/>
        </w:rPr>
        <w:t> </w:t>
      </w:r>
      <w:r>
        <w:rPr>
          <w:spacing w:val="-1"/>
          <w:w w:val="177"/>
        </w:rPr>
        <w:t> </w:t>
      </w:r>
      <w:r>
        <w:rPr>
          <w:w w:val="159"/>
        </w:rPr>
        <w:t>      </w:t>
      </w:r>
      <w:r>
        <w:rPr>
          <w:spacing w:val="28"/>
        </w:rPr>
        <w:t> </w:t>
      </w:r>
      <w:r>
        <w:rPr>
          <w:w w:val="200"/>
        </w:rPr>
        <w:t> </w:t>
      </w:r>
      <w:r>
        <w:rPr/>
        <w:t>  </w:t>
      </w:r>
      <w:r>
        <w:rPr>
          <w:spacing w:val="-13"/>
        </w:rPr>
        <w:t> </w:t>
      </w:r>
      <w:r>
        <w:rPr>
          <w:w w:val="138"/>
        </w:rPr>
        <w:t>   </w:t>
      </w:r>
      <w:r>
        <w:rPr>
          <w:spacing w:val="2"/>
          <w:w w:val="138"/>
        </w:rPr>
        <w:t> </w:t>
      </w:r>
      <w:r>
        <w:rPr>
          <w:spacing w:val="-1"/>
          <w:w w:val="177"/>
        </w:rPr>
        <w:t> </w:t>
      </w:r>
      <w:r>
        <w:rPr>
          <w:w w:val="140"/>
        </w:rPr>
        <w:t>   </w:t>
      </w:r>
      <w:r>
        <w:rPr>
          <w:spacing w:val="-1"/>
          <w:w w:val="177"/>
        </w:rPr>
        <w:t> </w:t>
      </w:r>
      <w:r>
        <w:rPr>
          <w:w w:val="200"/>
        </w:rPr>
        <w:t> </w:t>
      </w:r>
      <w:r>
        <w:rPr>
          <w:spacing w:val="26"/>
        </w:rPr>
        <w:t> </w:t>
      </w:r>
      <w:r>
        <w:rPr>
          <w:w w:val="188"/>
        </w:rPr>
        <w:t>  </w:t>
      </w:r>
      <w:r>
        <w:rPr>
          <w:spacing w:val="27"/>
        </w:rPr>
        <w:t> </w:t>
      </w:r>
      <w:r>
        <w:rPr>
          <w:w w:val="205"/>
        </w:rPr>
        <w:t>    </w:t>
      </w:r>
      <w:r>
        <w:rPr>
          <w:w w:val="155"/>
        </w:rPr>
        <w:t>   </w:t>
      </w:r>
      <w:r>
        <w:rPr>
          <w:spacing w:val="-2"/>
          <w:w w:val="155"/>
        </w:rPr>
        <w:t> </w:t>
      </w:r>
      <w:r>
        <w:rPr>
          <w:w w:val="200"/>
        </w:rPr>
        <w:t> </w:t>
      </w:r>
      <w:r>
        <w:rPr>
          <w:spacing w:val="26"/>
        </w:rPr>
        <w:t> </w:t>
      </w:r>
      <w:r>
        <w:rPr>
          <w:w w:val="173"/>
        </w:rPr>
        <w:t>     </w:t>
      </w:r>
      <w:r>
        <w:rPr>
          <w:spacing w:val="-1"/>
        </w:rPr>
        <w:t>e</w:t>
      </w:r>
      <w:r>
        <w:rPr>
          <w:w w:val="99"/>
        </w:rPr>
        <w:t>ste</w:t>
      </w:r>
      <w:r>
        <w:rPr/>
        <w:t> </w:t>
      </w:r>
      <w:r>
        <w:rPr>
          <w:spacing w:val="-18"/>
        </w:rPr>
        <w:t> </w:t>
      </w:r>
      <w:r>
        <w:rPr/>
        <w:t>indi</w:t>
      </w:r>
      <w:r>
        <w:rPr>
          <w:spacing w:val="-1"/>
        </w:rPr>
        <w:t>ca</w:t>
      </w:r>
      <w:r>
        <w:rPr/>
        <w:t>dor </w:t>
      </w:r>
      <w:r>
        <w:rPr>
          <w:spacing w:val="-18"/>
        </w:rPr>
        <w:t> </w:t>
      </w:r>
      <w:r>
        <w:rPr>
          <w:w w:val="99"/>
        </w:rPr>
        <w:t>fis</w:t>
      </w:r>
      <w:r>
        <w:rPr>
          <w:spacing w:val="1"/>
          <w:w w:val="99"/>
        </w:rPr>
        <w:t>c</w:t>
      </w:r>
      <w:r>
        <w:rPr>
          <w:spacing w:val="-1"/>
        </w:rPr>
        <w:t>a</w:t>
      </w:r>
      <w:r>
        <w:rPr/>
        <w:t>l; </w:t>
      </w:r>
      <w:r>
        <w:rPr>
          <w:spacing w:val="-17"/>
        </w:rPr>
        <w:t> </w:t>
      </w:r>
      <w:r>
        <w:rPr>
          <w:spacing w:val="-1"/>
        </w:rPr>
        <w:t>e</w:t>
      </w:r>
      <w:r>
        <w:rPr/>
        <w:t>n </w:t>
      </w:r>
      <w:r>
        <w:rPr>
          <w:spacing w:val="-18"/>
        </w:rPr>
        <w:t> </w:t>
      </w:r>
      <w:r>
        <w:rPr>
          <w:spacing w:val="-1"/>
        </w:rPr>
        <w:t>c</w:t>
      </w:r>
      <w:r>
        <w:rPr/>
        <w:t>onse</w:t>
      </w:r>
      <w:r>
        <w:rPr>
          <w:spacing w:val="-2"/>
        </w:rPr>
        <w:t>c</w:t>
      </w:r>
      <w:r>
        <w:rPr/>
        <w:t>u</w:t>
      </w:r>
      <w:r>
        <w:rPr>
          <w:spacing w:val="-1"/>
        </w:rPr>
        <w:t>e</w:t>
      </w:r>
      <w:r>
        <w:rPr>
          <w:spacing w:val="2"/>
        </w:rPr>
        <w:t>n</w:t>
      </w:r>
      <w:r>
        <w:rPr>
          <w:spacing w:val="-1"/>
        </w:rPr>
        <w:t>c</w:t>
      </w:r>
      <w:r>
        <w:rPr/>
        <w:t>ia, </w:t>
      </w:r>
      <w:r>
        <w:rPr>
          <w:spacing w:val="-18"/>
        </w:rPr>
        <w:t> </w:t>
      </w:r>
      <w:r>
        <w:rPr/>
        <w:t>la </w:t>
      </w:r>
      <w:r>
        <w:rPr>
          <w:spacing w:val="-18"/>
        </w:rPr>
        <w:t> </w:t>
      </w:r>
      <w:r>
        <w:rPr/>
        <w:t>incertidumb</w:t>
      </w:r>
      <w:r>
        <w:rPr>
          <w:spacing w:val="-1"/>
        </w:rPr>
        <w:t>r</w:t>
      </w:r>
      <w:r>
        <w:rPr/>
        <w:t>e </w:t>
      </w:r>
      <w:r>
        <w:rPr>
          <w:spacing w:val="-18"/>
        </w:rPr>
        <w:t> </w:t>
      </w:r>
      <w:r>
        <w:rPr/>
        <w:t>sobre </w:t>
      </w:r>
      <w:r>
        <w:rPr>
          <w:spacing w:val="-19"/>
        </w:rPr>
        <w:t> </w:t>
      </w:r>
      <w:r>
        <w:rPr/>
        <w:t>la </w:t>
      </w:r>
      <w:r>
        <w:rPr>
          <w:spacing w:val="-18"/>
        </w:rPr>
        <w:t> </w:t>
      </w:r>
      <w:r>
        <w:rPr/>
        <w:t>medi</w:t>
      </w:r>
      <w:r>
        <w:rPr>
          <w:spacing w:val="-1"/>
        </w:rPr>
        <w:t>c</w:t>
      </w:r>
      <w:r>
        <w:rPr>
          <w:spacing w:val="2"/>
        </w:rPr>
        <w:t>i</w:t>
      </w:r>
      <w:r>
        <w:rPr/>
        <w:t>ón </w:t>
      </w:r>
      <w:r>
        <w:rPr>
          <w:spacing w:val="-18"/>
        </w:rPr>
        <w:t> </w:t>
      </w:r>
      <w:r>
        <w:rPr/>
        <w:t>d</w:t>
      </w:r>
      <w:r>
        <w:rPr>
          <w:spacing w:val="-1"/>
        </w:rPr>
        <w:t>e</w:t>
      </w:r>
      <w:r>
        <w:rPr/>
        <w:t>l </w:t>
      </w:r>
      <w:r>
        <w:rPr>
          <w:spacing w:val="-17"/>
        </w:rPr>
        <w:t> </w:t>
      </w:r>
      <w:r>
        <w:rPr/>
        <w:t>r</w:t>
      </w:r>
      <w:r>
        <w:rPr>
          <w:spacing w:val="-2"/>
        </w:rPr>
        <w:t>e</w:t>
      </w:r>
      <w:r>
        <w:rPr>
          <w:w w:val="99"/>
        </w:rPr>
        <w:t>sul</w:t>
      </w:r>
      <w:r>
        <w:rPr>
          <w:spacing w:val="1"/>
          <w:w w:val="99"/>
        </w:rPr>
        <w:t>t</w:t>
      </w:r>
      <w:r>
        <w:rPr>
          <w:spacing w:val="-1"/>
        </w:rPr>
        <w:t>a</w:t>
      </w:r>
      <w:r>
        <w:rPr/>
        <w:t>do fiscal ajustado a las fluctuaciones del ciclo econónomico y los precios del energético genera p</w:t>
      </w:r>
      <w:r>
        <w:rPr>
          <w:spacing w:val="-1"/>
        </w:rPr>
        <w:t>r</w:t>
      </w:r>
      <w:r>
        <w:rPr>
          <w:spacing w:val="1"/>
        </w:rPr>
        <w:t>e</w:t>
      </w:r>
      <w:r>
        <w:rPr>
          <w:spacing w:val="-3"/>
        </w:rPr>
        <w:t>g</w:t>
      </w:r>
      <w:r>
        <w:rPr/>
        <w:t>untas</w:t>
      </w:r>
      <w:r>
        <w:rPr>
          <w:spacing w:val="9"/>
        </w:rPr>
        <w:t> </w:t>
      </w:r>
      <w:r>
        <w:rPr/>
        <w:t>import</w:t>
      </w:r>
      <w:r>
        <w:rPr>
          <w:spacing w:val="-2"/>
        </w:rPr>
        <w:t>a</w:t>
      </w:r>
      <w:r>
        <w:rPr/>
        <w:t>ntes</w:t>
      </w:r>
      <w:r>
        <w:rPr>
          <w:spacing w:val="9"/>
        </w:rPr>
        <w:t> </w:t>
      </w:r>
      <w:r>
        <w:rPr/>
        <w:t>ta</w:t>
      </w:r>
      <w:r>
        <w:rPr>
          <w:spacing w:val="2"/>
        </w:rPr>
        <w:t>l</w:t>
      </w:r>
      <w:r>
        <w:rPr>
          <w:spacing w:val="-1"/>
        </w:rPr>
        <w:t>e</w:t>
      </w:r>
      <w:r>
        <w:rPr>
          <w:w w:val="99"/>
        </w:rPr>
        <w:t>s</w:t>
      </w:r>
      <w:r>
        <w:rPr>
          <w:spacing w:val="9"/>
        </w:rPr>
        <w:t> </w:t>
      </w:r>
      <w:r>
        <w:rPr>
          <w:spacing w:val="-1"/>
        </w:rPr>
        <w:t>c</w:t>
      </w:r>
      <w:r>
        <w:rPr/>
        <w:t>omo:</w:t>
      </w:r>
      <w:r>
        <w:rPr>
          <w:spacing w:val="10"/>
        </w:rPr>
        <w:t> </w:t>
      </w:r>
      <w:r>
        <w:rPr>
          <w:spacing w:val="1"/>
        </w:rPr>
        <w:t>¿</w:t>
      </w:r>
      <w:r>
        <w:rPr>
          <w:spacing w:val="-1"/>
        </w:rPr>
        <w:t>c</w:t>
      </w:r>
      <w:r>
        <w:rPr/>
        <w:t>u</w:t>
      </w:r>
      <w:r>
        <w:rPr>
          <w:spacing w:val="-1"/>
        </w:rPr>
        <w:t>á</w:t>
      </w:r>
      <w:r>
        <w:rPr/>
        <w:t>l</w:t>
      </w:r>
      <w:r>
        <w:rPr>
          <w:spacing w:val="9"/>
        </w:rPr>
        <w:t> </w:t>
      </w:r>
      <w:r>
        <w:rPr>
          <w:spacing w:val="-1"/>
        </w:rPr>
        <w:t>e</w:t>
      </w:r>
      <w:r>
        <w:rPr>
          <w:w w:val="99"/>
        </w:rPr>
        <w:t>s</w:t>
      </w:r>
      <w:r>
        <w:rPr>
          <w:spacing w:val="12"/>
        </w:rPr>
        <w:t> </w:t>
      </w:r>
      <w:r>
        <w:rPr>
          <w:spacing w:val="-1"/>
        </w:rPr>
        <w:t>e</w:t>
      </w:r>
      <w:r>
        <w:rPr/>
        <w:t>l</w:t>
      </w:r>
      <w:r>
        <w:rPr>
          <w:spacing w:val="9"/>
        </w:rPr>
        <w:t> </w:t>
      </w:r>
      <w:r>
        <w:rPr/>
        <w:t>p</w:t>
      </w:r>
      <w:r>
        <w:rPr>
          <w:spacing w:val="-1"/>
        </w:rPr>
        <w:t>r</w:t>
      </w:r>
      <w:r>
        <w:rPr>
          <w:spacing w:val="2"/>
        </w:rPr>
        <w:t>o</w:t>
      </w:r>
      <w:r>
        <w:rPr/>
        <w:t>du</w:t>
      </w:r>
      <w:r>
        <w:rPr>
          <w:spacing w:val="-1"/>
        </w:rPr>
        <w:t>c</w:t>
      </w:r>
      <w:r>
        <w:rPr/>
        <w:t>to</w:t>
      </w:r>
      <w:r>
        <w:rPr>
          <w:spacing w:val="9"/>
        </w:rPr>
        <w:t> </w:t>
      </w:r>
      <w:r>
        <w:rPr/>
        <w:t>poten</w:t>
      </w:r>
      <w:r>
        <w:rPr>
          <w:spacing w:val="-2"/>
        </w:rPr>
        <w:t>c</w:t>
      </w:r>
      <w:r>
        <w:rPr/>
        <w:t>ial</w:t>
      </w:r>
      <w:r>
        <w:rPr>
          <w:spacing w:val="9"/>
        </w:rPr>
        <w:t> </w:t>
      </w:r>
      <w:r>
        <w:rPr/>
        <w:t>de</w:t>
      </w:r>
      <w:r>
        <w:rPr>
          <w:spacing w:val="10"/>
        </w:rPr>
        <w:t> </w:t>
      </w:r>
      <w:r>
        <w:rPr/>
        <w:t>la</w:t>
      </w:r>
      <w:r>
        <w:rPr>
          <w:spacing w:val="8"/>
        </w:rPr>
        <w:t> </w:t>
      </w:r>
      <w:r>
        <w:rPr>
          <w:spacing w:val="1"/>
        </w:rPr>
        <w:t>e</w:t>
      </w:r>
      <w:r>
        <w:rPr>
          <w:spacing w:val="-1"/>
        </w:rPr>
        <w:t>c</w:t>
      </w:r>
      <w:r>
        <w:rPr>
          <w:spacing w:val="2"/>
        </w:rPr>
        <w:t>o</w:t>
      </w:r>
      <w:r>
        <w:rPr/>
        <w:t>nomí</w:t>
      </w:r>
      <w:r>
        <w:rPr>
          <w:spacing w:val="-4"/>
        </w:rPr>
        <w:t>a</w:t>
      </w:r>
      <w:r>
        <w:rPr>
          <w:spacing w:val="3"/>
        </w:rPr>
        <w:t>?</w:t>
      </w:r>
      <w:r>
        <w:rPr/>
        <w:t>;</w:t>
      </w:r>
      <w:r>
        <w:rPr>
          <w:spacing w:val="9"/>
        </w:rPr>
        <w:t> </w:t>
      </w:r>
      <w:r>
        <w:rPr>
          <w:spacing w:val="1"/>
        </w:rPr>
        <w:t>¿</w:t>
      </w:r>
      <w:r>
        <w:rPr>
          <w:spacing w:val="-1"/>
        </w:rPr>
        <w:t>c</w:t>
      </w:r>
      <w:r>
        <w:rPr/>
        <w:t>u</w:t>
      </w:r>
      <w:r>
        <w:rPr>
          <w:spacing w:val="-1"/>
        </w:rPr>
        <w:t>á</w:t>
      </w:r>
      <w:r>
        <w:rPr/>
        <w:t>l</w:t>
      </w:r>
      <w:r>
        <w:rPr>
          <w:spacing w:val="9"/>
        </w:rPr>
        <w:t> </w:t>
      </w:r>
      <w:r>
        <w:rPr>
          <w:spacing w:val="-1"/>
        </w:rPr>
        <w:t>e</w:t>
      </w:r>
      <w:r>
        <w:rPr>
          <w:w w:val="99"/>
        </w:rPr>
        <w:t>s </w:t>
      </w:r>
      <w:r>
        <w:rPr>
          <w:spacing w:val="-1"/>
        </w:rPr>
        <w:t>e</w:t>
      </w:r>
      <w:r>
        <w:rPr/>
        <w:t>l pr</w:t>
      </w:r>
      <w:r>
        <w:rPr>
          <w:spacing w:val="-2"/>
        </w:rPr>
        <w:t>e</w:t>
      </w:r>
      <w:r>
        <w:rPr>
          <w:spacing w:val="-1"/>
        </w:rPr>
        <w:t>c</w:t>
      </w:r>
      <w:r>
        <w:rPr/>
        <w:t>io de</w:t>
      </w:r>
      <w:r>
        <w:rPr>
          <w:spacing w:val="1"/>
        </w:rPr>
        <w:t> </w:t>
      </w:r>
      <w:r>
        <w:rPr>
          <w:spacing w:val="-1"/>
        </w:rPr>
        <w:t>e</w:t>
      </w:r>
      <w:r>
        <w:rPr/>
        <w:t>quilibrio</w:t>
      </w:r>
      <w:r>
        <w:rPr>
          <w:spacing w:val="-1"/>
        </w:rPr>
        <w:t> </w:t>
      </w:r>
      <w:r>
        <w:rPr/>
        <w:t>d</w:t>
      </w:r>
      <w:r>
        <w:rPr>
          <w:spacing w:val="1"/>
        </w:rPr>
        <w:t>e</w:t>
      </w:r>
      <w:r>
        <w:rPr/>
        <w:t>l r</w:t>
      </w:r>
      <w:r>
        <w:rPr>
          <w:spacing w:val="-2"/>
        </w:rPr>
        <w:t>e</w:t>
      </w:r>
      <w:r>
        <w:rPr>
          <w:spacing w:val="-1"/>
        </w:rPr>
        <w:t>c</w:t>
      </w:r>
      <w:r>
        <w:rPr/>
        <w:t>u</w:t>
      </w:r>
      <w:r>
        <w:rPr>
          <w:spacing w:val="-1"/>
        </w:rPr>
        <w:t>r</w:t>
      </w:r>
      <w:r>
        <w:rPr>
          <w:w w:val="99"/>
        </w:rPr>
        <w:t>so</w:t>
      </w:r>
      <w:r>
        <w:rPr/>
        <w:t> n</w:t>
      </w:r>
      <w:r>
        <w:rPr>
          <w:spacing w:val="-1"/>
        </w:rPr>
        <w:t>a</w:t>
      </w:r>
      <w:r>
        <w:rPr/>
        <w:t>t</w:t>
      </w:r>
      <w:r>
        <w:rPr>
          <w:spacing w:val="2"/>
        </w:rPr>
        <w:t>u</w:t>
      </w:r>
      <w:r>
        <w:rPr/>
        <w:t>r</w:t>
      </w:r>
      <w:r>
        <w:rPr>
          <w:spacing w:val="-2"/>
        </w:rPr>
        <w:t>a</w:t>
      </w:r>
      <w:r>
        <w:rPr/>
        <w:t>l</w:t>
      </w:r>
      <w:r>
        <w:rPr>
          <w:spacing w:val="4"/>
        </w:rPr>
        <w:t>?</w:t>
      </w:r>
      <w:r>
        <w:rPr/>
        <w:t>;</w:t>
      </w:r>
      <w:r>
        <w:rPr>
          <w:spacing w:val="-2"/>
        </w:rPr>
        <w:t> </w:t>
      </w:r>
      <w:r>
        <w:rPr>
          <w:spacing w:val="1"/>
        </w:rPr>
        <w:t>¿</w:t>
      </w:r>
      <w:r>
        <w:rPr>
          <w:w w:val="99"/>
        </w:rPr>
        <w:t>las</w:t>
      </w:r>
      <w:r>
        <w:rPr/>
        <w:t> </w:t>
      </w:r>
      <w:r>
        <w:rPr>
          <w:spacing w:val="-2"/>
        </w:rPr>
        <w:t>e</w:t>
      </w:r>
      <w:r>
        <w:rPr>
          <w:w w:val="99"/>
        </w:rPr>
        <w:t>st</w:t>
      </w:r>
      <w:r>
        <w:rPr>
          <w:spacing w:val="1"/>
          <w:w w:val="99"/>
        </w:rPr>
        <w:t>i</w:t>
      </w:r>
      <w:r>
        <w:rPr/>
        <w:t>ma</w:t>
      </w:r>
      <w:r>
        <w:rPr>
          <w:spacing w:val="-2"/>
        </w:rPr>
        <w:t>c</w:t>
      </w:r>
      <w:r>
        <w:rPr/>
        <w:t>iones</w:t>
      </w:r>
      <w:r>
        <w:rPr>
          <w:spacing w:val="-1"/>
        </w:rPr>
        <w:t> </w:t>
      </w:r>
      <w:r>
        <w:rPr>
          <w:w w:val="99"/>
        </w:rPr>
        <w:t>son</w:t>
      </w:r>
      <w:r>
        <w:rPr/>
        <w:t> </w:t>
      </w:r>
      <w:r>
        <w:rPr>
          <w:spacing w:val="-1"/>
        </w:rPr>
        <w:t>rea</w:t>
      </w:r>
      <w:r>
        <w:rPr/>
        <w:t>lm</w:t>
      </w:r>
      <w:r>
        <w:rPr>
          <w:spacing w:val="-1"/>
        </w:rPr>
        <w:t>e</w:t>
      </w:r>
      <w:r>
        <w:rPr/>
        <w:t>nte</w:t>
      </w:r>
      <w:r>
        <w:rPr>
          <w:spacing w:val="1"/>
        </w:rPr>
        <w:t> </w:t>
      </w:r>
      <w:r>
        <w:rPr>
          <w:spacing w:val="-1"/>
        </w:rPr>
        <w:t>c</w:t>
      </w:r>
      <w:r>
        <w:rPr/>
        <w:t>onfi</w:t>
      </w:r>
      <w:r>
        <w:rPr>
          <w:spacing w:val="-2"/>
        </w:rPr>
        <w:t>a</w:t>
      </w:r>
      <w:r>
        <w:rPr/>
        <w:t>bles?</w:t>
      </w:r>
    </w:p>
    <w:p>
      <w:pPr>
        <w:pStyle w:val="BodyText"/>
        <w:spacing w:line="360" w:lineRule="auto" w:before="6"/>
        <w:ind w:left="102" w:right="99" w:firstLine="767"/>
        <w:jc w:val="both"/>
      </w:pPr>
      <w:r>
        <w:rPr/>
        <w:t>De forma adicional, una regla fiscal es concretada de manera oficial, cuando se introducen nuevos cambios institucionales formales para los procesos de elaboración, aprobación y ejecución de la posición fiscal (ejemplo: una ley de responsabilidad fiscal).</w:t>
      </w:r>
    </w:p>
    <w:p>
      <w:pPr>
        <w:pStyle w:val="BodyText"/>
        <w:spacing w:line="360" w:lineRule="auto" w:before="4"/>
        <w:ind w:left="102" w:right="99" w:firstLine="707"/>
        <w:jc w:val="both"/>
      </w:pPr>
      <w:r>
        <w:rPr/>
        <w:t>En la tesis se proponen criterios para la activación de cláusulas de escape sobre las reglas fiscales alternativas para economías dependientes de un recurso natural: 1) recesión económica basado en el criterio del Banco de Inglaterra y con base en el algoritmo de Harding &amp; Pagan (2002); 2) desastres naturales con la consideración del impacto de los doce mayores desastres naturales del Caribe (2% del PIB, en promedio): 3) desacelaración económica como un porcentaje histórico de desviaciones pasadas del PIB efectivo en torno a su PIB potencial durante épocas de mayor turbulencia negativa para las economías.</w:t>
      </w:r>
    </w:p>
    <w:p>
      <w:pPr>
        <w:spacing w:after="0" w:line="360" w:lineRule="auto"/>
        <w:jc w:val="both"/>
        <w:sectPr>
          <w:pgSz w:w="12250" w:h="15850"/>
          <w:pgMar w:header="0" w:footer="977" w:top="1360" w:bottom="1220" w:left="1600" w:right="1600"/>
        </w:sectPr>
      </w:pPr>
    </w:p>
    <w:p>
      <w:pPr>
        <w:pStyle w:val="Heading4"/>
        <w:numPr>
          <w:ilvl w:val="1"/>
          <w:numId w:val="19"/>
        </w:numPr>
        <w:tabs>
          <w:tab w:pos="1511" w:val="left" w:leader="none"/>
        </w:tabs>
        <w:spacing w:line="240" w:lineRule="auto" w:before="55" w:after="0"/>
        <w:ind w:left="1510" w:right="0" w:hanging="547"/>
        <w:jc w:val="left"/>
      </w:pPr>
      <w:bookmarkStart w:name="_bookmark163" w:id="224"/>
      <w:bookmarkEnd w:id="224"/>
      <w:r>
        <w:rPr>
          <w:b w:val="0"/>
        </w:rPr>
      </w:r>
      <w:bookmarkStart w:name="_bookmark163" w:id="225"/>
      <w:bookmarkEnd w:id="225"/>
      <w:r>
        <w:rPr/>
        <w:t>P</w:t>
      </w:r>
      <w:r>
        <w:rPr/>
        <w:t>ara</w:t>
      </w:r>
      <w:r>
        <w:rPr>
          <w:spacing w:val="-3"/>
        </w:rPr>
        <w:t> </w:t>
      </w:r>
      <w:r>
        <w:rPr/>
        <w:t>Bolivia</w:t>
      </w:r>
    </w:p>
    <w:p>
      <w:pPr>
        <w:pStyle w:val="BodyText"/>
        <w:spacing w:line="360" w:lineRule="auto" w:before="192"/>
        <w:ind w:left="102" w:right="119" w:firstLine="707"/>
        <w:jc w:val="both"/>
      </w:pPr>
      <w:r>
        <w:rPr/>
        <w:t>En los resultados de la investigación se brindó una explicación sobre la posición fiscal de Bolivia (2003 – 2011), así como su respectiva prospectiva a corto  y mediano plazo. En función de dicho análisis surgen las recomendaciones de políticas públicas para Bolivia.</w:t>
      </w:r>
    </w:p>
    <w:p>
      <w:pPr>
        <w:pStyle w:val="BodyText"/>
        <w:spacing w:line="360" w:lineRule="auto" w:before="4"/>
        <w:ind w:left="102" w:right="117" w:firstLine="707"/>
        <w:jc w:val="both"/>
      </w:pPr>
      <w:r>
        <w:rPr/>
        <w:t>La sugerencia principal se basa en cómo deben asignarse los ingresos fiscales (con y sin recurso natural) al gasto público (capital y corriente) para obtener una posición fiscal sostenible. En consecuencia, el primer paso para Bolivia consistiría en cambiar el régimen actual de reacción del gasto público frente a un choque positivo en el precio del gas natural efecto negativo sobre el gasto de capital y efecto positivo sobre el gasto corriente </w:t>
      </w:r>
      <w:r>
        <w:rPr>
          <w:w w:val="50"/>
        </w:rPr>
        <w:t>  </w:t>
      </w:r>
    </w:p>
    <w:p>
      <w:pPr>
        <w:pStyle w:val="BodyText"/>
        <w:spacing w:line="360" w:lineRule="auto" w:before="6"/>
        <w:ind w:left="102" w:right="112" w:firstLine="707"/>
        <w:jc w:val="both"/>
      </w:pPr>
      <w:r>
        <w:rPr/>
        <w:t>Frente a lo anterior, el gasto de capital debe reaccionar positivamente frente a un choque de precios del gas natural (acorde a la teoría modificada del ingreso permanente) y el gasto corriente debe reaccionar de forma neutral a los choques de precios del recurso natural (postura neoclásica de la</w:t>
      </w:r>
      <w:r>
        <w:rPr>
          <w:spacing w:val="-8"/>
        </w:rPr>
        <w:t> </w:t>
      </w:r>
      <w:r>
        <w:rPr/>
        <w:t>economía).</w:t>
      </w:r>
    </w:p>
    <w:p>
      <w:pPr>
        <w:pStyle w:val="BodyText"/>
        <w:spacing w:line="360" w:lineRule="auto" w:before="6"/>
        <w:ind w:left="102" w:right="120" w:firstLine="707"/>
        <w:jc w:val="both"/>
      </w:pPr>
      <w:r>
        <w:rPr/>
        <w:t>El régimen actual de distribución de ingresos hidrocarburíferos en Bolivia, se basa en asignar porcentualmente parte de las regalías y del impuesto directo a los hidrocarburos (IDH) para gobiernos regionales e instituciones públicas; sin embargo, este régimen presenta dos críticas: </w:t>
      </w:r>
      <w:r>
        <w:rPr>
          <w:i/>
        </w:rPr>
        <w:t>a</w:t>
      </w:r>
      <w:r>
        <w:rPr/>
        <w:t>) los ingresos distribuidos son relativamente marginales (menos del 10%) a los ingresos totales del recurso natural; </w:t>
      </w:r>
      <w:r>
        <w:rPr>
          <w:i/>
        </w:rPr>
        <w:t>b</w:t>
      </w:r>
      <w:r>
        <w:rPr/>
        <w:t>) no existe ningún direccionamiento formal sobre el gasto y generación de ahorro que los gobiernos autónomos deban seguir.</w:t>
      </w:r>
    </w:p>
    <w:p>
      <w:pPr>
        <w:pStyle w:val="BodyText"/>
        <w:spacing w:line="360" w:lineRule="auto" w:before="6"/>
        <w:ind w:left="102" w:right="120" w:firstLine="707"/>
        <w:jc w:val="both"/>
      </w:pPr>
      <w:r>
        <w:rPr/>
        <w:t>En consecuencia, surge la necesidad de imponer restricciones en la asignación de ingresos fiscales sin recurso natural: limitar el gasto corriente en términos de los ingresos fiscales ajenos al recurso natural; así como el establecimiento normativo de los fines específicos para la asignación de ingresos del recurso natural: 1) inversión pública, 2) transferencias directas para la sociedad, 3) amortización de la deuda pública, 4) ahorro público.</w:t>
      </w:r>
    </w:p>
    <w:p>
      <w:pPr>
        <w:pStyle w:val="BodyText"/>
        <w:spacing w:line="360" w:lineRule="auto" w:before="4"/>
        <w:ind w:left="102" w:right="116" w:firstLine="707"/>
        <w:jc w:val="both"/>
      </w:pPr>
      <w:r>
        <w:rPr/>
        <w:t>Los mecanismos propuestos para la asignación de ingresos fiscales permitirán una posición fiscal sostenible en términos de balance primario (con y sin recurso natural) así como de deuda pública. Adicionalmente, el establecimiento de una normativa relacionada con ahorro público permitirá mitigar la participación progresiva de las fluctuaciones de precios del gas natural en el balance cíclicamente ajustado.</w:t>
      </w:r>
    </w:p>
    <w:p>
      <w:pPr>
        <w:spacing w:after="0" w:line="360" w:lineRule="auto"/>
        <w:jc w:val="both"/>
        <w:sectPr>
          <w:pgSz w:w="12250" w:h="15850"/>
          <w:pgMar w:header="0" w:footer="977" w:top="1360" w:bottom="1220" w:left="1600" w:right="1580"/>
        </w:sectPr>
      </w:pPr>
    </w:p>
    <w:p>
      <w:pPr>
        <w:pStyle w:val="BodyText"/>
        <w:spacing w:line="360" w:lineRule="auto" w:before="50"/>
        <w:ind w:left="102" w:right="100" w:firstLine="707"/>
        <w:jc w:val="both"/>
      </w:pPr>
      <w:r>
        <w:rPr/>
        <w:t>El establecimiento de los objetivos de financiamiento para la asignación de los ingresos fiscales del recurso natural permite mayor transparencia de las instituciones fiscales, es fácil de monitorear, controlar y es sensible a la actividad económica (Dzialo, 2012).</w:t>
      </w:r>
    </w:p>
    <w:p>
      <w:pPr>
        <w:pStyle w:val="BodyText"/>
        <w:spacing w:line="360" w:lineRule="auto" w:before="6"/>
        <w:ind w:left="102" w:right="99" w:firstLine="707"/>
        <w:jc w:val="both"/>
      </w:pPr>
      <w:r>
        <w:rPr/>
        <w:t>Para el caso de Bolivia, la implicación práctica de la presente investigación se basa en las recomendaciones de política para la introducción de una regla fiscal en ausencia de la misma (Rodríguez, 2011; Valdivia &amp; Montenegro, 2010) con la sugerencia de generación de superávits en el balance fiscal global cíclicamente ajustado (Salazar &amp; Prada, 2003) durante tiempos de auge y límites máximos de déficit en caso de recesión</w:t>
      </w:r>
      <w:r>
        <w:rPr>
          <w:spacing w:val="-15"/>
        </w:rPr>
        <w:t> </w:t>
      </w:r>
      <w:r>
        <w:rPr/>
        <w:t>económica.</w:t>
      </w:r>
    </w:p>
    <w:p>
      <w:pPr>
        <w:pStyle w:val="BodyText"/>
        <w:spacing w:line="360" w:lineRule="auto" w:before="4"/>
        <w:ind w:left="102" w:right="99" w:firstLine="707"/>
        <w:jc w:val="both"/>
      </w:pPr>
      <w:r>
        <w:rPr/>
        <w:t>El criterio de reglas fiscales con base en direccionamiento del gasto público ofrece un mejor control de los recursos públicos debido a que es independiente de cualquier variable de proyección económica (Schick, 2010), a la vez que la imposición y el cumplimiento de reglas fiscales se constituye en un rol fiscal adicional (Musgrave, 1997).</w:t>
      </w:r>
    </w:p>
    <w:p>
      <w:pPr>
        <w:pStyle w:val="BodyText"/>
        <w:spacing w:line="360" w:lineRule="auto" w:before="4"/>
        <w:ind w:left="102" w:right="102" w:firstLine="707"/>
        <w:jc w:val="both"/>
      </w:pPr>
      <w:r>
        <w:rPr/>
        <w:t>La ausencia de normas fiscales formales conlleva a altos costos de transacción relacionada con la organización económica del estado, en este caso, como son administrados los ingresos fiscales gasíferos y no gasíferos. Para el caso de Bolivia, se observó un manejo adecuado de la deuda pública (contracíclica); sin embargo, se apreció una insostenibilidad del balance primario no</w:t>
      </w:r>
      <w:r>
        <w:rPr>
          <w:spacing w:val="-8"/>
        </w:rPr>
        <w:t> </w:t>
      </w:r>
      <w:r>
        <w:rPr/>
        <w:t>gasífero.</w:t>
      </w:r>
    </w:p>
    <w:p>
      <w:pPr>
        <w:pStyle w:val="BodyText"/>
        <w:spacing w:line="360" w:lineRule="auto" w:before="6"/>
        <w:ind w:left="102" w:right="99" w:firstLine="707"/>
        <w:jc w:val="both"/>
      </w:pPr>
      <w:r>
        <w:rPr/>
        <w:t>En consecuencia, la solución se centra en la aplicación de normas institucionales formales que conduzcan a una formulación de presupuestos público para un mejor desempeño fiscal. En otras palabras: convertir los cambios institucionales informales (asignación de ingresos fiscales gasíferos y no  gasíferos</w:t>
      </w:r>
      <w:r>
        <w:rPr>
          <w:w w:val="133"/>
        </w:rPr>
        <w:t> </w:t>
      </w:r>
      <w:r>
        <w:rPr/>
        <w:t> </w:t>
      </w:r>
      <w:r>
        <w:rPr>
          <w:w w:val="177"/>
        </w:rPr>
        <w:t> </w:t>
      </w:r>
      <w:r>
        <w:rPr/>
        <w:t> </w:t>
      </w:r>
      <w:r>
        <w:rPr>
          <w:w w:val="155"/>
        </w:rPr>
        <w:t>   </w:t>
      </w:r>
      <w:r>
        <w:rPr>
          <w:w w:val="194"/>
        </w:rPr>
        <w:t>    </w:t>
      </w:r>
      <w:r>
        <w:rPr>
          <w:w w:val="155"/>
        </w:rPr>
        <w:t> </w:t>
      </w:r>
      <w:r>
        <w:rPr/>
        <w:t>    </w:t>
      </w:r>
      <w:r>
        <w:rPr>
          <w:w w:val="1"/>
        </w:rPr>
        <w:t> </w:t>
      </w:r>
      <w:r>
        <w:rPr/>
        <w:t> </w:t>
      </w:r>
      <w:r>
        <w:rPr>
          <w:w w:val="174"/>
        </w:rPr>
        <w:t>      </w:t>
      </w:r>
      <w:r>
        <w:rPr/>
        <w:t> </w:t>
      </w:r>
      <w:r>
        <w:rPr>
          <w:w w:val="200"/>
        </w:rPr>
        <w:t> </w:t>
      </w:r>
      <w:r>
        <w:rPr/>
        <w:t> </w:t>
      </w:r>
      <w:r>
        <w:rPr>
          <w:w w:val="177"/>
        </w:rPr>
        <w:t> </w:t>
      </w:r>
      <w:r>
        <w:rPr>
          <w:w w:val="140"/>
        </w:rPr>
        <w:t>   </w:t>
      </w:r>
      <w:r>
        <w:rPr>
          <w:w w:val="177"/>
        </w:rPr>
        <w:t>   </w:t>
      </w:r>
      <w:r>
        <w:rPr>
          <w:w w:val="170"/>
        </w:rPr>
        <w:t>   </w:t>
      </w:r>
    </w:p>
    <w:p>
      <w:pPr>
        <w:pStyle w:val="BodyText"/>
        <w:spacing w:before="6"/>
        <w:ind w:left="102"/>
      </w:pPr>
      <w:r>
        <w:rPr>
          <w:w w:val="188"/>
        </w:rPr>
        <w:t>  </w:t>
      </w:r>
      <w:r>
        <w:rPr>
          <w:spacing w:val="-1"/>
        </w:rPr>
        <w:t> </w:t>
      </w:r>
      <w:r>
        <w:rPr>
          <w:w w:val="192"/>
        </w:rPr>
        <w:t>   </w:t>
      </w:r>
      <w:r>
        <w:rPr>
          <w:spacing w:val="-1"/>
        </w:rPr>
        <w:t> </w:t>
      </w:r>
      <w:r>
        <w:rPr>
          <w:spacing w:val="-1"/>
          <w:w w:val="133"/>
        </w:rPr>
        <w:t> </w:t>
      </w:r>
      <w:r>
        <w:rPr>
          <w:spacing w:val="1"/>
          <w:w w:val="177"/>
        </w:rPr>
        <w:t> </w:t>
      </w:r>
      <w:r>
        <w:rPr>
          <w:spacing w:val="-3"/>
          <w:w w:val="200"/>
        </w:rPr>
        <w:t> </w:t>
      </w:r>
      <w:r>
        <w:rPr>
          <w:spacing w:val="2"/>
          <w:w w:val="111"/>
        </w:rPr>
        <w:t> </w:t>
      </w:r>
      <w:r>
        <w:rPr>
          <w:w w:val="177"/>
        </w:rPr>
        <w:t> </w:t>
      </w:r>
      <w:r>
        <w:rPr>
          <w:spacing w:val="-1"/>
        </w:rPr>
        <w:t> </w:t>
      </w:r>
      <w:r>
        <w:rPr>
          <w:spacing w:val="-1"/>
          <w:w w:val="133"/>
        </w:rPr>
        <w:t> </w:t>
      </w:r>
      <w:r>
        <w:rPr>
          <w:w w:val="155"/>
        </w:rPr>
        <w:t>   </w:t>
      </w:r>
      <w:r>
        <w:rPr>
          <w:spacing w:val="-2"/>
          <w:w w:val="155"/>
        </w:rPr>
        <w:t> </w:t>
      </w:r>
      <w:r>
        <w:rPr>
          <w:w w:val="111"/>
        </w:rPr>
        <w:t> </w:t>
      </w:r>
      <w:r>
        <w:rPr/>
        <w:t> </w:t>
      </w:r>
      <w:r>
        <w:rPr>
          <w:w w:val="1"/>
        </w:rPr>
        <w:t> </w:t>
      </w:r>
      <w:r>
        <w:rPr/>
        <w:t>  </w:t>
      </w:r>
    </w:p>
    <w:p>
      <w:pPr>
        <w:pStyle w:val="BodyText"/>
        <w:spacing w:line="360" w:lineRule="auto" w:before="137"/>
        <w:ind w:left="102" w:right="102" w:firstLine="707"/>
        <w:jc w:val="both"/>
      </w:pPr>
      <w:r>
        <w:rPr/>
        <w:t>De las simulaciones realizadas, las diversas magnitudes de canalización de ingresos fiscales del recurso natural hacia el gasto de capital presentan menores niveles de endeudamiento público máximo a comparación con el escenario sin regla fiscal.</w:t>
      </w:r>
    </w:p>
    <w:p>
      <w:pPr>
        <w:pStyle w:val="BodyText"/>
        <w:spacing w:line="360" w:lineRule="auto" w:before="4"/>
        <w:ind w:left="102" w:right="98" w:firstLine="707"/>
        <w:jc w:val="both"/>
      </w:pPr>
      <w:r>
        <w:rPr/>
        <w:t>De los escenarios planteados, se evidenció que la mejor alternativa observada para  la deuda pública hasta el 2016, fue el de canalizar en una </w:t>
      </w:r>
      <w:r>
        <w:rPr>
          <w:i/>
        </w:rPr>
        <w:t>magnitud media-baja </w:t>
      </w:r>
      <w:r>
        <w:rPr/>
        <w:t>los ingresos fiscales del recurso natural hacia el gasto de capital (25%); limitar el gasto corriente en términos de ingresos fiscales no gasíferos (1.13 veces) y una deuda pública máxima del  39% en torno al PIB.       </w:t>
      </w:r>
      <w:r>
        <w:rPr>
          <w:spacing w:val="9"/>
        </w:rPr>
        <w:t> </w:t>
      </w:r>
      <w:r>
        <w:rPr/>
        <w:t>Lo anterior implicaría un ajuste fiscal requerido del 4.2% sobre el</w:t>
      </w:r>
    </w:p>
    <w:p>
      <w:pPr>
        <w:spacing w:after="0" w:line="360" w:lineRule="auto"/>
        <w:jc w:val="both"/>
        <w:sectPr>
          <w:pgSz w:w="12250" w:h="15850"/>
          <w:pgMar w:header="0" w:footer="977" w:top="1360" w:bottom="1220" w:left="1600" w:right="1600"/>
        </w:sectPr>
      </w:pPr>
    </w:p>
    <w:p>
      <w:pPr>
        <w:pStyle w:val="BodyText"/>
        <w:spacing w:line="360" w:lineRule="auto" w:before="50"/>
        <w:ind w:left="102" w:right="120"/>
        <w:jc w:val="both"/>
      </w:pPr>
      <w:r>
        <w:rPr/>
        <w:t>balance global cíclicamente ajustado en torno al PIB comparado con el período reciente (promedio del 2007-2011) lo cual implicaría una reducción anual del gasto del capital en 49% y una disminución del gasto corriente en 6% en relación con el período señalado.</w:t>
      </w:r>
    </w:p>
    <w:p>
      <w:pPr>
        <w:pStyle w:val="BodyText"/>
        <w:spacing w:line="360" w:lineRule="auto" w:before="4"/>
        <w:ind w:left="102" w:right="120" w:firstLine="707"/>
        <w:jc w:val="both"/>
      </w:pPr>
      <w:r>
        <w:rPr/>
        <w:t>El costo de este ajuste implicaría mayor optimización el manejo de los ingresos fiscales, donde el gasto corriente estará limitado a los ingresos fiscales no gasíferos (sin gas natural) y a una parte de los ingresos fiscales del gas natural, lo cual conllevaría a mayores superávits fiscales exigidos como ahorro público para ser empleado en tiempos contracíclicos.</w:t>
      </w:r>
    </w:p>
    <w:p>
      <w:pPr>
        <w:pStyle w:val="BodyText"/>
        <w:spacing w:line="360" w:lineRule="auto" w:before="7"/>
        <w:ind w:left="102" w:right="115" w:firstLine="707"/>
        <w:jc w:val="both"/>
      </w:pPr>
      <w:r>
        <w:rPr>
          <w:w w:val="244"/>
        </w:rPr>
        <w:t>  </w:t>
      </w:r>
      <w:r>
        <w:rPr>
          <w:spacing w:val="25"/>
        </w:rPr>
        <w:t> </w:t>
      </w:r>
      <w:r>
        <w:rPr>
          <w:spacing w:val="-1"/>
          <w:w w:val="177"/>
        </w:rPr>
        <w:t> </w:t>
      </w:r>
      <w:r>
        <w:rPr>
          <w:w w:val="166"/>
        </w:rPr>
        <w:t> </w:t>
      </w:r>
      <w:r>
        <w:rPr>
          <w:spacing w:val="-1"/>
          <w:w w:val="166"/>
        </w:rPr>
        <w:t> </w:t>
      </w:r>
      <w:r>
        <w:rPr>
          <w:spacing w:val="-1"/>
          <w:w w:val="177"/>
        </w:rPr>
        <w:t> </w:t>
      </w:r>
      <w:r>
        <w:rPr>
          <w:w w:val="188"/>
        </w:rPr>
        <w:t> </w:t>
      </w:r>
      <w:r>
        <w:rPr>
          <w:spacing w:val="1"/>
          <w:w w:val="188"/>
        </w:rPr>
        <w:t> </w:t>
      </w:r>
      <w:r>
        <w:rPr>
          <w:w w:val="148"/>
        </w:rPr>
        <w:t>   </w:t>
      </w:r>
      <w:r>
        <w:rPr>
          <w:spacing w:val="25"/>
        </w:rPr>
        <w:t> </w:t>
      </w:r>
      <w:r>
        <w:rPr>
          <w:w w:val="162"/>
        </w:rPr>
        <w:t>     </w:t>
      </w:r>
      <w:r>
        <w:rPr>
          <w:spacing w:val="-1"/>
          <w:w w:val="162"/>
        </w:rPr>
        <w:t> </w:t>
      </w:r>
      <w:r>
        <w:rPr>
          <w:spacing w:val="-1"/>
          <w:w w:val="177"/>
        </w:rPr>
        <w:t> </w:t>
      </w:r>
      <w:r>
        <w:rPr>
          <w:w w:val="200"/>
        </w:rPr>
        <w:t>  </w:t>
      </w:r>
      <w:r>
        <w:rPr>
          <w:spacing w:val="28"/>
        </w:rPr>
        <w:t> </w:t>
      </w:r>
      <w:r>
        <w:rPr>
          <w:w w:val="188"/>
        </w:rPr>
        <w:t>  </w:t>
      </w:r>
      <w:r>
        <w:rPr>
          <w:spacing w:val="25"/>
        </w:rPr>
        <w:t> </w:t>
      </w:r>
      <w:r>
        <w:rPr>
          <w:w w:val="155"/>
        </w:rPr>
        <w:t>  </w:t>
      </w:r>
      <w:r>
        <w:rPr>
          <w:spacing w:val="-3"/>
          <w:w w:val="200"/>
        </w:rPr>
        <w:t> </w:t>
      </w:r>
      <w:r>
        <w:rPr>
          <w:w w:val="144"/>
        </w:rPr>
        <w:t>  </w:t>
      </w:r>
      <w:r>
        <w:rPr>
          <w:spacing w:val="25"/>
        </w:rPr>
        <w:t> </w:t>
      </w:r>
      <w:r>
        <w:rPr>
          <w:w w:val="144"/>
        </w:rPr>
        <w:t>   </w:t>
      </w:r>
      <w:r>
        <w:rPr>
          <w:spacing w:val="1"/>
          <w:w w:val="144"/>
        </w:rPr>
        <w:t> </w:t>
      </w:r>
      <w:r>
        <w:rPr>
          <w:spacing w:val="-1"/>
          <w:w w:val="177"/>
        </w:rPr>
        <w:t> </w:t>
      </w:r>
      <w:r>
        <w:rPr>
          <w:w w:val="111"/>
        </w:rPr>
        <w:t> </w:t>
      </w:r>
      <w:r>
        <w:rPr/>
        <w:t> </w:t>
      </w:r>
      <w:r>
        <w:rPr>
          <w:w w:val="1"/>
        </w:rPr>
        <w:t> </w:t>
      </w:r>
      <w:r>
        <w:rPr>
          <w:spacing w:val="29"/>
        </w:rPr>
        <w:t> </w:t>
      </w:r>
      <w:r>
        <w:rPr>
          <w:i/>
        </w:rPr>
        <w:t>más laxo </w:t>
      </w:r>
      <w:r>
        <w:rPr/>
        <w:t>consistiría en canalizar una </w:t>
      </w:r>
      <w:r>
        <w:rPr>
          <w:i/>
        </w:rPr>
        <w:t>alta </w:t>
      </w:r>
      <w:r>
        <w:rPr>
          <w:i/>
        </w:rPr>
        <w:t>proporción </w:t>
      </w:r>
      <w:r>
        <w:rPr/>
        <w:t>de los ingresos fiscales del gas natural al gasto de capital (90%); la aplicación de una regla fiscal de oro para países petroleros e hidrocarburíferos (gasto corriente  limitado a los ingresos fiscales no gasíferos) y una deuda pública máxima del 43% en torno al PIB. Se exigiría un ajuste fiscal del 1.6% sobre el balance global cíclicamente ajustado comparado con el promedio (2007-2011). Para este escenario de regla fiscal, el costo de ajuste sería menor a la regla fiscal de </w:t>
      </w:r>
      <w:r>
        <w:rPr>
          <w:i/>
        </w:rPr>
        <w:t>canalización media-baja </w:t>
      </w:r>
      <w:r>
        <w:rPr/>
        <w:t>e inclusive con incrementos en el gasto de capital. Frente a ello, se requeriría un aumento anual del gasto de capital en 83% y una disminución del gasto corriente en 16% en comparación con el período 2007- 2011.</w:t>
      </w:r>
    </w:p>
    <w:p>
      <w:pPr>
        <w:pStyle w:val="BodyText"/>
        <w:spacing w:line="360" w:lineRule="auto" w:before="6"/>
        <w:ind w:left="102" w:right="115" w:firstLine="707"/>
        <w:jc w:val="both"/>
      </w:pPr>
      <w:r>
        <w:rPr/>
        <w:t>El escenario de regla fiscal basado en </w:t>
      </w:r>
      <w:r>
        <w:rPr>
          <w:i/>
        </w:rPr>
        <w:t>canalización alta </w:t>
      </w:r>
      <w:r>
        <w:rPr/>
        <w:t>para Bolivia es equivalente  a la función de ahorro de Kazakstán, donde se ahorran de forma lineal el 10% de los ingresos del petróleo y de la minería basados en supuestos de proyección anuales para los precios y sendero de producción de los recursos naturales para efectos de elaboración y aprobación de presupuestos fiscales  (Wakeman-Lin, et al., 2003, p.</w:t>
      </w:r>
      <w:r>
        <w:rPr>
          <w:spacing w:val="-11"/>
        </w:rPr>
        <w:t> </w:t>
      </w:r>
      <w:r>
        <w:rPr/>
        <w:t>354).</w:t>
      </w:r>
    </w:p>
    <w:p>
      <w:pPr>
        <w:pStyle w:val="BodyText"/>
        <w:spacing w:before="4"/>
        <w:ind w:left="810" w:right="127"/>
      </w:pPr>
      <w:r>
        <w:rPr/>
        <w:t>Los  diversos  límites  de  déficits   fiscales  basados     en   </w:t>
      </w:r>
      <w:r>
        <w:rPr>
          <w:w w:val="177"/>
        </w:rPr>
        <w:t> </w:t>
      </w:r>
      <w:r>
        <w:rPr>
          <w:w w:val="111"/>
        </w:rPr>
        <w:t> </w:t>
      </w:r>
      <w:r>
        <w:rPr/>
        <w:t>   </w:t>
      </w:r>
      <w:r>
        <w:rPr>
          <w:w w:val="188"/>
        </w:rPr>
        <w:t>  </w:t>
      </w:r>
      <w:r>
        <w:rPr>
          <w:w w:val="162"/>
        </w:rPr>
        <w:t>   </w:t>
      </w:r>
      <w:r>
        <w:rPr>
          <w:w w:val="177"/>
        </w:rPr>
        <w:t>  </w:t>
      </w:r>
      <w:r>
        <w:rPr/>
        <w:t>   </w:t>
      </w:r>
      <w:r>
        <w:rPr>
          <w:w w:val="177"/>
        </w:rPr>
        <w:t> </w:t>
      </w:r>
      <w:r>
        <w:rPr>
          <w:w w:val="111"/>
        </w:rPr>
        <w:t> </w:t>
      </w:r>
      <w:r>
        <w:rPr>
          <w:w w:val="177"/>
        </w:rPr>
        <w:t> </w:t>
      </w:r>
      <w:r>
        <w:rPr>
          <w:w w:val="111"/>
        </w:rPr>
        <w:t>  </w:t>
      </w:r>
      <w:r>
        <w:rPr>
          <w:w w:val="177"/>
        </w:rPr>
        <w:t>  </w:t>
      </w:r>
      <w:r>
        <w:rPr>
          <w:w w:val="195"/>
        </w:rPr>
        <w:t>     </w:t>
      </w:r>
    </w:p>
    <w:p>
      <w:pPr>
        <w:pStyle w:val="BodyText"/>
        <w:spacing w:line="360" w:lineRule="auto" w:before="137"/>
        <w:ind w:left="102" w:right="116"/>
        <w:jc w:val="both"/>
      </w:pPr>
      <w:r>
        <w:rPr>
          <w:w w:val="177"/>
        </w:rPr>
        <w:t> </w:t>
      </w:r>
      <w:r>
        <w:rPr>
          <w:w w:val="144"/>
        </w:rPr>
        <w:t>    </w:t>
      </w:r>
      <w:r>
        <w:rPr>
          <w:w w:val="177"/>
        </w:rPr>
        <w:t> </w:t>
      </w:r>
      <w:r>
        <w:rPr>
          <w:w w:val="200"/>
        </w:rPr>
        <w:t>  </w:t>
      </w:r>
      <w:r>
        <w:rPr/>
        <w:t>  </w:t>
      </w:r>
      <w:r>
        <w:rPr>
          <w:w w:val="1"/>
        </w:rPr>
        <w:t> </w:t>
      </w:r>
      <w:r>
        <w:rPr/>
        <w:t>  </w:t>
      </w:r>
      <w:r>
        <w:rPr>
          <w:w w:val="177"/>
        </w:rPr>
        <w:t> </w:t>
      </w:r>
      <w:r>
        <w:rPr>
          <w:w w:val="237"/>
        </w:rPr>
        <w:t>   </w:t>
      </w:r>
      <w:r>
        <w:rPr/>
        <w:t> </w:t>
      </w:r>
      <w:r>
        <w:rPr>
          <w:w w:val="177"/>
        </w:rPr>
        <w:t> </w:t>
      </w:r>
      <w:r>
        <w:rPr>
          <w:w w:val="159"/>
        </w:rPr>
        <w:t>      </w:t>
      </w:r>
      <w:r>
        <w:rPr>
          <w:w w:val="177"/>
        </w:rPr>
        <w:t> </w:t>
      </w:r>
      <w:r>
        <w:rPr>
          <w:w w:val="155"/>
        </w:rPr>
        <w:t> </w:t>
      </w:r>
      <w:r>
        <w:rPr/>
        <w:t> </w:t>
      </w:r>
      <w:r>
        <w:rPr>
          <w:w w:val="188"/>
        </w:rPr>
        <w:t>  </w:t>
      </w:r>
      <w:r>
        <w:rPr/>
        <w:t> </w:t>
      </w:r>
      <w:r>
        <w:rPr>
          <w:w w:val="177"/>
        </w:rPr>
        <w:t> </w:t>
      </w:r>
      <w:r>
        <w:rPr>
          <w:w w:val="155"/>
        </w:rPr>
        <w:t> </w:t>
      </w:r>
      <w:r>
        <w:rPr>
          <w:w w:val="177"/>
        </w:rPr>
        <w:t>  </w:t>
      </w:r>
      <w:r>
        <w:rPr>
          <w:w w:val="188"/>
        </w:rPr>
        <w:t>  </w:t>
      </w:r>
      <w:r>
        <w:rPr/>
        <w:t> </w:t>
      </w:r>
      <w:r>
        <w:rPr>
          <w:w w:val="1"/>
        </w:rPr>
        <w:t> </w:t>
      </w:r>
      <w:r>
        <w:rPr/>
        <w:t>   </w:t>
      </w:r>
      <w:r>
        <w:rPr>
          <w:w w:val="155"/>
        </w:rPr>
        <w:t>      </w:t>
      </w:r>
      <w:r>
        <w:rPr>
          <w:w w:val="200"/>
        </w:rPr>
        <w:t> </w:t>
      </w:r>
      <w:r>
        <w:rPr/>
        <w:t> </w:t>
      </w:r>
      <w:r>
        <w:rPr>
          <w:w w:val="177"/>
        </w:rPr>
        <w:t> </w:t>
      </w:r>
      <w:r>
        <w:rPr>
          <w:w w:val="122"/>
        </w:rPr>
        <w:t>  </w:t>
      </w:r>
      <w:r>
        <w:rPr>
          <w:w w:val="177"/>
        </w:rPr>
        <w:t> </w:t>
      </w:r>
      <w:r>
        <w:rPr>
          <w:w w:val="200"/>
        </w:rPr>
        <w:t> </w:t>
      </w:r>
      <w:r>
        <w:rPr/>
        <w:t>edor del 2% en torno al PIB, donde el gasto de capital es la variable de ajuste para los déficits máximos (con objetivos de sostenibilidad fiscal), por tanto, el gasto corriente permanece constante en términos de los ingresos fiscales no gasíferos.</w:t>
      </w:r>
    </w:p>
    <w:p>
      <w:pPr>
        <w:pStyle w:val="BodyText"/>
        <w:spacing w:line="360" w:lineRule="auto" w:before="4"/>
        <w:ind w:left="102" w:right="118" w:firstLine="707"/>
        <w:jc w:val="both"/>
      </w:pPr>
      <w:r>
        <w:rPr>
          <w:w w:val="233"/>
        </w:rPr>
        <w:t>  </w:t>
      </w:r>
      <w:r>
        <w:rPr/>
        <w:t> </w:t>
      </w:r>
      <w:r>
        <w:rPr>
          <w:spacing w:val="-26"/>
        </w:rPr>
        <w:t> </w:t>
      </w:r>
      <w:r>
        <w:rPr>
          <w:w w:val="177"/>
        </w:rPr>
        <w:t>   </w:t>
      </w:r>
      <w:r>
        <w:rPr>
          <w:spacing w:val="-2"/>
          <w:w w:val="177"/>
        </w:rPr>
        <w:t> </w:t>
      </w:r>
      <w:r>
        <w:rPr>
          <w:w w:val="200"/>
        </w:rPr>
        <w:t> </w:t>
      </w:r>
      <w:r>
        <w:rPr>
          <w:spacing w:val="2"/>
          <w:w w:val="200"/>
        </w:rPr>
        <w:t> </w:t>
      </w:r>
      <w:r>
        <w:rPr>
          <w:w w:val="177"/>
        </w:rPr>
        <w:t> </w:t>
      </w:r>
      <w:r>
        <w:rPr/>
        <w:t> </w:t>
      </w:r>
      <w:r>
        <w:rPr>
          <w:spacing w:val="-26"/>
        </w:rPr>
        <w:t> </w:t>
      </w:r>
      <w:r>
        <w:rPr>
          <w:w w:val="216"/>
        </w:rPr>
        <w:t>   </w:t>
      </w:r>
      <w:r>
        <w:rPr>
          <w:spacing w:val="-2"/>
          <w:w w:val="216"/>
        </w:rPr>
        <w:t> </w:t>
      </w:r>
      <w:r>
        <w:rPr>
          <w:w w:val="155"/>
        </w:rPr>
        <w:t> </w:t>
      </w:r>
      <w:r>
        <w:rPr>
          <w:spacing w:val="-2"/>
          <w:w w:val="155"/>
        </w:rPr>
        <w:t> </w:t>
      </w:r>
      <w:r>
        <w:rPr/>
        <w:t>  </w:t>
      </w:r>
      <w:r>
        <w:rPr>
          <w:spacing w:val="-25"/>
        </w:rPr>
        <w:t> </w:t>
      </w:r>
      <w:r>
        <w:rPr>
          <w:w w:val="155"/>
        </w:rPr>
        <w:t>   </w:t>
      </w:r>
      <w:r>
        <w:rPr/>
        <w:t> </w:t>
      </w:r>
      <w:r>
        <w:rPr>
          <w:spacing w:val="-22"/>
        </w:rPr>
        <w:t> </w:t>
      </w:r>
      <w:r>
        <w:rPr>
          <w:spacing w:val="-1"/>
          <w:w w:val="177"/>
        </w:rPr>
        <w:t> </w:t>
      </w:r>
      <w:r>
        <w:rPr>
          <w:w w:val="166"/>
        </w:rPr>
        <w:t> </w:t>
      </w:r>
      <w:r>
        <w:rPr>
          <w:spacing w:val="-1"/>
          <w:w w:val="166"/>
        </w:rPr>
        <w:t> </w:t>
      </w:r>
      <w:r>
        <w:rPr>
          <w:spacing w:val="-1"/>
          <w:w w:val="177"/>
        </w:rPr>
        <w:t> </w:t>
      </w:r>
      <w:r>
        <w:rPr>
          <w:w w:val="188"/>
        </w:rPr>
        <w:t> </w:t>
      </w:r>
      <w:r>
        <w:rPr>
          <w:spacing w:val="-1"/>
          <w:w w:val="188"/>
        </w:rPr>
        <w:t> </w:t>
      </w:r>
      <w:r>
        <w:rPr>
          <w:w w:val="150"/>
        </w:rPr>
        <w:t>    </w:t>
      </w:r>
      <w:r>
        <w:rPr/>
        <w:t> </w:t>
      </w:r>
      <w:r>
        <w:rPr>
          <w:spacing w:val="-25"/>
        </w:rPr>
        <w:t> </w:t>
      </w:r>
      <w:r>
        <w:rPr>
          <w:w w:val="188"/>
        </w:rPr>
        <w:t>  </w:t>
      </w:r>
      <w:r>
        <w:rPr/>
        <w:t> </w:t>
      </w:r>
      <w:r>
        <w:rPr>
          <w:spacing w:val="-26"/>
        </w:rPr>
        <w:t> </w:t>
      </w:r>
      <w:r>
        <w:rPr>
          <w:spacing w:val="1"/>
          <w:w w:val="133"/>
        </w:rPr>
        <w:t> </w:t>
      </w:r>
      <w:r>
        <w:rPr>
          <w:spacing w:val="1"/>
          <w:w w:val="177"/>
        </w:rPr>
        <w:t> </w:t>
      </w:r>
      <w:r>
        <w:rPr>
          <w:spacing w:val="-3"/>
          <w:w w:val="200"/>
        </w:rPr>
        <w:t> </w:t>
      </w:r>
      <w:r>
        <w:rPr>
          <w:w w:val="148"/>
        </w:rPr>
        <w:t>   </w:t>
      </w:r>
      <w:r>
        <w:rPr/>
        <w:t> </w:t>
      </w:r>
      <w:r>
        <w:rPr>
          <w:spacing w:val="-25"/>
        </w:rPr>
        <w:t> </w:t>
      </w:r>
      <w:r>
        <w:rPr>
          <w:w w:val="144"/>
        </w:rPr>
        <w:t>   </w:t>
      </w:r>
      <w:r>
        <w:rPr>
          <w:spacing w:val="-1"/>
          <w:w w:val="144"/>
        </w:rPr>
        <w:t> </w:t>
      </w:r>
      <w:r>
        <w:rPr>
          <w:spacing w:val="-1"/>
          <w:w w:val="177"/>
        </w:rPr>
        <w:t> </w:t>
      </w:r>
      <w:r>
        <w:rPr>
          <w:w w:val="148"/>
        </w:rPr>
        <w:t>   </w:t>
      </w:r>
      <w:r>
        <w:rPr/>
        <w:t> </w:t>
      </w:r>
      <w:r>
        <w:rPr>
          <w:w w:val="1"/>
        </w:rPr>
        <w:t> </w:t>
      </w:r>
      <w:r>
        <w:rPr/>
        <w:t> </w:t>
      </w:r>
      <w:r>
        <w:rPr>
          <w:spacing w:val="-25"/>
        </w:rPr>
        <w:t> </w:t>
      </w:r>
      <w:r>
        <w:rPr>
          <w:w w:val="162"/>
        </w:rPr>
        <w:t>     </w:t>
      </w:r>
      <w:r>
        <w:rPr>
          <w:spacing w:val="-1"/>
          <w:w w:val="162"/>
        </w:rPr>
        <w:t> </w:t>
      </w:r>
      <w:r>
        <w:rPr>
          <w:spacing w:val="-1"/>
          <w:w w:val="177"/>
        </w:rPr>
        <w:t> </w:t>
      </w:r>
      <w:r>
        <w:rPr>
          <w:w w:val="185"/>
        </w:rPr>
        <w:t>   </w:t>
      </w:r>
      <w:r>
        <w:rPr/>
        <w:t> </w:t>
      </w:r>
      <w:r>
        <w:rPr>
          <w:spacing w:val="-24"/>
        </w:rPr>
        <w:t> </w:t>
      </w:r>
      <w:r>
        <w:rPr>
          <w:w w:val="188"/>
        </w:rPr>
        <w:t> </w:t>
      </w:r>
      <w:r>
        <w:rPr>
          <w:spacing w:val="1"/>
          <w:w w:val="188"/>
        </w:rPr>
        <w:t> </w:t>
      </w:r>
      <w:r>
        <w:rPr>
          <w:w w:val="155"/>
        </w:rPr>
        <w:t>  </w:t>
      </w:r>
      <w:r>
        <w:rPr/>
        <w:t> </w:t>
      </w:r>
      <w:r>
        <w:rPr>
          <w:spacing w:val="-26"/>
        </w:rPr>
        <w:t> </w:t>
      </w:r>
      <w:r>
        <w:rPr>
          <w:w w:val="266"/>
        </w:rPr>
        <w:t> </w:t>
      </w:r>
      <w:r>
        <w:rPr>
          <w:w w:val="140"/>
        </w:rPr>
        <w:t>   </w:t>
      </w:r>
      <w:r>
        <w:rPr>
          <w:w w:val="162"/>
        </w:rPr>
        <w:t>   </w:t>
      </w:r>
      <w:r>
        <w:rPr/>
        <w:t> </w:t>
      </w:r>
      <w:r>
        <w:rPr>
          <w:w w:val="1"/>
        </w:rPr>
        <w:t> </w:t>
      </w:r>
      <w:r>
        <w:rPr/>
        <w:t> </w:t>
      </w:r>
      <w:r>
        <w:rPr>
          <w:spacing w:val="-25"/>
        </w:rPr>
        <w:t> </w:t>
      </w:r>
      <w:r>
        <w:rPr>
          <w:w w:val="166"/>
        </w:rPr>
        <w:t>  </w:t>
      </w:r>
      <w:r>
        <w:rPr>
          <w:spacing w:val="-1"/>
        </w:rPr>
        <w:t>e</w:t>
      </w:r>
      <w:r>
        <w:rPr/>
        <w:t>stabl</w:t>
      </w:r>
      <w:r>
        <w:rPr>
          <w:spacing w:val="-1"/>
        </w:rPr>
        <w:t>ece</w:t>
      </w:r>
      <w:r>
        <w:rPr/>
        <w:t>n</w:t>
      </w:r>
      <w:r>
        <w:rPr>
          <w:spacing w:val="2"/>
        </w:rPr>
        <w:t> </w:t>
      </w:r>
      <w:r>
        <w:rPr>
          <w:spacing w:val="-1"/>
        </w:rPr>
        <w:t>c</w:t>
      </w:r>
      <w:r>
        <w:rPr/>
        <w:t>omo </w:t>
      </w:r>
      <w:r>
        <w:rPr>
          <w:w w:val="99"/>
        </w:rPr>
        <w:t>los</w:t>
      </w:r>
      <w:r>
        <w:rPr>
          <w:spacing w:val="-1"/>
        </w:rPr>
        <w:t> </w:t>
      </w:r>
      <w:r>
        <w:rPr/>
        <w:t>val</w:t>
      </w:r>
      <w:r>
        <w:rPr>
          <w:spacing w:val="2"/>
        </w:rPr>
        <w:t>o</w:t>
      </w:r>
      <w:r>
        <w:rPr/>
        <w:t>r</w:t>
      </w:r>
      <w:r>
        <w:rPr>
          <w:spacing w:val="-2"/>
        </w:rPr>
        <w:t>e</w:t>
      </w:r>
      <w:r>
        <w:rPr>
          <w:w w:val="99"/>
        </w:rPr>
        <w:t>s</w:t>
      </w:r>
      <w:r>
        <w:rPr/>
        <w:t> óptim</w:t>
      </w:r>
      <w:r>
        <w:rPr>
          <w:w w:val="99"/>
        </w:rPr>
        <w:t>os</w:t>
      </w:r>
      <w:r>
        <w:rPr/>
        <w:t> de</w:t>
      </w:r>
      <w:r>
        <w:rPr>
          <w:spacing w:val="-1"/>
        </w:rPr>
        <w:t> ca</w:t>
      </w:r>
      <w:r>
        <w:rPr>
          <w:spacing w:val="2"/>
        </w:rPr>
        <w:t>n</w:t>
      </w:r>
      <w:r>
        <w:rPr>
          <w:spacing w:val="-1"/>
        </w:rPr>
        <w:t>a</w:t>
      </w:r>
      <w:r>
        <w:rPr/>
        <w:t>li</w:t>
      </w:r>
      <w:r>
        <w:rPr>
          <w:spacing w:val="1"/>
        </w:rPr>
        <w:t>z</w:t>
      </w:r>
      <w:r>
        <w:rPr>
          <w:spacing w:val="-1"/>
        </w:rPr>
        <w:t>ac</w:t>
      </w:r>
      <w:r>
        <w:rPr/>
        <w:t>ión</w:t>
      </w:r>
      <w:r>
        <w:rPr>
          <w:spacing w:val="-1"/>
        </w:rPr>
        <w:t> </w:t>
      </w:r>
      <w:r>
        <w:rPr/>
        <w:t>de ing</w:t>
      </w:r>
      <w:r>
        <w:rPr>
          <w:spacing w:val="-1"/>
        </w:rPr>
        <w:t>re</w:t>
      </w:r>
      <w:r>
        <w:rPr>
          <w:w w:val="99"/>
        </w:rPr>
        <w:t>sos</w:t>
      </w:r>
      <w:r>
        <w:rPr/>
        <w:t> </w:t>
      </w:r>
      <w:r>
        <w:rPr>
          <w:w w:val="99"/>
        </w:rPr>
        <w:t>fis</w:t>
      </w:r>
      <w:r>
        <w:rPr>
          <w:spacing w:val="1"/>
          <w:w w:val="99"/>
        </w:rPr>
        <w:t>c</w:t>
      </w:r>
      <w:r>
        <w:rPr>
          <w:spacing w:val="-1"/>
        </w:rPr>
        <w:t>a</w:t>
      </w:r>
      <w:r>
        <w:rPr>
          <w:w w:val="99"/>
        </w:rPr>
        <w:t>les</w:t>
      </w:r>
      <w:r>
        <w:rPr/>
        <w:t> d</w:t>
      </w:r>
      <w:r>
        <w:rPr>
          <w:spacing w:val="1"/>
        </w:rPr>
        <w:t>e</w:t>
      </w:r>
      <w:r>
        <w:rPr/>
        <w:t>l r</w:t>
      </w:r>
      <w:r>
        <w:rPr>
          <w:spacing w:val="-2"/>
        </w:rPr>
        <w:t>e</w:t>
      </w:r>
      <w:r>
        <w:rPr>
          <w:spacing w:val="-1"/>
        </w:rPr>
        <w:t>c</w:t>
      </w:r>
      <w:r>
        <w:rPr/>
        <w:t>u</w:t>
      </w:r>
      <w:r>
        <w:rPr>
          <w:spacing w:val="-1"/>
        </w:rPr>
        <w:t>r</w:t>
      </w:r>
      <w:r>
        <w:rPr>
          <w:w w:val="99"/>
        </w:rPr>
        <w:t>so</w:t>
      </w:r>
      <w:r>
        <w:rPr/>
        <w:t> </w:t>
      </w:r>
      <w:r>
        <w:rPr>
          <w:spacing w:val="2"/>
        </w:rPr>
        <w:t>n</w:t>
      </w:r>
      <w:r>
        <w:rPr>
          <w:spacing w:val="-1"/>
        </w:rPr>
        <w:t>a</w:t>
      </w:r>
      <w:r>
        <w:rPr/>
        <w:t>tur</w:t>
      </w:r>
      <w:r>
        <w:rPr>
          <w:spacing w:val="-2"/>
        </w:rPr>
        <w:t>a</w:t>
      </w:r>
      <w:r>
        <w:rPr/>
        <w:t>l h</w:t>
      </w:r>
      <w:r>
        <w:rPr>
          <w:spacing w:val="-1"/>
        </w:rPr>
        <w:t>ac</w:t>
      </w:r>
      <w:r>
        <w:rPr/>
        <w:t>ia</w:t>
      </w:r>
      <w:r>
        <w:rPr>
          <w:spacing w:val="25"/>
        </w:rPr>
        <w:t> </w:t>
      </w:r>
      <w:r>
        <w:rPr>
          <w:spacing w:val="-1"/>
        </w:rPr>
        <w:t>e</w:t>
      </w:r>
      <w:r>
        <w:rPr/>
        <w:t>l</w:t>
      </w:r>
      <w:r>
        <w:rPr>
          <w:spacing w:val="29"/>
        </w:rPr>
        <w:t> </w:t>
      </w:r>
      <w:r>
        <w:rPr>
          <w:spacing w:val="-3"/>
        </w:rPr>
        <w:t>g</w:t>
      </w:r>
      <w:r>
        <w:rPr>
          <w:spacing w:val="-1"/>
        </w:rPr>
        <w:t>a</w:t>
      </w:r>
      <w:r>
        <w:rPr>
          <w:w w:val="99"/>
        </w:rPr>
        <w:t>sto</w:t>
      </w:r>
      <w:r>
        <w:rPr>
          <w:spacing w:val="26"/>
        </w:rPr>
        <w:t> </w:t>
      </w:r>
      <w:r>
        <w:rPr/>
        <w:t>de</w:t>
      </w:r>
      <w:r>
        <w:rPr>
          <w:spacing w:val="25"/>
        </w:rPr>
        <w:t> </w:t>
      </w:r>
      <w:r>
        <w:rPr>
          <w:spacing w:val="1"/>
        </w:rPr>
        <w:t>c</w:t>
      </w:r>
      <w:r>
        <w:rPr>
          <w:spacing w:val="-1"/>
        </w:rPr>
        <w:t>a</w:t>
      </w:r>
      <w:r>
        <w:rPr/>
        <w:t>pit</w:t>
      </w:r>
      <w:r>
        <w:rPr>
          <w:spacing w:val="-1"/>
        </w:rPr>
        <w:t>a</w:t>
      </w:r>
      <w:r>
        <w:rPr/>
        <w:t>l;</w:t>
      </w:r>
      <w:r>
        <w:rPr>
          <w:spacing w:val="26"/>
        </w:rPr>
        <w:t> </w:t>
      </w:r>
      <w:r>
        <w:rPr>
          <w:w w:val="99"/>
        </w:rPr>
        <w:t>sin</w:t>
      </w:r>
      <w:r>
        <w:rPr>
          <w:spacing w:val="26"/>
        </w:rPr>
        <w:t> </w:t>
      </w:r>
      <w:r>
        <w:rPr>
          <w:spacing w:val="-1"/>
        </w:rPr>
        <w:t>e</w:t>
      </w:r>
      <w:r>
        <w:rPr/>
        <w:t>mba</w:t>
      </w:r>
      <w:r>
        <w:rPr>
          <w:spacing w:val="-2"/>
        </w:rPr>
        <w:t>r</w:t>
      </w:r>
      <w:r>
        <w:rPr>
          <w:spacing w:val="-3"/>
        </w:rPr>
        <w:t>g</w:t>
      </w:r>
      <w:r>
        <w:rPr/>
        <w:t>o,</w:t>
      </w:r>
      <w:r>
        <w:rPr>
          <w:spacing w:val="26"/>
        </w:rPr>
        <w:t> </w:t>
      </w:r>
      <w:r>
        <w:rPr>
          <w:w w:val="99"/>
        </w:rPr>
        <w:t>se</w:t>
      </w:r>
      <w:r>
        <w:rPr>
          <w:spacing w:val="25"/>
        </w:rPr>
        <w:t> </w:t>
      </w:r>
      <w:r>
        <w:rPr>
          <w:spacing w:val="-1"/>
        </w:rPr>
        <w:t>c</w:t>
      </w:r>
      <w:r>
        <w:rPr/>
        <w:t>onsti</w:t>
      </w:r>
      <w:r>
        <w:rPr>
          <w:spacing w:val="3"/>
        </w:rPr>
        <w:t>t</w:t>
      </w:r>
      <w:r>
        <w:rPr>
          <w:spacing w:val="2"/>
        </w:rPr>
        <w:t>u</w:t>
      </w:r>
      <w:r>
        <w:rPr>
          <w:spacing w:val="-5"/>
        </w:rPr>
        <w:t>y</w:t>
      </w:r>
      <w:r>
        <w:rPr>
          <w:spacing w:val="-1"/>
        </w:rPr>
        <w:t>e</w:t>
      </w:r>
      <w:r>
        <w:rPr/>
        <w:t>n</w:t>
      </w:r>
      <w:r>
        <w:rPr>
          <w:spacing w:val="28"/>
        </w:rPr>
        <w:t> </w:t>
      </w:r>
      <w:r>
        <w:rPr>
          <w:spacing w:val="-1"/>
        </w:rPr>
        <w:t>e</w:t>
      </w:r>
      <w:r>
        <w:rPr/>
        <w:t>n</w:t>
      </w:r>
      <w:r>
        <w:rPr>
          <w:spacing w:val="26"/>
        </w:rPr>
        <w:t> </w:t>
      </w:r>
      <w:r>
        <w:rPr/>
        <w:t>puntos</w:t>
      </w:r>
      <w:r>
        <w:rPr>
          <w:spacing w:val="26"/>
        </w:rPr>
        <w:t> </w:t>
      </w:r>
      <w:r>
        <w:rPr/>
        <w:t>de</w:t>
      </w:r>
      <w:r>
        <w:rPr>
          <w:spacing w:val="25"/>
        </w:rPr>
        <w:t> </w:t>
      </w:r>
      <w:r>
        <w:rPr/>
        <w:t>r</w:t>
      </w:r>
      <w:r>
        <w:rPr>
          <w:spacing w:val="-2"/>
        </w:rPr>
        <w:t>e</w:t>
      </w:r>
      <w:r>
        <w:rPr/>
        <w:t>fe</w:t>
      </w:r>
      <w:r>
        <w:rPr>
          <w:spacing w:val="1"/>
        </w:rPr>
        <w:t>r</w:t>
      </w:r>
      <w:r>
        <w:rPr>
          <w:spacing w:val="-1"/>
        </w:rPr>
        <w:t>e</w:t>
      </w:r>
      <w:r>
        <w:rPr/>
        <w:t>n</w:t>
      </w:r>
      <w:r>
        <w:rPr>
          <w:spacing w:val="-1"/>
        </w:rPr>
        <w:t>c</w:t>
      </w:r>
      <w:r>
        <w:rPr>
          <w:w w:val="99"/>
        </w:rPr>
        <w:t>ias</w:t>
      </w:r>
      <w:r>
        <w:rPr/>
        <w:t> </w:t>
      </w:r>
      <w:r>
        <w:rPr>
          <w:spacing w:val="-28"/>
        </w:rPr>
        <w:t> </w:t>
      </w:r>
      <w:r>
        <w:rPr/>
        <w:t>r</w:t>
      </w:r>
      <w:r>
        <w:rPr>
          <w:spacing w:val="-2"/>
        </w:rPr>
        <w:t>e</w:t>
      </w:r>
      <w:r>
        <w:rPr>
          <w:spacing w:val="2"/>
        </w:rPr>
        <w:t>l</w:t>
      </w:r>
      <w:r>
        <w:rPr>
          <w:spacing w:val="-1"/>
        </w:rPr>
        <w:t>e</w:t>
      </w:r>
      <w:r>
        <w:rPr/>
        <w:t>v</w:t>
      </w:r>
      <w:r>
        <w:rPr>
          <w:spacing w:val="-1"/>
        </w:rPr>
        <w:t>a</w:t>
      </w:r>
      <w:r>
        <w:rPr/>
        <w:t>ntes</w:t>
      </w:r>
    </w:p>
    <w:p>
      <w:pPr>
        <w:spacing w:after="0" w:line="360" w:lineRule="auto"/>
        <w:jc w:val="both"/>
        <w:sectPr>
          <w:pgSz w:w="12250" w:h="15850"/>
          <w:pgMar w:header="0" w:footer="977" w:top="1360" w:bottom="1220" w:left="1600" w:right="1580"/>
        </w:sectPr>
      </w:pPr>
    </w:p>
    <w:p>
      <w:pPr>
        <w:pStyle w:val="BodyText"/>
        <w:spacing w:line="360" w:lineRule="auto" w:before="50"/>
        <w:ind w:left="122" w:right="115"/>
      </w:pPr>
      <w:r>
        <w:rPr/>
        <w:t>que señalan el impacto de los distintos mecanismos de asignación de los ingresos fiscales sobre la posición fiscal.</w:t>
      </w:r>
    </w:p>
    <w:p>
      <w:pPr>
        <w:pStyle w:val="BodyText"/>
        <w:spacing w:line="360" w:lineRule="auto" w:before="6"/>
        <w:ind w:left="122" w:right="118" w:firstLine="707"/>
        <w:jc w:val="both"/>
      </w:pPr>
      <w:r>
        <w:rPr/>
        <w:t>Para Bolivia, se propone el 5% de desviación negativa entre el producto efectivo y  el producto potencial, en términos del producto potencial, como un mecanismo prospectivo de activación para la realización de políticas fiscales</w:t>
      </w:r>
      <w:r>
        <w:rPr>
          <w:spacing w:val="-14"/>
        </w:rPr>
        <w:t> </w:t>
      </w:r>
      <w:r>
        <w:rPr/>
        <w:t>contracíclicas.</w:t>
      </w:r>
    </w:p>
    <w:p>
      <w:pPr>
        <w:pStyle w:val="BodyText"/>
        <w:spacing w:line="360" w:lineRule="auto" w:before="4"/>
        <w:ind w:left="122" w:right="115" w:firstLine="707"/>
        <w:jc w:val="both"/>
      </w:pPr>
      <w:r>
        <w:rPr/>
        <w:t>En suma, la propuesta para Bolivia gira en tres sentidos: 1] el mecanismo de reacción que debe seguir el gasto de capital y el gasto corriente frente a los choques de precios del gas natural; 2] la asignación de ingresos fiscales al gasto público, así como los fines y usos específicos de los ingresos del recurso natural; 3] la inclusión de reglas fiscales como arreglos institucionales para la dirección de la posición</w:t>
      </w:r>
      <w:r>
        <w:rPr>
          <w:spacing w:val="-10"/>
        </w:rPr>
        <w:t> </w:t>
      </w:r>
      <w:r>
        <w:rPr/>
        <w:t>fiscal.</w:t>
      </w:r>
    </w:p>
    <w:p>
      <w:pPr>
        <w:pStyle w:val="BodyText"/>
        <w:spacing w:line="360" w:lineRule="auto" w:before="6"/>
        <w:ind w:left="122" w:right="117" w:firstLine="707"/>
        <w:jc w:val="both"/>
      </w:pPr>
      <w:r>
        <w:rPr/>
        <w:t>Estas tres propuestas ofrecerán un cambio en la política fiscal de Bolivia en dos aspectos: orientación procíclica hacia una mayor neutralidad y contracíclica en períodos de recesión económica (mediante la inclusión de cláusulas de escape); no continuará el deterioro progresivo del balance primario no gasífero, cuyo elemento afecta de forma negativa a la insostenibilidad de la posición fiscal sin los ingresos del recurso natural.</w:t>
      </w:r>
    </w:p>
    <w:p>
      <w:pPr>
        <w:pStyle w:val="BodyText"/>
        <w:spacing w:before="7"/>
        <w:rPr>
          <w:sz w:val="21"/>
        </w:rPr>
      </w:pPr>
    </w:p>
    <w:p>
      <w:pPr>
        <w:pStyle w:val="Heading4"/>
        <w:numPr>
          <w:ilvl w:val="0"/>
          <w:numId w:val="19"/>
        </w:numPr>
        <w:tabs>
          <w:tab w:pos="842" w:val="left" w:leader="none"/>
        </w:tabs>
        <w:spacing w:line="240" w:lineRule="auto" w:before="0" w:after="0"/>
        <w:ind w:left="842" w:right="0" w:hanging="360"/>
        <w:jc w:val="left"/>
      </w:pPr>
      <w:bookmarkStart w:name="_bookmark164" w:id="226"/>
      <w:bookmarkEnd w:id="226"/>
      <w:r>
        <w:rPr>
          <w:b w:val="0"/>
        </w:rPr>
      </w:r>
      <w:bookmarkStart w:name="_bookmark164" w:id="227"/>
      <w:bookmarkEnd w:id="227"/>
      <w:r>
        <w:rPr/>
        <w:t>P</w:t>
      </w:r>
      <w:r>
        <w:rPr/>
        <w:t>ara investigaciones</w:t>
      </w:r>
      <w:r>
        <w:rPr>
          <w:spacing w:val="-4"/>
        </w:rPr>
        <w:t> </w:t>
      </w:r>
      <w:r>
        <w:rPr/>
        <w:t>futuras</w:t>
      </w:r>
    </w:p>
    <w:p>
      <w:pPr>
        <w:pStyle w:val="BodyText"/>
        <w:spacing w:before="11"/>
        <w:rPr>
          <w:b/>
          <w:sz w:val="32"/>
        </w:rPr>
      </w:pPr>
    </w:p>
    <w:p>
      <w:pPr>
        <w:pStyle w:val="ListParagraph"/>
        <w:numPr>
          <w:ilvl w:val="1"/>
          <w:numId w:val="24"/>
        </w:numPr>
        <w:tabs>
          <w:tab w:pos="1506" w:val="left" w:leader="none"/>
        </w:tabs>
        <w:spacing w:line="240" w:lineRule="auto" w:before="0" w:after="0"/>
        <w:ind w:left="1505" w:right="0" w:hanging="522"/>
        <w:jc w:val="left"/>
        <w:rPr>
          <w:b/>
          <w:sz w:val="24"/>
        </w:rPr>
      </w:pPr>
      <w:bookmarkStart w:name="_bookmark165" w:id="228"/>
      <w:bookmarkEnd w:id="228"/>
      <w:r>
        <w:rPr/>
      </w:r>
      <w:bookmarkStart w:name="_bookmark165" w:id="229"/>
      <w:bookmarkEnd w:id="229"/>
      <w:r>
        <w:rPr>
          <w:b/>
          <w:sz w:val="24"/>
        </w:rPr>
        <w:t>Li</w:t>
      </w:r>
      <w:r>
        <w:rPr>
          <w:b/>
          <w:sz w:val="24"/>
        </w:rPr>
        <w:t>mitaciones de la</w:t>
      </w:r>
      <w:r>
        <w:rPr>
          <w:b/>
          <w:spacing w:val="-9"/>
          <w:sz w:val="24"/>
        </w:rPr>
        <w:t> </w:t>
      </w:r>
      <w:r>
        <w:rPr>
          <w:b/>
          <w:sz w:val="24"/>
        </w:rPr>
        <w:t>investigación</w:t>
      </w:r>
    </w:p>
    <w:p>
      <w:pPr>
        <w:pStyle w:val="BodyText"/>
        <w:spacing w:line="360" w:lineRule="auto" w:before="192"/>
        <w:ind w:left="122" w:right="117" w:firstLine="707"/>
        <w:jc w:val="both"/>
      </w:pPr>
      <w:r>
        <w:rPr/>
        <w:t>En el presente estudio se mencionan cuatro limitantes principales sobre la investigación desde una óptica metodológica:</w:t>
      </w:r>
    </w:p>
    <w:p>
      <w:pPr>
        <w:pStyle w:val="ListParagraph"/>
        <w:numPr>
          <w:ilvl w:val="0"/>
          <w:numId w:val="25"/>
        </w:numPr>
        <w:tabs>
          <w:tab w:pos="888" w:val="left" w:leader="none"/>
        </w:tabs>
        <w:spacing w:line="360" w:lineRule="auto" w:before="4" w:after="0"/>
        <w:ind w:left="887" w:right="119" w:hanging="360"/>
        <w:jc w:val="both"/>
        <w:rPr>
          <w:sz w:val="24"/>
        </w:rPr>
      </w:pPr>
      <w:r>
        <w:rPr>
          <w:sz w:val="24"/>
        </w:rPr>
        <w:t>El período abordado fue corto y comprendió un lapso de auge económico (interno y externo) con presencia de una desaceleración económica (2009), la ampliación del lapso temporal puede limitar los hallazgos de los resultados; por tanto, su interpretación debe ser de forma exclusiva para el período</w:t>
      </w:r>
      <w:r>
        <w:rPr>
          <w:spacing w:val="-14"/>
          <w:sz w:val="24"/>
        </w:rPr>
        <w:t> </w:t>
      </w:r>
      <w:r>
        <w:rPr>
          <w:sz w:val="24"/>
        </w:rPr>
        <w:t>considerado.</w:t>
      </w:r>
    </w:p>
    <w:p>
      <w:pPr>
        <w:pStyle w:val="ListParagraph"/>
        <w:numPr>
          <w:ilvl w:val="0"/>
          <w:numId w:val="25"/>
        </w:numPr>
        <w:tabs>
          <w:tab w:pos="888" w:val="left" w:leader="none"/>
        </w:tabs>
        <w:spacing w:line="350" w:lineRule="auto" w:before="4" w:after="0"/>
        <w:ind w:left="887" w:right="118" w:hanging="360"/>
        <w:jc w:val="both"/>
        <w:rPr>
          <w:sz w:val="24"/>
        </w:rPr>
      </w:pPr>
      <w:r>
        <w:rPr>
          <w:sz w:val="24"/>
        </w:rPr>
        <w:t>La metodología abordada no permitió captar el ajuste del balance primario no gasífero (no petrolero) o al menos se requirió de una evaluación y simulación de largo plazo para evaluar la presencia de una mejora significativa en el diseño de las reglas fiscales alternativas (al menos 20 años en</w:t>
      </w:r>
      <w:r>
        <w:rPr>
          <w:spacing w:val="-4"/>
          <w:sz w:val="24"/>
        </w:rPr>
        <w:t> </w:t>
      </w:r>
      <w:r>
        <w:rPr>
          <w:sz w:val="24"/>
        </w:rPr>
        <w:t>adelante)</w:t>
      </w:r>
      <w:r>
        <w:rPr>
          <w:position w:val="11"/>
          <w:sz w:val="16"/>
        </w:rPr>
        <w:t>82</w:t>
      </w:r>
      <w:r>
        <w:rPr>
          <w:sz w:val="24"/>
        </w:rPr>
        <w:t>.</w:t>
      </w:r>
    </w:p>
    <w:p>
      <w:pPr>
        <w:pStyle w:val="BodyText"/>
        <w:rPr>
          <w:sz w:val="20"/>
        </w:rPr>
      </w:pPr>
    </w:p>
    <w:p>
      <w:pPr>
        <w:pStyle w:val="BodyText"/>
        <w:spacing w:before="6"/>
        <w:rPr>
          <w:sz w:val="18"/>
        </w:rPr>
      </w:pPr>
      <w:r>
        <w:rPr/>
        <w:pict>
          <v:line style="position:absolute;mso-position-horizontal-relative:page;mso-position-vertical-relative:paragraph;z-index:15448;mso-wrap-distance-left:0;mso-wrap-distance-right:0" from="85.103996pt,12.921969pt" to="229.123996pt,12.921969pt" stroked="true" strokeweight=".599980pt" strokecolor="#000000">
            <w10:wrap type="topAndBottom"/>
          </v:line>
        </w:pict>
      </w:r>
    </w:p>
    <w:p>
      <w:pPr>
        <w:spacing w:before="50"/>
        <w:ind w:left="122" w:right="125" w:firstLine="0"/>
        <w:jc w:val="both"/>
        <w:rPr>
          <w:sz w:val="20"/>
        </w:rPr>
      </w:pPr>
      <w:r>
        <w:rPr>
          <w:position w:val="9"/>
          <w:sz w:val="13"/>
        </w:rPr>
        <w:t>82 </w:t>
      </w:r>
      <w:r>
        <w:rPr>
          <w:sz w:val="20"/>
        </w:rPr>
        <w:t>Estudios previos han evaluado el déficit primario no petrolero que es requerido para 20 años de proyección (Zambrano &amp; Aguilera, 2010); así como 30 años para la trayectoria probabilística de la deuda pública (Wijnbergen &amp; France, 2012) e inclusive 50 períodos en adelante (Penalver &amp; Thwaites, 2006).</w:t>
      </w:r>
    </w:p>
    <w:p>
      <w:pPr>
        <w:spacing w:after="0"/>
        <w:jc w:val="both"/>
        <w:rPr>
          <w:sz w:val="20"/>
        </w:rPr>
        <w:sectPr>
          <w:pgSz w:w="12250" w:h="15850"/>
          <w:pgMar w:header="0" w:footer="977" w:top="1360" w:bottom="1220" w:left="1580" w:right="1580"/>
        </w:sectPr>
      </w:pPr>
    </w:p>
    <w:p>
      <w:pPr>
        <w:pStyle w:val="ListParagraph"/>
        <w:numPr>
          <w:ilvl w:val="0"/>
          <w:numId w:val="25"/>
        </w:numPr>
        <w:tabs>
          <w:tab w:pos="868" w:val="left" w:leader="none"/>
        </w:tabs>
        <w:spacing w:line="360" w:lineRule="auto" w:before="50" w:after="0"/>
        <w:ind w:left="867" w:right="120" w:hanging="360"/>
        <w:jc w:val="both"/>
        <w:rPr>
          <w:sz w:val="24"/>
        </w:rPr>
      </w:pPr>
      <w:r>
        <w:rPr>
          <w:sz w:val="24"/>
        </w:rPr>
        <w:t>En el capítulo III los cambios institucionales fueron evaluados de  manera endógena; la principal limitante del trabajo fue la no modelación del factor institucional como un factor</w:t>
      </w:r>
      <w:r>
        <w:rPr>
          <w:spacing w:val="-8"/>
          <w:sz w:val="24"/>
        </w:rPr>
        <w:t> </w:t>
      </w:r>
      <w:r>
        <w:rPr>
          <w:sz w:val="24"/>
        </w:rPr>
        <w:t>exógeno.</w:t>
      </w:r>
    </w:p>
    <w:p>
      <w:pPr>
        <w:pStyle w:val="ListParagraph"/>
        <w:numPr>
          <w:ilvl w:val="0"/>
          <w:numId w:val="25"/>
        </w:numPr>
        <w:tabs>
          <w:tab w:pos="868" w:val="left" w:leader="none"/>
        </w:tabs>
        <w:spacing w:line="360" w:lineRule="auto" w:before="4" w:after="0"/>
        <w:ind w:left="867" w:right="117" w:hanging="360"/>
        <w:jc w:val="both"/>
        <w:rPr>
          <w:sz w:val="24"/>
        </w:rPr>
      </w:pPr>
      <w:r>
        <w:rPr>
          <w:sz w:val="24"/>
        </w:rPr>
        <w:t>El diseño metodológico no permitió encontrar la tasa óptima requerida de inversión pública o magnitud exacta de ingresos del recurso natural que deberían canalizarse hacia el gasto de</w:t>
      </w:r>
      <w:r>
        <w:rPr>
          <w:spacing w:val="-7"/>
          <w:sz w:val="24"/>
        </w:rPr>
        <w:t> </w:t>
      </w:r>
      <w:r>
        <w:rPr>
          <w:sz w:val="24"/>
        </w:rPr>
        <w:t>capital.</w:t>
      </w:r>
    </w:p>
    <w:p>
      <w:pPr>
        <w:pStyle w:val="BodyText"/>
        <w:spacing w:before="9"/>
        <w:rPr>
          <w:sz w:val="21"/>
        </w:rPr>
      </w:pPr>
    </w:p>
    <w:p>
      <w:pPr>
        <w:pStyle w:val="Heading4"/>
        <w:numPr>
          <w:ilvl w:val="1"/>
          <w:numId w:val="24"/>
        </w:numPr>
        <w:tabs>
          <w:tab w:pos="1486" w:val="left" w:leader="none"/>
        </w:tabs>
        <w:spacing w:line="240" w:lineRule="auto" w:before="0" w:after="0"/>
        <w:ind w:left="1485" w:right="0" w:hanging="522"/>
        <w:jc w:val="left"/>
      </w:pPr>
      <w:bookmarkStart w:name="_bookmark166" w:id="230"/>
      <w:bookmarkEnd w:id="230"/>
      <w:r>
        <w:rPr>
          <w:b w:val="0"/>
        </w:rPr>
      </w:r>
      <w:bookmarkStart w:name="_bookmark166" w:id="231"/>
      <w:bookmarkEnd w:id="231"/>
      <w:r>
        <w:rPr/>
        <w:t>A</w:t>
      </w:r>
      <w:r>
        <w:rPr/>
        <w:t>genda de</w:t>
      </w:r>
      <w:r>
        <w:rPr>
          <w:spacing w:val="-9"/>
        </w:rPr>
        <w:t> </w:t>
      </w:r>
      <w:r>
        <w:rPr/>
        <w:t>investigación</w:t>
      </w:r>
    </w:p>
    <w:p>
      <w:pPr>
        <w:pStyle w:val="BodyText"/>
        <w:spacing w:line="360" w:lineRule="auto" w:before="192"/>
        <w:ind w:left="102" w:right="116" w:firstLine="707"/>
        <w:jc w:val="both"/>
      </w:pPr>
      <w:r>
        <w:rPr/>
        <w:t>Se ha mencionado que la investigación debe constituirse como un fin al problema abordado y a la vez un nuevo comienzo porque reorienta el entendimiento teórico- contextual, así como sus implicaciones prácticas de forma contemporánea fundamentado en las limitaciones del estudio y su futura investigación (Geletkanycz &amp; Tepper, 2012).</w:t>
      </w:r>
    </w:p>
    <w:p>
      <w:pPr>
        <w:pStyle w:val="BodyText"/>
        <w:spacing w:line="360" w:lineRule="auto" w:before="4"/>
        <w:ind w:left="102" w:right="118" w:firstLine="707"/>
        <w:jc w:val="both"/>
      </w:pPr>
      <w:r>
        <w:rPr/>
        <w:t>Con el propósito de buscar un mejor entendimiento sobre la posición fiscal y el diseño de reglas fiscales, existen factores teóricos alternativos, así como concepciones metodológicas que se apuntan como agenda para trabajos posteriores.</w:t>
      </w:r>
    </w:p>
    <w:p>
      <w:pPr>
        <w:pStyle w:val="BodyText"/>
        <w:spacing w:line="360" w:lineRule="auto" w:before="6"/>
        <w:ind w:left="102" w:right="119" w:firstLine="707"/>
        <w:jc w:val="both"/>
      </w:pPr>
      <w:r>
        <w:rPr/>
        <w:t>Desde el punto teórico, se hace necesaria la inclusión el diseño de reglas  fiscales que consideren: a) el estado de equilibrio de la economía interna (consumo e inversión privada); b) la inclusión de sectores económicos donde empíricamente se originan las crisis de deuda pública (sector bancario y financiero) (Hostland &amp; Karam, 2006); c) factores explicativos provenientes de la economía internacional (flujos de capitales y términos de intercambio).</w:t>
      </w:r>
    </w:p>
    <w:p>
      <w:pPr>
        <w:pStyle w:val="BodyText"/>
        <w:spacing w:line="360" w:lineRule="auto" w:before="6"/>
        <w:ind w:left="102" w:right="121" w:firstLine="707"/>
        <w:jc w:val="both"/>
      </w:pPr>
      <w:r>
        <w:rPr/>
        <w:t>Complementariamente, no se ha abordado el rol institucional fiscal que integre la interacción entre la sostenibilidad fiscal y los objetivos sociales o bienestar social (distribución del ingreso,    inversión pública canalizada a programas sociales, entre otros.):</w:t>
      </w:r>
    </w:p>
    <w:p>
      <w:pPr>
        <w:pStyle w:val="BodyText"/>
        <w:spacing w:before="4"/>
        <w:ind w:left="102" w:right="127"/>
      </w:pPr>
      <w:r>
        <w:rPr/>
        <w:t>¿cuál es el punto de intersección de estos elementos para el diseño de una política fiscal?</w:t>
      </w:r>
    </w:p>
    <w:p>
      <w:pPr>
        <w:pStyle w:val="BodyText"/>
        <w:spacing w:before="137"/>
        <w:ind w:left="810" w:right="127"/>
      </w:pPr>
      <w:r>
        <w:rPr/>
        <w:t>Desde  un  enfoque m</w:t>
      </w:r>
      <w:r>
        <w:rPr>
          <w:w w:val="177"/>
        </w:rPr>
        <w:t> </w:t>
      </w:r>
      <w:r>
        <w:rPr>
          <w:w w:val="164"/>
        </w:rPr>
        <w:t>     </w:t>
      </w:r>
      <w:r>
        <w:rPr>
          <w:w w:val="200"/>
        </w:rPr>
        <w:t>  </w:t>
      </w:r>
      <w:r>
        <w:rPr>
          <w:w w:val="147"/>
        </w:rPr>
        <w:t>    </w:t>
      </w:r>
      <w:r>
        <w:rPr/>
        <w:t>  </w:t>
      </w:r>
      <w:r>
        <w:rPr>
          <w:w w:val="155"/>
        </w:rPr>
        <w:t>   </w:t>
      </w:r>
      <w:r>
        <w:rPr/>
        <w:t>  </w:t>
      </w:r>
      <w:r>
        <w:rPr>
          <w:w w:val="177"/>
        </w:rPr>
        <w:t> </w:t>
      </w:r>
      <w:r>
        <w:rPr>
          <w:w w:val="194"/>
        </w:rPr>
        <w:t>    </w:t>
      </w:r>
      <w:r>
        <w:rPr>
          <w:w w:val="166"/>
        </w:rPr>
        <w:t>    </w:t>
      </w:r>
      <w:r>
        <w:rPr/>
        <w:t>  </w:t>
      </w:r>
      <w:r>
        <w:rPr>
          <w:w w:val="177"/>
        </w:rPr>
        <w:t> </w:t>
      </w:r>
      <w:r>
        <w:rPr>
          <w:w w:val="111"/>
        </w:rPr>
        <w:t>  </w:t>
      </w:r>
      <w:r>
        <w:rPr>
          <w:w w:val="177"/>
        </w:rPr>
        <w:t> </w:t>
      </w:r>
      <w:r>
        <w:rPr>
          <w:w w:val="185"/>
        </w:rPr>
        <w:t>   </w:t>
      </w:r>
      <w:r>
        <w:rPr/>
        <w:t>  </w:t>
      </w:r>
      <w:r>
        <w:rPr>
          <w:w w:val="177"/>
        </w:rPr>
        <w:t> </w:t>
      </w:r>
      <w:r>
        <w:rPr>
          <w:w w:val="200"/>
        </w:rPr>
        <w:t> </w:t>
      </w:r>
      <w:r>
        <w:rPr/>
        <w:t>  </w:t>
      </w:r>
      <w:r>
        <w:rPr>
          <w:w w:val="155"/>
        </w:rPr>
        <w:t>   </w:t>
      </w:r>
      <w:r>
        <w:rPr/>
        <w:t>  </w:t>
      </w:r>
      <w:r>
        <w:rPr>
          <w:w w:val="177"/>
        </w:rPr>
        <w:t>      </w:t>
      </w:r>
      <w:r>
        <w:rPr/>
        <w:t>  </w:t>
      </w:r>
      <w:r>
        <w:rPr>
          <w:w w:val="177"/>
        </w:rPr>
        <w:t> </w:t>
      </w:r>
      <w:r>
        <w:rPr>
          <w:w w:val="155"/>
        </w:rPr>
        <w:t>        </w:t>
      </w:r>
      <w:r>
        <w:rPr>
          <w:w w:val="155"/>
        </w:rPr>
        <w:t> </w:t>
      </w:r>
    </w:p>
    <w:p>
      <w:pPr>
        <w:pStyle w:val="BodyText"/>
        <w:spacing w:before="139"/>
        <w:ind w:left="102"/>
      </w:pPr>
      <w:r>
        <w:rPr>
          <w:w w:val="192"/>
        </w:rPr>
        <w:t>  </w:t>
      </w:r>
      <w:r>
        <w:rPr>
          <w:spacing w:val="-1"/>
          <w:w w:val="192"/>
        </w:rPr>
        <w:t> </w:t>
      </w:r>
      <w:r>
        <w:rPr>
          <w:w w:val="188"/>
        </w:rPr>
        <w:t> </w:t>
      </w:r>
      <w:r>
        <w:rPr>
          <w:spacing w:val="-1"/>
          <w:w w:val="188"/>
        </w:rPr>
        <w:t> </w:t>
      </w:r>
      <w:r>
        <w:rPr>
          <w:w w:val="200"/>
        </w:rPr>
        <w:t> </w:t>
      </w:r>
      <w:r>
        <w:rPr/>
        <w:t> </w:t>
      </w:r>
      <w:r>
        <w:rPr>
          <w:spacing w:val="-27"/>
        </w:rPr>
        <w:t> </w:t>
      </w:r>
      <w:r>
        <w:rPr>
          <w:w w:val="111"/>
        </w:rPr>
        <w:t>  </w:t>
      </w:r>
      <w:r>
        <w:rPr>
          <w:spacing w:val="-1"/>
          <w:w w:val="177"/>
        </w:rPr>
        <w:t> </w:t>
      </w:r>
      <w:r>
        <w:rPr>
          <w:w w:val="188"/>
        </w:rPr>
        <w:t> </w:t>
      </w:r>
      <w:r>
        <w:rPr>
          <w:spacing w:val="1"/>
          <w:w w:val="188"/>
        </w:rPr>
        <w:t> </w:t>
      </w:r>
      <w:r>
        <w:rPr>
          <w:w w:val="155"/>
        </w:rPr>
        <w:t>   </w:t>
      </w:r>
      <w:r>
        <w:rPr/>
        <w:t> </w:t>
      </w:r>
      <w:r>
        <w:rPr>
          <w:spacing w:val="-26"/>
        </w:rPr>
        <w:t> </w:t>
      </w:r>
      <w:r>
        <w:rPr>
          <w:w w:val="177"/>
        </w:rPr>
        <w:t> </w:t>
      </w:r>
      <w:r>
        <w:rPr/>
        <w:t> </w:t>
      </w:r>
      <w:r>
        <w:rPr>
          <w:spacing w:val="-26"/>
        </w:rPr>
        <w:t> </w:t>
      </w:r>
      <w:r>
        <w:rPr>
          <w:spacing w:val="-1"/>
          <w:w w:val="177"/>
        </w:rPr>
        <w:t>  </w:t>
      </w:r>
      <w:r>
        <w:rPr>
          <w:w w:val="200"/>
        </w:rPr>
        <w:t>  </w:t>
      </w:r>
      <w:r>
        <w:rPr/>
        <w:t> </w:t>
      </w:r>
      <w:r>
        <w:rPr>
          <w:spacing w:val="-25"/>
        </w:rPr>
        <w:t> </w:t>
      </w:r>
      <w:r>
        <w:rPr>
          <w:w w:val="195"/>
        </w:rPr>
        <w:t>    </w:t>
      </w:r>
      <w:r>
        <w:rPr>
          <w:spacing w:val="-1"/>
          <w:w w:val="195"/>
        </w:rPr>
        <w:t> </w:t>
      </w:r>
      <w:r>
        <w:rPr>
          <w:w w:val="162"/>
        </w:rPr>
        <w:t>   </w:t>
      </w:r>
      <w:r>
        <w:rPr/>
        <w:t> </w:t>
      </w:r>
      <w:r>
        <w:rPr>
          <w:spacing w:val="-28"/>
        </w:rPr>
        <w:t> </w:t>
      </w:r>
      <w:r>
        <w:rPr>
          <w:w w:val="200"/>
        </w:rPr>
        <w:t>  </w:t>
      </w:r>
      <w:r>
        <w:rPr/>
        <w:t> </w:t>
      </w:r>
      <w:r>
        <w:rPr>
          <w:spacing w:val="-27"/>
        </w:rPr>
        <w:t> </w:t>
      </w:r>
      <w:r>
        <w:rPr>
          <w:w w:val="174"/>
        </w:rPr>
        <w:t>      </w:t>
      </w:r>
      <w:r>
        <w:rPr/>
        <w:t> </w:t>
      </w:r>
      <w:r>
        <w:rPr>
          <w:spacing w:val="-25"/>
        </w:rPr>
        <w:t> </w:t>
      </w:r>
      <w:r>
        <w:rPr>
          <w:w w:val="188"/>
        </w:rPr>
        <w:t>  </w:t>
      </w:r>
      <w:r>
        <w:rPr/>
        <w:t> </w:t>
      </w:r>
      <w:r>
        <w:rPr>
          <w:spacing w:val="-28"/>
        </w:rPr>
        <w:t> </w:t>
      </w:r>
      <w:r>
        <w:rPr>
          <w:spacing w:val="2"/>
          <w:w w:val="111"/>
        </w:rPr>
        <w:t> </w:t>
      </w:r>
      <w:r>
        <w:rPr>
          <w:w w:val="177"/>
        </w:rPr>
        <w:t> </w:t>
      </w:r>
      <w:r>
        <w:rPr/>
        <w:t> </w:t>
      </w:r>
      <w:r>
        <w:rPr>
          <w:spacing w:val="-28"/>
        </w:rPr>
        <w:t> </w:t>
      </w:r>
      <w:r>
        <w:rPr>
          <w:w w:val="155"/>
        </w:rPr>
        <w:t>    </w:t>
      </w:r>
      <w:r>
        <w:rPr>
          <w:w w:val="111"/>
        </w:rPr>
        <w:t>  </w:t>
      </w:r>
      <w:r>
        <w:rPr>
          <w:spacing w:val="-1"/>
          <w:w w:val="177"/>
        </w:rPr>
        <w:t> </w:t>
      </w:r>
      <w:r>
        <w:rPr>
          <w:w w:val="177"/>
        </w:rPr>
        <w:t> </w:t>
      </w:r>
      <w:r>
        <w:rPr/>
        <w:t> </w:t>
      </w:r>
      <w:r>
        <w:rPr>
          <w:spacing w:val="-28"/>
        </w:rPr>
        <w:t> </w:t>
      </w:r>
      <w:r>
        <w:rPr>
          <w:w w:val="144"/>
        </w:rPr>
        <w:t>   </w:t>
      </w:r>
      <w:r>
        <w:rPr>
          <w:spacing w:val="1"/>
          <w:w w:val="144"/>
        </w:rPr>
        <w:t> </w:t>
      </w:r>
      <w:r>
        <w:rPr>
          <w:spacing w:val="-1"/>
          <w:w w:val="177"/>
        </w:rPr>
        <w:t> </w:t>
      </w:r>
      <w:r>
        <w:rPr>
          <w:w w:val="111"/>
        </w:rPr>
        <w:t> </w:t>
      </w:r>
      <w:r>
        <w:rPr/>
        <w:t> </w:t>
      </w:r>
      <w:r>
        <w:rPr>
          <w:spacing w:val="-27"/>
        </w:rPr>
        <w:t> </w:t>
      </w:r>
      <w:r>
        <w:rPr>
          <w:spacing w:val="-1"/>
          <w:w w:val="177"/>
        </w:rPr>
        <w:t> </w:t>
      </w:r>
      <w:r>
        <w:rPr>
          <w:w w:val="200"/>
        </w:rPr>
        <w:t>  </w:t>
      </w:r>
      <w:r>
        <w:rPr/>
        <w:t> </w:t>
      </w:r>
      <w:r>
        <w:rPr>
          <w:spacing w:val="-25"/>
        </w:rPr>
        <w:t> </w:t>
      </w:r>
      <w:r>
        <w:rPr>
          <w:w w:val="192"/>
        </w:rPr>
        <w:t>   </w:t>
      </w:r>
      <w:r>
        <w:rPr/>
        <w:t> </w:t>
      </w:r>
      <w:r>
        <w:rPr>
          <w:spacing w:val="-26"/>
        </w:rPr>
        <w:t> </w:t>
      </w:r>
      <w:r>
        <w:rPr>
          <w:w w:val="196"/>
        </w:rPr>
        <w:t>     </w:t>
      </w:r>
      <w:r>
        <w:rPr>
          <w:spacing w:val="-1"/>
          <w:w w:val="196"/>
        </w:rPr>
        <w:t> </w:t>
      </w:r>
      <w:r>
        <w:rPr>
          <w:spacing w:val="-1"/>
          <w:w w:val="177"/>
        </w:rPr>
        <w:t> </w:t>
      </w:r>
      <w:r>
        <w:rPr>
          <w:w w:val="170"/>
        </w:rPr>
        <w:t>   </w:t>
      </w:r>
      <w:r>
        <w:rPr/>
        <w:t>  </w:t>
      </w:r>
      <w:r>
        <w:rPr>
          <w:spacing w:val="9"/>
        </w:rPr>
        <w:t> </w:t>
      </w:r>
      <w:r>
        <w:rPr>
          <w:w w:val="188"/>
        </w:rPr>
        <w:t>  </w:t>
      </w:r>
    </w:p>
    <w:p>
      <w:pPr>
        <w:pStyle w:val="BodyText"/>
        <w:spacing w:before="137"/>
        <w:ind w:left="102" w:right="127"/>
      </w:pPr>
      <w:r>
        <w:rPr>
          <w:w w:val="155"/>
        </w:rPr>
        <w:t>    </w:t>
      </w:r>
      <w:r>
        <w:rPr>
          <w:w w:val="211"/>
        </w:rPr>
        <w:t>  </w:t>
      </w:r>
      <w:r>
        <w:rPr>
          <w:w w:val="177"/>
        </w:rPr>
        <w:t>   </w:t>
      </w:r>
      <w:r>
        <w:rPr>
          <w:w w:val="170"/>
        </w:rPr>
        <w:t>   </w:t>
      </w:r>
      <w:r>
        <w:rPr/>
        <w:t> </w:t>
      </w:r>
      <w:r>
        <w:rPr>
          <w:w w:val="111"/>
        </w:rPr>
        <w:t> </w:t>
      </w:r>
      <w:r>
        <w:rPr>
          <w:w w:val="155"/>
        </w:rPr>
        <w:t>    </w:t>
      </w:r>
      <w:r>
        <w:rPr/>
        <w:t> </w:t>
      </w:r>
      <w:r>
        <w:rPr>
          <w:w w:val="1"/>
        </w:rPr>
        <w:t> </w:t>
      </w:r>
      <w:r>
        <w:rPr/>
        <w:t> </w:t>
      </w:r>
      <w:r>
        <w:rPr>
          <w:w w:val="200"/>
        </w:rPr>
        <w:t>    </w:t>
      </w:r>
      <w:r>
        <w:rPr>
          <w:w w:val="166"/>
        </w:rPr>
        <w:t>  </w:t>
      </w:r>
      <w:r>
        <w:rPr>
          <w:w w:val="177"/>
        </w:rPr>
        <w:t> </w:t>
      </w:r>
      <w:r>
        <w:rPr>
          <w:w w:val="111"/>
        </w:rPr>
        <w:t> </w:t>
      </w:r>
      <w:r>
        <w:rPr/>
        <w:t> (Agénor &amp; Yilmaz, 2011; von Thadden &amp; Vidal, 2010):</w:t>
      </w:r>
    </w:p>
    <w:p>
      <w:pPr>
        <w:pStyle w:val="ListParagraph"/>
        <w:numPr>
          <w:ilvl w:val="1"/>
          <w:numId w:val="22"/>
        </w:numPr>
        <w:tabs>
          <w:tab w:pos="822" w:val="left" w:leader="none"/>
        </w:tabs>
        <w:spacing w:line="360" w:lineRule="auto" w:before="139" w:after="0"/>
        <w:ind w:left="822" w:right="122" w:hanging="360"/>
        <w:jc w:val="both"/>
        <w:rPr>
          <w:sz w:val="24"/>
        </w:rPr>
      </w:pPr>
      <w:r>
        <w:rPr>
          <w:sz w:val="24"/>
        </w:rPr>
        <w:t>La modelación de optimización permitiría encontrar la tasa óptima de canalización de ingresos fiscales del recurso natural que deberían canalizarse hacia el gasto de capital.</w:t>
      </w:r>
    </w:p>
    <w:p>
      <w:pPr>
        <w:spacing w:after="0" w:line="360" w:lineRule="auto"/>
        <w:jc w:val="both"/>
        <w:rPr>
          <w:sz w:val="24"/>
        </w:rPr>
        <w:sectPr>
          <w:pgSz w:w="12250" w:h="15850"/>
          <w:pgMar w:header="0" w:footer="977" w:top="1360" w:bottom="1220" w:left="1600" w:right="1580"/>
        </w:sectPr>
      </w:pPr>
    </w:p>
    <w:p>
      <w:pPr>
        <w:pStyle w:val="ListParagraph"/>
        <w:numPr>
          <w:ilvl w:val="2"/>
          <w:numId w:val="22"/>
        </w:numPr>
        <w:tabs>
          <w:tab w:pos="1541" w:val="left" w:leader="none"/>
          <w:tab w:pos="1542" w:val="left" w:leader="none"/>
        </w:tabs>
        <w:spacing w:line="240" w:lineRule="auto" w:before="50" w:after="0"/>
        <w:ind w:left="1530" w:right="0" w:hanging="348"/>
        <w:jc w:val="left"/>
        <w:rPr>
          <w:sz w:val="24"/>
        </w:rPr>
      </w:pPr>
      <w:r>
        <w:rPr>
          <w:sz w:val="24"/>
        </w:rPr>
        <w:t>Al menos dos períodos de ajustes: donde se permita captar el ajuste</w:t>
      </w:r>
      <w:r>
        <w:rPr>
          <w:spacing w:val="23"/>
          <w:sz w:val="24"/>
        </w:rPr>
        <w:t> </w:t>
      </w:r>
      <w:r>
        <w:rPr>
          <w:spacing w:val="7"/>
          <w:sz w:val="24"/>
        </w:rPr>
        <w:t>r</w:t>
      </w:r>
      <w:r>
        <w:rPr>
          <w:spacing w:val="-1"/>
          <w:w w:val="177"/>
          <w:sz w:val="24"/>
        </w:rPr>
        <w:t> </w:t>
      </w:r>
      <w:r>
        <w:rPr>
          <w:w w:val="192"/>
          <w:sz w:val="24"/>
        </w:rPr>
        <w:t>  </w:t>
      </w:r>
      <w:r>
        <w:rPr>
          <w:spacing w:val="-1"/>
          <w:w w:val="192"/>
          <w:sz w:val="24"/>
        </w:rPr>
        <w:t> </w:t>
      </w:r>
      <w:r>
        <w:rPr>
          <w:w w:val="122"/>
          <w:sz w:val="24"/>
        </w:rPr>
        <w:t> </w:t>
      </w:r>
      <w:r>
        <w:rPr>
          <w:spacing w:val="1"/>
          <w:w w:val="122"/>
          <w:sz w:val="24"/>
        </w:rPr>
        <w:t> </w:t>
      </w:r>
      <w:r>
        <w:rPr>
          <w:w w:val="200"/>
          <w:sz w:val="24"/>
        </w:rPr>
        <w:t>  </w:t>
      </w:r>
      <w:r>
        <w:rPr>
          <w:spacing w:val="2"/>
          <w:sz w:val="24"/>
        </w:rPr>
        <w:t> </w:t>
      </w:r>
      <w:r>
        <w:rPr>
          <w:w w:val="188"/>
          <w:sz w:val="24"/>
        </w:rPr>
        <w:t>  </w:t>
      </w:r>
      <w:r>
        <w:rPr>
          <w:spacing w:val="1"/>
          <w:sz w:val="24"/>
        </w:rPr>
        <w:t> </w:t>
      </w:r>
      <w:r>
        <w:rPr>
          <w:w w:val="155"/>
          <w:sz w:val="24"/>
        </w:rPr>
        <w:t>   </w:t>
      </w:r>
    </w:p>
    <w:p>
      <w:pPr>
        <w:pStyle w:val="BodyText"/>
        <w:spacing w:before="137"/>
        <w:ind w:left="1542"/>
        <w:jc w:val="both"/>
      </w:pPr>
      <w:r>
        <w:rPr>
          <w:spacing w:val="-1"/>
          <w:w w:val="177"/>
        </w:rPr>
        <w:t> </w:t>
      </w:r>
      <w:r>
        <w:rPr>
          <w:w w:val="188"/>
        </w:rPr>
        <w:t> </w:t>
      </w:r>
      <w:r>
        <w:rPr>
          <w:spacing w:val="-1"/>
          <w:w w:val="188"/>
        </w:rPr>
        <w:t> </w:t>
      </w:r>
      <w:r>
        <w:rPr>
          <w:w w:val="140"/>
        </w:rPr>
        <w:t>  </w:t>
      </w:r>
      <w:r>
        <w:rPr>
          <w:spacing w:val="-2"/>
          <w:w w:val="140"/>
        </w:rPr>
        <w:t> </w:t>
      </w:r>
      <w:r>
        <w:rPr>
          <w:w w:val="150"/>
        </w:rPr>
        <w:t>   </w:t>
      </w:r>
      <w:r>
        <w:rPr>
          <w:spacing w:val="2"/>
          <w:w w:val="150"/>
        </w:rPr>
        <w:t> </w:t>
      </w:r>
      <w:r>
        <w:rPr>
          <w:spacing w:val="-1"/>
          <w:w w:val="177"/>
        </w:rPr>
        <w:t> </w:t>
      </w:r>
      <w:r>
        <w:rPr>
          <w:w w:val="155"/>
        </w:rPr>
        <w:t> </w:t>
      </w:r>
      <w:r>
        <w:rPr/>
        <w:t> </w:t>
      </w:r>
      <w:r>
        <w:rPr>
          <w:spacing w:val="14"/>
        </w:rPr>
        <w:t> </w:t>
      </w:r>
      <w:r>
        <w:rPr>
          <w:w w:val="188"/>
        </w:rPr>
        <w:t> </w:t>
      </w:r>
      <w:r>
        <w:rPr>
          <w:spacing w:val="-1"/>
          <w:w w:val="188"/>
        </w:rPr>
        <w:t> </w:t>
      </w:r>
      <w:r>
        <w:rPr>
          <w:w w:val="111"/>
        </w:rPr>
        <w:t> </w:t>
      </w:r>
      <w:r>
        <w:rPr/>
        <w:t> </w:t>
      </w:r>
      <w:r>
        <w:rPr>
          <w:spacing w:val="17"/>
        </w:rPr>
        <w:t> </w:t>
      </w:r>
      <w:r>
        <w:rPr>
          <w:spacing w:val="-3"/>
          <w:w w:val="200"/>
        </w:rPr>
        <w:t> </w:t>
      </w:r>
      <w:r>
        <w:rPr>
          <w:spacing w:val="-1"/>
          <w:w w:val="177"/>
        </w:rPr>
        <w:t> </w:t>
      </w:r>
      <w:r>
        <w:rPr>
          <w:w w:val="155"/>
        </w:rPr>
        <w:t>   </w:t>
      </w:r>
      <w:r>
        <w:rPr/>
        <w:t> </w:t>
      </w:r>
      <w:r>
        <w:rPr>
          <w:spacing w:val="17"/>
        </w:rPr>
        <w:t> </w:t>
      </w:r>
      <w:r>
        <w:rPr>
          <w:w w:val="164"/>
        </w:rPr>
        <w:t>     </w:t>
      </w:r>
      <w:r>
        <w:rPr>
          <w:spacing w:val="-1"/>
          <w:w w:val="177"/>
        </w:rPr>
        <w:t> </w:t>
      </w:r>
      <w:r>
        <w:rPr>
          <w:w w:val="200"/>
        </w:rPr>
        <w:t> </w:t>
      </w:r>
      <w:r>
        <w:rPr/>
        <w:t> </w:t>
      </w:r>
      <w:r>
        <w:rPr>
          <w:spacing w:val="14"/>
        </w:rPr>
        <w:t> </w:t>
      </w:r>
      <w:r>
        <w:rPr>
          <w:spacing w:val="-1"/>
          <w:w w:val="177"/>
        </w:rPr>
        <w:t> </w:t>
      </w:r>
      <w:r>
        <w:rPr>
          <w:w w:val="200"/>
        </w:rPr>
        <w:t>  </w:t>
      </w:r>
      <w:r>
        <w:rPr/>
        <w:t> </w:t>
      </w:r>
      <w:r>
        <w:rPr>
          <w:spacing w:val="14"/>
        </w:rPr>
        <w:t> </w:t>
      </w:r>
      <w:r>
        <w:rPr>
          <w:w w:val="188"/>
        </w:rPr>
        <w:t> </w:t>
      </w:r>
      <w:r>
        <w:rPr>
          <w:spacing w:val="-1"/>
          <w:w w:val="188"/>
        </w:rPr>
        <w:t> </w:t>
      </w:r>
      <w:r>
        <w:rPr>
          <w:w w:val="166"/>
        </w:rPr>
        <w:t>  </w:t>
      </w:r>
      <w:r>
        <w:rPr/>
        <w:t> </w:t>
      </w:r>
      <w:r>
        <w:rPr>
          <w:spacing w:val="13"/>
        </w:rPr>
        <w:t> </w:t>
      </w:r>
      <w:r>
        <w:rPr>
          <w:spacing w:val="-1"/>
          <w:w w:val="177"/>
        </w:rPr>
        <w:t> </w:t>
      </w:r>
      <w:r>
        <w:rPr>
          <w:w w:val="200"/>
        </w:rPr>
        <w:t> </w:t>
      </w:r>
      <w:r>
        <w:rPr/>
        <w:t> </w:t>
      </w:r>
      <w:r>
        <w:rPr>
          <w:spacing w:val="14"/>
        </w:rPr>
        <w:t> </w:t>
      </w:r>
      <w:r>
        <w:rPr>
          <w:w w:val="144"/>
        </w:rPr>
        <w:t>  </w:t>
      </w:r>
      <w:r>
        <w:rPr/>
        <w:t> </w:t>
      </w:r>
      <w:r>
        <w:rPr>
          <w:spacing w:val="15"/>
        </w:rPr>
        <w:t> </w:t>
      </w:r>
      <w:r>
        <w:rPr>
          <w:w w:val="166"/>
        </w:rPr>
        <w:t> </w:t>
      </w:r>
      <w:r>
        <w:rPr>
          <w:spacing w:val="-1"/>
          <w:w w:val="166"/>
        </w:rPr>
        <w:t> </w:t>
      </w:r>
      <w:r>
        <w:rPr>
          <w:spacing w:val="-1"/>
          <w:w w:val="177"/>
        </w:rPr>
        <w:t> </w:t>
      </w:r>
      <w:r>
        <w:rPr>
          <w:w w:val="166"/>
        </w:rPr>
        <w:t>    </w:t>
      </w:r>
      <w:r>
        <w:rPr/>
        <w:t> </w:t>
      </w:r>
      <w:r>
        <w:rPr>
          <w:spacing w:val="14"/>
        </w:rPr>
        <w:t> </w:t>
      </w:r>
      <w:r>
        <w:rPr>
          <w:w w:val="144"/>
        </w:rPr>
        <w:t>   </w:t>
      </w:r>
      <w:r>
        <w:rPr>
          <w:spacing w:val="-1"/>
          <w:w w:val="144"/>
        </w:rPr>
        <w:t> </w:t>
      </w:r>
      <w:r>
        <w:rPr>
          <w:spacing w:val="-1"/>
          <w:w w:val="177"/>
        </w:rPr>
        <w:t> </w:t>
      </w:r>
      <w:r>
        <w:rPr>
          <w:w w:val="111"/>
        </w:rPr>
        <w:t> </w:t>
      </w:r>
      <w:r>
        <w:rPr/>
        <w:t> </w:t>
      </w:r>
      <w:r>
        <w:rPr>
          <w:w w:val="1"/>
        </w:rPr>
        <w:t> </w:t>
      </w:r>
      <w:r>
        <w:rPr/>
        <w:t> </w:t>
      </w:r>
      <w:r>
        <w:rPr>
          <w:spacing w:val="14"/>
        </w:rPr>
        <w:t> </w:t>
      </w:r>
      <w:r>
        <w:rPr>
          <w:w w:val="164"/>
        </w:rPr>
        <w:t>    </w:t>
      </w:r>
      <w:r>
        <w:rPr>
          <w:spacing w:val="-2"/>
          <w:w w:val="164"/>
        </w:rPr>
        <w:t> </w:t>
      </w:r>
      <w:r>
        <w:rPr>
          <w:w w:val="177"/>
        </w:rPr>
        <w:t> </w:t>
      </w:r>
      <w:r>
        <w:rPr>
          <w:spacing w:val="2"/>
          <w:w w:val="177"/>
        </w:rPr>
        <w:t> </w:t>
      </w:r>
      <w:r>
        <w:rPr>
          <w:w w:val="155"/>
        </w:rPr>
        <w:t> </w:t>
      </w:r>
      <w:r>
        <w:rPr/>
        <w:t> </w:t>
      </w:r>
      <w:r>
        <w:rPr>
          <w:spacing w:val="14"/>
        </w:rPr>
        <w:t> </w:t>
      </w:r>
      <w:r>
        <w:rPr>
          <w:w w:val="144"/>
        </w:rPr>
        <w:t>   </w:t>
      </w:r>
      <w:r>
        <w:rPr>
          <w:spacing w:val="-1"/>
          <w:w w:val="144"/>
        </w:rPr>
        <w:t> </w:t>
      </w:r>
      <w:r>
        <w:rPr>
          <w:spacing w:val="-1"/>
          <w:w w:val="177"/>
        </w:rPr>
        <w:t> </w:t>
      </w:r>
      <w:r>
        <w:rPr>
          <w:w w:val="148"/>
        </w:rPr>
        <w:t>   </w:t>
      </w:r>
    </w:p>
    <w:p>
      <w:pPr>
        <w:pStyle w:val="BodyText"/>
        <w:spacing w:line="360" w:lineRule="auto" w:before="139"/>
        <w:ind w:left="1542" w:right="119"/>
        <w:jc w:val="both"/>
      </w:pPr>
      <w:r>
        <w:rPr>
          <w:w w:val="188"/>
        </w:rPr>
        <w:t> </w:t>
      </w:r>
      <w:r>
        <w:rPr>
          <w:spacing w:val="-1"/>
          <w:w w:val="188"/>
        </w:rPr>
        <w:t> </w:t>
      </w:r>
      <w:r>
        <w:rPr>
          <w:w w:val="146"/>
        </w:rPr>
        <w:t>    </w:t>
      </w:r>
      <w:r>
        <w:rPr>
          <w:spacing w:val="-1"/>
          <w:w w:val="146"/>
        </w:rPr>
        <w:t> </w:t>
      </w:r>
      <w:r>
        <w:rPr>
          <w:w w:val="162"/>
        </w:rPr>
        <w:t>   </w:t>
      </w:r>
      <w:r>
        <w:rPr>
          <w:spacing w:val="20"/>
        </w:rPr>
        <w:t> </w:t>
      </w:r>
      <w:r>
        <w:rPr>
          <w:w w:val="200"/>
        </w:rPr>
        <w:t> </w:t>
      </w:r>
      <w:r>
        <w:rPr>
          <w:spacing w:val="14"/>
        </w:rPr>
        <w:t> </w:t>
      </w:r>
      <w:r>
        <w:rPr>
          <w:w w:val="200"/>
        </w:rPr>
        <w:t>  </w:t>
      </w:r>
      <w:r>
        <w:rPr>
          <w:spacing w:val="16"/>
        </w:rPr>
        <w:t> </w:t>
      </w:r>
      <w:r>
        <w:rPr>
          <w:w w:val="188"/>
        </w:rPr>
        <w:t> </w:t>
      </w:r>
      <w:r>
        <w:rPr>
          <w:spacing w:val="-1"/>
          <w:w w:val="188"/>
        </w:rPr>
        <w:t> </w:t>
      </w:r>
      <w:r>
        <w:rPr>
          <w:w w:val="138"/>
        </w:rPr>
        <w:t>   </w:t>
      </w:r>
      <w:r>
        <w:rPr>
          <w:spacing w:val="2"/>
          <w:w w:val="138"/>
        </w:rPr>
        <w:t> </w:t>
      </w:r>
      <w:r>
        <w:rPr>
          <w:spacing w:val="-1"/>
          <w:w w:val="177"/>
        </w:rPr>
        <w:t> </w:t>
      </w:r>
      <w:r>
        <w:rPr>
          <w:w w:val="166"/>
        </w:rPr>
        <w:t> </w:t>
      </w:r>
      <w:r>
        <w:rPr>
          <w:spacing w:val="1"/>
          <w:w w:val="166"/>
        </w:rPr>
        <w:t> </w:t>
      </w:r>
      <w:r>
        <w:rPr>
          <w:w w:val="155"/>
        </w:rPr>
        <w:t> </w:t>
      </w:r>
      <w:r>
        <w:rPr/>
        <w:t> </w:t>
      </w:r>
      <w:r>
        <w:rPr>
          <w:w w:val="1"/>
        </w:rPr>
        <w:t> </w:t>
      </w:r>
      <w:r>
        <w:rPr>
          <w:spacing w:val="16"/>
        </w:rPr>
        <w:t> </w:t>
      </w:r>
      <w:r>
        <w:rPr>
          <w:spacing w:val="-1"/>
          <w:w w:val="177"/>
        </w:rPr>
        <w:t> </w:t>
      </w:r>
      <w:r>
        <w:rPr>
          <w:w w:val="188"/>
        </w:rPr>
        <w:t> </w:t>
      </w:r>
      <w:r>
        <w:rPr>
          <w:spacing w:val="-1"/>
          <w:w w:val="188"/>
        </w:rPr>
        <w:t> </w:t>
      </w:r>
      <w:r>
        <w:rPr>
          <w:w w:val="200"/>
        </w:rPr>
        <w:t>   </w:t>
      </w:r>
      <w:r>
        <w:rPr>
          <w:spacing w:val="18"/>
        </w:rPr>
        <w:t> </w:t>
      </w:r>
      <w:r>
        <w:rPr>
          <w:spacing w:val="-1"/>
          <w:w w:val="177"/>
        </w:rPr>
        <w:t> </w:t>
      </w:r>
      <w:r>
        <w:rPr>
          <w:w w:val="200"/>
        </w:rPr>
        <w:t> </w:t>
      </w:r>
      <w:r>
        <w:rPr>
          <w:spacing w:val="18"/>
        </w:rPr>
        <w:t> </w:t>
      </w:r>
      <w:r>
        <w:rPr>
          <w:spacing w:val="-1"/>
          <w:w w:val="177"/>
        </w:rPr>
        <w:t> </w:t>
      </w:r>
      <w:r>
        <w:rPr>
          <w:w w:val="111"/>
        </w:rPr>
        <w:t> </w:t>
      </w:r>
      <w:r>
        <w:rPr>
          <w:spacing w:val="17"/>
        </w:rPr>
        <w:t> </w:t>
      </w:r>
      <w:r>
        <w:rPr>
          <w:w w:val="166"/>
        </w:rPr>
        <w:t> </w:t>
      </w:r>
      <w:r>
        <w:rPr>
          <w:spacing w:val="-1"/>
          <w:w w:val="166"/>
        </w:rPr>
        <w:t> </w:t>
      </w:r>
      <w:r>
        <w:rPr>
          <w:w w:val="211"/>
        </w:rPr>
        <w:t>  </w:t>
      </w:r>
      <w:r>
        <w:rPr>
          <w:spacing w:val="-1"/>
          <w:w w:val="177"/>
        </w:rPr>
        <w:t> </w:t>
      </w:r>
      <w:r>
        <w:rPr>
          <w:w w:val="133"/>
        </w:rPr>
        <w:t> </w:t>
      </w:r>
      <w:r>
        <w:rPr>
          <w:spacing w:val="18"/>
        </w:rPr>
        <w:t> </w:t>
      </w:r>
      <w:r>
        <w:rPr>
          <w:spacing w:val="2"/>
          <w:w w:val="200"/>
        </w:rPr>
        <w:t> </w:t>
      </w:r>
      <w:r>
        <w:rPr>
          <w:spacing w:val="-1"/>
          <w:w w:val="177"/>
        </w:rPr>
        <w:t> </w:t>
      </w:r>
      <w:r>
        <w:rPr>
          <w:w w:val="168"/>
        </w:rPr>
        <w:t>     </w:t>
      </w:r>
      <w:r>
        <w:rPr>
          <w:spacing w:val="16"/>
        </w:rPr>
        <w:t> </w:t>
      </w:r>
      <w:r>
        <w:rPr>
          <w:w w:val="166"/>
        </w:rPr>
        <w:t>  </w:t>
      </w:r>
      <w:r>
        <w:rPr>
          <w:spacing w:val="18"/>
        </w:rPr>
        <w:t> </w:t>
      </w:r>
      <w:r>
        <w:rPr>
          <w:w w:val="155"/>
        </w:rPr>
        <w:t>   </w:t>
      </w:r>
      <w:r>
        <w:rPr>
          <w:spacing w:val="-2"/>
          <w:w w:val="155"/>
        </w:rPr>
        <w:t> </w:t>
      </w:r>
      <w:r>
        <w:rPr>
          <w:spacing w:val="-1"/>
          <w:w w:val="177"/>
        </w:rPr>
        <w:t> </w:t>
      </w:r>
      <w:r>
        <w:rPr>
          <w:spacing w:val="2"/>
          <w:w w:val="311"/>
        </w:rPr>
        <w:t> </w:t>
      </w:r>
      <w:r>
        <w:rPr>
          <w:spacing w:val="-1"/>
          <w:w w:val="177"/>
        </w:rPr>
        <w:t> </w:t>
      </w:r>
      <w:r>
        <w:rPr>
          <w:w w:val="162"/>
        </w:rPr>
        <w:t>   </w:t>
      </w:r>
      <w:r>
        <w:rPr>
          <w:spacing w:val="16"/>
        </w:rPr>
        <w:t> </w:t>
      </w:r>
      <w:r>
        <w:rPr>
          <w:spacing w:val="1"/>
          <w:w w:val="177"/>
        </w:rPr>
        <w:t> </w:t>
      </w:r>
      <w:r>
        <w:rPr>
          <w:spacing w:val="-1"/>
          <w:w w:val="177"/>
        </w:rPr>
        <w:t> </w:t>
      </w:r>
      <w:r>
        <w:rPr>
          <w:spacing w:val="2"/>
          <w:w w:val="200"/>
        </w:rPr>
        <w:t> </w:t>
      </w:r>
      <w:r>
        <w:rPr>
          <w:w w:val="177"/>
        </w:rPr>
        <w:t> </w:t>
      </w:r>
      <w:r>
        <w:rPr>
          <w:spacing w:val="15"/>
        </w:rPr>
        <w:t> </w:t>
      </w:r>
      <w:r>
        <w:rPr>
          <w:w w:val="111"/>
        </w:rPr>
        <w:t>  </w:t>
      </w:r>
      <w:r>
        <w:rPr>
          <w:w w:val="200"/>
        </w:rPr>
        <w:t>  </w:t>
      </w:r>
      <w:r>
        <w:rPr>
          <w:spacing w:val="16"/>
        </w:rPr>
        <w:t> </w:t>
      </w:r>
      <w:r>
        <w:rPr>
          <w:w w:val="188"/>
        </w:rPr>
        <w:t>  </w:t>
      </w:r>
      <w:r>
        <w:rPr/>
        <w:t>instrumento fiscal y requiere una convergencia para el segundo período al igual que </w:t>
      </w:r>
      <w:r>
        <w:rPr>
          <w:spacing w:val="-1"/>
        </w:rPr>
        <w:t>e</w:t>
      </w:r>
      <w:r>
        <w:rPr/>
        <w:t>l</w:t>
      </w:r>
      <w:r>
        <w:rPr>
          <w:spacing w:val="5"/>
        </w:rPr>
        <w:t> </w:t>
      </w:r>
      <w:r>
        <w:rPr/>
        <w:t>b</w:t>
      </w:r>
      <w:r>
        <w:rPr>
          <w:spacing w:val="-1"/>
        </w:rPr>
        <w:t>a</w:t>
      </w:r>
      <w:r>
        <w:rPr/>
        <w:t>lance</w:t>
      </w:r>
      <w:r>
        <w:rPr>
          <w:spacing w:val="3"/>
        </w:rPr>
        <w:t> </w:t>
      </w:r>
      <w:r>
        <w:rPr>
          <w:w w:val="99"/>
        </w:rPr>
        <w:t>fis</w:t>
      </w:r>
      <w:r>
        <w:rPr>
          <w:spacing w:val="1"/>
          <w:w w:val="99"/>
        </w:rPr>
        <w:t>c</w:t>
      </w:r>
      <w:r>
        <w:rPr>
          <w:spacing w:val="-1"/>
        </w:rPr>
        <w:t>a</w:t>
      </w:r>
      <w:r>
        <w:rPr/>
        <w:t>l</w:t>
      </w:r>
      <w:r>
        <w:rPr>
          <w:spacing w:val="5"/>
        </w:rPr>
        <w:t> </w:t>
      </w:r>
      <w:r>
        <w:rPr>
          <w:spacing w:val="-1"/>
        </w:rPr>
        <w:t>c</w:t>
      </w:r>
      <w:r>
        <w:rPr/>
        <w:t>ícli</w:t>
      </w:r>
      <w:r>
        <w:rPr>
          <w:spacing w:val="1"/>
        </w:rPr>
        <w:t>c</w:t>
      </w:r>
      <w:r>
        <w:rPr>
          <w:spacing w:val="-1"/>
        </w:rPr>
        <w:t>a</w:t>
      </w:r>
      <w:r>
        <w:rPr/>
        <w:t>mente</w:t>
      </w:r>
      <w:r>
        <w:rPr>
          <w:spacing w:val="3"/>
        </w:rPr>
        <w:t> </w:t>
      </w:r>
      <w:r>
        <w:rPr>
          <w:spacing w:val="-1"/>
        </w:rPr>
        <w:t>a</w:t>
      </w:r>
      <w:r>
        <w:rPr>
          <w:w w:val="99"/>
        </w:rPr>
        <w:t>jus</w:t>
      </w:r>
      <w:r>
        <w:rPr>
          <w:spacing w:val="1"/>
          <w:w w:val="99"/>
        </w:rPr>
        <w:t>t</w:t>
      </w:r>
      <w:r>
        <w:rPr>
          <w:spacing w:val="-1"/>
        </w:rPr>
        <w:t>a</w:t>
      </w:r>
      <w:r>
        <w:rPr/>
        <w:t>do</w:t>
      </w:r>
      <w:r>
        <w:rPr>
          <w:spacing w:val="9"/>
        </w:rPr>
        <w:t> </w:t>
      </w:r>
      <w:r>
        <w:rPr/>
        <w:t>y</w:t>
      </w:r>
      <w:r>
        <w:rPr>
          <w:spacing w:val="-1"/>
        </w:rPr>
        <w:t> </w:t>
      </w:r>
      <w:r>
        <w:rPr>
          <w:spacing w:val="2"/>
        </w:rPr>
        <w:t>l</w:t>
      </w:r>
      <w:r>
        <w:rPr/>
        <w:t>a</w:t>
      </w:r>
      <w:r>
        <w:rPr>
          <w:spacing w:val="3"/>
        </w:rPr>
        <w:t> </w:t>
      </w:r>
      <w:r>
        <w:rPr/>
        <w:t>d</w:t>
      </w:r>
      <w:r>
        <w:rPr>
          <w:spacing w:val="-1"/>
        </w:rPr>
        <w:t>e</w:t>
      </w:r>
      <w:r>
        <w:rPr/>
        <w:t>u</w:t>
      </w:r>
      <w:r>
        <w:rPr>
          <w:spacing w:val="2"/>
        </w:rPr>
        <w:t>d</w:t>
      </w:r>
      <w:r>
        <w:rPr/>
        <w:t>a</w:t>
      </w:r>
      <w:r>
        <w:rPr>
          <w:spacing w:val="6"/>
        </w:rPr>
        <w:t> </w:t>
      </w:r>
      <w:r>
        <w:rPr/>
        <w:t>públi</w:t>
      </w:r>
      <w:r>
        <w:rPr>
          <w:spacing w:val="-1"/>
        </w:rPr>
        <w:t>c</w:t>
      </w:r>
      <w:r>
        <w:rPr/>
        <w:t>a</w:t>
      </w:r>
      <w:r>
        <w:rPr>
          <w:spacing w:val="3"/>
        </w:rPr>
        <w:t> </w:t>
      </w:r>
      <w:r>
        <w:rPr/>
        <w:t>(</w:t>
      </w:r>
      <w:r>
        <w:rPr>
          <w:spacing w:val="-2"/>
        </w:rPr>
        <w:t>c</w:t>
      </w:r>
      <w:r>
        <w:rPr/>
        <w:t>onsumo,</w:t>
      </w:r>
      <w:r>
        <w:rPr>
          <w:spacing w:val="6"/>
        </w:rPr>
        <w:t> </w:t>
      </w:r>
      <w:r>
        <w:rPr>
          <w:spacing w:val="-1"/>
        </w:rPr>
        <w:t>a</w:t>
      </w:r>
      <w:r>
        <w:rPr/>
        <w:t>horro</w:t>
      </w:r>
      <w:r>
        <w:rPr>
          <w:spacing w:val="6"/>
        </w:rPr>
        <w:t> </w:t>
      </w:r>
      <w:r>
        <w:rPr/>
        <w:t>y</w:t>
      </w:r>
      <w:r>
        <w:rPr>
          <w:spacing w:val="-1"/>
        </w:rPr>
        <w:t> </w:t>
      </w:r>
      <w:r>
        <w:rPr>
          <w:spacing w:val="2"/>
        </w:rPr>
        <w:t>d</w:t>
      </w:r>
      <w:r>
        <w:rPr>
          <w:spacing w:val="-1"/>
        </w:rPr>
        <w:t>e</w:t>
      </w:r>
      <w:r>
        <w:rPr/>
        <w:t>uda p</w:t>
      </w:r>
      <w:r>
        <w:rPr>
          <w:spacing w:val="-1"/>
        </w:rPr>
        <w:t>re</w:t>
      </w:r>
      <w:r>
        <w:rPr>
          <w:w w:val="99"/>
        </w:rPr>
        <w:t>s</w:t>
      </w:r>
      <w:r>
        <w:rPr>
          <w:spacing w:val="-1"/>
          <w:w w:val="99"/>
        </w:rPr>
        <w:t>e</w:t>
      </w:r>
      <w:r>
        <w:rPr/>
        <w:t>nte </w:t>
      </w:r>
      <w:r>
        <w:rPr>
          <w:spacing w:val="1"/>
        </w:rPr>
        <w:t>d</w:t>
      </w:r>
      <w:r>
        <w:rPr>
          <w:spacing w:val="-1"/>
        </w:rPr>
        <w:t>e</w:t>
      </w:r>
      <w:r>
        <w:rPr/>
        <w:t>l </w:t>
      </w:r>
      <w:r>
        <w:rPr>
          <w:spacing w:val="-2"/>
        </w:rPr>
        <w:t>g</w:t>
      </w:r>
      <w:r>
        <w:rPr/>
        <w:t>ob</w:t>
      </w:r>
      <w:r>
        <w:rPr>
          <w:spacing w:val="2"/>
        </w:rPr>
        <w:t>i</w:t>
      </w:r>
      <w:r>
        <w:rPr>
          <w:spacing w:val="-1"/>
        </w:rPr>
        <w:t>e</w:t>
      </w:r>
      <w:r>
        <w:rPr/>
        <w:t>rno </w:t>
      </w:r>
      <w:r>
        <w:rPr>
          <w:spacing w:val="-1"/>
        </w:rPr>
        <w:t>v</w:t>
      </w:r>
      <w:r>
        <w:rPr>
          <w:spacing w:val="1"/>
        </w:rPr>
        <w:t>er</w:t>
      </w:r>
      <w:r>
        <w:rPr>
          <w:w w:val="99"/>
        </w:rPr>
        <w:t>sus</w:t>
      </w:r>
      <w:r>
        <w:rPr/>
        <w:t> niv</w:t>
      </w:r>
      <w:r>
        <w:rPr>
          <w:spacing w:val="-1"/>
        </w:rPr>
        <w:t>e</w:t>
      </w:r>
      <w:r>
        <w:rPr>
          <w:w w:val="99"/>
        </w:rPr>
        <w:t>les</w:t>
      </w:r>
      <w:r>
        <w:rPr/>
        <w:t> </w:t>
      </w:r>
      <w:r>
        <w:rPr>
          <w:spacing w:val="-1"/>
        </w:rPr>
        <w:t>f</w:t>
      </w:r>
      <w:r>
        <w:rPr/>
        <w:t>uturos</w:t>
      </w:r>
      <w:r>
        <w:rPr>
          <w:spacing w:val="-1"/>
        </w:rPr>
        <w:t>)</w:t>
      </w:r>
      <w:r>
        <w:rPr/>
        <w:t>.</w:t>
      </w:r>
    </w:p>
    <w:p>
      <w:pPr>
        <w:pStyle w:val="ListParagraph"/>
        <w:numPr>
          <w:ilvl w:val="2"/>
          <w:numId w:val="22"/>
        </w:numPr>
        <w:tabs>
          <w:tab w:pos="1541" w:val="left" w:leader="none"/>
          <w:tab w:pos="1542" w:val="left" w:leader="none"/>
        </w:tabs>
        <w:spacing w:line="360" w:lineRule="auto" w:before="6" w:after="0"/>
        <w:ind w:left="1530" w:right="123" w:hanging="348"/>
        <w:jc w:val="left"/>
        <w:rPr>
          <w:sz w:val="24"/>
        </w:rPr>
      </w:pPr>
      <w:r>
        <w:rPr>
          <w:sz w:val="24"/>
        </w:rPr>
        <w:t>Determinación de cláusulas de escape para la posición fiscal frente a choques económicos que afecten el estado de equilibrio de la economía (interna y</w:t>
      </w:r>
      <w:r>
        <w:rPr>
          <w:spacing w:val="-14"/>
          <w:sz w:val="24"/>
        </w:rPr>
        <w:t> </w:t>
      </w:r>
      <w:r>
        <w:rPr>
          <w:sz w:val="24"/>
        </w:rPr>
        <w:t>externa).</w:t>
      </w:r>
    </w:p>
    <w:p>
      <w:pPr>
        <w:pStyle w:val="BodyText"/>
        <w:spacing w:line="360" w:lineRule="auto" w:before="7"/>
        <w:ind w:left="822" w:right="123" w:firstLine="707"/>
        <w:jc w:val="both"/>
      </w:pPr>
      <w:r>
        <w:rPr/>
        <w:t>Finalmente, se hace mención que no existe ningún algoritmo o metodología en particular que determine de forma endógena el grado de sostenibilidad fiscal para países dependientes de un recurso natural.</w:t>
      </w:r>
    </w:p>
    <w:p>
      <w:pPr>
        <w:pStyle w:val="BodyText"/>
        <w:spacing w:before="10"/>
        <w:rPr>
          <w:sz w:val="31"/>
        </w:rPr>
      </w:pPr>
    </w:p>
    <w:p>
      <w:pPr>
        <w:spacing w:before="1"/>
        <w:ind w:left="822" w:right="84" w:firstLine="0"/>
        <w:jc w:val="left"/>
        <w:rPr>
          <w:b/>
          <w:sz w:val="22"/>
        </w:rPr>
      </w:pPr>
      <w:bookmarkStart w:name="_bookmark167" w:id="232"/>
      <w:bookmarkEnd w:id="232"/>
      <w:r>
        <w:rPr/>
      </w:r>
      <w:r>
        <w:rPr>
          <w:b/>
          <w:sz w:val="28"/>
        </w:rPr>
        <w:t>F</w:t>
      </w:r>
      <w:r>
        <w:rPr>
          <w:b/>
          <w:sz w:val="22"/>
        </w:rPr>
        <w:t>UENTES </w:t>
      </w:r>
      <w:r>
        <w:rPr>
          <w:b/>
          <w:sz w:val="28"/>
        </w:rPr>
        <w:t>B</w:t>
      </w:r>
      <w:r>
        <w:rPr>
          <w:b/>
          <w:sz w:val="22"/>
        </w:rPr>
        <w:t>IBLIOGRÁFICAS</w:t>
      </w:r>
    </w:p>
    <w:p>
      <w:pPr>
        <w:pStyle w:val="BodyText"/>
        <w:spacing w:before="3"/>
        <w:rPr>
          <w:b/>
          <w:sz w:val="29"/>
        </w:rPr>
      </w:pPr>
    </w:p>
    <w:p>
      <w:pPr>
        <w:spacing w:line="360" w:lineRule="auto" w:before="0"/>
        <w:ind w:left="822" w:right="119" w:hanging="709"/>
        <w:jc w:val="both"/>
        <w:rPr>
          <w:sz w:val="24"/>
        </w:rPr>
      </w:pPr>
      <w:r>
        <w:rPr>
          <w:sz w:val="24"/>
        </w:rPr>
        <w:t>Abdullah, H., Mohd, M. &amp; Dahalan, J., 2012. An empirical Study on Fiscal Sustainability in Malaysia. </w:t>
      </w:r>
      <w:r>
        <w:rPr>
          <w:i/>
          <w:sz w:val="24"/>
        </w:rPr>
        <w:t>International Journal of Academic Research in Business and Social Science, </w:t>
      </w:r>
      <w:r>
        <w:rPr>
          <w:sz w:val="24"/>
        </w:rPr>
        <w:t>2(1), pp. 72</w:t>
      </w:r>
      <w:r>
        <w:rPr>
          <w:spacing w:val="-5"/>
          <w:sz w:val="24"/>
        </w:rPr>
        <w:t> </w:t>
      </w:r>
      <w:r>
        <w:rPr>
          <w:sz w:val="24"/>
        </w:rPr>
        <w:t>-90.</w:t>
      </w:r>
    </w:p>
    <w:p>
      <w:pPr>
        <w:spacing w:line="360" w:lineRule="auto" w:before="6"/>
        <w:ind w:left="822" w:right="119" w:hanging="709"/>
        <w:jc w:val="both"/>
        <w:rPr>
          <w:sz w:val="24"/>
        </w:rPr>
      </w:pPr>
      <w:r>
        <w:rPr>
          <w:sz w:val="24"/>
        </w:rPr>
        <w:t>Acemoglu, D. &amp; Robinson, J., 2001. A Theory of Political Transitions. </w:t>
      </w:r>
      <w:r>
        <w:rPr>
          <w:i/>
          <w:sz w:val="24"/>
        </w:rPr>
        <w:t>American Economic </w:t>
      </w:r>
      <w:r>
        <w:rPr>
          <w:i/>
          <w:sz w:val="24"/>
        </w:rPr>
        <w:t>Review, </w:t>
      </w:r>
      <w:r>
        <w:rPr>
          <w:sz w:val="24"/>
        </w:rPr>
        <w:t>Volumen 91, pp. 938-963.</w:t>
      </w:r>
    </w:p>
    <w:p>
      <w:pPr>
        <w:pStyle w:val="BodyText"/>
        <w:spacing w:before="6"/>
        <w:ind w:left="113" w:right="84"/>
      </w:pPr>
      <w:r>
        <w:rPr/>
        <w:t>Afonso, A. &amp; Rault, C., 2008. Step Analysis of Public Finances, The Case of the European  Union.</w:t>
      </w:r>
    </w:p>
    <w:p>
      <w:pPr>
        <w:spacing w:before="137"/>
        <w:ind w:left="822" w:right="84" w:firstLine="0"/>
        <w:jc w:val="left"/>
        <w:rPr>
          <w:sz w:val="24"/>
        </w:rPr>
      </w:pPr>
      <w:r>
        <w:rPr>
          <w:i/>
          <w:sz w:val="24"/>
        </w:rPr>
        <w:t>European Central Bank, WP Series Nº 908/ June, </w:t>
      </w:r>
      <w:r>
        <w:rPr>
          <w:sz w:val="24"/>
        </w:rPr>
        <w:t>pp. 1-45.</w:t>
      </w:r>
    </w:p>
    <w:p>
      <w:pPr>
        <w:spacing w:line="360" w:lineRule="auto" w:before="139"/>
        <w:ind w:left="822" w:right="120" w:hanging="709"/>
        <w:jc w:val="both"/>
        <w:rPr>
          <w:sz w:val="24"/>
        </w:rPr>
      </w:pPr>
      <w:r>
        <w:rPr>
          <w:sz w:val="24"/>
        </w:rPr>
        <w:t>Afonso, A. &amp; Rault, C., 2010. What do we really know about the fiscal sustainability in the European Union? A panel data diagnostic. </w:t>
      </w:r>
      <w:r>
        <w:rPr>
          <w:i/>
          <w:sz w:val="24"/>
        </w:rPr>
        <w:t>Review World Economics, Finance &amp; Trade, </w:t>
      </w:r>
      <w:r>
        <w:rPr>
          <w:sz w:val="24"/>
        </w:rPr>
        <w:t>Volumen 145, p. 731 – 755.</w:t>
      </w:r>
    </w:p>
    <w:p>
      <w:pPr>
        <w:pStyle w:val="BodyText"/>
        <w:spacing w:line="360" w:lineRule="auto" w:before="4"/>
        <w:ind w:left="822" w:right="116" w:hanging="709"/>
        <w:jc w:val="both"/>
      </w:pPr>
      <w:r>
        <w:rPr/>
        <w:t>Agénor, R. &amp; Yilmaz, D., 2011. The tiranny of fiscal rules: fiscal discipline, productive spending, and growth in a perfect foresight model. </w:t>
      </w:r>
      <w:r>
        <w:rPr>
          <w:i/>
        </w:rPr>
        <w:t>Journal of Economic Policy Reform, </w:t>
      </w:r>
      <w:r>
        <w:rPr/>
        <w:t>14(1), pp. 69- 99.</w:t>
      </w:r>
    </w:p>
    <w:p>
      <w:pPr>
        <w:spacing w:line="360" w:lineRule="auto" w:before="6"/>
        <w:ind w:left="822" w:right="117" w:hanging="709"/>
        <w:jc w:val="both"/>
        <w:rPr>
          <w:sz w:val="24"/>
        </w:rPr>
      </w:pPr>
      <w:r>
        <w:rPr>
          <w:sz w:val="24"/>
        </w:rPr>
        <w:t>Agnello, L. &amp; Sousa, R., 2009. The Determinants of Public Deficit Volatility. </w:t>
      </w:r>
      <w:r>
        <w:rPr>
          <w:i/>
          <w:sz w:val="24"/>
        </w:rPr>
        <w:t>European Central </w:t>
      </w:r>
      <w:r>
        <w:rPr>
          <w:i/>
          <w:sz w:val="24"/>
        </w:rPr>
        <w:t>Bank, </w:t>
      </w:r>
      <w:r>
        <w:rPr>
          <w:sz w:val="24"/>
        </w:rPr>
        <w:t>Abril.</w:t>
      </w:r>
    </w:p>
    <w:p>
      <w:pPr>
        <w:pStyle w:val="BodyText"/>
        <w:spacing w:before="6"/>
        <w:ind w:left="113" w:right="84"/>
      </w:pPr>
      <w:r>
        <w:rPr/>
        <w:t>Aguilera, R., 2010. The future of the European natural gas market: A quantitative assessment.</w:t>
      </w:r>
    </w:p>
    <w:p>
      <w:pPr>
        <w:spacing w:before="137"/>
        <w:ind w:left="822" w:right="84" w:firstLine="0"/>
        <w:jc w:val="left"/>
        <w:rPr>
          <w:sz w:val="24"/>
        </w:rPr>
      </w:pPr>
      <w:r>
        <w:rPr>
          <w:i/>
          <w:sz w:val="24"/>
        </w:rPr>
        <w:t>Energy, </w:t>
      </w:r>
      <w:r>
        <w:rPr>
          <w:sz w:val="24"/>
        </w:rPr>
        <w:t>pp. 3332-3339.</w:t>
      </w:r>
    </w:p>
    <w:p>
      <w:pPr>
        <w:pStyle w:val="BodyText"/>
        <w:spacing w:before="139"/>
        <w:ind w:left="113" w:right="84"/>
      </w:pPr>
      <w:r>
        <w:rPr/>
        <w:t>Alchian, A., 1965. Some Economics of Property Rights. </w:t>
      </w:r>
      <w:r>
        <w:rPr>
          <w:i/>
        </w:rPr>
        <w:t>Politico, </w:t>
      </w:r>
      <w:r>
        <w:rPr/>
        <w:t>30(4), p. 816–829..</w:t>
      </w:r>
    </w:p>
    <w:p>
      <w:pPr>
        <w:spacing w:after="0"/>
        <w:sectPr>
          <w:pgSz w:w="12250" w:h="15850"/>
          <w:pgMar w:header="0" w:footer="977" w:top="1360" w:bottom="1220" w:left="880" w:right="1580"/>
        </w:sectPr>
      </w:pPr>
    </w:p>
    <w:p>
      <w:pPr>
        <w:pStyle w:val="BodyText"/>
        <w:spacing w:line="360" w:lineRule="auto" w:before="50"/>
        <w:ind w:left="822" w:right="84" w:hanging="709"/>
      </w:pPr>
      <w:r>
        <w:rPr/>
        <w:t>Alesina, A. &amp; Tabellini, G., 1987. Rules and discretion with non coordinated monetary and fiscal policies. </w:t>
      </w:r>
      <w:r>
        <w:rPr>
          <w:i/>
        </w:rPr>
        <w:t>Econ Inq, </w:t>
      </w:r>
      <w:r>
        <w:rPr/>
        <w:t>Volumen 25, p. 619–630.</w:t>
      </w:r>
    </w:p>
    <w:p>
      <w:pPr>
        <w:pStyle w:val="BodyText"/>
        <w:spacing w:line="360" w:lineRule="auto" w:before="6"/>
        <w:ind w:left="822" w:right="185" w:hanging="709"/>
      </w:pPr>
      <w:r>
        <w:rPr/>
        <w:t>Amieva, J., 2004. Finanzas Públicas en México. En: México D.F: Porrúa. Pg. 3 – 23; 143 -220;  223</w:t>
      </w:r>
      <w:r>
        <w:rPr>
          <w:spacing w:val="-2"/>
        </w:rPr>
        <w:t> </w:t>
      </w:r>
      <w:r>
        <w:rPr/>
        <w:t>-272..</w:t>
      </w:r>
    </w:p>
    <w:p>
      <w:pPr>
        <w:spacing w:line="360" w:lineRule="auto" w:before="6"/>
        <w:ind w:left="822" w:right="84" w:hanging="709"/>
        <w:jc w:val="left"/>
        <w:rPr>
          <w:i/>
          <w:sz w:val="24"/>
        </w:rPr>
      </w:pPr>
      <w:r>
        <w:rPr>
          <w:sz w:val="24"/>
        </w:rPr>
        <w:t>Aráoz, F., Cerro, A., Meloni, O. &amp; Soria- Genta, T., 2006. Fiscal Sustainability and Crises: The Case of Argentina. </w:t>
      </w:r>
      <w:r>
        <w:rPr>
          <w:i/>
          <w:sz w:val="24"/>
        </w:rPr>
        <w:t>Asociación Argentina de Economía Política.</w:t>
      </w:r>
    </w:p>
    <w:p>
      <w:pPr>
        <w:pStyle w:val="BodyText"/>
        <w:spacing w:line="360" w:lineRule="auto" w:before="6"/>
        <w:ind w:left="822" w:right="84" w:hanging="709"/>
      </w:pPr>
      <w:r>
        <w:rPr/>
        <w:t>Asche, F., Osmundsen, P. &amp; Sandsmark, M., 2006. The UK Market for Natural Gas, Oil and Electricity: Are the Prices Decoupled?. </w:t>
      </w:r>
      <w:r>
        <w:rPr>
          <w:i/>
        </w:rPr>
        <w:t>The Energy Journal, </w:t>
      </w:r>
      <w:r>
        <w:rPr/>
        <w:t>27(2), pp. 27-40.</w:t>
      </w:r>
    </w:p>
    <w:p>
      <w:pPr>
        <w:pStyle w:val="BodyText"/>
        <w:spacing w:line="360" w:lineRule="auto" w:before="7"/>
        <w:ind w:left="822" w:right="185" w:hanging="709"/>
      </w:pPr>
      <w:r>
        <w:rPr/>
        <w:t>Asociación de Supervisores Bancarios de las Américas – ASBA, 2001. El nuevo acuerdo de Capital de Basilea.</w:t>
      </w:r>
      <w:r>
        <w:rPr>
          <w:spacing w:val="-6"/>
        </w:rPr>
        <w:t> </w:t>
      </w:r>
      <w:r>
        <w:rPr/>
        <w:t>Mayo.</w:t>
      </w:r>
    </w:p>
    <w:p>
      <w:pPr>
        <w:pStyle w:val="BodyText"/>
        <w:spacing w:before="6"/>
        <w:ind w:left="113" w:right="84"/>
      </w:pPr>
      <w:r>
        <w:rPr/>
        <w:t>Bachev,  H.,  2010.  Efficiency  and  Sustainability  of  Economic  Organizations  in Agri-business.</w:t>
      </w:r>
    </w:p>
    <w:p>
      <w:pPr>
        <w:spacing w:before="137"/>
        <w:ind w:left="822" w:right="84" w:firstLine="0"/>
        <w:jc w:val="left"/>
        <w:rPr>
          <w:sz w:val="24"/>
        </w:rPr>
      </w:pPr>
      <w:r>
        <w:rPr>
          <w:i/>
          <w:sz w:val="24"/>
        </w:rPr>
        <w:t>Institute of Agricultural Economics, Sofia,Bulgaria, </w:t>
      </w:r>
      <w:r>
        <w:rPr>
          <w:sz w:val="24"/>
        </w:rPr>
        <w:t>October, 4(1), pp. 5-22.</w:t>
      </w:r>
    </w:p>
    <w:p>
      <w:pPr>
        <w:pStyle w:val="BodyText"/>
        <w:spacing w:before="139"/>
        <w:ind w:left="113" w:right="84"/>
      </w:pPr>
      <w:r>
        <w:rPr/>
        <w:t>Balassone,  F.  y  otros,  2009.  Fiscal  Sustainability and  Policy  Implications  for  the  Euro  Area.</w:t>
      </w:r>
    </w:p>
    <w:p>
      <w:pPr>
        <w:spacing w:before="137"/>
        <w:ind w:left="822" w:right="84" w:firstLine="0"/>
        <w:jc w:val="left"/>
        <w:rPr>
          <w:sz w:val="24"/>
        </w:rPr>
      </w:pPr>
      <w:r>
        <w:rPr>
          <w:i/>
          <w:sz w:val="24"/>
        </w:rPr>
        <w:t>European Central Bank, </w:t>
      </w:r>
      <w:r>
        <w:rPr>
          <w:sz w:val="24"/>
        </w:rPr>
        <w:t>January.</w:t>
      </w:r>
    </w:p>
    <w:p>
      <w:pPr>
        <w:spacing w:before="139"/>
        <w:ind w:left="113" w:right="84" w:firstLine="0"/>
        <w:jc w:val="left"/>
        <w:rPr>
          <w:i/>
          <w:sz w:val="24"/>
        </w:rPr>
      </w:pPr>
      <w:r>
        <w:rPr>
          <w:sz w:val="24"/>
        </w:rPr>
        <w:t>Banco Central de Bolivia, B., 2012. </w:t>
      </w:r>
      <w:r>
        <w:rPr>
          <w:i/>
          <w:sz w:val="24"/>
        </w:rPr>
        <w:t>Información estadística del sector fiscal y la deuda pública.</w:t>
      </w:r>
    </w:p>
    <w:p>
      <w:pPr>
        <w:spacing w:before="137"/>
        <w:ind w:left="113" w:right="84" w:firstLine="0"/>
        <w:jc w:val="left"/>
        <w:rPr>
          <w:sz w:val="24"/>
        </w:rPr>
      </w:pPr>
      <w:r>
        <w:rPr>
          <w:sz w:val="24"/>
        </w:rPr>
        <w:t>Bank of England, 2012. </w:t>
      </w:r>
      <w:r>
        <w:rPr>
          <w:i/>
          <w:sz w:val="24"/>
        </w:rPr>
        <w:t>Inflation Report, </w:t>
      </w:r>
      <w:r>
        <w:rPr>
          <w:sz w:val="24"/>
        </w:rPr>
        <w:t>s.l.: s.n.</w:t>
      </w:r>
    </w:p>
    <w:p>
      <w:pPr>
        <w:pStyle w:val="BodyText"/>
        <w:spacing w:before="139"/>
        <w:ind w:left="113" w:right="84"/>
        <w:rPr>
          <w:i/>
        </w:rPr>
      </w:pPr>
      <w:r>
        <w:rPr/>
        <w:t>Basurto, G. &amp; Ghosh, A., 2001. The Interest Rate–Exchange Rate Nexus in Currency Crises.  </w:t>
      </w:r>
      <w:r>
        <w:rPr>
          <w:i/>
        </w:rPr>
        <w:t>IMF,</w:t>
      </w:r>
    </w:p>
    <w:p>
      <w:pPr>
        <w:pStyle w:val="BodyText"/>
        <w:spacing w:before="137"/>
        <w:ind w:left="822" w:right="84"/>
      </w:pPr>
      <w:r>
        <w:rPr/>
        <w:t>Volumen 47, pp. 99-120.</w:t>
      </w:r>
    </w:p>
    <w:p>
      <w:pPr>
        <w:pStyle w:val="BodyText"/>
        <w:spacing w:line="360" w:lineRule="auto" w:before="139"/>
        <w:ind w:left="113" w:right="84"/>
        <w:rPr>
          <w:i/>
        </w:rPr>
      </w:pPr>
      <w:r>
        <w:rPr/>
        <w:t>Baunsgaard, T., 2003. Fiscal Policy in Nigeria: Any Role for Rules. </w:t>
      </w:r>
      <w:r>
        <w:rPr>
          <w:i/>
        </w:rPr>
        <w:t>IMF, </w:t>
      </w:r>
      <w:r>
        <w:rPr/>
        <w:t>Volumen WP/03/155. Baunsgaard,  T., Villafuerte, M., Poplawski, M.  &amp; Richmond, C., 2012.  </w:t>
      </w:r>
      <w:r>
        <w:rPr>
          <w:i/>
        </w:rPr>
        <w:t>Fiscal Frameworks     for</w:t>
      </w:r>
    </w:p>
    <w:p>
      <w:pPr>
        <w:spacing w:before="6"/>
        <w:ind w:left="822" w:right="84" w:firstLine="0"/>
        <w:jc w:val="left"/>
        <w:rPr>
          <w:i/>
          <w:sz w:val="24"/>
        </w:rPr>
      </w:pPr>
      <w:r>
        <w:rPr>
          <w:i/>
          <w:sz w:val="24"/>
        </w:rPr>
        <w:t>Resource Rich Developing Countries.</w:t>
      </w:r>
    </w:p>
    <w:p>
      <w:pPr>
        <w:spacing w:line="360" w:lineRule="auto" w:before="137"/>
        <w:ind w:left="822" w:right="185" w:hanging="709"/>
        <w:jc w:val="left"/>
        <w:rPr>
          <w:i/>
          <w:sz w:val="24"/>
        </w:rPr>
      </w:pPr>
      <w:r>
        <w:rPr>
          <w:w w:val="266"/>
          <w:sz w:val="24"/>
        </w:rPr>
        <w:t> </w:t>
      </w:r>
      <w:r>
        <w:rPr>
          <w:spacing w:val="-2"/>
          <w:w w:val="177"/>
          <w:sz w:val="24"/>
        </w:rPr>
        <w:t> </w:t>
      </w:r>
      <w:r>
        <w:rPr>
          <w:w w:val="105"/>
          <w:sz w:val="24"/>
        </w:rPr>
        <w:t>  </w:t>
      </w:r>
      <w:r>
        <w:rPr>
          <w:sz w:val="24"/>
        </w:rPr>
        <w:t> </w:t>
      </w:r>
      <w:r>
        <w:rPr>
          <w:w w:val="162"/>
          <w:sz w:val="24"/>
        </w:rPr>
        <w:t>   </w:t>
      </w:r>
      <w:r>
        <w:rPr>
          <w:sz w:val="24"/>
        </w:rPr>
        <w:t> </w:t>
      </w:r>
      <w:r>
        <w:rPr>
          <w:w w:val="150"/>
          <w:sz w:val="24"/>
        </w:rPr>
        <w:t>   </w:t>
      </w:r>
      <w:r>
        <w:rPr>
          <w:w w:val="130"/>
          <w:sz w:val="24"/>
        </w:rPr>
        <w:t>9                   </w:t>
      </w:r>
      <w:r>
        <w:rPr>
          <w:spacing w:val="78"/>
          <w:w w:val="130"/>
          <w:sz w:val="24"/>
        </w:rPr>
        <w:t> </w:t>
      </w:r>
      <w:r>
        <w:rPr>
          <w:w w:val="170"/>
          <w:sz w:val="24"/>
        </w:rPr>
        <w:t>:                      </w:t>
      </w:r>
      <w:r>
        <w:rPr>
          <w:w w:val="130"/>
          <w:sz w:val="24"/>
        </w:rPr>
        <w:t>9  ‘               </w:t>
      </w:r>
      <w:r>
        <w:rPr>
          <w:i/>
          <w:w w:val="110"/>
          <w:sz w:val="24"/>
        </w:rPr>
        <w:t>Economic History  </w:t>
      </w:r>
      <w:r>
        <w:rPr>
          <w:i/>
          <w:w w:val="110"/>
          <w:sz w:val="24"/>
        </w:rPr>
        <w:t>Review.</w:t>
      </w:r>
    </w:p>
    <w:p>
      <w:pPr>
        <w:pStyle w:val="BodyText"/>
        <w:spacing w:line="360" w:lineRule="auto" w:before="4"/>
        <w:ind w:left="822" w:right="84" w:hanging="709"/>
      </w:pPr>
      <w:r>
        <w:rPr/>
        <w:t>Bentzen, J. &amp; Engsted, T., 1993. Α Short- and Long-Run Elasticities in Energy Demand: A Cointegration Approach. </w:t>
      </w:r>
      <w:r>
        <w:rPr>
          <w:i/>
        </w:rPr>
        <w:t>Energy Economics, </w:t>
      </w:r>
      <w:r>
        <w:rPr/>
        <w:t>Volumen 15, pp. 9-16.</w:t>
      </w:r>
    </w:p>
    <w:p>
      <w:pPr>
        <w:pStyle w:val="BodyText"/>
        <w:spacing w:line="360" w:lineRule="auto" w:before="6"/>
        <w:ind w:left="822" w:right="116" w:hanging="709"/>
        <w:jc w:val="both"/>
      </w:pPr>
      <w:r>
        <w:rPr/>
        <w:t>Berenguer-Rico, V. &amp; Carrion-i-Silvestre, J., 2011. Regime Shifts in Stocks Flows I (2) – I (1) Systems: The case of U.S. Fiscal Sustainability. </w:t>
      </w:r>
      <w:r>
        <w:rPr>
          <w:i/>
        </w:rPr>
        <w:t>Journal of Applied Econometrics,  </w:t>
      </w:r>
      <w:r>
        <w:rPr/>
        <w:t>Volumen 26, pp. 298</w:t>
      </w:r>
      <w:r>
        <w:rPr>
          <w:spacing w:val="-1"/>
        </w:rPr>
        <w:t> </w:t>
      </w:r>
      <w:r>
        <w:rPr/>
        <w:t>-321.</w:t>
      </w:r>
    </w:p>
    <w:p>
      <w:pPr>
        <w:spacing w:before="4"/>
        <w:ind w:left="113" w:right="84" w:firstLine="0"/>
        <w:jc w:val="left"/>
        <w:rPr>
          <w:i/>
          <w:sz w:val="24"/>
        </w:rPr>
      </w:pPr>
      <w:r>
        <w:rPr>
          <w:sz w:val="24"/>
        </w:rPr>
        <w:t>Bhagwati, J., 1970. Oligopoly Theory, Entry Prevention and Growth. </w:t>
      </w:r>
      <w:r>
        <w:rPr>
          <w:i/>
          <w:sz w:val="24"/>
        </w:rPr>
        <w:t>Oxford Economic Papers.</w:t>
      </w:r>
    </w:p>
    <w:p>
      <w:pPr>
        <w:spacing w:line="360" w:lineRule="auto" w:before="139"/>
        <w:ind w:left="822" w:right="84" w:hanging="709"/>
        <w:jc w:val="left"/>
        <w:rPr>
          <w:i/>
          <w:sz w:val="24"/>
        </w:rPr>
      </w:pPr>
      <w:r>
        <w:rPr>
          <w:sz w:val="24"/>
        </w:rPr>
        <w:t>Bjerkholt, O. &amp; Niculescu, I., 2004. Fiscal Rules for Economies with Nonrenewable Resources: Norway and Venezuela. En: </w:t>
      </w:r>
      <w:r>
        <w:rPr>
          <w:i/>
          <w:sz w:val="24"/>
        </w:rPr>
        <w:t>Rules Based Fiscal Policy in Emerging Markets.</w:t>
      </w:r>
    </w:p>
    <w:p>
      <w:pPr>
        <w:spacing w:after="0" w:line="360" w:lineRule="auto"/>
        <w:jc w:val="left"/>
        <w:rPr>
          <w:sz w:val="24"/>
        </w:rPr>
        <w:sectPr>
          <w:pgSz w:w="12250" w:h="15850"/>
          <w:pgMar w:header="0" w:footer="977" w:top="1360" w:bottom="1220" w:left="880" w:right="1580"/>
        </w:sectPr>
      </w:pPr>
    </w:p>
    <w:p>
      <w:pPr>
        <w:pStyle w:val="BodyText"/>
        <w:spacing w:line="360" w:lineRule="auto" w:before="50"/>
        <w:ind w:left="822" w:right="127" w:hanging="709"/>
        <w:jc w:val="both"/>
      </w:pPr>
      <w:r>
        <w:rPr/>
        <w:t>Blanchard, O., Chouraqui, J. C., Hagemann, R. &amp; Sartor, N., 1991. The Sustainability of Fiscal Policy: New Answers to Old Question. </w:t>
      </w:r>
      <w:r>
        <w:rPr>
          <w:i/>
        </w:rPr>
        <w:t>OECD Economic Studies (R1547), </w:t>
      </w:r>
      <w:r>
        <w:rPr/>
        <w:t>Volumen 15.</w:t>
      </w:r>
    </w:p>
    <w:p>
      <w:pPr>
        <w:pStyle w:val="BodyText"/>
        <w:spacing w:before="6"/>
        <w:ind w:left="113" w:right="84"/>
      </w:pPr>
      <w:r>
        <w:rPr/>
        <w:t>Blanchard,  O.  &amp;  Quah,  D.,  1989.  The  Dynamic  Effects  of  Aggregate  Demand  and    Supply</w:t>
      </w:r>
    </w:p>
    <w:p>
      <w:pPr>
        <w:spacing w:before="137"/>
        <w:ind w:left="822" w:right="84" w:firstLine="0"/>
        <w:jc w:val="left"/>
        <w:rPr>
          <w:sz w:val="24"/>
        </w:rPr>
      </w:pPr>
      <w:r>
        <w:rPr>
          <w:w w:val="166"/>
          <w:sz w:val="24"/>
        </w:rPr>
        <w:t>    </w:t>
      </w:r>
      <w:r>
        <w:rPr>
          <w:w w:val="166"/>
          <w:sz w:val="24"/>
        </w:rPr>
        <w:t>  </w:t>
      </w:r>
      <w:r>
        <w:rPr>
          <w:w w:val="188"/>
          <w:sz w:val="24"/>
        </w:rPr>
        <w:t>    </w:t>
      </w:r>
      <w:r>
        <w:rPr>
          <w:w w:val="177"/>
          <w:sz w:val="24"/>
        </w:rPr>
        <w:t> </w:t>
      </w:r>
      <w:r>
        <w:rPr>
          <w:w w:val="156"/>
          <w:sz w:val="24"/>
        </w:rPr>
        <w:t> </w:t>
      </w:r>
      <w:r>
        <w:rPr>
          <w:w w:val="130"/>
          <w:sz w:val="24"/>
        </w:rPr>
        <w:t>‖ </w:t>
      </w:r>
      <w:r>
        <w:rPr>
          <w:i/>
          <w:w w:val="105"/>
          <w:sz w:val="24"/>
        </w:rPr>
        <w:t>American Economic Review,, </w:t>
      </w:r>
      <w:r>
        <w:rPr>
          <w:w w:val="105"/>
          <w:sz w:val="24"/>
        </w:rPr>
        <w:t>Volumen 79, pp. 655-673.</w:t>
      </w:r>
    </w:p>
    <w:p>
      <w:pPr>
        <w:pStyle w:val="BodyText"/>
        <w:spacing w:line="360" w:lineRule="auto" w:before="139"/>
        <w:ind w:left="822" w:right="115" w:hanging="709"/>
        <w:jc w:val="both"/>
      </w:pPr>
      <w:r>
        <w:rPr/>
        <w:t>Blecker, R., 2009. External Shocks, Structural Change, and Economic Growth in Mexico, 1979– 2007. </w:t>
      </w:r>
      <w:r>
        <w:rPr>
          <w:i/>
        </w:rPr>
        <w:t>World Development, </w:t>
      </w:r>
      <w:r>
        <w:rPr/>
        <w:t>37(7), pp. 1274-1284.</w:t>
      </w:r>
    </w:p>
    <w:p>
      <w:pPr>
        <w:spacing w:line="360" w:lineRule="auto" w:before="6"/>
        <w:ind w:left="822" w:right="119" w:hanging="709"/>
        <w:jc w:val="both"/>
        <w:rPr>
          <w:sz w:val="24"/>
        </w:rPr>
      </w:pPr>
      <w:r>
        <w:rPr>
          <w:sz w:val="24"/>
        </w:rPr>
        <w:t>Bohn, H., 1998. The Behavior of US Public Debt and Deficits. </w:t>
      </w:r>
      <w:r>
        <w:rPr>
          <w:i/>
          <w:sz w:val="24"/>
        </w:rPr>
        <w:t>The Quarterly Journal of </w:t>
      </w:r>
      <w:r>
        <w:rPr>
          <w:i/>
          <w:sz w:val="24"/>
        </w:rPr>
        <w:t>Economics, </w:t>
      </w:r>
      <w:r>
        <w:rPr>
          <w:sz w:val="24"/>
        </w:rPr>
        <w:t>113(3), p. 949–963.</w:t>
      </w:r>
    </w:p>
    <w:p>
      <w:pPr>
        <w:spacing w:before="7"/>
        <w:ind w:left="113" w:right="84" w:firstLine="0"/>
        <w:jc w:val="left"/>
        <w:rPr>
          <w:i/>
          <w:sz w:val="24"/>
        </w:rPr>
      </w:pPr>
      <w:r>
        <w:rPr>
          <w:sz w:val="24"/>
        </w:rPr>
        <w:t>Bohn, H., 2005. </w:t>
      </w:r>
      <w:r>
        <w:rPr>
          <w:i/>
          <w:sz w:val="24"/>
        </w:rPr>
        <w:t>The sustainability of the fiscal policy in the United States.</w:t>
      </w:r>
    </w:p>
    <w:p>
      <w:pPr>
        <w:pStyle w:val="BodyText"/>
        <w:spacing w:line="360" w:lineRule="auto" w:before="137"/>
        <w:ind w:left="822" w:right="124" w:hanging="709"/>
        <w:jc w:val="both"/>
      </w:pPr>
      <w:r>
        <w:rPr/>
        <w:t>Bohn, H., 2007. Are stationary and cointegration restrictions really necessary for the intertemporal budget constraint?. </w:t>
      </w:r>
      <w:r>
        <w:rPr>
          <w:i/>
        </w:rPr>
        <w:t>Journal of Monetary Economics, </w:t>
      </w:r>
      <w:r>
        <w:rPr/>
        <w:t>54(7), p. 1837 – 1847.</w:t>
      </w:r>
    </w:p>
    <w:p>
      <w:pPr>
        <w:spacing w:line="360" w:lineRule="auto" w:before="4"/>
        <w:ind w:left="822" w:right="120" w:hanging="709"/>
        <w:jc w:val="both"/>
        <w:rPr>
          <w:sz w:val="24"/>
        </w:rPr>
      </w:pPr>
      <w:r>
        <w:rPr>
          <w:sz w:val="24"/>
        </w:rPr>
        <w:t>Borensztein, E., Cavallo, E. &amp; Valenzuela, P., 2007. </w:t>
      </w:r>
      <w:r>
        <w:rPr>
          <w:i/>
          <w:sz w:val="24"/>
        </w:rPr>
        <w:t>Debt sustainability under catastrophic risk: </w:t>
      </w:r>
      <w:r>
        <w:rPr>
          <w:i/>
          <w:sz w:val="24"/>
        </w:rPr>
        <w:t>The case for government budget insurance, </w:t>
      </w:r>
      <w:r>
        <w:rPr>
          <w:sz w:val="24"/>
        </w:rPr>
        <w:t>Washington, DC.</w:t>
      </w:r>
    </w:p>
    <w:p>
      <w:pPr>
        <w:pStyle w:val="BodyText"/>
        <w:spacing w:line="360" w:lineRule="auto" w:before="4"/>
        <w:ind w:left="822" w:right="116" w:hanging="709"/>
        <w:jc w:val="both"/>
      </w:pPr>
      <w:r>
        <w:rPr/>
        <w:t>Boudoukh, J., Richardson, M. &amp; Whitelaw, R., 1994. Industry Returns and The Fisher Effect. </w:t>
      </w:r>
      <w:r>
        <w:rPr>
          <w:i/>
        </w:rPr>
        <w:t>The </w:t>
      </w:r>
      <w:r>
        <w:rPr>
          <w:i/>
        </w:rPr>
        <w:t>Journal of Finance, </w:t>
      </w:r>
      <w:r>
        <w:rPr/>
        <w:t>XLIX(5), p. 1595.</w:t>
      </w:r>
    </w:p>
    <w:p>
      <w:pPr>
        <w:spacing w:before="4"/>
        <w:ind w:left="113" w:right="84" w:firstLine="0"/>
        <w:jc w:val="left"/>
        <w:rPr>
          <w:sz w:val="24"/>
        </w:rPr>
      </w:pPr>
      <w:r>
        <w:rPr>
          <w:sz w:val="24"/>
        </w:rPr>
        <w:t>Briones, G., 2006. </w:t>
      </w:r>
      <w:r>
        <w:rPr>
          <w:i/>
          <w:sz w:val="24"/>
        </w:rPr>
        <w:t>Teoría de las ciencias sociales y de la educación: epistemología.</w:t>
      </w:r>
      <w:r>
        <w:rPr>
          <w:i/>
          <w:spacing w:val="52"/>
          <w:sz w:val="24"/>
        </w:rPr>
        <w:t> </w:t>
      </w:r>
      <w:r>
        <w:rPr>
          <w:sz w:val="24"/>
        </w:rPr>
        <w:t>2da. ed.</w:t>
      </w:r>
    </w:p>
    <w:p>
      <w:pPr>
        <w:pStyle w:val="BodyText"/>
        <w:spacing w:before="139"/>
        <w:ind w:left="822" w:right="84"/>
      </w:pPr>
      <w:r>
        <w:rPr/>
        <w:t>México: Trillas.</w:t>
      </w:r>
    </w:p>
    <w:p>
      <w:pPr>
        <w:spacing w:before="137"/>
        <w:ind w:left="113" w:right="84" w:firstLine="0"/>
        <w:jc w:val="left"/>
        <w:rPr>
          <w:sz w:val="24"/>
        </w:rPr>
      </w:pPr>
      <w:r>
        <w:rPr>
          <w:sz w:val="24"/>
        </w:rPr>
        <w:t>Brown, S. &amp; Yücel, M., 2008. What Drives Natural Gas Prices?. </w:t>
      </w:r>
      <w:r>
        <w:rPr>
          <w:i/>
          <w:sz w:val="24"/>
        </w:rPr>
        <w:t>The Energy Journal, </w:t>
      </w:r>
      <w:r>
        <w:rPr>
          <w:sz w:val="24"/>
        </w:rPr>
        <w:t>29(2), pp.</w:t>
      </w:r>
    </w:p>
    <w:p>
      <w:pPr>
        <w:pStyle w:val="BodyText"/>
        <w:spacing w:before="139"/>
        <w:ind w:left="822" w:right="84"/>
      </w:pPr>
      <w:r>
        <w:rPr/>
        <w:t>45-60.</w:t>
      </w:r>
    </w:p>
    <w:p>
      <w:pPr>
        <w:spacing w:line="360" w:lineRule="auto" w:before="137"/>
        <w:ind w:left="822" w:right="119" w:hanging="709"/>
        <w:jc w:val="both"/>
        <w:rPr>
          <w:sz w:val="24"/>
        </w:rPr>
      </w:pPr>
      <w:r>
        <w:rPr>
          <w:sz w:val="24"/>
        </w:rPr>
        <w:t>Brown, S. &amp; Yücel, M., 2009. Market Arbitrage: European and North American Natural Gas Prices. </w:t>
      </w:r>
      <w:r>
        <w:rPr>
          <w:i/>
          <w:sz w:val="24"/>
        </w:rPr>
        <w:t>The Energy Journal. International Association for Energy Economics. , </w:t>
      </w:r>
      <w:r>
        <w:rPr>
          <w:sz w:val="24"/>
        </w:rPr>
        <w:t>pp. 167- 185.</w:t>
      </w:r>
    </w:p>
    <w:p>
      <w:pPr>
        <w:pStyle w:val="BodyText"/>
        <w:spacing w:line="360" w:lineRule="auto" w:before="6"/>
        <w:ind w:left="822" w:right="122" w:hanging="709"/>
        <w:jc w:val="both"/>
      </w:pPr>
      <w:r>
        <w:rPr/>
        <w:t>Brunnschweiler, C., 2008. Cursing the Blessings? Natural Resource Abundance, Institutions, and Economic Growth. </w:t>
      </w:r>
      <w:r>
        <w:rPr>
          <w:i/>
        </w:rPr>
        <w:t>World Development, </w:t>
      </w:r>
      <w:r>
        <w:rPr/>
        <w:t>36(3), p. 399–419.</w:t>
      </w:r>
    </w:p>
    <w:p>
      <w:pPr>
        <w:spacing w:line="360" w:lineRule="auto" w:before="4"/>
        <w:ind w:left="822" w:right="120" w:hanging="709"/>
        <w:jc w:val="both"/>
        <w:rPr>
          <w:sz w:val="24"/>
        </w:rPr>
      </w:pPr>
      <w:r>
        <w:rPr>
          <w:sz w:val="24"/>
        </w:rPr>
        <w:t>Bry, G. &amp; Boschan, C., 1971. Front matter to Cyclical Analysis of Time Series: Selected Procedures and Computer Programs . En: </w:t>
      </w:r>
      <w:r>
        <w:rPr>
          <w:i/>
          <w:sz w:val="24"/>
        </w:rPr>
        <w:t>Cyclical Analysis of Time Series: Selected </w:t>
      </w:r>
      <w:r>
        <w:rPr>
          <w:i/>
          <w:sz w:val="24"/>
        </w:rPr>
        <w:t>Procedures and Computer Programs. </w:t>
      </w:r>
      <w:r>
        <w:rPr>
          <w:sz w:val="24"/>
        </w:rPr>
        <w:t>s.l.:UMI, pp. 13-2.</w:t>
      </w:r>
    </w:p>
    <w:p>
      <w:pPr>
        <w:spacing w:line="360" w:lineRule="auto" w:before="6"/>
        <w:ind w:left="822" w:right="118" w:hanging="709"/>
        <w:jc w:val="both"/>
        <w:rPr>
          <w:sz w:val="24"/>
        </w:rPr>
      </w:pPr>
      <w:r>
        <w:rPr>
          <w:sz w:val="24"/>
        </w:rPr>
        <w:t>Brzozowski, M. &amp; Gorzelak, J., 2010. The impact of fiscal rules on fiscal policy volatility. </w:t>
      </w:r>
      <w:r>
        <w:rPr>
          <w:i/>
          <w:sz w:val="24"/>
        </w:rPr>
        <w:t>Journal </w:t>
      </w:r>
      <w:r>
        <w:rPr>
          <w:i/>
          <w:sz w:val="24"/>
        </w:rPr>
        <w:t>of Applied Economics, </w:t>
      </w:r>
      <w:r>
        <w:rPr>
          <w:sz w:val="24"/>
        </w:rPr>
        <w:t>XIII(2), pp. 205-231.</w:t>
      </w:r>
    </w:p>
    <w:p>
      <w:pPr>
        <w:spacing w:before="6"/>
        <w:ind w:left="113" w:right="84" w:firstLine="0"/>
        <w:jc w:val="left"/>
        <w:rPr>
          <w:i/>
          <w:sz w:val="24"/>
        </w:rPr>
      </w:pPr>
      <w:r>
        <w:rPr>
          <w:sz w:val="24"/>
        </w:rPr>
        <w:t>Buchheit, L. &amp; Gulati, G., 2011. </w:t>
      </w:r>
      <w:r>
        <w:rPr>
          <w:i/>
          <w:sz w:val="24"/>
        </w:rPr>
        <w:t>Greek debt – The endgame scenarios.</w:t>
      </w:r>
    </w:p>
    <w:p>
      <w:pPr>
        <w:spacing w:after="0"/>
        <w:jc w:val="left"/>
        <w:rPr>
          <w:sz w:val="24"/>
        </w:rPr>
        <w:sectPr>
          <w:pgSz w:w="12250" w:h="15850"/>
          <w:pgMar w:header="0" w:footer="977" w:top="1360" w:bottom="1220" w:left="880" w:right="1580"/>
        </w:sectPr>
      </w:pPr>
    </w:p>
    <w:p>
      <w:pPr>
        <w:pStyle w:val="BodyText"/>
        <w:spacing w:line="360" w:lineRule="auto" w:before="50"/>
        <w:ind w:left="822" w:right="185" w:hanging="709"/>
      </w:pPr>
      <w:r>
        <w:rPr/>
        <w:t>Buiter, W., Corsetto, G. &amp; Roubini, N., 1993. Excessive deficits: sense and nonsense in the treaty of Maastricht, Economic Policy: A European forum 16. pp. 57 -100.</w:t>
      </w:r>
    </w:p>
    <w:p>
      <w:pPr>
        <w:pStyle w:val="BodyText"/>
        <w:spacing w:line="360" w:lineRule="auto" w:before="6"/>
        <w:ind w:left="822" w:right="185" w:hanging="709"/>
      </w:pPr>
      <w:r>
        <w:rPr/>
        <w:t>Burger, P. &amp; Marinkov, M., 2012. Fiscal Rules and regime-dependent fiscal reaction functions:  The South African case. </w:t>
      </w:r>
      <w:r>
        <w:rPr>
          <w:i/>
        </w:rPr>
        <w:t>OECD Journal on budgeting, </w:t>
      </w:r>
      <w:r>
        <w:rPr/>
        <w:t>2012(1), pp.</w:t>
      </w:r>
      <w:r>
        <w:rPr>
          <w:spacing w:val="-7"/>
        </w:rPr>
        <w:t> </w:t>
      </w:r>
      <w:r>
        <w:rPr/>
        <w:t>79-107.</w:t>
      </w:r>
    </w:p>
    <w:p>
      <w:pPr>
        <w:pStyle w:val="BodyText"/>
        <w:spacing w:before="6"/>
        <w:ind w:left="113" w:right="84"/>
      </w:pPr>
      <w:r>
        <w:rPr/>
        <w:t>Cabrales, A. &amp; Hauk, E., 2011. THE QUALITY OF POLITICAL INSTITUTIONS AND THE</w:t>
      </w:r>
    </w:p>
    <w:p>
      <w:pPr>
        <w:spacing w:before="137"/>
        <w:ind w:left="822" w:right="84" w:firstLine="0"/>
        <w:jc w:val="left"/>
        <w:rPr>
          <w:sz w:val="24"/>
        </w:rPr>
      </w:pPr>
      <w:r>
        <w:rPr>
          <w:sz w:val="24"/>
        </w:rPr>
        <w:t>CURSE OF NATURAL RESOURCES. </w:t>
      </w:r>
      <w:r>
        <w:rPr>
          <w:i/>
          <w:sz w:val="24"/>
        </w:rPr>
        <w:t>The Economic Journal. Mes de Marzo., </w:t>
      </w:r>
      <w:r>
        <w:rPr>
          <w:sz w:val="24"/>
        </w:rPr>
        <w:t>p. 58–88.</w:t>
      </w:r>
    </w:p>
    <w:p>
      <w:pPr>
        <w:spacing w:line="360" w:lineRule="auto" w:before="139"/>
        <w:ind w:left="822" w:right="84" w:hanging="709"/>
        <w:jc w:val="left"/>
        <w:rPr>
          <w:i/>
          <w:sz w:val="24"/>
        </w:rPr>
      </w:pPr>
      <w:r>
        <w:rPr>
          <w:sz w:val="24"/>
        </w:rPr>
        <w:t>Campo, J., 2011. </w:t>
      </w:r>
      <w:r>
        <w:rPr>
          <w:i/>
          <w:sz w:val="24"/>
        </w:rPr>
        <w:t>Sostenibilidad fiscal: una aproximación de datos de panel para 8 países </w:t>
      </w:r>
      <w:r>
        <w:rPr>
          <w:i/>
          <w:sz w:val="24"/>
        </w:rPr>
        <w:t>latinoaméricanos.</w:t>
      </w:r>
    </w:p>
    <w:p>
      <w:pPr>
        <w:spacing w:line="360" w:lineRule="auto" w:before="7"/>
        <w:ind w:left="822" w:right="84" w:hanging="709"/>
        <w:jc w:val="left"/>
        <w:rPr>
          <w:i/>
          <w:sz w:val="24"/>
        </w:rPr>
      </w:pPr>
      <w:r>
        <w:rPr>
          <w:sz w:val="24"/>
        </w:rPr>
        <w:t>Canavire, G. &amp; Mariscal, M., 2010. </w:t>
      </w:r>
      <w:r>
        <w:rPr>
          <w:i/>
          <w:sz w:val="24"/>
        </w:rPr>
        <w:t>Implicaciones de la política macroeconómica, los choques </w:t>
      </w:r>
      <w:r>
        <w:rPr>
          <w:i/>
          <w:sz w:val="24"/>
        </w:rPr>
        <w:t>externos y la protección social en Bolivia.</w:t>
      </w:r>
    </w:p>
    <w:p>
      <w:pPr>
        <w:spacing w:before="6"/>
        <w:ind w:left="113" w:right="84" w:firstLine="0"/>
        <w:jc w:val="left"/>
        <w:rPr>
          <w:i/>
          <w:sz w:val="24"/>
        </w:rPr>
      </w:pPr>
      <w:r>
        <w:rPr>
          <w:sz w:val="24"/>
        </w:rPr>
        <w:t>Cano, C., 2010. </w:t>
      </w:r>
      <w:r>
        <w:rPr>
          <w:i/>
          <w:sz w:val="24"/>
        </w:rPr>
        <w:t>Regla fiscal y estabilidad macroeconómica en Colombia.</w:t>
      </w:r>
    </w:p>
    <w:p>
      <w:pPr>
        <w:pStyle w:val="BodyText"/>
        <w:spacing w:line="360" w:lineRule="auto" w:before="137"/>
        <w:ind w:left="822" w:right="84" w:hanging="709"/>
      </w:pPr>
      <w:r>
        <w:rPr/>
        <w:t>Caputo, R., 2009. External Shocks and Monetary Policy. Does it pay to respond to Exchange Rate Deviations?. </w:t>
      </w:r>
      <w:r>
        <w:rPr>
          <w:i/>
        </w:rPr>
        <w:t>Revista de Analisis Económico, </w:t>
      </w:r>
      <w:r>
        <w:rPr/>
        <w:t>24(1), pp. 55-99.</w:t>
      </w:r>
    </w:p>
    <w:p>
      <w:pPr>
        <w:pStyle w:val="BodyText"/>
        <w:spacing w:before="4"/>
        <w:ind w:left="113" w:right="84"/>
      </w:pPr>
      <w:r>
        <w:rPr/>
        <w:t>Cariani, P., 2008. An analysis and external shocks on Romanian Economy using a DSGE Model.</w:t>
      </w:r>
    </w:p>
    <w:p>
      <w:pPr>
        <w:spacing w:before="139"/>
        <w:ind w:left="822" w:right="84" w:firstLine="0"/>
        <w:jc w:val="left"/>
        <w:rPr>
          <w:sz w:val="24"/>
        </w:rPr>
      </w:pPr>
      <w:r>
        <w:rPr>
          <w:i/>
          <w:sz w:val="24"/>
        </w:rPr>
        <w:t>Romanian Journal of Economic Forecasting, </w:t>
      </w:r>
      <w:r>
        <w:rPr>
          <w:sz w:val="24"/>
        </w:rPr>
        <w:t>Volumen III, pp. 100 - 114.</w:t>
      </w:r>
    </w:p>
    <w:p>
      <w:pPr>
        <w:spacing w:line="360" w:lineRule="auto" w:before="137"/>
        <w:ind w:left="822" w:right="84" w:hanging="709"/>
        <w:jc w:val="left"/>
        <w:rPr>
          <w:i/>
          <w:sz w:val="24"/>
        </w:rPr>
      </w:pPr>
      <w:r>
        <w:rPr>
          <w:sz w:val="24"/>
        </w:rPr>
        <w:t>Carlomagno, G., Lanzilotta, B., Lorenzo, F. &amp; Noya, N., 2009. </w:t>
      </w:r>
      <w:r>
        <w:rPr>
          <w:i/>
          <w:sz w:val="24"/>
        </w:rPr>
        <w:t>Efectos asimétricos de los shocks </w:t>
      </w:r>
      <w:r>
        <w:rPr>
          <w:i/>
          <w:sz w:val="24"/>
        </w:rPr>
        <w:t>externos sobre las economías del MERCOSUR.</w:t>
      </w:r>
    </w:p>
    <w:p>
      <w:pPr>
        <w:spacing w:line="360" w:lineRule="auto" w:before="4"/>
        <w:ind w:left="113" w:right="679" w:firstLine="0"/>
        <w:jc w:val="left"/>
        <w:rPr>
          <w:i/>
          <w:sz w:val="24"/>
        </w:rPr>
      </w:pPr>
      <w:r>
        <w:rPr>
          <w:sz w:val="24"/>
        </w:rPr>
        <w:t>Carlstrom &amp; Fuerst, T., 2000. The Fiscal Theory of the Price Level. </w:t>
      </w:r>
      <w:r>
        <w:rPr>
          <w:i/>
          <w:sz w:val="24"/>
        </w:rPr>
        <w:t>Economic Review, </w:t>
      </w:r>
      <w:r>
        <w:rPr>
          <w:sz w:val="24"/>
        </w:rPr>
        <w:t>36(1). Carrasquilla, A. &amp; Salazar, N., 1992. </w:t>
      </w:r>
      <w:r>
        <w:rPr>
          <w:i/>
          <w:sz w:val="24"/>
        </w:rPr>
        <w:t>Sobre la Naturaleza del Ajuste Fiscal en Colombia.</w:t>
      </w:r>
    </w:p>
    <w:p>
      <w:pPr>
        <w:spacing w:before="4"/>
        <w:ind w:left="113" w:right="84" w:firstLine="0"/>
        <w:jc w:val="left"/>
        <w:rPr>
          <w:sz w:val="24"/>
        </w:rPr>
      </w:pPr>
      <w:r>
        <w:rPr>
          <w:sz w:val="24"/>
        </w:rPr>
        <w:t>Carrera, J., Féliz, M. &amp; Panizo, D., 1997. </w:t>
      </w:r>
      <w:r>
        <w:rPr>
          <w:i/>
          <w:sz w:val="24"/>
        </w:rPr>
        <w:t>Shocks económicos en el Mercosur, </w:t>
      </w:r>
      <w:r>
        <w:rPr>
          <w:sz w:val="24"/>
        </w:rPr>
        <w:t>s.l.: s.n.</w:t>
      </w:r>
    </w:p>
    <w:p>
      <w:pPr>
        <w:spacing w:line="360" w:lineRule="auto" w:before="139"/>
        <w:ind w:left="822" w:right="84" w:hanging="709"/>
        <w:jc w:val="left"/>
        <w:rPr>
          <w:i/>
          <w:sz w:val="24"/>
        </w:rPr>
      </w:pPr>
      <w:r>
        <w:rPr>
          <w:sz w:val="24"/>
        </w:rPr>
        <w:t>Cartaya, V., Sáez, F. &amp; Zavarce, H., 2010. </w:t>
      </w:r>
      <w:r>
        <w:rPr>
          <w:i/>
          <w:sz w:val="24"/>
        </w:rPr>
        <w:t>Ciclos de actividad económica y comovimientos de </w:t>
      </w:r>
      <w:r>
        <w:rPr>
          <w:i/>
          <w:sz w:val="24"/>
        </w:rPr>
        <w:t>sectores en Venezuela.</w:t>
      </w:r>
    </w:p>
    <w:p>
      <w:pPr>
        <w:pStyle w:val="BodyText"/>
        <w:spacing w:line="360" w:lineRule="auto" w:before="6"/>
        <w:ind w:left="822" w:right="84" w:hanging="709"/>
      </w:pPr>
      <w:r>
        <w:rPr/>
        <w:t>Cartea, A. &amp; Williams, T., 2007. UK Gas Markets: the Market Price of Risk and Applications to Multiple Interruptible Supply Contracts. </w:t>
      </w:r>
      <w:r>
        <w:rPr>
          <w:i/>
        </w:rPr>
        <w:t>Manuscrito no publicado, </w:t>
      </w:r>
      <w:r>
        <w:rPr/>
        <w:t>pp. 1-29.</w:t>
      </w:r>
    </w:p>
    <w:p>
      <w:pPr>
        <w:pStyle w:val="BodyText"/>
        <w:spacing w:line="360" w:lineRule="auto" w:before="4"/>
        <w:ind w:left="822" w:right="84" w:hanging="709"/>
      </w:pPr>
      <w:r>
        <w:rPr/>
        <w:t>Castro, F. &amp; Hernandez de Cos, P., 2000. On the Sustainability of the Spanish Public Budget Performance. En: Bank of Italy, ed. </w:t>
      </w:r>
      <w:r>
        <w:rPr>
          <w:i/>
        </w:rPr>
        <w:t>Fiscal Sustainability. </w:t>
      </w:r>
      <w:r>
        <w:rPr/>
        <w:t>s.l.:s.n., p. 135–173.</w:t>
      </w:r>
    </w:p>
    <w:p>
      <w:pPr>
        <w:spacing w:line="360" w:lineRule="auto" w:before="4"/>
        <w:ind w:left="822" w:right="121" w:hanging="709"/>
        <w:jc w:val="both"/>
        <w:rPr>
          <w:sz w:val="24"/>
        </w:rPr>
      </w:pPr>
      <w:r>
        <w:rPr>
          <w:sz w:val="24"/>
        </w:rPr>
        <w:t>Cavalcanti, P., Galvao, A., Reis, F. &amp; de Abreu, S., 2010. The effects of external and internal shocks on total factor productivity. </w:t>
      </w:r>
      <w:r>
        <w:rPr>
          <w:i/>
          <w:sz w:val="24"/>
        </w:rPr>
        <w:t>The Quarterly Review of Economics &amp; Finance, </w:t>
      </w:r>
      <w:r>
        <w:rPr>
          <w:sz w:val="24"/>
        </w:rPr>
        <w:t>Volumen 50, pp. 298 -309.</w:t>
      </w:r>
    </w:p>
    <w:p>
      <w:pPr>
        <w:spacing w:after="0" w:line="360" w:lineRule="auto"/>
        <w:jc w:val="both"/>
        <w:rPr>
          <w:sz w:val="24"/>
        </w:rPr>
        <w:sectPr>
          <w:pgSz w:w="12250" w:h="15850"/>
          <w:pgMar w:header="0" w:footer="977" w:top="1360" w:bottom="1220" w:left="880" w:right="1580"/>
        </w:sectPr>
      </w:pPr>
    </w:p>
    <w:p>
      <w:pPr>
        <w:spacing w:line="360" w:lineRule="auto" w:before="50"/>
        <w:ind w:left="822" w:right="117" w:hanging="709"/>
        <w:jc w:val="both"/>
        <w:rPr>
          <w:sz w:val="24"/>
        </w:rPr>
      </w:pPr>
      <w:r>
        <w:rPr>
          <w:sz w:val="24"/>
        </w:rPr>
        <w:t>Celasun, O., Debrun, X. &amp; Ostry, J., 2007. Primary Surplus Behavior and Risk of Fiscal Sustainability in Emerging Market Countries: A "Fan Chart" Approach. </w:t>
      </w:r>
      <w:r>
        <w:rPr>
          <w:i/>
          <w:sz w:val="24"/>
        </w:rPr>
        <w:t>IMF Staff Papers, </w:t>
      </w:r>
      <w:r>
        <w:rPr>
          <w:i/>
          <w:sz w:val="24"/>
        </w:rPr>
        <w:t>International Monetary Found, </w:t>
      </w:r>
      <w:r>
        <w:rPr>
          <w:sz w:val="24"/>
        </w:rPr>
        <w:t>53(3), pp. 401-425.</w:t>
      </w:r>
    </w:p>
    <w:p>
      <w:pPr>
        <w:spacing w:line="360" w:lineRule="auto" w:before="4"/>
        <w:ind w:left="822" w:right="185" w:hanging="709"/>
        <w:jc w:val="left"/>
        <w:rPr>
          <w:i/>
          <w:sz w:val="24"/>
        </w:rPr>
      </w:pPr>
      <w:r>
        <w:rPr>
          <w:w w:val="266"/>
          <w:sz w:val="24"/>
        </w:rPr>
        <w:t> </w:t>
      </w:r>
      <w:r>
        <w:rPr>
          <w:w w:val="188"/>
          <w:sz w:val="24"/>
        </w:rPr>
        <w:t>  </w:t>
      </w:r>
      <w:r>
        <w:rPr>
          <w:w w:val="125"/>
          <w:sz w:val="24"/>
        </w:rPr>
        <w:t>   </w:t>
      </w:r>
      <w:r>
        <w:rPr>
          <w:sz w:val="24"/>
        </w:rPr>
        <w:t>  </w:t>
      </w:r>
      <w:r>
        <w:rPr>
          <w:w w:val="266"/>
          <w:sz w:val="24"/>
        </w:rPr>
        <w:t> </w:t>
      </w:r>
      <w:r>
        <w:rPr>
          <w:sz w:val="24"/>
        </w:rPr>
        <w:t>  </w:t>
      </w:r>
      <w:r>
        <w:rPr>
          <w:w w:val="110"/>
          <w:sz w:val="24"/>
        </w:rPr>
        <w:t>&amp;  H             F              O                  ‘               </w:t>
      </w:r>
      <w:r>
        <w:rPr>
          <w:w w:val="170"/>
          <w:sz w:val="24"/>
        </w:rPr>
        <w:t>: </w:t>
      </w:r>
      <w:r>
        <w:rPr>
          <w:w w:val="135"/>
          <w:sz w:val="24"/>
        </w:rPr>
        <w:t>H                            H </w:t>
      </w:r>
      <w:r>
        <w:rPr>
          <w:sz w:val="24"/>
        </w:rPr>
        <w:t>Invest. </w:t>
      </w:r>
      <w:r>
        <w:rPr>
          <w:i/>
          <w:sz w:val="24"/>
        </w:rPr>
        <w:t>International Monetary Fund, WP/12/4.</w:t>
      </w:r>
    </w:p>
    <w:p>
      <w:pPr>
        <w:spacing w:line="360" w:lineRule="auto" w:before="4"/>
        <w:ind w:left="822" w:right="185" w:hanging="709"/>
        <w:jc w:val="left"/>
        <w:rPr>
          <w:sz w:val="24"/>
        </w:rPr>
      </w:pPr>
      <w:r>
        <w:rPr>
          <w:sz w:val="24"/>
        </w:rPr>
        <w:t>Chiavenato, I., 2006. </w:t>
      </w:r>
      <w:r>
        <w:rPr>
          <w:i/>
          <w:sz w:val="24"/>
        </w:rPr>
        <w:t>Introducción a la teoría general de la administración. </w:t>
      </w:r>
      <w:r>
        <w:rPr>
          <w:sz w:val="24"/>
        </w:rPr>
        <w:t>4ta. ed. México Df:  Mc Graw Hill/ Interamericana</w:t>
      </w:r>
      <w:r>
        <w:rPr>
          <w:spacing w:val="-12"/>
          <w:sz w:val="24"/>
        </w:rPr>
        <w:t> </w:t>
      </w:r>
      <w:r>
        <w:rPr>
          <w:sz w:val="24"/>
        </w:rPr>
        <w:t>editores.</w:t>
      </w:r>
    </w:p>
    <w:p>
      <w:pPr>
        <w:spacing w:before="4"/>
        <w:ind w:left="113" w:right="84" w:firstLine="0"/>
        <w:jc w:val="left"/>
        <w:rPr>
          <w:i/>
          <w:sz w:val="24"/>
        </w:rPr>
      </w:pPr>
      <w:r>
        <w:rPr>
          <w:sz w:val="24"/>
        </w:rPr>
        <w:t>Choksi, A., 1979. </w:t>
      </w:r>
      <w:r>
        <w:rPr>
          <w:i/>
          <w:sz w:val="24"/>
        </w:rPr>
        <w:t>State Intervention in the Industrialization of Developing Countries.</w:t>
      </w:r>
    </w:p>
    <w:p>
      <w:pPr>
        <w:spacing w:line="360" w:lineRule="auto" w:before="140"/>
        <w:ind w:left="822" w:right="185" w:hanging="709"/>
        <w:jc w:val="left"/>
        <w:rPr>
          <w:sz w:val="24"/>
        </w:rPr>
      </w:pPr>
      <w:r>
        <w:rPr>
          <w:sz w:val="24"/>
        </w:rPr>
        <w:t>Christiano, L. &amp; Fitzgerald, T., 2003. The band-pass ﬁlter. </w:t>
      </w:r>
      <w:r>
        <w:rPr>
          <w:i/>
          <w:sz w:val="24"/>
        </w:rPr>
        <w:t>International Economic Review, </w:t>
      </w:r>
      <w:r>
        <w:rPr>
          <w:sz w:val="24"/>
        </w:rPr>
        <w:t>44(2), p. 435–465.</w:t>
      </w:r>
    </w:p>
    <w:p>
      <w:pPr>
        <w:pStyle w:val="BodyText"/>
        <w:spacing w:before="6"/>
        <w:ind w:left="113" w:right="84"/>
      </w:pPr>
      <w:r>
        <w:rPr/>
        <w:t>Clements, M. &amp; Hendry, D., 2006. On the limitations of comparing mean square forecast errors.</w:t>
      </w:r>
    </w:p>
    <w:p>
      <w:pPr>
        <w:spacing w:before="137"/>
        <w:ind w:left="822" w:right="84" w:firstLine="0"/>
        <w:jc w:val="left"/>
        <w:rPr>
          <w:sz w:val="24"/>
        </w:rPr>
      </w:pPr>
      <w:r>
        <w:rPr>
          <w:i/>
          <w:sz w:val="24"/>
        </w:rPr>
        <w:t>Journal of Forecasting, </w:t>
      </w:r>
      <w:r>
        <w:rPr>
          <w:sz w:val="24"/>
        </w:rPr>
        <w:t>12(8), p. 617–637.</w:t>
      </w:r>
    </w:p>
    <w:p>
      <w:pPr>
        <w:pStyle w:val="BodyText"/>
        <w:spacing w:before="139"/>
        <w:ind w:left="113" w:right="84"/>
      </w:pPr>
      <w:r>
        <w:rPr/>
        <w:t>Coase, R., 1937. The Nature of the Firm. </w:t>
      </w:r>
      <w:r>
        <w:rPr>
          <w:i/>
        </w:rPr>
        <w:t>Economica, </w:t>
      </w:r>
      <w:r>
        <w:rPr/>
        <w:t>Volumen 4, pp. 386-405.</w:t>
      </w:r>
    </w:p>
    <w:p>
      <w:pPr>
        <w:spacing w:line="360" w:lineRule="auto" w:before="137"/>
        <w:ind w:left="822" w:right="84" w:hanging="709"/>
        <w:jc w:val="left"/>
        <w:rPr>
          <w:i/>
          <w:sz w:val="24"/>
        </w:rPr>
      </w:pPr>
      <w:r>
        <w:rPr>
          <w:sz w:val="24"/>
        </w:rPr>
        <w:t>Collier, P., van der Ploeg, F., Spence, M. &amp; Venables, A., 2009. Managing Resource Revenues in Developing Countries. </w:t>
      </w:r>
      <w:r>
        <w:rPr>
          <w:i/>
          <w:sz w:val="24"/>
        </w:rPr>
        <w:t>OXCarre Research Paper, Nº 15.</w:t>
      </w:r>
    </w:p>
    <w:p>
      <w:pPr>
        <w:pStyle w:val="BodyText"/>
        <w:spacing w:before="4"/>
        <w:ind w:left="113" w:right="84"/>
      </w:pPr>
      <w:r>
        <w:rPr/>
        <w:t>Collignon,  S.,  2012.  Fiscal  Policy  Rules  and  the  sustainability  of  public  debt  in       Europe.</w:t>
      </w:r>
    </w:p>
    <w:p>
      <w:pPr>
        <w:spacing w:before="139"/>
        <w:ind w:left="822" w:right="84" w:firstLine="0"/>
        <w:jc w:val="left"/>
        <w:rPr>
          <w:sz w:val="24"/>
        </w:rPr>
      </w:pPr>
      <w:r>
        <w:rPr>
          <w:i/>
          <w:sz w:val="24"/>
        </w:rPr>
        <w:t>International Economic Review, </w:t>
      </w:r>
      <w:r>
        <w:rPr>
          <w:sz w:val="24"/>
        </w:rPr>
        <w:t>53(2), pp. 539-567.</w:t>
      </w:r>
    </w:p>
    <w:p>
      <w:pPr>
        <w:pStyle w:val="BodyText"/>
        <w:spacing w:line="360" w:lineRule="auto" w:before="137"/>
        <w:ind w:left="822" w:right="84" w:hanging="709"/>
      </w:pPr>
      <w:r>
        <w:rPr/>
        <w:t>Cologni, A. &amp; Manera, M., 2008. Oil prices, inflation and interest rates in a structural cointegrated VAR model for the G-7 countries. </w:t>
      </w:r>
      <w:r>
        <w:rPr>
          <w:i/>
        </w:rPr>
        <w:t>Energy Economics, </w:t>
      </w:r>
      <w:r>
        <w:rPr/>
        <w:t>Volumen 30, pp. 856 -888.</w:t>
      </w:r>
    </w:p>
    <w:p>
      <w:pPr>
        <w:spacing w:line="360" w:lineRule="auto" w:before="4"/>
        <w:ind w:left="822" w:right="84" w:hanging="709"/>
        <w:jc w:val="left"/>
        <w:rPr>
          <w:i/>
          <w:sz w:val="24"/>
        </w:rPr>
      </w:pPr>
      <w:r>
        <w:rPr>
          <w:sz w:val="24"/>
        </w:rPr>
        <w:t>Comisión Europea, 2010. Public Finances in EMU 2010. </w:t>
      </w:r>
      <w:r>
        <w:rPr>
          <w:i/>
          <w:sz w:val="24"/>
        </w:rPr>
        <w:t>European Economy Nº 4/2010, Brussels; </w:t>
      </w:r>
      <w:r>
        <w:rPr>
          <w:i/>
          <w:sz w:val="24"/>
        </w:rPr>
        <w:t>European Commision.</w:t>
      </w:r>
    </w:p>
    <w:p>
      <w:pPr>
        <w:spacing w:before="4"/>
        <w:ind w:left="113" w:right="84" w:firstLine="0"/>
        <w:jc w:val="left"/>
        <w:rPr>
          <w:i/>
          <w:sz w:val="24"/>
        </w:rPr>
      </w:pPr>
      <w:r>
        <w:rPr>
          <w:sz w:val="24"/>
        </w:rPr>
        <w:t>Crispi, J. &amp; Vega, A., 2003. </w:t>
      </w:r>
      <w:r>
        <w:rPr>
          <w:i/>
          <w:sz w:val="24"/>
        </w:rPr>
        <w:t>Sostenibilidad y Regla Fiscal: Análisis e indicadores para Chile.</w:t>
      </w:r>
    </w:p>
    <w:p>
      <w:pPr>
        <w:spacing w:before="139"/>
        <w:ind w:left="113" w:right="84" w:firstLine="0"/>
        <w:jc w:val="left"/>
        <w:rPr>
          <w:i/>
          <w:sz w:val="24"/>
        </w:rPr>
      </w:pPr>
      <w:r>
        <w:rPr>
          <w:sz w:val="24"/>
        </w:rPr>
        <w:t>Croce, E. &amp; Hugo, J., 2003. </w:t>
      </w:r>
      <w:r>
        <w:rPr>
          <w:i/>
          <w:sz w:val="24"/>
        </w:rPr>
        <w:t>Assessing Fiscal Sustainability: A Cross- Country Comparison.</w:t>
      </w:r>
    </w:p>
    <w:p>
      <w:pPr>
        <w:spacing w:line="360" w:lineRule="auto" w:before="137"/>
        <w:ind w:left="822" w:right="185" w:hanging="709"/>
        <w:jc w:val="left"/>
        <w:rPr>
          <w:sz w:val="24"/>
        </w:rPr>
      </w:pPr>
      <w:r>
        <w:rPr>
          <w:sz w:val="24"/>
        </w:rPr>
        <w:t>Cruz, A., 2011. Prediction of Currency Crisis using a fiscal Sustainability indicator. </w:t>
      </w:r>
      <w:r>
        <w:rPr>
          <w:i/>
          <w:sz w:val="24"/>
        </w:rPr>
        <w:t>Revista </w:t>
      </w:r>
      <w:r>
        <w:rPr>
          <w:i/>
          <w:sz w:val="24"/>
        </w:rPr>
        <w:t>Análisis Económico, </w:t>
      </w:r>
      <w:r>
        <w:rPr>
          <w:sz w:val="24"/>
        </w:rPr>
        <w:t>26(2), pp. 39-60.</w:t>
      </w:r>
    </w:p>
    <w:p>
      <w:pPr>
        <w:spacing w:before="6"/>
        <w:ind w:left="113" w:right="84" w:firstLine="0"/>
        <w:jc w:val="left"/>
        <w:rPr>
          <w:i/>
          <w:sz w:val="24"/>
        </w:rPr>
      </w:pPr>
      <w:r>
        <w:rPr>
          <w:sz w:val="24"/>
        </w:rPr>
        <w:t>Cuddington, J., 1997. </w:t>
      </w:r>
      <w:r>
        <w:rPr>
          <w:i/>
          <w:sz w:val="24"/>
        </w:rPr>
        <w:t>Analyzing The Sustainability of Fiscal Deficits in Developing Countries.</w:t>
      </w:r>
    </w:p>
    <w:p>
      <w:pPr>
        <w:pStyle w:val="BodyText"/>
        <w:spacing w:line="360" w:lineRule="auto" w:before="137"/>
        <w:ind w:left="822" w:right="116" w:hanging="709"/>
        <w:jc w:val="both"/>
      </w:pPr>
      <w:r>
        <w:rPr/>
        <w:t>Cuddington, J. &amp; Wang, Z., 2006. Assessing the degree of spot market integration for U.S. natural gas: evidence from daily price data. </w:t>
      </w:r>
      <w:r>
        <w:rPr>
          <w:i/>
        </w:rPr>
        <w:t>Journal of Regulatory Economics, </w:t>
      </w:r>
      <w:r>
        <w:rPr/>
        <w:t>Volumen 29, p. 195–210.</w:t>
      </w:r>
    </w:p>
    <w:p>
      <w:pPr>
        <w:spacing w:line="360" w:lineRule="auto" w:before="6"/>
        <w:ind w:left="822" w:right="84" w:hanging="709"/>
        <w:jc w:val="left"/>
        <w:rPr>
          <w:i/>
          <w:sz w:val="24"/>
        </w:rPr>
      </w:pPr>
      <w:r>
        <w:rPr>
          <w:sz w:val="24"/>
        </w:rPr>
        <w:t>Dabla-Norris, E. y otros, 2010. </w:t>
      </w:r>
      <w:r>
        <w:rPr>
          <w:i/>
          <w:sz w:val="24"/>
        </w:rPr>
        <w:t>Budget Institutions and Fiscal Performance in Low-Income </w:t>
      </w:r>
      <w:r>
        <w:rPr>
          <w:i/>
          <w:sz w:val="24"/>
        </w:rPr>
        <w:t>Countries.</w:t>
      </w:r>
    </w:p>
    <w:p>
      <w:pPr>
        <w:spacing w:after="0" w:line="360" w:lineRule="auto"/>
        <w:jc w:val="left"/>
        <w:rPr>
          <w:sz w:val="24"/>
        </w:rPr>
        <w:sectPr>
          <w:pgSz w:w="12250" w:h="15850"/>
          <w:pgMar w:header="0" w:footer="977" w:top="1360" w:bottom="1220" w:left="880" w:right="1580"/>
        </w:sectPr>
      </w:pPr>
    </w:p>
    <w:p>
      <w:pPr>
        <w:pStyle w:val="BodyText"/>
        <w:spacing w:line="360" w:lineRule="auto" w:before="50"/>
        <w:ind w:left="822" w:right="114" w:hanging="709"/>
        <w:jc w:val="both"/>
      </w:pPr>
      <w:r>
        <w:rPr/>
        <w:t>Dahl, C. &amp; Sterner, T., 1991. Analyzing Gasoline Demand Elasticities: A Survey. </w:t>
      </w:r>
      <w:r>
        <w:rPr>
          <w:i/>
        </w:rPr>
        <w:t>Energy </w:t>
      </w:r>
      <w:r>
        <w:rPr>
          <w:i/>
        </w:rPr>
        <w:t>Economics, </w:t>
      </w:r>
      <w:r>
        <w:rPr/>
        <w:t>Volumen 13, pp. 203-10.</w:t>
      </w:r>
    </w:p>
    <w:p>
      <w:pPr>
        <w:pStyle w:val="BodyText"/>
        <w:spacing w:line="360" w:lineRule="auto" w:before="6"/>
        <w:ind w:left="822" w:right="116" w:hanging="709"/>
        <w:jc w:val="both"/>
        <w:rPr>
          <w:i/>
        </w:rPr>
      </w:pPr>
      <w:r>
        <w:rPr/>
        <w:t>Dahl, R. E., Oglend, A., Osmundsen, P. &amp; Sikveland, M., 2011. Are oil and natural gas going separate ways in the UK? Cointegration tests with Structural shifts. </w:t>
      </w:r>
      <w:r>
        <w:rPr>
          <w:i/>
        </w:rPr>
        <w:t>University of  </w:t>
      </w:r>
      <w:r>
        <w:rPr>
          <w:i/>
        </w:rPr>
        <w:t>Stavanger.</w:t>
      </w:r>
    </w:p>
    <w:p>
      <w:pPr>
        <w:spacing w:line="360" w:lineRule="auto" w:before="4"/>
        <w:ind w:left="822" w:right="117" w:hanging="709"/>
        <w:jc w:val="both"/>
        <w:rPr>
          <w:sz w:val="24"/>
        </w:rPr>
      </w:pPr>
      <w:r>
        <w:rPr>
          <w:sz w:val="24"/>
        </w:rPr>
        <w:t>Datancurt, O., 2009. Choques externos y política monetaria. </w:t>
      </w:r>
      <w:r>
        <w:rPr>
          <w:i/>
          <w:sz w:val="24"/>
        </w:rPr>
        <w:t>Economía, Pontificia Universidad </w:t>
      </w:r>
      <w:r>
        <w:rPr>
          <w:i/>
          <w:sz w:val="24"/>
        </w:rPr>
        <w:t>Católica del Perú, </w:t>
      </w:r>
      <w:r>
        <w:rPr>
          <w:sz w:val="24"/>
        </w:rPr>
        <w:t>XXXII(64), pp. 127 -173.</w:t>
      </w:r>
    </w:p>
    <w:p>
      <w:pPr>
        <w:spacing w:line="362" w:lineRule="auto" w:before="4"/>
        <w:ind w:left="822" w:right="122" w:hanging="709"/>
        <w:jc w:val="both"/>
        <w:rPr>
          <w:i/>
          <w:sz w:val="24"/>
        </w:rPr>
      </w:pPr>
      <w:r>
        <w:rPr>
          <w:sz w:val="24"/>
        </w:rPr>
        <w:t>Daude, C., Melguizo, A. &amp; Neut, A., 2010. </w:t>
      </w:r>
      <w:r>
        <w:rPr>
          <w:i/>
          <w:sz w:val="24"/>
        </w:rPr>
        <w:t>Fiscal Policy in Latin America: Countercyclical and </w:t>
      </w:r>
      <w:r>
        <w:rPr>
          <w:i/>
          <w:sz w:val="24"/>
        </w:rPr>
        <w:t>Sustainable at last?</w:t>
      </w:r>
    </w:p>
    <w:p>
      <w:pPr>
        <w:spacing w:line="360" w:lineRule="auto" w:before="1"/>
        <w:ind w:left="822" w:right="117" w:hanging="709"/>
        <w:jc w:val="both"/>
        <w:rPr>
          <w:sz w:val="24"/>
        </w:rPr>
      </w:pPr>
      <w:r>
        <w:rPr>
          <w:sz w:val="24"/>
        </w:rPr>
        <w:t>De Bock, R. &amp; Guijón, J., 2011. </w:t>
      </w:r>
      <w:r>
        <w:rPr>
          <w:i/>
          <w:sz w:val="24"/>
        </w:rPr>
        <w:t>Will natural gas prices decouple from oil prices across the pond? </w:t>
      </w:r>
      <w:r>
        <w:rPr>
          <w:sz w:val="24"/>
        </w:rPr>
        <w:t>De Gregorio, J., 2007. En: </w:t>
      </w:r>
      <w:r>
        <w:rPr>
          <w:i/>
          <w:sz w:val="24"/>
        </w:rPr>
        <w:t>Macroeconomía Teoría y Políticas. </w:t>
      </w:r>
      <w:r>
        <w:rPr>
          <w:sz w:val="24"/>
        </w:rPr>
        <w:t>México: Pearson - Prentice Hall.</w:t>
      </w:r>
    </w:p>
    <w:p>
      <w:pPr>
        <w:pStyle w:val="BodyText"/>
        <w:spacing w:before="6"/>
        <w:ind w:left="113" w:right="84"/>
      </w:pPr>
      <w:r>
        <w:rPr/>
        <w:t>De Gregorio, J., 2007. Macroeconomía Teoría y Políticas. En: México: Pearson - Prentice Hall.</w:t>
      </w:r>
    </w:p>
    <w:p>
      <w:pPr>
        <w:spacing w:line="360" w:lineRule="auto" w:before="137"/>
        <w:ind w:left="822" w:right="117" w:hanging="709"/>
        <w:jc w:val="both"/>
        <w:rPr>
          <w:sz w:val="24"/>
        </w:rPr>
      </w:pPr>
      <w:r>
        <w:rPr>
          <w:sz w:val="24"/>
        </w:rPr>
        <w:t>De la Cruz Gallegos, J. L., 2005. Determinantes externos del Consumo privado en México. </w:t>
      </w:r>
      <w:r>
        <w:rPr>
          <w:i/>
          <w:sz w:val="24"/>
        </w:rPr>
        <w:t>Revista </w:t>
      </w:r>
      <w:r>
        <w:rPr>
          <w:i/>
          <w:sz w:val="24"/>
        </w:rPr>
        <w:t>Análisis Económico, </w:t>
      </w:r>
      <w:r>
        <w:rPr>
          <w:sz w:val="24"/>
        </w:rPr>
        <w:t>XX(44), pp. 283 -296.</w:t>
      </w:r>
    </w:p>
    <w:p>
      <w:pPr>
        <w:spacing w:line="360" w:lineRule="auto" w:before="4"/>
        <w:ind w:left="822" w:right="121" w:hanging="709"/>
        <w:jc w:val="both"/>
        <w:rPr>
          <w:i/>
          <w:sz w:val="24"/>
        </w:rPr>
      </w:pPr>
      <w:r>
        <w:rPr>
          <w:sz w:val="24"/>
        </w:rPr>
        <w:t>De Mello, L., 2005. </w:t>
      </w:r>
      <w:r>
        <w:rPr>
          <w:i/>
          <w:sz w:val="24"/>
        </w:rPr>
        <w:t>Estimating a Fiscal Reaction Function: The Case of Debt Sustainability in </w:t>
      </w:r>
      <w:r>
        <w:rPr>
          <w:i/>
          <w:sz w:val="24"/>
        </w:rPr>
        <w:t>Brazil.</w:t>
      </w:r>
    </w:p>
    <w:p>
      <w:pPr>
        <w:spacing w:before="4"/>
        <w:ind w:left="113" w:right="84" w:firstLine="0"/>
        <w:jc w:val="left"/>
        <w:rPr>
          <w:i/>
          <w:sz w:val="24"/>
        </w:rPr>
      </w:pPr>
      <w:r>
        <w:rPr>
          <w:sz w:val="24"/>
        </w:rPr>
        <w:t>Dehn, J., 2000. </w:t>
      </w:r>
      <w:r>
        <w:rPr>
          <w:i/>
          <w:sz w:val="24"/>
        </w:rPr>
        <w:t>The effects on Growth Commodity Price Uncertainty and Shocks.</w:t>
      </w:r>
    </w:p>
    <w:p>
      <w:pPr>
        <w:spacing w:line="360" w:lineRule="auto" w:before="139"/>
        <w:ind w:left="822" w:right="119" w:hanging="709"/>
        <w:jc w:val="both"/>
        <w:rPr>
          <w:i/>
          <w:sz w:val="24"/>
        </w:rPr>
      </w:pPr>
      <w:r>
        <w:rPr>
          <w:sz w:val="24"/>
        </w:rPr>
        <w:t>Devarajan, S., Minh Le, T. &amp; Raballand, G., 2010. Increasing Public Expenditure Efficiency in Oil-rich Economies. </w:t>
      </w:r>
      <w:r>
        <w:rPr>
          <w:i/>
          <w:sz w:val="24"/>
        </w:rPr>
        <w:t>Policy Research Working Paper 5287, The World Bank, Africa  </w:t>
      </w:r>
      <w:r>
        <w:rPr>
          <w:i/>
          <w:sz w:val="24"/>
        </w:rPr>
        <w:t>Region, Chief Economist Office. Mes de</w:t>
      </w:r>
      <w:r>
        <w:rPr>
          <w:i/>
          <w:spacing w:val="-9"/>
          <w:sz w:val="24"/>
        </w:rPr>
        <w:t> </w:t>
      </w:r>
      <w:r>
        <w:rPr>
          <w:i/>
          <w:sz w:val="24"/>
        </w:rPr>
        <w:t>Abril.</w:t>
      </w:r>
    </w:p>
    <w:p>
      <w:pPr>
        <w:pStyle w:val="BodyText"/>
        <w:spacing w:line="360" w:lineRule="auto" w:before="4"/>
        <w:ind w:left="822" w:right="125" w:hanging="709"/>
        <w:jc w:val="both"/>
      </w:pPr>
      <w:r>
        <w:rPr/>
        <w:t>Dhumale, R., 2000. Public Investment in the Middle East and North Africa: Towards Fiscal Efficiency. </w:t>
      </w:r>
      <w:r>
        <w:rPr>
          <w:i/>
        </w:rPr>
        <w:t>Development Policy Review, </w:t>
      </w:r>
      <w:r>
        <w:rPr/>
        <w:t>Volumen 18, pp. 307-324.</w:t>
      </w:r>
    </w:p>
    <w:p>
      <w:pPr>
        <w:pStyle w:val="BodyText"/>
        <w:spacing w:line="360" w:lineRule="auto" w:before="4"/>
        <w:ind w:left="822" w:right="116" w:hanging="709"/>
        <w:jc w:val="both"/>
      </w:pPr>
      <w:r>
        <w:rPr/>
        <w:t>Dimaggio, P. &amp; Powell, W., 1983. The iron cage revisited: Institutional isomorphism and collective rationality in organizational fields. </w:t>
      </w:r>
      <w:r>
        <w:rPr>
          <w:i/>
        </w:rPr>
        <w:t>American Sociological Review, </w:t>
      </w:r>
      <w:r>
        <w:rPr/>
        <w:t>Volumen 48, pp. 147</w:t>
      </w:r>
      <w:r>
        <w:rPr>
          <w:spacing w:val="-2"/>
        </w:rPr>
        <w:t> </w:t>
      </w:r>
      <w:r>
        <w:rPr/>
        <w:t>-160.</w:t>
      </w:r>
    </w:p>
    <w:p>
      <w:pPr>
        <w:pStyle w:val="BodyText"/>
        <w:spacing w:line="360" w:lineRule="auto" w:before="4"/>
        <w:ind w:left="822" w:right="121" w:hanging="709"/>
        <w:jc w:val="both"/>
      </w:pPr>
      <w:r>
        <w:rPr/>
        <w:t>Dixit, A. &amp; Lambertini, L., 2003. Interactions of commitment and discretion in monetary and fiscal policies.. </w:t>
      </w:r>
      <w:r>
        <w:rPr>
          <w:i/>
        </w:rPr>
        <w:t>American Economic Review, </w:t>
      </w:r>
      <w:r>
        <w:rPr/>
        <w:t>pp. 1522-1542.</w:t>
      </w:r>
    </w:p>
    <w:p>
      <w:pPr>
        <w:spacing w:before="4"/>
        <w:ind w:left="113" w:right="0" w:firstLine="0"/>
        <w:jc w:val="left"/>
        <w:rPr>
          <w:i/>
          <w:sz w:val="24"/>
        </w:rPr>
      </w:pPr>
      <w:r>
        <w:rPr>
          <w:w w:val="244"/>
          <w:sz w:val="24"/>
        </w:rPr>
        <w:t>    </w:t>
      </w:r>
      <w:r>
        <w:rPr>
          <w:w w:val="116"/>
          <w:sz w:val="24"/>
        </w:rPr>
        <w:t>  </w:t>
      </w:r>
      <w:r>
        <w:rPr>
          <w:sz w:val="24"/>
        </w:rPr>
        <w:t>  </w:t>
      </w:r>
      <w:r>
        <w:rPr>
          <w:w w:val="148"/>
          <w:sz w:val="24"/>
        </w:rPr>
        <w:t>   </w:t>
      </w:r>
      <w:r>
        <w:rPr>
          <w:sz w:val="24"/>
        </w:rPr>
        <w:t>  </w:t>
      </w:r>
      <w:r>
        <w:rPr>
          <w:w w:val="112"/>
          <w:sz w:val="24"/>
        </w:rPr>
        <w:t> </w:t>
      </w:r>
      <w:r>
        <w:rPr>
          <w:w w:val="105"/>
          <w:sz w:val="24"/>
        </w:rPr>
        <w:t>944   T     </w:t>
      </w:r>
      <w:r>
        <w:rPr>
          <w:sz w:val="24"/>
        </w:rPr>
        <w:t>‗                        </w:t>
      </w:r>
      <w:r>
        <w:rPr>
          <w:w w:val="105"/>
          <w:sz w:val="24"/>
        </w:rPr>
        <w:t>‘                                          </w:t>
      </w:r>
      <w:r>
        <w:rPr>
          <w:i/>
          <w:w w:val="105"/>
          <w:sz w:val="24"/>
        </w:rPr>
        <w:t>American  Economic Review,</w:t>
      </w:r>
    </w:p>
    <w:p>
      <w:pPr>
        <w:pStyle w:val="BodyText"/>
        <w:spacing w:before="139"/>
        <w:ind w:left="822" w:right="84"/>
      </w:pPr>
      <w:r>
        <w:rPr/>
        <w:t>34(4), p. 798–827.</w:t>
      </w:r>
    </w:p>
    <w:p>
      <w:pPr>
        <w:spacing w:after="0"/>
        <w:sectPr>
          <w:pgSz w:w="12250" w:h="15850"/>
          <w:pgMar w:header="0" w:footer="977" w:top="1360" w:bottom="1220" w:left="880" w:right="1580"/>
        </w:sectPr>
      </w:pPr>
    </w:p>
    <w:p>
      <w:pPr>
        <w:spacing w:line="360" w:lineRule="auto" w:before="50"/>
        <w:ind w:left="822" w:right="84" w:hanging="709"/>
        <w:jc w:val="left"/>
        <w:rPr>
          <w:sz w:val="24"/>
        </w:rPr>
      </w:pPr>
      <w:r>
        <w:rPr>
          <w:sz w:val="24"/>
        </w:rPr>
        <w:t>Dzialo, J., 2012. Fiscal Rule and Effective Fiscal Policy. </w:t>
      </w:r>
      <w:r>
        <w:rPr>
          <w:i/>
          <w:sz w:val="24"/>
        </w:rPr>
        <w:t>Comparative Economic Research, </w:t>
      </w:r>
      <w:r>
        <w:rPr>
          <w:sz w:val="24"/>
        </w:rPr>
        <w:t>15(2), pp. 65-78.</w:t>
      </w:r>
    </w:p>
    <w:p>
      <w:pPr>
        <w:spacing w:line="360" w:lineRule="auto" w:before="6"/>
        <w:ind w:left="822" w:right="118" w:hanging="709"/>
        <w:jc w:val="both"/>
        <w:rPr>
          <w:sz w:val="24"/>
        </w:rPr>
      </w:pPr>
      <w:r>
        <w:rPr>
          <w:sz w:val="24"/>
        </w:rPr>
        <w:t>Égert, B., 2010. </w:t>
      </w:r>
      <w:r>
        <w:rPr>
          <w:i/>
          <w:sz w:val="24"/>
        </w:rPr>
        <w:t>Fiscal Policy Reaction to the cycle in the OECD: Pro- or Counter-cyclical? </w:t>
      </w:r>
      <w:r>
        <w:rPr>
          <w:sz w:val="24"/>
        </w:rPr>
        <w:t>Egging, R., Holz, F., von Hirschhausen, C. &amp; Gabriel, S., 2009. Representing GASPEC with the World Gas Model. </w:t>
      </w:r>
      <w:r>
        <w:rPr>
          <w:i/>
          <w:sz w:val="24"/>
        </w:rPr>
        <w:t>Energy, Special Issue, </w:t>
      </w:r>
      <w:r>
        <w:rPr>
          <w:sz w:val="24"/>
        </w:rPr>
        <w:t>pp. 97-117.</w:t>
      </w:r>
    </w:p>
    <w:p>
      <w:pPr>
        <w:spacing w:before="4"/>
        <w:ind w:left="113" w:right="84" w:firstLine="0"/>
        <w:jc w:val="left"/>
        <w:rPr>
          <w:sz w:val="24"/>
        </w:rPr>
      </w:pPr>
      <w:r>
        <w:rPr>
          <w:sz w:val="24"/>
        </w:rPr>
        <w:t>EIA, 2012. </w:t>
      </w:r>
      <w:r>
        <w:rPr>
          <w:i/>
          <w:sz w:val="24"/>
        </w:rPr>
        <w:t>U.S. Energy Administration Information. </w:t>
      </w:r>
      <w:r>
        <w:rPr>
          <w:sz w:val="24"/>
        </w:rPr>
        <w:t>[En línea]</w:t>
      </w:r>
    </w:p>
    <w:p>
      <w:pPr>
        <w:pStyle w:val="BodyText"/>
        <w:spacing w:line="360" w:lineRule="auto" w:before="139"/>
        <w:ind w:left="822" w:right="5022"/>
      </w:pPr>
      <w:r>
        <w:rPr/>
        <w:t>Available at: </w:t>
      </w:r>
      <w:hyperlink r:id="rId342">
        <w:r>
          <w:rPr>
            <w:u w:val="single"/>
          </w:rPr>
          <w:t>http://www.eia.gov/</w:t>
        </w:r>
      </w:hyperlink>
      <w:r>
        <w:rPr>
          <w:u w:val="single"/>
        </w:rPr>
        <w:t> </w:t>
      </w:r>
      <w:r>
        <w:rPr/>
        <w:t>[Último acceso: domingo Febrero 2012].</w:t>
      </w:r>
    </w:p>
    <w:p>
      <w:pPr>
        <w:spacing w:line="360" w:lineRule="auto" w:before="7"/>
        <w:ind w:left="822" w:right="84" w:hanging="709"/>
        <w:jc w:val="left"/>
        <w:rPr>
          <w:sz w:val="24"/>
        </w:rPr>
      </w:pPr>
      <w:r>
        <w:rPr>
          <w:sz w:val="24"/>
        </w:rPr>
        <w:t>Eisenhardt, K., 1988. Agency Theory: An Assessment and Review. </w:t>
      </w:r>
      <w:r>
        <w:rPr>
          <w:i/>
          <w:sz w:val="24"/>
        </w:rPr>
        <w:t>Academy ol Managwneni </w:t>
      </w:r>
      <w:r>
        <w:rPr>
          <w:i/>
          <w:sz w:val="24"/>
        </w:rPr>
        <w:t>Review, </w:t>
      </w:r>
      <w:r>
        <w:rPr>
          <w:sz w:val="24"/>
        </w:rPr>
        <w:t>14(1), pp. 57-74.</w:t>
      </w:r>
    </w:p>
    <w:p>
      <w:pPr>
        <w:spacing w:line="360" w:lineRule="auto" w:before="6"/>
        <w:ind w:left="822" w:right="84" w:hanging="709"/>
        <w:jc w:val="left"/>
        <w:rPr>
          <w:sz w:val="24"/>
        </w:rPr>
      </w:pPr>
      <w:r>
        <w:rPr>
          <w:sz w:val="24"/>
        </w:rPr>
        <w:t>El Anshasy, A., 2012. Oil Revenues, Government Spending Policy, and Growth. </w:t>
      </w:r>
      <w:r>
        <w:rPr>
          <w:i/>
          <w:sz w:val="24"/>
        </w:rPr>
        <w:t>Public Finance </w:t>
      </w:r>
      <w:r>
        <w:rPr>
          <w:i/>
          <w:sz w:val="24"/>
        </w:rPr>
        <w:t>and Management, </w:t>
      </w:r>
      <w:r>
        <w:rPr>
          <w:sz w:val="24"/>
        </w:rPr>
        <w:t>12(2), pp. 120-146.</w:t>
      </w:r>
    </w:p>
    <w:p>
      <w:pPr>
        <w:spacing w:line="360" w:lineRule="auto" w:before="6"/>
        <w:ind w:left="822" w:right="84" w:hanging="709"/>
        <w:jc w:val="left"/>
        <w:rPr>
          <w:sz w:val="24"/>
        </w:rPr>
      </w:pPr>
      <w:r>
        <w:rPr>
          <w:sz w:val="24"/>
        </w:rPr>
        <w:t>Enders, W., 2003. Multiequation Time-Series Models: Chapter 5. En: </w:t>
      </w:r>
      <w:r>
        <w:rPr>
          <w:i/>
          <w:sz w:val="24"/>
        </w:rPr>
        <w:t>Applied Econometric Time </w:t>
      </w:r>
      <w:r>
        <w:rPr>
          <w:i/>
          <w:sz w:val="24"/>
        </w:rPr>
        <w:t>Series. </w:t>
      </w:r>
      <w:r>
        <w:rPr>
          <w:sz w:val="24"/>
        </w:rPr>
        <w:t>2nd. ed. s.l.:John Wiley &amp; Sons, pp. 291-292.</w:t>
      </w:r>
    </w:p>
    <w:p>
      <w:pPr>
        <w:spacing w:line="360" w:lineRule="auto" w:before="6"/>
        <w:ind w:left="822" w:right="185" w:hanging="709"/>
        <w:jc w:val="left"/>
        <w:rPr>
          <w:i/>
          <w:sz w:val="24"/>
        </w:rPr>
      </w:pPr>
      <w:r>
        <w:rPr>
          <w:sz w:val="24"/>
        </w:rPr>
        <w:t>Energy Information Administration EIA - U.S., 2011. </w:t>
      </w:r>
      <w:r>
        <w:rPr>
          <w:i/>
          <w:sz w:val="24"/>
        </w:rPr>
        <w:t>Annual Energy outlook, Natural Gas </w:t>
      </w:r>
      <w:r>
        <w:rPr>
          <w:i/>
          <w:sz w:val="24"/>
        </w:rPr>
        <w:t>Section, April,</w:t>
      </w:r>
      <w:r>
        <w:rPr>
          <w:i/>
          <w:spacing w:val="-2"/>
          <w:sz w:val="24"/>
        </w:rPr>
        <w:t> </w:t>
      </w:r>
      <w:r>
        <w:rPr>
          <w:i/>
          <w:sz w:val="24"/>
        </w:rPr>
        <w:t>26.</w:t>
      </w:r>
    </w:p>
    <w:p>
      <w:pPr>
        <w:spacing w:line="360" w:lineRule="auto" w:before="6"/>
        <w:ind w:left="822" w:right="84" w:hanging="709"/>
        <w:jc w:val="left"/>
        <w:rPr>
          <w:i/>
          <w:sz w:val="24"/>
        </w:rPr>
      </w:pPr>
      <w:r>
        <w:rPr>
          <w:sz w:val="24"/>
        </w:rPr>
        <w:t>Finon, D. &amp; Locatelli, C., 2007. </w:t>
      </w:r>
      <w:r>
        <w:rPr>
          <w:i/>
          <w:sz w:val="24"/>
        </w:rPr>
        <w:t>Russian and European gas interdependence. Can market forces </w:t>
      </w:r>
      <w:r>
        <w:rPr>
          <w:i/>
          <w:sz w:val="24"/>
        </w:rPr>
        <w:t>balance out geopolitics?</w:t>
      </w:r>
    </w:p>
    <w:p>
      <w:pPr>
        <w:spacing w:line="360" w:lineRule="auto" w:before="6"/>
        <w:ind w:left="113" w:right="904" w:firstLine="0"/>
        <w:jc w:val="left"/>
        <w:rPr>
          <w:sz w:val="24"/>
        </w:rPr>
      </w:pPr>
      <w:r>
        <w:rPr>
          <w:sz w:val="24"/>
        </w:rPr>
        <w:t>Flood, R. &amp; Isard, P., 1988. </w:t>
      </w:r>
      <w:r>
        <w:rPr>
          <w:i/>
          <w:sz w:val="24"/>
        </w:rPr>
        <w:t>Simple Rules, Discretion and Monetary Policy, </w:t>
      </w:r>
      <w:r>
        <w:rPr>
          <w:sz w:val="24"/>
        </w:rPr>
        <w:t>Massachusetts. Flood, R. &amp; Isard, P., 1989. Monetary Policy Strategies. </w:t>
      </w:r>
      <w:r>
        <w:rPr>
          <w:i/>
          <w:sz w:val="24"/>
        </w:rPr>
        <w:t>IMF Staff Papers , </w:t>
      </w:r>
      <w:r>
        <w:rPr>
          <w:sz w:val="24"/>
        </w:rPr>
        <w:t>36(3).</w:t>
      </w:r>
    </w:p>
    <w:p>
      <w:pPr>
        <w:spacing w:before="6"/>
        <w:ind w:left="113" w:right="84" w:firstLine="0"/>
        <w:jc w:val="left"/>
        <w:rPr>
          <w:i/>
          <w:sz w:val="24"/>
        </w:rPr>
      </w:pPr>
      <w:r>
        <w:rPr>
          <w:sz w:val="24"/>
        </w:rPr>
        <w:t>FMI, 2005a. </w:t>
      </w:r>
      <w:r>
        <w:rPr>
          <w:i/>
          <w:sz w:val="24"/>
        </w:rPr>
        <w:t>Public Investment and Fiscal Policy—Lessons from the Pilot Country Studies.</w:t>
      </w:r>
    </w:p>
    <w:p>
      <w:pPr>
        <w:spacing w:before="137"/>
        <w:ind w:left="113" w:right="84" w:firstLine="0"/>
        <w:jc w:val="left"/>
        <w:rPr>
          <w:i/>
          <w:sz w:val="24"/>
        </w:rPr>
      </w:pPr>
      <w:r>
        <w:rPr>
          <w:sz w:val="24"/>
        </w:rPr>
        <w:t>FMI, 2005. </w:t>
      </w:r>
      <w:r>
        <w:rPr>
          <w:i/>
          <w:sz w:val="24"/>
        </w:rPr>
        <w:t>Oil Market Developments and Issues.</w:t>
      </w:r>
    </w:p>
    <w:p>
      <w:pPr>
        <w:spacing w:before="139"/>
        <w:ind w:left="113" w:right="84" w:firstLine="0"/>
        <w:jc w:val="left"/>
        <w:rPr>
          <w:i/>
          <w:sz w:val="24"/>
        </w:rPr>
      </w:pPr>
      <w:r>
        <w:rPr>
          <w:sz w:val="24"/>
        </w:rPr>
        <w:t>FMI, 2009. </w:t>
      </w:r>
      <w:r>
        <w:rPr>
          <w:i/>
          <w:sz w:val="24"/>
        </w:rPr>
        <w:t>The State of Public Finance: A cross-country fiscal monitor.</w:t>
      </w:r>
    </w:p>
    <w:p>
      <w:pPr>
        <w:spacing w:line="360" w:lineRule="auto" w:before="137"/>
        <w:ind w:left="822" w:right="84" w:hanging="709"/>
        <w:jc w:val="left"/>
        <w:rPr>
          <w:i/>
          <w:sz w:val="24"/>
        </w:rPr>
      </w:pPr>
      <w:r>
        <w:rPr>
          <w:sz w:val="24"/>
        </w:rPr>
        <w:t>FMI, 2010. </w:t>
      </w:r>
      <w:r>
        <w:rPr>
          <w:i/>
          <w:sz w:val="24"/>
        </w:rPr>
        <w:t>Preserving debt sustainability in Low-Income Countries in the Wake of the Global </w:t>
      </w:r>
      <w:r>
        <w:rPr>
          <w:i/>
          <w:sz w:val="24"/>
        </w:rPr>
        <w:t>Crisis.</w:t>
      </w:r>
    </w:p>
    <w:p>
      <w:pPr>
        <w:tabs>
          <w:tab w:pos="926" w:val="left" w:leader="none"/>
          <w:tab w:pos="2131" w:val="left" w:leader="none"/>
          <w:tab w:pos="3599" w:val="left" w:leader="none"/>
          <w:tab w:pos="4445" w:val="left" w:leader="none"/>
          <w:tab w:pos="5192" w:val="left" w:leader="none"/>
          <w:tab w:pos="6661" w:val="left" w:leader="none"/>
          <w:tab w:pos="7795" w:val="left" w:leader="none"/>
          <w:tab w:pos="8565" w:val="left" w:leader="none"/>
          <w:tab w:pos="9114" w:val="left" w:leader="none"/>
        </w:tabs>
        <w:spacing w:line="360" w:lineRule="auto" w:before="6"/>
        <w:ind w:left="822" w:right="185" w:hanging="709"/>
        <w:jc w:val="left"/>
        <w:rPr>
          <w:sz w:val="24"/>
        </w:rPr>
      </w:pPr>
      <w:r>
        <w:rPr>
          <w:sz w:val="24"/>
        </w:rPr>
        <w:t>Fondo</w:t>
        <w:tab/>
        <w:tab/>
        <w:t>Monetario</w:t>
        <w:tab/>
        <w:t>Internacional</w:t>
        <w:tab/>
        <w:t>(FMI),</w:t>
        <w:tab/>
        <w:t>2012.</w:t>
        <w:tab/>
      </w:r>
      <w:r>
        <w:rPr>
          <w:i/>
          <w:sz w:val="24"/>
        </w:rPr>
        <w:t>International</w:t>
        <w:tab/>
        <w:t> Monetary</w:t>
        <w:tab/>
        <w:t>Fund.</w:t>
        <w:tab/>
      </w:r>
      <w:r>
        <w:rPr>
          <w:sz w:val="24"/>
        </w:rPr>
        <w:t>[En</w:t>
        <w:tab/>
        <w:t>línea] Available at:</w:t>
      </w:r>
      <w:r>
        <w:rPr>
          <w:spacing w:val="-4"/>
          <w:sz w:val="24"/>
        </w:rPr>
        <w:t> </w:t>
      </w:r>
      <w:hyperlink r:id="rId343">
        <w:r>
          <w:rPr>
            <w:sz w:val="24"/>
            <w:u w:val="single"/>
          </w:rPr>
          <w:t>www.imf.org</w:t>
        </w:r>
      </w:hyperlink>
    </w:p>
    <w:p>
      <w:pPr>
        <w:tabs>
          <w:tab w:pos="970" w:val="left" w:leader="none"/>
          <w:tab w:pos="2215" w:val="left" w:leader="none"/>
          <w:tab w:pos="3724" w:val="left" w:leader="none"/>
          <w:tab w:pos="4614" w:val="left" w:leader="none"/>
          <w:tab w:pos="5404" w:val="left" w:leader="none"/>
          <w:tab w:pos="6243" w:val="left" w:leader="none"/>
          <w:tab w:pos="7448" w:val="left" w:leader="none"/>
          <w:tab w:pos="8526" w:val="left" w:leader="none"/>
          <w:tab w:pos="9119" w:val="left" w:leader="none"/>
        </w:tabs>
        <w:spacing w:line="360" w:lineRule="auto" w:before="6"/>
        <w:ind w:left="822" w:right="185" w:hanging="709"/>
        <w:jc w:val="left"/>
        <w:rPr>
          <w:sz w:val="24"/>
        </w:rPr>
      </w:pPr>
      <w:r>
        <w:rPr>
          <w:sz w:val="24"/>
        </w:rPr>
        <w:t>Fondo</w:t>
        <w:tab/>
        <w:tab/>
        <w:t>Monetario</w:t>
        <w:tab/>
        <w:t>Internacional</w:t>
        <w:tab/>
        <w:t>(IMF),</w:t>
        <w:tab/>
        <w:t>2013.</w:t>
        <w:tab/>
      </w:r>
      <w:r>
        <w:rPr>
          <w:i/>
          <w:sz w:val="24"/>
        </w:rPr>
        <w:t>World</w:t>
        <w:tab/>
        <w:t>Economic</w:t>
        <w:tab/>
        <w:t> Outlook.</w:t>
        <w:tab/>
      </w:r>
      <w:r>
        <w:rPr>
          <w:sz w:val="24"/>
        </w:rPr>
        <w:t>[En</w:t>
        <w:tab/>
        <w:t>línea] Available at:</w:t>
      </w:r>
      <w:r>
        <w:rPr>
          <w:spacing w:val="-8"/>
          <w:sz w:val="24"/>
        </w:rPr>
        <w:t> </w:t>
      </w:r>
      <w:hyperlink r:id="rId343">
        <w:r>
          <w:rPr>
            <w:sz w:val="24"/>
            <w:u w:val="single"/>
          </w:rPr>
          <w:t>www.imf.org</w:t>
        </w:r>
      </w:hyperlink>
    </w:p>
    <w:p>
      <w:pPr>
        <w:tabs>
          <w:tab w:pos="938" w:val="left" w:leader="none"/>
          <w:tab w:pos="2155" w:val="left" w:leader="none"/>
          <w:tab w:pos="3690" w:val="left" w:leader="none"/>
          <w:tab w:pos="4448" w:val="left" w:leader="none"/>
          <w:tab w:pos="5931" w:val="left" w:leader="none"/>
          <w:tab w:pos="7075" w:val="left" w:leader="none"/>
          <w:tab w:pos="7855" w:val="left" w:leader="none"/>
          <w:tab w:pos="8555" w:val="left" w:leader="none"/>
          <w:tab w:pos="9116" w:val="left" w:leader="none"/>
        </w:tabs>
        <w:spacing w:line="360" w:lineRule="auto" w:before="6"/>
        <w:ind w:left="822" w:right="185" w:hanging="709"/>
        <w:jc w:val="left"/>
        <w:rPr>
          <w:sz w:val="24"/>
        </w:rPr>
      </w:pPr>
      <w:r>
        <w:rPr>
          <w:sz w:val="24"/>
        </w:rPr>
        <w:t>Fondo</w:t>
        <w:tab/>
        <w:tab/>
        <w:t>Monetario</w:t>
        <w:tab/>
        <w:t>Internacional,</w:t>
        <w:tab/>
        <w:t>2013.</w:t>
        <w:tab/>
      </w:r>
      <w:r>
        <w:rPr>
          <w:i/>
          <w:sz w:val="24"/>
        </w:rPr>
        <w:t>International</w:t>
        <w:tab/>
        <w:t>Monetary</w:t>
        <w:tab/>
        <w:t> Fund,</w:t>
        <w:tab/>
        <w:t>IMF.</w:t>
        <w:tab/>
      </w:r>
      <w:r>
        <w:rPr>
          <w:sz w:val="24"/>
        </w:rPr>
        <w:t>[En</w:t>
        <w:tab/>
        <w:t>línea]</w:t>
      </w:r>
      <w:r>
        <w:rPr>
          <w:spacing w:val="-4"/>
          <w:sz w:val="24"/>
        </w:rPr>
        <w:t> </w:t>
      </w:r>
      <w:r>
        <w:rPr>
          <w:sz w:val="24"/>
        </w:rPr>
        <w:t>Available</w:t>
      </w:r>
      <w:r>
        <w:rPr>
          <w:spacing w:val="-4"/>
          <w:sz w:val="24"/>
        </w:rPr>
        <w:t> </w:t>
      </w:r>
      <w:r>
        <w:rPr>
          <w:sz w:val="24"/>
        </w:rPr>
        <w:t>at:</w:t>
      </w:r>
      <w:r>
        <w:rPr>
          <w:spacing w:val="1"/>
          <w:sz w:val="24"/>
        </w:rPr>
        <w:t> </w:t>
      </w:r>
      <w:hyperlink r:id="rId344">
        <w:r>
          <w:rPr>
            <w:sz w:val="24"/>
            <w:u w:val="single"/>
          </w:rPr>
          <w:t>http://www.imf.org/external/np/res/commod/index.aspx</w:t>
        </w:r>
      </w:hyperlink>
    </w:p>
    <w:p>
      <w:pPr>
        <w:spacing w:after="0" w:line="360" w:lineRule="auto"/>
        <w:jc w:val="left"/>
        <w:rPr>
          <w:sz w:val="24"/>
        </w:rPr>
        <w:sectPr>
          <w:pgSz w:w="12250" w:h="15850"/>
          <w:pgMar w:header="0" w:footer="977" w:top="1360" w:bottom="1220" w:left="880" w:right="1580"/>
        </w:sectPr>
      </w:pPr>
    </w:p>
    <w:p>
      <w:pPr>
        <w:spacing w:line="360" w:lineRule="auto" w:before="50"/>
        <w:ind w:left="822" w:right="84" w:hanging="709"/>
        <w:jc w:val="left"/>
        <w:rPr>
          <w:i/>
          <w:sz w:val="24"/>
        </w:rPr>
      </w:pPr>
      <w:r>
        <w:rPr>
          <w:sz w:val="24"/>
        </w:rPr>
        <w:t>Fosco, C. &amp; Saavedra, E., 2003. </w:t>
      </w:r>
      <w:r>
        <w:rPr>
          <w:i/>
          <w:sz w:val="24"/>
        </w:rPr>
        <w:t>Sustentabilidad de energéticos y la política regulatoria del Gas </w:t>
      </w:r>
      <w:r>
        <w:rPr>
          <w:i/>
          <w:sz w:val="24"/>
        </w:rPr>
        <w:t>Natural en Chile.</w:t>
      </w:r>
    </w:p>
    <w:p>
      <w:pPr>
        <w:spacing w:line="360" w:lineRule="auto" w:before="6"/>
        <w:ind w:left="822" w:right="84" w:hanging="709"/>
        <w:jc w:val="left"/>
        <w:rPr>
          <w:sz w:val="24"/>
        </w:rPr>
      </w:pPr>
      <w:r>
        <w:rPr>
          <w:sz w:val="24"/>
        </w:rPr>
        <w:t>Frankel, J., 2010. The Natural Resource Curse: A Survey. </w:t>
      </w:r>
      <w:r>
        <w:rPr>
          <w:i/>
          <w:sz w:val="24"/>
        </w:rPr>
        <w:t>NBER Working Paper No. 15836, </w:t>
      </w:r>
      <w:r>
        <w:rPr>
          <w:sz w:val="24"/>
        </w:rPr>
        <w:t>pp. 1- 55.</w:t>
      </w:r>
    </w:p>
    <w:p>
      <w:pPr>
        <w:spacing w:line="360" w:lineRule="auto" w:before="6"/>
        <w:ind w:left="822" w:right="84" w:hanging="709"/>
        <w:jc w:val="left"/>
        <w:rPr>
          <w:i/>
          <w:sz w:val="24"/>
        </w:rPr>
      </w:pPr>
      <w:r>
        <w:rPr>
          <w:sz w:val="24"/>
        </w:rPr>
        <w:t>Frankel, J., 2011. </w:t>
      </w:r>
      <w:r>
        <w:rPr>
          <w:i/>
          <w:sz w:val="24"/>
        </w:rPr>
        <w:t>How Can Commodity Exporters Make Fiscal and Monetary Policy Less </w:t>
      </w:r>
      <w:r>
        <w:rPr>
          <w:i/>
          <w:sz w:val="24"/>
        </w:rPr>
        <w:t>Procyclical?</w:t>
      </w:r>
    </w:p>
    <w:p>
      <w:pPr>
        <w:spacing w:line="360" w:lineRule="auto" w:before="6"/>
        <w:ind w:left="822" w:right="84" w:hanging="709"/>
        <w:jc w:val="left"/>
        <w:rPr>
          <w:sz w:val="24"/>
        </w:rPr>
      </w:pPr>
      <w:r>
        <w:rPr>
          <w:sz w:val="24"/>
        </w:rPr>
        <w:t>Furman, J. &amp; Stiglitz, J., 1998. Economic Crises: Evidence and Insights from East Asia. </w:t>
      </w:r>
      <w:r>
        <w:rPr>
          <w:i/>
          <w:sz w:val="24"/>
        </w:rPr>
        <w:t>Brookings </w:t>
      </w:r>
      <w:r>
        <w:rPr>
          <w:i/>
          <w:sz w:val="24"/>
        </w:rPr>
        <w:t>Papers on Economic Activity, </w:t>
      </w:r>
      <w:r>
        <w:rPr>
          <w:sz w:val="24"/>
        </w:rPr>
        <w:t>Volumen 2, p. 1–35.</w:t>
      </w:r>
    </w:p>
    <w:p>
      <w:pPr>
        <w:pStyle w:val="BodyText"/>
        <w:spacing w:line="360" w:lineRule="auto" w:before="7"/>
        <w:ind w:left="822" w:right="84" w:hanging="709"/>
      </w:pPr>
      <w:r>
        <w:rPr/>
        <w:t>Gabriel, S., J., Z. &amp; Kiet, S., 2005. A large-scale linear complementarily model of North American natural gas market. </w:t>
      </w:r>
      <w:r>
        <w:rPr>
          <w:i/>
        </w:rPr>
        <w:t>Energy Economics , </w:t>
      </w:r>
      <w:r>
        <w:rPr/>
        <w:t>Volumen 27, pp. 639-665.</w:t>
      </w:r>
    </w:p>
    <w:p>
      <w:pPr>
        <w:pStyle w:val="BodyText"/>
        <w:spacing w:line="360" w:lineRule="auto" w:before="6"/>
        <w:ind w:left="822" w:right="84" w:hanging="709"/>
      </w:pPr>
      <w:r>
        <w:rPr/>
        <w:t>Gabriel, S., Kydes, A. &amp; Whitman, P., 2001. The National Energy Modeling System: a large-scale energy economic equilibrium model. </w:t>
      </w:r>
      <w:r>
        <w:rPr>
          <w:i/>
        </w:rPr>
        <w:t>Operations Research, </w:t>
      </w:r>
      <w:r>
        <w:rPr/>
        <w:t>Volumen 49, p. 14–25.</w:t>
      </w:r>
    </w:p>
    <w:p>
      <w:pPr>
        <w:spacing w:line="360" w:lineRule="auto" w:before="6"/>
        <w:ind w:left="113" w:right="1330" w:firstLine="0"/>
        <w:jc w:val="both"/>
        <w:rPr>
          <w:i/>
          <w:sz w:val="24"/>
        </w:rPr>
      </w:pPr>
      <w:r>
        <w:rPr>
          <w:sz w:val="24"/>
        </w:rPr>
        <w:t>Gaceta oficial de Bolivia "Héroes del Chaco", 1996. </w:t>
      </w:r>
      <w:r>
        <w:rPr>
          <w:i/>
          <w:sz w:val="24"/>
        </w:rPr>
        <w:t>Ley 1689. Ley de Hidrocarburos.</w:t>
      </w:r>
      <w:r>
        <w:rPr>
          <w:sz w:val="24"/>
        </w:rPr>
        <w:t>. Gaceta oficial de Bolivia "Héroes del Chaco", 2005. </w:t>
      </w:r>
      <w:r>
        <w:rPr>
          <w:i/>
          <w:sz w:val="24"/>
        </w:rPr>
        <w:t>Ley 3058. Ley de Hidrocarburos. </w:t>
      </w:r>
      <w:r>
        <w:rPr>
          <w:sz w:val="24"/>
        </w:rPr>
        <w:t>Gaceta oficial de Bolivia: "Héroes del Chaco", 2006. </w:t>
      </w:r>
      <w:r>
        <w:rPr>
          <w:i/>
          <w:sz w:val="24"/>
        </w:rPr>
        <w:t>Decreto Supremo Nº 28701.</w:t>
      </w:r>
    </w:p>
    <w:p>
      <w:pPr>
        <w:spacing w:line="360" w:lineRule="auto" w:before="4"/>
        <w:ind w:left="822" w:right="185" w:hanging="709"/>
        <w:jc w:val="left"/>
        <w:rPr>
          <w:i/>
          <w:sz w:val="24"/>
        </w:rPr>
      </w:pPr>
      <w:r>
        <w:rPr>
          <w:w w:val="233"/>
          <w:sz w:val="24"/>
        </w:rPr>
        <w:t>  </w:t>
      </w:r>
      <w:r>
        <w:rPr>
          <w:w w:val="177"/>
          <w:sz w:val="24"/>
        </w:rPr>
        <w:t>  </w:t>
      </w:r>
      <w:r>
        <w:rPr>
          <w:w w:val="111"/>
          <w:sz w:val="24"/>
        </w:rPr>
        <w:t> </w:t>
      </w:r>
      <w:r>
        <w:rPr>
          <w:w w:val="177"/>
          <w:sz w:val="24"/>
        </w:rPr>
        <w:t> </w:t>
      </w:r>
      <w:r>
        <w:rPr>
          <w:sz w:val="24"/>
        </w:rPr>
        <w:t> </w:t>
      </w:r>
      <w:r>
        <w:rPr>
          <w:w w:val="166"/>
          <w:sz w:val="24"/>
        </w:rPr>
        <w:t>  </w:t>
      </w:r>
      <w:r>
        <w:rPr>
          <w:w w:val="133"/>
          <w:sz w:val="24"/>
        </w:rPr>
        <w:t>   </w:t>
      </w:r>
      <w:r>
        <w:rPr>
          <w:w w:val="177"/>
          <w:sz w:val="24"/>
        </w:rPr>
        <w:t> </w:t>
      </w:r>
      <w:r>
        <w:rPr>
          <w:w w:val="111"/>
          <w:sz w:val="24"/>
        </w:rPr>
        <w:t> </w:t>
      </w:r>
      <w:r>
        <w:rPr>
          <w:sz w:val="24"/>
        </w:rPr>
        <w:t> </w:t>
      </w:r>
      <w:r>
        <w:rPr>
          <w:w w:val="188"/>
          <w:sz w:val="24"/>
        </w:rPr>
        <w:t>  </w:t>
      </w:r>
      <w:r>
        <w:rPr>
          <w:sz w:val="24"/>
        </w:rPr>
        <w:t> </w:t>
      </w:r>
      <w:r>
        <w:rPr>
          <w:w w:val="266"/>
          <w:sz w:val="24"/>
        </w:rPr>
        <w:t> </w:t>
      </w:r>
      <w:r>
        <w:rPr>
          <w:w w:val="140"/>
          <w:sz w:val="24"/>
        </w:rPr>
        <w:t>   </w:t>
      </w:r>
      <w:r>
        <w:rPr>
          <w:w w:val="162"/>
          <w:sz w:val="24"/>
        </w:rPr>
        <w:t>   </w:t>
      </w:r>
      <w:r>
        <w:rPr>
          <w:w w:val="100"/>
          <w:sz w:val="24"/>
        </w:rPr>
        <w:t>:</w:t>
      </w:r>
      <w:r>
        <w:rPr>
          <w:sz w:val="24"/>
        </w:rPr>
        <w:t> </w:t>
      </w:r>
      <w:r>
        <w:rPr>
          <w:w w:val="44"/>
          <w:sz w:val="24"/>
        </w:rPr>
        <w:t>―</w:t>
      </w:r>
      <w:r>
        <w:rPr>
          <w:w w:val="119"/>
          <w:sz w:val="24"/>
        </w:rPr>
        <w:t>H </w:t>
      </w:r>
      <w:r>
        <w:rPr>
          <w:w w:val="166"/>
          <w:sz w:val="24"/>
        </w:rPr>
        <w:t>  </w:t>
      </w:r>
      <w:r>
        <w:rPr>
          <w:w w:val="177"/>
          <w:sz w:val="24"/>
        </w:rPr>
        <w:t> </w:t>
      </w:r>
      <w:r>
        <w:rPr>
          <w:w w:val="155"/>
          <w:sz w:val="24"/>
        </w:rPr>
        <w:t> </w:t>
      </w:r>
      <w:r>
        <w:rPr>
          <w:sz w:val="24"/>
        </w:rPr>
        <w:t> </w:t>
      </w:r>
      <w:r>
        <w:rPr>
          <w:w w:val="188"/>
          <w:sz w:val="24"/>
        </w:rPr>
        <w:t>  </w:t>
      </w:r>
      <w:r>
        <w:rPr>
          <w:w w:val="111"/>
          <w:sz w:val="24"/>
        </w:rPr>
        <w:t> </w:t>
      </w:r>
      <w:r>
        <w:rPr>
          <w:sz w:val="24"/>
        </w:rPr>
        <w:t> </w:t>
      </w:r>
      <w:r>
        <w:rPr>
          <w:w w:val="266"/>
          <w:sz w:val="24"/>
        </w:rPr>
        <w:t> </w:t>
      </w:r>
      <w:r>
        <w:rPr>
          <w:w w:val="200"/>
          <w:sz w:val="24"/>
        </w:rPr>
        <w:t> </w:t>
      </w:r>
      <w:r>
        <w:rPr>
          <w:w w:val="177"/>
          <w:sz w:val="24"/>
        </w:rPr>
        <w:t>  </w:t>
      </w:r>
      <w:r>
        <w:rPr>
          <w:w w:val="200"/>
          <w:sz w:val="24"/>
        </w:rPr>
        <w:t> </w:t>
      </w:r>
      <w:r>
        <w:rPr>
          <w:w w:val="99"/>
          <w:sz w:val="24"/>
        </w:rPr>
        <w:t>"</w:t>
      </w:r>
      <w:r>
        <w:rPr>
          <w:sz w:val="24"/>
        </w:rPr>
        <w:t>  </w:t>
      </w:r>
      <w:r>
        <w:rPr>
          <w:w w:val="200"/>
          <w:sz w:val="24"/>
        </w:rPr>
        <w:t> </w:t>
      </w:r>
      <w:r>
        <w:rPr>
          <w:w w:val="140"/>
          <w:sz w:val="24"/>
        </w:rPr>
        <w:t>  6 </w:t>
      </w:r>
      <w:r>
        <w:rPr>
          <w:sz w:val="24"/>
        </w:rPr>
        <w:t> </w:t>
      </w:r>
      <w:r>
        <w:rPr>
          <w:i/>
          <w:w w:val="99"/>
          <w:sz w:val="24"/>
        </w:rPr>
        <w:t>De</w:t>
      </w:r>
      <w:r>
        <w:rPr>
          <w:i/>
          <w:sz w:val="24"/>
        </w:rPr>
        <w:t>c</w:t>
      </w:r>
      <w:r>
        <w:rPr>
          <w:i/>
          <w:w w:val="99"/>
          <w:sz w:val="24"/>
        </w:rPr>
        <w:t>r</w:t>
      </w:r>
      <w:r>
        <w:rPr>
          <w:i/>
          <w:sz w:val="24"/>
        </w:rPr>
        <w:t>eto Supre</w:t>
      </w:r>
      <w:r>
        <w:rPr>
          <w:i/>
          <w:w w:val="99"/>
          <w:sz w:val="24"/>
        </w:rPr>
        <w:t>mo</w:t>
      </w:r>
      <w:r>
        <w:rPr>
          <w:i/>
          <w:sz w:val="24"/>
        </w:rPr>
        <w:t> N</w:t>
      </w:r>
      <w:r>
        <w:rPr>
          <w:i/>
          <w:w w:val="99"/>
          <w:sz w:val="24"/>
        </w:rPr>
        <w:t>º</w:t>
      </w:r>
      <w:r>
        <w:rPr>
          <w:i/>
          <w:sz w:val="24"/>
        </w:rPr>
        <w:t> 28701, </w:t>
      </w:r>
      <w:r>
        <w:rPr>
          <w:i/>
          <w:w w:val="99"/>
          <w:sz w:val="24"/>
        </w:rPr>
        <w:t>D.S</w:t>
      </w:r>
      <w:r>
        <w:rPr>
          <w:i/>
          <w:sz w:val="24"/>
        </w:rPr>
        <w:t> 1214, </w:t>
      </w:r>
      <w:r>
        <w:rPr>
          <w:i/>
          <w:w w:val="99"/>
          <w:sz w:val="24"/>
        </w:rPr>
        <w:t>L</w:t>
      </w:r>
      <w:r>
        <w:rPr>
          <w:i/>
          <w:sz w:val="24"/>
        </w:rPr>
        <w:t>ey</w:t>
      </w:r>
      <w:r>
        <w:rPr>
          <w:i/>
          <w:sz w:val="24"/>
        </w:rPr>
        <w:t> Nº 3058.</w:t>
      </w:r>
    </w:p>
    <w:p>
      <w:pPr>
        <w:spacing w:line="360" w:lineRule="auto" w:before="4"/>
        <w:ind w:left="822" w:right="84" w:hanging="709"/>
        <w:jc w:val="left"/>
        <w:rPr>
          <w:i/>
          <w:sz w:val="24"/>
        </w:rPr>
      </w:pPr>
      <w:r>
        <w:rPr>
          <w:sz w:val="24"/>
        </w:rPr>
        <w:t>Galesi, A. &amp; Lombardi, M., 2009. </w:t>
      </w:r>
      <w:r>
        <w:rPr>
          <w:i/>
          <w:sz w:val="24"/>
        </w:rPr>
        <w:t>External Shocks and international inflation linkages a global </w:t>
      </w:r>
      <w:r>
        <w:rPr>
          <w:i/>
          <w:sz w:val="24"/>
        </w:rPr>
        <w:t>VaR analysis.</w:t>
      </w:r>
    </w:p>
    <w:p>
      <w:pPr>
        <w:spacing w:line="360" w:lineRule="auto" w:before="4"/>
        <w:ind w:left="822" w:right="84" w:hanging="709"/>
        <w:jc w:val="left"/>
        <w:rPr>
          <w:i/>
          <w:sz w:val="24"/>
        </w:rPr>
      </w:pPr>
      <w:r>
        <w:rPr>
          <w:sz w:val="24"/>
        </w:rPr>
        <w:t>Galkovskaya, V., 2011. </w:t>
      </w:r>
      <w:r>
        <w:rPr>
          <w:i/>
          <w:sz w:val="24"/>
        </w:rPr>
        <w:t>Has Nominal Exchange Rate have a predictive power for Oil and Gas </w:t>
      </w:r>
      <w:r>
        <w:rPr>
          <w:i/>
          <w:sz w:val="24"/>
        </w:rPr>
        <w:t>Prices? The Case of Russia.</w:t>
      </w:r>
    </w:p>
    <w:p>
      <w:pPr>
        <w:spacing w:before="4"/>
        <w:ind w:left="113" w:right="84" w:firstLine="0"/>
        <w:jc w:val="left"/>
        <w:rPr>
          <w:i/>
          <w:sz w:val="24"/>
        </w:rPr>
      </w:pPr>
      <w:r>
        <w:rPr>
          <w:sz w:val="24"/>
        </w:rPr>
        <w:t>García de la Vega, V., 2009. </w:t>
      </w:r>
      <w:r>
        <w:rPr>
          <w:i/>
          <w:sz w:val="24"/>
        </w:rPr>
        <w:t>Valuación de Opciones del Gas Natural en la Industria Energética.</w:t>
      </w:r>
    </w:p>
    <w:p>
      <w:pPr>
        <w:pStyle w:val="BodyText"/>
        <w:spacing w:before="139"/>
        <w:ind w:left="113" w:right="84"/>
      </w:pPr>
      <w:r>
        <w:rPr/>
        <w:t>Geletkanycz,  M.  &amp;  Tepper,  B.,  2012.  Publiching  in  AMJ-Part6:  Discussing  the implications.</w:t>
      </w:r>
    </w:p>
    <w:p>
      <w:pPr>
        <w:spacing w:before="137"/>
        <w:ind w:left="822" w:right="84" w:firstLine="0"/>
        <w:jc w:val="left"/>
        <w:rPr>
          <w:sz w:val="24"/>
        </w:rPr>
      </w:pPr>
      <w:r>
        <w:rPr>
          <w:i/>
          <w:sz w:val="24"/>
        </w:rPr>
        <w:t>Academy of Management Journal, </w:t>
      </w:r>
      <w:r>
        <w:rPr>
          <w:sz w:val="24"/>
        </w:rPr>
        <w:t>55(2), pp. 256-260.</w:t>
      </w:r>
    </w:p>
    <w:p>
      <w:pPr>
        <w:spacing w:line="360" w:lineRule="auto" w:before="137"/>
        <w:ind w:left="822" w:right="84" w:hanging="709"/>
        <w:jc w:val="left"/>
        <w:rPr>
          <w:sz w:val="24"/>
        </w:rPr>
      </w:pPr>
      <w:r>
        <w:rPr>
          <w:sz w:val="24"/>
        </w:rPr>
        <w:t>Ghatak, S. &amp; Sánchez, J., 2007. Is Fiscal Policy Sustainable in Developing Economies?. </w:t>
      </w:r>
      <w:r>
        <w:rPr>
          <w:i/>
          <w:sz w:val="24"/>
        </w:rPr>
        <w:t>Review of </w:t>
      </w:r>
      <w:r>
        <w:rPr>
          <w:i/>
          <w:sz w:val="24"/>
        </w:rPr>
        <w:t>Development Economics, </w:t>
      </w:r>
      <w:r>
        <w:rPr>
          <w:sz w:val="24"/>
        </w:rPr>
        <w:t>11(3), pp. 518-530.</w:t>
      </w:r>
    </w:p>
    <w:p>
      <w:pPr>
        <w:spacing w:line="360" w:lineRule="auto" w:before="4"/>
        <w:ind w:left="822" w:right="84" w:hanging="709"/>
        <w:jc w:val="left"/>
        <w:rPr>
          <w:i/>
          <w:sz w:val="24"/>
        </w:rPr>
      </w:pPr>
      <w:r>
        <w:rPr>
          <w:sz w:val="24"/>
        </w:rPr>
        <w:t>Girouard, N. &amp; Andre, C., 2006. </w:t>
      </w:r>
      <w:r>
        <w:rPr>
          <w:i/>
          <w:sz w:val="24"/>
        </w:rPr>
        <w:t>Measuring Cyclically-Adjusted Budget Balances for OECD </w:t>
      </w:r>
      <w:r>
        <w:rPr>
          <w:i/>
          <w:sz w:val="24"/>
        </w:rPr>
        <w:t>Countries.</w:t>
      </w:r>
    </w:p>
    <w:p>
      <w:pPr>
        <w:pStyle w:val="BodyText"/>
        <w:spacing w:before="4"/>
        <w:ind w:left="113" w:right="84"/>
      </w:pPr>
      <w:r>
        <w:rPr/>
        <w:t>González, J. &amp; Mesa, R., 2007. Los ingresos del petróleo como mecanismo de ajuste externo.</w:t>
      </w:r>
    </w:p>
    <w:p>
      <w:pPr>
        <w:spacing w:before="139"/>
        <w:ind w:left="822" w:right="84" w:firstLine="0"/>
        <w:jc w:val="left"/>
        <w:rPr>
          <w:sz w:val="24"/>
        </w:rPr>
      </w:pPr>
      <w:r>
        <w:rPr>
          <w:i/>
          <w:sz w:val="24"/>
        </w:rPr>
        <w:t>Perfil de Coyuntura Económica, </w:t>
      </w:r>
      <w:r>
        <w:rPr>
          <w:sz w:val="24"/>
        </w:rPr>
        <w:t>Volumen 9, pp. 21-45.</w:t>
      </w:r>
    </w:p>
    <w:p>
      <w:pPr>
        <w:spacing w:before="137"/>
        <w:ind w:left="113" w:right="84" w:firstLine="0"/>
        <w:jc w:val="left"/>
        <w:rPr>
          <w:sz w:val="24"/>
        </w:rPr>
      </w:pPr>
      <w:r>
        <w:rPr>
          <w:sz w:val="24"/>
        </w:rPr>
        <w:t>Greene, W., 1999. En: </w:t>
      </w:r>
      <w:r>
        <w:rPr>
          <w:i/>
          <w:sz w:val="24"/>
        </w:rPr>
        <w:t>Análisis Econométrico. </w:t>
      </w:r>
      <w:r>
        <w:rPr>
          <w:sz w:val="24"/>
        </w:rPr>
        <w:t>3era ed. Madrid: Prentice Hall, p. 727.</w:t>
      </w:r>
    </w:p>
    <w:p>
      <w:pPr>
        <w:spacing w:after="0"/>
        <w:jc w:val="left"/>
        <w:rPr>
          <w:sz w:val="24"/>
        </w:rPr>
        <w:sectPr>
          <w:pgSz w:w="12250" w:h="15850"/>
          <w:pgMar w:header="0" w:footer="977" w:top="1360" w:bottom="1220" w:left="880" w:right="1580"/>
        </w:sectPr>
      </w:pPr>
    </w:p>
    <w:p>
      <w:pPr>
        <w:spacing w:before="50"/>
        <w:ind w:left="113" w:right="84" w:firstLine="0"/>
        <w:jc w:val="left"/>
        <w:rPr>
          <w:i/>
          <w:sz w:val="24"/>
        </w:rPr>
      </w:pPr>
      <w:r>
        <w:rPr>
          <w:sz w:val="24"/>
        </w:rPr>
        <w:t>Guedes de Oliveira, F., 2008. </w:t>
      </w:r>
      <w:r>
        <w:rPr>
          <w:i/>
          <w:sz w:val="24"/>
        </w:rPr>
        <w:t>Empirical determinants of government efficiency.</w:t>
      </w:r>
    </w:p>
    <w:p>
      <w:pPr>
        <w:spacing w:line="360" w:lineRule="auto" w:before="137"/>
        <w:ind w:left="822" w:right="124" w:hanging="709"/>
        <w:jc w:val="both"/>
        <w:rPr>
          <w:sz w:val="24"/>
        </w:rPr>
      </w:pPr>
      <w:r>
        <w:rPr>
          <w:sz w:val="24"/>
        </w:rPr>
        <w:t>Guriev, S., Kolotilin, A. &amp; Sonin, K., 2011. Determinants in oil sector: A theory of nationalization from panel data. </w:t>
      </w:r>
      <w:r>
        <w:rPr>
          <w:i/>
          <w:sz w:val="24"/>
        </w:rPr>
        <w:t>Journal of Law, Economics &amp; Organizaton, </w:t>
      </w:r>
      <w:r>
        <w:rPr>
          <w:sz w:val="24"/>
        </w:rPr>
        <w:t>27(2), pp. 301-323.</w:t>
      </w:r>
    </w:p>
    <w:p>
      <w:pPr>
        <w:spacing w:line="360" w:lineRule="auto" w:before="4"/>
        <w:ind w:left="822" w:right="113" w:hanging="709"/>
        <w:jc w:val="both"/>
        <w:rPr>
          <w:sz w:val="24"/>
        </w:rPr>
      </w:pPr>
      <w:r>
        <w:rPr>
          <w:sz w:val="24"/>
        </w:rPr>
        <w:t>Gurvich, E., Vakulenko, E. &amp; Krivenko, P., 2009. Cyclicality of Fiscal Policy in Oil-Producing Countries. </w:t>
      </w:r>
      <w:r>
        <w:rPr>
          <w:i/>
          <w:sz w:val="24"/>
        </w:rPr>
        <w:t>Problems of Economic Transition, </w:t>
      </w:r>
      <w:r>
        <w:rPr>
          <w:sz w:val="24"/>
        </w:rPr>
        <w:t>52(1), p. 24–53..</w:t>
      </w:r>
    </w:p>
    <w:p>
      <w:pPr>
        <w:spacing w:line="360" w:lineRule="auto" w:before="4"/>
        <w:ind w:left="822" w:right="118" w:hanging="709"/>
        <w:jc w:val="both"/>
        <w:rPr>
          <w:sz w:val="24"/>
        </w:rPr>
      </w:pPr>
      <w:r>
        <w:rPr>
          <w:sz w:val="24"/>
        </w:rPr>
        <w:t>Gutiérrez, E., Mejía, P. &amp; Cruz, B., 2005. Ciclos económicos y el Sector externo en México. Evidencias de relaciones cambiantes en el tiempo. </w:t>
      </w:r>
      <w:r>
        <w:rPr>
          <w:i/>
          <w:sz w:val="24"/>
        </w:rPr>
        <w:t>Estudios Económicos de Desarrollo </w:t>
      </w:r>
      <w:r>
        <w:rPr>
          <w:i/>
          <w:sz w:val="24"/>
        </w:rPr>
        <w:t>Internacional, </w:t>
      </w:r>
      <w:r>
        <w:rPr>
          <w:sz w:val="24"/>
        </w:rPr>
        <w:t>5(1), pp. 63-90.</w:t>
      </w:r>
    </w:p>
    <w:p>
      <w:pPr>
        <w:spacing w:line="360" w:lineRule="auto" w:before="7"/>
        <w:ind w:left="822" w:right="118" w:hanging="709"/>
        <w:jc w:val="both"/>
        <w:rPr>
          <w:sz w:val="24"/>
        </w:rPr>
      </w:pPr>
      <w:r>
        <w:rPr>
          <w:sz w:val="24"/>
        </w:rPr>
        <w:t>Gylfason, T., 2001. </w:t>
      </w:r>
      <w:r>
        <w:rPr>
          <w:i/>
          <w:sz w:val="24"/>
        </w:rPr>
        <w:t>Natural Resources and Economic Growth: What Is the conection?. </w:t>
      </w:r>
      <w:r>
        <w:rPr>
          <w:sz w:val="24"/>
        </w:rPr>
        <w:t>s.l., Institute for Economic Research and Policy Consulting and the German Advisory Group on Economic.</w:t>
      </w:r>
    </w:p>
    <w:p>
      <w:pPr>
        <w:spacing w:line="360" w:lineRule="auto" w:before="4"/>
        <w:ind w:left="822" w:right="124" w:hanging="709"/>
        <w:jc w:val="both"/>
        <w:rPr>
          <w:sz w:val="24"/>
        </w:rPr>
      </w:pPr>
      <w:r>
        <w:rPr>
          <w:sz w:val="24"/>
        </w:rPr>
        <w:t>Hajdenberg, A. &amp; Romeu, R., 2010. Parameter Estimate Uncertainty in Probabilistic Debt Sustainability Analysis. </w:t>
      </w:r>
      <w:r>
        <w:rPr>
          <w:i/>
          <w:sz w:val="24"/>
        </w:rPr>
        <w:t>International Monetary Fund, IMF, </w:t>
      </w:r>
      <w:r>
        <w:rPr>
          <w:sz w:val="24"/>
        </w:rPr>
        <w:t>57(1 ), pp. 61-83.</w:t>
      </w:r>
    </w:p>
    <w:p>
      <w:pPr>
        <w:spacing w:line="360" w:lineRule="auto" w:before="4"/>
        <w:ind w:left="822" w:right="116" w:hanging="709"/>
        <w:jc w:val="both"/>
        <w:rPr>
          <w:sz w:val="24"/>
        </w:rPr>
      </w:pPr>
      <w:r>
        <w:rPr>
          <w:sz w:val="24"/>
        </w:rPr>
        <w:t>Hakkio, C. S. &amp; Rush, M., 1991. Cointegration: how short is the long run?. </w:t>
      </w:r>
      <w:r>
        <w:rPr>
          <w:i/>
          <w:sz w:val="24"/>
        </w:rPr>
        <w:t>Journal of  </w:t>
      </w:r>
      <w:r>
        <w:rPr>
          <w:i/>
          <w:sz w:val="24"/>
        </w:rPr>
        <w:t>International Money and Finance, </w:t>
      </w:r>
      <w:r>
        <w:rPr>
          <w:sz w:val="24"/>
        </w:rPr>
        <w:t>10(4), pp.</w:t>
      </w:r>
      <w:r>
        <w:rPr>
          <w:spacing w:val="-3"/>
          <w:sz w:val="24"/>
        </w:rPr>
        <w:t> </w:t>
      </w:r>
      <w:r>
        <w:rPr>
          <w:sz w:val="24"/>
        </w:rPr>
        <w:t>571-581.</w:t>
      </w:r>
    </w:p>
    <w:p>
      <w:pPr>
        <w:pStyle w:val="BodyText"/>
        <w:spacing w:line="360" w:lineRule="auto" w:before="4"/>
        <w:ind w:left="822" w:right="123" w:hanging="709"/>
        <w:jc w:val="both"/>
      </w:pPr>
      <w:r>
        <w:rPr/>
        <w:t>Hamilton, J. &amp; Flavin, M., 1986. On the Limitations of Government Borrowing: A Framework for Empirical Testing. </w:t>
      </w:r>
      <w:r>
        <w:rPr>
          <w:i/>
        </w:rPr>
        <w:t>American Economic Review, </w:t>
      </w:r>
      <w:r>
        <w:rPr/>
        <w:t>76(4), p. 808–819.</w:t>
      </w:r>
    </w:p>
    <w:p>
      <w:pPr>
        <w:spacing w:line="360" w:lineRule="auto" w:before="4"/>
        <w:ind w:left="822" w:right="116" w:hanging="709"/>
        <w:jc w:val="both"/>
        <w:rPr>
          <w:sz w:val="24"/>
        </w:rPr>
      </w:pPr>
      <w:r>
        <w:rPr>
          <w:sz w:val="24"/>
        </w:rPr>
        <w:t>Harding, D. &amp; Pagan, A., 2002. Dissecting the cycle: a methodological investigation. </w:t>
      </w:r>
      <w:r>
        <w:rPr>
          <w:i/>
          <w:sz w:val="24"/>
        </w:rPr>
        <w:t>Journal of </w:t>
      </w:r>
      <w:r>
        <w:rPr>
          <w:i/>
          <w:sz w:val="24"/>
        </w:rPr>
        <w:t>Monetary Economics, </w:t>
      </w:r>
      <w:r>
        <w:rPr>
          <w:sz w:val="24"/>
        </w:rPr>
        <w:t>Volumen 49, pp. 365-381.</w:t>
      </w:r>
    </w:p>
    <w:p>
      <w:pPr>
        <w:spacing w:line="360" w:lineRule="auto" w:before="4"/>
        <w:ind w:left="822" w:right="124" w:hanging="709"/>
        <w:jc w:val="both"/>
        <w:rPr>
          <w:sz w:val="24"/>
        </w:rPr>
      </w:pPr>
      <w:r>
        <w:rPr>
          <w:sz w:val="24"/>
        </w:rPr>
        <w:t>Hart, N., 2009. Discretionay Fiscal Policy and Budget Deficits: An Ortodox Critique of Current Policy Debate. </w:t>
      </w:r>
      <w:r>
        <w:rPr>
          <w:i/>
          <w:sz w:val="24"/>
        </w:rPr>
        <w:t>The Economic and Labour Relations Review, </w:t>
      </w:r>
      <w:r>
        <w:rPr>
          <w:sz w:val="24"/>
        </w:rPr>
        <w:t>19(2), pp. 39-58.</w:t>
      </w:r>
    </w:p>
    <w:p>
      <w:pPr>
        <w:spacing w:line="360" w:lineRule="auto" w:before="4"/>
        <w:ind w:left="822" w:right="122" w:hanging="709"/>
        <w:jc w:val="both"/>
        <w:rPr>
          <w:sz w:val="24"/>
        </w:rPr>
      </w:pPr>
      <w:r>
        <w:rPr>
          <w:sz w:val="24"/>
        </w:rPr>
        <w:t>Hathroubi, S. &amp; Rezgui, S., 2011. Fiscal Policy Cyclicality in Developing Countries: Case of Tunisia. </w:t>
      </w:r>
      <w:r>
        <w:rPr>
          <w:i/>
          <w:sz w:val="24"/>
        </w:rPr>
        <w:t>Interdisciplinary Journal of Contemporary Research in Business, </w:t>
      </w:r>
      <w:r>
        <w:rPr>
          <w:sz w:val="24"/>
        </w:rPr>
        <w:t>3(5), pp. 41-66.</w:t>
      </w:r>
    </w:p>
    <w:p>
      <w:pPr>
        <w:spacing w:before="4"/>
        <w:ind w:left="113" w:right="84" w:firstLine="0"/>
        <w:jc w:val="left"/>
        <w:rPr>
          <w:i/>
          <w:sz w:val="24"/>
        </w:rPr>
      </w:pPr>
      <w:r>
        <w:rPr>
          <w:sz w:val="24"/>
        </w:rPr>
        <w:t>Haunner, D. &amp; Kyobe, A., 2008. </w:t>
      </w:r>
      <w:r>
        <w:rPr>
          <w:i/>
          <w:sz w:val="24"/>
        </w:rPr>
        <w:t>Determinants of government efficiency.</w:t>
      </w:r>
    </w:p>
    <w:p>
      <w:pPr>
        <w:pStyle w:val="BodyText"/>
        <w:spacing w:line="360" w:lineRule="auto" w:before="137"/>
        <w:ind w:left="822" w:right="116" w:hanging="709"/>
        <w:jc w:val="both"/>
      </w:pPr>
      <w:r>
        <w:rPr/>
        <w:t>Hendry, D., 2006. Robustifying forcasts from equilibrium-correction models. </w:t>
      </w:r>
      <w:r>
        <w:rPr>
          <w:i/>
        </w:rPr>
        <w:t>Journal of </w:t>
      </w:r>
      <w:r>
        <w:rPr>
          <w:i/>
        </w:rPr>
        <w:t>Econometric, </w:t>
      </w:r>
      <w:r>
        <w:rPr/>
        <w:t>Volumen 135, pp. 399 -346.</w:t>
      </w:r>
    </w:p>
    <w:p>
      <w:pPr>
        <w:pStyle w:val="BodyText"/>
        <w:spacing w:line="360" w:lineRule="auto" w:before="4"/>
        <w:ind w:left="822" w:right="117" w:hanging="709"/>
        <w:jc w:val="both"/>
      </w:pPr>
      <w:r>
        <w:rPr/>
        <w:t>Heydemann, S., 2008. Institutions and Economic Performance: The Use and Abuse of Culture in New Institutional Economics. </w:t>
      </w:r>
      <w:r>
        <w:rPr>
          <w:i/>
        </w:rPr>
        <w:t>St Comp Int Dev, </w:t>
      </w:r>
      <w:r>
        <w:rPr/>
        <w:t>pp. 27-52.</w:t>
      </w:r>
    </w:p>
    <w:p>
      <w:pPr>
        <w:pStyle w:val="BodyText"/>
        <w:spacing w:before="4"/>
        <w:ind w:left="113" w:right="84"/>
      </w:pPr>
      <w:r>
        <w:rPr/>
        <w:t>Hinings, C. &amp; Greenwood, R., 2002. Disconnects and Consequences in Organization Theory?.</w:t>
      </w:r>
    </w:p>
    <w:p>
      <w:pPr>
        <w:spacing w:before="139"/>
        <w:ind w:left="822" w:right="84" w:firstLine="0"/>
        <w:jc w:val="left"/>
        <w:rPr>
          <w:sz w:val="24"/>
        </w:rPr>
      </w:pPr>
      <w:r>
        <w:rPr>
          <w:i/>
          <w:sz w:val="24"/>
        </w:rPr>
        <w:t>Administrative Science Quarterly, </w:t>
      </w:r>
      <w:r>
        <w:rPr>
          <w:sz w:val="24"/>
        </w:rPr>
        <w:t>Volumen 47, pp. 411-421.</w:t>
      </w:r>
    </w:p>
    <w:p>
      <w:pPr>
        <w:spacing w:after="0"/>
        <w:jc w:val="left"/>
        <w:rPr>
          <w:sz w:val="24"/>
        </w:rPr>
        <w:sectPr>
          <w:pgSz w:w="12250" w:h="15850"/>
          <w:pgMar w:header="0" w:footer="977" w:top="1360" w:bottom="1220" w:left="880" w:right="1580"/>
        </w:sectPr>
      </w:pPr>
    </w:p>
    <w:p>
      <w:pPr>
        <w:spacing w:line="360" w:lineRule="auto" w:before="50"/>
        <w:ind w:left="822" w:right="185" w:hanging="709"/>
        <w:jc w:val="left"/>
        <w:rPr>
          <w:sz w:val="24"/>
        </w:rPr>
      </w:pPr>
      <w:r>
        <w:rPr>
          <w:sz w:val="24"/>
        </w:rPr>
        <w:t>Hodrick, R. &amp; Prescott, E., 1997. Post-war Business Cycles: An Empirical Investigation. </w:t>
      </w:r>
      <w:r>
        <w:rPr>
          <w:i/>
          <w:sz w:val="24"/>
        </w:rPr>
        <w:t>Journal  </w:t>
      </w:r>
      <w:r>
        <w:rPr>
          <w:i/>
          <w:sz w:val="24"/>
        </w:rPr>
        <w:t>of Money, Credit, and Banking, </w:t>
      </w:r>
      <w:r>
        <w:rPr>
          <w:sz w:val="24"/>
        </w:rPr>
        <w:t>Volumen 29, pp.</w:t>
      </w:r>
      <w:r>
        <w:rPr>
          <w:spacing w:val="-6"/>
          <w:sz w:val="24"/>
        </w:rPr>
        <w:t> </w:t>
      </w:r>
      <w:r>
        <w:rPr>
          <w:sz w:val="24"/>
        </w:rPr>
        <w:t>1-16.</w:t>
      </w:r>
    </w:p>
    <w:p>
      <w:pPr>
        <w:spacing w:before="6"/>
        <w:ind w:left="113" w:right="84" w:firstLine="0"/>
        <w:jc w:val="left"/>
        <w:rPr>
          <w:i/>
          <w:sz w:val="24"/>
        </w:rPr>
      </w:pPr>
      <w:r>
        <w:rPr>
          <w:sz w:val="24"/>
        </w:rPr>
        <w:t>Holden, S., 2013. Avoiding the resource course. </w:t>
      </w:r>
      <w:r>
        <w:rPr>
          <w:i/>
          <w:sz w:val="24"/>
        </w:rPr>
        <w:t>Energy Policy.</w:t>
      </w:r>
    </w:p>
    <w:p>
      <w:pPr>
        <w:pStyle w:val="BodyText"/>
        <w:spacing w:before="137"/>
        <w:ind w:left="113" w:right="84"/>
      </w:pPr>
      <w:r>
        <w:rPr/>
        <w:t>Holmes,  M.,  Otero,  J.  &amp;  Panagiotidis,  T.,  2010.               </w:t>
      </w:r>
      <w:r>
        <w:rPr>
          <w:w w:val="85"/>
        </w:rPr>
        <w:t>―                                                                </w:t>
      </w:r>
      <w:r>
        <w:rPr/>
        <w:t>? </w:t>
      </w:r>
    </w:p>
    <w:p>
      <w:pPr>
        <w:spacing w:before="139"/>
        <w:ind w:left="822" w:right="84" w:firstLine="0"/>
        <w:jc w:val="left"/>
        <w:rPr>
          <w:sz w:val="24"/>
        </w:rPr>
      </w:pPr>
      <w:r>
        <w:rPr>
          <w:i/>
          <w:sz w:val="24"/>
        </w:rPr>
        <w:t>Empirical Economics, </w:t>
      </w:r>
      <w:r>
        <w:rPr>
          <w:sz w:val="24"/>
        </w:rPr>
        <w:t>38(3), pp. 767-778.</w:t>
      </w:r>
    </w:p>
    <w:p>
      <w:pPr>
        <w:spacing w:line="360" w:lineRule="auto" w:before="137"/>
        <w:ind w:left="822" w:right="84" w:hanging="709"/>
        <w:jc w:val="left"/>
        <w:rPr>
          <w:i/>
          <w:sz w:val="24"/>
        </w:rPr>
      </w:pPr>
      <w:r>
        <w:rPr>
          <w:sz w:val="24"/>
        </w:rPr>
        <w:t>Hostland, D. &amp; Karam, P., 2006. </w:t>
      </w:r>
      <w:r>
        <w:rPr>
          <w:i/>
          <w:sz w:val="24"/>
        </w:rPr>
        <w:t>Assessing Debt Sustainability in Emerging Market Economies </w:t>
      </w:r>
      <w:r>
        <w:rPr>
          <w:i/>
          <w:sz w:val="24"/>
        </w:rPr>
        <w:t>Using Stochastic Simulation Methods.</w:t>
      </w:r>
    </w:p>
    <w:p>
      <w:pPr>
        <w:pStyle w:val="BodyText"/>
        <w:spacing w:before="4"/>
        <w:ind w:left="113" w:right="84"/>
      </w:pPr>
      <w:r>
        <w:rPr/>
        <w:t>Hughes, A., 2008a. Debt targets and fiscal sustainability in an era of monetary interdependence.</w:t>
      </w:r>
    </w:p>
    <w:p>
      <w:pPr>
        <w:pStyle w:val="BodyText"/>
        <w:spacing w:before="140"/>
        <w:ind w:left="822" w:right="84"/>
      </w:pPr>
      <w:r>
        <w:rPr>
          <w:i/>
        </w:rPr>
        <w:t>IEPP, </w:t>
      </w:r>
      <w:r>
        <w:rPr/>
        <w:t>Volumen 5, pp. 165 -187.</w:t>
      </w:r>
    </w:p>
    <w:p>
      <w:pPr>
        <w:pStyle w:val="BodyText"/>
        <w:spacing w:line="360" w:lineRule="auto" w:before="137"/>
        <w:ind w:left="822" w:right="84" w:hanging="709"/>
      </w:pPr>
      <w:r>
        <w:rPr/>
        <w:t>Hughes, A., 2008b. Post-Thatcher Fiscal Strategies in the UK: an Interpretation . En: S. J. Neck R, ed. </w:t>
      </w:r>
      <w:r>
        <w:rPr>
          <w:i/>
        </w:rPr>
        <w:t>Sustainability of Public Debt. </w:t>
      </w:r>
      <w:r>
        <w:rPr/>
        <w:t>s.l.:MIT, Cambridge.</w:t>
      </w:r>
    </w:p>
    <w:p>
      <w:pPr>
        <w:pStyle w:val="BodyText"/>
        <w:spacing w:line="360" w:lineRule="auto" w:before="4"/>
        <w:ind w:left="822" w:right="84" w:hanging="709"/>
      </w:pPr>
      <w:r>
        <w:rPr/>
        <w:t>Huppmann, D., 2011. The World Gas Market in - 2030 development scenarios using the Word Gas Model. </w:t>
      </w:r>
      <w:r>
        <w:rPr>
          <w:i/>
        </w:rPr>
        <w:t>Int.J. Global Energy Issues, </w:t>
      </w:r>
      <w:r>
        <w:rPr/>
        <w:t>35(1), pp. 64-84.</w:t>
      </w:r>
    </w:p>
    <w:p>
      <w:pPr>
        <w:pStyle w:val="BodyText"/>
        <w:spacing w:line="360" w:lineRule="auto" w:before="4"/>
        <w:ind w:left="822" w:right="119" w:hanging="709"/>
        <w:rPr>
          <w:i/>
        </w:rPr>
      </w:pPr>
      <w:r>
        <w:rPr/>
        <w:t>Husain, A., Tazhibayeva, K. &amp; Ter-Martirosyan, A., 2008. Fiscal Policy and Economic Cycles in Oil-Exporting Countries. </w:t>
      </w:r>
      <w:r>
        <w:rPr>
          <w:i/>
        </w:rPr>
        <w:t>IMF, WP/08/253.</w:t>
      </w:r>
    </w:p>
    <w:p>
      <w:pPr>
        <w:spacing w:line="360" w:lineRule="auto" w:before="4"/>
        <w:ind w:left="822" w:right="84" w:hanging="709"/>
        <w:jc w:val="left"/>
        <w:rPr>
          <w:sz w:val="24"/>
        </w:rPr>
      </w:pPr>
      <w:r>
        <w:rPr>
          <w:sz w:val="24"/>
        </w:rPr>
        <w:t>Hussain, N. &amp; Gunter, B., 2005. </w:t>
      </w:r>
      <w:r>
        <w:rPr>
          <w:i/>
          <w:sz w:val="24"/>
        </w:rPr>
        <w:t>External Shocks and the HIPC Initiative: Impacts on Growth and </w:t>
      </w:r>
      <w:r>
        <w:rPr>
          <w:i/>
          <w:sz w:val="24"/>
        </w:rPr>
        <w:t>Poverty in Africa, </w:t>
      </w:r>
      <w:r>
        <w:rPr>
          <w:sz w:val="24"/>
        </w:rPr>
        <w:t>s.l.: Blackwell Publishing Ltd.</w:t>
      </w:r>
    </w:p>
    <w:p>
      <w:pPr>
        <w:spacing w:before="4"/>
        <w:ind w:left="113" w:right="84" w:firstLine="0"/>
        <w:jc w:val="left"/>
        <w:rPr>
          <w:i/>
          <w:sz w:val="24"/>
        </w:rPr>
      </w:pPr>
      <w:r>
        <w:rPr>
          <w:sz w:val="24"/>
        </w:rPr>
        <w:t>Ibrahim, A., 2009. </w:t>
      </w:r>
      <w:r>
        <w:rPr>
          <w:i/>
          <w:sz w:val="24"/>
        </w:rPr>
        <w:t>Natural Gas Markets: how sensitive are they to the crude oil changes.</w:t>
      </w:r>
    </w:p>
    <w:p>
      <w:pPr>
        <w:spacing w:before="139"/>
        <w:ind w:left="113" w:right="84" w:firstLine="0"/>
        <w:jc w:val="left"/>
        <w:rPr>
          <w:i/>
          <w:sz w:val="24"/>
        </w:rPr>
      </w:pPr>
      <w:r>
        <w:rPr>
          <w:sz w:val="24"/>
        </w:rPr>
        <w:t>Ilzetzki, E., 2006. </w:t>
      </w:r>
      <w:r>
        <w:rPr>
          <w:i/>
          <w:sz w:val="24"/>
        </w:rPr>
        <w:t>Rent seeing distortions and procyclicality.</w:t>
      </w:r>
    </w:p>
    <w:p>
      <w:pPr>
        <w:spacing w:line="360" w:lineRule="auto" w:before="137"/>
        <w:ind w:left="822" w:right="185" w:hanging="709"/>
        <w:jc w:val="left"/>
        <w:rPr>
          <w:i/>
          <w:sz w:val="24"/>
        </w:rPr>
      </w:pPr>
      <w:r>
        <w:rPr>
          <w:sz w:val="24"/>
        </w:rPr>
        <w:t>Ilzetzki, E. &amp; Végh, C., 2008. </w:t>
      </w:r>
      <w:r>
        <w:rPr>
          <w:i/>
          <w:sz w:val="24"/>
        </w:rPr>
        <w:t>Procyclical Fiscal Policy in Developing Countries: Truth or </w:t>
      </w:r>
      <w:r>
        <w:rPr>
          <w:i/>
          <w:sz w:val="24"/>
        </w:rPr>
        <w:t>Fiction?</w:t>
      </w:r>
    </w:p>
    <w:p>
      <w:pPr>
        <w:spacing w:line="360" w:lineRule="auto" w:before="4"/>
        <w:ind w:left="822" w:right="4311" w:hanging="709"/>
        <w:jc w:val="left"/>
        <w:rPr>
          <w:sz w:val="24"/>
        </w:rPr>
      </w:pPr>
      <w:r>
        <w:rPr>
          <w:sz w:val="24"/>
        </w:rPr>
        <w:t>INE, 2011. </w:t>
      </w:r>
      <w:r>
        <w:rPr>
          <w:i/>
          <w:sz w:val="24"/>
        </w:rPr>
        <w:t>Instituto Nacional de Estadística. </w:t>
      </w:r>
      <w:r>
        <w:rPr>
          <w:sz w:val="24"/>
        </w:rPr>
        <w:t>[En línea] Available at: </w:t>
      </w:r>
      <w:hyperlink r:id="rId345">
        <w:r>
          <w:rPr>
            <w:sz w:val="24"/>
            <w:u w:val="single"/>
          </w:rPr>
          <w:t>www.ine.gob.bo</w:t>
        </w:r>
      </w:hyperlink>
    </w:p>
    <w:p>
      <w:pPr>
        <w:spacing w:before="4"/>
        <w:ind w:left="113" w:right="84" w:firstLine="0"/>
        <w:jc w:val="left"/>
        <w:rPr>
          <w:sz w:val="24"/>
        </w:rPr>
      </w:pPr>
      <w:r>
        <w:rPr>
          <w:sz w:val="24"/>
        </w:rPr>
        <w:t>INE, 2013. </w:t>
      </w:r>
      <w:r>
        <w:rPr>
          <w:i/>
          <w:sz w:val="24"/>
        </w:rPr>
        <w:t>Instituto Nacional de Estadística. </w:t>
      </w:r>
      <w:r>
        <w:rPr>
          <w:sz w:val="24"/>
        </w:rPr>
        <w:t>[En línea]</w:t>
      </w:r>
    </w:p>
    <w:p>
      <w:pPr>
        <w:pStyle w:val="BodyText"/>
        <w:spacing w:before="137"/>
        <w:ind w:left="822" w:right="84"/>
      </w:pPr>
      <w:r>
        <w:rPr/>
        <w:t>Available at: </w:t>
      </w:r>
      <w:hyperlink r:id="rId345">
        <w:r>
          <w:rPr>
            <w:u w:val="single"/>
          </w:rPr>
          <w:t>www.ine.gob.bo</w:t>
        </w:r>
      </w:hyperlink>
    </w:p>
    <w:p>
      <w:pPr>
        <w:pStyle w:val="BodyText"/>
        <w:spacing w:before="139"/>
        <w:ind w:left="822" w:right="84"/>
      </w:pPr>
      <w:r>
        <w:rPr/>
        <w:t>[Último acceso: 15 de enero Enero 2013].</w:t>
      </w:r>
    </w:p>
    <w:p>
      <w:pPr>
        <w:spacing w:line="360" w:lineRule="auto" w:before="137"/>
        <w:ind w:left="822" w:right="84" w:hanging="709"/>
        <w:jc w:val="left"/>
        <w:rPr>
          <w:i/>
          <w:sz w:val="24"/>
        </w:rPr>
      </w:pPr>
      <w:r>
        <w:rPr>
          <w:sz w:val="24"/>
        </w:rPr>
        <w:t>Izquierdo, A. D. C. &amp; Panizza, U., 2004. </w:t>
      </w:r>
      <w:r>
        <w:rPr>
          <w:i/>
          <w:sz w:val="24"/>
        </w:rPr>
        <w:t>Fiscal Sustainability in Emerging Market Countries with </w:t>
      </w:r>
      <w:r>
        <w:rPr>
          <w:i/>
          <w:sz w:val="24"/>
        </w:rPr>
        <w:t>an Application to Ecuador.</w:t>
      </w:r>
    </w:p>
    <w:p>
      <w:pPr>
        <w:spacing w:line="360" w:lineRule="auto" w:before="4"/>
        <w:ind w:left="822" w:right="115" w:hanging="709"/>
        <w:jc w:val="both"/>
        <w:rPr>
          <w:sz w:val="24"/>
        </w:rPr>
      </w:pPr>
      <w:r>
        <w:rPr>
          <w:sz w:val="24"/>
        </w:rPr>
        <w:t>Jemio, L. &amp; Wiebelt, M., 2003. ¿Existe Espacio para Políticas Anti-Shocks en Bolivia? Lecciones de un análisis basado en un Modelo de Equilibrio General Computable. </w:t>
      </w:r>
      <w:r>
        <w:rPr>
          <w:i/>
          <w:sz w:val="24"/>
        </w:rPr>
        <w:t>Instituto de </w:t>
      </w:r>
      <w:r>
        <w:rPr>
          <w:i/>
          <w:sz w:val="24"/>
        </w:rPr>
        <w:t>Investigaciones Socio Económicas iisec, documento de trabajo Nº 01/03, </w:t>
      </w:r>
      <w:r>
        <w:rPr>
          <w:sz w:val="24"/>
        </w:rPr>
        <w:t>pp. 1-47.</w:t>
      </w:r>
    </w:p>
    <w:p>
      <w:pPr>
        <w:spacing w:after="0" w:line="360" w:lineRule="auto"/>
        <w:jc w:val="both"/>
        <w:rPr>
          <w:sz w:val="24"/>
        </w:rPr>
        <w:sectPr>
          <w:pgSz w:w="12250" w:h="15850"/>
          <w:pgMar w:header="0" w:footer="977" w:top="1360" w:bottom="1220" w:left="880" w:right="1580"/>
        </w:sectPr>
      </w:pPr>
    </w:p>
    <w:p>
      <w:pPr>
        <w:pStyle w:val="BodyText"/>
        <w:spacing w:line="360" w:lineRule="auto" w:before="50"/>
        <w:ind w:left="822" w:right="84" w:hanging="709"/>
      </w:pPr>
      <w:r>
        <w:rPr/>
        <w:t>Jodice, D., 1980. Sources of Change in Third World Regimes for Foreign Direct Investment, 1968- 1976. </w:t>
      </w:r>
      <w:r>
        <w:rPr>
          <w:i/>
        </w:rPr>
        <w:t>International Organization, </w:t>
      </w:r>
      <w:r>
        <w:rPr/>
        <w:t>Volumen 34, pp. 177- 206.</w:t>
      </w:r>
    </w:p>
    <w:p>
      <w:pPr>
        <w:spacing w:before="6"/>
        <w:ind w:left="113" w:right="84" w:firstLine="0"/>
        <w:jc w:val="left"/>
        <w:rPr>
          <w:i/>
          <w:sz w:val="24"/>
        </w:rPr>
      </w:pPr>
      <w:r>
        <w:rPr>
          <w:sz w:val="24"/>
        </w:rPr>
        <w:t>Jones, S. &amp; Ocampo, J., 2009. </w:t>
      </w:r>
      <w:r>
        <w:rPr>
          <w:i/>
          <w:sz w:val="24"/>
        </w:rPr>
        <w:t>The financial crisis and its impact on developing countries.</w:t>
      </w:r>
    </w:p>
    <w:p>
      <w:pPr>
        <w:spacing w:line="360" w:lineRule="auto" w:before="137"/>
        <w:ind w:left="822" w:right="84" w:hanging="709"/>
        <w:jc w:val="left"/>
        <w:rPr>
          <w:i/>
          <w:sz w:val="24"/>
        </w:rPr>
      </w:pPr>
      <w:r>
        <w:rPr>
          <w:sz w:val="24"/>
        </w:rPr>
        <w:t>Josse, C. &amp; Neumann, A., 2006. </w:t>
      </w:r>
      <w:r>
        <w:rPr>
          <w:i/>
          <w:sz w:val="24"/>
        </w:rPr>
        <w:t>Transatlantic Natural Gas and Oil Price Relationships: An </w:t>
      </w:r>
      <w:r>
        <w:rPr>
          <w:i/>
          <w:sz w:val="24"/>
        </w:rPr>
        <w:t>Empirical Analysis.</w:t>
      </w:r>
    </w:p>
    <w:p>
      <w:pPr>
        <w:spacing w:before="4"/>
        <w:ind w:left="113" w:right="84" w:firstLine="0"/>
        <w:jc w:val="left"/>
        <w:rPr>
          <w:sz w:val="24"/>
        </w:rPr>
      </w:pPr>
      <w:r>
        <w:rPr>
          <w:sz w:val="24"/>
        </w:rPr>
        <w:t>Kaminsky, G., 2009. </w:t>
      </w:r>
      <w:r>
        <w:rPr>
          <w:i/>
          <w:sz w:val="24"/>
        </w:rPr>
        <w:t>Terms of Trade Shocks and Fiscal Cycles. </w:t>
      </w:r>
      <w:r>
        <w:rPr>
          <w:sz w:val="24"/>
        </w:rPr>
        <w:t>Sydney, 17–18 August., s.n.</w:t>
      </w:r>
    </w:p>
    <w:p>
      <w:pPr>
        <w:pStyle w:val="BodyText"/>
        <w:spacing w:line="360" w:lineRule="auto" w:before="139"/>
        <w:ind w:left="822" w:right="185" w:hanging="709"/>
      </w:pPr>
      <w:r>
        <w:rPr/>
        <w:t>Kao, C. &amp; Wan, J., 2009. Information transmission and market interactions across the Atlantic — an empirical study on the natural gas market. </w:t>
      </w:r>
      <w:r>
        <w:rPr>
          <w:i/>
        </w:rPr>
        <w:t>Energy Economics, </w:t>
      </w:r>
      <w:r>
        <w:rPr/>
        <w:t>31(1), pp. 152-161.</w:t>
      </w:r>
    </w:p>
    <w:p>
      <w:pPr>
        <w:pStyle w:val="BodyText"/>
        <w:spacing w:line="360" w:lineRule="auto" w:before="7"/>
        <w:ind w:left="822" w:right="84" w:hanging="709"/>
      </w:pPr>
      <w:r>
        <w:rPr/>
        <w:t>Kapopoulos, P. &amp; Lazaretou, S., 2011. Fiscal Policy Stance and Debt Sustainability in SEE countries: A Comparative Analysis. </w:t>
      </w:r>
      <w:r>
        <w:rPr>
          <w:i/>
        </w:rPr>
        <w:t>SEE Journal, </w:t>
      </w:r>
      <w:r>
        <w:rPr/>
        <w:t>pp. 55-66.</w:t>
      </w:r>
    </w:p>
    <w:p>
      <w:pPr>
        <w:pStyle w:val="BodyText"/>
        <w:spacing w:line="360" w:lineRule="auto" w:before="6"/>
        <w:ind w:left="822" w:right="119" w:hanging="709"/>
      </w:pPr>
      <w:r>
        <w:rPr/>
        <w:t>Kebede, Y. &amp; Marian, G., 2011. Testing for unit roots, causality, cointegration, and efficiency: The case of northwest US gas natural market. </w:t>
      </w:r>
      <w:r>
        <w:rPr>
          <w:i/>
        </w:rPr>
        <w:t>Energy, </w:t>
      </w:r>
      <w:r>
        <w:rPr/>
        <w:t>Volumen 36, pp. 3489-3500.</w:t>
      </w:r>
    </w:p>
    <w:p>
      <w:pPr>
        <w:spacing w:line="360" w:lineRule="auto" w:before="6"/>
        <w:ind w:left="822" w:right="84" w:hanging="709"/>
        <w:jc w:val="left"/>
        <w:rPr>
          <w:sz w:val="24"/>
        </w:rPr>
      </w:pPr>
      <w:r>
        <w:rPr>
          <w:sz w:val="24"/>
        </w:rPr>
        <w:t>Keynes, J., 1923. A tract on monetary reform. En: 1. edition, ed. </w:t>
      </w:r>
      <w:r>
        <w:rPr>
          <w:i/>
          <w:sz w:val="24"/>
        </w:rPr>
        <w:t>The collected writings of John </w:t>
      </w:r>
      <w:r>
        <w:rPr>
          <w:i/>
          <w:sz w:val="24"/>
        </w:rPr>
        <w:t>Maynard Keynes. </w:t>
      </w:r>
      <w:r>
        <w:rPr>
          <w:sz w:val="24"/>
        </w:rPr>
        <w:t>London.</w:t>
      </w:r>
    </w:p>
    <w:p>
      <w:pPr>
        <w:pStyle w:val="BodyText"/>
        <w:spacing w:line="360" w:lineRule="auto" w:before="6"/>
        <w:ind w:left="822" w:right="84" w:hanging="709"/>
      </w:pPr>
      <w:r>
        <w:rPr/>
        <w:t>Kjärstad, J. &amp; Jhonsson, F., 2007. Prospect of European gas market. </w:t>
      </w:r>
      <w:r>
        <w:rPr>
          <w:i/>
        </w:rPr>
        <w:t>Energy Policy, </w:t>
      </w:r>
      <w:r>
        <w:rPr/>
        <w:t>Volumen 35, pp. 869-888.</w:t>
      </w:r>
    </w:p>
    <w:p>
      <w:pPr>
        <w:spacing w:before="6"/>
        <w:ind w:left="113" w:right="84" w:firstLine="0"/>
        <w:jc w:val="left"/>
        <w:rPr>
          <w:i/>
          <w:sz w:val="24"/>
        </w:rPr>
      </w:pPr>
      <w:r>
        <w:rPr>
          <w:sz w:val="24"/>
        </w:rPr>
        <w:t>Kobrin, S., 1980. Foreign Enterprise and Forced Divestment in LDCs. </w:t>
      </w:r>
      <w:r>
        <w:rPr>
          <w:i/>
          <w:sz w:val="24"/>
        </w:rPr>
        <w:t>International Organizagion,</w:t>
      </w:r>
    </w:p>
    <w:p>
      <w:pPr>
        <w:pStyle w:val="BodyText"/>
        <w:spacing w:before="137"/>
        <w:ind w:left="822" w:right="84"/>
      </w:pPr>
      <w:r>
        <w:rPr/>
        <w:t>Volumen 34, pp. 65-88.</w:t>
      </w:r>
    </w:p>
    <w:p>
      <w:pPr>
        <w:spacing w:line="360" w:lineRule="auto" w:before="139"/>
        <w:ind w:left="822" w:right="185" w:hanging="709"/>
        <w:jc w:val="left"/>
        <w:rPr>
          <w:sz w:val="24"/>
        </w:rPr>
      </w:pPr>
      <w:r>
        <w:rPr>
          <w:sz w:val="24"/>
        </w:rPr>
        <w:t>Kose, M., 2002. Explaining Business Cycles in Small Open Economies. How much do world prices matter?. </w:t>
      </w:r>
      <w:r>
        <w:rPr>
          <w:i/>
          <w:sz w:val="24"/>
        </w:rPr>
        <w:t>Journal of international Economics, </w:t>
      </w:r>
      <w:r>
        <w:rPr>
          <w:sz w:val="24"/>
        </w:rPr>
        <w:t>Volumen 56, pp. 299-</w:t>
      </w:r>
      <w:r>
        <w:rPr>
          <w:spacing w:val="-7"/>
          <w:sz w:val="24"/>
        </w:rPr>
        <w:t> </w:t>
      </w:r>
      <w:r>
        <w:rPr>
          <w:sz w:val="24"/>
        </w:rPr>
        <w:t>327..</w:t>
      </w:r>
    </w:p>
    <w:p>
      <w:pPr>
        <w:spacing w:line="360" w:lineRule="auto" w:before="6"/>
        <w:ind w:left="822" w:right="185" w:hanging="709"/>
        <w:jc w:val="left"/>
        <w:rPr>
          <w:sz w:val="24"/>
        </w:rPr>
      </w:pPr>
      <w:r>
        <w:rPr>
          <w:sz w:val="24"/>
        </w:rPr>
        <w:t>Koutsoyanis, A., 2002. </w:t>
      </w:r>
      <w:r>
        <w:rPr>
          <w:i/>
          <w:sz w:val="24"/>
        </w:rPr>
        <w:t>Microeconomía moderna. </w:t>
      </w:r>
      <w:r>
        <w:rPr>
          <w:sz w:val="24"/>
        </w:rPr>
        <w:t>Primera reimpresión ed. Londres edición original, Buenos</w:t>
      </w:r>
      <w:r>
        <w:rPr>
          <w:spacing w:val="-5"/>
          <w:sz w:val="24"/>
        </w:rPr>
        <w:t> </w:t>
      </w:r>
      <w:r>
        <w:rPr>
          <w:sz w:val="24"/>
        </w:rPr>
        <w:t>Aires.</w:t>
      </w:r>
    </w:p>
    <w:p>
      <w:pPr>
        <w:pStyle w:val="BodyText"/>
        <w:spacing w:before="6"/>
        <w:ind w:left="113" w:right="84"/>
      </w:pPr>
      <w:r>
        <w:rPr/>
        <w:t>Kovacevic, A., 2009. The Impact of the Russia–Ukraine Gas Crisis in South Eastern Europe.</w:t>
      </w:r>
    </w:p>
    <w:p>
      <w:pPr>
        <w:spacing w:before="137"/>
        <w:ind w:left="822" w:right="84" w:firstLine="0"/>
        <w:jc w:val="left"/>
        <w:rPr>
          <w:i/>
          <w:sz w:val="24"/>
        </w:rPr>
      </w:pPr>
      <w:r>
        <w:rPr>
          <w:i/>
          <w:sz w:val="24"/>
        </w:rPr>
        <w:t>Oxford Institute for Energy Studies. NG 29, March 2009 .</w:t>
      </w:r>
    </w:p>
    <w:p>
      <w:pPr>
        <w:spacing w:line="360" w:lineRule="auto" w:before="137"/>
        <w:ind w:left="822" w:right="84" w:hanging="709"/>
        <w:jc w:val="left"/>
        <w:rPr>
          <w:i/>
          <w:sz w:val="24"/>
        </w:rPr>
      </w:pPr>
      <w:r>
        <w:rPr>
          <w:sz w:val="24"/>
        </w:rPr>
        <w:t>Krichene, N., 2005. </w:t>
      </w:r>
      <w:r>
        <w:rPr>
          <w:i/>
          <w:sz w:val="24"/>
        </w:rPr>
        <w:t>A Simultaneous Equation Model for World Crude Oil and Natural Gas </w:t>
      </w:r>
      <w:r>
        <w:rPr>
          <w:i/>
          <w:sz w:val="24"/>
        </w:rPr>
        <w:t>Markets.</w:t>
      </w:r>
    </w:p>
    <w:p>
      <w:pPr>
        <w:spacing w:line="360" w:lineRule="auto" w:before="4"/>
        <w:ind w:left="822" w:right="84" w:hanging="709"/>
        <w:jc w:val="left"/>
        <w:rPr>
          <w:i/>
          <w:sz w:val="24"/>
        </w:rPr>
      </w:pPr>
      <w:r>
        <w:rPr>
          <w:sz w:val="24"/>
        </w:rPr>
        <w:t>Kumah, F. &amp; Matovu, J., 2005. </w:t>
      </w:r>
      <w:r>
        <w:rPr>
          <w:i/>
          <w:sz w:val="24"/>
        </w:rPr>
        <w:t>Commodity Price Shocks and the Odds on Fiscal Performance: A </w:t>
      </w:r>
      <w:r>
        <w:rPr>
          <w:i/>
          <w:sz w:val="24"/>
        </w:rPr>
        <w:t>Structural VAR Approach.</w:t>
      </w:r>
    </w:p>
    <w:p>
      <w:pPr>
        <w:pStyle w:val="BodyText"/>
        <w:spacing w:line="360" w:lineRule="auto" w:before="4"/>
        <w:ind w:left="822" w:right="117" w:hanging="709"/>
        <w:jc w:val="both"/>
      </w:pPr>
      <w:r>
        <w:rPr/>
        <w:t>Kumar, P., Narayan, S. &amp; Smyth, R., 2008. Are Shocks permanent or temporary? Panel data evidence from crude oil, an NGL production in 60 countries. </w:t>
      </w:r>
      <w:r>
        <w:rPr>
          <w:i/>
        </w:rPr>
        <w:t>Energy economics, </w:t>
      </w:r>
      <w:r>
        <w:rPr/>
        <w:t>Volumen 30, pp. 919 -938.</w:t>
      </w:r>
    </w:p>
    <w:p>
      <w:pPr>
        <w:spacing w:after="0" w:line="360" w:lineRule="auto"/>
        <w:jc w:val="both"/>
        <w:sectPr>
          <w:pgSz w:w="12250" w:h="15850"/>
          <w:pgMar w:header="0" w:footer="977" w:top="1360" w:bottom="1220" w:left="880" w:right="1580"/>
        </w:sectPr>
      </w:pPr>
    </w:p>
    <w:p>
      <w:pPr>
        <w:pStyle w:val="BodyText"/>
        <w:spacing w:line="360" w:lineRule="auto" w:before="50"/>
        <w:ind w:left="822" w:right="114" w:hanging="709"/>
        <w:jc w:val="both"/>
      </w:pPr>
      <w:r>
        <w:rPr/>
        <w:t>Kuralbayeya &amp; Vines, 2008. Shocks to Terms of Trade and Risk-premium in an Intertemporal Model: The Dutch Disease and a Dutch Party. </w:t>
      </w:r>
      <w:r>
        <w:rPr>
          <w:i/>
        </w:rPr>
        <w:t>Open Econ Review, </w:t>
      </w:r>
      <w:r>
        <w:rPr/>
        <w:t>Volumen 19, pp. 277 - 333.</w:t>
      </w:r>
    </w:p>
    <w:p>
      <w:pPr>
        <w:spacing w:line="360" w:lineRule="auto" w:before="4"/>
        <w:ind w:left="822" w:right="116" w:hanging="709"/>
        <w:jc w:val="both"/>
        <w:rPr>
          <w:sz w:val="24"/>
        </w:rPr>
      </w:pPr>
      <w:r>
        <w:rPr>
          <w:sz w:val="24"/>
        </w:rPr>
        <w:t>Kydland, F. &amp; Prescott, E., 1990. Business Cycles: Real Facts and Monetary Myth. </w:t>
      </w:r>
      <w:r>
        <w:rPr>
          <w:i/>
          <w:sz w:val="24"/>
        </w:rPr>
        <w:t>Federal </w:t>
      </w:r>
      <w:r>
        <w:rPr>
          <w:i/>
          <w:sz w:val="24"/>
        </w:rPr>
        <w:t>Reserve Bank of Minneapolis Quarterly Review, </w:t>
      </w:r>
      <w:r>
        <w:rPr>
          <w:sz w:val="24"/>
        </w:rPr>
        <w:t>14(2), pp. 3-18.</w:t>
      </w:r>
    </w:p>
    <w:p>
      <w:pPr>
        <w:spacing w:line="360" w:lineRule="auto" w:before="4"/>
        <w:ind w:left="113" w:right="121" w:firstLine="0"/>
        <w:jc w:val="right"/>
        <w:rPr>
          <w:sz w:val="24"/>
        </w:rPr>
      </w:pPr>
      <w:r>
        <w:rPr>
          <w:w w:val="105"/>
          <w:sz w:val="24"/>
        </w:rPr>
        <w:t>Labra, A., 1980. </w:t>
      </w:r>
      <w:r>
        <w:rPr>
          <w:i/>
          <w:w w:val="105"/>
          <w:sz w:val="24"/>
        </w:rPr>
        <w:t>Public Enterprise in an Underdeveloped Economy.     </w:t>
      </w:r>
      <w:r>
        <w:rPr>
          <w:w w:val="120"/>
          <w:sz w:val="24"/>
        </w:rPr>
        <w:t>Y</w:t>
      </w:r>
      <w:r>
        <w:rPr>
          <w:spacing w:val="64"/>
          <w:w w:val="120"/>
          <w:sz w:val="24"/>
        </w:rPr>
        <w:t> </w:t>
      </w:r>
      <w:r>
        <w:rPr>
          <w:w w:val="120"/>
          <w:sz w:val="24"/>
        </w:rPr>
        <w:t>:    </w:t>
      </w:r>
      <w:r>
        <w:rPr>
          <w:spacing w:val="20"/>
          <w:w w:val="120"/>
          <w:sz w:val="24"/>
        </w:rPr>
        <w:t> </w:t>
      </w:r>
      <w:r>
        <w:rPr>
          <w:w w:val="120"/>
          <w:sz w:val="24"/>
        </w:rPr>
        <w:t>‘</w:t>
      </w:r>
      <w:r>
        <w:rPr>
          <w:w w:val="155"/>
          <w:sz w:val="24"/>
        </w:rPr>
        <w:t> </w:t>
      </w:r>
      <w:r>
        <w:rPr>
          <w:sz w:val="24"/>
        </w:rPr>
        <w:t> </w:t>
      </w:r>
      <w:r>
        <w:rPr>
          <w:w w:val="222"/>
          <w:sz w:val="24"/>
        </w:rPr>
        <w:t> </w:t>
      </w:r>
      <w:r>
        <w:rPr>
          <w:w w:val="155"/>
          <w:sz w:val="24"/>
        </w:rPr>
        <w:t> </w:t>
      </w:r>
      <w:r>
        <w:rPr>
          <w:spacing w:val="-2"/>
          <w:w w:val="155"/>
          <w:sz w:val="24"/>
        </w:rPr>
        <w:t> </w:t>
      </w:r>
      <w:r>
        <w:rPr>
          <w:w w:val="137"/>
          <w:sz w:val="24"/>
        </w:rPr>
        <w:t>   </w:t>
      </w:r>
      <w:r>
        <w:rPr>
          <w:w w:val="105"/>
          <w:sz w:val="24"/>
        </w:rPr>
        <w:t>Lanteri, L., 2008. Choques de precios de materias primas, desempeño fiscal y</w:t>
      </w:r>
      <w:r>
        <w:rPr>
          <w:spacing w:val="-34"/>
          <w:w w:val="105"/>
          <w:sz w:val="24"/>
        </w:rPr>
        <w:t> </w:t>
      </w:r>
      <w:r>
        <w:rPr>
          <w:w w:val="105"/>
          <w:sz w:val="24"/>
        </w:rPr>
        <w:t>crecimiento,</w:t>
      </w:r>
      <w:r>
        <w:rPr>
          <w:spacing w:val="-3"/>
          <w:w w:val="105"/>
          <w:sz w:val="24"/>
        </w:rPr>
        <w:t> </w:t>
      </w:r>
      <w:r>
        <w:rPr>
          <w:w w:val="105"/>
          <w:sz w:val="24"/>
        </w:rPr>
        <w:t>una</w:t>
      </w:r>
      <w:r>
        <w:rPr>
          <w:sz w:val="24"/>
        </w:rPr>
        <w:t> </w:t>
      </w:r>
      <w:r>
        <w:rPr>
          <w:w w:val="105"/>
          <w:sz w:val="24"/>
        </w:rPr>
        <w:t>propuesta</w:t>
      </w:r>
      <w:r>
        <w:rPr>
          <w:spacing w:val="-41"/>
          <w:w w:val="105"/>
          <w:sz w:val="24"/>
        </w:rPr>
        <w:t> </w:t>
      </w:r>
      <w:r>
        <w:rPr>
          <w:w w:val="105"/>
          <w:sz w:val="24"/>
        </w:rPr>
        <w:t>de</w:t>
      </w:r>
      <w:r>
        <w:rPr>
          <w:spacing w:val="-41"/>
          <w:w w:val="105"/>
          <w:sz w:val="24"/>
        </w:rPr>
        <w:t> </w:t>
      </w:r>
      <w:r>
        <w:rPr>
          <w:w w:val="105"/>
          <w:sz w:val="24"/>
        </w:rPr>
        <w:t>Varianza</w:t>
      </w:r>
      <w:r>
        <w:rPr>
          <w:spacing w:val="-42"/>
          <w:w w:val="105"/>
          <w:sz w:val="24"/>
        </w:rPr>
        <w:t> </w:t>
      </w:r>
      <w:r>
        <w:rPr>
          <w:w w:val="105"/>
          <w:sz w:val="24"/>
        </w:rPr>
        <w:t>Estructural</w:t>
      </w:r>
      <w:r>
        <w:rPr>
          <w:spacing w:val="-41"/>
          <w:w w:val="105"/>
          <w:sz w:val="24"/>
        </w:rPr>
        <w:t> </w:t>
      </w:r>
      <w:r>
        <w:rPr>
          <w:w w:val="105"/>
          <w:sz w:val="24"/>
        </w:rPr>
        <w:t>para</w:t>
      </w:r>
      <w:r>
        <w:rPr>
          <w:spacing w:val="-42"/>
          <w:w w:val="105"/>
          <w:sz w:val="24"/>
        </w:rPr>
        <w:t> </w:t>
      </w:r>
      <w:r>
        <w:rPr>
          <w:w w:val="105"/>
          <w:sz w:val="24"/>
        </w:rPr>
        <w:t>la</w:t>
      </w:r>
      <w:r>
        <w:rPr>
          <w:spacing w:val="-41"/>
          <w:w w:val="105"/>
          <w:sz w:val="24"/>
        </w:rPr>
        <w:t> </w:t>
      </w:r>
      <w:r>
        <w:rPr>
          <w:w w:val="105"/>
          <w:sz w:val="24"/>
        </w:rPr>
        <w:t>economía</w:t>
      </w:r>
      <w:r>
        <w:rPr>
          <w:spacing w:val="-41"/>
          <w:w w:val="105"/>
          <w:sz w:val="24"/>
        </w:rPr>
        <w:t> </w:t>
      </w:r>
      <w:r>
        <w:rPr>
          <w:w w:val="105"/>
          <w:sz w:val="24"/>
        </w:rPr>
        <w:t>argentina.</w:t>
      </w:r>
      <w:r>
        <w:rPr>
          <w:spacing w:val="-40"/>
          <w:w w:val="105"/>
          <w:sz w:val="24"/>
        </w:rPr>
        <w:t> </w:t>
      </w:r>
      <w:r>
        <w:rPr>
          <w:i/>
          <w:w w:val="105"/>
          <w:sz w:val="24"/>
        </w:rPr>
        <w:t>Estudios</w:t>
      </w:r>
      <w:r>
        <w:rPr>
          <w:i/>
          <w:spacing w:val="-41"/>
          <w:w w:val="105"/>
          <w:sz w:val="24"/>
        </w:rPr>
        <w:t> </w:t>
      </w:r>
      <w:r>
        <w:rPr>
          <w:i/>
          <w:w w:val="105"/>
          <w:sz w:val="24"/>
        </w:rPr>
        <w:t>Económicos,</w:t>
      </w:r>
      <w:r>
        <w:rPr>
          <w:i/>
          <w:spacing w:val="-41"/>
          <w:w w:val="105"/>
          <w:sz w:val="24"/>
        </w:rPr>
        <w:t> </w:t>
      </w:r>
      <w:r>
        <w:rPr>
          <w:w w:val="105"/>
          <w:sz w:val="24"/>
        </w:rPr>
        <w:t>23(2),</w:t>
      </w:r>
    </w:p>
    <w:p>
      <w:pPr>
        <w:pStyle w:val="BodyText"/>
        <w:spacing w:before="7"/>
        <w:ind w:left="822" w:right="84"/>
      </w:pPr>
      <w:r>
        <w:rPr/>
        <w:t>pp. 163 -202.</w:t>
      </w:r>
    </w:p>
    <w:p>
      <w:pPr>
        <w:pStyle w:val="BodyText"/>
        <w:spacing w:line="360" w:lineRule="auto" w:before="137"/>
        <w:ind w:left="822" w:right="126" w:hanging="709"/>
        <w:jc w:val="both"/>
      </w:pPr>
      <w:r>
        <w:rPr/>
        <w:t>Lanteri, L., 2009a. Choques externos y fluctuaciones macroeconómicas, alguna evidencia para la economía Argentina. </w:t>
      </w:r>
      <w:r>
        <w:rPr>
          <w:i/>
        </w:rPr>
        <w:t>Análisis Económico, </w:t>
      </w:r>
      <w:r>
        <w:rPr/>
        <w:t>XXIV(57), pp. 255-275.</w:t>
      </w:r>
    </w:p>
    <w:p>
      <w:pPr>
        <w:pStyle w:val="BodyText"/>
        <w:spacing w:line="360" w:lineRule="auto" w:before="4"/>
        <w:ind w:left="822" w:right="114" w:hanging="709"/>
        <w:jc w:val="both"/>
      </w:pPr>
      <w:r>
        <w:rPr/>
        <w:t>Lanteri, L., 2009b. Términos de intercambio externos y balanza comercial, Alguna evidencia para la economía Argentina. </w:t>
      </w:r>
      <w:r>
        <w:rPr>
          <w:i/>
        </w:rPr>
        <w:t>economía mexicana nueva época, </w:t>
      </w:r>
      <w:r>
        <w:rPr/>
        <w:t>XVIII(2), pp. 221- 248.</w:t>
      </w:r>
    </w:p>
    <w:p>
      <w:pPr>
        <w:pStyle w:val="BodyText"/>
        <w:spacing w:line="360" w:lineRule="auto" w:before="4"/>
        <w:ind w:left="822" w:right="122" w:hanging="709"/>
        <w:jc w:val="both"/>
      </w:pPr>
      <w:r>
        <w:rPr/>
        <w:t>Lanteri, L., 2010. Determinantes de los precios reales del petróleo y de las materias primas no petroleras, 1980:1-2009:3. </w:t>
      </w:r>
      <w:r>
        <w:rPr>
          <w:i/>
        </w:rPr>
        <w:t>Análisis Económico, </w:t>
      </w:r>
      <w:r>
        <w:rPr/>
        <w:t>XXV(59), pp. 99-120.</w:t>
      </w:r>
    </w:p>
    <w:p>
      <w:pPr>
        <w:spacing w:line="360" w:lineRule="auto" w:before="4"/>
        <w:ind w:left="822" w:right="119" w:hanging="709"/>
        <w:jc w:val="both"/>
        <w:rPr>
          <w:sz w:val="24"/>
        </w:rPr>
      </w:pPr>
      <w:r>
        <w:rPr>
          <w:sz w:val="24"/>
        </w:rPr>
        <w:t>Larraín, F. &amp; Sachs, J., 2002. Bienes transables y no transables. En: </w:t>
      </w:r>
      <w:r>
        <w:rPr>
          <w:i/>
          <w:sz w:val="24"/>
        </w:rPr>
        <w:t>Macroenomía en la economía </w:t>
      </w:r>
      <w:r>
        <w:rPr>
          <w:i/>
          <w:sz w:val="24"/>
        </w:rPr>
        <w:t>global. </w:t>
      </w:r>
      <w:r>
        <w:rPr>
          <w:sz w:val="24"/>
        </w:rPr>
        <w:t>2da. ed. s.l.:Prentice Hall &amp; Pearson Education, pp. 658-665.</w:t>
      </w:r>
    </w:p>
    <w:p>
      <w:pPr>
        <w:spacing w:line="360" w:lineRule="auto" w:before="4"/>
        <w:ind w:left="822" w:right="119" w:hanging="709"/>
        <w:jc w:val="both"/>
        <w:rPr>
          <w:sz w:val="24"/>
        </w:rPr>
      </w:pPr>
      <w:r>
        <w:rPr>
          <w:sz w:val="24"/>
        </w:rPr>
        <w:t>Larraín &amp; Sachs, 2002. </w:t>
      </w:r>
      <w:r>
        <w:rPr>
          <w:i/>
          <w:sz w:val="24"/>
        </w:rPr>
        <w:t>Macroeconomía en la economía global. </w:t>
      </w:r>
      <w:r>
        <w:rPr>
          <w:sz w:val="24"/>
        </w:rPr>
        <w:t>Segunda ed. Buenos Aires: Prentice Hall y Pearson education.</w:t>
      </w:r>
    </w:p>
    <w:p>
      <w:pPr>
        <w:spacing w:before="4"/>
        <w:ind w:left="113" w:right="84" w:firstLine="0"/>
        <w:jc w:val="left"/>
        <w:rPr>
          <w:sz w:val="24"/>
        </w:rPr>
      </w:pPr>
      <w:r>
        <w:rPr>
          <w:sz w:val="24"/>
        </w:rPr>
        <w:t>Leeper, E., 2010. </w:t>
      </w:r>
      <w:r>
        <w:rPr>
          <w:i/>
          <w:sz w:val="24"/>
        </w:rPr>
        <w:t>Monetary Science fiscal alchemy, </w:t>
      </w:r>
      <w:r>
        <w:rPr>
          <w:sz w:val="24"/>
        </w:rPr>
        <w:t>s.l.: Dummy, D.</w:t>
      </w:r>
    </w:p>
    <w:p>
      <w:pPr>
        <w:pStyle w:val="BodyText"/>
        <w:spacing w:line="360" w:lineRule="auto" w:before="139"/>
        <w:ind w:left="822" w:right="124" w:hanging="709"/>
        <w:jc w:val="both"/>
      </w:pPr>
      <w:r>
        <w:rPr/>
        <w:t>Letendre, M. &amp; Luo, D., 2007. Investment-specific shocks and external balances in a small open economy model. </w:t>
      </w:r>
      <w:r>
        <w:rPr>
          <w:i/>
        </w:rPr>
        <w:t>Canadian Journal of Economics, </w:t>
      </w:r>
      <w:r>
        <w:rPr/>
        <w:t>40(2), pp. 650 -678.</w:t>
      </w:r>
    </w:p>
    <w:p>
      <w:pPr>
        <w:spacing w:line="360" w:lineRule="auto" w:before="6"/>
        <w:ind w:left="822" w:right="115" w:hanging="709"/>
        <w:jc w:val="both"/>
        <w:rPr>
          <w:sz w:val="24"/>
        </w:rPr>
      </w:pPr>
      <w:r>
        <w:rPr>
          <w:sz w:val="24"/>
        </w:rPr>
        <w:t>Levin, J., 2000. </w:t>
      </w:r>
      <w:r>
        <w:rPr>
          <w:i/>
          <w:sz w:val="24"/>
        </w:rPr>
        <w:t>Adjustment to External Shocks: Kenya 1986-1995, </w:t>
      </w:r>
      <w:r>
        <w:rPr>
          <w:sz w:val="24"/>
        </w:rPr>
        <w:t>s.l.: Blackwell Publishers, Oxford OX4 1JF, Malden.</w:t>
      </w:r>
    </w:p>
    <w:p>
      <w:pPr>
        <w:pStyle w:val="BodyText"/>
        <w:spacing w:line="360" w:lineRule="auto" w:before="4"/>
        <w:ind w:left="822" w:right="122" w:hanging="709"/>
        <w:jc w:val="both"/>
      </w:pPr>
      <w:r>
        <w:rPr/>
        <w:t>Lewis, T. R., Matthews, S. A. &amp; Burness, H. S., 1979. Monopoly and the Rate of Extraction of Exhaustible Resources: Note. </w:t>
      </w:r>
      <w:r>
        <w:rPr>
          <w:i/>
        </w:rPr>
        <w:t>American Economic Review, </w:t>
      </w:r>
      <w:r>
        <w:rPr/>
        <w:t>Volumen 69, pp. 227-230.</w:t>
      </w:r>
    </w:p>
    <w:p>
      <w:pPr>
        <w:spacing w:line="360" w:lineRule="auto" w:before="4"/>
        <w:ind w:left="822" w:right="123" w:hanging="709"/>
        <w:jc w:val="both"/>
        <w:rPr>
          <w:sz w:val="24"/>
        </w:rPr>
      </w:pPr>
      <w:r>
        <w:rPr>
          <w:sz w:val="24"/>
        </w:rPr>
        <w:t>Linnemann, L. &amp; Schabert, A., 2012. Fiscal rules, interest payments on debt, and the irrevelance of the Taylor Principle. </w:t>
      </w:r>
      <w:r>
        <w:rPr>
          <w:i/>
          <w:sz w:val="24"/>
        </w:rPr>
        <w:t>Scottish Journal of Political Economy, </w:t>
      </w:r>
      <w:r>
        <w:rPr>
          <w:sz w:val="24"/>
        </w:rPr>
        <w:t>59(3), pp. 250-265.</w:t>
      </w:r>
    </w:p>
    <w:p>
      <w:pPr>
        <w:pStyle w:val="BodyText"/>
        <w:spacing w:line="360" w:lineRule="auto" w:before="4"/>
        <w:ind w:left="822" w:right="118" w:hanging="709"/>
        <w:jc w:val="both"/>
      </w:pPr>
      <w:r>
        <w:rPr/>
        <w:t>Llinás, M., 2002. Incidencia de la volatilidad de los precios del petróleo en la determinación del ciclo económico colombiano. </w:t>
      </w:r>
      <w:r>
        <w:rPr>
          <w:i/>
        </w:rPr>
        <w:t>Desarrollo y Sociedad, </w:t>
      </w:r>
      <w:r>
        <w:rPr/>
        <w:t>Issue 50, pp. 1- 66.</w:t>
      </w:r>
    </w:p>
    <w:p>
      <w:pPr>
        <w:spacing w:after="0" w:line="360" w:lineRule="auto"/>
        <w:jc w:val="both"/>
        <w:sectPr>
          <w:pgSz w:w="12250" w:h="15850"/>
          <w:pgMar w:header="0" w:footer="977" w:top="1360" w:bottom="1220" w:left="880" w:right="1580"/>
        </w:sectPr>
      </w:pPr>
    </w:p>
    <w:p>
      <w:pPr>
        <w:pStyle w:val="BodyText"/>
        <w:spacing w:line="360" w:lineRule="auto" w:before="50"/>
        <w:ind w:left="822" w:right="116" w:hanging="709"/>
        <w:jc w:val="both"/>
      </w:pPr>
      <w:r>
        <w:rPr/>
        <w:t>Lochner, S. &amp; Bothe, D., 2009. The development of natural gas supply costs to Europe, The  United States, Japan in a globalizing gas market- Model based analisys until 2030. </w:t>
      </w:r>
      <w:r>
        <w:rPr>
          <w:i/>
        </w:rPr>
        <w:t>Energy </w:t>
      </w:r>
      <w:r>
        <w:rPr>
          <w:i/>
        </w:rPr>
        <w:t>Policy, </w:t>
      </w:r>
      <w:r>
        <w:rPr/>
        <w:t>Volumen 39, pp.</w:t>
      </w:r>
      <w:r>
        <w:rPr>
          <w:spacing w:val="-3"/>
        </w:rPr>
        <w:t> </w:t>
      </w:r>
      <w:r>
        <w:rPr/>
        <w:t>1518-1528.</w:t>
      </w:r>
    </w:p>
    <w:p>
      <w:pPr>
        <w:pStyle w:val="BodyText"/>
        <w:spacing w:before="4"/>
        <w:ind w:left="113" w:right="84"/>
      </w:pPr>
      <w:r>
        <w:rPr/>
        <w:t>Lohmann,  S.,  1992.  Optimal  Commitment  in  Monetary  Policy:  Credibility  versus Flexibility.</w:t>
      </w:r>
    </w:p>
    <w:p>
      <w:pPr>
        <w:spacing w:before="139"/>
        <w:ind w:left="822" w:right="84" w:firstLine="0"/>
        <w:jc w:val="left"/>
        <w:rPr>
          <w:sz w:val="24"/>
        </w:rPr>
      </w:pPr>
      <w:r>
        <w:rPr>
          <w:i/>
          <w:sz w:val="24"/>
        </w:rPr>
        <w:t>American Economic Review,, </w:t>
      </w:r>
      <w:r>
        <w:rPr>
          <w:sz w:val="24"/>
        </w:rPr>
        <w:t>Volumen 82, p. 273–86..</w:t>
      </w:r>
    </w:p>
    <w:p>
      <w:pPr>
        <w:spacing w:line="360" w:lineRule="auto" w:before="137"/>
        <w:ind w:left="822" w:right="84" w:hanging="709"/>
        <w:jc w:val="left"/>
        <w:rPr>
          <w:i/>
          <w:sz w:val="24"/>
        </w:rPr>
      </w:pPr>
      <w:r>
        <w:rPr>
          <w:sz w:val="24"/>
        </w:rPr>
        <w:t>Lora, E., Powell, A. &amp; Tavella, P., 2011. </w:t>
      </w:r>
      <w:r>
        <w:rPr>
          <w:i/>
          <w:sz w:val="24"/>
        </w:rPr>
        <w:t>¿Qué efecto inflacionario tendrá el shock de precios de </w:t>
      </w:r>
      <w:r>
        <w:rPr>
          <w:i/>
          <w:sz w:val="24"/>
        </w:rPr>
        <w:t>alimentos de América Latina?</w:t>
      </w:r>
    </w:p>
    <w:p>
      <w:pPr>
        <w:spacing w:before="4"/>
        <w:ind w:left="113" w:right="84" w:firstLine="0"/>
        <w:jc w:val="left"/>
        <w:rPr>
          <w:i/>
          <w:sz w:val="24"/>
        </w:rPr>
      </w:pPr>
      <w:r>
        <w:rPr>
          <w:sz w:val="24"/>
        </w:rPr>
        <w:t>Lora, O., Mendoza, R. &amp; Quiroga, T., 2002. </w:t>
      </w:r>
      <w:r>
        <w:rPr>
          <w:i/>
          <w:sz w:val="24"/>
        </w:rPr>
        <w:t>Sostenibilidad del Endeudamiento Público en Bolivia.</w:t>
      </w:r>
    </w:p>
    <w:p>
      <w:pPr>
        <w:pStyle w:val="BodyText"/>
        <w:spacing w:before="140"/>
        <w:ind w:left="822" w:right="84"/>
      </w:pPr>
      <w:r>
        <w:rPr/>
        <w:t>Santiago de Chile, s.n., pp. 44-86.</w:t>
      </w:r>
    </w:p>
    <w:p>
      <w:pPr>
        <w:spacing w:before="137"/>
        <w:ind w:left="113" w:right="84" w:firstLine="0"/>
        <w:jc w:val="left"/>
        <w:rPr>
          <w:sz w:val="24"/>
        </w:rPr>
      </w:pPr>
      <w:r>
        <w:rPr>
          <w:sz w:val="24"/>
        </w:rPr>
        <w:t>Loría, E., 2007. </w:t>
      </w:r>
      <w:r>
        <w:rPr>
          <w:i/>
          <w:sz w:val="24"/>
        </w:rPr>
        <w:t>Econometría con aplicaciones. </w:t>
      </w:r>
      <w:r>
        <w:rPr>
          <w:sz w:val="24"/>
        </w:rPr>
        <w:t>Primera ed. México: Pearson Education.</w:t>
      </w:r>
    </w:p>
    <w:p>
      <w:pPr>
        <w:spacing w:before="139"/>
        <w:ind w:left="113" w:right="84" w:firstLine="0"/>
        <w:jc w:val="left"/>
        <w:rPr>
          <w:i/>
          <w:sz w:val="24"/>
        </w:rPr>
      </w:pPr>
      <w:r>
        <w:rPr>
          <w:sz w:val="24"/>
        </w:rPr>
        <w:t>Loría, E.  &amp; Salas,  E.,  2013.  </w:t>
      </w:r>
      <w:r>
        <w:rPr>
          <w:i/>
          <w:sz w:val="24"/>
        </w:rPr>
        <w:t>Ciclos, crecimiento económico  y crisis  en  México, 1980  -     2012.</w:t>
      </w:r>
    </w:p>
    <w:p>
      <w:pPr>
        <w:pStyle w:val="BodyText"/>
        <w:spacing w:before="137"/>
        <w:ind w:left="822" w:right="84"/>
      </w:pPr>
      <w:r>
        <w:rPr/>
        <w:t>Toluca, Edo. de México.</w:t>
      </w:r>
    </w:p>
    <w:p>
      <w:pPr>
        <w:spacing w:line="360" w:lineRule="auto" w:before="139"/>
        <w:ind w:left="822" w:right="84" w:hanging="709"/>
        <w:jc w:val="left"/>
        <w:rPr>
          <w:sz w:val="24"/>
        </w:rPr>
      </w:pPr>
      <w:r>
        <w:rPr>
          <w:sz w:val="24"/>
        </w:rPr>
        <w:t>Loza, G., 2002. El shock de precios de los productos básicos en Bolivia. </w:t>
      </w:r>
      <w:r>
        <w:rPr>
          <w:i/>
          <w:sz w:val="24"/>
        </w:rPr>
        <w:t>Revista de la Cepal Nº 76, </w:t>
      </w:r>
      <w:r>
        <w:rPr>
          <w:i/>
          <w:sz w:val="24"/>
        </w:rPr>
        <w:t>mes de abril, </w:t>
      </w:r>
      <w:r>
        <w:rPr>
          <w:sz w:val="24"/>
        </w:rPr>
        <w:t>pp. 179-196.</w:t>
      </w:r>
    </w:p>
    <w:p>
      <w:pPr>
        <w:spacing w:line="360" w:lineRule="auto" w:before="6"/>
        <w:ind w:left="822" w:right="119" w:hanging="709"/>
        <w:jc w:val="left"/>
        <w:rPr>
          <w:i/>
          <w:sz w:val="24"/>
        </w:rPr>
      </w:pPr>
      <w:r>
        <w:rPr>
          <w:sz w:val="24"/>
        </w:rPr>
        <w:t>Lozano, I. &amp; Cabrera, E., 2009. </w:t>
      </w:r>
      <w:r>
        <w:rPr>
          <w:i/>
          <w:sz w:val="24"/>
        </w:rPr>
        <w:t>Una nota sobre la sostenibilidad fiscal y el nexo entre los ingresos </w:t>
      </w:r>
      <w:r>
        <w:rPr>
          <w:i/>
          <w:sz w:val="24"/>
        </w:rPr>
        <w:t>y gastos del Gobierno Colombiano.</w:t>
      </w:r>
    </w:p>
    <w:p>
      <w:pPr>
        <w:spacing w:before="6"/>
        <w:ind w:left="113" w:right="84" w:firstLine="0"/>
        <w:jc w:val="left"/>
        <w:rPr>
          <w:i/>
          <w:sz w:val="24"/>
        </w:rPr>
      </w:pPr>
      <w:r>
        <w:rPr>
          <w:sz w:val="24"/>
        </w:rPr>
        <w:t>Lozano, I. &amp; Toro, J., 2007. </w:t>
      </w:r>
      <w:r>
        <w:rPr>
          <w:i/>
          <w:sz w:val="24"/>
        </w:rPr>
        <w:t>Fiscal Policy Throughout the Cycle: The Colombian Experience.</w:t>
      </w:r>
    </w:p>
    <w:p>
      <w:pPr>
        <w:spacing w:before="137"/>
        <w:ind w:left="113" w:right="84" w:firstLine="0"/>
        <w:jc w:val="left"/>
        <w:rPr>
          <w:i/>
          <w:sz w:val="24"/>
        </w:rPr>
      </w:pPr>
      <w:r>
        <w:rPr>
          <w:sz w:val="24"/>
        </w:rPr>
        <w:t>Lucas, R., 1988. On the mecanichs of Economic Development. </w:t>
      </w:r>
      <w:r>
        <w:rPr>
          <w:i/>
          <w:sz w:val="24"/>
        </w:rPr>
        <w:t>Journal of Monetary Economics,</w:t>
      </w:r>
    </w:p>
    <w:p>
      <w:pPr>
        <w:pStyle w:val="BodyText"/>
        <w:spacing w:before="139"/>
        <w:ind w:left="822" w:right="84"/>
      </w:pPr>
      <w:r>
        <w:rPr/>
        <w:t>Volumen 22, pp. 168-191.</w:t>
      </w:r>
    </w:p>
    <w:p>
      <w:pPr>
        <w:pStyle w:val="BodyText"/>
        <w:spacing w:before="137"/>
        <w:ind w:left="113" w:right="84"/>
      </w:pPr>
      <w:r>
        <w:rPr/>
        <w:t>Maguirre,  S.  &amp;  Hardy,  C.,  2009.  Discourse  and  deinstitutionalization:  The  decline  of </w:t>
      </w:r>
      <w:r>
        <w:rPr>
          <w:spacing w:val="54"/>
        </w:rPr>
        <w:t> </w:t>
      </w:r>
      <w:r>
        <w:rPr/>
        <w:t>DDT.</w:t>
      </w:r>
    </w:p>
    <w:p>
      <w:pPr>
        <w:spacing w:before="139"/>
        <w:ind w:left="822" w:right="84" w:firstLine="0"/>
        <w:jc w:val="left"/>
        <w:rPr>
          <w:sz w:val="24"/>
        </w:rPr>
      </w:pPr>
      <w:r>
        <w:rPr>
          <w:i/>
          <w:sz w:val="24"/>
        </w:rPr>
        <w:t>Academy of Management Journal, </w:t>
      </w:r>
      <w:r>
        <w:rPr>
          <w:sz w:val="24"/>
        </w:rPr>
        <w:t>52(1), pp. 148-178.</w:t>
      </w:r>
    </w:p>
    <w:p>
      <w:pPr>
        <w:spacing w:line="360" w:lineRule="auto" w:before="137"/>
        <w:ind w:left="822" w:right="84" w:hanging="709"/>
        <w:jc w:val="left"/>
        <w:rPr>
          <w:i/>
          <w:sz w:val="24"/>
        </w:rPr>
      </w:pPr>
      <w:r>
        <w:rPr>
          <w:sz w:val="24"/>
        </w:rPr>
        <w:t>Maliszewski, W., 2009. </w:t>
      </w:r>
      <w:r>
        <w:rPr>
          <w:i/>
          <w:sz w:val="24"/>
        </w:rPr>
        <w:t>Fiscal Policy Rules for Oil Producing Countries: A Welfare-Based </w:t>
      </w:r>
      <w:r>
        <w:rPr>
          <w:i/>
          <w:sz w:val="24"/>
        </w:rPr>
        <w:t>Assessment.</w:t>
      </w:r>
    </w:p>
    <w:p>
      <w:pPr>
        <w:spacing w:before="4"/>
        <w:ind w:left="113" w:right="84" w:firstLine="0"/>
        <w:jc w:val="left"/>
        <w:rPr>
          <w:i/>
          <w:sz w:val="24"/>
        </w:rPr>
      </w:pPr>
      <w:r>
        <w:rPr>
          <w:sz w:val="24"/>
        </w:rPr>
        <w:t>Manasse, P., 2006. </w:t>
      </w:r>
      <w:r>
        <w:rPr>
          <w:i/>
          <w:sz w:val="24"/>
        </w:rPr>
        <w:t>Procyclical Fiscal Policy: Shocks, Rules, and Institutions—A View from MARS.</w:t>
      </w:r>
    </w:p>
    <w:p>
      <w:pPr>
        <w:spacing w:before="137"/>
        <w:ind w:left="113" w:right="84" w:firstLine="0"/>
        <w:jc w:val="left"/>
        <w:rPr>
          <w:i/>
          <w:sz w:val="24"/>
        </w:rPr>
      </w:pPr>
      <w:r>
        <w:rPr>
          <w:sz w:val="24"/>
        </w:rPr>
        <w:t>Manasse, P., 2007. Deficit Limits and Fiscal Rules for Dummies. </w:t>
      </w:r>
      <w:r>
        <w:rPr>
          <w:i/>
          <w:sz w:val="24"/>
        </w:rPr>
        <w:t>International Monetary Fund,</w:t>
      </w:r>
    </w:p>
    <w:p>
      <w:pPr>
        <w:pStyle w:val="BodyText"/>
        <w:spacing w:before="139"/>
        <w:ind w:left="822" w:right="84"/>
      </w:pPr>
      <w:r>
        <w:rPr/>
        <w:t>54(3), pp. 455-473.</w:t>
      </w:r>
    </w:p>
    <w:p>
      <w:pPr>
        <w:spacing w:line="360" w:lineRule="auto" w:before="137"/>
        <w:ind w:left="822" w:right="114" w:hanging="709"/>
        <w:jc w:val="both"/>
        <w:rPr>
          <w:sz w:val="24"/>
        </w:rPr>
      </w:pPr>
      <w:r>
        <w:rPr>
          <w:sz w:val="24"/>
        </w:rPr>
        <w:t>Manheim, J. &amp; Rich, R., 1999. Cap. 2 Construcción de la teoría. En: </w:t>
      </w:r>
      <w:r>
        <w:rPr>
          <w:i/>
          <w:sz w:val="24"/>
        </w:rPr>
        <w:t>Análisis político empírico. </w:t>
      </w:r>
      <w:r>
        <w:rPr>
          <w:i/>
          <w:sz w:val="24"/>
        </w:rPr>
        <w:t>Métodos de investigación en ciencia política. </w:t>
      </w:r>
      <w:r>
        <w:rPr>
          <w:sz w:val="24"/>
        </w:rPr>
        <w:t>Madrid: Alianza Universidad Textos, pp. 29- 33.</w:t>
      </w:r>
    </w:p>
    <w:p>
      <w:pPr>
        <w:spacing w:line="360" w:lineRule="auto" w:before="6"/>
        <w:ind w:left="822" w:right="84" w:hanging="709"/>
        <w:jc w:val="left"/>
        <w:rPr>
          <w:sz w:val="24"/>
        </w:rPr>
      </w:pPr>
      <w:r>
        <w:rPr>
          <w:sz w:val="24"/>
        </w:rPr>
        <w:t>Marcel, M., 2003. </w:t>
      </w:r>
      <w:r>
        <w:rPr>
          <w:i/>
          <w:sz w:val="24"/>
        </w:rPr>
        <w:t>Balance Estructural : La Base de la Nueva Política Fiscal Chilena, </w:t>
      </w:r>
      <w:r>
        <w:rPr>
          <w:sz w:val="24"/>
        </w:rPr>
        <w:t>Santiago de Chile.</w:t>
      </w:r>
    </w:p>
    <w:p>
      <w:pPr>
        <w:spacing w:after="0" w:line="360" w:lineRule="auto"/>
        <w:jc w:val="left"/>
        <w:rPr>
          <w:sz w:val="24"/>
        </w:rPr>
        <w:sectPr>
          <w:pgSz w:w="12250" w:h="15850"/>
          <w:pgMar w:header="0" w:footer="977" w:top="1360" w:bottom="1220" w:left="880" w:right="1580"/>
        </w:sectPr>
      </w:pPr>
    </w:p>
    <w:p>
      <w:pPr>
        <w:pStyle w:val="BodyText"/>
        <w:spacing w:line="360" w:lineRule="auto" w:before="50"/>
        <w:ind w:left="822" w:right="127" w:hanging="709"/>
        <w:jc w:val="both"/>
      </w:pPr>
      <w:r>
        <w:rPr/>
        <w:t>Marte, O. &amp; Villanueva, B., 2007. Los precios internacionales del Petróleo, el PIB Real y los precios de la economía dominicana. </w:t>
      </w:r>
      <w:r>
        <w:rPr>
          <w:i/>
        </w:rPr>
        <w:t>Ciencia y Sociedad, </w:t>
      </w:r>
      <w:r>
        <w:rPr/>
        <w:t>32(2), pp. 190 -216..</w:t>
      </w:r>
    </w:p>
    <w:p>
      <w:pPr>
        <w:spacing w:line="360" w:lineRule="auto" w:before="6"/>
        <w:ind w:left="822" w:right="115" w:hanging="709"/>
        <w:jc w:val="both"/>
        <w:rPr>
          <w:sz w:val="24"/>
        </w:rPr>
      </w:pPr>
      <w:r>
        <w:rPr>
          <w:sz w:val="24"/>
        </w:rPr>
        <w:t>Mates, N., 2011. Fiscal Policy: Lessons From the Global Crisis. </w:t>
      </w:r>
      <w:r>
        <w:rPr>
          <w:i/>
          <w:sz w:val="24"/>
        </w:rPr>
        <w:t>Croatian Economic Suvey, </w:t>
      </w:r>
      <w:r>
        <w:rPr>
          <w:sz w:val="24"/>
        </w:rPr>
        <w:t>13(1), pp. 5-56.</w:t>
      </w:r>
    </w:p>
    <w:p>
      <w:pPr>
        <w:spacing w:before="6"/>
        <w:ind w:left="113" w:right="84" w:firstLine="0"/>
        <w:jc w:val="left"/>
        <w:rPr>
          <w:i/>
          <w:sz w:val="24"/>
        </w:rPr>
      </w:pPr>
      <w:r>
        <w:rPr>
          <w:sz w:val="24"/>
        </w:rPr>
        <w:t>Matsen, E. &amp; Torvik, R., 2004. </w:t>
      </w:r>
      <w:r>
        <w:rPr>
          <w:i/>
          <w:sz w:val="24"/>
        </w:rPr>
        <w:t>Optimal Dutch Disease.</w:t>
      </w:r>
    </w:p>
    <w:p>
      <w:pPr>
        <w:pStyle w:val="BodyText"/>
        <w:spacing w:line="360" w:lineRule="auto" w:before="137"/>
        <w:ind w:left="822" w:right="123" w:hanging="709"/>
        <w:jc w:val="both"/>
      </w:pPr>
      <w:r>
        <w:rPr/>
        <w:t>Mazighi, A., 2005. Henry Hub and national balancing point prices: what will be the international gas price reference?. </w:t>
      </w:r>
      <w:r>
        <w:rPr>
          <w:i/>
        </w:rPr>
        <w:t>OPEC Review, </w:t>
      </w:r>
      <w:r>
        <w:rPr/>
        <w:t>Volumen 29, p. 219–230.</w:t>
      </w:r>
    </w:p>
    <w:p>
      <w:pPr>
        <w:pStyle w:val="BodyText"/>
        <w:spacing w:line="360" w:lineRule="auto" w:before="4"/>
        <w:ind w:left="822" w:right="117" w:hanging="709"/>
        <w:jc w:val="both"/>
      </w:pPr>
      <w:r>
        <w:rPr/>
        <w:t>McGillivray, M., Naude, W. &amp; Santos-Paulino, A. U., 2010. Vulnerability, Trade, Financial Flows and State Failure in Small Island Developing States",. </w:t>
      </w:r>
      <w:r>
        <w:rPr>
          <w:i/>
        </w:rPr>
        <w:t>Journal of Development Studies, </w:t>
      </w:r>
      <w:r>
        <w:rPr/>
        <w:t>46(5), pp. 815 - 827.</w:t>
      </w:r>
    </w:p>
    <w:p>
      <w:pPr>
        <w:spacing w:line="360" w:lineRule="auto" w:before="6"/>
        <w:ind w:left="822" w:right="117" w:hanging="709"/>
        <w:jc w:val="both"/>
        <w:rPr>
          <w:i/>
          <w:sz w:val="24"/>
        </w:rPr>
      </w:pPr>
      <w:r>
        <w:rPr>
          <w:sz w:val="24"/>
        </w:rPr>
        <w:t>Medas, P. &amp; Zakharova, D., 2009. A Primer on Fiscal Analysis in Oil-Producing Countries. </w:t>
      </w:r>
      <w:r>
        <w:rPr>
          <w:i/>
          <w:sz w:val="24"/>
        </w:rPr>
        <w:t>IMF, </w:t>
      </w:r>
      <w:r>
        <w:rPr>
          <w:i/>
          <w:sz w:val="24"/>
        </w:rPr>
        <w:t>WP/09/56 Pp. 1 -41.</w:t>
      </w:r>
    </w:p>
    <w:p>
      <w:pPr>
        <w:pStyle w:val="BodyText"/>
        <w:spacing w:line="360" w:lineRule="auto" w:before="6"/>
        <w:ind w:left="822" w:right="126" w:hanging="709"/>
        <w:jc w:val="both"/>
        <w:rPr>
          <w:i/>
        </w:rPr>
      </w:pPr>
      <w:r>
        <w:rPr/>
        <w:t>Medina, L., 2010. The dynamic effects on commodity prices on fiscal performances in Latin America. </w:t>
      </w:r>
      <w:r>
        <w:rPr>
          <w:i/>
        </w:rPr>
        <w:t>IMF, WP/10/192.</w:t>
      </w:r>
    </w:p>
    <w:p>
      <w:pPr>
        <w:spacing w:line="360" w:lineRule="auto" w:before="6"/>
        <w:ind w:left="822" w:right="128" w:hanging="709"/>
        <w:jc w:val="both"/>
        <w:rPr>
          <w:sz w:val="24"/>
        </w:rPr>
      </w:pPr>
      <w:r>
        <w:rPr>
          <w:sz w:val="24"/>
        </w:rPr>
        <w:t>Megginson, W. &amp; Netter, J., 2001. From State to Market: A Survey of Empirical Studies on Privatization. </w:t>
      </w:r>
      <w:r>
        <w:rPr>
          <w:i/>
          <w:sz w:val="24"/>
        </w:rPr>
        <w:t>The Journal of Economic Literature, </w:t>
      </w:r>
      <w:r>
        <w:rPr>
          <w:sz w:val="24"/>
        </w:rPr>
        <w:t>39(2), p. 321–338.</w:t>
      </w:r>
    </w:p>
    <w:p>
      <w:pPr>
        <w:pStyle w:val="BodyText"/>
        <w:spacing w:line="360" w:lineRule="auto" w:before="6"/>
        <w:ind w:left="822" w:right="119" w:hanging="709"/>
        <w:jc w:val="both"/>
      </w:pPr>
      <w:r>
        <w:rPr/>
        <w:t>Mehlum, H., Moene, K. &amp; Torvik, R., 2006. Institutions and the Resource Curse. </w:t>
      </w:r>
      <w:r>
        <w:rPr>
          <w:i/>
        </w:rPr>
        <w:t>The economic </w:t>
      </w:r>
      <w:r>
        <w:rPr>
          <w:i/>
        </w:rPr>
        <w:t>Journal, </w:t>
      </w:r>
      <w:r>
        <w:rPr/>
        <w:t>pp. 1-20.</w:t>
      </w:r>
    </w:p>
    <w:p>
      <w:pPr>
        <w:pStyle w:val="BodyText"/>
        <w:spacing w:line="360" w:lineRule="auto" w:before="6"/>
        <w:ind w:left="822" w:right="126" w:hanging="709"/>
        <w:jc w:val="both"/>
      </w:pPr>
      <w:r>
        <w:rPr/>
        <w:t>Mejía, P., Gutiérrez, E. &amp; Farías, C., 2006. La Sincronización de los ciclos económicos de México y Estados Unidos. </w:t>
      </w:r>
      <w:r>
        <w:rPr>
          <w:i/>
        </w:rPr>
        <w:t>Investigación económica - UNAM, </w:t>
      </w:r>
      <w:r>
        <w:rPr/>
        <w:t>LXV(258), pp. 15-45.</w:t>
      </w:r>
    </w:p>
    <w:p>
      <w:pPr>
        <w:spacing w:line="360" w:lineRule="auto" w:before="6"/>
        <w:ind w:left="822" w:right="119" w:hanging="709"/>
        <w:jc w:val="both"/>
        <w:rPr>
          <w:i/>
          <w:sz w:val="24"/>
        </w:rPr>
      </w:pPr>
      <w:r>
        <w:rPr>
          <w:sz w:val="24"/>
        </w:rPr>
        <w:t>Mendoza, A. &amp; Smith, P., 2013. </w:t>
      </w:r>
      <w:r>
        <w:rPr>
          <w:i/>
          <w:sz w:val="24"/>
        </w:rPr>
        <w:t>Equity Returns and the Business Cycle: The Role of Supply and </w:t>
      </w:r>
      <w:r>
        <w:rPr>
          <w:i/>
          <w:sz w:val="24"/>
        </w:rPr>
        <w:t>Demand Shocks.</w:t>
      </w:r>
    </w:p>
    <w:p>
      <w:pPr>
        <w:pStyle w:val="BodyText"/>
        <w:spacing w:line="360" w:lineRule="auto" w:before="6"/>
        <w:ind w:left="822" w:right="123" w:hanging="709"/>
        <w:jc w:val="both"/>
      </w:pPr>
      <w:r>
        <w:rPr/>
        <w:t>Milesi, G. &amp; Razin, A., 2000. Current Account Reversals and Currency Crises: Empirical Regularities. En: P. Krugman, ed. </w:t>
      </w:r>
      <w:r>
        <w:rPr>
          <w:i/>
        </w:rPr>
        <w:t>Currency Crises. </w:t>
      </w:r>
      <w:r>
        <w:rPr/>
        <w:t>s.l.:University of Chicago Press.</w:t>
      </w:r>
    </w:p>
    <w:p>
      <w:pPr>
        <w:pStyle w:val="BodyText"/>
        <w:spacing w:line="360" w:lineRule="auto" w:before="4"/>
        <w:ind w:left="822" w:right="122" w:hanging="709"/>
        <w:jc w:val="both"/>
      </w:pPr>
      <w:r>
        <w:rPr/>
        <w:t>Millward, R., 1976. Price Restraint, Anti-inflation Policy and Public and Private Industry in the United Kingdom, 1949–1973. </w:t>
      </w:r>
      <w:r>
        <w:rPr>
          <w:i/>
        </w:rPr>
        <w:t>Economic Journal, </w:t>
      </w:r>
      <w:r>
        <w:rPr/>
        <w:t>Volumen 86, p. 226–242..</w:t>
      </w:r>
    </w:p>
    <w:p>
      <w:pPr>
        <w:pStyle w:val="BodyText"/>
        <w:spacing w:line="360" w:lineRule="auto" w:before="4"/>
        <w:ind w:left="822" w:right="121" w:hanging="709"/>
        <w:jc w:val="both"/>
      </w:pPr>
      <w:r>
        <w:rPr/>
        <w:t>Ministerio   de   Economía    y    Finanzas    Públicas    de    Bolivia,    s.f.    [En    línea]    Available at:</w:t>
      </w:r>
      <w:r>
        <w:rPr>
          <w:spacing w:val="-12"/>
        </w:rPr>
        <w:t> </w:t>
      </w:r>
      <w:hyperlink r:id="rId346">
        <w:r>
          <w:rPr>
            <w:u w:val="single"/>
          </w:rPr>
          <w:t>www.economiayfinanzas.gob.bo</w:t>
        </w:r>
      </w:hyperlink>
    </w:p>
    <w:p>
      <w:pPr>
        <w:spacing w:before="4"/>
        <w:ind w:left="113" w:right="84" w:firstLine="0"/>
        <w:jc w:val="left"/>
        <w:rPr>
          <w:i/>
          <w:sz w:val="24"/>
        </w:rPr>
      </w:pPr>
      <w:r>
        <w:rPr>
          <w:sz w:val="24"/>
        </w:rPr>
        <w:t>Miruc, A., 2010. Efficiency of Public Administration – Selected Problems. </w:t>
      </w:r>
      <w:r>
        <w:rPr>
          <w:i/>
          <w:sz w:val="24"/>
        </w:rPr>
        <w:t>Slovenian Law</w:t>
      </w:r>
      <w:r>
        <w:rPr>
          <w:i/>
          <w:spacing w:val="50"/>
          <w:sz w:val="24"/>
        </w:rPr>
        <w:t> </w:t>
      </w:r>
      <w:r>
        <w:rPr>
          <w:i/>
          <w:sz w:val="24"/>
        </w:rPr>
        <w:t>Review,</w:t>
      </w:r>
    </w:p>
    <w:p>
      <w:pPr>
        <w:pStyle w:val="BodyText"/>
        <w:spacing w:before="139"/>
        <w:ind w:left="822" w:right="84"/>
      </w:pPr>
      <w:r>
        <w:rPr/>
        <w:t>7(1), pp. 115 -123.</w:t>
      </w:r>
    </w:p>
    <w:p>
      <w:pPr>
        <w:spacing w:after="0"/>
        <w:sectPr>
          <w:pgSz w:w="12250" w:h="15850"/>
          <w:pgMar w:header="0" w:footer="977" w:top="1360" w:bottom="1220" w:left="880" w:right="1580"/>
        </w:sectPr>
      </w:pPr>
    </w:p>
    <w:p>
      <w:pPr>
        <w:spacing w:before="50"/>
        <w:ind w:left="113" w:right="84" w:firstLine="0"/>
        <w:jc w:val="left"/>
        <w:rPr>
          <w:i/>
          <w:sz w:val="24"/>
        </w:rPr>
      </w:pPr>
      <w:r>
        <w:rPr>
          <w:sz w:val="24"/>
        </w:rPr>
        <w:t>Modigiliani, F., 1958. New Developments on the Oligopoly Front. </w:t>
      </w:r>
      <w:r>
        <w:rPr>
          <w:i/>
          <w:sz w:val="24"/>
        </w:rPr>
        <w:t>Journal of Political    Economy.</w:t>
      </w:r>
    </w:p>
    <w:p>
      <w:pPr>
        <w:spacing w:before="137"/>
        <w:ind w:left="804" w:right="679" w:firstLine="0"/>
        <w:jc w:val="center"/>
        <w:rPr>
          <w:i/>
          <w:sz w:val="24"/>
        </w:rPr>
      </w:pPr>
      <w:r>
        <w:rPr>
          <w:i/>
          <w:sz w:val="24"/>
        </w:rPr>
        <w:t>Reimpreso enG.C. Archibald, ed., Readings in the Theory of the Firm, Penguin, 1971.</w:t>
      </w:r>
    </w:p>
    <w:p>
      <w:pPr>
        <w:pStyle w:val="BodyText"/>
        <w:spacing w:line="360" w:lineRule="auto" w:before="139"/>
        <w:ind w:left="822" w:right="84" w:hanging="709"/>
      </w:pPr>
      <w:r>
        <w:rPr/>
        <w:t>Mohammadi, H., 2011. Long-run relations and short-run dynamics among coal, natural gas and oil prices. </w:t>
      </w:r>
      <w:r>
        <w:rPr>
          <w:i/>
        </w:rPr>
        <w:t>Applied economics, </w:t>
      </w:r>
      <w:r>
        <w:rPr/>
        <w:t>Volumen 43, p. 129 – 137.</w:t>
      </w:r>
    </w:p>
    <w:p>
      <w:pPr>
        <w:spacing w:before="6"/>
        <w:ind w:left="113" w:right="84" w:firstLine="0"/>
        <w:jc w:val="left"/>
        <w:rPr>
          <w:i/>
          <w:sz w:val="24"/>
        </w:rPr>
      </w:pPr>
      <w:r>
        <w:rPr>
          <w:sz w:val="24"/>
        </w:rPr>
        <w:t>Mora, J., 2008. </w:t>
      </w:r>
      <w:r>
        <w:rPr>
          <w:i/>
          <w:sz w:val="24"/>
        </w:rPr>
        <w:t>Relative importance of foreign and domestic shocks in the Venezuelan economy.</w:t>
      </w:r>
    </w:p>
    <w:p>
      <w:pPr>
        <w:pStyle w:val="BodyText"/>
        <w:spacing w:line="360" w:lineRule="auto" w:before="137"/>
        <w:ind w:left="822" w:right="84" w:hanging="709"/>
      </w:pPr>
      <w:r>
        <w:rPr/>
        <w:t>Moreno, J. &amp; Pérez, J., 2009. Sostenibilidad del Déficit, Cointegración y Cambio de Régimen en Colombia.</w:t>
      </w:r>
    </w:p>
    <w:p>
      <w:pPr>
        <w:spacing w:line="362" w:lineRule="auto" w:before="4"/>
        <w:ind w:left="822" w:right="84" w:hanging="709"/>
        <w:jc w:val="left"/>
        <w:rPr>
          <w:i/>
          <w:sz w:val="24"/>
        </w:rPr>
      </w:pPr>
      <w:r>
        <w:rPr>
          <w:sz w:val="24"/>
        </w:rPr>
        <w:t>Moss, T., 2011. Oil to Cash: Fighting the Resource Curse through Cash Transfers, WP 237. </w:t>
      </w:r>
      <w:r>
        <w:rPr>
          <w:i/>
          <w:sz w:val="24"/>
        </w:rPr>
        <w:t>Center </w:t>
      </w:r>
      <w:r>
        <w:rPr>
          <w:i/>
          <w:sz w:val="24"/>
        </w:rPr>
        <w:t>for Global Development.</w:t>
      </w:r>
    </w:p>
    <w:p>
      <w:pPr>
        <w:pStyle w:val="BodyText"/>
        <w:spacing w:line="360" w:lineRule="auto" w:before="1"/>
        <w:ind w:left="822" w:right="84" w:hanging="709"/>
      </w:pPr>
      <w:r>
        <w:rPr/>
        <w:t>Möst, D. &amp; Perlwitz, H., 2009. Prospects of gas supply until 2020 in Europe and its relevance for the power sector in the context of emission trading. </w:t>
      </w:r>
      <w:r>
        <w:rPr>
          <w:i/>
        </w:rPr>
        <w:t>Energy, </w:t>
      </w:r>
      <w:r>
        <w:rPr/>
        <w:t>34(10), pp. 1510 -1522.</w:t>
      </w:r>
    </w:p>
    <w:p>
      <w:pPr>
        <w:spacing w:before="4"/>
        <w:ind w:left="113" w:right="84" w:firstLine="0"/>
        <w:jc w:val="left"/>
        <w:rPr>
          <w:i/>
          <w:sz w:val="24"/>
        </w:rPr>
      </w:pPr>
      <w:r>
        <w:rPr>
          <w:sz w:val="24"/>
        </w:rPr>
        <w:t>Muller, P. &amp; Price, R., 1984. </w:t>
      </w:r>
      <w:r>
        <w:rPr>
          <w:i/>
          <w:sz w:val="24"/>
        </w:rPr>
        <w:t>Structural Budget Deficits and Fiscal Stance.</w:t>
      </w:r>
    </w:p>
    <w:p>
      <w:pPr>
        <w:pStyle w:val="BodyText"/>
        <w:spacing w:line="360" w:lineRule="auto" w:before="139"/>
        <w:ind w:left="822" w:right="121" w:hanging="709"/>
        <w:jc w:val="both"/>
      </w:pPr>
      <w:r>
        <w:rPr/>
        <w:t>Murphy, F., Conti, J., Shaw, S. &amp; Sanders, R., 1988. Modeling and forecasting energy markets with the Intermediate Future Forecasting System. </w:t>
      </w:r>
      <w:r>
        <w:rPr>
          <w:i/>
        </w:rPr>
        <w:t>Operations Research, </w:t>
      </w:r>
      <w:r>
        <w:rPr/>
        <w:t>Volumen 36, p. 406–</w:t>
      </w:r>
      <w:r>
        <w:rPr>
          <w:spacing w:val="-2"/>
        </w:rPr>
        <w:t> </w:t>
      </w:r>
      <w:r>
        <w:rPr/>
        <w:t>420.</w:t>
      </w:r>
    </w:p>
    <w:p>
      <w:pPr>
        <w:pStyle w:val="BodyText"/>
        <w:spacing w:line="360" w:lineRule="auto" w:before="4"/>
        <w:ind w:left="822" w:right="84" w:hanging="709"/>
      </w:pPr>
      <w:r>
        <w:rPr/>
        <w:t>Murry, D. &amp; Zhu, Z., 2008. Asymmetric price responses, market integration and market power: A study of. U.S. natural gas market. </w:t>
      </w:r>
      <w:r>
        <w:rPr>
          <w:i/>
        </w:rPr>
        <w:t>Energy Economics , </w:t>
      </w:r>
      <w:r>
        <w:rPr/>
        <w:t>Volumen 30, pp. 748-765.</w:t>
      </w:r>
    </w:p>
    <w:p>
      <w:pPr>
        <w:spacing w:line="360" w:lineRule="auto" w:before="4"/>
        <w:ind w:left="822" w:right="84" w:hanging="709"/>
        <w:jc w:val="left"/>
        <w:rPr>
          <w:sz w:val="24"/>
        </w:rPr>
      </w:pPr>
      <w:r>
        <w:rPr>
          <w:sz w:val="24"/>
        </w:rPr>
        <w:t>Musgrave, R., 1997. Reconsidering the fiscal role of the government. </w:t>
      </w:r>
      <w:r>
        <w:rPr>
          <w:i/>
          <w:sz w:val="24"/>
        </w:rPr>
        <w:t>The American Economic </w:t>
      </w:r>
      <w:r>
        <w:rPr>
          <w:i/>
          <w:sz w:val="24"/>
        </w:rPr>
        <w:t>Review, </w:t>
      </w:r>
      <w:r>
        <w:rPr>
          <w:sz w:val="24"/>
        </w:rPr>
        <w:t>87(2), pp. 156-159.</w:t>
      </w:r>
    </w:p>
    <w:p>
      <w:pPr>
        <w:spacing w:line="360" w:lineRule="auto" w:before="4"/>
        <w:ind w:left="822" w:right="84" w:hanging="709"/>
        <w:jc w:val="left"/>
        <w:rPr>
          <w:i/>
          <w:sz w:val="24"/>
        </w:rPr>
      </w:pPr>
      <w:r>
        <w:rPr>
          <w:sz w:val="24"/>
        </w:rPr>
        <w:t>Navajas, F., Artana, D., Catena, M. &amp; Bour, J. L., 2008. </w:t>
      </w:r>
      <w:r>
        <w:rPr>
          <w:i/>
          <w:sz w:val="24"/>
        </w:rPr>
        <w:t>Tópicos Macrofiscales y Perspectivas de </w:t>
      </w:r>
      <w:r>
        <w:rPr>
          <w:i/>
          <w:sz w:val="24"/>
        </w:rPr>
        <w:t>sostenibilidad fiscal en Bolivia.</w:t>
      </w:r>
    </w:p>
    <w:p>
      <w:pPr>
        <w:spacing w:before="4"/>
        <w:ind w:left="113" w:right="84" w:firstLine="0"/>
        <w:jc w:val="left"/>
        <w:rPr>
          <w:i/>
          <w:sz w:val="24"/>
        </w:rPr>
      </w:pPr>
      <w:r>
        <w:rPr>
          <w:sz w:val="24"/>
        </w:rPr>
        <w:t>Neumann, A., 2008. </w:t>
      </w:r>
      <w:r>
        <w:rPr>
          <w:i/>
          <w:sz w:val="24"/>
        </w:rPr>
        <w:t>Linking Natural Gas: Is LNG Doing its Job?</w:t>
      </w:r>
    </w:p>
    <w:p>
      <w:pPr>
        <w:spacing w:line="360" w:lineRule="auto" w:before="139"/>
        <w:ind w:left="822" w:right="84" w:hanging="709"/>
        <w:jc w:val="left"/>
        <w:rPr>
          <w:sz w:val="24"/>
        </w:rPr>
      </w:pPr>
      <w:r>
        <w:rPr>
          <w:sz w:val="24"/>
        </w:rPr>
        <w:t>Nicholson, W. &amp; Snyder, C., 2011. Competencia Perfecta. En: </w:t>
      </w:r>
      <w:r>
        <w:rPr>
          <w:i/>
          <w:sz w:val="24"/>
        </w:rPr>
        <w:t>Microeconomía intermedia y su </w:t>
      </w:r>
      <w:r>
        <w:rPr>
          <w:i/>
          <w:sz w:val="24"/>
        </w:rPr>
        <w:t>aplicación. </w:t>
      </w:r>
      <w:r>
        <w:rPr>
          <w:sz w:val="24"/>
        </w:rPr>
        <w:t>Undécima ed. s.l.:Cengage Learning.</w:t>
      </w:r>
    </w:p>
    <w:p>
      <w:pPr>
        <w:spacing w:line="360" w:lineRule="auto" w:before="4"/>
        <w:ind w:left="822" w:right="84" w:hanging="709"/>
        <w:jc w:val="left"/>
        <w:rPr>
          <w:sz w:val="24"/>
        </w:rPr>
      </w:pPr>
      <w:r>
        <w:rPr>
          <w:sz w:val="24"/>
        </w:rPr>
        <w:t>Nicholson, W. &amp; Snyder, C., 2011. El poder de mercado. En: </w:t>
      </w:r>
      <w:r>
        <w:rPr>
          <w:i/>
          <w:sz w:val="24"/>
        </w:rPr>
        <w:t>Microeconomía intermedia y su </w:t>
      </w:r>
      <w:r>
        <w:rPr>
          <w:i/>
          <w:sz w:val="24"/>
        </w:rPr>
        <w:t>aplicación. </w:t>
      </w:r>
      <w:r>
        <w:rPr>
          <w:sz w:val="24"/>
        </w:rPr>
        <w:t>Undécima ed. s.l.:Cengage Learning, pp. 375-439.</w:t>
      </w:r>
    </w:p>
    <w:p>
      <w:pPr>
        <w:spacing w:line="360" w:lineRule="auto" w:before="4"/>
        <w:ind w:left="822" w:right="84" w:hanging="709"/>
        <w:jc w:val="left"/>
        <w:rPr>
          <w:sz w:val="24"/>
        </w:rPr>
      </w:pPr>
      <w:r>
        <w:rPr>
          <w:sz w:val="24"/>
        </w:rPr>
        <w:t>Nina, O. &amp; Brooks de Alborta, A., 2001. </w:t>
      </w:r>
      <w:r>
        <w:rPr>
          <w:i/>
          <w:sz w:val="24"/>
        </w:rPr>
        <w:t>Vulnerabilidad macroenómica ante Shocks Externos: El </w:t>
      </w:r>
      <w:r>
        <w:rPr>
          <w:i/>
          <w:sz w:val="24"/>
        </w:rPr>
        <w:t>caso Boliviano, </w:t>
      </w:r>
      <w:r>
        <w:rPr>
          <w:sz w:val="24"/>
        </w:rPr>
        <w:t>La Paz. Pp. 1-44.</w:t>
      </w:r>
    </w:p>
    <w:p>
      <w:pPr>
        <w:pStyle w:val="BodyText"/>
        <w:spacing w:before="4"/>
        <w:ind w:left="113" w:right="84"/>
      </w:pPr>
      <w:r>
        <w:rPr/>
        <w:t>Olson,  M.,  1969.  The  Logic  of  Collective  Actions:  Public  Goods  and  the  Theory of Groups.</w:t>
      </w:r>
    </w:p>
    <w:p>
      <w:pPr>
        <w:spacing w:before="139"/>
        <w:ind w:left="822" w:right="84" w:firstLine="0"/>
        <w:jc w:val="left"/>
        <w:rPr>
          <w:i/>
          <w:sz w:val="24"/>
        </w:rPr>
      </w:pPr>
      <w:r>
        <w:rPr>
          <w:i/>
          <w:sz w:val="24"/>
        </w:rPr>
        <w:t>Cambridge: Harvard University Press.</w:t>
      </w:r>
    </w:p>
    <w:p>
      <w:pPr>
        <w:spacing w:after="0"/>
        <w:jc w:val="left"/>
        <w:rPr>
          <w:sz w:val="24"/>
        </w:rPr>
        <w:sectPr>
          <w:pgSz w:w="12250" w:h="15850"/>
          <w:pgMar w:header="0" w:footer="977" w:top="1360" w:bottom="1220" w:left="880" w:right="1580"/>
        </w:sectPr>
      </w:pPr>
    </w:p>
    <w:p>
      <w:pPr>
        <w:spacing w:line="360" w:lineRule="auto" w:before="50"/>
        <w:ind w:left="822" w:right="84" w:hanging="709"/>
        <w:jc w:val="left"/>
        <w:rPr>
          <w:i/>
          <w:sz w:val="24"/>
        </w:rPr>
      </w:pPr>
      <w:r>
        <w:rPr>
          <w:sz w:val="24"/>
        </w:rPr>
        <w:t>Ossowski, R., Villafuerte, M., Medas, P. &amp; Thomas, T., 2008. </w:t>
      </w:r>
      <w:r>
        <w:rPr>
          <w:i/>
          <w:sz w:val="24"/>
        </w:rPr>
        <w:t>Managing the Oil Revenue Boom: </w:t>
      </w:r>
      <w:r>
        <w:rPr>
          <w:i/>
          <w:sz w:val="24"/>
        </w:rPr>
        <w:t>The Role of Fiscal Institutions.</w:t>
      </w:r>
    </w:p>
    <w:p>
      <w:pPr>
        <w:spacing w:before="6"/>
        <w:ind w:left="113" w:right="84" w:firstLine="0"/>
        <w:jc w:val="left"/>
        <w:rPr>
          <w:sz w:val="24"/>
        </w:rPr>
      </w:pPr>
      <w:r>
        <w:rPr>
          <w:sz w:val="24"/>
        </w:rPr>
        <w:t>Paltsev, S. y otros, 2010. </w:t>
      </w:r>
      <w:r>
        <w:rPr>
          <w:i/>
          <w:sz w:val="24"/>
        </w:rPr>
        <w:t>The future U.S. Natural Gas Production, Use and Trade.</w:t>
      </w:r>
      <w:r>
        <w:rPr>
          <w:sz w:val="24"/>
        </w:rPr>
        <w:t>.</w:t>
      </w:r>
    </w:p>
    <w:p>
      <w:pPr>
        <w:spacing w:line="360" w:lineRule="auto" w:before="137"/>
        <w:ind w:left="822" w:right="84" w:hanging="709"/>
        <w:jc w:val="left"/>
        <w:rPr>
          <w:sz w:val="24"/>
        </w:rPr>
      </w:pPr>
      <w:r>
        <w:rPr>
          <w:sz w:val="24"/>
        </w:rPr>
        <w:t>Parkín, M. &amp; Loría, E., 2010. En: </w:t>
      </w:r>
      <w:r>
        <w:rPr>
          <w:i/>
          <w:sz w:val="24"/>
        </w:rPr>
        <w:t>Microeconomía versión para Lationamérica. </w:t>
      </w:r>
      <w:r>
        <w:rPr>
          <w:sz w:val="24"/>
        </w:rPr>
        <w:t>Naucalpan de Juárez, Estado de México: Pearson-education.</w:t>
      </w:r>
    </w:p>
    <w:p>
      <w:pPr>
        <w:pStyle w:val="BodyText"/>
        <w:spacing w:line="360" w:lineRule="auto" w:before="4"/>
        <w:ind w:left="822" w:right="117" w:hanging="709"/>
        <w:jc w:val="both"/>
      </w:pPr>
      <w:r>
        <w:rPr/>
        <w:t>Pedroni, P. (., 2004. Panel cointegration; asymptotic and finite sample properties of pooled time series tests with an application to the purchasing power parity hypothesis. </w:t>
      </w:r>
      <w:r>
        <w:rPr>
          <w:i/>
        </w:rPr>
        <w:t>Econometric </w:t>
      </w:r>
      <w:r>
        <w:rPr>
          <w:i/>
        </w:rPr>
        <w:t>Theory, </w:t>
      </w:r>
      <w:r>
        <w:rPr/>
        <w:t>20(3), p. 597–625.</w:t>
      </w:r>
    </w:p>
    <w:p>
      <w:pPr>
        <w:spacing w:line="360" w:lineRule="auto" w:before="7"/>
        <w:ind w:left="822" w:right="84" w:hanging="709"/>
        <w:jc w:val="left"/>
        <w:rPr>
          <w:sz w:val="24"/>
        </w:rPr>
      </w:pPr>
      <w:r>
        <w:rPr>
          <w:sz w:val="24"/>
        </w:rPr>
        <w:t>Pedroni, P., 1999. Critical values for cointegrating tests in heterogeneous panels with multiple regressors. </w:t>
      </w:r>
      <w:r>
        <w:rPr>
          <w:i/>
          <w:sz w:val="24"/>
        </w:rPr>
        <w:t>Oxford Bulletin of Economics and Statistics, </w:t>
      </w:r>
      <w:r>
        <w:rPr>
          <w:sz w:val="24"/>
        </w:rPr>
        <w:t>61(1), p. 653–670.</w:t>
      </w:r>
    </w:p>
    <w:p>
      <w:pPr>
        <w:spacing w:line="360" w:lineRule="auto" w:before="6"/>
        <w:ind w:left="822" w:right="84" w:hanging="709"/>
        <w:jc w:val="left"/>
        <w:rPr>
          <w:i/>
          <w:sz w:val="24"/>
        </w:rPr>
      </w:pPr>
      <w:r>
        <w:rPr>
          <w:sz w:val="24"/>
        </w:rPr>
        <w:t>Penalver, A. &amp; Thwaites, G., 2006. </w:t>
      </w:r>
      <w:r>
        <w:rPr>
          <w:i/>
          <w:sz w:val="24"/>
        </w:rPr>
        <w:t>Fiscal rules for debt sustainability in emerging markets: The </w:t>
      </w:r>
      <w:r>
        <w:rPr>
          <w:i/>
          <w:sz w:val="24"/>
        </w:rPr>
        <w:t>impact of volatility and default risk.</w:t>
      </w:r>
    </w:p>
    <w:p>
      <w:pPr>
        <w:pStyle w:val="BodyText"/>
        <w:spacing w:before="6"/>
        <w:ind w:left="113" w:right="84"/>
      </w:pPr>
      <w:r>
        <w:rPr/>
        <w:t>Peña, C., 2008. Choques petroleros, incertidumbre e inversión privada. Venezuela, 1968-2007.</w:t>
      </w:r>
    </w:p>
    <w:p>
      <w:pPr>
        <w:spacing w:before="137"/>
        <w:ind w:left="822" w:right="84" w:firstLine="0"/>
        <w:jc w:val="left"/>
        <w:rPr>
          <w:sz w:val="24"/>
        </w:rPr>
      </w:pPr>
      <w:r>
        <w:rPr>
          <w:i/>
          <w:sz w:val="24"/>
        </w:rPr>
        <w:t>Perfil de Coyuntura económica, </w:t>
      </w:r>
      <w:r>
        <w:rPr>
          <w:sz w:val="24"/>
        </w:rPr>
        <w:t>Volumen 11, pp. 51-74.</w:t>
      </w:r>
    </w:p>
    <w:p>
      <w:pPr>
        <w:spacing w:line="360" w:lineRule="auto" w:before="139"/>
        <w:ind w:left="822" w:right="84" w:hanging="709"/>
        <w:jc w:val="left"/>
        <w:rPr>
          <w:i/>
          <w:sz w:val="24"/>
        </w:rPr>
      </w:pPr>
      <w:r>
        <w:rPr>
          <w:sz w:val="24"/>
        </w:rPr>
        <w:t>Pepper, W. &amp; Lo, G., 1971. </w:t>
      </w:r>
      <w:r>
        <w:rPr>
          <w:i/>
          <w:sz w:val="24"/>
        </w:rPr>
        <w:t>Application of linear program to gas market and pipeline model in the </w:t>
      </w:r>
      <w:r>
        <w:rPr>
          <w:i/>
          <w:sz w:val="24"/>
        </w:rPr>
        <w:t>state of Victoria, Australia.</w:t>
      </w:r>
    </w:p>
    <w:p>
      <w:pPr>
        <w:pStyle w:val="BodyText"/>
        <w:spacing w:line="360" w:lineRule="auto" w:before="6"/>
        <w:ind w:left="822" w:right="84" w:hanging="709"/>
      </w:pPr>
      <w:r>
        <w:rPr/>
        <w:t>Pérard, E., 2009. Water Supply: Public or Private? An approach based on cost of funds, transaction costs, efficiency and political costs. </w:t>
      </w:r>
      <w:r>
        <w:rPr>
          <w:i/>
        </w:rPr>
        <w:t>Policy and Society, </w:t>
      </w:r>
      <w:r>
        <w:rPr/>
        <w:t>Volumen 27, pp. 193-219.</w:t>
      </w:r>
    </w:p>
    <w:p>
      <w:pPr>
        <w:spacing w:line="360" w:lineRule="auto" w:before="6"/>
        <w:ind w:left="822" w:right="185" w:hanging="709"/>
        <w:jc w:val="left"/>
        <w:rPr>
          <w:i/>
          <w:sz w:val="24"/>
        </w:rPr>
      </w:pPr>
      <w:r>
        <w:rPr>
          <w:sz w:val="24"/>
        </w:rPr>
        <w:t>Perilla, R., 2009. </w:t>
      </w:r>
      <w:r>
        <w:rPr>
          <w:i/>
          <w:sz w:val="24"/>
        </w:rPr>
        <w:t>Descomposición sectorial y dinámica del impacto de precios del petróleo Sobre </w:t>
      </w:r>
      <w:r>
        <w:rPr>
          <w:i/>
          <w:sz w:val="24"/>
        </w:rPr>
        <w:t>el Crecimiento Económico en</w:t>
      </w:r>
      <w:r>
        <w:rPr>
          <w:i/>
          <w:spacing w:val="-5"/>
          <w:sz w:val="24"/>
        </w:rPr>
        <w:t> </w:t>
      </w:r>
      <w:r>
        <w:rPr>
          <w:i/>
          <w:sz w:val="24"/>
        </w:rPr>
        <w:t>Colombia</w:t>
      </w:r>
    </w:p>
    <w:p>
      <w:pPr>
        <w:spacing w:before="6"/>
        <w:ind w:left="113" w:right="84" w:firstLine="0"/>
        <w:jc w:val="left"/>
        <w:rPr>
          <w:i/>
          <w:sz w:val="24"/>
        </w:rPr>
      </w:pPr>
      <w:r>
        <w:rPr>
          <w:sz w:val="24"/>
        </w:rPr>
        <w:t>Perner, J. &amp; Steeliger, 2003. </w:t>
      </w:r>
      <w:r>
        <w:rPr>
          <w:i/>
          <w:sz w:val="24"/>
        </w:rPr>
        <w:t>Representing GASPEC with the World Gas Model</w:t>
      </w:r>
    </w:p>
    <w:p>
      <w:pPr>
        <w:pStyle w:val="BodyText"/>
        <w:spacing w:before="137"/>
        <w:ind w:left="113" w:right="84"/>
      </w:pPr>
      <w:r>
        <w:rPr/>
        <w:t>Perron,  P.,  1989.  The  Great  Crash,  the  Oil  Price  Shock,  and  the  Unit  Root  Hypothesis.</w:t>
      </w:r>
    </w:p>
    <w:p>
      <w:pPr>
        <w:spacing w:before="139"/>
        <w:ind w:left="822" w:right="84" w:firstLine="0"/>
        <w:jc w:val="left"/>
        <w:rPr>
          <w:sz w:val="24"/>
        </w:rPr>
      </w:pPr>
      <w:r>
        <w:rPr>
          <w:i/>
          <w:sz w:val="24"/>
        </w:rPr>
        <w:t>Econometrica, </w:t>
      </w:r>
      <w:r>
        <w:rPr>
          <w:sz w:val="24"/>
        </w:rPr>
        <w:t>57(6), pp. 1361-1401.</w:t>
      </w:r>
    </w:p>
    <w:p>
      <w:pPr>
        <w:spacing w:line="360" w:lineRule="auto" w:before="137"/>
        <w:ind w:left="822" w:right="84" w:hanging="709"/>
        <w:jc w:val="left"/>
        <w:rPr>
          <w:sz w:val="24"/>
        </w:rPr>
      </w:pPr>
      <w:r>
        <w:rPr>
          <w:sz w:val="24"/>
        </w:rPr>
        <w:t>Piasecki, R. &amp; Wulf, E., 2013. Fiscal Policy Rules: An evaluation based on Chilean economy experience. </w:t>
      </w:r>
      <w:r>
        <w:rPr>
          <w:i/>
          <w:sz w:val="24"/>
        </w:rPr>
        <w:t>Global Conference on Business and Finance Proceedings, </w:t>
      </w:r>
      <w:r>
        <w:rPr>
          <w:sz w:val="24"/>
        </w:rPr>
        <w:t>8(2), pp. 224-232.</w:t>
      </w:r>
    </w:p>
    <w:p>
      <w:pPr>
        <w:pStyle w:val="BodyText"/>
        <w:spacing w:line="360" w:lineRule="auto" w:before="6"/>
        <w:ind w:left="822" w:right="84" w:hanging="709"/>
      </w:pPr>
      <w:r>
        <w:rPr/>
        <w:t>Pierre, A. &amp; Montiel, P., 2000. La macroeconomía del desarrollo. En: México D.F.: Fondo de la cultura económica.</w:t>
      </w:r>
    </w:p>
    <w:p>
      <w:pPr>
        <w:spacing w:line="360" w:lineRule="auto" w:before="6"/>
        <w:ind w:left="822" w:right="84" w:hanging="709"/>
        <w:jc w:val="left"/>
        <w:rPr>
          <w:i/>
          <w:sz w:val="24"/>
        </w:rPr>
      </w:pPr>
      <w:r>
        <w:rPr>
          <w:sz w:val="24"/>
        </w:rPr>
        <w:t>Pincheira, P. &amp; García, Á., 2007. </w:t>
      </w:r>
      <w:r>
        <w:rPr>
          <w:i/>
          <w:sz w:val="24"/>
        </w:rPr>
        <w:t>Impacto inflacionario de un Shock de Precios del Petróleo: </w:t>
      </w:r>
      <w:r>
        <w:rPr>
          <w:i/>
          <w:sz w:val="24"/>
        </w:rPr>
        <w:t>Análisis Comparativo entre Chile y Países Industriales.</w:t>
      </w:r>
    </w:p>
    <w:p>
      <w:pPr>
        <w:pStyle w:val="BodyText"/>
        <w:spacing w:line="360" w:lineRule="auto" w:before="6"/>
        <w:ind w:left="822" w:right="112" w:hanging="709"/>
      </w:pPr>
      <w:r>
        <w:rPr/>
        <w:t>Polito, V. &amp; Wickens, M., 2011. Erratum to: Assessing the fiscal stance in the European Union and the United Sates, 1970-2011. </w:t>
      </w:r>
      <w:r>
        <w:rPr>
          <w:i/>
        </w:rPr>
        <w:t>Economic Policy, </w:t>
      </w:r>
      <w:r>
        <w:rPr/>
        <w:t>Volumen 26, pp. 599-647.</w:t>
      </w:r>
    </w:p>
    <w:p>
      <w:pPr>
        <w:spacing w:after="0" w:line="360" w:lineRule="auto"/>
        <w:sectPr>
          <w:pgSz w:w="12250" w:h="15850"/>
          <w:pgMar w:header="0" w:footer="977" w:top="1360" w:bottom="1220" w:left="880" w:right="1580"/>
        </w:sectPr>
      </w:pPr>
    </w:p>
    <w:p>
      <w:pPr>
        <w:spacing w:line="360" w:lineRule="auto" w:before="50"/>
        <w:ind w:left="822" w:right="84" w:hanging="709"/>
        <w:jc w:val="left"/>
        <w:rPr>
          <w:sz w:val="24"/>
        </w:rPr>
      </w:pPr>
      <w:r>
        <w:rPr>
          <w:sz w:val="24"/>
        </w:rPr>
        <w:t>Polito, V. &amp; Wickens, M., 2012. A model-based indicator of the fiscal stance. </w:t>
      </w:r>
      <w:r>
        <w:rPr>
          <w:i/>
          <w:sz w:val="24"/>
        </w:rPr>
        <w:t>European Economic </w:t>
      </w:r>
      <w:r>
        <w:rPr>
          <w:i/>
          <w:sz w:val="24"/>
        </w:rPr>
        <w:t>Review, </w:t>
      </w:r>
      <w:r>
        <w:rPr>
          <w:sz w:val="24"/>
        </w:rPr>
        <w:t>Volumen 56, pp. 526 -551.</w:t>
      </w:r>
    </w:p>
    <w:p>
      <w:pPr>
        <w:spacing w:before="6"/>
        <w:ind w:left="113" w:right="84" w:firstLine="0"/>
        <w:jc w:val="left"/>
        <w:rPr>
          <w:sz w:val="24"/>
        </w:rPr>
      </w:pPr>
      <w:r>
        <w:rPr>
          <w:sz w:val="24"/>
        </w:rPr>
        <w:t>Popper, K., 1973. </w:t>
      </w:r>
      <w:r>
        <w:rPr>
          <w:i/>
          <w:sz w:val="24"/>
        </w:rPr>
        <w:t>La lógica de la investigación científica. </w:t>
      </w:r>
      <w:r>
        <w:rPr>
          <w:sz w:val="24"/>
        </w:rPr>
        <w:t>Madrid: Tecnos.</w:t>
      </w:r>
    </w:p>
    <w:p>
      <w:pPr>
        <w:spacing w:line="360" w:lineRule="auto" w:before="137"/>
        <w:ind w:left="822" w:right="84" w:hanging="709"/>
        <w:jc w:val="left"/>
        <w:rPr>
          <w:sz w:val="24"/>
        </w:rPr>
      </w:pPr>
      <w:r>
        <w:rPr>
          <w:sz w:val="24"/>
        </w:rPr>
        <w:t>Popper, K., 1975. La ciencia normal y sus peligros. En: L. y. Musgrave, ed. </w:t>
      </w:r>
      <w:r>
        <w:rPr>
          <w:i/>
          <w:sz w:val="24"/>
        </w:rPr>
        <w:t>La crítica y el </w:t>
      </w:r>
      <w:r>
        <w:rPr>
          <w:i/>
          <w:sz w:val="24"/>
        </w:rPr>
        <w:t>desarrollo del conocimiento. </w:t>
      </w:r>
      <w:r>
        <w:rPr>
          <w:sz w:val="24"/>
        </w:rPr>
        <w:t>Barcelona: Grijalbo, p. 156.</w:t>
      </w:r>
    </w:p>
    <w:p>
      <w:pPr>
        <w:spacing w:line="360" w:lineRule="auto" w:before="4"/>
        <w:ind w:left="822" w:right="84" w:hanging="709"/>
        <w:jc w:val="left"/>
        <w:rPr>
          <w:sz w:val="24"/>
        </w:rPr>
      </w:pPr>
      <w:r>
        <w:rPr>
          <w:sz w:val="24"/>
        </w:rPr>
        <w:t>Quintos, C., 1995. Sustainability of the deficit process with structural shifts. </w:t>
      </w:r>
      <w:r>
        <w:rPr>
          <w:i/>
          <w:sz w:val="24"/>
        </w:rPr>
        <w:t>Journal of Business </w:t>
      </w:r>
      <w:r>
        <w:rPr>
          <w:i/>
          <w:sz w:val="24"/>
        </w:rPr>
        <w:t>and Economic Statistics, </w:t>
      </w:r>
      <w:r>
        <w:rPr>
          <w:sz w:val="24"/>
        </w:rPr>
        <w:t>Volumen 13, p. 409–417..</w:t>
      </w:r>
    </w:p>
    <w:p>
      <w:pPr>
        <w:spacing w:line="362" w:lineRule="auto" w:before="4"/>
        <w:ind w:left="822" w:right="84" w:hanging="709"/>
        <w:jc w:val="left"/>
        <w:rPr>
          <w:sz w:val="24"/>
        </w:rPr>
      </w:pPr>
      <w:r>
        <w:rPr>
          <w:sz w:val="24"/>
        </w:rPr>
        <w:t>Raddatz, C., 2007. Are external shocks responsible for the instability of output in low-income countries?. </w:t>
      </w:r>
      <w:r>
        <w:rPr>
          <w:i/>
          <w:sz w:val="24"/>
        </w:rPr>
        <w:t>Journal of Development Economics., </w:t>
      </w:r>
      <w:r>
        <w:rPr>
          <w:sz w:val="24"/>
        </w:rPr>
        <w:t>Volumen 84, pp. 155-187.</w:t>
      </w:r>
    </w:p>
    <w:p>
      <w:pPr>
        <w:pStyle w:val="BodyText"/>
        <w:spacing w:line="360" w:lineRule="auto" w:before="1"/>
        <w:ind w:left="822" w:right="84" w:hanging="709"/>
      </w:pPr>
      <w:r>
        <w:rPr/>
        <w:t>Ramberg, D. &amp; Parsons, J., 2012. The Weak Tie Between Natural Gas and Oil Prices. </w:t>
      </w:r>
      <w:r>
        <w:rPr>
          <w:i/>
        </w:rPr>
        <w:t>The Energy </w:t>
      </w:r>
      <w:r>
        <w:rPr>
          <w:i/>
        </w:rPr>
        <w:t>Journal, </w:t>
      </w:r>
      <w:r>
        <w:rPr/>
        <w:t>33(2).</w:t>
      </w:r>
    </w:p>
    <w:p>
      <w:pPr>
        <w:spacing w:line="360" w:lineRule="auto" w:before="4"/>
        <w:ind w:left="822" w:right="84" w:hanging="709"/>
        <w:jc w:val="left"/>
        <w:rPr>
          <w:i/>
          <w:sz w:val="24"/>
        </w:rPr>
      </w:pPr>
      <w:r>
        <w:rPr>
          <w:sz w:val="24"/>
        </w:rPr>
        <w:t>Razav, H., 2009. Natural Gas Pricing in Countries of the Middle East and North Africa. </w:t>
      </w:r>
      <w:r>
        <w:rPr>
          <w:i/>
          <w:sz w:val="24"/>
        </w:rPr>
        <w:t>World </w:t>
      </w:r>
      <w:r>
        <w:rPr>
          <w:i/>
          <w:sz w:val="24"/>
        </w:rPr>
        <w:t>Bank, 1818 H St NW, Washington, DC.</w:t>
      </w:r>
    </w:p>
    <w:p>
      <w:pPr>
        <w:pStyle w:val="BodyText"/>
        <w:spacing w:before="4"/>
        <w:ind w:left="113" w:right="84"/>
        <w:rPr>
          <w:i/>
        </w:rPr>
      </w:pPr>
      <w:r>
        <w:rPr/>
        <w:t>Remme,  U.,  Blesl,  M.  &amp;  Fhal,  U.,  2007.  Prospect  of  European  gas  market.  </w:t>
      </w:r>
      <w:r>
        <w:rPr>
          <w:i/>
        </w:rPr>
        <w:t>Energy   Policy,</w:t>
      </w:r>
    </w:p>
    <w:p>
      <w:pPr>
        <w:pStyle w:val="BodyText"/>
        <w:spacing w:before="139"/>
        <w:ind w:left="822" w:right="84"/>
      </w:pPr>
      <w:r>
        <w:rPr/>
        <w:t>Volumen 36, pp. 1622-1641.</w:t>
      </w:r>
    </w:p>
    <w:p>
      <w:pPr>
        <w:spacing w:before="137"/>
        <w:ind w:left="113" w:right="84" w:firstLine="0"/>
        <w:jc w:val="left"/>
        <w:rPr>
          <w:i/>
          <w:sz w:val="24"/>
        </w:rPr>
      </w:pPr>
      <w:r>
        <w:rPr>
          <w:sz w:val="24"/>
        </w:rPr>
        <w:t>Ríos, G., 2003. </w:t>
      </w:r>
      <w:r>
        <w:rPr>
          <w:i/>
          <w:sz w:val="24"/>
        </w:rPr>
        <w:t>Venezuela: Sostenibilidad Fiscal en un Contexto de Alta Volatilidad.</w:t>
      </w:r>
    </w:p>
    <w:p>
      <w:pPr>
        <w:spacing w:line="360" w:lineRule="auto" w:before="139"/>
        <w:ind w:left="822" w:right="185" w:hanging="709"/>
        <w:jc w:val="left"/>
        <w:rPr>
          <w:sz w:val="24"/>
        </w:rPr>
      </w:pPr>
      <w:r>
        <w:rPr>
          <w:sz w:val="24"/>
        </w:rPr>
        <w:t>Robinson, J., Torvik, R. &amp; Verdier, T., 2006. Political foundations of the resource curse. </w:t>
      </w:r>
      <w:r>
        <w:rPr>
          <w:i/>
          <w:sz w:val="24"/>
        </w:rPr>
        <w:t>Journal  </w:t>
      </w:r>
      <w:r>
        <w:rPr>
          <w:i/>
          <w:sz w:val="24"/>
        </w:rPr>
        <w:t>of Development Economics, </w:t>
      </w:r>
      <w:r>
        <w:rPr>
          <w:sz w:val="24"/>
        </w:rPr>
        <w:t>Volumen 79, pp.</w:t>
      </w:r>
      <w:r>
        <w:rPr>
          <w:spacing w:val="-2"/>
          <w:sz w:val="24"/>
        </w:rPr>
        <w:t> </w:t>
      </w:r>
      <w:r>
        <w:rPr>
          <w:sz w:val="24"/>
        </w:rPr>
        <w:t>447-468.</w:t>
      </w:r>
    </w:p>
    <w:p>
      <w:pPr>
        <w:spacing w:before="6"/>
        <w:ind w:left="113" w:right="84" w:firstLine="0"/>
        <w:jc w:val="left"/>
        <w:rPr>
          <w:i/>
          <w:sz w:val="24"/>
        </w:rPr>
      </w:pPr>
      <w:r>
        <w:rPr>
          <w:sz w:val="24"/>
        </w:rPr>
        <w:t>Rodríguez, L., 2011. </w:t>
      </w:r>
      <w:r>
        <w:rPr>
          <w:i/>
          <w:sz w:val="24"/>
        </w:rPr>
        <w:t>Reglas fiscales e instituciones presupuestales.</w:t>
      </w:r>
    </w:p>
    <w:p>
      <w:pPr>
        <w:spacing w:line="360" w:lineRule="auto" w:before="137"/>
        <w:ind w:left="822" w:right="84" w:hanging="709"/>
        <w:jc w:val="left"/>
        <w:rPr>
          <w:sz w:val="24"/>
        </w:rPr>
      </w:pPr>
      <w:r>
        <w:rPr>
          <w:sz w:val="24"/>
        </w:rPr>
        <w:t>Romer, P., 1990. Increasing return and Long-run Growth. </w:t>
      </w:r>
      <w:r>
        <w:rPr>
          <w:i/>
          <w:sz w:val="24"/>
        </w:rPr>
        <w:t>Journal of Political Economy, </w:t>
      </w:r>
      <w:r>
        <w:rPr>
          <w:sz w:val="24"/>
        </w:rPr>
        <w:t>Volumen 4, pp. 1002-1017.</w:t>
      </w:r>
    </w:p>
    <w:p>
      <w:pPr>
        <w:pStyle w:val="BodyText"/>
        <w:spacing w:line="360" w:lineRule="auto" w:before="4"/>
        <w:ind w:left="822" w:right="84" w:hanging="709"/>
      </w:pPr>
      <w:r>
        <w:rPr/>
        <w:t>Rosa, J. &amp; Pérard, E., 2010. When to privatize? When to nationalize? A competition for ownership approach. </w:t>
      </w:r>
      <w:r>
        <w:rPr>
          <w:i/>
        </w:rPr>
        <w:t>Kyklos, </w:t>
      </w:r>
      <w:r>
        <w:rPr/>
        <w:t>63(1), p. 110 – 132.</w:t>
      </w:r>
    </w:p>
    <w:p>
      <w:pPr>
        <w:pStyle w:val="BodyText"/>
        <w:spacing w:line="360" w:lineRule="auto" w:before="4"/>
        <w:ind w:left="822" w:right="84" w:hanging="709"/>
      </w:pPr>
      <w:r>
        <w:rPr/>
        <w:t>Rötheli, T., 1995. Expectations about Change in Market Structure and Natural Extraction. </w:t>
      </w:r>
      <w:r>
        <w:rPr>
          <w:i/>
        </w:rPr>
        <w:t>Journal </w:t>
      </w:r>
      <w:r>
        <w:rPr>
          <w:i/>
        </w:rPr>
        <w:t>of Economics, </w:t>
      </w:r>
      <w:r>
        <w:rPr/>
        <w:t>62(2), pp. 203 -214..</w:t>
      </w:r>
    </w:p>
    <w:p>
      <w:pPr>
        <w:spacing w:line="360" w:lineRule="auto" w:before="6"/>
        <w:ind w:left="822" w:right="84" w:hanging="709"/>
        <w:jc w:val="left"/>
        <w:rPr>
          <w:sz w:val="24"/>
        </w:rPr>
      </w:pPr>
      <w:r>
        <w:rPr>
          <w:sz w:val="24"/>
        </w:rPr>
        <w:t>Sachs, J. D. &amp; Warner, A. M., 1997. Sources of slow growth in African economies. </w:t>
      </w:r>
      <w:r>
        <w:rPr>
          <w:i/>
          <w:sz w:val="24"/>
        </w:rPr>
        <w:t>Journal of </w:t>
      </w:r>
      <w:r>
        <w:rPr>
          <w:i/>
          <w:sz w:val="24"/>
        </w:rPr>
        <w:t>African Economies., </w:t>
      </w:r>
      <w:r>
        <w:rPr>
          <w:sz w:val="24"/>
        </w:rPr>
        <w:t>Volumen 6, p. 335–76.</w:t>
      </w:r>
    </w:p>
    <w:p>
      <w:pPr>
        <w:spacing w:line="360" w:lineRule="auto" w:before="6"/>
        <w:ind w:left="822" w:right="84" w:hanging="709"/>
        <w:jc w:val="left"/>
        <w:rPr>
          <w:i/>
          <w:sz w:val="24"/>
        </w:rPr>
      </w:pPr>
      <w:r>
        <w:rPr>
          <w:sz w:val="24"/>
        </w:rPr>
        <w:t>Sachs, J. &amp; Warner, A., 1995. Natural resource abundance and economic growth. </w:t>
      </w:r>
      <w:r>
        <w:rPr>
          <w:i/>
          <w:sz w:val="24"/>
        </w:rPr>
        <w:t>NBER Working </w:t>
      </w:r>
      <w:r>
        <w:rPr>
          <w:i/>
          <w:sz w:val="24"/>
        </w:rPr>
        <w:t>Paper No. 5398.</w:t>
      </w:r>
    </w:p>
    <w:p>
      <w:pPr>
        <w:spacing w:before="6"/>
        <w:ind w:left="113" w:right="84" w:firstLine="0"/>
        <w:jc w:val="left"/>
        <w:rPr>
          <w:i/>
          <w:sz w:val="24"/>
        </w:rPr>
      </w:pPr>
      <w:r>
        <w:rPr>
          <w:sz w:val="24"/>
        </w:rPr>
        <w:t>Saif, S., 2006. </w:t>
      </w:r>
      <w:r>
        <w:rPr>
          <w:i/>
          <w:sz w:val="24"/>
        </w:rPr>
        <w:t>Forecasting gas natural prices using cointegration technique.</w:t>
      </w:r>
    </w:p>
    <w:p>
      <w:pPr>
        <w:spacing w:before="137"/>
        <w:ind w:left="113" w:right="84" w:firstLine="0"/>
        <w:jc w:val="left"/>
        <w:rPr>
          <w:i/>
          <w:sz w:val="24"/>
        </w:rPr>
      </w:pPr>
      <w:r>
        <w:rPr>
          <w:sz w:val="24"/>
        </w:rPr>
        <w:t>Salazar, N. &amp; Prada, D., 2003. </w:t>
      </w:r>
      <w:r>
        <w:rPr>
          <w:i/>
          <w:sz w:val="24"/>
        </w:rPr>
        <w:t>Balance Estructural del Gobierno Central de Colombia.</w:t>
      </w:r>
    </w:p>
    <w:p>
      <w:pPr>
        <w:spacing w:after="0"/>
        <w:jc w:val="left"/>
        <w:rPr>
          <w:sz w:val="24"/>
        </w:rPr>
        <w:sectPr>
          <w:pgSz w:w="12250" w:h="15850"/>
          <w:pgMar w:header="0" w:footer="977" w:top="1360" w:bottom="1220" w:left="880" w:right="1580"/>
        </w:sectPr>
      </w:pPr>
    </w:p>
    <w:p>
      <w:pPr>
        <w:spacing w:before="50"/>
        <w:ind w:left="113" w:right="84" w:firstLine="0"/>
        <w:jc w:val="left"/>
        <w:rPr>
          <w:sz w:val="24"/>
        </w:rPr>
      </w:pPr>
      <w:r>
        <w:rPr>
          <w:sz w:val="24"/>
        </w:rPr>
        <w:t>Salvatore, D., 2009. </w:t>
      </w:r>
      <w:r>
        <w:rPr>
          <w:i/>
          <w:sz w:val="24"/>
        </w:rPr>
        <w:t>Microeconomía. </w:t>
      </w:r>
      <w:r>
        <w:rPr>
          <w:sz w:val="24"/>
        </w:rPr>
        <w:t>4ta. ed. México D.F.: Mc Graw Hill.</w:t>
      </w:r>
    </w:p>
    <w:p>
      <w:pPr>
        <w:spacing w:line="360" w:lineRule="auto" w:before="137"/>
        <w:ind w:left="822" w:right="119" w:hanging="709"/>
        <w:jc w:val="both"/>
        <w:rPr>
          <w:i/>
          <w:sz w:val="24"/>
        </w:rPr>
      </w:pPr>
      <w:r>
        <w:rPr>
          <w:sz w:val="24"/>
        </w:rPr>
        <w:t>Sánchez, B., Baena, C. &amp; Esqueda, P., 2000. </w:t>
      </w:r>
      <w:r>
        <w:rPr>
          <w:i/>
          <w:sz w:val="24"/>
        </w:rPr>
        <w:t>La competitividad de la industria petrolera </w:t>
      </w:r>
      <w:r>
        <w:rPr>
          <w:i/>
          <w:sz w:val="24"/>
        </w:rPr>
        <w:t>venezolana.</w:t>
      </w:r>
    </w:p>
    <w:p>
      <w:pPr>
        <w:spacing w:line="360" w:lineRule="auto" w:before="4"/>
        <w:ind w:left="822" w:right="122" w:hanging="709"/>
        <w:jc w:val="both"/>
        <w:rPr>
          <w:i/>
          <w:sz w:val="24"/>
        </w:rPr>
      </w:pPr>
      <w:r>
        <w:rPr>
          <w:sz w:val="24"/>
        </w:rPr>
        <w:t>Sánchez, F. &amp; Vargas, A., 2005. </w:t>
      </w:r>
      <w:r>
        <w:rPr>
          <w:i/>
          <w:sz w:val="24"/>
        </w:rPr>
        <w:t>La Volatilidad de los precios del petróleo y su impacto en </w:t>
      </w:r>
      <w:r>
        <w:rPr>
          <w:i/>
          <w:sz w:val="24"/>
        </w:rPr>
        <w:t>América</w:t>
      </w:r>
      <w:r>
        <w:rPr>
          <w:i/>
          <w:spacing w:val="-3"/>
          <w:sz w:val="24"/>
        </w:rPr>
        <w:t> </w:t>
      </w:r>
      <w:r>
        <w:rPr>
          <w:i/>
          <w:sz w:val="24"/>
        </w:rPr>
        <w:t>Latina.</w:t>
      </w:r>
    </w:p>
    <w:p>
      <w:pPr>
        <w:spacing w:line="360" w:lineRule="auto" w:before="4"/>
        <w:ind w:left="822" w:right="122" w:hanging="709"/>
        <w:jc w:val="both"/>
        <w:rPr>
          <w:i/>
          <w:sz w:val="24"/>
        </w:rPr>
      </w:pPr>
      <w:r>
        <w:rPr>
          <w:sz w:val="24"/>
        </w:rPr>
        <w:t>Santiago, R., Zunino, G. &amp; Lanzilotta, B., 2011. </w:t>
      </w:r>
      <w:r>
        <w:rPr>
          <w:i/>
          <w:sz w:val="24"/>
        </w:rPr>
        <w:t>Efectos Macroeconómicos de los Shocks externos </w:t>
      </w:r>
      <w:r>
        <w:rPr>
          <w:i/>
          <w:sz w:val="24"/>
        </w:rPr>
        <w:t>en Uruguay.</w:t>
      </w:r>
    </w:p>
    <w:p>
      <w:pPr>
        <w:spacing w:line="362" w:lineRule="auto" w:before="4"/>
        <w:ind w:left="822" w:right="117" w:hanging="709"/>
        <w:jc w:val="both"/>
        <w:rPr>
          <w:sz w:val="24"/>
        </w:rPr>
      </w:pPr>
      <w:r>
        <w:rPr>
          <w:sz w:val="24"/>
        </w:rPr>
        <w:t>Sappington, D. &amp; Stiglitz, J., 1987. Privatization, Information, and Incentives. </w:t>
      </w:r>
      <w:r>
        <w:rPr>
          <w:i/>
          <w:sz w:val="24"/>
        </w:rPr>
        <w:t>Journal of Policy </w:t>
      </w:r>
      <w:r>
        <w:rPr>
          <w:i/>
          <w:sz w:val="24"/>
        </w:rPr>
        <w:t>Analysis &amp; Management, </w:t>
      </w:r>
      <w:r>
        <w:rPr>
          <w:sz w:val="24"/>
        </w:rPr>
        <w:t>6(4), p. 567–582..</w:t>
      </w:r>
    </w:p>
    <w:p>
      <w:pPr>
        <w:spacing w:line="360" w:lineRule="auto" w:before="1"/>
        <w:ind w:left="822" w:right="120" w:hanging="709"/>
        <w:jc w:val="both"/>
        <w:rPr>
          <w:i/>
          <w:sz w:val="24"/>
        </w:rPr>
      </w:pPr>
      <w:r>
        <w:rPr>
          <w:sz w:val="24"/>
        </w:rPr>
        <w:t>Sauma, P. &amp; Sánchez, M., 2011. </w:t>
      </w:r>
      <w:r>
        <w:rPr>
          <w:i/>
          <w:sz w:val="24"/>
        </w:rPr>
        <w:t>Análisis comparativo de las implicaciones de la política </w:t>
      </w:r>
      <w:r>
        <w:rPr>
          <w:i/>
          <w:sz w:val="24"/>
        </w:rPr>
        <w:t>económicos, los choques externos y los sistemas de protección social en la pobreza y la desigualdad en siete países de América Latina.</w:t>
      </w:r>
    </w:p>
    <w:p>
      <w:pPr>
        <w:spacing w:line="360" w:lineRule="auto" w:before="6"/>
        <w:ind w:left="822" w:right="114" w:hanging="709"/>
        <w:jc w:val="both"/>
        <w:rPr>
          <w:i/>
          <w:sz w:val="24"/>
        </w:rPr>
      </w:pPr>
      <w:r>
        <w:rPr>
          <w:sz w:val="24"/>
        </w:rPr>
        <w:t>Schaechter, A., Kinda, T., Budina, N. &amp; Weber, A., 2012. </w:t>
      </w:r>
      <w:r>
        <w:rPr>
          <w:i/>
          <w:sz w:val="24"/>
        </w:rPr>
        <w:t>Fiscal Rules in response to the crisis- </w:t>
      </w:r>
      <w:r>
        <w:rPr>
          <w:i/>
          <w:sz w:val="24"/>
        </w:rPr>
        <w:t>toward the Next Generation Rules. A New dataset.</w:t>
      </w:r>
    </w:p>
    <w:p>
      <w:pPr>
        <w:pStyle w:val="BodyText"/>
        <w:spacing w:line="360" w:lineRule="auto" w:before="6"/>
        <w:ind w:left="822" w:right="121" w:hanging="709"/>
        <w:jc w:val="both"/>
      </w:pPr>
      <w:r>
        <w:rPr/>
        <w:t>Schick, A., 2010. Post-Crisis Fiscal Rules: Stabilising Public Finance while Responding to Economic Aftershocks. </w:t>
      </w:r>
      <w:r>
        <w:rPr>
          <w:i/>
        </w:rPr>
        <w:t>OECD Journal on Budgeting, </w:t>
      </w:r>
      <w:r>
        <w:rPr/>
        <w:t>10(2), pp. 35-51.</w:t>
      </w:r>
    </w:p>
    <w:p>
      <w:pPr>
        <w:spacing w:line="360" w:lineRule="auto" w:before="6"/>
        <w:ind w:left="822" w:right="116" w:hanging="709"/>
        <w:jc w:val="both"/>
        <w:rPr>
          <w:sz w:val="24"/>
        </w:rPr>
      </w:pPr>
      <w:r>
        <w:rPr>
          <w:sz w:val="24"/>
        </w:rPr>
        <w:t>Scott, R. &amp; Davis, G., 2007. Organization of the environment. En: </w:t>
      </w:r>
      <w:r>
        <w:rPr>
          <w:i/>
          <w:sz w:val="24"/>
        </w:rPr>
        <w:t>Organizations and Organizing. </w:t>
      </w:r>
      <w:r>
        <w:rPr>
          <w:i/>
          <w:sz w:val="24"/>
        </w:rPr>
        <w:t>Rational, natural, and open system perspectives. </w:t>
      </w:r>
      <w:r>
        <w:rPr>
          <w:sz w:val="24"/>
        </w:rPr>
        <w:t>s.l.:Pearson-Prentice Hall: Upper Saddle River.</w:t>
      </w:r>
    </w:p>
    <w:p>
      <w:pPr>
        <w:spacing w:before="4"/>
        <w:ind w:left="113" w:right="84" w:firstLine="0"/>
        <w:jc w:val="left"/>
        <w:rPr>
          <w:i/>
          <w:sz w:val="24"/>
        </w:rPr>
      </w:pPr>
      <w:r>
        <w:rPr>
          <w:sz w:val="24"/>
        </w:rPr>
        <w:t>Secomandi, N., 2010. </w:t>
      </w:r>
      <w:r>
        <w:rPr>
          <w:i/>
          <w:sz w:val="24"/>
        </w:rPr>
        <w:t>On the Pricing of Natural Gas Pipeline Capacity.</w:t>
      </w:r>
    </w:p>
    <w:p>
      <w:pPr>
        <w:spacing w:line="360" w:lineRule="auto" w:before="139"/>
        <w:ind w:left="822" w:right="116" w:hanging="709"/>
        <w:jc w:val="both"/>
        <w:rPr>
          <w:i/>
          <w:sz w:val="24"/>
        </w:rPr>
      </w:pPr>
      <w:r>
        <w:rPr>
          <w:sz w:val="24"/>
        </w:rPr>
        <w:t>Segura, A., 2006. </w:t>
      </w:r>
      <w:r>
        <w:rPr>
          <w:i/>
          <w:sz w:val="24"/>
        </w:rPr>
        <w:t>Management of Oil Wealth Under the Permanent Income Hypothesis: The Case </w:t>
      </w:r>
      <w:r>
        <w:rPr>
          <w:i/>
          <w:sz w:val="24"/>
        </w:rPr>
        <w:t>of São Tomé and Príncipe.</w:t>
      </w:r>
    </w:p>
    <w:p>
      <w:pPr>
        <w:spacing w:line="360" w:lineRule="auto" w:before="6"/>
        <w:ind w:left="822" w:right="120" w:hanging="709"/>
        <w:jc w:val="both"/>
        <w:rPr>
          <w:sz w:val="24"/>
        </w:rPr>
      </w:pPr>
      <w:r>
        <w:rPr>
          <w:sz w:val="24"/>
        </w:rPr>
        <w:t>Shapiro, C. &amp;. W. R., 1990. Economic rationales for the scope of privatization. En: Suleiman &amp; J. Waterbury, edits. </w:t>
      </w:r>
      <w:r>
        <w:rPr>
          <w:i/>
          <w:sz w:val="24"/>
        </w:rPr>
        <w:t>The political economy of public sector reform and privatization. </w:t>
      </w:r>
      <w:r>
        <w:rPr>
          <w:sz w:val="24"/>
        </w:rPr>
        <w:t>Boulder, Colorado: Westview Press.</w:t>
      </w:r>
    </w:p>
    <w:p>
      <w:pPr>
        <w:spacing w:line="360" w:lineRule="auto" w:before="6"/>
        <w:ind w:left="822" w:right="121" w:hanging="709"/>
        <w:jc w:val="both"/>
        <w:rPr>
          <w:sz w:val="24"/>
        </w:rPr>
      </w:pPr>
      <w:r>
        <w:rPr>
          <w:sz w:val="24"/>
        </w:rPr>
        <w:t>Shleifer, A., 1998. State versus Private Ownership. </w:t>
      </w:r>
      <w:r>
        <w:rPr>
          <w:i/>
          <w:sz w:val="24"/>
        </w:rPr>
        <w:t>The Journal of Economic Perspectives, </w:t>
      </w:r>
      <w:r>
        <w:rPr>
          <w:sz w:val="24"/>
        </w:rPr>
        <w:t>12(4), p.</w:t>
      </w:r>
      <w:r>
        <w:rPr>
          <w:spacing w:val="-1"/>
          <w:sz w:val="24"/>
        </w:rPr>
        <w:t> </w:t>
      </w:r>
      <w:r>
        <w:rPr>
          <w:sz w:val="24"/>
        </w:rPr>
        <w:t>133–150.</w:t>
      </w:r>
    </w:p>
    <w:p>
      <w:pPr>
        <w:pStyle w:val="BodyText"/>
        <w:spacing w:line="360" w:lineRule="auto" w:before="6"/>
        <w:ind w:left="822" w:right="119" w:hanging="709"/>
        <w:jc w:val="both"/>
      </w:pPr>
      <w:r>
        <w:rPr/>
        <w:t>Siliverstovs, B., L'Hégaret, G., Neumann, A. &amp; von Hirschhausen, C., 2005. International Market Integration for Natural Gas? A Cointegration Analysis of Prices in Europe, North America and Japan. </w:t>
      </w:r>
      <w:r>
        <w:rPr>
          <w:i/>
        </w:rPr>
        <w:t>Energy Economics, </w:t>
      </w:r>
      <w:r>
        <w:rPr/>
        <w:t>27(4), pp. 603-615.</w:t>
      </w:r>
    </w:p>
    <w:p>
      <w:pPr>
        <w:pStyle w:val="BodyText"/>
        <w:spacing w:before="4"/>
        <w:ind w:left="113" w:right="84"/>
      </w:pPr>
      <w:r>
        <w:rPr/>
        <w:t>Sims, C., 1980. Macroeconomics and Reality. </w:t>
      </w:r>
      <w:r>
        <w:rPr>
          <w:i/>
        </w:rPr>
        <w:t>Econometrica, </w:t>
      </w:r>
      <w:r>
        <w:rPr/>
        <w:t>Volumen 48, pp. 1-49.</w:t>
      </w:r>
    </w:p>
    <w:p>
      <w:pPr>
        <w:spacing w:after="0"/>
        <w:sectPr>
          <w:pgSz w:w="12250" w:h="15850"/>
          <w:pgMar w:header="0" w:footer="977" w:top="1360" w:bottom="1220" w:left="880" w:right="1580"/>
        </w:sectPr>
      </w:pPr>
    </w:p>
    <w:p>
      <w:pPr>
        <w:spacing w:line="360" w:lineRule="auto" w:before="50"/>
        <w:ind w:left="822" w:right="84" w:hanging="709"/>
        <w:jc w:val="left"/>
        <w:rPr>
          <w:sz w:val="24"/>
        </w:rPr>
      </w:pPr>
      <w:r>
        <w:rPr>
          <w:sz w:val="24"/>
        </w:rPr>
        <w:t>Sims, C., 1986. Are forecasting Models Usable for Policy Analysis?. </w:t>
      </w:r>
      <w:r>
        <w:rPr>
          <w:i/>
          <w:sz w:val="24"/>
        </w:rPr>
        <w:t>Federal Reserve Bank of </w:t>
      </w:r>
      <w:r>
        <w:rPr>
          <w:i/>
          <w:sz w:val="24"/>
        </w:rPr>
        <w:t>Minneapolis Quarterly Review, </w:t>
      </w:r>
      <w:r>
        <w:rPr>
          <w:sz w:val="24"/>
        </w:rPr>
        <w:t>pp. 3-16.</w:t>
      </w:r>
    </w:p>
    <w:p>
      <w:pPr>
        <w:spacing w:line="360" w:lineRule="auto" w:before="6"/>
        <w:ind w:left="822" w:right="84" w:hanging="709"/>
        <w:jc w:val="left"/>
        <w:rPr>
          <w:i/>
          <w:sz w:val="24"/>
        </w:rPr>
      </w:pPr>
      <w:r>
        <w:rPr>
          <w:sz w:val="24"/>
        </w:rPr>
        <w:t>Smidova, Z., 2011. </w:t>
      </w:r>
      <w:r>
        <w:rPr>
          <w:i/>
          <w:sz w:val="24"/>
        </w:rPr>
        <w:t>Public spending efficiency in the Czech Republic: Fiscal Policy framework and </w:t>
      </w:r>
      <w:r>
        <w:rPr>
          <w:i/>
          <w:sz w:val="24"/>
        </w:rPr>
        <w:t>the main spending areas of pensions and healthcare.</w:t>
      </w:r>
    </w:p>
    <w:p>
      <w:pPr>
        <w:spacing w:line="360" w:lineRule="auto" w:before="6"/>
        <w:ind w:left="822" w:right="84" w:hanging="709"/>
        <w:jc w:val="left"/>
        <w:rPr>
          <w:sz w:val="24"/>
        </w:rPr>
      </w:pPr>
      <w:r>
        <w:rPr>
          <w:sz w:val="24"/>
        </w:rPr>
        <w:t>Sparrowe, R. &amp; Mayer, K., 2011. Grounding hypotheses. </w:t>
      </w:r>
      <w:r>
        <w:rPr>
          <w:i/>
          <w:sz w:val="24"/>
        </w:rPr>
        <w:t>Academy of Management Journal, </w:t>
      </w:r>
      <w:r>
        <w:rPr>
          <w:sz w:val="24"/>
        </w:rPr>
        <w:t>54(6), pp. 1098-1102.</w:t>
      </w:r>
    </w:p>
    <w:p>
      <w:pPr>
        <w:spacing w:before="6"/>
        <w:ind w:left="113" w:right="84" w:firstLine="0"/>
        <w:jc w:val="left"/>
        <w:rPr>
          <w:i/>
          <w:sz w:val="24"/>
        </w:rPr>
      </w:pPr>
      <w:r>
        <w:rPr>
          <w:sz w:val="24"/>
        </w:rPr>
        <w:t>Stevens, P., 2003. </w:t>
      </w:r>
      <w:r>
        <w:rPr>
          <w:i/>
          <w:sz w:val="24"/>
        </w:rPr>
        <w:t>Resource impact – curse or blessing, a literature survey.</w:t>
      </w:r>
    </w:p>
    <w:p>
      <w:pPr>
        <w:pStyle w:val="BodyText"/>
        <w:spacing w:line="362" w:lineRule="auto" w:before="137"/>
        <w:ind w:left="822" w:right="84" w:hanging="709"/>
      </w:pPr>
      <w:r>
        <w:rPr/>
        <w:t>Stiglitz, J., 1976. Monopoly and the Rate of Extraction of Exhaustible Resources. </w:t>
      </w:r>
      <w:r>
        <w:rPr>
          <w:i/>
        </w:rPr>
        <w:t>American </w:t>
      </w:r>
      <w:r>
        <w:rPr>
          <w:i/>
        </w:rPr>
        <w:t>Economic Review, </w:t>
      </w:r>
      <w:r>
        <w:rPr/>
        <w:t>Volumen 66, pp. 655-661.</w:t>
      </w:r>
    </w:p>
    <w:p>
      <w:pPr>
        <w:spacing w:before="1"/>
        <w:ind w:left="113" w:right="84" w:firstLine="0"/>
        <w:jc w:val="left"/>
        <w:rPr>
          <w:i/>
          <w:sz w:val="24"/>
        </w:rPr>
      </w:pPr>
      <w:r>
        <w:rPr>
          <w:sz w:val="24"/>
        </w:rPr>
        <w:t>Stiglitz, J., 2000. </w:t>
      </w:r>
      <w:r>
        <w:rPr>
          <w:i/>
          <w:sz w:val="24"/>
        </w:rPr>
        <w:t>La economía del sector público.</w:t>
      </w:r>
    </w:p>
    <w:p>
      <w:pPr>
        <w:pStyle w:val="BodyText"/>
        <w:spacing w:before="139"/>
        <w:ind w:left="113" w:right="84"/>
      </w:pPr>
      <w:r>
        <w:rPr/>
        <w:t>Stiglitz, J. &amp; Dasgupta, P., 1981. Market Structure and Resource Extraction under Uncertainty.</w:t>
      </w:r>
    </w:p>
    <w:p>
      <w:pPr>
        <w:spacing w:before="137"/>
        <w:ind w:left="822" w:right="84" w:firstLine="0"/>
        <w:jc w:val="left"/>
        <w:rPr>
          <w:sz w:val="24"/>
        </w:rPr>
      </w:pPr>
      <w:r>
        <w:rPr>
          <w:i/>
          <w:sz w:val="24"/>
        </w:rPr>
        <w:t>Scand. J. Of Economics, </w:t>
      </w:r>
      <w:r>
        <w:rPr>
          <w:sz w:val="24"/>
        </w:rPr>
        <w:t>pp. 319 -332.</w:t>
      </w:r>
    </w:p>
    <w:p>
      <w:pPr>
        <w:pStyle w:val="BodyText"/>
        <w:spacing w:line="360" w:lineRule="auto" w:before="139"/>
        <w:ind w:left="822" w:right="119" w:hanging="709"/>
        <w:jc w:val="both"/>
      </w:pPr>
      <w:r>
        <w:rPr/>
        <w:t>Stoian, A. &amp; Câmpeanu, E., 2010. Fiscal Policy Reaction in the short term for Assessing Fiscal Sustainability in the long run in Central and Easter European Countries. </w:t>
      </w:r>
      <w:r>
        <w:rPr>
          <w:i/>
        </w:rPr>
        <w:t>Journal of </w:t>
      </w:r>
      <w:r>
        <w:rPr>
          <w:i/>
        </w:rPr>
        <w:t>Economics and Finances, </w:t>
      </w:r>
      <w:r>
        <w:rPr/>
        <w:t>60(6), pp. 501-518.</w:t>
      </w:r>
    </w:p>
    <w:p>
      <w:pPr>
        <w:spacing w:line="360" w:lineRule="auto" w:before="4"/>
        <w:ind w:left="822" w:right="185" w:hanging="709"/>
        <w:jc w:val="left"/>
        <w:rPr>
          <w:i/>
          <w:sz w:val="24"/>
        </w:rPr>
      </w:pPr>
      <w:r>
        <w:rPr>
          <w:sz w:val="24"/>
        </w:rPr>
        <w:t>Strawczynski, M. &amp; Zeira, J., 2011. </w:t>
      </w:r>
      <w:r>
        <w:rPr>
          <w:i/>
          <w:sz w:val="24"/>
        </w:rPr>
        <w:t>Procyclicality of fiscal policy in emerging countries: The  </w:t>
      </w:r>
      <w:r>
        <w:rPr>
          <w:i/>
          <w:sz w:val="24"/>
        </w:rPr>
        <w:t>Cycle is the</w:t>
      </w:r>
      <w:r>
        <w:rPr>
          <w:i/>
          <w:spacing w:val="-5"/>
          <w:sz w:val="24"/>
        </w:rPr>
        <w:t> </w:t>
      </w:r>
      <w:r>
        <w:rPr>
          <w:i/>
          <w:sz w:val="24"/>
        </w:rPr>
        <w:t>Trend.</w:t>
      </w:r>
    </w:p>
    <w:p>
      <w:pPr>
        <w:spacing w:line="360" w:lineRule="auto" w:before="4"/>
        <w:ind w:left="113" w:right="482" w:firstLine="0"/>
        <w:jc w:val="left"/>
        <w:rPr>
          <w:i/>
          <w:sz w:val="24"/>
        </w:rPr>
      </w:pPr>
      <w:r>
        <w:rPr>
          <w:sz w:val="24"/>
        </w:rPr>
        <w:t>Sturm, J., 2001. </w:t>
      </w:r>
      <w:r>
        <w:rPr>
          <w:i/>
          <w:sz w:val="24"/>
        </w:rPr>
        <w:t>Determinants of public capital spending. </w:t>
      </w:r>
      <w:r>
        <w:rPr>
          <w:sz w:val="24"/>
        </w:rPr>
        <w:t>Frankfurt, Monday 11 June 2001, s.n. Sylos-Labini, P., 1962. </w:t>
      </w:r>
      <w:r>
        <w:rPr>
          <w:i/>
          <w:sz w:val="24"/>
        </w:rPr>
        <w:t>Oligopoly and Technical Progress.</w:t>
      </w:r>
    </w:p>
    <w:p>
      <w:pPr>
        <w:spacing w:before="4"/>
        <w:ind w:left="113" w:right="84" w:firstLine="0"/>
        <w:jc w:val="left"/>
        <w:rPr>
          <w:i/>
          <w:sz w:val="24"/>
        </w:rPr>
      </w:pPr>
      <w:r>
        <w:rPr>
          <w:sz w:val="24"/>
        </w:rPr>
        <w:t>Talvi, E. &amp; Végh, C., 1998. </w:t>
      </w:r>
      <w:r>
        <w:rPr>
          <w:i/>
          <w:sz w:val="24"/>
        </w:rPr>
        <w:t>Fiscal Policy Sustainability: A basic framework.</w:t>
      </w:r>
    </w:p>
    <w:p>
      <w:pPr>
        <w:spacing w:line="360" w:lineRule="auto" w:before="139"/>
        <w:ind w:left="822" w:right="84" w:hanging="709"/>
        <w:jc w:val="left"/>
        <w:rPr>
          <w:sz w:val="24"/>
        </w:rPr>
      </w:pPr>
      <w:r>
        <w:rPr>
          <w:sz w:val="24"/>
        </w:rPr>
        <w:t>Talvi, E. &amp; Végh, C., 2005. Tax base variability and procyclical fiscal policy in developing countries. </w:t>
      </w:r>
      <w:r>
        <w:rPr>
          <w:i/>
          <w:sz w:val="24"/>
        </w:rPr>
        <w:t>Journal of Development Economics, </w:t>
      </w:r>
      <w:r>
        <w:rPr>
          <w:sz w:val="24"/>
        </w:rPr>
        <w:t>Volumen 78, p. 156– 190.</w:t>
      </w:r>
    </w:p>
    <w:p>
      <w:pPr>
        <w:spacing w:line="360" w:lineRule="auto" w:before="6"/>
        <w:ind w:left="822" w:right="185" w:hanging="709"/>
        <w:jc w:val="left"/>
        <w:rPr>
          <w:i/>
          <w:sz w:val="24"/>
        </w:rPr>
      </w:pPr>
      <w:r>
        <w:rPr>
          <w:sz w:val="24"/>
        </w:rPr>
        <w:t>Tanner, E. &amp; Samake, I., 2006. </w:t>
      </w:r>
      <w:r>
        <w:rPr>
          <w:i/>
          <w:sz w:val="24"/>
        </w:rPr>
        <w:t>Probabilistic Sustainability of Public Debt: A Vector </w:t>
      </w:r>
      <w:r>
        <w:rPr>
          <w:i/>
          <w:sz w:val="24"/>
        </w:rPr>
        <w:t>Autoregression Approach for Brazil, Mexico and Turkey.</w:t>
      </w:r>
    </w:p>
    <w:p>
      <w:pPr>
        <w:spacing w:line="360" w:lineRule="auto" w:before="4"/>
        <w:ind w:left="822" w:right="84" w:hanging="709"/>
        <w:jc w:val="left"/>
        <w:rPr>
          <w:i/>
          <w:sz w:val="24"/>
        </w:rPr>
      </w:pPr>
      <w:r>
        <w:rPr>
          <w:sz w:val="24"/>
        </w:rPr>
        <w:t>Taylor, J. &amp; Speaker, K., 2008. </w:t>
      </w:r>
      <w:r>
        <w:rPr>
          <w:i/>
          <w:sz w:val="24"/>
        </w:rPr>
        <w:t>The Financial Crisis and the Policy Responses: An Empirical </w:t>
      </w:r>
      <w:r>
        <w:rPr>
          <w:i/>
          <w:sz w:val="24"/>
        </w:rPr>
        <w:t>Analysis of What Went Wrong.</w:t>
      </w:r>
    </w:p>
    <w:p>
      <w:pPr>
        <w:spacing w:line="360" w:lineRule="auto" w:before="4"/>
        <w:ind w:left="822" w:right="84" w:hanging="709"/>
        <w:jc w:val="left"/>
        <w:rPr>
          <w:sz w:val="24"/>
        </w:rPr>
      </w:pPr>
      <w:r>
        <w:rPr>
          <w:sz w:val="24"/>
        </w:rPr>
        <w:t>Teece, D., Pisano, G. &amp; Shuen, A., 1997. Dynamic capabilities and strategic managment. </w:t>
      </w:r>
      <w:r>
        <w:rPr>
          <w:i/>
          <w:sz w:val="24"/>
        </w:rPr>
        <w:t>Strategic </w:t>
      </w:r>
      <w:r>
        <w:rPr>
          <w:i/>
          <w:sz w:val="24"/>
        </w:rPr>
        <w:t>Managment Journal, </w:t>
      </w:r>
      <w:r>
        <w:rPr>
          <w:sz w:val="24"/>
        </w:rPr>
        <w:t>18(7), pp. 509-533.</w:t>
      </w:r>
    </w:p>
    <w:p>
      <w:pPr>
        <w:spacing w:line="360" w:lineRule="auto" w:before="4"/>
        <w:ind w:left="822" w:right="185" w:hanging="709"/>
        <w:jc w:val="left"/>
        <w:rPr>
          <w:sz w:val="24"/>
        </w:rPr>
      </w:pPr>
      <w:r>
        <w:rPr>
          <w:sz w:val="24"/>
        </w:rPr>
        <w:t>Thomas, J. &amp; Worrall, T., 1994. Foreign direct investment and the risk of expropriation. </w:t>
      </w:r>
      <w:r>
        <w:rPr>
          <w:i/>
          <w:sz w:val="24"/>
        </w:rPr>
        <w:t>The </w:t>
      </w:r>
      <w:r>
        <w:rPr>
          <w:i/>
          <w:sz w:val="24"/>
        </w:rPr>
        <w:t>Review of Economic Studies, </w:t>
      </w:r>
      <w:r>
        <w:rPr>
          <w:sz w:val="24"/>
        </w:rPr>
        <w:t>61(1), pp. 81-108.</w:t>
      </w:r>
    </w:p>
    <w:p>
      <w:pPr>
        <w:spacing w:after="0" w:line="360" w:lineRule="auto"/>
        <w:jc w:val="left"/>
        <w:rPr>
          <w:sz w:val="24"/>
        </w:rPr>
        <w:sectPr>
          <w:pgSz w:w="12250" w:h="15850"/>
          <w:pgMar w:header="0" w:footer="977" w:top="1360" w:bottom="1220" w:left="880" w:right="1580"/>
        </w:sectPr>
      </w:pPr>
    </w:p>
    <w:p>
      <w:pPr>
        <w:spacing w:line="360" w:lineRule="auto" w:before="50"/>
        <w:ind w:left="822" w:right="115" w:hanging="709"/>
        <w:jc w:val="both"/>
        <w:rPr>
          <w:sz w:val="24"/>
        </w:rPr>
      </w:pPr>
      <w:r>
        <w:rPr>
          <w:sz w:val="24"/>
        </w:rPr>
        <w:t>Ucal, M. &amp; Alici, A., 2010. Is fiscal Policy sustainable in Turkey. </w:t>
      </w:r>
      <w:r>
        <w:rPr>
          <w:i/>
          <w:sz w:val="24"/>
        </w:rPr>
        <w:t>Emerging Markets, Finance &amp; </w:t>
      </w:r>
      <w:r>
        <w:rPr>
          <w:i/>
          <w:sz w:val="24"/>
        </w:rPr>
        <w:t>Trade, </w:t>
      </w:r>
      <w:r>
        <w:rPr>
          <w:sz w:val="24"/>
        </w:rPr>
        <w:t>46(1), p. 83 – 93.</w:t>
      </w:r>
    </w:p>
    <w:p>
      <w:pPr>
        <w:spacing w:line="360" w:lineRule="auto" w:before="6"/>
        <w:ind w:left="822" w:right="116" w:hanging="709"/>
        <w:jc w:val="both"/>
        <w:rPr>
          <w:i/>
          <w:sz w:val="24"/>
        </w:rPr>
      </w:pPr>
      <w:r>
        <w:rPr>
          <w:sz w:val="24"/>
        </w:rPr>
        <w:t>Utlaut, J. &amp; Van Roye, B., 2010. </w:t>
      </w:r>
      <w:r>
        <w:rPr>
          <w:i/>
          <w:sz w:val="24"/>
        </w:rPr>
        <w:t>The Effects of External Shocks on Business Cycles in Emerging </w:t>
      </w:r>
      <w:r>
        <w:rPr>
          <w:i/>
          <w:sz w:val="24"/>
        </w:rPr>
        <w:t>Asia: A Bayesian VAR Model.</w:t>
      </w:r>
    </w:p>
    <w:p>
      <w:pPr>
        <w:pStyle w:val="BodyText"/>
        <w:spacing w:before="6"/>
        <w:ind w:left="113" w:right="84"/>
      </w:pPr>
      <w:r>
        <w:rPr>
          <w:w w:val="105"/>
        </w:rPr>
        <w:t>Vahtra, P., 2009. Energy security in Europe in the aftermath of 2009 Russia-                      </w:t>
      </w:r>
      <w:r>
        <w:rPr>
          <w:w w:val="120"/>
        </w:rPr>
        <w:t>‖ </w:t>
      </w:r>
      <w:r>
        <w:rPr>
          <w:w w:val="105"/>
        </w:rPr>
        <w:t>I </w:t>
      </w:r>
      <w:r>
        <w:rPr>
          <w:w w:val="120"/>
        </w:rPr>
        <w:t>:</w:t>
      </w:r>
    </w:p>
    <w:p>
      <w:pPr>
        <w:spacing w:line="360" w:lineRule="auto" w:before="137"/>
        <w:ind w:left="822" w:right="117" w:firstLine="0"/>
        <w:jc w:val="left"/>
        <w:rPr>
          <w:sz w:val="24"/>
        </w:rPr>
      </w:pPr>
      <w:r>
        <w:rPr>
          <w:w w:val="44"/>
          <w:sz w:val="24"/>
        </w:rPr>
        <w:t>―</w:t>
      </w:r>
      <w:r>
        <w:rPr>
          <w:w w:val="139"/>
          <w:sz w:val="24"/>
        </w:rPr>
        <w:t>T  </w:t>
      </w:r>
      <w:r>
        <w:rPr>
          <w:sz w:val="24"/>
        </w:rPr>
        <w:t> </w:t>
      </w:r>
      <w:r>
        <w:rPr>
          <w:w w:val="266"/>
          <w:sz w:val="24"/>
        </w:rPr>
        <w:t>  </w:t>
      </w:r>
      <w:r>
        <w:rPr>
          <w:w w:val="99"/>
          <w:sz w:val="24"/>
        </w:rPr>
        <w:t>-R</w:t>
      </w:r>
      <w:r>
        <w:rPr>
          <w:w w:val="99"/>
          <w:sz w:val="24"/>
        </w:rPr>
        <w:t>ussi</w:t>
      </w:r>
      <w:r>
        <w:rPr>
          <w:sz w:val="24"/>
        </w:rPr>
        <w:t>a  ga</w:t>
      </w:r>
      <w:r>
        <w:rPr>
          <w:w w:val="99"/>
          <w:sz w:val="24"/>
        </w:rPr>
        <w:t>s</w:t>
      </w:r>
      <w:r>
        <w:rPr>
          <w:sz w:val="24"/>
        </w:rPr>
        <w:t>  connection: </w:t>
      </w:r>
      <w:r>
        <w:rPr>
          <w:w w:val="99"/>
          <w:sz w:val="24"/>
        </w:rPr>
        <w:t>P</w:t>
      </w:r>
      <w:r>
        <w:rPr>
          <w:w w:val="99"/>
          <w:sz w:val="24"/>
        </w:rPr>
        <w:t>ipes, politic</w:t>
      </w:r>
      <w:r>
        <w:rPr>
          <w:w w:val="99"/>
          <w:sz w:val="24"/>
        </w:rPr>
        <w:t>s</w:t>
      </w:r>
      <w:r>
        <w:rPr>
          <w:sz w:val="24"/>
        </w:rPr>
        <w:t> and problems.  </w:t>
      </w:r>
      <w:r>
        <w:rPr>
          <w:i/>
          <w:sz w:val="24"/>
        </w:rPr>
        <w:t>Electronic Publicati</w:t>
      </w:r>
      <w:r>
        <w:rPr>
          <w:i/>
          <w:w w:val="99"/>
          <w:sz w:val="24"/>
        </w:rPr>
        <w:t>ons</w:t>
      </w:r>
      <w:r>
        <w:rPr>
          <w:i/>
          <w:sz w:val="24"/>
        </w:rPr>
        <w:t> of</w:t>
      </w:r>
      <w:r>
        <w:rPr>
          <w:i/>
          <w:sz w:val="24"/>
        </w:rPr>
        <w:t> Pan-European Institute, </w:t>
      </w:r>
      <w:r>
        <w:rPr>
          <w:sz w:val="24"/>
        </w:rPr>
        <w:t>Volumen 8, pp. 158 -165.</w:t>
      </w:r>
    </w:p>
    <w:p>
      <w:pPr>
        <w:spacing w:line="362" w:lineRule="auto" w:before="4"/>
        <w:ind w:left="822" w:right="121" w:hanging="709"/>
        <w:jc w:val="both"/>
        <w:rPr>
          <w:sz w:val="24"/>
        </w:rPr>
      </w:pPr>
      <w:r>
        <w:rPr>
          <w:sz w:val="24"/>
        </w:rPr>
        <w:t>Valdivia, D. &amp; Montenegro, M., 2010. </w:t>
      </w:r>
      <w:r>
        <w:rPr>
          <w:i/>
          <w:sz w:val="24"/>
        </w:rPr>
        <w:t>Reglas Fiscales en Bolivia en el contexto de un Modelo de </w:t>
      </w:r>
      <w:r>
        <w:rPr>
          <w:i/>
          <w:sz w:val="24"/>
        </w:rPr>
        <w:t>Equilibrio General Dinámico General Estocástico, </w:t>
      </w:r>
      <w:r>
        <w:rPr>
          <w:sz w:val="24"/>
        </w:rPr>
        <w:t>La Paz.</w:t>
      </w:r>
    </w:p>
    <w:p>
      <w:pPr>
        <w:spacing w:before="1"/>
        <w:ind w:left="113" w:right="84" w:firstLine="0"/>
        <w:jc w:val="left"/>
        <w:rPr>
          <w:i/>
          <w:sz w:val="24"/>
        </w:rPr>
      </w:pPr>
      <w:r>
        <w:rPr>
          <w:sz w:val="24"/>
        </w:rPr>
        <w:t>Valdivia, D. &amp; Yujra, P., 2009. </w:t>
      </w:r>
      <w:r>
        <w:rPr>
          <w:i/>
          <w:sz w:val="24"/>
        </w:rPr>
        <w:t>Identificación de los ciclos económicos en Bolivia: 1970 - 2008.</w:t>
      </w:r>
    </w:p>
    <w:p>
      <w:pPr>
        <w:spacing w:line="360" w:lineRule="auto" w:before="139"/>
        <w:ind w:left="822" w:right="115" w:hanging="709"/>
        <w:jc w:val="both"/>
        <w:rPr>
          <w:sz w:val="24"/>
        </w:rPr>
      </w:pPr>
      <w:r>
        <w:rPr>
          <w:sz w:val="24"/>
        </w:rPr>
        <w:t>van der Ploeg, F. &amp; Poelhekke, S., 2008. Volatility and the Natural Resource Curse. </w:t>
      </w:r>
      <w:r>
        <w:rPr>
          <w:i/>
          <w:sz w:val="24"/>
        </w:rPr>
        <w:t>OxCarre </w:t>
      </w:r>
      <w:r>
        <w:rPr>
          <w:i/>
          <w:sz w:val="24"/>
        </w:rPr>
        <w:t>Research Paper, No. 2008-03, </w:t>
      </w:r>
      <w:r>
        <w:rPr>
          <w:sz w:val="24"/>
        </w:rPr>
        <w:t>pp. 1-30.</w:t>
      </w:r>
    </w:p>
    <w:p>
      <w:pPr>
        <w:spacing w:line="360" w:lineRule="auto" w:before="6"/>
        <w:ind w:left="822" w:right="120" w:hanging="709"/>
        <w:jc w:val="both"/>
        <w:rPr>
          <w:i/>
          <w:sz w:val="24"/>
        </w:rPr>
      </w:pPr>
      <w:r>
        <w:rPr>
          <w:sz w:val="24"/>
        </w:rPr>
        <w:t>van der Ploeg, F. &amp; Venables, A., 2009. Harnessing Windfall Revenues: Optimal Policies for Resource-Rich Developing Economies. </w:t>
      </w:r>
      <w:r>
        <w:rPr>
          <w:i/>
          <w:sz w:val="24"/>
        </w:rPr>
        <w:t>CESIFO WORKING PAPER NO. 2571, </w:t>
      </w:r>
      <w:r>
        <w:rPr>
          <w:i/>
          <w:sz w:val="24"/>
        </w:rPr>
        <w:t>CATEGORY 1: PUBLIC FINANCE.</w:t>
      </w:r>
    </w:p>
    <w:p>
      <w:pPr>
        <w:spacing w:line="360" w:lineRule="auto" w:before="4"/>
        <w:ind w:left="822" w:right="120" w:hanging="709"/>
        <w:jc w:val="both"/>
        <w:rPr>
          <w:i/>
          <w:sz w:val="24"/>
        </w:rPr>
      </w:pPr>
      <w:r>
        <w:rPr>
          <w:sz w:val="24"/>
        </w:rPr>
        <w:t>Venables, A., 2010. Resource rents; when to spent and how to save. </w:t>
      </w:r>
      <w:r>
        <w:rPr>
          <w:i/>
          <w:sz w:val="24"/>
        </w:rPr>
        <w:t>Oxfor Centre for the Analysis </w:t>
      </w:r>
      <w:r>
        <w:rPr>
          <w:i/>
          <w:sz w:val="24"/>
        </w:rPr>
        <w:t>of Resource Rich Countries, 13/5/10.</w:t>
      </w:r>
    </w:p>
    <w:p>
      <w:pPr>
        <w:pStyle w:val="BodyText"/>
        <w:spacing w:before="4"/>
        <w:ind w:left="113" w:right="84"/>
      </w:pPr>
      <w:r>
        <w:rPr/>
        <w:t>Vergara, R., 2002. Política y Sostenibilidad Fiscal en Chile. </w:t>
      </w:r>
      <w:r>
        <w:rPr>
          <w:i/>
        </w:rPr>
        <w:t>Estudios Públicos, </w:t>
      </w:r>
      <w:r>
        <w:rPr/>
        <w:t>Volumen 88, pp.</w:t>
      </w:r>
    </w:p>
    <w:p>
      <w:pPr>
        <w:pStyle w:val="BodyText"/>
        <w:spacing w:before="139"/>
        <w:ind w:left="822" w:right="84"/>
      </w:pPr>
      <w:r>
        <w:rPr/>
        <w:t>45 -65.</w:t>
      </w:r>
    </w:p>
    <w:p>
      <w:pPr>
        <w:spacing w:line="360" w:lineRule="auto" w:before="137"/>
        <w:ind w:left="822" w:right="121" w:hanging="709"/>
        <w:jc w:val="both"/>
        <w:rPr>
          <w:sz w:val="24"/>
        </w:rPr>
      </w:pPr>
      <w:r>
        <w:rPr>
          <w:sz w:val="24"/>
        </w:rPr>
        <w:t>Vickers, J. &amp; Yarrow, G., 1991. Economic Perspectives on Privatization. </w:t>
      </w:r>
      <w:r>
        <w:rPr>
          <w:i/>
          <w:sz w:val="24"/>
        </w:rPr>
        <w:t>The Journal of Economic </w:t>
      </w:r>
      <w:r>
        <w:rPr>
          <w:i/>
          <w:sz w:val="24"/>
        </w:rPr>
        <w:t>Perspectives, </w:t>
      </w:r>
      <w:r>
        <w:rPr>
          <w:sz w:val="24"/>
        </w:rPr>
        <w:t>5(2), pp. 111-132.</w:t>
      </w:r>
    </w:p>
    <w:p>
      <w:pPr>
        <w:spacing w:line="360" w:lineRule="auto" w:before="4"/>
        <w:ind w:left="822" w:right="124" w:hanging="709"/>
        <w:jc w:val="both"/>
        <w:rPr>
          <w:i/>
          <w:sz w:val="24"/>
        </w:rPr>
      </w:pPr>
      <w:r>
        <w:rPr>
          <w:sz w:val="24"/>
        </w:rPr>
        <w:t>Villafuerte, M. &amp; López, P., 2010. Fiscal Policy in Oil Producing Countries During the Recent Oil Price Cycle. </w:t>
      </w:r>
      <w:r>
        <w:rPr>
          <w:i/>
          <w:sz w:val="24"/>
        </w:rPr>
        <w:t>International Monetary Fund.</w:t>
      </w:r>
    </w:p>
    <w:p>
      <w:pPr>
        <w:spacing w:line="360" w:lineRule="auto" w:before="4"/>
        <w:ind w:left="822" w:right="116" w:hanging="709"/>
        <w:jc w:val="both"/>
        <w:rPr>
          <w:i/>
          <w:sz w:val="24"/>
        </w:rPr>
      </w:pPr>
      <w:r>
        <w:rPr>
          <w:sz w:val="24"/>
        </w:rPr>
        <w:t>Villafuerte, M., López, P. &amp; Ossowski, R., 2011. </w:t>
      </w:r>
      <w:r>
        <w:rPr>
          <w:i/>
          <w:sz w:val="24"/>
        </w:rPr>
        <w:t>Riding the Roller Coaster: Fiscal policies of non- </w:t>
      </w:r>
      <w:r>
        <w:rPr>
          <w:i/>
          <w:sz w:val="24"/>
        </w:rPr>
        <w:t>nonrenewable resources exporters in Latin American and the Caribbean.</w:t>
      </w:r>
    </w:p>
    <w:p>
      <w:pPr>
        <w:spacing w:line="360" w:lineRule="auto" w:before="6"/>
        <w:ind w:left="822" w:right="116" w:hanging="709"/>
        <w:jc w:val="both"/>
        <w:rPr>
          <w:sz w:val="24"/>
        </w:rPr>
      </w:pPr>
      <w:r>
        <w:rPr>
          <w:sz w:val="24"/>
        </w:rPr>
        <w:t>Villar, J. &amp; Joutz, F., 2006. The relationship between oil and gas prices. </w:t>
      </w:r>
      <w:r>
        <w:rPr>
          <w:i/>
          <w:sz w:val="24"/>
        </w:rPr>
        <w:t>Energy Information </w:t>
      </w:r>
      <w:r>
        <w:rPr>
          <w:i/>
          <w:sz w:val="24"/>
        </w:rPr>
        <w:t>Administration, </w:t>
      </w:r>
      <w:r>
        <w:rPr>
          <w:sz w:val="24"/>
        </w:rPr>
        <w:t>Octubre.pp. 1-43.</w:t>
      </w:r>
    </w:p>
    <w:p>
      <w:pPr>
        <w:spacing w:line="360" w:lineRule="auto" w:before="6"/>
        <w:ind w:left="113" w:right="84" w:firstLine="0"/>
        <w:jc w:val="left"/>
        <w:rPr>
          <w:i/>
          <w:sz w:val="24"/>
        </w:rPr>
      </w:pPr>
      <w:r>
        <w:rPr>
          <w:sz w:val="24"/>
        </w:rPr>
        <w:t>Villegas, C., 2004. </w:t>
      </w:r>
      <w:r>
        <w:rPr>
          <w:i/>
          <w:sz w:val="24"/>
        </w:rPr>
        <w:t>Privatización de la industria petrolera en Bolivia. </w:t>
      </w:r>
      <w:r>
        <w:rPr>
          <w:sz w:val="24"/>
        </w:rPr>
        <w:t>Segunda ed. La Paz: Plural. von Thadden,  L.  &amp; Vidal, J., 2010.  Debt Stabilizing Fiscal Rules.  </w:t>
      </w:r>
      <w:r>
        <w:rPr>
          <w:i/>
          <w:sz w:val="24"/>
        </w:rPr>
        <w:t>Journal of Public     Economic</w:t>
      </w:r>
    </w:p>
    <w:p>
      <w:pPr>
        <w:spacing w:before="6"/>
        <w:ind w:left="822" w:right="84" w:firstLine="0"/>
        <w:jc w:val="left"/>
        <w:rPr>
          <w:sz w:val="24"/>
        </w:rPr>
      </w:pPr>
      <w:r>
        <w:rPr>
          <w:i/>
          <w:sz w:val="24"/>
        </w:rPr>
        <w:t>Theory, </w:t>
      </w:r>
      <w:r>
        <w:rPr>
          <w:sz w:val="24"/>
        </w:rPr>
        <w:t>12(5), pp. 923-941.</w:t>
      </w:r>
    </w:p>
    <w:p>
      <w:pPr>
        <w:spacing w:after="0"/>
        <w:jc w:val="left"/>
        <w:rPr>
          <w:sz w:val="24"/>
        </w:rPr>
        <w:sectPr>
          <w:pgSz w:w="12250" w:h="15850"/>
          <w:pgMar w:header="0" w:footer="977" w:top="1360" w:bottom="1220" w:left="880" w:right="1580"/>
        </w:sectPr>
      </w:pPr>
    </w:p>
    <w:p>
      <w:pPr>
        <w:spacing w:line="360" w:lineRule="auto" w:before="50"/>
        <w:ind w:left="822" w:right="117" w:hanging="709"/>
        <w:jc w:val="both"/>
        <w:rPr>
          <w:sz w:val="24"/>
        </w:rPr>
      </w:pPr>
      <w:r>
        <w:rPr>
          <w:sz w:val="24"/>
        </w:rPr>
        <w:t>Wakeman-Lin, J., Mathieu, P. &amp; van Selm, B., 2003. Oil Fund in Transition Economies: Azerbaijan and Kazakhstan. En: J. Davis, R. Ossowski &amp; A. Fedelino, edits. </w:t>
      </w:r>
      <w:r>
        <w:rPr>
          <w:i/>
          <w:sz w:val="24"/>
        </w:rPr>
        <w:t>Fiscal Policy </w:t>
      </w:r>
      <w:r>
        <w:rPr>
          <w:i/>
          <w:sz w:val="24"/>
        </w:rPr>
        <w:t>Formulation, and Implementation in Oil-producing countries. </w:t>
      </w:r>
      <w:r>
        <w:rPr>
          <w:sz w:val="24"/>
        </w:rPr>
        <w:t>s.l.:s.n., pp.</w:t>
      </w:r>
      <w:r>
        <w:rPr>
          <w:spacing w:val="-9"/>
          <w:sz w:val="24"/>
        </w:rPr>
        <w:t> </w:t>
      </w:r>
      <w:r>
        <w:rPr>
          <w:sz w:val="24"/>
        </w:rPr>
        <w:t>339-358.</w:t>
      </w:r>
    </w:p>
    <w:p>
      <w:pPr>
        <w:spacing w:line="360" w:lineRule="auto" w:before="4"/>
        <w:ind w:left="822" w:right="116" w:hanging="709"/>
        <w:jc w:val="both"/>
        <w:rPr>
          <w:sz w:val="24"/>
        </w:rPr>
      </w:pPr>
      <w:r>
        <w:rPr>
          <w:sz w:val="24"/>
        </w:rPr>
        <w:t>Weick, K., 1995. What theory is not, theorizing is. </w:t>
      </w:r>
      <w:r>
        <w:rPr>
          <w:i/>
          <w:sz w:val="24"/>
        </w:rPr>
        <w:t>Administrative Science Quarterly, </w:t>
      </w:r>
      <w:r>
        <w:rPr>
          <w:sz w:val="24"/>
        </w:rPr>
        <w:t>Volumen 40, pp. 385-390.</w:t>
      </w:r>
    </w:p>
    <w:p>
      <w:pPr>
        <w:spacing w:before="4"/>
        <w:ind w:left="113" w:right="84" w:firstLine="0"/>
        <w:jc w:val="left"/>
        <w:rPr>
          <w:i/>
          <w:sz w:val="24"/>
        </w:rPr>
      </w:pPr>
      <w:r>
        <w:rPr>
          <w:sz w:val="24"/>
        </w:rPr>
        <w:t>Westerlund,  J. &amp; Edgerton,  D., 2007. A panel  bootstrap cointegration test.  </w:t>
      </w:r>
      <w:r>
        <w:rPr>
          <w:i/>
          <w:sz w:val="24"/>
        </w:rPr>
        <w:t>Economics     Letters,</w:t>
      </w:r>
    </w:p>
    <w:p>
      <w:pPr>
        <w:pStyle w:val="BodyText"/>
        <w:spacing w:before="139"/>
        <w:ind w:left="822" w:right="84"/>
      </w:pPr>
      <w:r>
        <w:rPr/>
        <w:t>97(3), pp. 185-190.</w:t>
      </w:r>
    </w:p>
    <w:p>
      <w:pPr>
        <w:spacing w:line="362" w:lineRule="auto" w:before="137"/>
        <w:ind w:left="822" w:right="120" w:hanging="709"/>
        <w:jc w:val="both"/>
        <w:rPr>
          <w:i/>
          <w:sz w:val="24"/>
        </w:rPr>
      </w:pPr>
      <w:r>
        <w:rPr>
          <w:sz w:val="24"/>
        </w:rPr>
        <w:t>Wijnbergen, S. &amp; Budina, N., 2011. </w:t>
      </w:r>
      <w:r>
        <w:rPr>
          <w:i/>
          <w:sz w:val="24"/>
        </w:rPr>
        <w:t>Fiscal Sustainability, Volatility and Oil Wealth: A Stochastic </w:t>
      </w:r>
      <w:r>
        <w:rPr>
          <w:i/>
          <w:sz w:val="24"/>
        </w:rPr>
        <w:t>Analysis of Fiscal Spending Rules.</w:t>
      </w:r>
    </w:p>
    <w:p>
      <w:pPr>
        <w:pStyle w:val="BodyText"/>
        <w:spacing w:line="360" w:lineRule="auto" w:before="1"/>
        <w:ind w:left="822" w:right="123" w:hanging="709"/>
        <w:jc w:val="both"/>
      </w:pPr>
      <w:r>
        <w:rPr/>
        <w:t>Wijnbergen, S. &amp; France, A., 2012. Assesing Debt Sustainability in a Stochastic Environment: 200 Years of Dutch Debt and Deficit Managment. </w:t>
      </w:r>
      <w:r>
        <w:rPr>
          <w:i/>
        </w:rPr>
        <w:t>De Economist, </w:t>
      </w:r>
      <w:r>
        <w:rPr/>
        <w:t>Volumen 160, pp. 219-236.</w:t>
      </w:r>
    </w:p>
    <w:p>
      <w:pPr>
        <w:spacing w:before="4"/>
        <w:ind w:left="113" w:right="84" w:firstLine="0"/>
        <w:jc w:val="left"/>
        <w:rPr>
          <w:i/>
          <w:sz w:val="24"/>
        </w:rPr>
      </w:pPr>
      <w:r>
        <w:rPr>
          <w:sz w:val="24"/>
        </w:rPr>
        <w:t>Williamson, O., 1996. The Mechanisms of Governance. </w:t>
      </w:r>
      <w:r>
        <w:rPr>
          <w:i/>
          <w:sz w:val="24"/>
        </w:rPr>
        <w:t>Oxford University Press.</w:t>
      </w:r>
    </w:p>
    <w:p>
      <w:pPr>
        <w:spacing w:line="360" w:lineRule="auto" w:before="139"/>
        <w:ind w:left="822" w:right="119" w:hanging="709"/>
        <w:jc w:val="both"/>
        <w:rPr>
          <w:sz w:val="24"/>
        </w:rPr>
      </w:pPr>
      <w:r>
        <w:rPr>
          <w:sz w:val="24"/>
        </w:rPr>
        <w:t>Willner, J., 1996. Social Objectives, Market Rule and Public Policy. En: P. Devine, Y. Katsoulacas &amp; R. Sugden, edits. </w:t>
      </w:r>
      <w:r>
        <w:rPr>
          <w:i/>
          <w:sz w:val="24"/>
        </w:rPr>
        <w:t>Competitiveness, Subsidiarity and Industrial Policy. </w:t>
      </w:r>
      <w:r>
        <w:rPr>
          <w:sz w:val="24"/>
        </w:rPr>
        <w:t>New York: Rutledge.</w:t>
      </w:r>
    </w:p>
    <w:p>
      <w:pPr>
        <w:pStyle w:val="BodyText"/>
        <w:spacing w:before="4"/>
        <w:ind w:left="113" w:right="84"/>
      </w:pPr>
      <w:r>
        <w:rPr/>
        <w:t>Willner,  J.,  1999.  Policy  objectives  and  performance  in  a  mixed  market  with       bargaining.</w:t>
      </w:r>
    </w:p>
    <w:p>
      <w:pPr>
        <w:spacing w:before="139"/>
        <w:ind w:left="822" w:right="84" w:firstLine="0"/>
        <w:jc w:val="left"/>
        <w:rPr>
          <w:sz w:val="24"/>
        </w:rPr>
      </w:pPr>
      <w:r>
        <w:rPr>
          <w:i/>
          <w:sz w:val="24"/>
        </w:rPr>
        <w:t>International Journal of Industrial Organization, </w:t>
      </w:r>
      <w:r>
        <w:rPr>
          <w:sz w:val="24"/>
        </w:rPr>
        <w:t>Volumen 17, p. 137–145.</w:t>
      </w:r>
    </w:p>
    <w:p>
      <w:pPr>
        <w:pStyle w:val="BodyText"/>
        <w:spacing w:line="360" w:lineRule="auto" w:before="137"/>
        <w:ind w:left="822" w:right="121" w:hanging="709"/>
        <w:jc w:val="both"/>
      </w:pPr>
      <w:r>
        <w:rPr/>
        <w:t>Wooldridge, J., 2010. Econometric Analysis of Cross-Section and Panel Data. En: s.l.:Cambridge, MA: The MIT Press.</w:t>
      </w:r>
    </w:p>
    <w:p>
      <w:pPr>
        <w:spacing w:line="360" w:lineRule="auto" w:before="4"/>
        <w:ind w:left="822" w:right="119" w:hanging="709"/>
        <w:jc w:val="both"/>
        <w:rPr>
          <w:sz w:val="24"/>
        </w:rPr>
      </w:pPr>
      <w:r>
        <w:rPr>
          <w:sz w:val="24"/>
        </w:rPr>
        <w:t>Wyplosz, C., 2011. Debt Sustainability Assessment: Mission Impossible. </w:t>
      </w:r>
      <w:r>
        <w:rPr>
          <w:i/>
          <w:sz w:val="24"/>
        </w:rPr>
        <w:t>Review of Economics  </w:t>
      </w:r>
      <w:r>
        <w:rPr>
          <w:i/>
          <w:sz w:val="24"/>
        </w:rPr>
        <w:t>and Institutions, </w:t>
      </w:r>
      <w:r>
        <w:rPr>
          <w:sz w:val="24"/>
        </w:rPr>
        <w:t>2(3), pp.</w:t>
      </w:r>
      <w:r>
        <w:rPr>
          <w:spacing w:val="-3"/>
          <w:sz w:val="24"/>
        </w:rPr>
        <w:t> </w:t>
      </w:r>
      <w:r>
        <w:rPr>
          <w:sz w:val="24"/>
        </w:rPr>
        <w:t>1-37.</w:t>
      </w:r>
    </w:p>
    <w:p>
      <w:pPr>
        <w:spacing w:before="4"/>
        <w:ind w:left="113" w:right="84" w:firstLine="0"/>
        <w:jc w:val="left"/>
        <w:rPr>
          <w:i/>
          <w:sz w:val="24"/>
        </w:rPr>
      </w:pPr>
      <w:r>
        <w:rPr>
          <w:sz w:val="24"/>
        </w:rPr>
        <w:t>Yacimientos Petrolíferos Fiscales Bolivianos, Y., 2012. </w:t>
      </w:r>
      <w:r>
        <w:rPr>
          <w:i/>
          <w:sz w:val="24"/>
        </w:rPr>
        <w:t>Estadísticas de mercados de exportación.</w:t>
      </w:r>
    </w:p>
    <w:p>
      <w:pPr>
        <w:pStyle w:val="BodyText"/>
        <w:spacing w:line="360" w:lineRule="auto" w:before="139"/>
        <w:ind w:left="113" w:right="185"/>
        <w:rPr>
          <w:i/>
        </w:rPr>
      </w:pPr>
      <w:r>
        <w:rPr/>
        <w:t>Yarrow, G., 1986. Privatization in Theory and Practice. </w:t>
      </w:r>
      <w:r>
        <w:rPr>
          <w:i/>
        </w:rPr>
        <w:t>Economic Policy, </w:t>
      </w:r>
      <w:r>
        <w:rPr/>
        <w:t>1(2), p. 319–378. Yarrow, G., 1999. A Theory of Privatization, or Why Bureaucrats are Still in Business?. </w:t>
      </w:r>
      <w:r>
        <w:rPr>
          <w:i/>
        </w:rPr>
        <w:t>World</w:t>
      </w:r>
    </w:p>
    <w:p>
      <w:pPr>
        <w:spacing w:before="4"/>
        <w:ind w:left="822" w:right="84" w:firstLine="0"/>
        <w:jc w:val="left"/>
        <w:rPr>
          <w:sz w:val="24"/>
        </w:rPr>
      </w:pPr>
      <w:r>
        <w:rPr>
          <w:i/>
          <w:sz w:val="24"/>
        </w:rPr>
        <w:t>Development, </w:t>
      </w:r>
      <w:r>
        <w:rPr>
          <w:sz w:val="24"/>
        </w:rPr>
        <w:t>27(1), p. 157–168.</w:t>
      </w:r>
    </w:p>
    <w:p>
      <w:pPr>
        <w:spacing w:line="360" w:lineRule="auto" w:before="139"/>
        <w:ind w:left="822" w:right="119" w:hanging="709"/>
        <w:jc w:val="both"/>
        <w:rPr>
          <w:i/>
          <w:sz w:val="24"/>
        </w:rPr>
      </w:pPr>
      <w:r>
        <w:rPr>
          <w:sz w:val="24"/>
        </w:rPr>
        <w:t>Zambrano, O. &amp; Aguilera, G., 2010. </w:t>
      </w:r>
      <w:r>
        <w:rPr>
          <w:i/>
          <w:sz w:val="24"/>
        </w:rPr>
        <w:t>Elementos de sostenibilidad fiscal en países ricos en </w:t>
      </w:r>
      <w:r>
        <w:rPr>
          <w:i/>
          <w:sz w:val="24"/>
        </w:rPr>
        <w:t>hidrocarburos: el caso de Bolivia.</w:t>
      </w:r>
    </w:p>
    <w:p>
      <w:pPr>
        <w:pStyle w:val="BodyText"/>
        <w:spacing w:line="360" w:lineRule="auto" w:before="6"/>
        <w:ind w:left="822" w:right="116" w:hanging="709"/>
        <w:jc w:val="both"/>
      </w:pPr>
      <w:r>
        <w:rPr/>
        <w:t>Zan Chiou Wei, S. &amp; Zhu, Z., 2006. Commodity convenience yield and risk premium determination: The case of U.S. natural gas market. </w:t>
      </w:r>
      <w:r>
        <w:rPr>
          <w:i/>
        </w:rPr>
        <w:t>Energy Economics, </w:t>
      </w:r>
      <w:r>
        <w:rPr/>
        <w:t>Volumen 28, pp. 523-534.</w:t>
      </w:r>
    </w:p>
    <w:p>
      <w:pPr>
        <w:spacing w:after="0" w:line="360" w:lineRule="auto"/>
        <w:jc w:val="both"/>
        <w:sectPr>
          <w:pgSz w:w="12250" w:h="15850"/>
          <w:pgMar w:header="0" w:footer="977" w:top="1360" w:bottom="1220" w:left="880" w:right="1580"/>
        </w:sectPr>
      </w:pPr>
    </w:p>
    <w:p>
      <w:pPr>
        <w:spacing w:line="360" w:lineRule="auto" w:before="50"/>
        <w:ind w:left="822" w:right="185" w:hanging="709"/>
        <w:jc w:val="left"/>
        <w:rPr>
          <w:sz w:val="24"/>
        </w:rPr>
      </w:pPr>
      <w:r>
        <w:rPr>
          <w:sz w:val="24"/>
        </w:rPr>
        <w:t>Zwart, G., 2009. European Natural Gas Market: Resource Constrains and Market Power. </w:t>
      </w:r>
      <w:r>
        <w:rPr>
          <w:i/>
          <w:sz w:val="24"/>
        </w:rPr>
        <w:t>The </w:t>
      </w:r>
      <w:r>
        <w:rPr>
          <w:i/>
          <w:sz w:val="24"/>
        </w:rPr>
        <w:t>energy Journal. International Association for Energy Economics., </w:t>
      </w:r>
      <w:r>
        <w:rPr>
          <w:sz w:val="24"/>
        </w:rPr>
        <w:t>p. 151 – 165..</w:t>
      </w:r>
    </w:p>
    <w:p>
      <w:pPr>
        <w:spacing w:after="0" w:line="360" w:lineRule="auto"/>
        <w:jc w:val="left"/>
        <w:rPr>
          <w:sz w:val="24"/>
        </w:rPr>
        <w:sectPr>
          <w:pgSz w:w="12250" w:h="15850"/>
          <w:pgMar w:header="0" w:footer="977" w:top="1360" w:bottom="1220" w:left="880" w:right="1580"/>
        </w:sectPr>
      </w:pPr>
    </w:p>
    <w:p>
      <w:pPr>
        <w:spacing w:before="54"/>
        <w:ind w:left="3732" w:right="3155" w:firstLine="0"/>
        <w:jc w:val="center"/>
        <w:rPr>
          <w:b/>
          <w:sz w:val="22"/>
        </w:rPr>
      </w:pPr>
      <w:bookmarkStart w:name="_bookmark168" w:id="233"/>
      <w:bookmarkEnd w:id="233"/>
      <w:r>
        <w:rPr/>
      </w:r>
      <w:r>
        <w:rPr>
          <w:b/>
          <w:sz w:val="28"/>
        </w:rPr>
        <w:t>L</w:t>
      </w:r>
      <w:r>
        <w:rPr>
          <w:b/>
          <w:sz w:val="22"/>
        </w:rPr>
        <w:t>ISTADO DE ANEXOS</w:t>
      </w:r>
    </w:p>
    <w:p>
      <w:pPr>
        <w:pStyle w:val="Heading4"/>
        <w:spacing w:before="241"/>
        <w:ind w:left="1822" w:firstLine="0"/>
      </w:pPr>
      <w:bookmarkStart w:name="_bookmark169" w:id="234"/>
      <w:bookmarkEnd w:id="234"/>
      <w:r>
        <w:rPr>
          <w:b w:val="0"/>
        </w:rPr>
      </w:r>
      <w:r>
        <w:rPr/>
        <w:t>Anexo 1.1  Nuevas reglas fiscales adoptadas desde 2010</w:t>
      </w:r>
    </w:p>
    <w:p>
      <w:pPr>
        <w:pStyle w:val="BodyText"/>
        <w:spacing w:before="9"/>
        <w:rPr>
          <w:b/>
          <w:sz w:val="8"/>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03"/>
        <w:gridCol w:w="1282"/>
        <w:gridCol w:w="6171"/>
      </w:tblGrid>
      <w:tr>
        <w:trPr>
          <w:trHeight w:val="355" w:hRule="exact"/>
        </w:trPr>
        <w:tc>
          <w:tcPr>
            <w:tcW w:w="1603" w:type="dxa"/>
          </w:tcPr>
          <w:p>
            <w:pPr>
              <w:pStyle w:val="TableParagraph"/>
              <w:spacing w:line="228" w:lineRule="exact"/>
              <w:ind w:left="496"/>
              <w:jc w:val="left"/>
              <w:rPr>
                <w:b/>
                <w:sz w:val="20"/>
              </w:rPr>
            </w:pPr>
            <w:r>
              <w:rPr>
                <w:b/>
                <w:sz w:val="20"/>
              </w:rPr>
              <w:t>Región</w:t>
            </w:r>
          </w:p>
        </w:tc>
        <w:tc>
          <w:tcPr>
            <w:tcW w:w="1282" w:type="dxa"/>
          </w:tcPr>
          <w:p>
            <w:pPr>
              <w:pStyle w:val="TableParagraph"/>
              <w:spacing w:line="228" w:lineRule="exact"/>
              <w:ind w:left="437" w:right="440"/>
              <w:rPr>
                <w:b/>
                <w:sz w:val="20"/>
              </w:rPr>
            </w:pPr>
            <w:r>
              <w:rPr>
                <w:b/>
                <w:sz w:val="20"/>
              </w:rPr>
              <w:t>País</w:t>
            </w:r>
          </w:p>
        </w:tc>
        <w:tc>
          <w:tcPr>
            <w:tcW w:w="6171" w:type="dxa"/>
          </w:tcPr>
          <w:p>
            <w:pPr>
              <w:pStyle w:val="TableParagraph"/>
              <w:spacing w:line="228" w:lineRule="exact"/>
              <w:ind w:left="2146" w:right="2152"/>
              <w:rPr>
                <w:b/>
                <w:sz w:val="20"/>
              </w:rPr>
            </w:pPr>
            <w:r>
              <w:rPr>
                <w:b/>
                <w:sz w:val="20"/>
              </w:rPr>
              <w:t>Descripción de reglas</w:t>
            </w:r>
          </w:p>
        </w:tc>
      </w:tr>
      <w:tr>
        <w:trPr>
          <w:trHeight w:val="2081" w:hRule="exact"/>
        </w:trPr>
        <w:tc>
          <w:tcPr>
            <w:tcW w:w="1603" w:type="dxa"/>
          </w:tcPr>
          <w:p>
            <w:pPr>
              <w:pStyle w:val="TableParagraph"/>
              <w:spacing w:line="223" w:lineRule="exact"/>
              <w:ind w:left="103"/>
              <w:jc w:val="left"/>
              <w:rPr>
                <w:sz w:val="20"/>
              </w:rPr>
            </w:pPr>
            <w:r>
              <w:rPr>
                <w:sz w:val="20"/>
              </w:rPr>
              <w:t>Latinoamérica</w:t>
            </w:r>
          </w:p>
        </w:tc>
        <w:tc>
          <w:tcPr>
            <w:tcW w:w="1282" w:type="dxa"/>
          </w:tcPr>
          <w:p>
            <w:pPr>
              <w:pStyle w:val="TableParagraph"/>
              <w:spacing w:line="223" w:lineRule="exact"/>
              <w:ind w:left="100" w:right="103"/>
              <w:jc w:val="left"/>
              <w:rPr>
                <w:sz w:val="20"/>
              </w:rPr>
            </w:pPr>
            <w:r>
              <w:rPr>
                <w:sz w:val="20"/>
              </w:rPr>
              <w:t>Colombia</w:t>
            </w:r>
          </w:p>
        </w:tc>
        <w:tc>
          <w:tcPr>
            <w:tcW w:w="6171" w:type="dxa"/>
          </w:tcPr>
          <w:p>
            <w:pPr>
              <w:pStyle w:val="TableParagraph"/>
              <w:spacing w:line="360" w:lineRule="auto"/>
              <w:ind w:left="103" w:right="105"/>
              <w:jc w:val="both"/>
              <w:rPr>
                <w:sz w:val="20"/>
              </w:rPr>
            </w:pPr>
            <w:r>
              <w:rPr>
                <w:sz w:val="20"/>
              </w:rPr>
              <w:t>Una regla de balance estructural fue aprobada por el congreso en Junio de 2011. Se estableció un sendero de déficit estructural menor al 2.3% del PIB para el 2014 y se enmarcó un techo presupuestario efectivo del 1% a PIB en el 2022. La regla permite expansiones fiscales cuando el crecimiento económico esperado es del 2% más bajo que la tasa de largo plazo, además de crear un fondo de estabilización soberano.</w:t>
            </w:r>
          </w:p>
        </w:tc>
      </w:tr>
      <w:tr>
        <w:trPr>
          <w:trHeight w:val="2078" w:hRule="exact"/>
        </w:trPr>
        <w:tc>
          <w:tcPr>
            <w:tcW w:w="1603" w:type="dxa"/>
          </w:tcPr>
          <w:p>
            <w:pPr>
              <w:pStyle w:val="TableParagraph"/>
              <w:spacing w:line="223" w:lineRule="exact"/>
              <w:ind w:left="103"/>
              <w:jc w:val="left"/>
              <w:rPr>
                <w:sz w:val="20"/>
              </w:rPr>
            </w:pPr>
            <w:r>
              <w:rPr>
                <w:sz w:val="20"/>
              </w:rPr>
              <w:t>Latinoamérica</w:t>
            </w:r>
          </w:p>
        </w:tc>
        <w:tc>
          <w:tcPr>
            <w:tcW w:w="1282" w:type="dxa"/>
          </w:tcPr>
          <w:p>
            <w:pPr>
              <w:pStyle w:val="TableParagraph"/>
              <w:spacing w:line="223" w:lineRule="exact"/>
              <w:ind w:left="100" w:right="103"/>
              <w:jc w:val="left"/>
              <w:rPr>
                <w:sz w:val="20"/>
              </w:rPr>
            </w:pPr>
            <w:r>
              <w:rPr>
                <w:sz w:val="20"/>
              </w:rPr>
              <w:t>Ecuador</w:t>
            </w:r>
          </w:p>
        </w:tc>
        <w:tc>
          <w:tcPr>
            <w:tcW w:w="6171" w:type="dxa"/>
          </w:tcPr>
          <w:p>
            <w:pPr>
              <w:pStyle w:val="TableParagraph"/>
              <w:spacing w:line="360" w:lineRule="auto"/>
              <w:ind w:left="103" w:right="100"/>
              <w:jc w:val="both"/>
              <w:rPr>
                <w:sz w:val="20"/>
              </w:rPr>
            </w:pPr>
            <w:r>
              <w:rPr>
                <w:sz w:val="20"/>
              </w:rPr>
              <w:t>Una nueva regla de gasto fue adoptada en el 2010 y tomó efecto en el 2011, pero los límites existentes de balance presupuestario y deuda pública disminuyeron. La regla de gasto consistió que el gasto corriente no puede mayor que los ingresos permanentes (incluyendo ingresos petroleros). El uso de financiamiento externo e ingresos petroleros deben ser empleados, exclusivamente, para financiar la inversión</w:t>
            </w:r>
            <w:r>
              <w:rPr>
                <w:spacing w:val="-22"/>
                <w:sz w:val="20"/>
              </w:rPr>
              <w:t> </w:t>
            </w:r>
            <w:r>
              <w:rPr>
                <w:sz w:val="20"/>
              </w:rPr>
              <w:t>pública.</w:t>
            </w:r>
          </w:p>
        </w:tc>
      </w:tr>
      <w:tr>
        <w:trPr>
          <w:trHeight w:val="3461" w:hRule="exact"/>
        </w:trPr>
        <w:tc>
          <w:tcPr>
            <w:tcW w:w="1603" w:type="dxa"/>
          </w:tcPr>
          <w:p>
            <w:pPr>
              <w:pStyle w:val="TableParagraph"/>
              <w:spacing w:line="223" w:lineRule="exact"/>
              <w:ind w:left="103"/>
              <w:jc w:val="left"/>
              <w:rPr>
                <w:sz w:val="20"/>
              </w:rPr>
            </w:pPr>
            <w:r>
              <w:rPr>
                <w:sz w:val="20"/>
              </w:rPr>
              <w:t>América</w:t>
            </w:r>
          </w:p>
        </w:tc>
        <w:tc>
          <w:tcPr>
            <w:tcW w:w="1282" w:type="dxa"/>
          </w:tcPr>
          <w:p>
            <w:pPr>
              <w:pStyle w:val="TableParagraph"/>
              <w:spacing w:line="360" w:lineRule="auto"/>
              <w:ind w:left="100" w:right="530"/>
              <w:jc w:val="left"/>
              <w:rPr>
                <w:sz w:val="20"/>
              </w:rPr>
            </w:pPr>
            <w:r>
              <w:rPr>
                <w:sz w:val="20"/>
              </w:rPr>
              <w:t>Estados Unidos</w:t>
            </w:r>
          </w:p>
        </w:tc>
        <w:tc>
          <w:tcPr>
            <w:tcW w:w="6171" w:type="dxa"/>
          </w:tcPr>
          <w:p>
            <w:pPr>
              <w:pStyle w:val="TableParagraph"/>
              <w:spacing w:line="360" w:lineRule="auto"/>
              <w:ind w:left="103" w:right="105"/>
              <w:jc w:val="both"/>
              <w:rPr>
                <w:sz w:val="20"/>
              </w:rPr>
            </w:pPr>
            <w:r>
              <w:rPr>
                <w:sz w:val="20"/>
              </w:rPr>
              <w:t>Reglas estatutarias de </w:t>
            </w:r>
            <w:r>
              <w:rPr>
                <w:i/>
                <w:sz w:val="20"/>
              </w:rPr>
              <w:t>pay-as-you-go </w:t>
            </w:r>
            <w:r>
              <w:rPr>
                <w:sz w:val="20"/>
              </w:rPr>
              <w:t>para ingresos y gastos mandatorios fueron restablecidas en febrero de 2010, sujetas de importantes excepciones. En agosto de 2011, el congreso estableció cuentas de fiscales, destinadas al ahorro ($us. 900 billones durante la próxima década). Adicionalmente, se han establecido recortes automáticos de gastos, los cuales están programados desde enero de 2013, proyectándose ahorros de $1,3 trillones durante una década, con una mitad proveniente del gasto en defensa nacional y la otra mitad de programas domésticos (excluyendo programas de seguridad social, medicamentos, y otros programas de derechos humanos)</w:t>
            </w:r>
          </w:p>
        </w:tc>
      </w:tr>
      <w:tr>
        <w:trPr>
          <w:trHeight w:val="2079" w:hRule="exact"/>
        </w:trPr>
        <w:tc>
          <w:tcPr>
            <w:tcW w:w="1603" w:type="dxa"/>
          </w:tcPr>
          <w:p>
            <w:pPr>
              <w:pStyle w:val="TableParagraph"/>
              <w:spacing w:line="223" w:lineRule="exact"/>
              <w:ind w:left="103"/>
              <w:jc w:val="left"/>
              <w:rPr>
                <w:sz w:val="20"/>
              </w:rPr>
            </w:pPr>
            <w:r>
              <w:rPr>
                <w:sz w:val="20"/>
              </w:rPr>
              <w:t>Europa</w:t>
            </w:r>
          </w:p>
        </w:tc>
        <w:tc>
          <w:tcPr>
            <w:tcW w:w="1282" w:type="dxa"/>
          </w:tcPr>
          <w:p>
            <w:pPr>
              <w:pStyle w:val="TableParagraph"/>
              <w:spacing w:line="223" w:lineRule="exact"/>
              <w:ind w:left="100" w:right="103"/>
              <w:jc w:val="left"/>
              <w:rPr>
                <w:sz w:val="20"/>
              </w:rPr>
            </w:pPr>
            <w:r>
              <w:rPr>
                <w:sz w:val="20"/>
              </w:rPr>
              <w:t>Austria</w:t>
            </w:r>
          </w:p>
        </w:tc>
        <w:tc>
          <w:tcPr>
            <w:tcW w:w="6171" w:type="dxa"/>
          </w:tcPr>
          <w:p>
            <w:pPr>
              <w:pStyle w:val="TableParagraph"/>
              <w:spacing w:line="360" w:lineRule="auto"/>
              <w:ind w:left="103" w:right="105"/>
              <w:jc w:val="both"/>
              <w:rPr>
                <w:sz w:val="20"/>
              </w:rPr>
            </w:pPr>
            <w:r>
              <w:rPr>
                <w:sz w:val="20"/>
              </w:rPr>
              <w:t>El parlamento aprobó el 7 de diciembre de 2011, una enmienda a la ley de presupuesto federal, en la cual se estipula que desde el 2017 en adelante, el déficit estructural a nivel federal (incluyendo la seguridad social) no deberá exceder el 0.35% del PIB. Esta regla es conceptualmente similar a la regla alemana, con la diferencia que la última no ha sido todavía incluida en la constitución.</w:t>
            </w:r>
          </w:p>
        </w:tc>
      </w:tr>
      <w:tr>
        <w:trPr>
          <w:trHeight w:val="701" w:hRule="exact"/>
        </w:trPr>
        <w:tc>
          <w:tcPr>
            <w:tcW w:w="1603" w:type="dxa"/>
          </w:tcPr>
          <w:p>
            <w:pPr>
              <w:pStyle w:val="TableParagraph"/>
              <w:spacing w:line="226" w:lineRule="exact"/>
              <w:ind w:left="103"/>
              <w:jc w:val="left"/>
              <w:rPr>
                <w:sz w:val="20"/>
              </w:rPr>
            </w:pPr>
            <w:r>
              <w:rPr>
                <w:sz w:val="20"/>
              </w:rPr>
              <w:t>Europa</w:t>
            </w:r>
          </w:p>
        </w:tc>
        <w:tc>
          <w:tcPr>
            <w:tcW w:w="1282" w:type="dxa"/>
          </w:tcPr>
          <w:p>
            <w:pPr>
              <w:pStyle w:val="TableParagraph"/>
              <w:spacing w:line="226" w:lineRule="exact"/>
              <w:ind w:left="100" w:right="103"/>
              <w:jc w:val="left"/>
              <w:rPr>
                <w:sz w:val="20"/>
              </w:rPr>
            </w:pPr>
            <w:r>
              <w:rPr>
                <w:sz w:val="20"/>
              </w:rPr>
              <w:t>Israel</w:t>
            </w:r>
          </w:p>
        </w:tc>
        <w:tc>
          <w:tcPr>
            <w:tcW w:w="6171" w:type="dxa"/>
          </w:tcPr>
          <w:p>
            <w:pPr>
              <w:pStyle w:val="TableParagraph"/>
              <w:spacing w:line="357" w:lineRule="auto"/>
              <w:ind w:left="103" w:right="116"/>
              <w:jc w:val="left"/>
              <w:rPr>
                <w:sz w:val="20"/>
              </w:rPr>
            </w:pPr>
            <w:r>
              <w:rPr>
                <w:sz w:val="20"/>
              </w:rPr>
              <w:t>Una regla de deuda a PIB del 60% fue introducida en el 2010, y la regla de gasto estableció un ajuste para  conseguir este</w:t>
            </w:r>
            <w:r>
              <w:rPr>
                <w:spacing w:val="-17"/>
                <w:sz w:val="20"/>
              </w:rPr>
              <w:t> </w:t>
            </w:r>
            <w:r>
              <w:rPr>
                <w:sz w:val="20"/>
              </w:rPr>
              <w:t>objetivo.</w:t>
            </w:r>
          </w:p>
        </w:tc>
      </w:tr>
      <w:tr>
        <w:trPr>
          <w:trHeight w:val="1047" w:hRule="exact"/>
        </w:trPr>
        <w:tc>
          <w:tcPr>
            <w:tcW w:w="1603" w:type="dxa"/>
          </w:tcPr>
          <w:p>
            <w:pPr>
              <w:pStyle w:val="TableParagraph"/>
              <w:spacing w:line="223" w:lineRule="exact"/>
              <w:ind w:left="103"/>
              <w:jc w:val="left"/>
              <w:rPr>
                <w:sz w:val="20"/>
              </w:rPr>
            </w:pPr>
            <w:r>
              <w:rPr>
                <w:sz w:val="20"/>
              </w:rPr>
              <w:t>Europa</w:t>
            </w:r>
          </w:p>
        </w:tc>
        <w:tc>
          <w:tcPr>
            <w:tcW w:w="1282" w:type="dxa"/>
          </w:tcPr>
          <w:p>
            <w:pPr>
              <w:pStyle w:val="TableParagraph"/>
              <w:spacing w:line="223" w:lineRule="exact"/>
              <w:ind w:left="100" w:right="103"/>
              <w:jc w:val="left"/>
              <w:rPr>
                <w:sz w:val="20"/>
              </w:rPr>
            </w:pPr>
            <w:r>
              <w:rPr>
                <w:sz w:val="20"/>
              </w:rPr>
              <w:t>Polonia</w:t>
            </w:r>
          </w:p>
        </w:tc>
        <w:tc>
          <w:tcPr>
            <w:tcW w:w="6171" w:type="dxa"/>
          </w:tcPr>
          <w:p>
            <w:pPr>
              <w:pStyle w:val="TableParagraph"/>
              <w:spacing w:line="360" w:lineRule="auto"/>
              <w:ind w:left="103" w:right="109"/>
              <w:jc w:val="both"/>
              <w:rPr>
                <w:sz w:val="20"/>
              </w:rPr>
            </w:pPr>
            <w:r>
              <w:rPr>
                <w:sz w:val="20"/>
              </w:rPr>
              <w:t>Una nueva regla de gasto (desde 2011) limitó el incremento del presupuesto en el gobierno central, además de restringir el gasto  a  público a 1% en términos reales (basado en el IPC) (definido en la ley </w:t>
            </w:r>
            <w:r>
              <w:rPr>
                <w:spacing w:val="32"/>
                <w:sz w:val="20"/>
              </w:rPr>
              <w:t> </w:t>
            </w:r>
            <w:r>
              <w:rPr>
                <w:sz w:val="20"/>
              </w:rPr>
              <w:t>de</w:t>
            </w:r>
          </w:p>
        </w:tc>
      </w:tr>
    </w:tbl>
    <w:p>
      <w:pPr>
        <w:spacing w:after="0" w:line="360" w:lineRule="auto"/>
        <w:jc w:val="both"/>
        <w:rPr>
          <w:sz w:val="20"/>
        </w:rPr>
        <w:sectPr>
          <w:pgSz w:w="12250" w:h="15850"/>
          <w:pgMar w:header="0" w:footer="977" w:top="1360" w:bottom="1220" w:left="1480" w:right="148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03"/>
        <w:gridCol w:w="1282"/>
        <w:gridCol w:w="6171"/>
      </w:tblGrid>
      <w:tr>
        <w:trPr>
          <w:trHeight w:val="356" w:hRule="exact"/>
        </w:trPr>
        <w:tc>
          <w:tcPr>
            <w:tcW w:w="1603" w:type="dxa"/>
          </w:tcPr>
          <w:p>
            <w:pPr/>
          </w:p>
        </w:tc>
        <w:tc>
          <w:tcPr>
            <w:tcW w:w="1282" w:type="dxa"/>
          </w:tcPr>
          <w:p>
            <w:pPr/>
          </w:p>
        </w:tc>
        <w:tc>
          <w:tcPr>
            <w:tcW w:w="6171" w:type="dxa"/>
          </w:tcPr>
          <w:p>
            <w:pPr>
              <w:pStyle w:val="TableParagraph"/>
              <w:spacing w:line="220" w:lineRule="exact"/>
              <w:ind w:left="103" w:right="116"/>
              <w:jc w:val="left"/>
              <w:rPr>
                <w:sz w:val="20"/>
              </w:rPr>
            </w:pPr>
            <w:r>
              <w:rPr>
                <w:sz w:val="20"/>
              </w:rPr>
              <w:t>presupuesto 2011)</w:t>
            </w:r>
          </w:p>
        </w:tc>
      </w:tr>
      <w:tr>
        <w:trPr>
          <w:trHeight w:val="2078" w:hRule="exact"/>
        </w:trPr>
        <w:tc>
          <w:tcPr>
            <w:tcW w:w="1603" w:type="dxa"/>
          </w:tcPr>
          <w:p>
            <w:pPr>
              <w:pStyle w:val="TableParagraph"/>
              <w:spacing w:line="219" w:lineRule="exact"/>
              <w:ind w:left="103"/>
              <w:jc w:val="left"/>
              <w:rPr>
                <w:sz w:val="20"/>
              </w:rPr>
            </w:pPr>
            <w:r>
              <w:rPr>
                <w:sz w:val="20"/>
              </w:rPr>
              <w:t>Europa</w:t>
            </w:r>
          </w:p>
        </w:tc>
        <w:tc>
          <w:tcPr>
            <w:tcW w:w="1282" w:type="dxa"/>
          </w:tcPr>
          <w:p>
            <w:pPr>
              <w:pStyle w:val="TableParagraph"/>
              <w:spacing w:line="219" w:lineRule="exact"/>
              <w:ind w:left="100" w:right="103"/>
              <w:jc w:val="left"/>
              <w:rPr>
                <w:sz w:val="20"/>
              </w:rPr>
            </w:pPr>
            <w:r>
              <w:rPr>
                <w:sz w:val="20"/>
              </w:rPr>
              <w:t>Portugal</w:t>
            </w:r>
          </w:p>
        </w:tc>
        <w:tc>
          <w:tcPr>
            <w:tcW w:w="6171" w:type="dxa"/>
          </w:tcPr>
          <w:p>
            <w:pPr>
              <w:pStyle w:val="TableParagraph"/>
              <w:spacing w:line="360" w:lineRule="auto"/>
              <w:ind w:left="103" w:right="106"/>
              <w:jc w:val="both"/>
              <w:rPr>
                <w:sz w:val="20"/>
              </w:rPr>
            </w:pPr>
            <w:r>
              <w:rPr>
                <w:sz w:val="20"/>
              </w:rPr>
              <w:t>El nuevo marco de ley presupuestaria (mayo de 2011) incluyó una regla fiscal estableciendo que el balance estructural del gobierno central no puede ser menor que el objetivo de mediado plazo (en cuanto al Pacto de estabilidad y crecimiento). También incluyó requerimientos de un plan multianual cuando existan desviaciones de los objetivos planteados. La regla tendrá efecto en el 2015.</w:t>
            </w:r>
          </w:p>
        </w:tc>
      </w:tr>
      <w:tr>
        <w:trPr>
          <w:trHeight w:val="1390" w:hRule="exact"/>
        </w:trPr>
        <w:tc>
          <w:tcPr>
            <w:tcW w:w="1603" w:type="dxa"/>
          </w:tcPr>
          <w:p>
            <w:pPr>
              <w:pStyle w:val="TableParagraph"/>
              <w:spacing w:line="219" w:lineRule="exact"/>
              <w:ind w:left="103"/>
              <w:jc w:val="left"/>
              <w:rPr>
                <w:sz w:val="20"/>
              </w:rPr>
            </w:pPr>
            <w:r>
              <w:rPr>
                <w:sz w:val="20"/>
              </w:rPr>
              <w:t>Europa</w:t>
            </w:r>
          </w:p>
        </w:tc>
        <w:tc>
          <w:tcPr>
            <w:tcW w:w="1282" w:type="dxa"/>
          </w:tcPr>
          <w:p>
            <w:pPr>
              <w:pStyle w:val="TableParagraph"/>
              <w:spacing w:line="219" w:lineRule="exact"/>
              <w:ind w:left="100" w:right="103"/>
              <w:jc w:val="left"/>
              <w:rPr>
                <w:sz w:val="20"/>
              </w:rPr>
            </w:pPr>
            <w:r>
              <w:rPr>
                <w:sz w:val="20"/>
              </w:rPr>
              <w:t>Rumania</w:t>
            </w:r>
          </w:p>
        </w:tc>
        <w:tc>
          <w:tcPr>
            <w:tcW w:w="6171" w:type="dxa"/>
          </w:tcPr>
          <w:p>
            <w:pPr>
              <w:pStyle w:val="TableParagraph"/>
              <w:spacing w:line="360" w:lineRule="auto"/>
              <w:ind w:left="103" w:right="109"/>
              <w:jc w:val="both"/>
              <w:rPr>
                <w:sz w:val="20"/>
              </w:rPr>
            </w:pPr>
            <w:r>
              <w:rPr>
                <w:sz w:val="20"/>
              </w:rPr>
              <w:t>Desde el 2010 el crecimiento de gasto del gobierno central no deberá exceder a la proyección nominal del PIB, durante tres años hasta que el balance fiscal cuente con superávit. Además, los límites de gastos presupuestarios de personal estarán sujetos por dos años.</w:t>
            </w:r>
          </w:p>
        </w:tc>
      </w:tr>
      <w:tr>
        <w:trPr>
          <w:trHeight w:val="2426" w:hRule="exact"/>
        </w:trPr>
        <w:tc>
          <w:tcPr>
            <w:tcW w:w="1603" w:type="dxa"/>
          </w:tcPr>
          <w:p>
            <w:pPr>
              <w:pStyle w:val="TableParagraph"/>
              <w:spacing w:line="222" w:lineRule="exact"/>
              <w:ind w:left="103"/>
              <w:jc w:val="left"/>
              <w:rPr>
                <w:sz w:val="20"/>
              </w:rPr>
            </w:pPr>
            <w:r>
              <w:rPr>
                <w:sz w:val="20"/>
              </w:rPr>
              <w:t>Europa</w:t>
            </w:r>
          </w:p>
        </w:tc>
        <w:tc>
          <w:tcPr>
            <w:tcW w:w="1282" w:type="dxa"/>
          </w:tcPr>
          <w:p>
            <w:pPr>
              <w:pStyle w:val="TableParagraph"/>
              <w:spacing w:line="222" w:lineRule="exact"/>
              <w:ind w:left="100" w:right="103"/>
              <w:jc w:val="left"/>
              <w:rPr>
                <w:sz w:val="20"/>
              </w:rPr>
            </w:pPr>
            <w:r>
              <w:rPr>
                <w:sz w:val="20"/>
              </w:rPr>
              <w:t>Serbia</w:t>
            </w:r>
          </w:p>
        </w:tc>
        <w:tc>
          <w:tcPr>
            <w:tcW w:w="6171" w:type="dxa"/>
          </w:tcPr>
          <w:p>
            <w:pPr>
              <w:pStyle w:val="TableParagraph"/>
              <w:spacing w:line="360" w:lineRule="auto"/>
              <w:ind w:left="103" w:right="106"/>
              <w:jc w:val="both"/>
              <w:rPr>
                <w:sz w:val="20"/>
              </w:rPr>
            </w:pPr>
            <w:r>
              <w:rPr>
                <w:sz w:val="20"/>
              </w:rPr>
              <w:t>En octubre de 2010, Serbia introdujo provisiones de responsabilidad  fiscal en la ley de sistema presupuestario. Estás incluyeron reglas fiscales numéricas, así como la adopción de un consejo regulador fiscal. Las reglas fiscales comprometen que el balance presupuestario permita corregir los déficits pasados y reconozca la inclusión de estabilizadores fiscales automáticos. Una regla de deuda fiscal fijó un techo de endeudamiento gubernamental del 45% del</w:t>
            </w:r>
            <w:r>
              <w:rPr>
                <w:spacing w:val="-14"/>
                <w:sz w:val="20"/>
              </w:rPr>
              <w:t> </w:t>
            </w:r>
            <w:r>
              <w:rPr>
                <w:sz w:val="20"/>
              </w:rPr>
              <w:t>PIB.</w:t>
            </w:r>
          </w:p>
        </w:tc>
      </w:tr>
      <w:tr>
        <w:trPr>
          <w:trHeight w:val="2079" w:hRule="exact"/>
        </w:trPr>
        <w:tc>
          <w:tcPr>
            <w:tcW w:w="1603" w:type="dxa"/>
          </w:tcPr>
          <w:p>
            <w:pPr>
              <w:pStyle w:val="TableParagraph"/>
              <w:spacing w:line="220" w:lineRule="exact"/>
              <w:ind w:left="103"/>
              <w:jc w:val="left"/>
              <w:rPr>
                <w:sz w:val="20"/>
              </w:rPr>
            </w:pPr>
            <w:r>
              <w:rPr>
                <w:sz w:val="20"/>
              </w:rPr>
              <w:t>Europa</w:t>
            </w:r>
          </w:p>
        </w:tc>
        <w:tc>
          <w:tcPr>
            <w:tcW w:w="1282" w:type="dxa"/>
          </w:tcPr>
          <w:p>
            <w:pPr>
              <w:pStyle w:val="TableParagraph"/>
              <w:spacing w:line="360" w:lineRule="auto"/>
              <w:ind w:left="100" w:right="103"/>
              <w:jc w:val="left"/>
              <w:rPr>
                <w:sz w:val="20"/>
              </w:rPr>
            </w:pPr>
            <w:r>
              <w:rPr>
                <w:sz w:val="20"/>
              </w:rPr>
              <w:t>República de Eslovaquia</w:t>
            </w:r>
          </w:p>
        </w:tc>
        <w:tc>
          <w:tcPr>
            <w:tcW w:w="6171" w:type="dxa"/>
          </w:tcPr>
          <w:p>
            <w:pPr>
              <w:pStyle w:val="TableParagraph"/>
              <w:spacing w:line="360" w:lineRule="auto"/>
              <w:ind w:left="103" w:right="105"/>
              <w:jc w:val="both"/>
              <w:rPr>
                <w:sz w:val="20"/>
              </w:rPr>
            </w:pPr>
            <w:r>
              <w:rPr>
                <w:sz w:val="20"/>
              </w:rPr>
              <w:t>En diciembre de 2011, una regla institucional fue adoptada (tomando efecto el 1º de Marzo de 2012), la cual estableció un límite de deuda pública entorno al 60% del PIB. Mecanismos de ajustes automáticos tomarán efecto cuando el ratio de deuda a PIB alcance el 50%. La norma también estableció un consejo regulador para monitorear y evaluar el desempeño fiscal.</w:t>
            </w:r>
          </w:p>
        </w:tc>
      </w:tr>
      <w:tr>
        <w:trPr>
          <w:trHeight w:val="2427" w:hRule="exact"/>
        </w:trPr>
        <w:tc>
          <w:tcPr>
            <w:tcW w:w="1603" w:type="dxa"/>
          </w:tcPr>
          <w:p>
            <w:pPr>
              <w:pStyle w:val="TableParagraph"/>
              <w:spacing w:line="222" w:lineRule="exact"/>
              <w:ind w:left="103"/>
              <w:jc w:val="left"/>
              <w:rPr>
                <w:sz w:val="20"/>
              </w:rPr>
            </w:pPr>
            <w:r>
              <w:rPr>
                <w:sz w:val="20"/>
              </w:rPr>
              <w:t>Europa</w:t>
            </w:r>
          </w:p>
        </w:tc>
        <w:tc>
          <w:tcPr>
            <w:tcW w:w="1282" w:type="dxa"/>
          </w:tcPr>
          <w:p>
            <w:pPr>
              <w:pStyle w:val="TableParagraph"/>
              <w:spacing w:line="222" w:lineRule="exact"/>
              <w:ind w:left="100" w:right="103"/>
              <w:jc w:val="left"/>
              <w:rPr>
                <w:sz w:val="20"/>
              </w:rPr>
            </w:pPr>
            <w:r>
              <w:rPr>
                <w:sz w:val="20"/>
              </w:rPr>
              <w:t>España</w:t>
            </w:r>
          </w:p>
        </w:tc>
        <w:tc>
          <w:tcPr>
            <w:tcW w:w="6171" w:type="dxa"/>
          </w:tcPr>
          <w:p>
            <w:pPr>
              <w:pStyle w:val="TableParagraph"/>
              <w:spacing w:line="360" w:lineRule="auto"/>
              <w:ind w:left="103" w:right="105"/>
              <w:jc w:val="both"/>
              <w:rPr>
                <w:sz w:val="20"/>
              </w:rPr>
            </w:pPr>
            <w:r>
              <w:rPr>
                <w:sz w:val="20"/>
              </w:rPr>
              <w:t>Una enmienda constitucional (2011) y su legislación orgánica correspondiente (2012) aprobaron el déficit estructural para todos los niveles de gobierno, el cual deberá estar dentro de los límites establecidos por la Unión Europea (y límites de deuda para cada nivel de gobierno). La regla entrará en vigor a partir del 2020, con reglas transitorias hasta entonces. La enmienda también introduce techos de gastos y restricciones de crecimiento para todos los niveles de gobierno.</w:t>
            </w:r>
          </w:p>
        </w:tc>
      </w:tr>
      <w:tr>
        <w:trPr>
          <w:trHeight w:val="1390" w:hRule="exact"/>
        </w:trPr>
        <w:tc>
          <w:tcPr>
            <w:tcW w:w="1603" w:type="dxa"/>
          </w:tcPr>
          <w:p>
            <w:pPr>
              <w:pStyle w:val="TableParagraph"/>
              <w:spacing w:line="219" w:lineRule="exact"/>
              <w:ind w:left="103"/>
              <w:jc w:val="left"/>
              <w:rPr>
                <w:sz w:val="20"/>
              </w:rPr>
            </w:pPr>
            <w:r>
              <w:rPr>
                <w:sz w:val="20"/>
              </w:rPr>
              <w:t>Europa</w:t>
            </w:r>
          </w:p>
        </w:tc>
        <w:tc>
          <w:tcPr>
            <w:tcW w:w="1282" w:type="dxa"/>
          </w:tcPr>
          <w:p>
            <w:pPr>
              <w:pStyle w:val="TableParagraph"/>
              <w:spacing w:line="219" w:lineRule="exact"/>
              <w:ind w:left="100" w:right="103"/>
              <w:jc w:val="left"/>
              <w:rPr>
                <w:sz w:val="20"/>
              </w:rPr>
            </w:pPr>
            <w:r>
              <w:rPr>
                <w:sz w:val="20"/>
              </w:rPr>
              <w:t>Reino Unido</w:t>
            </w:r>
          </w:p>
        </w:tc>
        <w:tc>
          <w:tcPr>
            <w:tcW w:w="6171" w:type="dxa"/>
          </w:tcPr>
          <w:p>
            <w:pPr>
              <w:pStyle w:val="TableParagraph"/>
              <w:spacing w:line="360" w:lineRule="auto"/>
              <w:ind w:left="103" w:right="108"/>
              <w:jc w:val="both"/>
              <w:rPr>
                <w:sz w:val="20"/>
              </w:rPr>
            </w:pPr>
            <w:r>
              <w:rPr>
                <w:sz w:val="20"/>
              </w:rPr>
              <w:t>La nueva regla presupuestaria, desde 2010, apuntó a lograr un ajuste cíclico del balance corriente para una proyección de cinco años (2016/2017). La nueva regla de gasto (desde 2010) estableció objetivos para disminuir el ratio de deuda pública a PIB para el 2015/16.</w:t>
            </w:r>
          </w:p>
        </w:tc>
      </w:tr>
      <w:tr>
        <w:trPr>
          <w:trHeight w:val="701" w:hRule="exact"/>
        </w:trPr>
        <w:tc>
          <w:tcPr>
            <w:tcW w:w="1603" w:type="dxa"/>
          </w:tcPr>
          <w:p>
            <w:pPr>
              <w:pStyle w:val="TableParagraph"/>
              <w:spacing w:line="219" w:lineRule="exact"/>
              <w:ind w:left="103"/>
              <w:jc w:val="left"/>
              <w:rPr>
                <w:sz w:val="20"/>
              </w:rPr>
            </w:pPr>
            <w:r>
              <w:rPr>
                <w:sz w:val="20"/>
              </w:rPr>
              <w:t>Asia</w:t>
            </w:r>
          </w:p>
        </w:tc>
        <w:tc>
          <w:tcPr>
            <w:tcW w:w="1282" w:type="dxa"/>
          </w:tcPr>
          <w:p>
            <w:pPr>
              <w:pStyle w:val="TableParagraph"/>
              <w:spacing w:line="219" w:lineRule="exact"/>
              <w:ind w:left="100" w:right="103"/>
              <w:jc w:val="left"/>
              <w:rPr>
                <w:sz w:val="20"/>
              </w:rPr>
            </w:pPr>
            <w:r>
              <w:rPr>
                <w:sz w:val="20"/>
              </w:rPr>
              <w:t>Japón</w:t>
            </w:r>
          </w:p>
        </w:tc>
        <w:tc>
          <w:tcPr>
            <w:tcW w:w="6171" w:type="dxa"/>
          </w:tcPr>
          <w:p>
            <w:pPr>
              <w:pStyle w:val="TableParagraph"/>
              <w:spacing w:line="360" w:lineRule="auto"/>
              <w:ind w:left="103" w:right="116"/>
              <w:jc w:val="left"/>
              <w:rPr>
                <w:sz w:val="20"/>
              </w:rPr>
            </w:pPr>
            <w:r>
              <w:rPr>
                <w:sz w:val="20"/>
              </w:rPr>
              <w:t>La regla "estrategia fiscal gerencial" consistió que cada incremento de gastos  o  disminución  de  ingresos  necesitaba  ir  compensada  por   una</w:t>
            </w:r>
          </w:p>
        </w:tc>
      </w:tr>
    </w:tbl>
    <w:p>
      <w:pPr>
        <w:spacing w:after="0" w:line="360" w:lineRule="auto"/>
        <w:jc w:val="left"/>
        <w:rPr>
          <w:sz w:val="20"/>
        </w:rPr>
        <w:sectPr>
          <w:pgSz w:w="12250" w:h="15850"/>
          <w:pgMar w:header="0" w:footer="977" w:top="1420" w:bottom="1160" w:left="1480" w:right="148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03"/>
        <w:gridCol w:w="1282"/>
        <w:gridCol w:w="6171"/>
      </w:tblGrid>
      <w:tr>
        <w:trPr>
          <w:trHeight w:val="1044" w:hRule="exact"/>
        </w:trPr>
        <w:tc>
          <w:tcPr>
            <w:tcW w:w="1603" w:type="dxa"/>
          </w:tcPr>
          <w:p>
            <w:pPr/>
          </w:p>
        </w:tc>
        <w:tc>
          <w:tcPr>
            <w:tcW w:w="1282" w:type="dxa"/>
          </w:tcPr>
          <w:p>
            <w:pPr/>
          </w:p>
        </w:tc>
        <w:tc>
          <w:tcPr>
            <w:tcW w:w="6171" w:type="dxa"/>
          </w:tcPr>
          <w:p>
            <w:pPr>
              <w:pStyle w:val="TableParagraph"/>
              <w:spacing w:line="360" w:lineRule="auto"/>
              <w:ind w:left="103" w:right="110"/>
              <w:jc w:val="both"/>
              <w:rPr>
                <w:sz w:val="20"/>
              </w:rPr>
            </w:pPr>
            <w:r>
              <w:rPr>
                <w:sz w:val="20"/>
              </w:rPr>
              <w:t>reducción permanente en el ingreso o incremento permanente  de  ingresos. El marco de mediano plazo fiscal, también incluyó la introducción de un límite de</w:t>
            </w:r>
            <w:r>
              <w:rPr>
                <w:spacing w:val="-12"/>
                <w:sz w:val="20"/>
              </w:rPr>
              <w:t> </w:t>
            </w:r>
            <w:r>
              <w:rPr>
                <w:sz w:val="20"/>
              </w:rPr>
              <w:t>gasto.</w:t>
            </w:r>
          </w:p>
        </w:tc>
      </w:tr>
      <w:tr>
        <w:trPr>
          <w:trHeight w:val="701" w:hRule="exact"/>
        </w:trPr>
        <w:tc>
          <w:tcPr>
            <w:tcW w:w="1603" w:type="dxa"/>
          </w:tcPr>
          <w:p>
            <w:pPr>
              <w:pStyle w:val="TableParagraph"/>
              <w:spacing w:line="219" w:lineRule="exact"/>
              <w:ind w:left="103"/>
              <w:jc w:val="left"/>
              <w:rPr>
                <w:sz w:val="20"/>
              </w:rPr>
            </w:pPr>
            <w:r>
              <w:rPr>
                <w:sz w:val="20"/>
              </w:rPr>
              <w:t>África</w:t>
            </w:r>
          </w:p>
        </w:tc>
        <w:tc>
          <w:tcPr>
            <w:tcW w:w="1282" w:type="dxa"/>
          </w:tcPr>
          <w:p>
            <w:pPr>
              <w:pStyle w:val="TableParagraph"/>
              <w:spacing w:line="219" w:lineRule="exact"/>
              <w:ind w:left="100" w:right="103"/>
              <w:jc w:val="left"/>
              <w:rPr>
                <w:sz w:val="20"/>
              </w:rPr>
            </w:pPr>
            <w:r>
              <w:rPr>
                <w:sz w:val="20"/>
              </w:rPr>
              <w:t>Namibia</w:t>
            </w:r>
          </w:p>
        </w:tc>
        <w:tc>
          <w:tcPr>
            <w:tcW w:w="6171" w:type="dxa"/>
          </w:tcPr>
          <w:p>
            <w:pPr>
              <w:pStyle w:val="TableParagraph"/>
              <w:spacing w:line="360" w:lineRule="auto"/>
              <w:ind w:left="103" w:right="116"/>
              <w:jc w:val="left"/>
              <w:rPr>
                <w:sz w:val="20"/>
              </w:rPr>
            </w:pPr>
            <w:r>
              <w:rPr>
                <w:sz w:val="20"/>
              </w:rPr>
              <w:t>Una regla de gasto tomó efecto en 2010, la cual estableció un ratio límite sobre gasto a PIB del 30%.</w:t>
            </w:r>
          </w:p>
        </w:tc>
      </w:tr>
    </w:tbl>
    <w:p>
      <w:pPr>
        <w:spacing w:line="198" w:lineRule="exact" w:before="0"/>
        <w:ind w:left="222" w:right="0" w:firstLine="0"/>
        <w:jc w:val="left"/>
        <w:rPr>
          <w:sz w:val="18"/>
        </w:rPr>
      </w:pPr>
      <w:r>
        <w:rPr>
          <w:sz w:val="18"/>
        </w:rPr>
        <w:t>Fuente de consulta: FMI. Estadísticas del monitor fiscal, mes de mayo de 2012.</w:t>
      </w:r>
    </w:p>
    <w:p>
      <w:pPr>
        <w:spacing w:after="0" w:line="198" w:lineRule="exact"/>
        <w:jc w:val="left"/>
        <w:rPr>
          <w:sz w:val="18"/>
        </w:rPr>
        <w:sectPr>
          <w:pgSz w:w="12250" w:h="15850"/>
          <w:pgMar w:header="0" w:footer="977" w:top="1420" w:bottom="1160" w:left="1480" w:right="1480"/>
        </w:sectPr>
      </w:pPr>
    </w:p>
    <w:p>
      <w:pPr>
        <w:pStyle w:val="Heading4"/>
        <w:spacing w:before="55"/>
        <w:ind w:left="1362" w:firstLine="0"/>
      </w:pPr>
      <w:bookmarkStart w:name="_bookmark170" w:id="235"/>
      <w:bookmarkEnd w:id="235"/>
      <w:r>
        <w:rPr>
          <w:b w:val="0"/>
        </w:rPr>
      </w:r>
      <w:r>
        <w:rPr/>
        <w:t>Anexo 2.1.  Consumo del gas natural por regiones: 1992 - 2010</w:t>
      </w:r>
    </w:p>
    <w:p>
      <w:pPr>
        <w:pStyle w:val="BodyText"/>
        <w:spacing w:before="96"/>
        <w:ind w:left="3013"/>
      </w:pPr>
      <w:r>
        <w:rPr/>
        <w:t>(En billones de pies cúbicos)</w:t>
      </w:r>
    </w:p>
    <w:p>
      <w:pPr>
        <w:pStyle w:val="BodyText"/>
        <w:rPr>
          <w:sz w:val="20"/>
        </w:rPr>
      </w:pPr>
    </w:p>
    <w:p>
      <w:pPr>
        <w:pStyle w:val="BodyText"/>
        <w:spacing w:before="4" w:after="1"/>
        <w:rPr>
          <w:sz w:val="11"/>
        </w:rPr>
      </w:pPr>
    </w:p>
    <w:p>
      <w:pPr>
        <w:tabs>
          <w:tab w:pos="4817" w:val="left" w:leader="none"/>
          <w:tab w:pos="7778" w:val="left" w:leader="none"/>
        </w:tabs>
        <w:spacing w:line="240" w:lineRule="auto"/>
        <w:ind w:left="842" w:right="0" w:firstLine="0"/>
        <w:rPr>
          <w:sz w:val="20"/>
        </w:rPr>
      </w:pPr>
      <w:r>
        <w:rPr>
          <w:position w:val="5"/>
          <w:sz w:val="20"/>
        </w:rPr>
        <w:pict>
          <v:group style="width:101.85pt;height:9.6pt;mso-position-horizontal-relative:char;mso-position-vertical-relative:line" coordorigin="0,0" coordsize="2037,192">
            <v:rect style="position:absolute;left:6;top:6;width:2025;height:180" filled="true" fillcolor="#ffffff" stroked="false">
              <v:fill type="solid"/>
            </v:rect>
            <v:shape style="position:absolute;left:6;top:6;width:2026;height:181" type="#_x0000_t202" filled="false" stroked="true" strokeweight=".502553pt" strokecolor="#000000">
              <v:textbox inset="0,0,0,0">
                <w:txbxContent>
                  <w:p>
                    <w:pPr>
                      <w:spacing w:before="28"/>
                      <w:ind w:left="46" w:right="-20" w:firstLine="0"/>
                      <w:jc w:val="left"/>
                      <w:rPr>
                        <w:rFonts w:ascii="Arial"/>
                        <w:sz w:val="10"/>
                      </w:rPr>
                    </w:pPr>
                    <w:r>
                      <w:rPr>
                        <w:rFonts w:ascii="Arial"/>
                        <w:w w:val="105"/>
                        <w:sz w:val="10"/>
                      </w:rPr>
                      <w:t>CONSUMO MUNDIAL DE </w:t>
                    </w:r>
                    <w:r>
                      <w:rPr>
                        <w:rFonts w:ascii="Arial"/>
                        <w:spacing w:val="-4"/>
                        <w:w w:val="105"/>
                        <w:sz w:val="10"/>
                      </w:rPr>
                      <w:t>GAS </w:t>
                    </w:r>
                    <w:r>
                      <w:rPr>
                        <w:rFonts w:ascii="Arial"/>
                        <w:w w:val="105"/>
                        <w:sz w:val="10"/>
                      </w:rPr>
                      <w:t>NATURAL</w:t>
                    </w:r>
                  </w:p>
                </w:txbxContent>
              </v:textbox>
              <w10:wrap type="none"/>
            </v:shape>
          </v:group>
        </w:pict>
      </w:r>
      <w:r>
        <w:rPr>
          <w:position w:val="5"/>
          <w:sz w:val="20"/>
        </w:rPr>
      </w:r>
      <w:r>
        <w:rPr>
          <w:position w:val="5"/>
          <w:sz w:val="20"/>
        </w:rPr>
        <w:tab/>
      </w:r>
      <w:r>
        <w:rPr>
          <w:sz w:val="20"/>
        </w:rPr>
        <w:pict>
          <v:group style="width:26.8pt;height:9.550pt;mso-position-horizontal-relative:char;mso-position-vertical-relative:line" coordorigin="0,0" coordsize="536,191">
            <v:rect style="position:absolute;left:6;top:6;width:525;height:180" filled="true" fillcolor="#ffffff" stroked="false">
              <v:fill type="solid"/>
            </v:rect>
            <v:shape style="position:absolute;left:6;top:6;width:525;height:180" type="#_x0000_t202" filled="false" stroked="true" strokeweight=".502663pt" strokecolor="#000000">
              <v:textbox inset="0,0,0,0">
                <w:txbxContent>
                  <w:p>
                    <w:pPr>
                      <w:spacing w:before="28"/>
                      <w:ind w:left="46" w:right="0" w:firstLine="0"/>
                      <w:jc w:val="left"/>
                      <w:rPr>
                        <w:rFonts w:ascii="Arial"/>
                        <w:sz w:val="10"/>
                      </w:rPr>
                    </w:pPr>
                    <w:r>
                      <w:rPr>
                        <w:rFonts w:ascii="Arial"/>
                        <w:w w:val="105"/>
                        <w:sz w:val="10"/>
                      </w:rPr>
                      <w:t>EUROPA</w:t>
                    </w:r>
                  </w:p>
                </w:txbxContent>
              </v:textbox>
              <w10:wrap type="none"/>
            </v:shape>
          </v:group>
        </w:pict>
      </w:r>
      <w:r>
        <w:rPr>
          <w:sz w:val="20"/>
        </w:rPr>
      </w:r>
      <w:r>
        <w:rPr>
          <w:sz w:val="20"/>
        </w:rPr>
        <w:tab/>
      </w:r>
      <w:r>
        <w:rPr>
          <w:position w:val="5"/>
          <w:sz w:val="20"/>
        </w:rPr>
        <w:pict>
          <v:group style="width:27.55pt;height:9.6pt;mso-position-horizontal-relative:char;mso-position-vertical-relative:line" coordorigin="0,0" coordsize="551,192">
            <v:rect style="position:absolute;left:6;top:6;width:540;height:180" filled="true" fillcolor="#ffffff" stroked="false">
              <v:fill type="solid"/>
            </v:rect>
            <v:shape style="position:absolute;left:6;top:6;width:540;height:181" type="#_x0000_t202" filled="false" stroked="true" strokeweight=".502658pt" strokecolor="#000000">
              <v:textbox inset="0,0,0,0">
                <w:txbxContent>
                  <w:p>
                    <w:pPr>
                      <w:spacing w:before="28"/>
                      <w:ind w:left="46" w:right="0" w:firstLine="0"/>
                      <w:jc w:val="left"/>
                      <w:rPr>
                        <w:rFonts w:ascii="Arial"/>
                        <w:sz w:val="10"/>
                      </w:rPr>
                    </w:pPr>
                    <w:r>
                      <w:rPr>
                        <w:rFonts w:ascii="Arial"/>
                        <w:w w:val="105"/>
                        <w:sz w:val="10"/>
                      </w:rPr>
                      <w:t>EURASIA</w:t>
                    </w:r>
                  </w:p>
                </w:txbxContent>
              </v:textbox>
              <w10:wrap type="none"/>
            </v:shape>
          </v:group>
        </w:pict>
      </w:r>
      <w:r>
        <w:rPr>
          <w:position w:val="5"/>
          <w:sz w:val="20"/>
        </w:rPr>
      </w:r>
    </w:p>
    <w:p>
      <w:pPr>
        <w:spacing w:after="0" w:line="240" w:lineRule="auto"/>
        <w:rPr>
          <w:sz w:val="20"/>
        </w:rPr>
        <w:sectPr>
          <w:pgSz w:w="12250" w:h="15850"/>
          <w:pgMar w:header="0" w:footer="977" w:top="1360" w:bottom="1220" w:left="1720" w:right="1100"/>
        </w:sectPr>
      </w:pPr>
    </w:p>
    <w:p>
      <w:pPr>
        <w:spacing w:line="67" w:lineRule="exact" w:before="0"/>
        <w:ind w:left="236" w:right="-4" w:firstLine="0"/>
        <w:jc w:val="left"/>
        <w:rPr>
          <w:rFonts w:ascii="Arial"/>
          <w:sz w:val="10"/>
        </w:rPr>
      </w:pPr>
      <w:r>
        <w:rPr/>
        <w:pict>
          <v:shape style="position:absolute;margin-left:128.411926pt;margin-top:-13.722447pt;width:101.3pt;height:9.050pt;mso-position-horizontal-relative:page;mso-position-vertical-relative:paragraph;z-index:-556384" type="#_x0000_t202" filled="false" stroked="false">
            <v:textbox inset="0,0,0,0">
              <w:txbxContent>
                <w:p>
                  <w:pPr>
                    <w:spacing w:before="7"/>
                    <w:ind w:left="783" w:right="783" w:firstLine="0"/>
                    <w:jc w:val="center"/>
                    <w:rPr>
                      <w:rFonts w:ascii="Arial"/>
                      <w:sz w:val="14"/>
                    </w:rPr>
                  </w:pPr>
                  <w:r>
                    <w:rPr>
                      <w:rFonts w:ascii="Arial"/>
                      <w:sz w:val="14"/>
                    </w:rPr>
                    <w:t>MUND</w:t>
                  </w:r>
                </w:p>
              </w:txbxContent>
            </v:textbox>
            <w10:wrap type="none"/>
          </v:shape>
        </w:pict>
      </w:r>
      <w:r>
        <w:rPr/>
        <w:pict>
          <v:shape style="position:absolute;margin-left:327.166840pt;margin-top:-11.557611pt;width:26.25pt;height:9.550pt;mso-position-horizontal-relative:page;mso-position-vertical-relative:paragraph;z-index:-556360" type="#_x0000_t202" filled="false" stroked="false">
            <v:textbox inset="0,0,0,0">
              <w:txbxContent>
                <w:p>
                  <w:pPr>
                    <w:spacing w:line="142" w:lineRule="exact" w:before="0"/>
                    <w:ind w:left="0" w:right="52" w:firstLine="0"/>
                    <w:jc w:val="center"/>
                    <w:rPr>
                      <w:rFonts w:ascii="Arial"/>
                      <w:sz w:val="14"/>
                    </w:rPr>
                  </w:pPr>
                  <w:r>
                    <w:rPr>
                      <w:rFonts w:ascii="Arial"/>
                      <w:w w:val="98"/>
                      <w:sz w:val="14"/>
                    </w:rPr>
                    <w:t>E</w:t>
                  </w:r>
                </w:p>
              </w:txbxContent>
            </v:textbox>
            <w10:wrap type="none"/>
          </v:shape>
        </w:pict>
      </w:r>
      <w:r>
        <w:rPr/>
        <w:pict>
          <v:shape style="position:absolute;margin-left:475.21228pt;margin-top:-13.553903pt;width:27pt;height:9.050pt;mso-position-horizontal-relative:page;mso-position-vertical-relative:paragraph;z-index:-556336" type="#_x0000_t202" filled="false" stroked="false">
            <v:textbox inset="0,0,0,0">
              <w:txbxContent>
                <w:p>
                  <w:pPr>
                    <w:spacing w:line="147" w:lineRule="exact" w:before="0"/>
                    <w:ind w:left="51" w:right="0" w:firstLine="0"/>
                    <w:jc w:val="left"/>
                    <w:rPr>
                      <w:rFonts w:ascii="Arial"/>
                      <w:sz w:val="14"/>
                    </w:rPr>
                  </w:pPr>
                  <w:r>
                    <w:rPr>
                      <w:rFonts w:ascii="Arial"/>
                      <w:sz w:val="14"/>
                    </w:rPr>
                    <w:t>EURA</w:t>
                  </w:r>
                </w:p>
              </w:txbxContent>
            </v:textbox>
            <w10:wrap type="none"/>
          </v:shape>
        </w:pict>
      </w:r>
      <w:r>
        <w:rPr>
          <w:rFonts w:ascii="Arial"/>
          <w:spacing w:val="-8"/>
          <w:sz w:val="10"/>
        </w:rPr>
        <w:t>120000</w:t>
      </w:r>
    </w:p>
    <w:p>
      <w:pPr>
        <w:pStyle w:val="BodyText"/>
        <w:rPr>
          <w:rFonts w:ascii="Arial"/>
          <w:sz w:val="10"/>
        </w:rPr>
      </w:pPr>
    </w:p>
    <w:p>
      <w:pPr>
        <w:pStyle w:val="BodyText"/>
        <w:spacing w:before="3"/>
        <w:rPr>
          <w:rFonts w:ascii="Arial"/>
          <w:sz w:val="12"/>
        </w:rPr>
      </w:pPr>
    </w:p>
    <w:p>
      <w:pPr>
        <w:spacing w:before="1"/>
        <w:ind w:left="236" w:right="-4" w:firstLine="0"/>
        <w:jc w:val="left"/>
        <w:rPr>
          <w:rFonts w:ascii="Arial"/>
          <w:sz w:val="10"/>
        </w:rPr>
      </w:pPr>
      <w:r>
        <w:rPr>
          <w:rFonts w:ascii="Arial"/>
          <w:spacing w:val="-8"/>
          <w:sz w:val="10"/>
        </w:rPr>
        <w:t>110000</w:t>
      </w:r>
    </w:p>
    <w:p>
      <w:pPr>
        <w:pStyle w:val="BodyText"/>
        <w:rPr>
          <w:rFonts w:ascii="Arial"/>
          <w:sz w:val="10"/>
        </w:rPr>
      </w:pPr>
    </w:p>
    <w:p>
      <w:pPr>
        <w:pStyle w:val="BodyText"/>
        <w:spacing w:before="3"/>
        <w:rPr>
          <w:rFonts w:ascii="Arial"/>
          <w:sz w:val="12"/>
        </w:rPr>
      </w:pPr>
    </w:p>
    <w:p>
      <w:pPr>
        <w:spacing w:before="1"/>
        <w:ind w:left="236" w:right="-4" w:firstLine="0"/>
        <w:jc w:val="left"/>
        <w:rPr>
          <w:rFonts w:ascii="Arial"/>
          <w:sz w:val="10"/>
        </w:rPr>
      </w:pPr>
      <w:r>
        <w:rPr>
          <w:rFonts w:ascii="Arial"/>
          <w:spacing w:val="-8"/>
          <w:sz w:val="10"/>
        </w:rPr>
        <w:t>100000</w:t>
      </w:r>
    </w:p>
    <w:p>
      <w:pPr>
        <w:pStyle w:val="BodyText"/>
        <w:rPr>
          <w:rFonts w:ascii="Arial"/>
          <w:sz w:val="10"/>
        </w:rPr>
      </w:pPr>
    </w:p>
    <w:p>
      <w:pPr>
        <w:pStyle w:val="BodyText"/>
        <w:spacing w:before="5"/>
        <w:rPr>
          <w:rFonts w:ascii="Arial"/>
          <w:sz w:val="12"/>
        </w:rPr>
      </w:pPr>
    </w:p>
    <w:p>
      <w:pPr>
        <w:spacing w:before="0"/>
        <w:ind w:left="286" w:right="-7" w:firstLine="0"/>
        <w:jc w:val="left"/>
        <w:rPr>
          <w:rFonts w:ascii="Arial"/>
          <w:sz w:val="10"/>
        </w:rPr>
      </w:pPr>
      <w:r>
        <w:rPr>
          <w:rFonts w:ascii="Arial"/>
          <w:spacing w:val="-8"/>
          <w:sz w:val="10"/>
        </w:rPr>
        <w:t>90000</w:t>
      </w:r>
    </w:p>
    <w:p>
      <w:pPr>
        <w:pStyle w:val="BodyText"/>
        <w:rPr>
          <w:rFonts w:ascii="Arial"/>
          <w:sz w:val="10"/>
        </w:rPr>
      </w:pPr>
    </w:p>
    <w:p>
      <w:pPr>
        <w:pStyle w:val="BodyText"/>
        <w:spacing w:before="3"/>
        <w:rPr>
          <w:rFonts w:ascii="Arial"/>
          <w:sz w:val="12"/>
        </w:rPr>
      </w:pPr>
    </w:p>
    <w:p>
      <w:pPr>
        <w:spacing w:before="0"/>
        <w:ind w:left="286" w:right="-7" w:firstLine="0"/>
        <w:jc w:val="left"/>
        <w:rPr>
          <w:rFonts w:ascii="Arial"/>
          <w:sz w:val="10"/>
        </w:rPr>
      </w:pPr>
      <w:r>
        <w:rPr>
          <w:rFonts w:ascii="Arial"/>
          <w:spacing w:val="-8"/>
          <w:sz w:val="10"/>
        </w:rPr>
        <w:t>80000</w:t>
      </w:r>
    </w:p>
    <w:p>
      <w:pPr>
        <w:pStyle w:val="BodyText"/>
        <w:rPr>
          <w:rFonts w:ascii="Arial"/>
          <w:sz w:val="10"/>
        </w:rPr>
      </w:pPr>
    </w:p>
    <w:p>
      <w:pPr>
        <w:pStyle w:val="BodyText"/>
        <w:spacing w:before="3"/>
        <w:rPr>
          <w:rFonts w:ascii="Arial"/>
          <w:sz w:val="12"/>
        </w:rPr>
      </w:pPr>
    </w:p>
    <w:p>
      <w:pPr>
        <w:spacing w:before="1"/>
        <w:ind w:left="286" w:right="-7" w:firstLine="0"/>
        <w:jc w:val="left"/>
        <w:rPr>
          <w:rFonts w:ascii="Arial"/>
          <w:sz w:val="10"/>
        </w:rPr>
      </w:pPr>
      <w:r>
        <w:rPr>
          <w:rFonts w:ascii="Arial"/>
          <w:spacing w:val="-8"/>
          <w:sz w:val="10"/>
        </w:rPr>
        <w:t>70000</w:t>
      </w:r>
    </w:p>
    <w:p>
      <w:pPr>
        <w:pStyle w:val="BodyText"/>
        <w:rPr>
          <w:rFonts w:ascii="Arial"/>
          <w:sz w:val="10"/>
        </w:rPr>
      </w:pPr>
      <w:r>
        <w:rPr/>
        <w:br w:type="column"/>
      </w:r>
      <w:r>
        <w:rPr>
          <w:rFonts w:ascii="Arial"/>
          <w:sz w:val="10"/>
        </w:rPr>
      </w: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spacing w:before="1"/>
        <w:rPr>
          <w:rFonts w:ascii="Arial"/>
          <w:sz w:val="10"/>
        </w:rPr>
      </w:pPr>
    </w:p>
    <w:p>
      <w:pPr>
        <w:spacing w:before="0"/>
        <w:ind w:left="-20" w:right="0" w:firstLine="0"/>
        <w:jc w:val="left"/>
        <w:rPr>
          <w:rFonts w:ascii="Arial"/>
          <w:sz w:val="10"/>
        </w:rPr>
      </w:pPr>
      <w:r>
        <w:rPr/>
        <w:pict>
          <v:shape style="position:absolute;margin-left:167.008972pt;margin-top:11.266327pt;width:46.75pt;height:9.1pt;mso-position-horizontal-relative:page;mso-position-vertical-relative:paragraph;z-index:-556312" type="#_x0000_t202" filled="false" stroked="false">
            <v:textbox inset="0,0,0,0">
              <w:txbxContent>
                <w:p>
                  <w:pPr>
                    <w:spacing w:before="7"/>
                    <w:ind w:left="168" w:right="0" w:firstLine="0"/>
                    <w:jc w:val="left"/>
                    <w:rPr>
                      <w:rFonts w:ascii="Arial"/>
                      <w:sz w:val="14"/>
                    </w:rPr>
                  </w:pPr>
                  <w:r>
                    <w:rPr>
                      <w:rFonts w:ascii="Arial"/>
                      <w:sz w:val="14"/>
                    </w:rPr>
                    <w:t>N_A</w:t>
                  </w:r>
                </w:p>
              </w:txbxContent>
            </v:textbox>
            <w10:wrap type="none"/>
          </v:shape>
        </w:pict>
      </w:r>
      <w:r>
        <w:rPr/>
        <w:pict>
          <v:group style="position:absolute;margin-left:113.515076pt;margin-top:-97.024139pt;width:128.4pt;height:97.15pt;mso-position-horizontal-relative:page;mso-position-vertical-relative:paragraph;z-index:-556048" coordorigin="2270,-1940" coordsize="2568,1943">
            <v:shape style="position:absolute;left:919;top:161;width:83;height:2482" coordorigin="919,161" coordsize="83,2482" path="m2276,-63l2319,-63m2328,-45l2328,-3m2328,-45l2328,-3m2276,-435l2319,-435m2276,-807l2319,-807m2276,-1180l2319,-1180m2276,-1552l2319,-1552e" filled="false" stroked="true" strokeweight=".503108pt" strokecolor="#000000">
              <v:path arrowok="t"/>
            </v:shape>
            <v:shape style="position:absolute;left:2328;top:-1658;width:2492;height:1399" coordorigin="2328,-1658" coordsize="2492,1399" path="m2328,-260l2465,-333,2603,-321,2742,-395,2881,-472,3019,-478,3158,-495,3295,-575,3434,-705,3573,-718,3711,-857,3850,-960,3989,-1077,4125,-1180,4264,-1280,4403,-1398,4541,-1524,4680,-1375,4819,-1658e" filled="false" stroked="true" strokeweight=".579pt" strokecolor="#0000ff">
              <v:path arrowok="t"/>
            </v:shape>
            <v:shape style="position:absolute;left:919;top:-434;width:4065;height:3077" coordorigin="919,-434" coordsize="4065,3077" path="m2276,-1923l2319,-1923m2465,-45l2465,-3m2603,-45l2603,-3m2603,-45l2603,-3m2742,-45l2742,-3m2881,-45l2881,-3m2881,-45l2881,-3m3019,-45l3019,-3m3158,-45l3158,-3m3158,-45l3158,-3m3295,-45l3295,-3m3434,-45l3434,-3m3434,-45l3434,-3m3573,-45l3573,-3m3711,-45l3711,-3m3711,-45l3711,-3m3850,-45l3850,-3m3989,-45l3989,-3m3989,-45l3989,-3m4125,-45l4125,-3m4264,-45l4264,-3m4264,-45l4264,-3m4403,-45l4403,-3m4541,-45l4541,-3m4541,-45l4541,-3m4680,-45l4680,-3m4819,-45l4819,-3m4819,-45l4819,-3e" filled="false" stroked="true" strokeweight=".503108pt" strokecolor="#000000">
              <v:path arrowok="t"/>
            </v:shape>
            <v:rect style="position:absolute;left:2319;top:-1932;width:2510;height:1881" filled="false" stroked="true" strokeweight=".838281pt" strokecolor="#000000"/>
            <w10:wrap type="none"/>
          </v:group>
        </w:pict>
      </w:r>
      <w:r>
        <w:rPr>
          <w:rFonts w:ascii="Arial"/>
          <w:spacing w:val="-4"/>
          <w:w w:val="105"/>
          <w:sz w:val="10"/>
        </w:rPr>
        <w:t>92      94      96      98      00      02      04      06      08   </w:t>
      </w:r>
      <w:r>
        <w:rPr>
          <w:rFonts w:ascii="Arial"/>
          <w:spacing w:val="-8"/>
          <w:w w:val="105"/>
          <w:sz w:val="10"/>
        </w:rPr>
        <w:t>10</w:t>
      </w:r>
    </w:p>
    <w:p>
      <w:pPr>
        <w:spacing w:line="84" w:lineRule="exact" w:before="0"/>
        <w:ind w:left="236" w:right="-8" w:firstLine="0"/>
        <w:jc w:val="left"/>
        <w:rPr>
          <w:rFonts w:ascii="Arial"/>
          <w:sz w:val="10"/>
        </w:rPr>
      </w:pPr>
      <w:r>
        <w:rPr/>
        <w:br w:type="column"/>
      </w:r>
      <w:r>
        <w:rPr>
          <w:rFonts w:ascii="Arial"/>
          <w:spacing w:val="-8"/>
          <w:sz w:val="10"/>
        </w:rPr>
        <w:t>21000</w:t>
      </w:r>
    </w:p>
    <w:p>
      <w:pPr>
        <w:pStyle w:val="BodyText"/>
        <w:spacing w:before="1"/>
        <w:rPr>
          <w:rFonts w:ascii="Arial"/>
          <w:sz w:val="10"/>
        </w:rPr>
      </w:pPr>
    </w:p>
    <w:p>
      <w:pPr>
        <w:spacing w:before="1"/>
        <w:ind w:left="236" w:right="-8" w:firstLine="0"/>
        <w:jc w:val="left"/>
        <w:rPr>
          <w:rFonts w:ascii="Arial"/>
          <w:sz w:val="10"/>
        </w:rPr>
      </w:pPr>
      <w:r>
        <w:rPr>
          <w:rFonts w:ascii="Arial"/>
          <w:spacing w:val="-8"/>
          <w:sz w:val="10"/>
        </w:rPr>
        <w:t>20000</w:t>
      </w:r>
    </w:p>
    <w:p>
      <w:pPr>
        <w:pStyle w:val="BodyText"/>
        <w:spacing w:before="3"/>
        <w:rPr>
          <w:rFonts w:ascii="Arial"/>
          <w:sz w:val="10"/>
        </w:rPr>
      </w:pPr>
    </w:p>
    <w:p>
      <w:pPr>
        <w:spacing w:before="0"/>
        <w:ind w:left="236" w:right="-8" w:firstLine="0"/>
        <w:jc w:val="left"/>
        <w:rPr>
          <w:rFonts w:ascii="Arial"/>
          <w:sz w:val="10"/>
        </w:rPr>
      </w:pPr>
      <w:r>
        <w:rPr>
          <w:rFonts w:ascii="Arial"/>
          <w:spacing w:val="-8"/>
          <w:sz w:val="10"/>
        </w:rPr>
        <w:t>19000</w:t>
      </w:r>
    </w:p>
    <w:p>
      <w:pPr>
        <w:pStyle w:val="BodyText"/>
        <w:spacing w:before="1"/>
        <w:rPr>
          <w:rFonts w:ascii="Arial"/>
          <w:sz w:val="10"/>
        </w:rPr>
      </w:pPr>
    </w:p>
    <w:p>
      <w:pPr>
        <w:spacing w:before="1"/>
        <w:ind w:left="236" w:right="-8" w:firstLine="0"/>
        <w:jc w:val="left"/>
        <w:rPr>
          <w:rFonts w:ascii="Arial"/>
          <w:sz w:val="10"/>
        </w:rPr>
      </w:pPr>
      <w:r>
        <w:rPr>
          <w:rFonts w:ascii="Arial"/>
          <w:spacing w:val="-8"/>
          <w:sz w:val="10"/>
        </w:rPr>
        <w:t>18000</w:t>
      </w:r>
    </w:p>
    <w:p>
      <w:pPr>
        <w:pStyle w:val="BodyText"/>
        <w:spacing w:before="3"/>
        <w:rPr>
          <w:rFonts w:ascii="Arial"/>
          <w:sz w:val="10"/>
        </w:rPr>
      </w:pPr>
    </w:p>
    <w:p>
      <w:pPr>
        <w:spacing w:before="0"/>
        <w:ind w:left="236" w:right="-8" w:firstLine="0"/>
        <w:jc w:val="left"/>
        <w:rPr>
          <w:rFonts w:ascii="Arial"/>
          <w:sz w:val="10"/>
        </w:rPr>
      </w:pPr>
      <w:r>
        <w:rPr>
          <w:rFonts w:ascii="Arial"/>
          <w:spacing w:val="-8"/>
          <w:sz w:val="10"/>
        </w:rPr>
        <w:t>17000</w:t>
      </w:r>
    </w:p>
    <w:p>
      <w:pPr>
        <w:pStyle w:val="BodyText"/>
        <w:spacing w:before="3"/>
        <w:rPr>
          <w:rFonts w:ascii="Arial"/>
          <w:sz w:val="10"/>
        </w:rPr>
      </w:pPr>
    </w:p>
    <w:p>
      <w:pPr>
        <w:spacing w:before="0"/>
        <w:ind w:left="236" w:right="-8" w:firstLine="0"/>
        <w:jc w:val="left"/>
        <w:rPr>
          <w:rFonts w:ascii="Arial"/>
          <w:sz w:val="10"/>
        </w:rPr>
      </w:pPr>
      <w:r>
        <w:rPr>
          <w:rFonts w:ascii="Arial"/>
          <w:spacing w:val="-8"/>
          <w:sz w:val="10"/>
        </w:rPr>
        <w:t>16000</w:t>
      </w:r>
    </w:p>
    <w:p>
      <w:pPr>
        <w:pStyle w:val="BodyText"/>
        <w:spacing w:before="1"/>
        <w:rPr>
          <w:rFonts w:ascii="Arial"/>
          <w:sz w:val="10"/>
        </w:rPr>
      </w:pPr>
    </w:p>
    <w:p>
      <w:pPr>
        <w:spacing w:before="0"/>
        <w:ind w:left="236" w:right="-8" w:firstLine="0"/>
        <w:jc w:val="left"/>
        <w:rPr>
          <w:rFonts w:ascii="Arial"/>
          <w:sz w:val="10"/>
        </w:rPr>
      </w:pPr>
      <w:r>
        <w:rPr>
          <w:rFonts w:ascii="Arial"/>
          <w:spacing w:val="-8"/>
          <w:sz w:val="10"/>
        </w:rPr>
        <w:t>15000</w:t>
      </w:r>
    </w:p>
    <w:p>
      <w:pPr>
        <w:pStyle w:val="BodyText"/>
        <w:spacing w:before="3"/>
        <w:rPr>
          <w:rFonts w:ascii="Arial"/>
          <w:sz w:val="10"/>
        </w:rPr>
      </w:pPr>
    </w:p>
    <w:p>
      <w:pPr>
        <w:spacing w:before="0"/>
        <w:ind w:left="236" w:right="-8" w:firstLine="0"/>
        <w:jc w:val="left"/>
        <w:rPr>
          <w:rFonts w:ascii="Arial"/>
          <w:sz w:val="10"/>
        </w:rPr>
      </w:pPr>
      <w:r>
        <w:rPr>
          <w:rFonts w:ascii="Arial"/>
          <w:spacing w:val="-8"/>
          <w:sz w:val="10"/>
        </w:rPr>
        <w:t>14000</w:t>
      </w:r>
    </w:p>
    <w:p>
      <w:pPr>
        <w:pStyle w:val="BodyText"/>
        <w:spacing w:before="3"/>
        <w:rPr>
          <w:rFonts w:ascii="Arial"/>
          <w:sz w:val="10"/>
        </w:rPr>
      </w:pPr>
    </w:p>
    <w:p>
      <w:pPr>
        <w:spacing w:before="0"/>
        <w:ind w:left="236" w:right="-8" w:firstLine="0"/>
        <w:jc w:val="left"/>
        <w:rPr>
          <w:rFonts w:ascii="Arial"/>
          <w:sz w:val="10"/>
        </w:rPr>
      </w:pPr>
      <w:r>
        <w:rPr>
          <w:rFonts w:ascii="Arial"/>
          <w:spacing w:val="-8"/>
          <w:sz w:val="10"/>
        </w:rPr>
        <w:t>13000</w:t>
      </w:r>
    </w:p>
    <w:p>
      <w:pPr>
        <w:pStyle w:val="BodyText"/>
        <w:rPr>
          <w:rFonts w:ascii="Arial"/>
          <w:sz w:val="10"/>
        </w:rPr>
      </w:pPr>
      <w:r>
        <w:rPr/>
        <w:br w:type="column"/>
      </w:r>
      <w:r>
        <w:rPr>
          <w:rFonts w:ascii="Arial"/>
          <w:sz w:val="10"/>
        </w:rPr>
      </w: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spacing w:before="6"/>
        <w:rPr>
          <w:rFonts w:ascii="Arial"/>
          <w:sz w:val="11"/>
        </w:rPr>
      </w:pPr>
    </w:p>
    <w:p>
      <w:pPr>
        <w:spacing w:before="0"/>
        <w:ind w:left="-20" w:right="0" w:firstLine="0"/>
        <w:jc w:val="left"/>
        <w:rPr>
          <w:rFonts w:ascii="Arial"/>
          <w:sz w:val="10"/>
        </w:rPr>
      </w:pPr>
      <w:r>
        <w:rPr/>
        <w:pict>
          <v:group style="position:absolute;margin-left:273.593475pt;margin-top:-97.024147pt;width:128.4pt;height:97.15pt;mso-position-horizontal-relative:page;mso-position-vertical-relative:paragraph;z-index:-556120" coordorigin="5472,-1940" coordsize="2568,1943">
            <v:shape style="position:absolute;left:6036;top:-54;width:83;height:2706" coordorigin="6036,-54" coordsize="83,2706" path="m5477,-61l5521,-61m5529,-45l5529,-3m5529,-45l5529,-3m5477,-295l5521,-295m5477,-528l5521,-528m5477,-760l5521,-760m5477,-993l5521,-993m5477,-1227l5521,-1227m5477,-1458l5521,-1458m5477,-1692l5521,-1692e" filled="false" stroked="true" strokeweight=".503108pt" strokecolor="#000000">
              <v:path arrowok="t"/>
            </v:shape>
            <v:shape style="position:absolute;left:5529;top:-1822;width:2492;height:1646" coordorigin="5529,-1822" coordsize="2492,1646" path="m5529,-176l5666,-295,5805,-323,5943,-587,6082,-855,6221,-780,6360,-845,6497,-990,6635,-1085,6774,-1222,6913,-1270,7051,-1512,7190,-1665,7327,-1757,7466,-1745,7604,-1727,7743,-1822,7882,-1553,8020,-1780e" filled="false" stroked="true" strokeweight=".579083pt" strokecolor="#0000ff">
              <v:path arrowok="t"/>
            </v:shape>
            <v:shape style="position:absolute;left:6036;top:-425;width:4065;height:3077" coordorigin="6036,-425" coordsize="4065,3077" path="m5477,-1924l5521,-1924m5666,-45l5666,-3m5805,-45l5805,-3m5805,-45l5805,-3m5943,-45l5943,-3m6082,-45l6082,-3m6082,-45l6082,-3m6221,-45l6221,-3m6360,-45l6360,-3m6360,-45l6360,-3m6497,-45l6497,-3m6635,-45l6635,-3m6635,-45l6635,-3m6774,-45l6774,-3m6913,-45l6913,-3m6913,-45l6913,-3m7051,-45l7051,-3m7190,-45l7190,-3m7190,-45l7190,-3m7327,-45l7327,-3m7466,-45l7466,-3m7466,-45l7466,-3m7604,-45l7604,-3m7743,-45l7743,-3m7743,-45l7743,-3m7882,-45l7882,-3m8020,-45l8020,-3m8020,-45l8020,-3e" filled="false" stroked="true" strokeweight=".503108pt" strokecolor="#000000">
              <v:path arrowok="t"/>
            </v:shape>
            <v:rect style="position:absolute;left:5521;top:-1932;width:2510;height:1880" filled="false" stroked="true" strokeweight=".838281pt" strokecolor="#000000"/>
            <w10:wrap type="none"/>
          </v:group>
        </w:pict>
      </w:r>
      <w:r>
        <w:rPr>
          <w:rFonts w:ascii="Arial"/>
          <w:spacing w:val="-4"/>
          <w:w w:val="105"/>
          <w:sz w:val="10"/>
        </w:rPr>
        <w:t>92      94      96      98      00      02      04      06      08   </w:t>
      </w:r>
      <w:r>
        <w:rPr>
          <w:rFonts w:ascii="Arial"/>
          <w:spacing w:val="-8"/>
          <w:w w:val="105"/>
          <w:sz w:val="10"/>
        </w:rPr>
        <w:t>10</w:t>
      </w:r>
    </w:p>
    <w:p>
      <w:pPr>
        <w:spacing w:line="50" w:lineRule="exact" w:before="0"/>
        <w:ind w:left="58" w:right="-8" w:firstLine="0"/>
        <w:jc w:val="left"/>
        <w:rPr>
          <w:rFonts w:ascii="Arial"/>
          <w:sz w:val="10"/>
        </w:rPr>
      </w:pPr>
      <w:r>
        <w:rPr/>
        <w:br w:type="column"/>
      </w:r>
      <w:r>
        <w:rPr>
          <w:rFonts w:ascii="Arial"/>
          <w:spacing w:val="-8"/>
          <w:sz w:val="10"/>
        </w:rPr>
        <w:t>24000</w:t>
      </w:r>
    </w:p>
    <w:p>
      <w:pPr>
        <w:pStyle w:val="BodyText"/>
        <w:rPr>
          <w:rFonts w:ascii="Arial"/>
          <w:sz w:val="10"/>
        </w:rPr>
      </w:pPr>
    </w:p>
    <w:p>
      <w:pPr>
        <w:spacing w:before="80"/>
        <w:ind w:left="58" w:right="-8" w:firstLine="0"/>
        <w:jc w:val="left"/>
        <w:rPr>
          <w:rFonts w:ascii="Arial"/>
          <w:sz w:val="10"/>
        </w:rPr>
      </w:pPr>
      <w:r>
        <w:rPr>
          <w:rFonts w:ascii="Arial"/>
          <w:spacing w:val="-8"/>
          <w:sz w:val="10"/>
        </w:rPr>
        <w:t>23000</w:t>
      </w:r>
    </w:p>
    <w:p>
      <w:pPr>
        <w:pStyle w:val="BodyText"/>
        <w:rPr>
          <w:rFonts w:ascii="Arial"/>
          <w:sz w:val="10"/>
        </w:rPr>
      </w:pPr>
    </w:p>
    <w:p>
      <w:pPr>
        <w:spacing w:before="80"/>
        <w:ind w:left="58" w:right="-8" w:firstLine="0"/>
        <w:jc w:val="left"/>
        <w:rPr>
          <w:rFonts w:ascii="Arial"/>
          <w:sz w:val="10"/>
        </w:rPr>
      </w:pPr>
      <w:r>
        <w:rPr>
          <w:rFonts w:ascii="Arial"/>
          <w:spacing w:val="-8"/>
          <w:sz w:val="10"/>
        </w:rPr>
        <w:t>22000</w:t>
      </w:r>
    </w:p>
    <w:p>
      <w:pPr>
        <w:pStyle w:val="BodyText"/>
        <w:rPr>
          <w:rFonts w:ascii="Arial"/>
          <w:sz w:val="10"/>
        </w:rPr>
      </w:pPr>
    </w:p>
    <w:p>
      <w:pPr>
        <w:spacing w:before="80"/>
        <w:ind w:left="58" w:right="-8" w:firstLine="0"/>
        <w:jc w:val="left"/>
        <w:rPr>
          <w:rFonts w:ascii="Arial"/>
          <w:sz w:val="10"/>
        </w:rPr>
      </w:pPr>
      <w:r>
        <w:rPr>
          <w:rFonts w:ascii="Arial"/>
          <w:spacing w:val="-8"/>
          <w:sz w:val="10"/>
        </w:rPr>
        <w:t>21000</w:t>
      </w:r>
    </w:p>
    <w:p>
      <w:pPr>
        <w:pStyle w:val="BodyText"/>
        <w:rPr>
          <w:rFonts w:ascii="Arial"/>
          <w:sz w:val="10"/>
        </w:rPr>
      </w:pPr>
    </w:p>
    <w:p>
      <w:pPr>
        <w:spacing w:before="80"/>
        <w:ind w:left="58" w:right="-8" w:firstLine="0"/>
        <w:jc w:val="left"/>
        <w:rPr>
          <w:rFonts w:ascii="Arial"/>
          <w:sz w:val="10"/>
        </w:rPr>
      </w:pPr>
      <w:r>
        <w:rPr>
          <w:rFonts w:ascii="Arial"/>
          <w:spacing w:val="-8"/>
          <w:sz w:val="10"/>
        </w:rPr>
        <w:t>20000</w:t>
      </w:r>
    </w:p>
    <w:p>
      <w:pPr>
        <w:pStyle w:val="BodyText"/>
        <w:rPr>
          <w:rFonts w:ascii="Arial"/>
          <w:sz w:val="10"/>
        </w:rPr>
      </w:pPr>
    </w:p>
    <w:p>
      <w:pPr>
        <w:spacing w:before="80"/>
        <w:ind w:left="58" w:right="-8" w:firstLine="0"/>
        <w:jc w:val="left"/>
        <w:rPr>
          <w:rFonts w:ascii="Arial"/>
          <w:sz w:val="10"/>
        </w:rPr>
      </w:pPr>
      <w:r>
        <w:rPr>
          <w:rFonts w:ascii="Arial"/>
          <w:spacing w:val="-8"/>
          <w:sz w:val="10"/>
        </w:rPr>
        <w:t>19000</w:t>
      </w:r>
    </w:p>
    <w:p>
      <w:pPr>
        <w:pStyle w:val="BodyText"/>
        <w:rPr>
          <w:rFonts w:ascii="Arial"/>
          <w:sz w:val="10"/>
        </w:rPr>
      </w:pPr>
    </w:p>
    <w:p>
      <w:pPr>
        <w:spacing w:before="82"/>
        <w:ind w:left="58" w:right="-8" w:firstLine="0"/>
        <w:jc w:val="left"/>
        <w:rPr>
          <w:rFonts w:ascii="Arial"/>
          <w:sz w:val="10"/>
        </w:rPr>
      </w:pPr>
      <w:r>
        <w:rPr>
          <w:rFonts w:ascii="Arial"/>
          <w:spacing w:val="-8"/>
          <w:sz w:val="10"/>
        </w:rPr>
        <w:t>18000</w:t>
      </w:r>
    </w:p>
    <w:p>
      <w:pPr>
        <w:pStyle w:val="BodyText"/>
        <w:rPr>
          <w:rFonts w:ascii="Arial"/>
          <w:sz w:val="10"/>
        </w:rPr>
      </w:pPr>
      <w:r>
        <w:rPr/>
        <w:br w:type="column"/>
      </w:r>
      <w:r>
        <w:rPr>
          <w:rFonts w:ascii="Arial"/>
          <w:sz w:val="10"/>
        </w:rPr>
      </w: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spacing w:before="7"/>
        <w:rPr>
          <w:rFonts w:ascii="Arial"/>
          <w:sz w:val="8"/>
        </w:rPr>
      </w:pPr>
    </w:p>
    <w:p>
      <w:pPr>
        <w:spacing w:before="0"/>
        <w:ind w:left="-20" w:right="0" w:firstLine="0"/>
        <w:jc w:val="left"/>
        <w:rPr>
          <w:rFonts w:ascii="Arial"/>
          <w:sz w:val="10"/>
        </w:rPr>
      </w:pPr>
      <w:r>
        <w:rPr/>
        <w:pict>
          <v:group style="position:absolute;margin-left:421.626404pt;margin-top:-97.01165pt;width:128.4pt;height:97.15pt;mso-position-horizontal-relative:page;mso-position-vertical-relative:paragraph;z-index:-556096" coordorigin="8433,-1940" coordsize="2568,1943">
            <v:shape style="position:absolute;left:10768;top:-444;width:83;height:3077" coordorigin="10768,-444" coordsize="83,3077" path="m8438,-61l8482,-61m8490,-45l8490,-3m8490,-45l8490,-3m8438,-373l8482,-373m8438,-683l8482,-683m8438,-993l8482,-993m8438,-1303l8482,-1303m8438,-1613l8482,-1613m8438,-1923l8482,-1923e" filled="false" stroked="true" strokeweight=".503108pt" strokecolor="#000000">
              <v:path arrowok="t"/>
            </v:shape>
            <v:shape style="position:absolute;left:8490;top:-1868;width:2492;height:1649" coordorigin="8490,-1868" coordsize="2492,1649" path="m8490,-1868l8627,-1835,8766,-1206,8905,-855,9043,-501,9182,-247,9320,-220,9457,-275,9596,-515,9735,-471,9873,-775,10012,-1053,10151,-1260,10288,-1243,10426,-1388,10565,-1482,10704,-1599,10842,-405,10981,-995e" filled="false" stroked="true" strokeweight=".579085pt" strokecolor="#0000ff">
              <v:path arrowok="t"/>
            </v:shape>
            <v:shape style="position:absolute;left:11070;top:2566;width:3763;height:67" coordorigin="11070,2566" coordsize="3763,67" path="m8627,-45l8627,-3m8766,-45l8766,-3m8766,-45l8766,-3m8905,-45l8905,-3m9043,-45l9043,-3m9043,-45l9043,-3m9182,-45l9182,-3m9320,-45l9320,-3m9320,-45l9320,-3m9457,-45l9457,-3m9596,-45l9596,-3m9596,-45l9596,-3m9735,-45l9735,-3m9873,-45l9873,-3m9873,-45l9873,-3m10012,-45l10012,-3m10151,-45l10151,-3m10151,-45l10151,-3m10288,-45l10288,-3m10426,-45l10426,-3m10426,-45l10426,-3m10565,-45l10565,-3m10704,-45l10704,-3m10704,-45l10704,-3m10842,-45l10842,-3m10981,-45l10981,-3m10981,-45l10981,-3e" filled="false" stroked="true" strokeweight=".503108pt" strokecolor="#000000">
              <v:path arrowok="t"/>
            </v:shape>
            <v:rect style="position:absolute;left:8482;top:-1932;width:2510;height:1880" filled="false" stroked="true" strokeweight=".838281pt" strokecolor="#000000"/>
            <w10:wrap type="none"/>
          </v:group>
        </w:pict>
      </w:r>
      <w:r>
        <w:rPr>
          <w:rFonts w:ascii="Arial"/>
          <w:w w:val="105"/>
          <w:sz w:val="10"/>
        </w:rPr>
        <w:t>92      94      96      98      00      02      04      06      08   10</w:t>
      </w:r>
    </w:p>
    <w:p>
      <w:pPr>
        <w:spacing w:after="0"/>
        <w:jc w:val="left"/>
        <w:rPr>
          <w:rFonts w:ascii="Arial"/>
          <w:sz w:val="10"/>
        </w:rPr>
        <w:sectPr>
          <w:type w:val="continuous"/>
          <w:pgSz w:w="12250" w:h="15850"/>
          <w:pgMar w:top="1500" w:bottom="280" w:left="1720" w:right="1100"/>
          <w:cols w:num="6" w:equalWidth="0">
            <w:col w:w="538" w:space="40"/>
            <w:col w:w="2572" w:space="102"/>
            <w:col w:w="487" w:space="40"/>
            <w:col w:w="2573" w:space="40"/>
            <w:col w:w="309" w:space="40"/>
            <w:col w:w="2689"/>
          </w:cols>
        </w:sectPr>
      </w:pPr>
    </w:p>
    <w:p>
      <w:pPr>
        <w:pStyle w:val="BodyText"/>
        <w:spacing w:before="7"/>
        <w:rPr>
          <w:rFonts w:ascii="Arial"/>
          <w:sz w:val="7"/>
        </w:rPr>
      </w:pPr>
    </w:p>
    <w:p>
      <w:pPr>
        <w:tabs>
          <w:tab w:pos="4037" w:val="left" w:leader="none"/>
        </w:tabs>
        <w:spacing w:line="240" w:lineRule="auto"/>
        <w:ind w:left="1614" w:right="0" w:firstLine="0"/>
        <w:rPr>
          <w:rFonts w:ascii="Arial"/>
          <w:sz w:val="20"/>
        </w:rPr>
      </w:pPr>
      <w:r>
        <w:rPr>
          <w:rFonts w:ascii="Arial"/>
          <w:position w:val="6"/>
          <w:sz w:val="20"/>
        </w:rPr>
        <w:pict>
          <v:group style="width:47.3pt;height:9.65pt;mso-position-horizontal-relative:char;mso-position-vertical-relative:line" coordorigin="0,0" coordsize="946,193">
            <v:rect style="position:absolute;left:6;top:6;width:934;height:182" filled="true" fillcolor="#ffffff" stroked="false">
              <v:fill type="solid"/>
            </v:rect>
            <v:shape style="position:absolute;left:6;top:6;width:935;height:182" type="#_x0000_t202" filled="false" stroked="true" strokeweight=".502585pt" strokecolor="#000000">
              <v:textbox inset="0,0,0,0">
                <w:txbxContent>
                  <w:p>
                    <w:pPr>
                      <w:spacing w:before="28"/>
                      <w:ind w:left="46" w:right="0" w:firstLine="0"/>
                      <w:jc w:val="left"/>
                      <w:rPr>
                        <w:rFonts w:ascii="Arial" w:hAnsi="Arial"/>
                        <w:sz w:val="10"/>
                      </w:rPr>
                    </w:pPr>
                    <w:r>
                      <w:rPr>
                        <w:rFonts w:ascii="Arial" w:hAnsi="Arial"/>
                        <w:sz w:val="10"/>
                      </w:rPr>
                      <w:t>NORTE AMÉRICA</w:t>
                    </w:r>
                  </w:p>
                </w:txbxContent>
              </v:textbox>
              <w10:wrap type="none"/>
            </v:shape>
          </v:group>
        </w:pict>
      </w:r>
      <w:r>
        <w:rPr>
          <w:rFonts w:ascii="Arial"/>
          <w:position w:val="6"/>
          <w:sz w:val="20"/>
        </w:rPr>
      </w:r>
      <w:r>
        <w:rPr>
          <w:rFonts w:ascii="Arial"/>
          <w:position w:val="6"/>
          <w:sz w:val="20"/>
        </w:rPr>
        <w:tab/>
      </w:r>
      <w:r>
        <w:rPr>
          <w:rFonts w:ascii="Arial"/>
          <w:sz w:val="20"/>
        </w:rPr>
        <w:pict>
          <v:group style="width:68.1pt;height:9.65pt;mso-position-horizontal-relative:char;mso-position-vertical-relative:line" coordorigin="0,0" coordsize="1362,193">
            <v:rect style="position:absolute;left:6;top:6;width:1350;height:182" filled="true" fillcolor="#ffffff" stroked="false">
              <v:fill type="solid"/>
            </v:rect>
            <v:rect style="position:absolute;left:6;top:6;width:1350;height:182" filled="false" stroked="true" strokeweight=".502564pt" strokecolor="#000000"/>
          </v:group>
        </w:pict>
      </w:r>
      <w:r>
        <w:rPr>
          <w:rFonts w:ascii="Arial"/>
          <w:sz w:val="20"/>
        </w:rPr>
      </w:r>
    </w:p>
    <w:p>
      <w:pPr>
        <w:spacing w:line="54" w:lineRule="exact" w:before="0"/>
        <w:ind w:left="347" w:right="0" w:firstLine="0"/>
        <w:jc w:val="left"/>
        <w:rPr>
          <w:rFonts w:ascii="Arial"/>
          <w:sz w:val="10"/>
        </w:rPr>
      </w:pPr>
      <w:r>
        <w:rPr/>
        <w:pict>
          <v:shape style="position:absolute;margin-left:288.151855pt;margin-top:-11.270629pt;width:67.55pt;height:9.1pt;mso-position-horizontal-relative:page;mso-position-vertical-relative:paragraph;z-index:-556288" type="#_x0000_t202" filled="false" stroked="false">
            <v:textbox inset="0,0,0,0">
              <w:txbxContent>
                <w:p>
                  <w:pPr>
                    <w:spacing w:before="14"/>
                    <w:ind w:left="743" w:right="0" w:firstLine="0"/>
                    <w:jc w:val="left"/>
                    <w:rPr>
                      <w:rFonts w:ascii="Arial"/>
                      <w:sz w:val="14"/>
                    </w:rPr>
                  </w:pPr>
                  <w:r>
                    <w:rPr>
                      <w:rFonts w:ascii="Arial"/>
                      <w:sz w:val="14"/>
                    </w:rPr>
                    <w:t>C_S_A</w:t>
                  </w:r>
                </w:p>
              </w:txbxContent>
            </v:textbox>
            <w10:wrap type="none"/>
          </v:shape>
        </w:pict>
      </w:r>
      <w:r>
        <w:rPr/>
        <w:pict>
          <v:shape style="position:absolute;margin-left:462.762024pt;margin-top:-8.361699pt;width:44.7pt;height:10.1pt;mso-position-horizontal-relative:page;mso-position-vertical-relative:paragraph;z-index:-556264" type="#_x0000_t202" filled="false" stroked="false">
            <v:textbox inset="0,0,0,0">
              <w:txbxContent>
                <w:p>
                  <w:pPr>
                    <w:spacing w:line="142" w:lineRule="exact" w:before="0"/>
                    <w:ind w:left="352" w:right="0" w:firstLine="0"/>
                    <w:jc w:val="left"/>
                    <w:rPr>
                      <w:rFonts w:ascii="Arial"/>
                      <w:sz w:val="14"/>
                    </w:rPr>
                  </w:pPr>
                  <w:r>
                    <w:rPr>
                      <w:rFonts w:ascii="Arial"/>
                      <w:sz w:val="14"/>
                    </w:rPr>
                    <w:t>A_O</w:t>
                  </w:r>
                </w:p>
              </w:txbxContent>
            </v:textbox>
            <w10:wrap type="none"/>
          </v:shape>
        </w:pict>
      </w:r>
      <w:r>
        <w:rPr/>
        <w:pict>
          <v:group style="position:absolute;margin-left:421.88916pt;margin-top:-7.622283pt;width:128.4pt;height:109.7pt;mso-position-horizontal-relative:page;mso-position-vertical-relative:paragraph;z-index:-556192" coordorigin="8438,-152" coordsize="2568,2194">
            <v:shape style="position:absolute;left:10777;top:3512;width:83;height:2706" coordorigin="10777,3512" coordsize="83,2706" path="m8443,1977l8487,1977m8495,1994l8495,2035m8495,1994l8495,2035m8443,1744l8487,1744m8443,1510l8487,1510m8443,1279l8487,1279m8443,1045l8487,1045m8443,812l8487,812m8443,580l8487,580m8443,347l8487,347e" filled="false" stroked="true" strokeweight=".503108pt" strokecolor="#000000">
              <v:path arrowok="t"/>
            </v:shape>
            <v:shape style="position:absolute;left:8495;top:281;width:2492;height:1628" coordorigin="8495,281" coordsize="2492,1628" path="m8495,1909l8632,1862,8771,1794,8909,1744,9048,1662,9187,1614,9325,1599,9462,1517,9601,1450,9740,1434,9879,1322,10017,1258,10156,1185,10293,1067,10432,893,10570,715,10709,643,10848,531,10986,281e" filled="false" stroked="true" strokeweight=".579077pt" strokecolor="#0000ff">
              <v:path arrowok="t"/>
            </v:shape>
            <v:shape style="position:absolute;left:10777;top:3140;width:4065;height:3077" coordorigin="10777,3140" coordsize="4065,3077" path="m8443,115l8487,115m8632,1994l8632,2035m8771,1994l8771,2035m8771,1994l8771,2035m8909,1994l8909,2035m9048,1994l9048,2035m9048,1994l9048,2035m9187,1994l9187,2035m9325,1994l9325,2035m9325,1994l9325,2035m9462,1994l9462,2035m9601,1994l9601,2035m9601,1994l9601,2035m9740,1994l9740,2035m9879,1994l9879,2035m9879,1994l9879,2035m10017,1994l10017,2035m10156,1994l10156,2035m10156,1994l10156,2035m10293,1994l10293,2035m10432,1994l10432,2035m10432,1994l10432,2035m10570,1994l10570,2035m10709,1994l10709,2035m10709,1994l10709,2035m10848,1994l10848,2035m10986,1994l10986,2035m10986,1994l10986,2035e" filled="false" stroked="true" strokeweight=".503108pt" strokecolor="#000000">
              <v:path arrowok="t"/>
            </v:shape>
            <v:rect style="position:absolute;left:8487;top:106;width:2510;height:1880" filled="false" stroked="true" strokeweight=".838281pt" strokecolor="#000000"/>
            <v:rect style="position:absolute;left:9255;top:-147;width:894;height:182" filled="true" fillcolor="#ffffff" stroked="false">
              <v:fill type="solid"/>
            </v:rect>
            <v:rect style="position:absolute;left:9255;top:-147;width:894;height:182" filled="false" stroked="true" strokeweight=".502589pt" strokecolor="#000000"/>
            <w10:wrap type="none"/>
          </v:group>
        </w:pict>
      </w:r>
      <w:r>
        <w:rPr/>
        <w:pict>
          <v:group style="position:absolute;margin-left:270.828125pt;margin-top:3.563906pt;width:128.4pt;height:97.15pt;mso-position-horizontal-relative:page;mso-position-vertical-relative:paragraph;z-index:-556144" coordorigin="5417,71" coordsize="2568,1943">
            <v:shape style="position:absolute;left:5948;top:3097;width:83;height:3077" coordorigin="5948,3097" coordsize="83,3077" path="m5422,1950l5465,1950m5474,1967l5474,2009m5474,1967l5474,2009m5422,1717l5465,1717m5422,1484l5465,1484m5422,1252l5465,1252m5422,1018l5465,1018m5422,785l5465,785m5422,553l5465,553m5422,320l5465,320m5422,88l5465,88e" filled="false" stroked="true" strokeweight=".503108pt" strokecolor="#000000">
              <v:path arrowok="t"/>
            </v:shape>
            <v:shape style="position:absolute;left:5474;top:142;width:2492;height:1729" coordorigin="5474,142" coordsize="2492,1729" path="m5474,1870l5611,1773,5750,1694,5888,1612,6027,1507,6166,1414,6304,1298,6441,1327,6580,1190,6719,1055,6857,1073,6996,968,7135,742,7272,660,7411,483,7549,560,7688,405,7827,563,7965,142e" filled="false" stroked="true" strokeweight=".579111pt" strokecolor="#0000ff">
              <v:path arrowok="t"/>
            </v:shape>
            <v:shape style="position:absolute;left:6250;top:6107;width:3763;height:67" coordorigin="6250,6107" coordsize="3763,67" path="m5611,1967l5611,2009m5750,1967l5750,2009m5750,1967l5750,2009m5888,1967l5888,2009m6027,1967l6027,2009m6027,1967l6027,2009m6166,1967l6166,2009m6304,1967l6304,2009m6304,1967l6304,2009m6441,1967l6441,2009m6580,1967l6580,2009m6580,1967l6580,2009m6719,1967l6719,2009m6857,1967l6857,2009m6857,1967l6857,2009m6996,1967l6996,2009m7135,1967l7135,2009m7135,1967l7135,2009m7272,1967l7272,2009m7411,1967l7411,2009m7411,1967l7411,2009m7549,1967l7549,2009m7688,1967l7688,2009m7688,1967l7688,2009m7827,1967l7827,2009m7965,1967l7965,2009m7965,1967l7965,2009e" filled="false" stroked="true" strokeweight=".503108pt" strokecolor="#000000">
              <v:path arrowok="t"/>
            </v:shape>
            <v:rect style="position:absolute;left:5465;top:80;width:2510;height:1880" filled="false" stroked="true" strokeweight=".838281pt" strokecolor="#000000"/>
            <w10:wrap type="none"/>
          </v:group>
        </w:pict>
      </w:r>
      <w:r>
        <w:rPr/>
        <w:pict>
          <v:group style="position:absolute;margin-left:116.521904pt;margin-top:.149316pt;width:128.4pt;height:97.15pt;mso-position-horizontal-relative:page;mso-position-vertical-relative:paragraph;z-index:-556024" coordorigin="2330,3" coordsize="2568,1943">
            <v:shape style="position:absolute;left:1015;top:3412;width:83;height:2653" coordorigin="1015,3412" coordsize="83,2653" path="m2336,1882l2379,1882m2388,1899l2388,1940m2388,1899l2388,1940m2336,1615l2379,1615m2336,1349l2379,1349m2336,1083l2379,1083m2336,817l2379,817m2336,552l2379,552m2336,285l2379,285e" filled="false" stroked="true" strokeweight=".503108pt" strokecolor="#000000">
              <v:path arrowok="t"/>
            </v:shape>
            <v:shape style="position:absolute;left:2388;top:291;width:2492;height:1383" coordorigin="2388,291" coordsize="2492,1383" path="m2388,1674l2525,1494,2663,1347,2802,1050,2941,915,3080,870,3218,997,3355,877,3494,625,3633,882,3771,633,3910,740,4049,715,4186,798,4324,767,4463,487,4602,440,4740,522,4879,291e" filled="false" stroked="true" strokeweight=".578995pt" strokecolor="#0000ff">
              <v:path arrowok="t"/>
            </v:shape>
            <v:shape style="position:absolute;left:1015;top:2988;width:4065;height:3077" coordorigin="1015,2988" coordsize="4065,3077" path="m2336,20l2379,20m2525,1899l2525,1940m2663,1899l2663,1940m2663,1899l2663,1940m2802,1899l2802,1940m2941,1899l2941,1940m2941,1899l2941,1940m3080,1899l3080,1940m3218,1899l3218,1940m3218,1899l3218,1940m3355,1899l3355,1940m3494,1899l3494,1940m3494,1899l3494,1940m3633,1899l3633,1940m3771,1899l3771,1940m3771,1899l3771,1940m3910,1899l3910,1940m4049,1899l4049,1940m4049,1899l4049,1940m4186,1899l4186,1940m4324,1899l4324,1940m4324,1899l4324,1940m4463,1899l4463,1940m4602,1899l4602,1940m4602,1899l4602,1940m4740,1899l4740,1940m4879,1899l4879,1940m4879,1899l4879,1940e" filled="false" stroked="true" strokeweight=".503108pt" strokecolor="#000000">
              <v:path arrowok="t"/>
            </v:shape>
            <v:rect style="position:absolute;left:2379;top:11;width:2510;height:1880" filled="false" stroked="true" strokeweight=".838281pt" strokecolor="#000000"/>
            <w10:wrap type="none"/>
          </v:group>
        </w:pict>
      </w:r>
      <w:r>
        <w:rPr/>
        <w:pict>
          <v:shape style="position:absolute;margin-left:258.410675pt;margin-top:-11.270629pt;width:249.05pt;height:110.65pt;mso-position-horizontal-relative:page;mso-position-vertical-relative:paragraph;z-index:1616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7"/>
                    <w:gridCol w:w="2510"/>
                    <w:gridCol w:w="511"/>
                    <w:gridCol w:w="1662"/>
                  </w:tblGrid>
                  <w:tr>
                    <w:trPr>
                      <w:trHeight w:val="78" w:hRule="exact"/>
                    </w:trPr>
                    <w:tc>
                      <w:tcPr>
                        <w:tcW w:w="297" w:type="dxa"/>
                      </w:tcPr>
                      <w:p>
                        <w:pPr/>
                      </w:p>
                    </w:tc>
                    <w:tc>
                      <w:tcPr>
                        <w:tcW w:w="2510" w:type="dxa"/>
                      </w:tcPr>
                      <w:p>
                        <w:pPr/>
                      </w:p>
                    </w:tc>
                    <w:tc>
                      <w:tcPr>
                        <w:tcW w:w="511" w:type="dxa"/>
                      </w:tcPr>
                      <w:p>
                        <w:pPr/>
                      </w:p>
                    </w:tc>
                    <w:tc>
                      <w:tcPr>
                        <w:tcW w:w="1662" w:type="dxa"/>
                      </w:tcPr>
                      <w:p>
                        <w:pPr/>
                      </w:p>
                    </w:tc>
                  </w:tr>
                  <w:tr>
                    <w:trPr>
                      <w:trHeight w:val="295" w:hRule="exact"/>
                    </w:trPr>
                    <w:tc>
                      <w:tcPr>
                        <w:tcW w:w="297" w:type="dxa"/>
                      </w:tcPr>
                      <w:p>
                        <w:pPr>
                          <w:pStyle w:val="TableParagraph"/>
                          <w:spacing w:before="5"/>
                          <w:jc w:val="left"/>
                          <w:rPr>
                            <w:sz w:val="13"/>
                          </w:rPr>
                        </w:pPr>
                      </w:p>
                      <w:p>
                        <w:pPr>
                          <w:pStyle w:val="TableParagraph"/>
                          <w:ind w:right="25"/>
                          <w:rPr>
                            <w:rFonts w:ascii="Arial"/>
                            <w:sz w:val="10"/>
                          </w:rPr>
                        </w:pPr>
                        <w:r>
                          <w:rPr>
                            <w:rFonts w:ascii="Arial"/>
                            <w:w w:val="105"/>
                            <w:sz w:val="10"/>
                          </w:rPr>
                          <w:t>5200</w:t>
                        </w:r>
                      </w:p>
                    </w:tc>
                    <w:tc>
                      <w:tcPr>
                        <w:tcW w:w="2510" w:type="dxa"/>
                      </w:tcPr>
                      <w:p>
                        <w:pPr>
                          <w:pStyle w:val="TableParagraph"/>
                          <w:spacing w:line="69" w:lineRule="exact"/>
                          <w:ind w:left="349"/>
                          <w:jc w:val="left"/>
                          <w:rPr>
                            <w:rFonts w:ascii="Arial" w:hAnsi="Arial"/>
                            <w:sz w:val="10"/>
                          </w:rPr>
                        </w:pPr>
                        <w:r>
                          <w:rPr>
                            <w:rFonts w:ascii="Arial" w:hAnsi="Arial"/>
                            <w:w w:val="105"/>
                            <w:sz w:val="10"/>
                          </w:rPr>
                          <w:t>CENTRO Y SUD-AMÉRICA</w:t>
                        </w:r>
                      </w:p>
                    </w:tc>
                    <w:tc>
                      <w:tcPr>
                        <w:tcW w:w="511" w:type="dxa"/>
                      </w:tcPr>
                      <w:p>
                        <w:pPr>
                          <w:pStyle w:val="TableParagraph"/>
                          <w:jc w:val="left"/>
                          <w:rPr>
                            <w:sz w:val="10"/>
                          </w:rPr>
                        </w:pPr>
                      </w:p>
                      <w:p>
                        <w:pPr>
                          <w:pStyle w:val="TableParagraph"/>
                          <w:spacing w:before="66"/>
                          <w:ind w:right="60"/>
                          <w:jc w:val="right"/>
                          <w:rPr>
                            <w:rFonts w:ascii="Arial"/>
                            <w:sz w:val="10"/>
                          </w:rPr>
                        </w:pPr>
                        <w:r>
                          <w:rPr>
                            <w:rFonts w:ascii="Arial"/>
                            <w:sz w:val="10"/>
                          </w:rPr>
                          <w:t>22000</w:t>
                        </w:r>
                      </w:p>
                    </w:tc>
                    <w:tc>
                      <w:tcPr>
                        <w:tcW w:w="1662" w:type="dxa"/>
                      </w:tcPr>
                      <w:p>
                        <w:pPr>
                          <w:pStyle w:val="TableParagraph"/>
                          <w:spacing w:before="33"/>
                          <w:ind w:left="820" w:right="-18"/>
                          <w:jc w:val="left"/>
                          <w:rPr>
                            <w:rFonts w:ascii="Arial" w:hAnsi="Arial"/>
                            <w:sz w:val="10"/>
                          </w:rPr>
                        </w:pPr>
                        <w:r>
                          <w:rPr>
                            <w:rFonts w:ascii="Arial" w:hAnsi="Arial"/>
                            <w:w w:val="105"/>
                            <w:sz w:val="10"/>
                          </w:rPr>
                          <w:t>ASIA Y OCEANÍA</w:t>
                        </w:r>
                      </w:p>
                    </w:tc>
                  </w:tr>
                  <w:tr>
                    <w:trPr>
                      <w:trHeight w:val="283" w:hRule="exact"/>
                    </w:trPr>
                    <w:tc>
                      <w:tcPr>
                        <w:tcW w:w="297" w:type="dxa"/>
                      </w:tcPr>
                      <w:p>
                        <w:pPr>
                          <w:pStyle w:val="TableParagraph"/>
                          <w:spacing w:before="11"/>
                          <w:jc w:val="left"/>
                          <w:rPr>
                            <w:sz w:val="7"/>
                          </w:rPr>
                        </w:pPr>
                      </w:p>
                      <w:p>
                        <w:pPr>
                          <w:pStyle w:val="TableParagraph"/>
                          <w:ind w:right="25"/>
                          <w:rPr>
                            <w:rFonts w:ascii="Arial"/>
                            <w:sz w:val="10"/>
                          </w:rPr>
                        </w:pPr>
                        <w:r>
                          <w:rPr>
                            <w:rFonts w:ascii="Arial"/>
                            <w:w w:val="105"/>
                            <w:sz w:val="10"/>
                          </w:rPr>
                          <w:t>4800</w:t>
                        </w:r>
                      </w:p>
                    </w:tc>
                    <w:tc>
                      <w:tcPr>
                        <w:tcW w:w="2510" w:type="dxa"/>
                      </w:tcPr>
                      <w:p>
                        <w:pPr/>
                      </w:p>
                    </w:tc>
                    <w:tc>
                      <w:tcPr>
                        <w:tcW w:w="511" w:type="dxa"/>
                      </w:tcPr>
                      <w:p>
                        <w:pPr>
                          <w:pStyle w:val="TableParagraph"/>
                          <w:spacing w:before="3"/>
                          <w:jc w:val="left"/>
                          <w:rPr>
                            <w:sz w:val="10"/>
                          </w:rPr>
                        </w:pPr>
                      </w:p>
                      <w:p>
                        <w:pPr>
                          <w:pStyle w:val="TableParagraph"/>
                          <w:ind w:right="60"/>
                          <w:jc w:val="right"/>
                          <w:rPr>
                            <w:rFonts w:ascii="Arial"/>
                            <w:sz w:val="10"/>
                          </w:rPr>
                        </w:pPr>
                        <w:r>
                          <w:rPr>
                            <w:rFonts w:ascii="Arial"/>
                            <w:sz w:val="10"/>
                          </w:rPr>
                          <w:t>20000</w:t>
                        </w:r>
                      </w:p>
                    </w:tc>
                    <w:tc>
                      <w:tcPr>
                        <w:tcW w:w="1662" w:type="dxa"/>
                      </w:tcPr>
                      <w:p>
                        <w:pPr/>
                      </w:p>
                    </w:tc>
                  </w:tr>
                  <w:tr>
                    <w:trPr>
                      <w:trHeight w:val="233" w:hRule="exact"/>
                    </w:trPr>
                    <w:tc>
                      <w:tcPr>
                        <w:tcW w:w="297" w:type="dxa"/>
                      </w:tcPr>
                      <w:p>
                        <w:pPr>
                          <w:pStyle w:val="TableParagraph"/>
                          <w:spacing w:before="41"/>
                          <w:ind w:right="25"/>
                          <w:rPr>
                            <w:rFonts w:ascii="Arial"/>
                            <w:sz w:val="10"/>
                          </w:rPr>
                        </w:pPr>
                        <w:r>
                          <w:rPr>
                            <w:rFonts w:ascii="Arial"/>
                            <w:w w:val="105"/>
                            <w:sz w:val="10"/>
                          </w:rPr>
                          <w:t>4400</w:t>
                        </w:r>
                      </w:p>
                    </w:tc>
                    <w:tc>
                      <w:tcPr>
                        <w:tcW w:w="2510" w:type="dxa"/>
                      </w:tcPr>
                      <w:p>
                        <w:pPr/>
                      </w:p>
                    </w:tc>
                    <w:tc>
                      <w:tcPr>
                        <w:tcW w:w="511" w:type="dxa"/>
                      </w:tcPr>
                      <w:p>
                        <w:pPr>
                          <w:pStyle w:val="TableParagraph"/>
                          <w:spacing w:before="68"/>
                          <w:ind w:right="60"/>
                          <w:jc w:val="right"/>
                          <w:rPr>
                            <w:rFonts w:ascii="Arial"/>
                            <w:sz w:val="10"/>
                          </w:rPr>
                        </w:pPr>
                        <w:r>
                          <w:rPr>
                            <w:rFonts w:ascii="Arial"/>
                            <w:sz w:val="10"/>
                          </w:rPr>
                          <w:t>18000</w:t>
                        </w:r>
                      </w:p>
                    </w:tc>
                    <w:tc>
                      <w:tcPr>
                        <w:tcW w:w="1662" w:type="dxa"/>
                      </w:tcPr>
                      <w:p>
                        <w:pPr/>
                      </w:p>
                    </w:tc>
                  </w:tr>
                  <w:tr>
                    <w:trPr>
                      <w:trHeight w:val="233" w:hRule="exact"/>
                    </w:trPr>
                    <w:tc>
                      <w:tcPr>
                        <w:tcW w:w="297" w:type="dxa"/>
                      </w:tcPr>
                      <w:p>
                        <w:pPr>
                          <w:pStyle w:val="TableParagraph"/>
                          <w:spacing w:before="40"/>
                          <w:ind w:right="25"/>
                          <w:rPr>
                            <w:rFonts w:ascii="Arial"/>
                            <w:sz w:val="10"/>
                          </w:rPr>
                        </w:pPr>
                        <w:r>
                          <w:rPr>
                            <w:rFonts w:ascii="Arial"/>
                            <w:w w:val="105"/>
                            <w:sz w:val="10"/>
                          </w:rPr>
                          <w:t>4000</w:t>
                        </w:r>
                      </w:p>
                    </w:tc>
                    <w:tc>
                      <w:tcPr>
                        <w:tcW w:w="2510" w:type="dxa"/>
                      </w:tcPr>
                      <w:p>
                        <w:pPr/>
                      </w:p>
                    </w:tc>
                    <w:tc>
                      <w:tcPr>
                        <w:tcW w:w="511" w:type="dxa"/>
                      </w:tcPr>
                      <w:p>
                        <w:pPr>
                          <w:pStyle w:val="TableParagraph"/>
                          <w:spacing w:before="67"/>
                          <w:ind w:right="60"/>
                          <w:jc w:val="right"/>
                          <w:rPr>
                            <w:rFonts w:ascii="Arial"/>
                            <w:sz w:val="10"/>
                          </w:rPr>
                        </w:pPr>
                        <w:r>
                          <w:rPr>
                            <w:rFonts w:ascii="Arial"/>
                            <w:sz w:val="10"/>
                          </w:rPr>
                          <w:t>16000</w:t>
                        </w:r>
                      </w:p>
                    </w:tc>
                    <w:tc>
                      <w:tcPr>
                        <w:tcW w:w="1662" w:type="dxa"/>
                      </w:tcPr>
                      <w:p>
                        <w:pPr/>
                      </w:p>
                    </w:tc>
                  </w:tr>
                  <w:tr>
                    <w:trPr>
                      <w:trHeight w:val="233" w:hRule="exact"/>
                    </w:trPr>
                    <w:tc>
                      <w:tcPr>
                        <w:tcW w:w="297" w:type="dxa"/>
                      </w:tcPr>
                      <w:p>
                        <w:pPr>
                          <w:pStyle w:val="TableParagraph"/>
                          <w:spacing w:before="41"/>
                          <w:ind w:right="25"/>
                          <w:rPr>
                            <w:rFonts w:ascii="Arial"/>
                            <w:sz w:val="10"/>
                          </w:rPr>
                        </w:pPr>
                        <w:r>
                          <w:rPr>
                            <w:rFonts w:ascii="Arial"/>
                            <w:w w:val="105"/>
                            <w:sz w:val="10"/>
                          </w:rPr>
                          <w:t>3600</w:t>
                        </w:r>
                      </w:p>
                    </w:tc>
                    <w:tc>
                      <w:tcPr>
                        <w:tcW w:w="2510" w:type="dxa"/>
                      </w:tcPr>
                      <w:p>
                        <w:pPr/>
                      </w:p>
                    </w:tc>
                    <w:tc>
                      <w:tcPr>
                        <w:tcW w:w="511" w:type="dxa"/>
                      </w:tcPr>
                      <w:p>
                        <w:pPr>
                          <w:pStyle w:val="TableParagraph"/>
                          <w:spacing w:before="68"/>
                          <w:ind w:right="60"/>
                          <w:jc w:val="right"/>
                          <w:rPr>
                            <w:rFonts w:ascii="Arial"/>
                            <w:sz w:val="10"/>
                          </w:rPr>
                        </w:pPr>
                        <w:r>
                          <w:rPr>
                            <w:rFonts w:ascii="Arial"/>
                            <w:sz w:val="10"/>
                          </w:rPr>
                          <w:t>14000</w:t>
                        </w:r>
                      </w:p>
                    </w:tc>
                    <w:tc>
                      <w:tcPr>
                        <w:tcW w:w="1662" w:type="dxa"/>
                      </w:tcPr>
                      <w:p>
                        <w:pPr/>
                      </w:p>
                    </w:tc>
                  </w:tr>
                  <w:tr>
                    <w:trPr>
                      <w:trHeight w:val="233" w:hRule="exact"/>
                    </w:trPr>
                    <w:tc>
                      <w:tcPr>
                        <w:tcW w:w="297" w:type="dxa"/>
                      </w:tcPr>
                      <w:p>
                        <w:pPr>
                          <w:pStyle w:val="TableParagraph"/>
                          <w:spacing w:before="41"/>
                          <w:ind w:right="25"/>
                          <w:rPr>
                            <w:rFonts w:ascii="Arial"/>
                            <w:sz w:val="10"/>
                          </w:rPr>
                        </w:pPr>
                        <w:r>
                          <w:rPr>
                            <w:rFonts w:ascii="Arial"/>
                            <w:w w:val="105"/>
                            <w:sz w:val="10"/>
                          </w:rPr>
                          <w:t>3200</w:t>
                        </w:r>
                      </w:p>
                    </w:tc>
                    <w:tc>
                      <w:tcPr>
                        <w:tcW w:w="2510" w:type="dxa"/>
                      </w:tcPr>
                      <w:p>
                        <w:pPr/>
                      </w:p>
                    </w:tc>
                    <w:tc>
                      <w:tcPr>
                        <w:tcW w:w="511" w:type="dxa"/>
                      </w:tcPr>
                      <w:p>
                        <w:pPr>
                          <w:pStyle w:val="TableParagraph"/>
                          <w:spacing w:before="68"/>
                          <w:ind w:right="60"/>
                          <w:jc w:val="right"/>
                          <w:rPr>
                            <w:rFonts w:ascii="Arial"/>
                            <w:sz w:val="10"/>
                          </w:rPr>
                        </w:pPr>
                        <w:r>
                          <w:rPr>
                            <w:rFonts w:ascii="Arial"/>
                            <w:sz w:val="10"/>
                          </w:rPr>
                          <w:t>12000</w:t>
                        </w:r>
                      </w:p>
                    </w:tc>
                    <w:tc>
                      <w:tcPr>
                        <w:tcW w:w="1662" w:type="dxa"/>
                      </w:tcPr>
                      <w:p>
                        <w:pPr/>
                      </w:p>
                    </w:tc>
                  </w:tr>
                  <w:tr>
                    <w:trPr>
                      <w:trHeight w:val="233" w:hRule="exact"/>
                    </w:trPr>
                    <w:tc>
                      <w:tcPr>
                        <w:tcW w:w="297" w:type="dxa"/>
                      </w:tcPr>
                      <w:p>
                        <w:pPr>
                          <w:pStyle w:val="TableParagraph"/>
                          <w:spacing w:before="41"/>
                          <w:ind w:right="25"/>
                          <w:rPr>
                            <w:rFonts w:ascii="Arial"/>
                            <w:sz w:val="10"/>
                          </w:rPr>
                        </w:pPr>
                        <w:r>
                          <w:rPr>
                            <w:rFonts w:ascii="Arial"/>
                            <w:w w:val="105"/>
                            <w:sz w:val="10"/>
                          </w:rPr>
                          <w:t>2800</w:t>
                        </w:r>
                      </w:p>
                    </w:tc>
                    <w:tc>
                      <w:tcPr>
                        <w:tcW w:w="2510" w:type="dxa"/>
                      </w:tcPr>
                      <w:p>
                        <w:pPr/>
                      </w:p>
                    </w:tc>
                    <w:tc>
                      <w:tcPr>
                        <w:tcW w:w="511" w:type="dxa"/>
                      </w:tcPr>
                      <w:p>
                        <w:pPr>
                          <w:pStyle w:val="TableParagraph"/>
                          <w:spacing w:before="67"/>
                          <w:ind w:right="60"/>
                          <w:jc w:val="right"/>
                          <w:rPr>
                            <w:rFonts w:ascii="Arial"/>
                            <w:sz w:val="10"/>
                          </w:rPr>
                        </w:pPr>
                        <w:r>
                          <w:rPr>
                            <w:rFonts w:ascii="Arial"/>
                            <w:sz w:val="10"/>
                          </w:rPr>
                          <w:t>10000</w:t>
                        </w:r>
                      </w:p>
                    </w:tc>
                    <w:tc>
                      <w:tcPr>
                        <w:tcW w:w="1662" w:type="dxa"/>
                      </w:tcPr>
                      <w:p>
                        <w:pPr/>
                      </w:p>
                    </w:tc>
                  </w:tr>
                  <w:tr>
                    <w:trPr>
                      <w:trHeight w:val="234" w:hRule="exact"/>
                    </w:trPr>
                    <w:tc>
                      <w:tcPr>
                        <w:tcW w:w="297" w:type="dxa"/>
                      </w:tcPr>
                      <w:p>
                        <w:pPr>
                          <w:pStyle w:val="TableParagraph"/>
                          <w:spacing w:before="41"/>
                          <w:ind w:right="25"/>
                          <w:rPr>
                            <w:rFonts w:ascii="Arial"/>
                            <w:sz w:val="10"/>
                          </w:rPr>
                        </w:pPr>
                        <w:r>
                          <w:rPr>
                            <w:rFonts w:ascii="Arial"/>
                            <w:w w:val="105"/>
                            <w:sz w:val="10"/>
                          </w:rPr>
                          <w:t>2400</w:t>
                        </w:r>
                      </w:p>
                    </w:tc>
                    <w:tc>
                      <w:tcPr>
                        <w:tcW w:w="2510" w:type="dxa"/>
                      </w:tcPr>
                      <w:p>
                        <w:pPr/>
                      </w:p>
                    </w:tc>
                    <w:tc>
                      <w:tcPr>
                        <w:tcW w:w="511" w:type="dxa"/>
                      </w:tcPr>
                      <w:p>
                        <w:pPr>
                          <w:pStyle w:val="TableParagraph"/>
                          <w:spacing w:before="68"/>
                          <w:ind w:right="60"/>
                          <w:jc w:val="right"/>
                          <w:rPr>
                            <w:rFonts w:ascii="Arial"/>
                            <w:sz w:val="10"/>
                          </w:rPr>
                        </w:pPr>
                        <w:r>
                          <w:rPr>
                            <w:rFonts w:ascii="Arial"/>
                            <w:sz w:val="10"/>
                          </w:rPr>
                          <w:t>8000</w:t>
                        </w:r>
                      </w:p>
                    </w:tc>
                    <w:tc>
                      <w:tcPr>
                        <w:tcW w:w="1662" w:type="dxa"/>
                      </w:tcPr>
                      <w:p>
                        <w:pPr/>
                      </w:p>
                    </w:tc>
                  </w:tr>
                  <w:tr>
                    <w:trPr>
                      <w:trHeight w:val="159" w:hRule="exact"/>
                    </w:trPr>
                    <w:tc>
                      <w:tcPr>
                        <w:tcW w:w="297" w:type="dxa"/>
                      </w:tcPr>
                      <w:p>
                        <w:pPr>
                          <w:pStyle w:val="TableParagraph"/>
                          <w:spacing w:before="41"/>
                          <w:ind w:right="25"/>
                          <w:rPr>
                            <w:rFonts w:ascii="Arial"/>
                            <w:sz w:val="10"/>
                          </w:rPr>
                        </w:pPr>
                        <w:r>
                          <w:rPr>
                            <w:rFonts w:ascii="Arial"/>
                            <w:w w:val="105"/>
                            <w:sz w:val="10"/>
                          </w:rPr>
                          <w:t>2000</w:t>
                        </w:r>
                      </w:p>
                    </w:tc>
                    <w:tc>
                      <w:tcPr>
                        <w:tcW w:w="2510" w:type="dxa"/>
                      </w:tcPr>
                      <w:p>
                        <w:pPr/>
                      </w:p>
                    </w:tc>
                    <w:tc>
                      <w:tcPr>
                        <w:tcW w:w="511" w:type="dxa"/>
                      </w:tcPr>
                      <w:p>
                        <w:pPr>
                          <w:pStyle w:val="TableParagraph"/>
                          <w:spacing w:before="68"/>
                          <w:ind w:right="60"/>
                          <w:jc w:val="right"/>
                          <w:rPr>
                            <w:rFonts w:ascii="Arial"/>
                            <w:sz w:val="10"/>
                          </w:rPr>
                        </w:pPr>
                        <w:r>
                          <w:rPr>
                            <w:rFonts w:ascii="Arial"/>
                            <w:sz w:val="10"/>
                          </w:rPr>
                          <w:t>6000</w:t>
                        </w:r>
                      </w:p>
                    </w:tc>
                    <w:tc>
                      <w:tcPr>
                        <w:tcW w:w="1662" w:type="dxa"/>
                      </w:tcPr>
                      <w:p>
                        <w:pPr/>
                      </w:p>
                    </w:tc>
                  </w:tr>
                </w:tbl>
                <w:p>
                  <w:pPr>
                    <w:pStyle w:val="BodyText"/>
                  </w:pPr>
                </w:p>
              </w:txbxContent>
            </v:textbox>
            <w10:wrap type="none"/>
          </v:shape>
        </w:pict>
      </w:r>
      <w:r>
        <w:rPr>
          <w:rFonts w:ascii="Arial"/>
          <w:w w:val="105"/>
          <w:sz w:val="10"/>
        </w:rPr>
        <w:t>30000</w:t>
      </w:r>
    </w:p>
    <w:p>
      <w:pPr>
        <w:pStyle w:val="BodyText"/>
        <w:rPr>
          <w:rFonts w:ascii="Arial"/>
          <w:sz w:val="13"/>
        </w:rPr>
      </w:pPr>
    </w:p>
    <w:p>
      <w:pPr>
        <w:spacing w:before="0"/>
        <w:ind w:left="347" w:right="0" w:firstLine="0"/>
        <w:jc w:val="left"/>
        <w:rPr>
          <w:rFonts w:ascii="Arial"/>
          <w:sz w:val="10"/>
        </w:rPr>
      </w:pPr>
      <w:r>
        <w:rPr>
          <w:rFonts w:ascii="Arial"/>
          <w:w w:val="105"/>
          <w:sz w:val="10"/>
        </w:rPr>
        <w:t>29000</w:t>
      </w:r>
    </w:p>
    <w:p>
      <w:pPr>
        <w:pStyle w:val="BodyText"/>
        <w:spacing w:before="2"/>
        <w:rPr>
          <w:rFonts w:ascii="Arial"/>
          <w:sz w:val="13"/>
        </w:rPr>
      </w:pPr>
    </w:p>
    <w:p>
      <w:pPr>
        <w:spacing w:before="0"/>
        <w:ind w:left="347" w:right="0" w:firstLine="0"/>
        <w:jc w:val="left"/>
        <w:rPr>
          <w:rFonts w:ascii="Arial"/>
          <w:sz w:val="10"/>
        </w:rPr>
      </w:pPr>
      <w:r>
        <w:rPr>
          <w:rFonts w:ascii="Arial"/>
          <w:w w:val="105"/>
          <w:sz w:val="10"/>
        </w:rPr>
        <w:t>28000</w:t>
      </w:r>
    </w:p>
    <w:p>
      <w:pPr>
        <w:pStyle w:val="BodyText"/>
        <w:rPr>
          <w:rFonts w:ascii="Arial"/>
          <w:sz w:val="13"/>
        </w:rPr>
      </w:pPr>
    </w:p>
    <w:p>
      <w:pPr>
        <w:spacing w:before="0"/>
        <w:ind w:left="347" w:right="0" w:firstLine="0"/>
        <w:jc w:val="left"/>
        <w:rPr>
          <w:rFonts w:ascii="Arial"/>
          <w:sz w:val="10"/>
        </w:rPr>
      </w:pPr>
      <w:r>
        <w:rPr>
          <w:rFonts w:ascii="Arial"/>
          <w:w w:val="105"/>
          <w:sz w:val="10"/>
        </w:rPr>
        <w:t>27000</w:t>
      </w:r>
    </w:p>
    <w:p>
      <w:pPr>
        <w:pStyle w:val="BodyText"/>
        <w:spacing w:before="2"/>
        <w:rPr>
          <w:rFonts w:ascii="Arial"/>
          <w:sz w:val="13"/>
        </w:rPr>
      </w:pPr>
    </w:p>
    <w:p>
      <w:pPr>
        <w:spacing w:before="0"/>
        <w:ind w:left="347" w:right="0" w:firstLine="0"/>
        <w:jc w:val="left"/>
        <w:rPr>
          <w:rFonts w:ascii="Arial"/>
          <w:sz w:val="10"/>
        </w:rPr>
      </w:pPr>
      <w:r>
        <w:rPr>
          <w:rFonts w:ascii="Arial"/>
          <w:w w:val="105"/>
          <w:sz w:val="10"/>
        </w:rPr>
        <w:t>26000</w:t>
      </w:r>
    </w:p>
    <w:p>
      <w:pPr>
        <w:pStyle w:val="BodyText"/>
        <w:rPr>
          <w:rFonts w:ascii="Arial"/>
          <w:sz w:val="13"/>
        </w:rPr>
      </w:pPr>
    </w:p>
    <w:p>
      <w:pPr>
        <w:spacing w:before="0"/>
        <w:ind w:left="347" w:right="0" w:firstLine="0"/>
        <w:jc w:val="left"/>
        <w:rPr>
          <w:rFonts w:ascii="Arial"/>
          <w:sz w:val="10"/>
        </w:rPr>
      </w:pPr>
      <w:r>
        <w:rPr>
          <w:rFonts w:ascii="Arial"/>
          <w:w w:val="105"/>
          <w:sz w:val="10"/>
        </w:rPr>
        <w:t>25000</w:t>
      </w:r>
    </w:p>
    <w:p>
      <w:pPr>
        <w:pStyle w:val="BodyText"/>
        <w:spacing w:before="2"/>
        <w:rPr>
          <w:rFonts w:ascii="Arial"/>
          <w:sz w:val="13"/>
        </w:rPr>
      </w:pPr>
    </w:p>
    <w:p>
      <w:pPr>
        <w:spacing w:before="0"/>
        <w:ind w:left="347" w:right="0" w:firstLine="0"/>
        <w:jc w:val="left"/>
        <w:rPr>
          <w:rFonts w:ascii="Arial"/>
          <w:sz w:val="10"/>
        </w:rPr>
      </w:pPr>
      <w:r>
        <w:rPr>
          <w:rFonts w:ascii="Arial"/>
          <w:w w:val="105"/>
          <w:sz w:val="10"/>
        </w:rPr>
        <w:t>24000</w:t>
      </w:r>
    </w:p>
    <w:p>
      <w:pPr>
        <w:spacing w:after="0"/>
        <w:jc w:val="left"/>
        <w:rPr>
          <w:rFonts w:ascii="Arial"/>
          <w:sz w:val="10"/>
        </w:rPr>
        <w:sectPr>
          <w:type w:val="continuous"/>
          <w:pgSz w:w="12250" w:h="15850"/>
          <w:pgMar w:top="1500" w:bottom="280" w:left="1720" w:right="1100"/>
        </w:sectPr>
      </w:pPr>
    </w:p>
    <w:p>
      <w:pPr>
        <w:pStyle w:val="BodyText"/>
        <w:spacing w:before="2"/>
        <w:rPr>
          <w:rFonts w:ascii="Arial"/>
          <w:sz w:val="13"/>
        </w:rPr>
      </w:pPr>
    </w:p>
    <w:p>
      <w:pPr>
        <w:spacing w:before="0"/>
        <w:ind w:left="347" w:right="-8" w:firstLine="0"/>
        <w:jc w:val="left"/>
        <w:rPr>
          <w:rFonts w:ascii="Arial"/>
          <w:sz w:val="10"/>
        </w:rPr>
      </w:pPr>
      <w:r>
        <w:rPr>
          <w:rFonts w:ascii="Arial"/>
          <w:spacing w:val="-8"/>
          <w:sz w:val="10"/>
        </w:rPr>
        <w:t>23000</w:t>
      </w:r>
    </w:p>
    <w:p>
      <w:pPr>
        <w:pStyle w:val="BodyText"/>
        <w:rPr>
          <w:rFonts w:ascii="Arial"/>
          <w:sz w:val="10"/>
        </w:rPr>
      </w:pPr>
      <w:r>
        <w:rPr/>
        <w:br w:type="column"/>
      </w:r>
      <w:r>
        <w:rPr>
          <w:rFonts w:ascii="Arial"/>
          <w:sz w:val="10"/>
        </w:rPr>
      </w:r>
    </w:p>
    <w:p>
      <w:pPr>
        <w:pStyle w:val="BodyText"/>
        <w:rPr>
          <w:rFonts w:ascii="Arial"/>
          <w:sz w:val="10"/>
        </w:rPr>
      </w:pPr>
    </w:p>
    <w:p>
      <w:pPr>
        <w:spacing w:before="63"/>
        <w:ind w:left="-20" w:right="0" w:firstLine="0"/>
        <w:jc w:val="left"/>
        <w:rPr>
          <w:rFonts w:ascii="Arial"/>
          <w:sz w:val="10"/>
        </w:rPr>
      </w:pPr>
      <w:r>
        <w:rPr>
          <w:rFonts w:ascii="Arial"/>
          <w:spacing w:val="-4"/>
          <w:w w:val="105"/>
          <w:sz w:val="10"/>
        </w:rPr>
        <w:t>92      94      96      98      00      02      04      06      08   </w:t>
      </w:r>
      <w:r>
        <w:rPr>
          <w:rFonts w:ascii="Arial"/>
          <w:spacing w:val="-8"/>
          <w:w w:val="105"/>
          <w:sz w:val="10"/>
        </w:rPr>
        <w:t>10</w:t>
      </w:r>
    </w:p>
    <w:p>
      <w:pPr>
        <w:pStyle w:val="BodyText"/>
        <w:rPr>
          <w:rFonts w:ascii="Arial"/>
          <w:sz w:val="10"/>
        </w:rPr>
      </w:pPr>
      <w:r>
        <w:rPr/>
        <w:br w:type="column"/>
      </w:r>
      <w:r>
        <w:rPr>
          <w:rFonts w:ascii="Arial"/>
          <w:sz w:val="10"/>
        </w:rPr>
      </w:r>
    </w:p>
    <w:p>
      <w:pPr>
        <w:pStyle w:val="BodyText"/>
        <w:rPr>
          <w:rFonts w:ascii="Arial"/>
          <w:sz w:val="10"/>
        </w:rPr>
      </w:pPr>
    </w:p>
    <w:p>
      <w:pPr>
        <w:pStyle w:val="BodyText"/>
        <w:spacing w:before="5"/>
        <w:rPr>
          <w:rFonts w:ascii="Arial"/>
          <w:sz w:val="11"/>
        </w:rPr>
      </w:pPr>
    </w:p>
    <w:p>
      <w:pPr>
        <w:spacing w:before="0"/>
        <w:ind w:left="347" w:right="0" w:firstLine="0"/>
        <w:jc w:val="left"/>
        <w:rPr>
          <w:rFonts w:ascii="Arial"/>
          <w:sz w:val="10"/>
        </w:rPr>
      </w:pPr>
      <w:r>
        <w:rPr/>
        <w:pict>
          <v:shape style="position:absolute;margin-left:241.860672pt;margin-top:4.599426pt;width:23.4pt;height:9.1pt;mso-position-horizontal-relative:page;mso-position-vertical-relative:paragraph;z-index:-556240" type="#_x0000_t202" filled="false" stroked="false">
            <v:textbox inset="0,0,0,0">
              <w:txbxContent>
                <w:p>
                  <w:pPr>
                    <w:spacing w:line="146" w:lineRule="exact" w:before="0"/>
                    <w:ind w:left="197" w:right="0" w:firstLine="0"/>
                    <w:jc w:val="left"/>
                    <w:rPr>
                      <w:rFonts w:ascii="Arial"/>
                      <w:sz w:val="14"/>
                    </w:rPr>
                  </w:pPr>
                  <w:r>
                    <w:rPr>
                      <w:rFonts w:ascii="Arial"/>
                      <w:sz w:val="14"/>
                    </w:rPr>
                    <w:t>AF</w:t>
                  </w:r>
                </w:p>
              </w:txbxContent>
            </v:textbox>
            <w10:wrap type="none"/>
          </v:shape>
        </w:pict>
      </w:r>
      <w:r>
        <w:rPr/>
        <w:pict>
          <v:group style="position:absolute;margin-left:241.585678pt;margin-top:4.324426pt;width:23.95pt;height:9.65pt;mso-position-horizontal-relative:page;mso-position-vertical-relative:paragraph;z-index:16144" coordorigin="4832,86" coordsize="479,193">
            <v:rect style="position:absolute;left:4837;top:92;width:468;height:182" filled="true" fillcolor="#ffffff" stroked="false">
              <v:fill type="solid"/>
            </v:rect>
            <v:shape style="position:absolute;left:4837;top:92;width:468;height:182" type="#_x0000_t202" filled="false" stroked="true" strokeweight=".502693pt" strokecolor="#000000">
              <v:textbox inset="0,0,0,0">
                <w:txbxContent>
                  <w:p>
                    <w:pPr>
                      <w:spacing w:before="28"/>
                      <w:ind w:left="46" w:right="0" w:firstLine="0"/>
                      <w:jc w:val="left"/>
                      <w:rPr>
                        <w:rFonts w:ascii="Arial"/>
                        <w:sz w:val="10"/>
                      </w:rPr>
                    </w:pPr>
                    <w:r>
                      <w:rPr>
                        <w:rFonts w:ascii="Arial"/>
                        <w:w w:val="105"/>
                        <w:sz w:val="10"/>
                      </w:rPr>
                      <w:t>AFRICA</w:t>
                    </w:r>
                  </w:p>
                </w:txbxContent>
              </v:textbox>
              <w10:wrap type="none"/>
            </v:shape>
            <w10:wrap type="none"/>
          </v:group>
        </w:pict>
      </w:r>
      <w:r>
        <w:rPr>
          <w:rFonts w:ascii="Arial"/>
          <w:spacing w:val="-4"/>
          <w:w w:val="105"/>
          <w:sz w:val="10"/>
        </w:rPr>
        <w:t>92      94      96      98      00      02      04      06      08   </w:t>
      </w:r>
      <w:r>
        <w:rPr>
          <w:rFonts w:ascii="Arial"/>
          <w:spacing w:val="-8"/>
          <w:w w:val="105"/>
          <w:sz w:val="10"/>
        </w:rPr>
        <w:t>10</w:t>
      </w:r>
    </w:p>
    <w:p>
      <w:pPr>
        <w:pStyle w:val="BodyText"/>
        <w:rPr>
          <w:rFonts w:ascii="Arial"/>
          <w:sz w:val="10"/>
        </w:rPr>
      </w:pPr>
      <w:r>
        <w:rPr/>
        <w:br w:type="column"/>
      </w:r>
      <w:r>
        <w:rPr>
          <w:rFonts w:ascii="Arial"/>
          <w:sz w:val="10"/>
        </w:rPr>
      </w:r>
    </w:p>
    <w:p>
      <w:pPr>
        <w:pStyle w:val="BodyText"/>
        <w:rPr>
          <w:rFonts w:ascii="Arial"/>
          <w:sz w:val="10"/>
        </w:rPr>
      </w:pPr>
    </w:p>
    <w:p>
      <w:pPr>
        <w:pStyle w:val="BodyText"/>
        <w:spacing w:before="9"/>
        <w:rPr>
          <w:rFonts w:ascii="Arial"/>
          <w:sz w:val="13"/>
        </w:rPr>
      </w:pPr>
    </w:p>
    <w:p>
      <w:pPr>
        <w:spacing w:before="0"/>
        <w:ind w:left="347" w:right="0" w:firstLine="0"/>
        <w:jc w:val="left"/>
        <w:rPr>
          <w:rFonts w:ascii="Arial"/>
          <w:sz w:val="10"/>
        </w:rPr>
      </w:pPr>
      <w:r>
        <w:rPr/>
        <w:pict>
          <v:shape style="position:absolute;margin-left:406.867249pt;margin-top:7.442847pt;width:44.4pt;height:9.1pt;mso-position-horizontal-relative:page;mso-position-vertical-relative:paragraph;z-index:-556216" type="#_x0000_t202" filled="false" stroked="false">
            <v:textbox inset="0,0,0,0">
              <w:txbxContent>
                <w:p>
                  <w:pPr>
                    <w:spacing w:line="160" w:lineRule="exact" w:before="22"/>
                    <w:ind w:left="454" w:right="-19" w:firstLine="0"/>
                    <w:jc w:val="left"/>
                    <w:rPr>
                      <w:rFonts w:ascii="Arial"/>
                      <w:sz w:val="14"/>
                    </w:rPr>
                  </w:pPr>
                  <w:r>
                    <w:rPr>
                      <w:rFonts w:ascii="Arial"/>
                      <w:sz w:val="14"/>
                    </w:rPr>
                    <w:t>MO</w:t>
                  </w:r>
                </w:p>
              </w:txbxContent>
            </v:textbox>
            <w10:wrap type="none"/>
          </v:shape>
        </w:pict>
      </w:r>
      <w:r>
        <w:rPr>
          <w:rFonts w:ascii="Arial"/>
          <w:w w:val="105"/>
          <w:sz w:val="10"/>
        </w:rPr>
        <w:t>92      94      96      98      00      02      04      06      08   10</w:t>
      </w:r>
    </w:p>
    <w:p>
      <w:pPr>
        <w:spacing w:after="0"/>
        <w:jc w:val="left"/>
        <w:rPr>
          <w:rFonts w:ascii="Arial"/>
          <w:sz w:val="10"/>
        </w:rPr>
        <w:sectPr>
          <w:type w:val="continuous"/>
          <w:pgSz w:w="12250" w:h="15850"/>
          <w:pgMar w:top="1500" w:bottom="280" w:left="1720" w:right="1100"/>
          <w:cols w:num="4" w:equalWidth="0">
            <w:col w:w="598" w:space="40"/>
            <w:col w:w="2572" w:space="147"/>
            <w:col w:w="2939" w:space="82"/>
            <w:col w:w="3052"/>
          </w:cols>
        </w:sectPr>
      </w:pPr>
    </w:p>
    <w:p>
      <w:pPr>
        <w:pStyle w:val="BodyText"/>
        <w:spacing w:before="5"/>
        <w:rPr>
          <w:rFonts w:ascii="Arial"/>
          <w:sz w:val="13"/>
        </w:rPr>
      </w:pPr>
    </w:p>
    <w:p>
      <w:pPr>
        <w:spacing w:before="0"/>
        <w:ind w:left="0" w:right="0" w:firstLine="0"/>
        <w:jc w:val="right"/>
        <w:rPr>
          <w:rFonts w:ascii="Arial"/>
          <w:sz w:val="10"/>
        </w:rPr>
      </w:pPr>
      <w:r>
        <w:rPr>
          <w:rFonts w:ascii="Arial"/>
          <w:sz w:val="10"/>
        </w:rPr>
        <w:t>3600</w:t>
      </w:r>
    </w:p>
    <w:p>
      <w:pPr>
        <w:pStyle w:val="BodyText"/>
        <w:rPr>
          <w:rFonts w:ascii="Arial"/>
          <w:sz w:val="10"/>
        </w:rPr>
      </w:pPr>
    </w:p>
    <w:p>
      <w:pPr>
        <w:spacing w:before="80"/>
        <w:ind w:left="0" w:right="0" w:firstLine="0"/>
        <w:jc w:val="right"/>
        <w:rPr>
          <w:rFonts w:ascii="Arial"/>
          <w:sz w:val="10"/>
        </w:rPr>
      </w:pPr>
      <w:r>
        <w:rPr>
          <w:rFonts w:ascii="Arial"/>
          <w:sz w:val="10"/>
        </w:rPr>
        <w:t>3200</w:t>
      </w:r>
    </w:p>
    <w:p>
      <w:pPr>
        <w:pStyle w:val="BodyText"/>
        <w:rPr>
          <w:rFonts w:ascii="Arial"/>
          <w:sz w:val="10"/>
        </w:rPr>
      </w:pPr>
    </w:p>
    <w:p>
      <w:pPr>
        <w:spacing w:before="80"/>
        <w:ind w:left="0" w:right="0" w:firstLine="0"/>
        <w:jc w:val="right"/>
        <w:rPr>
          <w:rFonts w:ascii="Arial"/>
          <w:sz w:val="10"/>
        </w:rPr>
      </w:pPr>
      <w:r>
        <w:rPr>
          <w:rFonts w:ascii="Arial"/>
          <w:sz w:val="10"/>
        </w:rPr>
        <w:t>2800</w:t>
      </w:r>
    </w:p>
    <w:p>
      <w:pPr>
        <w:pStyle w:val="BodyText"/>
        <w:rPr>
          <w:rFonts w:ascii="Arial"/>
          <w:sz w:val="10"/>
        </w:rPr>
      </w:pPr>
    </w:p>
    <w:p>
      <w:pPr>
        <w:spacing w:before="80"/>
        <w:ind w:left="0" w:right="0" w:firstLine="0"/>
        <w:jc w:val="right"/>
        <w:rPr>
          <w:rFonts w:ascii="Arial"/>
          <w:sz w:val="10"/>
        </w:rPr>
      </w:pPr>
      <w:r>
        <w:rPr>
          <w:rFonts w:ascii="Arial"/>
          <w:sz w:val="10"/>
        </w:rPr>
        <w:t>2400</w:t>
      </w:r>
    </w:p>
    <w:p>
      <w:pPr>
        <w:pStyle w:val="BodyText"/>
        <w:rPr>
          <w:rFonts w:ascii="Arial"/>
          <w:sz w:val="10"/>
        </w:rPr>
      </w:pPr>
    </w:p>
    <w:p>
      <w:pPr>
        <w:spacing w:before="80"/>
        <w:ind w:left="0" w:right="0" w:firstLine="0"/>
        <w:jc w:val="right"/>
        <w:rPr>
          <w:rFonts w:ascii="Arial"/>
          <w:sz w:val="10"/>
        </w:rPr>
      </w:pPr>
      <w:r>
        <w:rPr>
          <w:rFonts w:ascii="Arial"/>
          <w:sz w:val="10"/>
        </w:rPr>
        <w:t>2000</w:t>
      </w:r>
    </w:p>
    <w:p>
      <w:pPr>
        <w:pStyle w:val="BodyText"/>
        <w:rPr>
          <w:rFonts w:ascii="Arial"/>
          <w:sz w:val="10"/>
        </w:rPr>
      </w:pPr>
    </w:p>
    <w:p>
      <w:pPr>
        <w:spacing w:before="80"/>
        <w:ind w:left="0" w:right="0" w:firstLine="0"/>
        <w:jc w:val="right"/>
        <w:rPr>
          <w:rFonts w:ascii="Arial"/>
          <w:sz w:val="10"/>
        </w:rPr>
      </w:pPr>
      <w:r>
        <w:rPr>
          <w:rFonts w:ascii="Arial"/>
          <w:sz w:val="10"/>
        </w:rPr>
        <w:t>1600</w:t>
      </w:r>
    </w:p>
    <w:p>
      <w:pPr>
        <w:pStyle w:val="BodyText"/>
        <w:rPr>
          <w:rFonts w:ascii="Arial"/>
          <w:sz w:val="10"/>
        </w:rPr>
      </w:pPr>
    </w:p>
    <w:p>
      <w:pPr>
        <w:spacing w:before="81"/>
        <w:ind w:left="0" w:right="0" w:firstLine="0"/>
        <w:jc w:val="right"/>
        <w:rPr>
          <w:rFonts w:ascii="Arial"/>
          <w:sz w:val="10"/>
        </w:rPr>
      </w:pPr>
      <w:r>
        <w:rPr>
          <w:rFonts w:ascii="Arial"/>
          <w:sz w:val="10"/>
        </w:rPr>
        <w:t>1200</w:t>
      </w:r>
    </w:p>
    <w:p>
      <w:pPr>
        <w:pStyle w:val="BodyText"/>
        <w:rPr>
          <w:rFonts w:ascii="Arial"/>
          <w:sz w:val="10"/>
        </w:rPr>
      </w:pPr>
      <w:r>
        <w:rPr/>
        <w:br w:type="column"/>
      </w:r>
      <w:r>
        <w:rPr>
          <w:rFonts w:ascii="Arial"/>
          <w:sz w:val="10"/>
        </w:rPr>
      </w: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spacing w:before="89"/>
        <w:ind w:left="-20" w:right="0" w:firstLine="0"/>
        <w:jc w:val="left"/>
        <w:rPr>
          <w:rFonts w:ascii="Arial"/>
          <w:sz w:val="10"/>
        </w:rPr>
      </w:pPr>
      <w:r>
        <w:rPr/>
        <w:pict>
          <v:group style="position:absolute;margin-left:190.789871pt;margin-top:-92.561691pt;width:128.4pt;height:97.15pt;mso-position-horizontal-relative:page;mso-position-vertical-relative:paragraph;z-index:-556168" coordorigin="3816,-1851" coordsize="2568,1943">
            <v:shape style="position:absolute;left:3389;top:2560;width:83;height:3077" coordorigin="3389,2560" coordsize="83,3077" path="m3821,28l3865,28m3873,45l3873,86m3873,45l3873,86m3821,-284l3865,-284m3821,-594l3865,-594m3821,-904l3865,-904m3821,-1214l3865,-1214m3821,-1524l3865,-1524m3821,-1834l3865,-1834e" filled="false" stroked="true" strokeweight=".503108pt" strokecolor="#000000">
              <v:path arrowok="t"/>
            </v:shape>
            <v:shape style="position:absolute;left:3873;top:-1803;width:2492;height:1611" coordorigin="3873,-1803" coordsize="2492,1611" path="m3873,-192l4010,-239,4149,-291,4287,-352,4426,-431,4565,-429,4704,-467,4841,-494,4979,-624,5118,-814,5257,-877,5396,-1041,5534,-1082,5671,-1373,5810,-1293,5948,-1366,6087,-1791,6226,-1668,6364,-1803e" filled="false" stroked="true" strokeweight=".579072pt" strokecolor="#0000ff">
              <v:path arrowok="t"/>
            </v:shape>
            <v:shape style="position:absolute;left:3691;top:5570;width:3763;height:67" coordorigin="3691,5570" coordsize="3763,67" path="m4010,45l4010,86m4149,45l4149,86m4149,45l4149,86m4287,45l4287,86m4426,45l4426,86m4426,45l4426,86m4565,45l4565,86m4704,45l4704,86m4704,45l4704,86m4841,45l4841,86m4979,45l4979,86m4979,45l4979,86m5118,45l5118,86m5257,45l5257,86m5257,45l5257,86m5396,45l5396,86m5534,45l5534,86m5534,45l5534,86m5671,45l5671,86m5810,45l5810,86m5810,45l5810,86m5948,45l5948,86m6087,45l6087,86m6087,45l6087,86m6226,45l6226,86m6364,45l6364,86m6364,45l6364,86e" filled="false" stroked="true" strokeweight=".503108pt" strokecolor="#000000">
              <v:path arrowok="t"/>
            </v:shape>
            <v:rect style="position:absolute;left:3865;top:-1843;width:2510;height:1881" filled="false" stroked="true" strokeweight=".838281pt" strokecolor="#000000"/>
            <w10:wrap type="none"/>
          </v:group>
        </w:pict>
      </w:r>
      <w:r>
        <w:rPr>
          <w:rFonts w:ascii="Arial"/>
          <w:spacing w:val="-4"/>
          <w:w w:val="105"/>
          <w:sz w:val="10"/>
        </w:rPr>
        <w:t>92      94      96      98      00      02      04      06      08   </w:t>
      </w:r>
      <w:r>
        <w:rPr>
          <w:rFonts w:ascii="Arial"/>
          <w:spacing w:val="-8"/>
          <w:w w:val="105"/>
          <w:sz w:val="10"/>
        </w:rPr>
        <w:t>10</w:t>
      </w:r>
    </w:p>
    <w:p>
      <w:pPr>
        <w:pStyle w:val="BodyText"/>
        <w:rPr>
          <w:rFonts w:ascii="Arial"/>
          <w:sz w:val="10"/>
        </w:rPr>
      </w:pPr>
      <w:r>
        <w:rPr/>
        <w:br w:type="column"/>
      </w:r>
      <w:r>
        <w:rPr>
          <w:rFonts w:ascii="Arial"/>
          <w:sz w:val="10"/>
        </w:rPr>
      </w:r>
    </w:p>
    <w:p>
      <w:pPr>
        <w:pStyle w:val="BodyText"/>
        <w:spacing w:before="1"/>
        <w:rPr>
          <w:rFonts w:ascii="Arial"/>
          <w:sz w:val="14"/>
        </w:rPr>
      </w:pPr>
    </w:p>
    <w:p>
      <w:pPr>
        <w:spacing w:before="0"/>
        <w:ind w:left="0" w:right="0" w:firstLine="0"/>
        <w:jc w:val="right"/>
        <w:rPr>
          <w:rFonts w:ascii="Arial"/>
          <w:sz w:val="10"/>
        </w:rPr>
      </w:pPr>
      <w:r>
        <w:rPr>
          <w:rFonts w:ascii="Arial"/>
          <w:sz w:val="10"/>
        </w:rPr>
        <w:t>14000</w:t>
      </w:r>
    </w:p>
    <w:p>
      <w:pPr>
        <w:pStyle w:val="BodyText"/>
        <w:rPr>
          <w:rFonts w:ascii="Arial"/>
          <w:sz w:val="10"/>
        </w:rPr>
      </w:pPr>
    </w:p>
    <w:p>
      <w:pPr>
        <w:spacing w:before="80"/>
        <w:ind w:left="0" w:right="0" w:firstLine="0"/>
        <w:jc w:val="right"/>
        <w:rPr>
          <w:rFonts w:ascii="Arial"/>
          <w:sz w:val="10"/>
        </w:rPr>
      </w:pPr>
      <w:r>
        <w:rPr>
          <w:rFonts w:ascii="Arial"/>
          <w:sz w:val="10"/>
        </w:rPr>
        <w:t>12000</w:t>
      </w:r>
    </w:p>
    <w:p>
      <w:pPr>
        <w:pStyle w:val="BodyText"/>
        <w:rPr>
          <w:rFonts w:ascii="Arial"/>
          <w:sz w:val="10"/>
        </w:rPr>
      </w:pPr>
    </w:p>
    <w:p>
      <w:pPr>
        <w:spacing w:before="80"/>
        <w:ind w:left="0" w:right="0" w:firstLine="0"/>
        <w:jc w:val="right"/>
        <w:rPr>
          <w:rFonts w:ascii="Arial"/>
          <w:sz w:val="10"/>
        </w:rPr>
      </w:pPr>
      <w:r>
        <w:rPr>
          <w:rFonts w:ascii="Arial"/>
          <w:sz w:val="10"/>
        </w:rPr>
        <w:t>10000</w:t>
      </w:r>
    </w:p>
    <w:p>
      <w:pPr>
        <w:pStyle w:val="BodyText"/>
        <w:rPr>
          <w:rFonts w:ascii="Arial"/>
          <w:sz w:val="10"/>
        </w:rPr>
      </w:pPr>
    </w:p>
    <w:p>
      <w:pPr>
        <w:spacing w:before="80"/>
        <w:ind w:left="0" w:right="0" w:firstLine="0"/>
        <w:jc w:val="right"/>
        <w:rPr>
          <w:rFonts w:ascii="Arial"/>
          <w:sz w:val="10"/>
        </w:rPr>
      </w:pPr>
      <w:r>
        <w:rPr>
          <w:rFonts w:ascii="Arial"/>
          <w:sz w:val="10"/>
        </w:rPr>
        <w:t>8000</w:t>
      </w:r>
    </w:p>
    <w:p>
      <w:pPr>
        <w:pStyle w:val="BodyText"/>
        <w:rPr>
          <w:rFonts w:ascii="Arial"/>
          <w:sz w:val="10"/>
        </w:rPr>
      </w:pPr>
    </w:p>
    <w:p>
      <w:pPr>
        <w:spacing w:before="80"/>
        <w:ind w:left="0" w:right="0" w:firstLine="0"/>
        <w:jc w:val="right"/>
        <w:rPr>
          <w:rFonts w:ascii="Arial"/>
          <w:sz w:val="10"/>
        </w:rPr>
      </w:pPr>
      <w:r>
        <w:rPr>
          <w:rFonts w:ascii="Arial"/>
          <w:sz w:val="10"/>
        </w:rPr>
        <w:t>6000</w:t>
      </w:r>
    </w:p>
    <w:p>
      <w:pPr>
        <w:pStyle w:val="BodyText"/>
        <w:rPr>
          <w:rFonts w:ascii="Arial"/>
          <w:sz w:val="10"/>
        </w:rPr>
      </w:pPr>
    </w:p>
    <w:p>
      <w:pPr>
        <w:spacing w:before="80"/>
        <w:ind w:left="0" w:right="0" w:firstLine="0"/>
        <w:jc w:val="right"/>
        <w:rPr>
          <w:rFonts w:ascii="Arial"/>
          <w:sz w:val="10"/>
        </w:rPr>
      </w:pPr>
      <w:r>
        <w:rPr>
          <w:rFonts w:ascii="Arial"/>
          <w:sz w:val="10"/>
        </w:rPr>
        <w:t>4000</w:t>
      </w:r>
    </w:p>
    <w:p>
      <w:pPr>
        <w:pStyle w:val="BodyText"/>
        <w:rPr>
          <w:rFonts w:ascii="Arial"/>
          <w:sz w:val="10"/>
        </w:rPr>
      </w:pPr>
    </w:p>
    <w:p>
      <w:pPr>
        <w:spacing w:before="82"/>
        <w:ind w:left="0" w:right="0" w:firstLine="0"/>
        <w:jc w:val="right"/>
        <w:rPr>
          <w:rFonts w:ascii="Arial"/>
          <w:sz w:val="10"/>
        </w:rPr>
      </w:pPr>
      <w:r>
        <w:rPr>
          <w:rFonts w:ascii="Arial"/>
          <w:sz w:val="10"/>
        </w:rPr>
        <w:t>2000</w:t>
      </w:r>
    </w:p>
    <w:p>
      <w:pPr>
        <w:pStyle w:val="BodyText"/>
        <w:spacing w:before="5"/>
        <w:rPr>
          <w:rFonts w:ascii="Arial"/>
          <w:sz w:val="2"/>
        </w:rPr>
      </w:pPr>
      <w:r>
        <w:rPr/>
        <w:br w:type="column"/>
      </w:r>
      <w:r>
        <w:rPr>
          <w:rFonts w:ascii="Arial"/>
          <w:sz w:val="2"/>
        </w:rPr>
      </w:r>
    </w:p>
    <w:p>
      <w:pPr>
        <w:pStyle w:val="BodyText"/>
        <w:spacing w:line="192" w:lineRule="exact"/>
        <w:ind w:left="711"/>
        <w:rPr>
          <w:rFonts w:ascii="Arial"/>
          <w:sz w:val="19"/>
        </w:rPr>
      </w:pPr>
      <w:r>
        <w:rPr>
          <w:rFonts w:ascii="Arial"/>
          <w:position w:val="-3"/>
          <w:sz w:val="19"/>
        </w:rPr>
        <w:pict>
          <v:group style="width:44.95pt;height:9.65pt;mso-position-horizontal-relative:char;mso-position-vertical-relative:line" coordorigin="0,0" coordsize="899,193">
            <v:rect style="position:absolute;left:6;top:6;width:887;height:182" filled="true" fillcolor="#ffffff" stroked="false">
              <v:fill type="solid"/>
            </v:rect>
            <v:shape style="position:absolute;left:6;top:6;width:888;height:182" type="#_x0000_t202" filled="false" stroked="true" strokeweight=".50259pt" strokecolor="#000000">
              <v:textbox inset="0,0,0,0">
                <w:txbxContent>
                  <w:p>
                    <w:pPr>
                      <w:spacing w:before="28"/>
                      <w:ind w:left="46" w:right="-19" w:firstLine="0"/>
                      <w:jc w:val="left"/>
                      <w:rPr>
                        <w:rFonts w:ascii="Arial"/>
                        <w:sz w:val="10"/>
                      </w:rPr>
                    </w:pPr>
                    <w:r>
                      <w:rPr>
                        <w:rFonts w:ascii="Arial"/>
                        <w:w w:val="105"/>
                        <w:sz w:val="10"/>
                      </w:rPr>
                      <w:t>MEDIO ORIENTE</w:t>
                    </w:r>
                  </w:p>
                </w:txbxContent>
              </v:textbox>
              <w10:wrap type="none"/>
            </v:shape>
          </v:group>
        </w:pict>
      </w:r>
      <w:r>
        <w:rPr>
          <w:rFonts w:ascii="Arial"/>
          <w:position w:val="-3"/>
          <w:sz w:val="19"/>
        </w:rPr>
      </w: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spacing w:before="2"/>
        <w:rPr>
          <w:rFonts w:ascii="Arial"/>
          <w:sz w:val="9"/>
        </w:rPr>
      </w:pPr>
    </w:p>
    <w:p>
      <w:pPr>
        <w:spacing w:before="0"/>
        <w:ind w:left="-20" w:right="0" w:firstLine="0"/>
        <w:jc w:val="left"/>
        <w:rPr>
          <w:rFonts w:ascii="Arial"/>
          <w:sz w:val="10"/>
        </w:rPr>
      </w:pPr>
      <w:r>
        <w:rPr/>
        <w:pict>
          <v:group style="position:absolute;margin-left:369.673157pt;margin-top:-97.022903pt;width:128.4pt;height:97.15pt;mso-position-horizontal-relative:page;mso-position-vertical-relative:paragraph;z-index:-556072" coordorigin="7393,-1940" coordsize="2568,1943">
            <v:shape style="position:absolute;left:9107;top:3041;width:83;height:2580" coordorigin="9107,3041" coordsize="83,2580" path="m7399,-61l7442,-61m7451,-44l7451,-3m7451,-44l7451,-3m7399,-373l7442,-373m7399,-683l7442,-683m7399,-993l7442,-993m7399,-1303l7442,-1303m7399,-1613l7442,-1613e" filled="false" stroked="true" strokeweight=".503108pt" strokecolor="#000000">
              <v:path arrowok="t"/>
            </v:shape>
            <v:shape style="position:absolute;left:7451;top:-1812;width:2492;height:1438" coordorigin="7451,-1812" coordsize="2492,1438" path="m7451,-375l7588,-415,7726,-456,7865,-486,8004,-570,8142,-660,8281,-720,8418,-753,8557,-810,8695,-846,8834,-941,8973,-991,9111,-1086,9248,-1277,9387,-1345,9526,-1408,9665,-1562,9803,-1687,9942,-1812e" filled="false" stroked="true" strokeweight=".579013pt" strokecolor="#0000ff">
              <v:path arrowok="t"/>
            </v:shape>
            <v:shape style="position:absolute;left:9107;top:2544;width:4065;height:3077" coordorigin="9107,2544" coordsize="4065,3077" path="m7399,-1923l7442,-1923m7588,-44l7588,-3m7726,-44l7726,-3m7726,-44l7726,-3m7865,-44l7865,-3m8004,-44l8004,-3m8004,-44l8004,-3m8142,-44l8142,-3m8281,-44l8281,-3m8281,-44l8281,-3m8418,-44l8418,-3m8557,-44l8557,-3m8557,-44l8557,-3m8695,-44l8695,-3m8834,-44l8834,-3m8834,-44l8834,-3m8973,-44l8973,-3m9111,-44l9111,-3m9111,-44l9111,-3m9248,-44l9248,-3m9387,-44l9387,-3m9387,-44l9387,-3m9526,-44l9526,-3m9665,-44l9665,-3m9665,-44l9665,-3m9803,-44l9803,-3m9942,-44l9942,-3m9942,-44l9942,-3e" filled="false" stroked="true" strokeweight=".503108pt" strokecolor="#000000">
              <v:path arrowok="t"/>
            </v:shape>
            <v:rect style="position:absolute;left:7442;top:-1932;width:2510;height:1881" filled="false" stroked="true" strokeweight=".838281pt" strokecolor="#000000"/>
            <w10:wrap type="none"/>
          </v:group>
        </w:pict>
      </w:r>
      <w:r>
        <w:rPr>
          <w:rFonts w:ascii="Arial"/>
          <w:w w:val="105"/>
          <w:sz w:val="10"/>
        </w:rPr>
        <w:t>92      94      96      98      00      02      04      06      08   10</w:t>
      </w:r>
    </w:p>
    <w:p>
      <w:pPr>
        <w:spacing w:after="0"/>
        <w:jc w:val="left"/>
        <w:rPr>
          <w:rFonts w:ascii="Arial"/>
          <w:sz w:val="10"/>
        </w:rPr>
        <w:sectPr>
          <w:type w:val="continuous"/>
          <w:pgSz w:w="12250" w:h="15850"/>
          <w:pgMar w:top="1500" w:bottom="280" w:left="1720" w:right="1100"/>
          <w:cols w:num="4" w:equalWidth="0">
            <w:col w:w="2083" w:space="40"/>
            <w:col w:w="2572" w:space="40"/>
            <w:col w:w="926" w:space="40"/>
            <w:col w:w="3729"/>
          </w:cols>
        </w:sectPr>
      </w:pPr>
    </w:p>
    <w:p>
      <w:pPr>
        <w:pStyle w:val="BodyText"/>
        <w:spacing w:before="5"/>
        <w:rPr>
          <w:rFonts w:ascii="Arial"/>
          <w:sz w:val="15"/>
        </w:rPr>
      </w:pPr>
    </w:p>
    <w:p>
      <w:pPr>
        <w:spacing w:before="81"/>
        <w:ind w:left="690" w:right="0" w:firstLine="0"/>
        <w:jc w:val="left"/>
        <w:rPr>
          <w:sz w:val="16"/>
        </w:rPr>
      </w:pPr>
      <w:r>
        <w:rPr>
          <w:sz w:val="16"/>
        </w:rPr>
        <w:t>Fuente: EIA, 2011.</w:t>
      </w:r>
    </w:p>
    <w:p>
      <w:pPr>
        <w:spacing w:after="0"/>
        <w:jc w:val="left"/>
        <w:rPr>
          <w:sz w:val="16"/>
        </w:rPr>
        <w:sectPr>
          <w:type w:val="continuous"/>
          <w:pgSz w:w="12250" w:h="15850"/>
          <w:pgMar w:top="1500" w:bottom="280" w:left="1720" w:right="1100"/>
        </w:sectPr>
      </w:pPr>
    </w:p>
    <w:p>
      <w:pPr>
        <w:pStyle w:val="Heading4"/>
        <w:spacing w:before="55"/>
        <w:ind w:left="1066" w:right="1884" w:firstLine="0"/>
        <w:jc w:val="center"/>
      </w:pPr>
      <w:bookmarkStart w:name="_bookmark171" w:id="236"/>
      <w:bookmarkEnd w:id="236"/>
      <w:r>
        <w:rPr>
          <w:b w:val="0"/>
        </w:rPr>
      </w:r>
      <w:r>
        <w:rPr/>
        <w:t>Anexo 2.2.   Producción del gas natural por regiones: 1992 - 2012</w:t>
      </w:r>
    </w:p>
    <w:p>
      <w:pPr>
        <w:pStyle w:val="BodyText"/>
        <w:spacing w:before="96"/>
        <w:ind w:left="1064" w:right="1884"/>
        <w:jc w:val="center"/>
      </w:pPr>
      <w:r>
        <w:rPr/>
        <w:t>(En billones de pies cúbicos)</w:t>
      </w:r>
    </w:p>
    <w:p>
      <w:pPr>
        <w:pStyle w:val="BodyText"/>
        <w:rPr>
          <w:sz w:val="20"/>
        </w:rPr>
      </w:pPr>
    </w:p>
    <w:p>
      <w:pPr>
        <w:pStyle w:val="BodyText"/>
        <w:spacing w:before="4"/>
        <w:rPr>
          <w:sz w:val="13"/>
        </w:rPr>
      </w:pPr>
    </w:p>
    <w:p>
      <w:pPr>
        <w:tabs>
          <w:tab w:pos="4872" w:val="left" w:leader="none"/>
          <w:tab w:pos="7882" w:val="left" w:leader="none"/>
        </w:tabs>
        <w:spacing w:line="240" w:lineRule="auto"/>
        <w:ind w:left="1116" w:right="678" w:firstLine="0"/>
        <w:rPr>
          <w:sz w:val="20"/>
        </w:rPr>
      </w:pPr>
      <w:r>
        <w:rPr/>
        <w:pict>
          <v:shape style="position:absolute;margin-left:142.141144pt;margin-top:1.65044pt;width:65.3pt;height:10pt;mso-position-horizontal-relative:page;mso-position-vertical-relative:paragraph;z-index:-555640" type="#_x0000_t202" filled="false" stroked="false">
            <v:textbox inset="0,0,0,0">
              <w:txbxContent>
                <w:p>
                  <w:pPr>
                    <w:spacing w:line="160" w:lineRule="exact" w:before="0"/>
                    <w:ind w:left="592" w:right="0" w:firstLine="0"/>
                    <w:jc w:val="left"/>
                    <w:rPr>
                      <w:rFonts w:ascii="Arial"/>
                      <w:sz w:val="15"/>
                    </w:rPr>
                  </w:pPr>
                  <w:r>
                    <w:rPr>
                      <w:rFonts w:ascii="Arial"/>
                      <w:sz w:val="15"/>
                    </w:rPr>
                    <w:t>MUND</w:t>
                  </w:r>
                </w:p>
              </w:txbxContent>
            </v:textbox>
            <w10:wrap type="none"/>
          </v:shape>
        </w:pict>
      </w:r>
      <w:r>
        <w:rPr>
          <w:position w:val="4"/>
          <w:sz w:val="20"/>
        </w:rPr>
        <w:pict>
          <v:group style="width:65.9pt;height:10.6pt;mso-position-horizontal-relative:char;mso-position-vertical-relative:line" coordorigin="0,0" coordsize="1318,212">
            <v:rect style="position:absolute;left:6;top:6;width:1305;height:200" filled="true" fillcolor="#ffffff" stroked="false">
              <v:fill type="solid"/>
            </v:rect>
            <v:shape style="position:absolute;left:6;top:6;width:1306;height:200" type="#_x0000_t202" filled="false" stroked="true" strokeweight=".552871pt" strokecolor="#000000">
              <v:textbox inset="0,0,0,0">
                <w:txbxContent>
                  <w:p>
                    <w:pPr>
                      <w:spacing w:before="36"/>
                      <w:ind w:left="47" w:right="0" w:firstLine="0"/>
                      <w:jc w:val="left"/>
                      <w:rPr>
                        <w:rFonts w:ascii="Arial" w:hAnsi="Arial"/>
                        <w:sz w:val="11"/>
                      </w:rPr>
                    </w:pPr>
                    <w:r>
                      <w:rPr>
                        <w:rFonts w:ascii="Arial" w:hAnsi="Arial"/>
                        <w:spacing w:val="-3"/>
                        <w:sz w:val="11"/>
                      </w:rPr>
                      <w:t>PRODUCCIÓN MUNDIAL</w:t>
                    </w:r>
                  </w:p>
                </w:txbxContent>
              </v:textbox>
              <w10:wrap type="none"/>
            </v:shape>
          </v:group>
        </w:pict>
      </w:r>
      <w:r>
        <w:rPr>
          <w:position w:val="4"/>
          <w:sz w:val="20"/>
        </w:rPr>
      </w:r>
      <w:r>
        <w:rPr>
          <w:position w:val="4"/>
          <w:sz w:val="20"/>
        </w:rPr>
        <w:tab/>
      </w:r>
      <w:r>
        <w:rPr>
          <w:position w:val="7"/>
          <w:sz w:val="20"/>
        </w:rPr>
        <w:pict>
          <v:group style="width:27.7pt;height:10.55pt;mso-position-horizontal-relative:char;mso-position-vertical-relative:line" coordorigin="0,0" coordsize="554,211">
            <v:rect style="position:absolute;left:6;top:6;width:543;height:200" filled="true" fillcolor="#ffffff" stroked="false">
              <v:fill type="solid"/>
            </v:rect>
            <v:shape style="position:absolute;left:6;top:6;width:543;height:200" type="#_x0000_t202" filled="false" stroked="true" strokeweight=".549539pt" strokecolor="#000000">
              <v:textbox inset="0,0,0,0">
                <w:txbxContent>
                  <w:p>
                    <w:pPr>
                      <w:spacing w:before="36"/>
                      <w:ind w:left="47" w:right="0" w:firstLine="0"/>
                      <w:jc w:val="left"/>
                      <w:rPr>
                        <w:rFonts w:ascii="Arial"/>
                        <w:sz w:val="11"/>
                      </w:rPr>
                    </w:pPr>
                    <w:r>
                      <w:rPr>
                        <w:rFonts w:ascii="Arial"/>
                        <w:sz w:val="11"/>
                      </w:rPr>
                      <w:t>EUROPA</w:t>
                    </w:r>
                  </w:p>
                </w:txbxContent>
              </v:textbox>
              <w10:wrap type="none"/>
            </v:shape>
          </v:group>
        </w:pict>
      </w:r>
      <w:r>
        <w:rPr>
          <w:position w:val="7"/>
          <w:sz w:val="20"/>
        </w:rPr>
      </w:r>
      <w:r>
        <w:rPr>
          <w:position w:val="7"/>
          <w:sz w:val="20"/>
        </w:rPr>
        <w:tab/>
      </w:r>
      <w:r>
        <w:rPr>
          <w:sz w:val="20"/>
        </w:rPr>
        <w:pict>
          <v:group style="width:28.3pt;height:10.6pt;mso-position-horizontal-relative:char;mso-position-vertical-relative:line" coordorigin="0,0" coordsize="566,212">
            <v:rect style="position:absolute;left:6;top:6;width:555;height:200" filled="true" fillcolor="#ffffff" stroked="false">
              <v:fill type="solid"/>
            </v:rect>
            <v:shape style="position:absolute;left:6;top:6;width:555;height:201" type="#_x0000_t202" filled="false" stroked="true" strokeweight=".549683pt" strokecolor="#000000">
              <v:textbox inset="0,0,0,0">
                <w:txbxContent>
                  <w:p>
                    <w:pPr>
                      <w:spacing w:before="36"/>
                      <w:ind w:left="47" w:right="0" w:firstLine="0"/>
                      <w:jc w:val="left"/>
                      <w:rPr>
                        <w:rFonts w:ascii="Arial"/>
                        <w:sz w:val="11"/>
                      </w:rPr>
                    </w:pPr>
                    <w:r>
                      <w:rPr>
                        <w:rFonts w:ascii="Arial"/>
                        <w:sz w:val="11"/>
                      </w:rPr>
                      <w:t>EURASIA</w:t>
                    </w:r>
                  </w:p>
                </w:txbxContent>
              </v:textbox>
              <w10:wrap type="none"/>
            </v:shape>
          </v:group>
        </w:pict>
      </w:r>
      <w:r>
        <w:rPr>
          <w:sz w:val="20"/>
        </w:rPr>
      </w:r>
    </w:p>
    <w:p>
      <w:pPr>
        <w:spacing w:after="0" w:line="240" w:lineRule="auto"/>
        <w:rPr>
          <w:sz w:val="20"/>
        </w:rPr>
        <w:sectPr>
          <w:pgSz w:w="12250" w:h="15850"/>
          <w:pgMar w:header="0" w:footer="977" w:top="1360" w:bottom="1220" w:left="1720" w:right="900"/>
        </w:sectPr>
      </w:pPr>
    </w:p>
    <w:p>
      <w:pPr>
        <w:spacing w:line="82" w:lineRule="exact" w:before="0"/>
        <w:ind w:left="248" w:right="-7" w:firstLine="0"/>
        <w:jc w:val="left"/>
        <w:rPr>
          <w:rFonts w:ascii="Arial"/>
          <w:sz w:val="11"/>
        </w:rPr>
      </w:pPr>
      <w:r>
        <w:rPr/>
        <w:pict>
          <v:shape style="position:absolute;margin-left:329.877869pt;margin-top:-15.175461pt;width:27.15pt;height:10pt;mso-position-horizontal-relative:page;mso-position-vertical-relative:paragraph;z-index:-555616" type="#_x0000_t202" filled="false" stroked="false">
            <v:textbox inset="0,0,0,0">
              <w:txbxContent>
                <w:p>
                  <w:pPr>
                    <w:spacing w:before="10"/>
                    <w:ind w:left="51" w:right="0" w:firstLine="0"/>
                    <w:jc w:val="center"/>
                    <w:rPr>
                      <w:rFonts w:ascii="Arial"/>
                      <w:sz w:val="15"/>
                    </w:rPr>
                  </w:pPr>
                  <w:r>
                    <w:rPr>
                      <w:rFonts w:ascii="Arial"/>
                      <w:w w:val="95"/>
                      <w:sz w:val="15"/>
                    </w:rPr>
                    <w:t>E</w:t>
                  </w:r>
                </w:p>
              </w:txbxContent>
            </v:textbox>
            <w10:wrap type="none"/>
          </v:shape>
        </w:pict>
      </w:r>
      <w:r>
        <w:rPr>
          <w:rFonts w:ascii="Arial"/>
          <w:spacing w:val="-9"/>
          <w:w w:val="95"/>
          <w:sz w:val="11"/>
        </w:rPr>
        <w:t>120000</w:t>
      </w:r>
    </w:p>
    <w:p>
      <w:pPr>
        <w:pStyle w:val="BodyText"/>
        <w:rPr>
          <w:rFonts w:ascii="Arial"/>
          <w:sz w:val="12"/>
        </w:rPr>
      </w:pPr>
    </w:p>
    <w:p>
      <w:pPr>
        <w:pStyle w:val="BodyText"/>
        <w:spacing w:before="1"/>
        <w:rPr>
          <w:rFonts w:ascii="Arial"/>
          <w:sz w:val="13"/>
        </w:rPr>
      </w:pPr>
    </w:p>
    <w:p>
      <w:pPr>
        <w:spacing w:before="0"/>
        <w:ind w:left="248" w:right="-7" w:firstLine="0"/>
        <w:jc w:val="left"/>
        <w:rPr>
          <w:rFonts w:ascii="Arial"/>
          <w:sz w:val="11"/>
        </w:rPr>
      </w:pPr>
      <w:r>
        <w:rPr>
          <w:rFonts w:ascii="Arial"/>
          <w:spacing w:val="-9"/>
          <w:w w:val="95"/>
          <w:sz w:val="11"/>
        </w:rPr>
        <w:t>110000</w:t>
      </w:r>
    </w:p>
    <w:p>
      <w:pPr>
        <w:pStyle w:val="BodyText"/>
        <w:rPr>
          <w:rFonts w:ascii="Arial"/>
          <w:sz w:val="12"/>
        </w:rPr>
      </w:pPr>
    </w:p>
    <w:p>
      <w:pPr>
        <w:pStyle w:val="BodyText"/>
        <w:spacing w:before="1"/>
        <w:rPr>
          <w:rFonts w:ascii="Arial"/>
          <w:sz w:val="13"/>
        </w:rPr>
      </w:pPr>
    </w:p>
    <w:p>
      <w:pPr>
        <w:spacing w:before="0"/>
        <w:ind w:left="248" w:right="-7" w:firstLine="0"/>
        <w:jc w:val="left"/>
        <w:rPr>
          <w:rFonts w:ascii="Arial"/>
          <w:sz w:val="11"/>
        </w:rPr>
      </w:pPr>
      <w:r>
        <w:rPr>
          <w:rFonts w:ascii="Arial"/>
          <w:spacing w:val="-9"/>
          <w:w w:val="95"/>
          <w:sz w:val="11"/>
        </w:rPr>
        <w:t>100000</w:t>
      </w:r>
    </w:p>
    <w:p>
      <w:pPr>
        <w:pStyle w:val="BodyText"/>
        <w:rPr>
          <w:rFonts w:ascii="Arial"/>
          <w:sz w:val="12"/>
        </w:rPr>
      </w:pPr>
    </w:p>
    <w:p>
      <w:pPr>
        <w:pStyle w:val="BodyText"/>
        <w:spacing w:before="1"/>
        <w:rPr>
          <w:rFonts w:ascii="Arial"/>
          <w:sz w:val="13"/>
        </w:rPr>
      </w:pPr>
    </w:p>
    <w:p>
      <w:pPr>
        <w:spacing w:before="0"/>
        <w:ind w:left="300" w:right="-10" w:firstLine="0"/>
        <w:jc w:val="left"/>
        <w:rPr>
          <w:rFonts w:ascii="Arial"/>
          <w:sz w:val="11"/>
        </w:rPr>
      </w:pPr>
      <w:r>
        <w:rPr>
          <w:rFonts w:ascii="Arial"/>
          <w:spacing w:val="-9"/>
          <w:w w:val="95"/>
          <w:sz w:val="11"/>
        </w:rPr>
        <w:t>90000</w:t>
      </w:r>
    </w:p>
    <w:p>
      <w:pPr>
        <w:pStyle w:val="BodyText"/>
        <w:rPr>
          <w:rFonts w:ascii="Arial"/>
          <w:sz w:val="12"/>
        </w:rPr>
      </w:pPr>
    </w:p>
    <w:p>
      <w:pPr>
        <w:pStyle w:val="BodyText"/>
        <w:spacing w:before="1"/>
        <w:rPr>
          <w:rFonts w:ascii="Arial"/>
          <w:sz w:val="13"/>
        </w:rPr>
      </w:pPr>
    </w:p>
    <w:p>
      <w:pPr>
        <w:spacing w:before="0"/>
        <w:ind w:left="300" w:right="-10" w:firstLine="0"/>
        <w:jc w:val="left"/>
        <w:rPr>
          <w:rFonts w:ascii="Arial"/>
          <w:sz w:val="11"/>
        </w:rPr>
      </w:pPr>
      <w:r>
        <w:rPr>
          <w:rFonts w:ascii="Arial"/>
          <w:spacing w:val="-9"/>
          <w:w w:val="95"/>
          <w:sz w:val="11"/>
        </w:rPr>
        <w:t>80000</w:t>
      </w:r>
    </w:p>
    <w:p>
      <w:pPr>
        <w:pStyle w:val="BodyText"/>
        <w:rPr>
          <w:rFonts w:ascii="Arial"/>
          <w:sz w:val="12"/>
        </w:rPr>
      </w:pPr>
    </w:p>
    <w:p>
      <w:pPr>
        <w:pStyle w:val="BodyText"/>
        <w:spacing w:before="11"/>
        <w:rPr>
          <w:rFonts w:ascii="Arial"/>
          <w:sz w:val="12"/>
        </w:rPr>
      </w:pPr>
    </w:p>
    <w:p>
      <w:pPr>
        <w:spacing w:before="0"/>
        <w:ind w:left="300" w:right="-10" w:firstLine="0"/>
        <w:jc w:val="left"/>
        <w:rPr>
          <w:rFonts w:ascii="Arial"/>
          <w:sz w:val="11"/>
        </w:rPr>
      </w:pPr>
      <w:r>
        <w:rPr>
          <w:rFonts w:ascii="Arial"/>
          <w:spacing w:val="-9"/>
          <w:w w:val="95"/>
          <w:sz w:val="11"/>
        </w:rPr>
        <w:t>70000</w:t>
      </w:r>
    </w:p>
    <w:p>
      <w:pPr>
        <w:pStyle w:val="BodyText"/>
        <w:rPr>
          <w:rFonts w:ascii="Arial"/>
          <w:sz w:val="12"/>
        </w:rPr>
      </w:pPr>
      <w:r>
        <w:rPr/>
        <w:br w:type="column"/>
      </w:r>
      <w:r>
        <w:rPr>
          <w:rFonts w:ascii="Arial"/>
          <w:sz w:val="12"/>
        </w:rPr>
      </w: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spacing w:before="2"/>
        <w:rPr>
          <w:rFonts w:ascii="Arial"/>
          <w:sz w:val="10"/>
        </w:rPr>
      </w:pPr>
    </w:p>
    <w:p>
      <w:pPr>
        <w:spacing w:before="0"/>
        <w:ind w:left="-20" w:right="0" w:firstLine="0"/>
        <w:jc w:val="left"/>
        <w:rPr>
          <w:rFonts w:ascii="Arial"/>
          <w:sz w:val="11"/>
        </w:rPr>
      </w:pPr>
      <w:r>
        <w:rPr>
          <w:rFonts w:ascii="Arial"/>
          <w:spacing w:val="-5"/>
          <w:sz w:val="11"/>
        </w:rPr>
        <w:t>92       94       96       98       00       02       04       06       08    </w:t>
      </w:r>
      <w:r>
        <w:rPr>
          <w:rFonts w:ascii="Arial"/>
          <w:spacing w:val="-9"/>
          <w:sz w:val="11"/>
        </w:rPr>
        <w:t>10</w:t>
      </w:r>
    </w:p>
    <w:p>
      <w:pPr>
        <w:spacing w:line="76" w:lineRule="exact" w:before="0"/>
        <w:ind w:left="248" w:right="-9" w:firstLine="0"/>
        <w:jc w:val="left"/>
        <w:rPr>
          <w:rFonts w:ascii="Arial"/>
          <w:sz w:val="11"/>
        </w:rPr>
      </w:pPr>
      <w:r>
        <w:rPr/>
        <w:br w:type="column"/>
      </w:r>
      <w:r>
        <w:rPr>
          <w:rFonts w:ascii="Arial"/>
          <w:spacing w:val="-9"/>
          <w:w w:val="95"/>
          <w:sz w:val="11"/>
        </w:rPr>
        <w:t>12000</w:t>
      </w:r>
    </w:p>
    <w:p>
      <w:pPr>
        <w:pStyle w:val="BodyText"/>
        <w:rPr>
          <w:rFonts w:ascii="Arial"/>
          <w:sz w:val="12"/>
        </w:rPr>
      </w:pPr>
    </w:p>
    <w:p>
      <w:pPr>
        <w:spacing w:before="80"/>
        <w:ind w:left="248" w:right="-9" w:firstLine="0"/>
        <w:jc w:val="left"/>
        <w:rPr>
          <w:rFonts w:ascii="Arial"/>
          <w:sz w:val="11"/>
        </w:rPr>
      </w:pPr>
      <w:r>
        <w:rPr>
          <w:rFonts w:ascii="Arial"/>
          <w:spacing w:val="-9"/>
          <w:w w:val="95"/>
          <w:sz w:val="11"/>
        </w:rPr>
        <w:t>11500</w:t>
      </w:r>
    </w:p>
    <w:p>
      <w:pPr>
        <w:pStyle w:val="BodyText"/>
        <w:rPr>
          <w:rFonts w:ascii="Arial"/>
          <w:sz w:val="12"/>
        </w:rPr>
      </w:pPr>
    </w:p>
    <w:p>
      <w:pPr>
        <w:spacing w:before="80"/>
        <w:ind w:left="248" w:right="-9" w:firstLine="0"/>
        <w:jc w:val="left"/>
        <w:rPr>
          <w:rFonts w:ascii="Arial"/>
          <w:sz w:val="11"/>
        </w:rPr>
      </w:pPr>
      <w:r>
        <w:rPr>
          <w:rFonts w:ascii="Arial"/>
          <w:spacing w:val="-9"/>
          <w:w w:val="95"/>
          <w:sz w:val="11"/>
        </w:rPr>
        <w:t>11000</w:t>
      </w:r>
    </w:p>
    <w:p>
      <w:pPr>
        <w:pStyle w:val="BodyText"/>
        <w:rPr>
          <w:rFonts w:ascii="Arial"/>
          <w:sz w:val="12"/>
        </w:rPr>
      </w:pPr>
    </w:p>
    <w:p>
      <w:pPr>
        <w:spacing w:before="83"/>
        <w:ind w:left="248" w:right="-9" w:firstLine="0"/>
        <w:jc w:val="left"/>
        <w:rPr>
          <w:rFonts w:ascii="Arial"/>
          <w:sz w:val="11"/>
        </w:rPr>
      </w:pPr>
      <w:r>
        <w:rPr>
          <w:rFonts w:ascii="Arial"/>
          <w:spacing w:val="-9"/>
          <w:w w:val="95"/>
          <w:sz w:val="11"/>
        </w:rPr>
        <w:t>10500</w:t>
      </w:r>
    </w:p>
    <w:p>
      <w:pPr>
        <w:pStyle w:val="BodyText"/>
        <w:rPr>
          <w:rFonts w:ascii="Arial"/>
          <w:sz w:val="12"/>
        </w:rPr>
      </w:pPr>
    </w:p>
    <w:p>
      <w:pPr>
        <w:spacing w:before="81"/>
        <w:ind w:left="248" w:right="-9" w:firstLine="0"/>
        <w:jc w:val="left"/>
        <w:rPr>
          <w:rFonts w:ascii="Arial"/>
          <w:sz w:val="11"/>
        </w:rPr>
      </w:pPr>
      <w:r>
        <w:rPr>
          <w:rFonts w:ascii="Arial"/>
          <w:spacing w:val="-9"/>
          <w:w w:val="95"/>
          <w:sz w:val="11"/>
        </w:rPr>
        <w:t>10000</w:t>
      </w:r>
    </w:p>
    <w:p>
      <w:pPr>
        <w:pStyle w:val="BodyText"/>
        <w:rPr>
          <w:rFonts w:ascii="Arial"/>
          <w:sz w:val="12"/>
        </w:rPr>
      </w:pPr>
    </w:p>
    <w:p>
      <w:pPr>
        <w:spacing w:before="80"/>
        <w:ind w:left="299" w:right="-11" w:firstLine="0"/>
        <w:jc w:val="left"/>
        <w:rPr>
          <w:rFonts w:ascii="Arial"/>
          <w:sz w:val="11"/>
        </w:rPr>
      </w:pPr>
      <w:r>
        <w:rPr>
          <w:rFonts w:ascii="Arial"/>
          <w:spacing w:val="-9"/>
          <w:w w:val="95"/>
          <w:sz w:val="11"/>
        </w:rPr>
        <w:t>9500</w:t>
      </w:r>
    </w:p>
    <w:p>
      <w:pPr>
        <w:pStyle w:val="BodyText"/>
        <w:rPr>
          <w:rFonts w:ascii="Arial"/>
          <w:sz w:val="12"/>
        </w:rPr>
      </w:pPr>
    </w:p>
    <w:p>
      <w:pPr>
        <w:spacing w:before="83"/>
        <w:ind w:left="299" w:right="-11" w:firstLine="0"/>
        <w:jc w:val="left"/>
        <w:rPr>
          <w:rFonts w:ascii="Arial"/>
          <w:sz w:val="11"/>
        </w:rPr>
      </w:pPr>
      <w:r>
        <w:rPr>
          <w:rFonts w:ascii="Arial"/>
          <w:spacing w:val="-9"/>
          <w:w w:val="95"/>
          <w:sz w:val="11"/>
        </w:rPr>
        <w:t>9000</w:t>
      </w:r>
    </w:p>
    <w:p>
      <w:pPr>
        <w:pStyle w:val="BodyText"/>
        <w:rPr>
          <w:rFonts w:ascii="Arial"/>
          <w:sz w:val="12"/>
        </w:rPr>
      </w:pPr>
      <w:r>
        <w:rPr/>
        <w:br w:type="column"/>
      </w:r>
      <w:r>
        <w:rPr>
          <w:rFonts w:ascii="Arial"/>
          <w:sz w:val="12"/>
        </w:rPr>
      </w: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spacing w:before="8"/>
        <w:rPr>
          <w:rFonts w:ascii="Arial"/>
          <w:sz w:val="9"/>
        </w:rPr>
      </w:pPr>
    </w:p>
    <w:p>
      <w:pPr>
        <w:spacing w:before="0"/>
        <w:ind w:left="-20" w:right="0" w:firstLine="0"/>
        <w:jc w:val="left"/>
        <w:rPr>
          <w:rFonts w:ascii="Arial"/>
          <w:sz w:val="11"/>
        </w:rPr>
      </w:pPr>
      <w:r>
        <w:rPr/>
        <w:pict>
          <v:group style="position:absolute;margin-left:277.347992pt;margin-top:-108.173462pt;width:132.6pt;height:108.2pt;mso-position-horizontal-relative:page;mso-position-vertical-relative:paragraph;z-index:-555400" coordorigin="5547,-2163" coordsize="2652,2164">
            <v:shape style="position:absolute;left:6028;top:-1109;width:4111;height:3112" coordorigin="6028,-1109" coordsize="4111,3112" path="m5553,-69l5598,-69m5606,-51l5606,-5m5606,-51l5606,-5m5553,-417l5598,-417m5553,-762l5598,-762m5553,-1107l5598,-1107m5553,-1455l5598,-1455m5553,-1800l5598,-1800m5553,-2145l5598,-2145m5748,-51l5748,-5m5891,-51l5891,-5m5891,-51l5891,-5m6034,-51l6034,-5m6178,-51l6178,-5m6178,-51l6178,-5m6319,-51l6319,-5m6463,-51l6463,-5m6463,-51l6463,-5m6606,-51l6606,-5m6749,-51l6749,-5m6749,-51l6749,-5m6893,-51l6893,-5m7035,-51l7035,-5m7035,-51l7035,-5m7178,-51l7178,-5m7321,-51l7321,-5m7321,-51l7321,-5m7465,-51l7465,-5m7606,-51l7606,-5m7606,-51l7606,-5m7750,-51l7750,-5m7893,-51l7893,-5m7893,-51l7893,-5m8036,-51l8036,-5m8180,-51l8180,-5m8180,-51l8180,-5e" filled="false" stroked="true" strokeweight=".53406pt" strokecolor="#000000">
              <v:path arrowok="t"/>
            </v:shape>
            <v:shape style="position:absolute;left:5606;top:-2096;width:2574;height:2001" coordorigin="5606,-2096" coordsize="2574,2001" path="m5606,-95l5748,-385,5891,-415,6034,-663,6178,-1517,6319,-1232,6463,-1102,6606,-1260,6749,-1442,6893,-1523,7035,-1734,7178,-1783,7321,-2096,7465,-1748,7606,-1523,7750,-1265,7893,-1532,8036,-1149,8180,-1341e" filled="false" stroked="true" strokeweight=".620547pt" strokecolor="#0000ff">
              <v:path arrowok="t"/>
            </v:shape>
            <v:rect style="position:absolute;left:5598;top:-2154;width:2592;height:2096" filled="false" stroked="true" strokeweight=".896967pt" strokecolor="#000000"/>
            <w10:wrap type="none"/>
          </v:group>
        </w:pict>
      </w:r>
      <w:r>
        <w:rPr/>
        <w:pict>
          <v:group style="position:absolute;margin-left:114.449379pt;margin-top:-107.905251pt;width:132.6pt;height:108.25pt;mso-position-horizontal-relative:page;mso-position-vertical-relative:paragraph;z-index:-555280" coordorigin="2289,-2158" coordsize="2652,2165">
            <v:shape style="position:absolute;left:929;top:-497;width:83;height:2509" coordorigin="929,-497" coordsize="83,2509" path="m2295,-66l2339,-66m2348,-46l2348,0m2348,-46l2348,0m2295,-479l2339,-479m2295,-894l2339,-894m2295,-1310l2339,-1310m2295,-1725l2339,-1725e" filled="false" stroked="true" strokeweight=".53406pt" strokecolor="#000000">
              <v:path arrowok="t"/>
            </v:shape>
            <v:shape style="position:absolute;left:2348;top:-1782;width:2574;height:1505" coordorigin="2348,-1782" coordsize="2574,1505" path="m2348,-277l2490,-336,2633,-358,2776,-402,2920,-499,3061,-497,3205,-558,3348,-641,3491,-775,3635,-846,3776,-918,3920,-1037,4063,-1129,4207,-1244,4348,-1394,4492,-1478,4635,-1620,4778,-1508,4922,-1782e" filled="false" stroked="true" strokeweight=".626043pt" strokecolor="#0000ff">
              <v:path arrowok="t"/>
            </v:shape>
            <v:shape style="position:absolute;left:929;top:-1101;width:4111;height:3112" coordorigin="929,-1101" coordsize="4111,3112" path="m2295,-2140l2339,-2140m2490,-46l2490,0m2633,-46l2633,0m2633,-46l2633,0m2776,-46l2776,0m2920,-46l2920,0m2920,-46l2920,0m3061,-46l3061,0m3205,-46l3205,0m3205,-46l3205,0m3348,-46l3348,0m3491,-46l3491,0m3491,-46l3491,0m3635,-46l3635,0m3776,-46l3776,0m3776,-46l3776,0m3920,-46l3920,0m4063,-46l4063,0m4063,-46l4063,0m4207,-46l4207,0m4348,-46l4348,0m4348,-46l4348,0m4492,-46l4492,0m4635,-46l4635,0m4635,-46l4635,0m4778,-46l4778,0m4922,-46l4922,0m4922,-46l4922,0e" filled="false" stroked="true" strokeweight=".53406pt" strokecolor="#000000">
              <v:path arrowok="t"/>
            </v:shape>
            <v:rect style="position:absolute;left:2339;top:-2149;width:2593;height:2096" filled="false" stroked="true" strokeweight=".89697pt" strokecolor="#000000"/>
            <w10:wrap type="none"/>
          </v:group>
        </w:pict>
      </w:r>
      <w:r>
        <w:rPr>
          <w:rFonts w:ascii="Arial"/>
          <w:spacing w:val="-5"/>
          <w:sz w:val="11"/>
        </w:rPr>
        <w:t>92       94       96       98       00       02       04       06       08    </w:t>
      </w:r>
      <w:r>
        <w:rPr>
          <w:rFonts w:ascii="Arial"/>
          <w:spacing w:val="-9"/>
          <w:sz w:val="11"/>
        </w:rPr>
        <w:t>10</w:t>
      </w:r>
    </w:p>
    <w:p>
      <w:pPr>
        <w:spacing w:before="2"/>
        <w:ind w:left="4" w:right="-9" w:firstLine="0"/>
        <w:jc w:val="left"/>
        <w:rPr>
          <w:rFonts w:ascii="Arial"/>
          <w:sz w:val="11"/>
        </w:rPr>
      </w:pPr>
      <w:r>
        <w:rPr/>
        <w:br w:type="column"/>
      </w:r>
      <w:r>
        <w:rPr>
          <w:rFonts w:ascii="Arial"/>
          <w:spacing w:val="-9"/>
          <w:w w:val="95"/>
          <w:sz w:val="11"/>
        </w:rPr>
        <w:t>29000</w:t>
      </w:r>
    </w:p>
    <w:p>
      <w:pPr>
        <w:pStyle w:val="BodyText"/>
        <w:spacing w:before="8"/>
        <w:rPr>
          <w:rFonts w:ascii="Arial"/>
          <w:sz w:val="14"/>
        </w:rPr>
      </w:pPr>
    </w:p>
    <w:p>
      <w:pPr>
        <w:spacing w:before="0"/>
        <w:ind w:left="4" w:right="-9" w:firstLine="0"/>
        <w:jc w:val="left"/>
        <w:rPr>
          <w:rFonts w:ascii="Arial"/>
          <w:sz w:val="11"/>
        </w:rPr>
      </w:pPr>
      <w:r>
        <w:rPr/>
        <w:pict>
          <v:shape style="position:absolute;margin-left:480.413361pt;margin-top:-26.720322pt;width:27.75pt;height:10.050pt;mso-position-horizontal-relative:page;mso-position-vertical-relative:paragraph;z-index:-555592" type="#_x0000_t202" filled="false" stroked="false">
            <v:textbox inset="0,0,0,0">
              <w:txbxContent>
                <w:p>
                  <w:pPr>
                    <w:spacing w:line="168" w:lineRule="exact" w:before="0"/>
                    <w:ind w:left="95" w:right="0" w:firstLine="0"/>
                    <w:jc w:val="left"/>
                    <w:rPr>
                      <w:rFonts w:ascii="Arial"/>
                      <w:sz w:val="15"/>
                    </w:rPr>
                  </w:pPr>
                  <w:r>
                    <w:rPr>
                      <w:rFonts w:ascii="Arial"/>
                      <w:sz w:val="15"/>
                    </w:rPr>
                    <w:t>EURA</w:t>
                  </w:r>
                </w:p>
              </w:txbxContent>
            </v:textbox>
            <w10:wrap type="none"/>
          </v:shape>
        </w:pict>
      </w:r>
      <w:r>
        <w:rPr>
          <w:rFonts w:ascii="Arial"/>
          <w:spacing w:val="-9"/>
          <w:w w:val="95"/>
          <w:sz w:val="11"/>
        </w:rPr>
        <w:t>28000</w:t>
      </w:r>
    </w:p>
    <w:p>
      <w:pPr>
        <w:pStyle w:val="BodyText"/>
        <w:spacing w:before="8"/>
        <w:rPr>
          <w:rFonts w:ascii="Arial"/>
          <w:sz w:val="14"/>
        </w:rPr>
      </w:pPr>
    </w:p>
    <w:p>
      <w:pPr>
        <w:spacing w:before="0"/>
        <w:ind w:left="4" w:right="-9" w:firstLine="0"/>
        <w:jc w:val="left"/>
        <w:rPr>
          <w:rFonts w:ascii="Arial"/>
          <w:sz w:val="11"/>
        </w:rPr>
      </w:pPr>
      <w:r>
        <w:rPr>
          <w:rFonts w:ascii="Arial"/>
          <w:spacing w:val="-9"/>
          <w:w w:val="95"/>
          <w:sz w:val="11"/>
        </w:rPr>
        <w:t>27000</w:t>
      </w:r>
    </w:p>
    <w:p>
      <w:pPr>
        <w:pStyle w:val="BodyText"/>
        <w:spacing w:before="10"/>
        <w:rPr>
          <w:rFonts w:ascii="Arial"/>
          <w:sz w:val="14"/>
        </w:rPr>
      </w:pPr>
    </w:p>
    <w:p>
      <w:pPr>
        <w:spacing w:before="0"/>
        <w:ind w:left="4" w:right="-9" w:firstLine="0"/>
        <w:jc w:val="left"/>
        <w:rPr>
          <w:rFonts w:ascii="Arial"/>
          <w:sz w:val="11"/>
        </w:rPr>
      </w:pPr>
      <w:r>
        <w:rPr>
          <w:rFonts w:ascii="Arial"/>
          <w:spacing w:val="-9"/>
          <w:w w:val="95"/>
          <w:sz w:val="11"/>
        </w:rPr>
        <w:t>26000</w:t>
      </w:r>
    </w:p>
    <w:p>
      <w:pPr>
        <w:pStyle w:val="BodyText"/>
        <w:spacing w:before="8"/>
        <w:rPr>
          <w:rFonts w:ascii="Arial"/>
          <w:sz w:val="14"/>
        </w:rPr>
      </w:pPr>
    </w:p>
    <w:p>
      <w:pPr>
        <w:spacing w:before="0"/>
        <w:ind w:left="4" w:right="-9" w:firstLine="0"/>
        <w:jc w:val="left"/>
        <w:rPr>
          <w:rFonts w:ascii="Arial"/>
          <w:sz w:val="11"/>
        </w:rPr>
      </w:pPr>
      <w:r>
        <w:rPr>
          <w:rFonts w:ascii="Arial"/>
          <w:spacing w:val="-9"/>
          <w:w w:val="95"/>
          <w:sz w:val="11"/>
        </w:rPr>
        <w:t>25000</w:t>
      </w:r>
    </w:p>
    <w:p>
      <w:pPr>
        <w:pStyle w:val="BodyText"/>
        <w:spacing w:before="9"/>
        <w:rPr>
          <w:rFonts w:ascii="Arial"/>
          <w:sz w:val="14"/>
        </w:rPr>
      </w:pPr>
    </w:p>
    <w:p>
      <w:pPr>
        <w:spacing w:before="0"/>
        <w:ind w:left="4" w:right="-9" w:firstLine="0"/>
        <w:jc w:val="left"/>
        <w:rPr>
          <w:rFonts w:ascii="Arial"/>
          <w:sz w:val="11"/>
        </w:rPr>
      </w:pPr>
      <w:r>
        <w:rPr>
          <w:rFonts w:ascii="Arial"/>
          <w:spacing w:val="-9"/>
          <w:w w:val="95"/>
          <w:sz w:val="11"/>
        </w:rPr>
        <w:t>24000</w:t>
      </w:r>
    </w:p>
    <w:p>
      <w:pPr>
        <w:pStyle w:val="BodyText"/>
        <w:spacing w:before="8"/>
        <w:rPr>
          <w:rFonts w:ascii="Arial"/>
          <w:sz w:val="14"/>
        </w:rPr>
      </w:pPr>
    </w:p>
    <w:p>
      <w:pPr>
        <w:spacing w:before="0"/>
        <w:ind w:left="4" w:right="-9" w:firstLine="0"/>
        <w:jc w:val="left"/>
        <w:rPr>
          <w:rFonts w:ascii="Arial"/>
          <w:sz w:val="11"/>
        </w:rPr>
      </w:pPr>
      <w:r>
        <w:rPr>
          <w:rFonts w:ascii="Arial"/>
          <w:spacing w:val="-9"/>
          <w:w w:val="95"/>
          <w:sz w:val="11"/>
        </w:rPr>
        <w:t>23000</w:t>
      </w:r>
    </w:p>
    <w:p>
      <w:pPr>
        <w:pStyle w:val="BodyText"/>
        <w:spacing w:before="10"/>
        <w:rPr>
          <w:rFonts w:ascii="Arial"/>
          <w:sz w:val="14"/>
        </w:rPr>
      </w:pPr>
    </w:p>
    <w:p>
      <w:pPr>
        <w:spacing w:before="0"/>
        <w:ind w:left="4" w:right="-9" w:firstLine="0"/>
        <w:jc w:val="left"/>
        <w:rPr>
          <w:rFonts w:ascii="Arial"/>
          <w:sz w:val="11"/>
        </w:rPr>
      </w:pPr>
      <w:r>
        <w:rPr>
          <w:rFonts w:ascii="Arial"/>
          <w:spacing w:val="-9"/>
          <w:w w:val="95"/>
          <w:sz w:val="11"/>
        </w:rPr>
        <w:t>22000</w:t>
      </w:r>
    </w:p>
    <w:p>
      <w:pPr>
        <w:pStyle w:val="BodyText"/>
        <w:rPr>
          <w:rFonts w:ascii="Arial"/>
          <w:sz w:val="12"/>
        </w:rPr>
      </w:pPr>
      <w:r>
        <w:rPr/>
        <w:br w:type="column"/>
      </w:r>
      <w:r>
        <w:rPr>
          <w:rFonts w:ascii="Arial"/>
          <w:sz w:val="12"/>
        </w:rPr>
      </w: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spacing w:before="4"/>
        <w:rPr>
          <w:rFonts w:ascii="Arial"/>
          <w:sz w:val="14"/>
        </w:rPr>
      </w:pPr>
    </w:p>
    <w:p>
      <w:pPr>
        <w:spacing w:before="0"/>
        <w:ind w:left="-20" w:right="0" w:firstLine="0"/>
        <w:jc w:val="left"/>
        <w:rPr>
          <w:rFonts w:ascii="Arial"/>
          <w:sz w:val="11"/>
        </w:rPr>
      </w:pPr>
      <w:r>
        <w:rPr/>
        <w:pict>
          <v:group style="position:absolute;margin-left:427.199707pt;margin-top:-108.173439pt;width:132.6pt;height:108.2pt;mso-position-horizontal-relative:page;mso-position-vertical-relative:paragraph;z-index:-555376" coordorigin="8544,-2163" coordsize="2652,2164">
            <v:shape style="position:absolute;left:10717;top:-655;width:83;height:2682" coordorigin="10717,-655" coordsize="83,2682" path="m8550,-70l8595,-70m8603,-51l8603,-5m8603,-51l8603,-5m8550,-367l8595,-367m8550,-663l8595,-663m8550,-961l8595,-961m8550,-1256l8595,-1256m8550,-1554l8595,-1554m8550,-1850l8595,-1850e" filled="false" stroked="true" strokeweight=".53406pt" strokecolor="#000000">
              <v:path arrowok="t"/>
            </v:shape>
            <v:shape style="position:absolute;left:8603;top:-1875;width:2574;height:1623" coordorigin="8603,-1875" coordsize="2574,1623" path="m8603,-1692l8745,-1512,8888,-1084,9031,-924,9175,-637,9316,-253,9460,-367,9603,-474,9746,-702,9890,-771,10032,-935,10175,-1185,10318,-1363,10462,-1492,10603,-1692,10747,-1776,10890,-1875,11033,-692,11177,-1324e" filled="false" stroked="true" strokeweight=".624711pt" strokecolor="#0000ff">
              <v:path arrowok="t"/>
            </v:shape>
            <v:shape style="position:absolute;left:10717;top:-1085;width:4111;height:3112" coordorigin="10717,-1085" coordsize="4111,3112" path="m8550,-2145l8595,-2145m8745,-51l8745,-5m8888,-51l8888,-5m8888,-51l8888,-5m9031,-51l9031,-5m9175,-51l9175,-5m9175,-51l9175,-5m9316,-51l9316,-5m9460,-51l9460,-5m9460,-51l9460,-5m9603,-51l9603,-5m9746,-51l9746,-5m9746,-51l9746,-5m9890,-51l9890,-5m10032,-51l10032,-5m10032,-51l10032,-5m10175,-51l10175,-5m10318,-51l10318,-5m10318,-51l10318,-5m10462,-51l10462,-5m10603,-51l10603,-5m10603,-51l10603,-5m10747,-51l10747,-5m10890,-51l10890,-5m10890,-51l10890,-5m11033,-51l11033,-5m11177,-51l11177,-5m11177,-51l11177,-5e" filled="false" stroked="true" strokeweight=".53406pt" strokecolor="#000000">
              <v:path arrowok="t"/>
            </v:shape>
            <v:rect style="position:absolute;left:8595;top:-2154;width:2592;height:2096" filled="false" stroked="true" strokeweight=".896971pt" strokecolor="#000000"/>
            <w10:wrap type="none"/>
          </v:group>
        </w:pict>
      </w:r>
      <w:r>
        <w:rPr>
          <w:rFonts w:ascii="Arial"/>
          <w:spacing w:val="-5"/>
          <w:sz w:val="11"/>
        </w:rPr>
        <w:t>92       94       96       98       00       02       04       06       08    </w:t>
      </w:r>
      <w:r>
        <w:rPr>
          <w:rFonts w:ascii="Arial"/>
          <w:spacing w:val="-9"/>
          <w:sz w:val="11"/>
        </w:rPr>
        <w:t>10</w:t>
      </w:r>
    </w:p>
    <w:p>
      <w:pPr>
        <w:spacing w:after="0"/>
        <w:jc w:val="left"/>
        <w:rPr>
          <w:rFonts w:ascii="Arial"/>
          <w:sz w:val="11"/>
        </w:rPr>
        <w:sectPr>
          <w:type w:val="continuous"/>
          <w:pgSz w:w="12250" w:h="15850"/>
          <w:pgMar w:top="1500" w:bottom="280" w:left="1720" w:right="900"/>
          <w:cols w:num="6" w:equalWidth="0">
            <w:col w:w="556" w:space="40"/>
            <w:col w:w="2657" w:space="56"/>
            <w:col w:w="505" w:space="40"/>
            <w:col w:w="2657" w:space="40"/>
            <w:col w:w="261" w:space="40"/>
            <w:col w:w="2778"/>
          </w:cols>
        </w:sectPr>
      </w:pPr>
    </w:p>
    <w:p>
      <w:pPr>
        <w:pStyle w:val="BodyText"/>
        <w:spacing w:before="2"/>
        <w:rPr>
          <w:rFonts w:ascii="Arial"/>
          <w:sz w:val="22"/>
        </w:rPr>
      </w:pPr>
    </w:p>
    <w:p>
      <w:pPr>
        <w:tabs>
          <w:tab w:pos="4363" w:val="left" w:leader="none"/>
          <w:tab w:pos="7718" w:val="left" w:leader="none"/>
        </w:tabs>
        <w:spacing w:line="240" w:lineRule="auto"/>
        <w:ind w:left="1420" w:right="678" w:firstLine="0"/>
        <w:rPr>
          <w:rFonts w:ascii="Arial"/>
          <w:sz w:val="20"/>
        </w:rPr>
      </w:pPr>
      <w:r>
        <w:rPr>
          <w:rFonts w:ascii="Arial"/>
          <w:position w:val="11"/>
          <w:sz w:val="20"/>
        </w:rPr>
        <w:pict>
          <v:group style="width:48.85pt;height:10.6pt;mso-position-horizontal-relative:char;mso-position-vertical-relative:line" coordorigin="0,0" coordsize="977,212">
            <v:rect style="position:absolute;left:6;top:6;width:964;height:200" filled="true" fillcolor="#ffffff" stroked="false">
              <v:fill type="solid"/>
            </v:rect>
            <v:shape style="position:absolute;left:6;top:6;width:965;height:200" type="#_x0000_t202" filled="false" stroked="true" strokeweight=".552246pt" strokecolor="#000000">
              <v:textbox inset="0,0,0,0">
                <w:txbxContent>
                  <w:p>
                    <w:pPr>
                      <w:spacing w:before="36"/>
                      <w:ind w:left="47" w:right="0" w:firstLine="0"/>
                      <w:jc w:val="left"/>
                      <w:rPr>
                        <w:rFonts w:ascii="Arial" w:hAnsi="Arial"/>
                        <w:sz w:val="11"/>
                      </w:rPr>
                    </w:pPr>
                    <w:r>
                      <w:rPr>
                        <w:rFonts w:ascii="Arial" w:hAnsi="Arial"/>
                        <w:w w:val="95"/>
                        <w:sz w:val="11"/>
                      </w:rPr>
                      <w:t>NORTE AMÉRICA</w:t>
                    </w:r>
                  </w:p>
                </w:txbxContent>
              </v:textbox>
              <w10:wrap type="none"/>
            </v:shape>
          </v:group>
        </w:pict>
      </w:r>
      <w:r>
        <w:rPr>
          <w:rFonts w:ascii="Arial"/>
          <w:position w:val="11"/>
          <w:sz w:val="20"/>
        </w:rPr>
      </w:r>
      <w:r>
        <w:rPr>
          <w:rFonts w:ascii="Arial"/>
          <w:position w:val="11"/>
          <w:sz w:val="20"/>
        </w:rPr>
        <w:tab/>
      </w:r>
      <w:r>
        <w:rPr>
          <w:rFonts w:ascii="Arial"/>
          <w:position w:val="1"/>
          <w:sz w:val="20"/>
        </w:rPr>
        <w:pict>
          <v:group style="width:68.650pt;height:10.65pt;mso-position-horizontal-relative:char;mso-position-vertical-relative:line" coordorigin="0,0" coordsize="1373,213">
            <v:rect style="position:absolute;left:6;top:6;width:1360;height:200" filled="true" fillcolor="#ffffff" stroked="false">
              <v:fill type="solid"/>
            </v:rect>
            <v:shape style="position:absolute;left:6;top:6;width:1361;height:201" type="#_x0000_t202" filled="false" stroked="true" strokeweight=".552929pt" strokecolor="#000000">
              <v:textbox inset="0,0,0,0">
                <w:txbxContent>
                  <w:p>
                    <w:pPr>
                      <w:spacing w:before="36"/>
                      <w:ind w:left="47" w:right="-9" w:firstLine="0"/>
                      <w:jc w:val="left"/>
                      <w:rPr>
                        <w:rFonts w:ascii="Arial" w:hAnsi="Arial"/>
                        <w:sz w:val="11"/>
                      </w:rPr>
                    </w:pPr>
                    <w:r>
                      <w:rPr>
                        <w:rFonts w:ascii="Arial" w:hAnsi="Arial"/>
                        <w:sz w:val="11"/>
                      </w:rPr>
                      <w:t>CENTRO Y </w:t>
                    </w:r>
                    <w:r>
                      <w:rPr>
                        <w:rFonts w:ascii="Arial" w:hAnsi="Arial"/>
                        <w:spacing w:val="-3"/>
                        <w:sz w:val="11"/>
                      </w:rPr>
                      <w:t>SUDAMÉRICA</w:t>
                    </w:r>
                  </w:p>
                </w:txbxContent>
              </v:textbox>
              <w10:wrap type="none"/>
            </v:shape>
          </v:group>
        </w:pict>
      </w:r>
      <w:r>
        <w:rPr>
          <w:rFonts w:ascii="Arial"/>
          <w:position w:val="1"/>
          <w:sz w:val="20"/>
        </w:rPr>
      </w:r>
      <w:r>
        <w:rPr>
          <w:rFonts w:ascii="Arial"/>
          <w:position w:val="1"/>
          <w:sz w:val="20"/>
        </w:rPr>
        <w:tab/>
      </w:r>
      <w:r>
        <w:rPr>
          <w:rFonts w:ascii="Arial"/>
          <w:sz w:val="20"/>
        </w:rPr>
        <w:pict>
          <v:group style="width:46.8pt;height:10.65pt;mso-position-horizontal-relative:char;mso-position-vertical-relative:line" coordorigin="0,0" coordsize="936,213">
            <v:rect style="position:absolute;left:6;top:6;width:923;height:200" filled="true" fillcolor="#ffffff" stroked="false">
              <v:fill type="solid"/>
            </v:rect>
            <v:shape style="position:absolute;left:6;top:6;width:924;height:201" type="#_x0000_t202" filled="false" stroked="true" strokeweight=".552118pt" strokecolor="#000000">
              <v:textbox inset="0,0,0,0">
                <w:txbxContent>
                  <w:p>
                    <w:pPr>
                      <w:spacing w:before="36"/>
                      <w:ind w:left="47" w:right="0" w:firstLine="0"/>
                      <w:jc w:val="left"/>
                      <w:rPr>
                        <w:rFonts w:ascii="Arial" w:hAnsi="Arial"/>
                        <w:sz w:val="11"/>
                      </w:rPr>
                    </w:pPr>
                    <w:r>
                      <w:rPr>
                        <w:rFonts w:ascii="Arial" w:hAnsi="Arial"/>
                        <w:spacing w:val="-4"/>
                        <w:sz w:val="11"/>
                      </w:rPr>
                      <w:t>ASIA </w:t>
                    </w:r>
                    <w:r>
                      <w:rPr>
                        <w:rFonts w:ascii="Arial" w:hAnsi="Arial"/>
                        <w:sz w:val="11"/>
                      </w:rPr>
                      <w:t>Y </w:t>
                    </w:r>
                    <w:r>
                      <w:rPr>
                        <w:rFonts w:ascii="Arial" w:hAnsi="Arial"/>
                        <w:spacing w:val="-3"/>
                        <w:sz w:val="11"/>
                      </w:rPr>
                      <w:t>OCEANÍA</w:t>
                    </w:r>
                  </w:p>
                </w:txbxContent>
              </v:textbox>
              <w10:wrap type="none"/>
            </v:shape>
          </v:group>
        </w:pict>
      </w:r>
      <w:r>
        <w:rPr>
          <w:rFonts w:ascii="Arial"/>
          <w:sz w:val="20"/>
        </w:rPr>
      </w:r>
    </w:p>
    <w:p>
      <w:pPr>
        <w:spacing w:after="0" w:line="240" w:lineRule="auto"/>
        <w:rPr>
          <w:rFonts w:ascii="Arial"/>
          <w:sz w:val="20"/>
        </w:rPr>
        <w:sectPr>
          <w:type w:val="continuous"/>
          <w:pgSz w:w="12250" w:h="15850"/>
          <w:pgMar w:top="1500" w:bottom="280" w:left="1720" w:right="900"/>
        </w:sectPr>
      </w:pPr>
    </w:p>
    <w:p>
      <w:pPr>
        <w:spacing w:line="72" w:lineRule="exact" w:before="0"/>
        <w:ind w:left="344" w:right="-9" w:firstLine="0"/>
        <w:jc w:val="left"/>
        <w:rPr>
          <w:rFonts w:ascii="Arial"/>
          <w:sz w:val="11"/>
        </w:rPr>
      </w:pPr>
      <w:r>
        <w:rPr/>
        <w:pict>
          <v:shape style="position:absolute;margin-left:157.326981pt;margin-top:-17.397882pt;width:48.25pt;height:11.1pt;mso-position-horizontal-relative:page;mso-position-vertical-relative:paragraph;z-index:-555568" type="#_x0000_t202" filled="false" stroked="false">
            <v:textbox inset="0,0,0,0">
              <w:txbxContent>
                <w:p>
                  <w:pPr>
                    <w:spacing w:line="170" w:lineRule="exact" w:before="52"/>
                    <w:ind w:left="402" w:right="0" w:firstLine="0"/>
                    <w:jc w:val="left"/>
                    <w:rPr>
                      <w:rFonts w:ascii="Arial"/>
                      <w:sz w:val="15"/>
                    </w:rPr>
                  </w:pPr>
                  <w:r>
                    <w:rPr>
                      <w:rFonts w:ascii="Arial"/>
                      <w:sz w:val="15"/>
                    </w:rPr>
                    <w:t>N_A</w:t>
                  </w:r>
                </w:p>
              </w:txbxContent>
            </v:textbox>
            <w10:wrap type="none"/>
          </v:shape>
        </w:pict>
      </w:r>
      <w:r>
        <w:rPr/>
        <w:pict>
          <v:shape style="position:absolute;margin-left:304.449921pt;margin-top:-12.63542pt;width:68.05pt;height:10.050pt;mso-position-horizontal-relative:page;mso-position-vertical-relative:paragraph;z-index:-555544" type="#_x0000_t202" filled="false" stroked="false">
            <v:textbox inset="0,0,0,0">
              <w:txbxContent>
                <w:p>
                  <w:pPr>
                    <w:spacing w:line="171" w:lineRule="exact" w:before="0"/>
                    <w:ind w:left="489" w:right="-9" w:firstLine="0"/>
                    <w:jc w:val="left"/>
                    <w:rPr>
                      <w:rFonts w:ascii="Arial"/>
                      <w:sz w:val="15"/>
                    </w:rPr>
                  </w:pPr>
                  <w:r>
                    <w:rPr>
                      <w:rFonts w:ascii="Arial"/>
                      <w:sz w:val="15"/>
                    </w:rPr>
                    <w:t>C_S_A</w:t>
                  </w:r>
                </w:p>
              </w:txbxContent>
            </v:textbox>
            <w10:wrap type="none"/>
          </v:shape>
        </w:pict>
      </w:r>
      <w:r>
        <w:rPr>
          <w:rFonts w:ascii="Arial"/>
          <w:spacing w:val="-9"/>
          <w:w w:val="95"/>
          <w:sz w:val="11"/>
        </w:rPr>
        <w:t>29000</w:t>
      </w:r>
    </w:p>
    <w:p>
      <w:pPr>
        <w:pStyle w:val="BodyText"/>
        <w:rPr>
          <w:rFonts w:ascii="Arial"/>
          <w:sz w:val="12"/>
        </w:rPr>
      </w:pPr>
    </w:p>
    <w:p>
      <w:pPr>
        <w:spacing w:before="81"/>
        <w:ind w:left="344" w:right="-9" w:firstLine="0"/>
        <w:jc w:val="left"/>
        <w:rPr>
          <w:rFonts w:ascii="Arial"/>
          <w:sz w:val="11"/>
        </w:rPr>
      </w:pPr>
      <w:r>
        <w:rPr>
          <w:rFonts w:ascii="Arial"/>
          <w:spacing w:val="-9"/>
          <w:w w:val="95"/>
          <w:sz w:val="11"/>
        </w:rPr>
        <w:t>28000</w:t>
      </w:r>
    </w:p>
    <w:p>
      <w:pPr>
        <w:pStyle w:val="BodyText"/>
        <w:rPr>
          <w:rFonts w:ascii="Arial"/>
          <w:sz w:val="12"/>
        </w:rPr>
      </w:pPr>
    </w:p>
    <w:p>
      <w:pPr>
        <w:spacing w:before="81"/>
        <w:ind w:left="344" w:right="-9" w:firstLine="0"/>
        <w:jc w:val="left"/>
        <w:rPr>
          <w:rFonts w:ascii="Arial"/>
          <w:sz w:val="11"/>
        </w:rPr>
      </w:pPr>
      <w:r>
        <w:rPr>
          <w:rFonts w:ascii="Arial"/>
          <w:spacing w:val="-9"/>
          <w:w w:val="95"/>
          <w:sz w:val="11"/>
        </w:rPr>
        <w:t>27000</w:t>
      </w:r>
    </w:p>
    <w:p>
      <w:pPr>
        <w:pStyle w:val="BodyText"/>
        <w:rPr>
          <w:rFonts w:ascii="Arial"/>
          <w:sz w:val="12"/>
        </w:rPr>
      </w:pPr>
    </w:p>
    <w:p>
      <w:pPr>
        <w:spacing w:before="82"/>
        <w:ind w:left="344" w:right="-9" w:firstLine="0"/>
        <w:jc w:val="left"/>
        <w:rPr>
          <w:rFonts w:ascii="Arial"/>
          <w:sz w:val="11"/>
        </w:rPr>
      </w:pPr>
      <w:r>
        <w:rPr>
          <w:rFonts w:ascii="Arial"/>
          <w:spacing w:val="-9"/>
          <w:w w:val="95"/>
          <w:sz w:val="11"/>
        </w:rPr>
        <w:t>26000</w:t>
      </w:r>
    </w:p>
    <w:p>
      <w:pPr>
        <w:pStyle w:val="BodyText"/>
        <w:rPr>
          <w:rFonts w:ascii="Arial"/>
          <w:sz w:val="12"/>
        </w:rPr>
      </w:pPr>
    </w:p>
    <w:p>
      <w:pPr>
        <w:spacing w:before="81"/>
        <w:ind w:left="344" w:right="-9" w:firstLine="0"/>
        <w:jc w:val="left"/>
        <w:rPr>
          <w:rFonts w:ascii="Arial"/>
          <w:sz w:val="11"/>
        </w:rPr>
      </w:pPr>
      <w:r>
        <w:rPr>
          <w:rFonts w:ascii="Arial"/>
          <w:spacing w:val="-9"/>
          <w:w w:val="95"/>
          <w:sz w:val="11"/>
        </w:rPr>
        <w:t>25000</w:t>
      </w:r>
    </w:p>
    <w:p>
      <w:pPr>
        <w:pStyle w:val="BodyText"/>
        <w:rPr>
          <w:rFonts w:ascii="Arial"/>
          <w:sz w:val="12"/>
        </w:rPr>
      </w:pPr>
    </w:p>
    <w:p>
      <w:pPr>
        <w:spacing w:before="81"/>
        <w:ind w:left="344" w:right="-9" w:firstLine="0"/>
        <w:jc w:val="left"/>
        <w:rPr>
          <w:rFonts w:ascii="Arial"/>
          <w:sz w:val="11"/>
        </w:rPr>
      </w:pPr>
      <w:r>
        <w:rPr>
          <w:rFonts w:ascii="Arial"/>
          <w:spacing w:val="-9"/>
          <w:w w:val="95"/>
          <w:sz w:val="11"/>
        </w:rPr>
        <w:t>24000</w:t>
      </w:r>
    </w:p>
    <w:p>
      <w:pPr>
        <w:pStyle w:val="BodyText"/>
        <w:rPr>
          <w:rFonts w:ascii="Arial"/>
          <w:sz w:val="12"/>
        </w:rPr>
      </w:pPr>
    </w:p>
    <w:p>
      <w:pPr>
        <w:spacing w:before="82"/>
        <w:ind w:left="344" w:right="-9" w:firstLine="0"/>
        <w:jc w:val="left"/>
        <w:rPr>
          <w:rFonts w:ascii="Arial"/>
          <w:sz w:val="11"/>
        </w:rPr>
      </w:pPr>
      <w:r>
        <w:rPr>
          <w:rFonts w:ascii="Arial"/>
          <w:spacing w:val="-9"/>
          <w:w w:val="95"/>
          <w:sz w:val="11"/>
        </w:rPr>
        <w:t>23000</w:t>
      </w:r>
    </w:p>
    <w:p>
      <w:pPr>
        <w:pStyle w:val="BodyText"/>
        <w:rPr>
          <w:rFonts w:ascii="Arial"/>
          <w:sz w:val="12"/>
        </w:rPr>
      </w:pPr>
      <w:r>
        <w:rPr/>
        <w:br w:type="column"/>
      </w:r>
      <w:r>
        <w:rPr>
          <w:rFonts w:ascii="Arial"/>
          <w:sz w:val="12"/>
        </w:rPr>
      </w: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spacing w:before="107"/>
        <w:ind w:left="-20" w:right="44" w:firstLine="0"/>
        <w:jc w:val="right"/>
        <w:rPr>
          <w:rFonts w:ascii="Arial"/>
          <w:sz w:val="11"/>
        </w:rPr>
      </w:pPr>
      <w:r>
        <w:rPr/>
        <w:pict>
          <v:shape style="position:absolute;margin-left:230.798981pt;margin-top:12.436602pt;width:24.1pt;height:10.1pt;mso-position-horizontal-relative:page;mso-position-vertical-relative:paragraph;z-index:-555496" type="#_x0000_t202" filled="false" stroked="false">
            <v:textbox inset="0,0,0,0">
              <w:txbxContent>
                <w:p>
                  <w:pPr>
                    <w:spacing w:line="172" w:lineRule="exact" w:before="30"/>
                    <w:ind w:left="184" w:right="0" w:firstLine="0"/>
                    <w:jc w:val="left"/>
                    <w:rPr>
                      <w:rFonts w:ascii="Arial"/>
                      <w:sz w:val="15"/>
                    </w:rPr>
                  </w:pPr>
                  <w:r>
                    <w:rPr>
                      <w:rFonts w:ascii="Arial"/>
                      <w:sz w:val="15"/>
                    </w:rPr>
                    <w:t>AF</w:t>
                  </w:r>
                </w:p>
              </w:txbxContent>
            </v:textbox>
            <w10:wrap type="none"/>
          </v:shape>
        </w:pict>
      </w:r>
      <w:r>
        <w:rPr/>
        <w:pict>
          <v:group style="position:absolute;margin-left:116.663063pt;margin-top:-102.837204pt;width:132.6pt;height:108.25pt;mso-position-horizontal-relative:page;mso-position-vertical-relative:paragraph;z-index:-555448" coordorigin="2333,-2057" coordsize="2652,2165">
            <v:shape style="position:absolute;left:999;top:847;width:83;height:2610" coordorigin="999,847" coordsize="83,2610" path="m2339,37l2384,37m2392,56l2392,102m2392,56l2392,102m2339,-310l2384,-310m2339,-655l2384,-655m2339,-1000l2384,-1000m2339,-1348l2384,-1348m2339,-1693l2384,-1693e" filled="false" stroked="true" strokeweight=".53406pt" strokecolor="#000000">
              <v:path arrowok="t"/>
            </v:shape>
            <v:shape style="position:absolute;left:2392;top:-1873;width:2574;height:1826" coordorigin="2392,-1873" coordsize="2574,1826" path="m2392,-47l2534,-293,2677,-677,2821,-710,2964,-874,3106,-942,3249,-1094,3393,-1135,3536,-1335,3679,-1526,3821,-1311,3964,-1331,4108,-1114,4251,-988,4392,-1276,4536,-1473,4679,-1658,4823,-1686,4966,-1873e" filled="false" stroked="true" strokeweight=".622434pt" strokecolor="#0000ff">
              <v:path arrowok="t"/>
            </v:shape>
            <v:shape style="position:absolute;left:999;top:345;width:4111;height:3112" coordorigin="999,345" coordsize="4111,3112" path="m2339,-2038l2384,-2038m2534,56l2534,102m2677,56l2677,102m2677,56l2677,102m2821,56l2821,102m2964,56l2964,102m2964,56l2964,102m3106,56l3106,102m3249,56l3249,102m3249,56l3249,102m3393,56l3393,102m3536,56l3536,102m3536,56l3536,102m3679,56l3679,102m3821,56l3821,102m3821,56l3821,102m3964,56l3964,102m4108,56l4108,102m4108,56l4108,102m4251,56l4251,102m4392,56l4392,102m4392,56l4392,102m4536,56l4536,102m4679,56l4679,102m4679,56l4679,102m4823,56l4823,102m4966,56l4966,102m4966,56l4966,102e" filled="false" stroked="true" strokeweight=".53406pt" strokecolor="#000000">
              <v:path arrowok="t"/>
            </v:shape>
            <v:rect style="position:absolute;left:2384;top:-2048;width:2592;height:2096" filled="false" stroked="true" strokeweight=".896966pt" strokecolor="#000000"/>
            <w10:wrap type="none"/>
          </v:group>
        </w:pict>
      </w:r>
      <w:r>
        <w:rPr/>
        <w:pict>
          <v:group style="position:absolute;margin-left:230.523972pt;margin-top:12.161601pt;width:24.65pt;height:10.65pt;mso-position-horizontal-relative:page;mso-position-vertical-relative:paragraph;z-index:-555256" coordorigin="4610,243" coordsize="493,213">
            <v:rect style="position:absolute;left:4616;top:249;width:481;height:202" filled="true" fillcolor="#ffffff" stroked="false">
              <v:fill type="solid"/>
            </v:rect>
            <v:rect style="position:absolute;left:4616;top:249;width:481;height:202" filled="false" stroked="true" strokeweight=".547783pt" strokecolor="#000000"/>
            <w10:wrap type="none"/>
          </v:group>
        </w:pict>
      </w:r>
      <w:r>
        <w:rPr>
          <w:rFonts w:ascii="Arial"/>
          <w:spacing w:val="-5"/>
          <w:sz w:val="11"/>
        </w:rPr>
        <w:t>92       94       96       98       00       02       04       06       08   </w:t>
      </w:r>
      <w:r>
        <w:rPr>
          <w:rFonts w:ascii="Arial"/>
          <w:spacing w:val="13"/>
          <w:sz w:val="11"/>
        </w:rPr>
        <w:t> </w:t>
      </w:r>
      <w:r>
        <w:rPr>
          <w:rFonts w:ascii="Arial"/>
          <w:spacing w:val="-9"/>
          <w:sz w:val="11"/>
        </w:rPr>
        <w:t>10</w:t>
      </w:r>
    </w:p>
    <w:p>
      <w:pPr>
        <w:spacing w:before="57"/>
        <w:ind w:left="-20" w:right="0" w:firstLine="0"/>
        <w:jc w:val="right"/>
        <w:rPr>
          <w:rFonts w:ascii="Arial" w:hAnsi="Arial"/>
          <w:sz w:val="11"/>
        </w:rPr>
      </w:pPr>
      <w:r>
        <w:rPr>
          <w:rFonts w:ascii="Arial" w:hAnsi="Arial"/>
          <w:w w:val="95"/>
          <w:sz w:val="11"/>
        </w:rPr>
        <w:t>ÁFRICA</w:t>
      </w:r>
    </w:p>
    <w:p>
      <w:pPr>
        <w:spacing w:line="116" w:lineRule="exact" w:before="0"/>
        <w:ind w:left="132" w:right="-12" w:firstLine="0"/>
        <w:jc w:val="left"/>
        <w:rPr>
          <w:rFonts w:ascii="Arial"/>
          <w:sz w:val="11"/>
        </w:rPr>
      </w:pPr>
      <w:r>
        <w:rPr/>
        <w:br w:type="column"/>
      </w:r>
      <w:r>
        <w:rPr>
          <w:rFonts w:ascii="Arial"/>
          <w:spacing w:val="-9"/>
          <w:w w:val="95"/>
          <w:sz w:val="11"/>
        </w:rPr>
        <w:t>5600</w:t>
      </w:r>
    </w:p>
    <w:p>
      <w:pPr>
        <w:spacing w:before="103"/>
        <w:ind w:left="132" w:right="-12" w:firstLine="0"/>
        <w:jc w:val="left"/>
        <w:rPr>
          <w:rFonts w:ascii="Arial"/>
          <w:sz w:val="11"/>
        </w:rPr>
      </w:pPr>
      <w:r>
        <w:rPr/>
        <w:pict>
          <v:shape style="position:absolute;margin-left:472.227081pt;margin-top:-17.712212pt;width:46.2pt;height:10.050pt;mso-position-horizontal-relative:page;mso-position-vertical-relative:paragraph;z-index:-555520" type="#_x0000_t202" filled="false" stroked="false">
            <v:textbox inset="0,0,0,0">
              <w:txbxContent>
                <w:p>
                  <w:pPr>
                    <w:spacing w:before="8"/>
                    <w:ind w:left="287" w:right="296" w:firstLine="0"/>
                    <w:jc w:val="center"/>
                    <w:rPr>
                      <w:rFonts w:ascii="Arial"/>
                      <w:sz w:val="15"/>
                    </w:rPr>
                  </w:pPr>
                  <w:r>
                    <w:rPr>
                      <w:rFonts w:ascii="Arial"/>
                      <w:sz w:val="15"/>
                    </w:rPr>
                    <w:t>A_O</w:t>
                  </w:r>
                </w:p>
              </w:txbxContent>
            </v:textbox>
            <w10:wrap type="none"/>
          </v:shape>
        </w:pict>
      </w:r>
      <w:r>
        <w:rPr>
          <w:rFonts w:ascii="Arial"/>
          <w:spacing w:val="-9"/>
          <w:w w:val="95"/>
          <w:sz w:val="11"/>
        </w:rPr>
        <w:t>5200</w:t>
      </w:r>
    </w:p>
    <w:p>
      <w:pPr>
        <w:spacing w:before="105"/>
        <w:ind w:left="132" w:right="-12" w:firstLine="0"/>
        <w:jc w:val="left"/>
        <w:rPr>
          <w:rFonts w:ascii="Arial"/>
          <w:sz w:val="11"/>
        </w:rPr>
      </w:pPr>
      <w:r>
        <w:rPr>
          <w:rFonts w:ascii="Arial"/>
          <w:spacing w:val="-9"/>
          <w:w w:val="95"/>
          <w:sz w:val="11"/>
        </w:rPr>
        <w:t>4800</w:t>
      </w:r>
    </w:p>
    <w:p>
      <w:pPr>
        <w:spacing w:before="103"/>
        <w:ind w:left="132" w:right="-12" w:firstLine="0"/>
        <w:jc w:val="left"/>
        <w:rPr>
          <w:rFonts w:ascii="Arial"/>
          <w:sz w:val="11"/>
        </w:rPr>
      </w:pPr>
      <w:r>
        <w:rPr>
          <w:rFonts w:ascii="Arial"/>
          <w:spacing w:val="-9"/>
          <w:w w:val="95"/>
          <w:sz w:val="11"/>
        </w:rPr>
        <w:t>4400</w:t>
      </w:r>
    </w:p>
    <w:p>
      <w:pPr>
        <w:spacing w:before="105"/>
        <w:ind w:left="132" w:right="-12" w:firstLine="0"/>
        <w:jc w:val="left"/>
        <w:rPr>
          <w:rFonts w:ascii="Arial"/>
          <w:sz w:val="11"/>
        </w:rPr>
      </w:pPr>
      <w:r>
        <w:rPr>
          <w:rFonts w:ascii="Arial"/>
          <w:spacing w:val="-9"/>
          <w:w w:val="95"/>
          <w:sz w:val="11"/>
        </w:rPr>
        <w:t>4000</w:t>
      </w:r>
    </w:p>
    <w:p>
      <w:pPr>
        <w:spacing w:before="103"/>
        <w:ind w:left="132" w:right="-12" w:firstLine="0"/>
        <w:jc w:val="left"/>
        <w:rPr>
          <w:rFonts w:ascii="Arial"/>
          <w:sz w:val="11"/>
        </w:rPr>
      </w:pPr>
      <w:r>
        <w:rPr>
          <w:rFonts w:ascii="Arial"/>
          <w:spacing w:val="-9"/>
          <w:w w:val="95"/>
          <w:sz w:val="11"/>
        </w:rPr>
        <w:t>3600</w:t>
      </w:r>
    </w:p>
    <w:p>
      <w:pPr>
        <w:spacing w:before="105"/>
        <w:ind w:left="132" w:right="-12" w:firstLine="0"/>
        <w:jc w:val="left"/>
        <w:rPr>
          <w:rFonts w:ascii="Arial"/>
          <w:sz w:val="11"/>
        </w:rPr>
      </w:pPr>
      <w:r>
        <w:rPr>
          <w:rFonts w:ascii="Arial"/>
          <w:spacing w:val="-9"/>
          <w:w w:val="95"/>
          <w:sz w:val="11"/>
        </w:rPr>
        <w:t>3200</w:t>
      </w:r>
    </w:p>
    <w:p>
      <w:pPr>
        <w:spacing w:before="103"/>
        <w:ind w:left="132" w:right="-12" w:firstLine="0"/>
        <w:jc w:val="left"/>
        <w:rPr>
          <w:rFonts w:ascii="Arial"/>
          <w:sz w:val="11"/>
        </w:rPr>
      </w:pPr>
      <w:r>
        <w:rPr>
          <w:rFonts w:ascii="Arial"/>
          <w:spacing w:val="-9"/>
          <w:w w:val="95"/>
          <w:sz w:val="11"/>
        </w:rPr>
        <w:t>2800</w:t>
      </w:r>
    </w:p>
    <w:p>
      <w:pPr>
        <w:spacing w:before="105"/>
        <w:ind w:left="132" w:right="-12" w:firstLine="0"/>
        <w:jc w:val="left"/>
        <w:rPr>
          <w:rFonts w:ascii="Arial"/>
          <w:sz w:val="11"/>
        </w:rPr>
      </w:pPr>
      <w:r>
        <w:rPr>
          <w:rFonts w:ascii="Arial"/>
          <w:spacing w:val="-9"/>
          <w:w w:val="95"/>
          <w:sz w:val="11"/>
        </w:rPr>
        <w:t>2400</w:t>
      </w:r>
    </w:p>
    <w:p>
      <w:pPr>
        <w:spacing w:before="105"/>
        <w:ind w:left="132" w:right="-12" w:firstLine="0"/>
        <w:jc w:val="left"/>
        <w:rPr>
          <w:rFonts w:ascii="Arial"/>
          <w:sz w:val="11"/>
        </w:rPr>
      </w:pPr>
      <w:r>
        <w:rPr>
          <w:rFonts w:ascii="Arial"/>
          <w:spacing w:val="-9"/>
          <w:w w:val="95"/>
          <w:sz w:val="11"/>
        </w:rPr>
        <w:t>2000</w:t>
      </w:r>
    </w:p>
    <w:p>
      <w:pPr>
        <w:pStyle w:val="BodyText"/>
        <w:rPr>
          <w:rFonts w:ascii="Arial"/>
          <w:sz w:val="12"/>
        </w:rPr>
      </w:pPr>
      <w:r>
        <w:rPr/>
        <w:br w:type="column"/>
      </w:r>
      <w:r>
        <w:rPr>
          <w:rFonts w:ascii="Arial"/>
          <w:sz w:val="12"/>
        </w:rPr>
      </w: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spacing w:before="2"/>
        <w:rPr>
          <w:rFonts w:ascii="Arial"/>
          <w:sz w:val="13"/>
        </w:rPr>
      </w:pPr>
    </w:p>
    <w:p>
      <w:pPr>
        <w:spacing w:before="0"/>
        <w:ind w:left="-20" w:right="0" w:firstLine="0"/>
        <w:jc w:val="left"/>
        <w:rPr>
          <w:rFonts w:ascii="Arial"/>
          <w:sz w:val="11"/>
        </w:rPr>
      </w:pPr>
      <w:r>
        <w:rPr/>
        <w:pict>
          <v:shape style="position:absolute;margin-left:379.468445pt;margin-top:10.312018pt;width:45.9pt;height:10.1pt;mso-position-horizontal-relative:page;mso-position-vertical-relative:paragraph;z-index:-555472" type="#_x0000_t202" filled="false" stroked="false">
            <v:textbox inset="0,0,0,0">
              <w:txbxContent>
                <w:p>
                  <w:pPr>
                    <w:spacing w:before="11"/>
                    <w:ind w:left="409" w:right="0" w:firstLine="0"/>
                    <w:jc w:val="left"/>
                    <w:rPr>
                      <w:rFonts w:ascii="Arial"/>
                      <w:sz w:val="15"/>
                    </w:rPr>
                  </w:pPr>
                  <w:r>
                    <w:rPr>
                      <w:rFonts w:ascii="Arial"/>
                      <w:sz w:val="15"/>
                    </w:rPr>
                    <w:t>MO</w:t>
                  </w:r>
                </w:p>
              </w:txbxContent>
            </v:textbox>
            <w10:wrap type="none"/>
          </v:shape>
        </w:pict>
      </w:r>
      <w:r>
        <w:rPr/>
        <w:pict>
          <v:group style="position:absolute;margin-left:272.657349pt;margin-top:-108.166565pt;width:132.6pt;height:108.2pt;mso-position-horizontal-relative:page;mso-position-vertical-relative:paragraph;z-index:-555424" coordorigin="5453,-2163" coordsize="2652,2164">
            <v:shape style="position:absolute;left:5881;top:258;width:83;height:3112" coordorigin="5881,258" coordsize="83,3112" path="m5459,-69l5504,-69m5512,-51l5512,-5m5512,-51l5512,-5m5459,-301l5504,-301m5459,-532l5504,-532m5459,-762l5504,-762m5459,-993l5504,-993m5459,-1223l5504,-1223m5459,-1454l5504,-1454m5459,-1684l5504,-1684m5459,-1915l5504,-1915m5459,-2145l5504,-2145e" filled="false" stroked="true" strokeweight=".53406pt" strokecolor="#000000">
              <v:path arrowok="t"/>
            </v:shape>
            <v:shape style="position:absolute;left:5512;top:-2097;width:2574;height:1948" coordorigin="5512,-2097" coordsize="2574,1948" path="m5512,-150l5654,-244,5797,-325,5941,-405,6084,-508,6226,-602,6369,-716,6512,-733,6656,-894,6799,-1025,6941,-1034,7084,-1263,7227,-1535,7371,-1614,7512,-1835,7656,-1798,7799,-1915,7943,-1783,8086,-2097e" filled="false" stroked="true" strokeweight=".621111pt" strokecolor="#0000ff">
              <v:path arrowok="t"/>
            </v:shape>
            <v:shape style="position:absolute;left:6185;top:3303;width:3806;height:67" coordorigin="6185,3303" coordsize="3806,67" path="m5654,-51l5654,-5m5797,-51l5797,-5m5797,-51l5797,-5m5941,-51l5941,-5m6084,-51l6084,-5m6084,-51l6084,-5m6226,-51l6226,-5m6369,-51l6369,-5m6369,-51l6369,-5m6512,-51l6512,-5m6656,-51l6656,-5m6656,-51l6656,-5m6799,-51l6799,-5m6941,-51l6941,-5m6941,-51l6941,-5m7084,-51l7084,-5m7227,-51l7227,-5m7227,-51l7227,-5m7371,-51l7371,-5m7512,-51l7512,-5m7512,-51l7512,-5m7656,-51l7656,-5m7799,-51l7799,-5m7799,-51l7799,-5m7943,-51l7943,-5m8086,-51l8086,-5m8086,-51l8086,-5e" filled="false" stroked="true" strokeweight=".53406pt" strokecolor="#000000">
              <v:path arrowok="t"/>
            </v:shape>
            <v:rect style="position:absolute;left:5504;top:-2154;width:2592;height:2096" filled="false" stroked="true" strokeweight=".89697pt" strokecolor="#000000"/>
            <w10:wrap type="none"/>
          </v:group>
        </w:pict>
      </w:r>
      <w:r>
        <w:rPr/>
        <w:pict>
          <v:group style="position:absolute;margin-left:379.168427pt;margin-top:10.012018pt;width:46.5pt;height:10.7pt;mso-position-horizontal-relative:page;mso-position-vertical-relative:paragraph;z-index:16912" coordorigin="7583,200" coordsize="930,214">
            <v:rect style="position:absolute;left:7589;top:206;width:918;height:202" filled="true" fillcolor="#ffffff" stroked="false">
              <v:fill type="solid"/>
            </v:rect>
            <v:shape style="position:absolute;left:7589;top:206;width:918;height:202" type="#_x0000_t202" filled="false" stroked="true" strokeweight=".552076pt" strokecolor="#000000">
              <v:textbox inset="0,0,0,0">
                <w:txbxContent>
                  <w:p>
                    <w:pPr>
                      <w:spacing w:before="36"/>
                      <w:ind w:left="47" w:right="0" w:firstLine="0"/>
                      <w:jc w:val="left"/>
                      <w:rPr>
                        <w:rFonts w:ascii="Arial"/>
                        <w:sz w:val="11"/>
                      </w:rPr>
                    </w:pPr>
                    <w:r>
                      <w:rPr>
                        <w:rFonts w:ascii="Arial"/>
                        <w:spacing w:val="-3"/>
                        <w:sz w:val="11"/>
                      </w:rPr>
                      <w:t>MEDIO ORIENTE</w:t>
                    </w:r>
                  </w:p>
                </w:txbxContent>
              </v:textbox>
              <w10:wrap type="none"/>
            </v:shape>
            <w10:wrap type="none"/>
          </v:group>
        </w:pict>
      </w:r>
      <w:r>
        <w:rPr>
          <w:rFonts w:ascii="Arial"/>
          <w:spacing w:val="-5"/>
          <w:sz w:val="11"/>
        </w:rPr>
        <w:t>92       94       96       98       00       02       04       06       08    </w:t>
      </w:r>
      <w:r>
        <w:rPr>
          <w:rFonts w:ascii="Arial"/>
          <w:spacing w:val="-9"/>
          <w:sz w:val="11"/>
        </w:rPr>
        <w:t>10</w:t>
      </w:r>
    </w:p>
    <w:p>
      <w:pPr>
        <w:spacing w:before="13"/>
        <w:ind w:left="103" w:right="-9" w:firstLine="0"/>
        <w:jc w:val="left"/>
        <w:rPr>
          <w:rFonts w:ascii="Arial"/>
          <w:sz w:val="11"/>
        </w:rPr>
      </w:pPr>
      <w:r>
        <w:rPr/>
        <w:br w:type="column"/>
      </w:r>
      <w:r>
        <w:rPr>
          <w:rFonts w:ascii="Arial"/>
          <w:spacing w:val="-9"/>
          <w:w w:val="95"/>
          <w:sz w:val="11"/>
        </w:rPr>
        <w:t>18000</w:t>
      </w:r>
    </w:p>
    <w:p>
      <w:pPr>
        <w:pStyle w:val="BodyText"/>
        <w:rPr>
          <w:rFonts w:ascii="Arial"/>
          <w:sz w:val="12"/>
        </w:rPr>
      </w:pPr>
    </w:p>
    <w:p>
      <w:pPr>
        <w:spacing w:before="80"/>
        <w:ind w:left="103" w:right="-9" w:firstLine="0"/>
        <w:jc w:val="left"/>
        <w:rPr>
          <w:rFonts w:ascii="Arial"/>
          <w:sz w:val="11"/>
        </w:rPr>
      </w:pPr>
      <w:r>
        <w:rPr>
          <w:rFonts w:ascii="Arial"/>
          <w:spacing w:val="-9"/>
          <w:w w:val="95"/>
          <w:sz w:val="11"/>
        </w:rPr>
        <w:t>16000</w:t>
      </w:r>
    </w:p>
    <w:p>
      <w:pPr>
        <w:pStyle w:val="BodyText"/>
        <w:rPr>
          <w:rFonts w:ascii="Arial"/>
          <w:sz w:val="12"/>
        </w:rPr>
      </w:pPr>
    </w:p>
    <w:p>
      <w:pPr>
        <w:spacing w:before="80"/>
        <w:ind w:left="103" w:right="-9" w:firstLine="0"/>
        <w:jc w:val="left"/>
        <w:rPr>
          <w:rFonts w:ascii="Arial"/>
          <w:sz w:val="11"/>
        </w:rPr>
      </w:pPr>
      <w:r>
        <w:rPr>
          <w:rFonts w:ascii="Arial"/>
          <w:spacing w:val="-9"/>
          <w:w w:val="95"/>
          <w:sz w:val="11"/>
        </w:rPr>
        <w:t>14000</w:t>
      </w:r>
    </w:p>
    <w:p>
      <w:pPr>
        <w:pStyle w:val="BodyText"/>
        <w:rPr>
          <w:rFonts w:ascii="Arial"/>
          <w:sz w:val="12"/>
        </w:rPr>
      </w:pPr>
    </w:p>
    <w:p>
      <w:pPr>
        <w:spacing w:before="83"/>
        <w:ind w:left="103" w:right="-9" w:firstLine="0"/>
        <w:jc w:val="left"/>
        <w:rPr>
          <w:rFonts w:ascii="Arial"/>
          <w:sz w:val="11"/>
        </w:rPr>
      </w:pPr>
      <w:r>
        <w:rPr>
          <w:rFonts w:ascii="Arial"/>
          <w:spacing w:val="-9"/>
          <w:w w:val="95"/>
          <w:sz w:val="11"/>
        </w:rPr>
        <w:t>12000</w:t>
      </w:r>
    </w:p>
    <w:p>
      <w:pPr>
        <w:pStyle w:val="BodyText"/>
        <w:rPr>
          <w:rFonts w:ascii="Arial"/>
          <w:sz w:val="12"/>
        </w:rPr>
      </w:pPr>
    </w:p>
    <w:p>
      <w:pPr>
        <w:spacing w:before="81"/>
        <w:ind w:left="103" w:right="-9" w:firstLine="0"/>
        <w:jc w:val="left"/>
        <w:rPr>
          <w:rFonts w:ascii="Arial"/>
          <w:sz w:val="11"/>
        </w:rPr>
      </w:pPr>
      <w:r>
        <w:rPr>
          <w:rFonts w:ascii="Arial"/>
          <w:spacing w:val="-9"/>
          <w:w w:val="95"/>
          <w:sz w:val="11"/>
        </w:rPr>
        <w:t>10000</w:t>
      </w:r>
    </w:p>
    <w:p>
      <w:pPr>
        <w:pStyle w:val="BodyText"/>
        <w:rPr>
          <w:rFonts w:ascii="Arial"/>
          <w:sz w:val="12"/>
        </w:rPr>
      </w:pPr>
    </w:p>
    <w:p>
      <w:pPr>
        <w:spacing w:before="80"/>
        <w:ind w:left="154" w:right="-11" w:firstLine="0"/>
        <w:jc w:val="left"/>
        <w:rPr>
          <w:rFonts w:ascii="Arial"/>
          <w:sz w:val="11"/>
        </w:rPr>
      </w:pPr>
      <w:r>
        <w:rPr>
          <w:rFonts w:ascii="Arial"/>
          <w:spacing w:val="-9"/>
          <w:w w:val="95"/>
          <w:sz w:val="11"/>
        </w:rPr>
        <w:t>8000</w:t>
      </w:r>
    </w:p>
    <w:p>
      <w:pPr>
        <w:pStyle w:val="BodyText"/>
        <w:rPr>
          <w:rFonts w:ascii="Arial"/>
          <w:sz w:val="12"/>
        </w:rPr>
      </w:pPr>
    </w:p>
    <w:p>
      <w:pPr>
        <w:spacing w:before="83"/>
        <w:ind w:left="154" w:right="-11" w:firstLine="0"/>
        <w:jc w:val="left"/>
        <w:rPr>
          <w:rFonts w:ascii="Arial"/>
          <w:sz w:val="11"/>
        </w:rPr>
      </w:pPr>
      <w:r>
        <w:rPr>
          <w:rFonts w:ascii="Arial"/>
          <w:spacing w:val="-9"/>
          <w:w w:val="95"/>
          <w:sz w:val="11"/>
        </w:rPr>
        <w:t>6000</w:t>
      </w:r>
    </w:p>
    <w:p>
      <w:pPr>
        <w:pStyle w:val="BodyText"/>
        <w:rPr>
          <w:rFonts w:ascii="Arial"/>
          <w:sz w:val="12"/>
        </w:rPr>
      </w:pPr>
      <w:r>
        <w:rPr/>
        <w:br w:type="column"/>
      </w:r>
      <w:r>
        <w:rPr>
          <w:rFonts w:ascii="Arial"/>
          <w:sz w:val="12"/>
        </w:rPr>
      </w: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spacing w:before="3"/>
        <w:rPr>
          <w:rFonts w:ascii="Arial"/>
          <w:sz w:val="15"/>
        </w:rPr>
      </w:pPr>
    </w:p>
    <w:p>
      <w:pPr>
        <w:spacing w:before="0"/>
        <w:ind w:left="-20" w:right="0" w:firstLine="0"/>
        <w:jc w:val="left"/>
        <w:rPr>
          <w:rFonts w:ascii="Arial"/>
          <w:sz w:val="11"/>
        </w:rPr>
      </w:pPr>
      <w:r>
        <w:rPr/>
        <w:pict>
          <v:group style="position:absolute;margin-left:427.468109pt;margin-top:-108.173431pt;width:132.6pt;height:108.2pt;mso-position-horizontal-relative:page;mso-position-vertical-relative:paragraph;z-index:-555304" coordorigin="8549,-2163" coordsize="2652,2164">
            <v:shape style="position:absolute;left:10726;top:771;width:4111;height:2610" coordorigin="10726,771" coordsize="4111,2610" path="m8555,-69l8600,-69m8608,-51l8608,-5m8608,-51l8608,-5m8555,-417l8600,-417m8555,-762l8600,-762m8555,-1107l8600,-1107m8555,-1455l8600,-1455m8555,-1800l8600,-1800m8750,-51l8750,-5m8893,-51l8893,-5m8893,-51l8893,-5m9036,-51l9036,-5m9180,-51l9180,-5m9180,-51l9180,-5m9321,-51l9321,-5m9465,-51l9465,-5m9465,-51l9465,-5m9608,-51l9608,-5m9752,-51l9752,-5m9752,-51l9752,-5m9895,-51l9895,-5m10037,-51l10037,-5m10037,-51l10037,-5m10180,-51l10180,-5m10324,-51l10324,-5m10324,-51l10324,-5m10467,-51l10467,-5m10609,-51l10609,-5m10609,-51l10609,-5m10752,-51l10752,-5m10895,-51l10895,-5m10895,-51l10895,-5m11038,-51l11038,-5m11182,-51l11182,-5m11182,-51l11182,-5e" filled="false" stroked="true" strokeweight=".53406pt" strokecolor="#000000">
              <v:path arrowok="t"/>
            </v:shape>
            <v:shape style="position:absolute;left:8608;top:-1961;width:2574;height:1836" coordorigin="8608,-1961" coordsize="2574,1836" path="m8608,-126l8750,-191,8893,-284,9036,-354,9180,-474,9321,-527,9465,-538,9608,-639,9752,-690,9895,-692,10037,-814,10180,-916,10324,-979,10467,-1129,10609,-1295,10752,-1432,10895,-1535,11038,-1691,11182,-1961e" filled="false" stroked="true" strokeweight=".622333pt" strokecolor="#0000ff">
              <v:path arrowok="t"/>
            </v:shape>
            <v:line style="position:absolute" from="8555,-2145" to="8600,-2145" stroked="true" strokeweight=".553649pt" strokecolor="#000000"/>
            <v:rect style="position:absolute;left:8600;top:-2154;width:2593;height:2096" filled="false" stroked="true" strokeweight=".89697pt" strokecolor="#000000"/>
            <w10:wrap type="none"/>
          </v:group>
        </w:pict>
      </w:r>
      <w:r>
        <w:rPr>
          <w:rFonts w:ascii="Arial"/>
          <w:spacing w:val="-5"/>
          <w:sz w:val="11"/>
        </w:rPr>
        <w:t>92       94       96       98       00       02       04       06       08    </w:t>
      </w:r>
      <w:r>
        <w:rPr>
          <w:rFonts w:ascii="Arial"/>
          <w:spacing w:val="-9"/>
          <w:sz w:val="11"/>
        </w:rPr>
        <w:t>10</w:t>
      </w:r>
    </w:p>
    <w:p>
      <w:pPr>
        <w:spacing w:after="0"/>
        <w:jc w:val="left"/>
        <w:rPr>
          <w:rFonts w:ascii="Arial"/>
          <w:sz w:val="11"/>
        </w:rPr>
        <w:sectPr>
          <w:type w:val="continuous"/>
          <w:pgSz w:w="12250" w:h="15850"/>
          <w:pgMar w:top="1500" w:bottom="280" w:left="1720" w:right="900"/>
          <w:cols w:num="6" w:equalWidth="0">
            <w:col w:w="601" w:space="40"/>
            <w:col w:w="2704" w:space="40"/>
            <w:col w:w="337" w:space="40"/>
            <w:col w:w="2657" w:space="40"/>
            <w:col w:w="360" w:space="40"/>
            <w:col w:w="2771"/>
          </w:cols>
        </w:sectPr>
      </w:pPr>
    </w:p>
    <w:p>
      <w:pPr>
        <w:spacing w:before="103"/>
        <w:ind w:left="0" w:right="0" w:firstLine="0"/>
        <w:jc w:val="right"/>
        <w:rPr>
          <w:rFonts w:ascii="Arial"/>
          <w:sz w:val="11"/>
        </w:rPr>
      </w:pPr>
      <w:r>
        <w:rPr>
          <w:rFonts w:ascii="Arial"/>
          <w:w w:val="95"/>
          <w:sz w:val="11"/>
        </w:rPr>
        <w:t>8000</w:t>
      </w:r>
    </w:p>
    <w:p>
      <w:pPr>
        <w:pStyle w:val="BodyText"/>
        <w:rPr>
          <w:rFonts w:ascii="Arial"/>
          <w:sz w:val="12"/>
        </w:rPr>
      </w:pPr>
    </w:p>
    <w:p>
      <w:pPr>
        <w:spacing w:before="81"/>
        <w:ind w:left="0" w:right="0" w:firstLine="0"/>
        <w:jc w:val="right"/>
        <w:rPr>
          <w:rFonts w:ascii="Arial"/>
          <w:sz w:val="11"/>
        </w:rPr>
      </w:pPr>
      <w:r>
        <w:rPr>
          <w:rFonts w:ascii="Arial"/>
          <w:w w:val="95"/>
          <w:sz w:val="11"/>
        </w:rPr>
        <w:t>7000</w:t>
      </w:r>
    </w:p>
    <w:p>
      <w:pPr>
        <w:pStyle w:val="BodyText"/>
        <w:spacing w:before="10"/>
        <w:rPr>
          <w:rFonts w:ascii="Arial"/>
          <w:sz w:val="16"/>
        </w:rPr>
      </w:pPr>
      <w:r>
        <w:rPr/>
        <w:br w:type="column"/>
      </w:r>
      <w:r>
        <w:rPr>
          <w:rFonts w:ascii="Arial"/>
          <w:sz w:val="16"/>
        </w:rPr>
      </w:r>
    </w:p>
    <w:p>
      <w:pPr>
        <w:spacing w:before="1"/>
        <w:ind w:left="1602" w:right="0" w:firstLine="0"/>
        <w:jc w:val="left"/>
        <w:rPr>
          <w:rFonts w:ascii="Arial"/>
          <w:sz w:val="11"/>
        </w:rPr>
      </w:pPr>
      <w:r>
        <w:rPr>
          <w:rFonts w:ascii="Arial"/>
          <w:sz w:val="11"/>
        </w:rPr>
        <w:t>18000</w:t>
      </w:r>
    </w:p>
    <w:p>
      <w:pPr>
        <w:pStyle w:val="BodyText"/>
        <w:spacing w:before="8"/>
        <w:rPr>
          <w:rFonts w:ascii="Arial"/>
          <w:sz w:val="14"/>
        </w:rPr>
      </w:pPr>
    </w:p>
    <w:p>
      <w:pPr>
        <w:spacing w:before="0"/>
        <w:ind w:left="1602" w:right="0" w:firstLine="0"/>
        <w:jc w:val="left"/>
        <w:rPr>
          <w:rFonts w:ascii="Arial"/>
          <w:sz w:val="11"/>
        </w:rPr>
      </w:pPr>
      <w:r>
        <w:rPr/>
        <w:pict>
          <v:group style="position:absolute;margin-left:338.122009pt;margin-top:-11.363086pt;width:132.6pt;height:108.2pt;mso-position-horizontal-relative:page;mso-position-vertical-relative:paragraph;z-index:-555352" coordorigin="6762,-227" coordsize="2652,2164">
            <v:shape style="position:absolute;left:7930;top:3847;width:4111;height:2683" coordorigin="7930,3847" coordsize="4111,2683" path="m6768,1867l6813,1867m6821,1885l6821,1931m6821,1885l6821,1931m6768,1569l6813,1569m6768,1273l6813,1273m6768,976l6813,976m6768,680l6813,680m6768,382l6813,382m6768,86l6813,86m6963,1885l6963,1931m7106,1885l7106,1931m7106,1885l7106,1931m7250,1885l7250,1931m7393,1885l7393,1931m7393,1885l7393,1931m7535,1885l7535,1931m7678,1885l7678,1931m7678,1885l7678,1931m7821,1885l7821,1931m7965,1885l7965,1931m7965,1885l7965,1931m8108,1885l8108,1931m8250,1885l8250,1931m8250,1885l8250,1931m8393,1885l8393,1931m8537,1885l8537,1931m8537,1885l8537,1931m8680,1885l8680,1931m8822,1885l8822,1931m8822,1885l8822,1931m8965,1885l8965,1931m9108,1885l9108,1931m9108,1885l9108,1931m9252,1885l9252,1931m9395,1885l9395,1931m9395,1885l9395,1931e" filled="false" stroked="true" strokeweight=".53406pt" strokecolor="#000000">
              <v:path arrowok="t"/>
            </v:shape>
            <v:shape style="position:absolute;left:6821;top:96;width:2574;height:1749" coordorigin="6821,96" coordsize="2574,1749" path="m6821,1845l6963,1802,7106,1764,7250,1720,7393,1639,7535,1536,7678,1481,7821,1431,7965,1336,8108,1275,8250,1169,8393,1097,8537,985,8680,788,8822,687,8965,592,9108,456,9252,283,9395,96e" filled="false" stroked="true" strokeweight=".623288pt" strokecolor="#0000ff">
              <v:path arrowok="t"/>
            </v:shape>
            <v:line style="position:absolute" from="6768,-209" to="6813,-209" stroked="true" strokeweight=".553649pt" strokecolor="#000000"/>
            <v:rect style="position:absolute;left:6813;top:-218;width:2593;height:2096" filled="false" stroked="true" strokeweight=".896974pt" strokecolor="#000000"/>
            <w10:wrap type="none"/>
          </v:group>
        </w:pict>
      </w:r>
      <w:r>
        <w:rPr/>
        <w:pict>
          <v:group style="position:absolute;margin-left:176.997406pt;margin-top:-15.957056pt;width:132.6pt;height:108.2pt;mso-position-horizontal-relative:page;mso-position-vertical-relative:paragraph;z-index:-555328" coordorigin="3540,-319" coordsize="2652,2164">
            <v:shape style="position:absolute;left:2887;top:3785;width:83;height:2610" coordorigin="2887,3785" coordsize="83,2610" path="m3546,1775l3590,1775m3599,1793l3599,1839m3599,1793l3599,1839m3546,1428l3590,1428m3546,1082l3590,1082m3546,737l3590,737m3546,390l3590,390m3546,44l3590,44e" filled="false" stroked="true" strokeweight=".53406pt" strokecolor="#000000">
              <v:path arrowok="t"/>
            </v:shape>
            <v:shape style="position:absolute;left:3599;top:-84;width:2574;height:1610" coordorigin="3599,-84" coordsize="2574,1610" path="m3599,1506l3740,1495,3884,1525,4027,1426,4171,1350,4312,1249,4456,1187,4599,1077,4742,930,4886,866,5027,845,5171,698,5314,636,5458,336,5599,202,5743,131,5886,-15,6029,6,6173,-84e" filled="false" stroked="true" strokeweight=".624854pt" strokecolor="#0000ff">
              <v:path arrowok="t"/>
            </v:shape>
            <v:shape style="position:absolute;left:2887;top:3283;width:4111;height:3113" coordorigin="2887,3283" coordsize="4111,3113" path="m3546,-301l3590,-301m3740,1793l3740,1839m3884,1793l3884,1839m3884,1793l3884,1839m4027,1793l4027,1839m4171,1793l4171,1839m4171,1793l4171,1839m4312,1793l4312,1839m4456,1793l4456,1839m4456,1793l4456,1839m4599,1793l4599,1839m4742,1793l4742,1839m4742,1793l4742,1839m4886,1793l4886,1839m5027,1793l5027,1839m5027,1793l5027,1839m5171,1793l5171,1839m5314,1793l5314,1839m5314,1793l5314,1839m5458,1793l5458,1839m5599,1793l5599,1839m5599,1793l5599,1839m5743,1793l5743,1839m5886,1793l5886,1839m5886,1793l5886,1839m6029,1793l6029,1839m6173,1793l6173,1839m6173,1793l6173,1839e" filled="false" stroked="true" strokeweight=".53406pt" strokecolor="#000000">
              <v:path arrowok="t"/>
            </v:shape>
            <v:rect style="position:absolute;left:3590;top:-310;width:2593;height:2096" filled="false" stroked="true" strokeweight=".896975pt" strokecolor="#000000"/>
            <w10:wrap type="none"/>
          </v:group>
        </w:pict>
      </w:r>
      <w:r>
        <w:rPr>
          <w:rFonts w:ascii="Arial"/>
          <w:sz w:val="11"/>
        </w:rPr>
        <w:t>16000</w:t>
      </w:r>
    </w:p>
    <w:p>
      <w:pPr>
        <w:spacing w:after="0"/>
        <w:jc w:val="left"/>
        <w:rPr>
          <w:rFonts w:ascii="Arial"/>
          <w:sz w:val="11"/>
        </w:rPr>
        <w:sectPr>
          <w:type w:val="continuous"/>
          <w:pgSz w:w="12250" w:h="15850"/>
          <w:pgMar w:top="1500" w:bottom="280" w:left="1720" w:right="900"/>
          <w:cols w:num="2" w:equalWidth="0">
            <w:col w:w="1807" w:space="1364"/>
            <w:col w:w="6459"/>
          </w:cols>
        </w:sectPr>
      </w:pPr>
    </w:p>
    <w:p>
      <w:pPr>
        <w:pStyle w:val="BodyText"/>
        <w:spacing w:before="5"/>
        <w:rPr>
          <w:rFonts w:ascii="Arial"/>
          <w:sz w:val="14"/>
        </w:rPr>
      </w:pPr>
    </w:p>
    <w:p>
      <w:pPr>
        <w:tabs>
          <w:tab w:pos="4773" w:val="left" w:leader="none"/>
        </w:tabs>
        <w:spacing w:before="0"/>
        <w:ind w:left="1602" w:right="1489" w:firstLine="0"/>
        <w:jc w:val="left"/>
        <w:rPr>
          <w:rFonts w:ascii="Arial"/>
          <w:sz w:val="11"/>
        </w:rPr>
      </w:pPr>
      <w:r>
        <w:rPr>
          <w:rFonts w:ascii="Arial"/>
          <w:spacing w:val="-7"/>
          <w:sz w:val="11"/>
        </w:rPr>
        <w:t>6000</w:t>
        <w:tab/>
      </w:r>
      <w:r>
        <w:rPr>
          <w:rFonts w:ascii="Arial"/>
          <w:spacing w:val="-9"/>
          <w:position w:val="1"/>
          <w:sz w:val="11"/>
        </w:rPr>
        <w:t>14000</w:t>
      </w:r>
    </w:p>
    <w:p>
      <w:pPr>
        <w:spacing w:after="0"/>
        <w:jc w:val="left"/>
        <w:rPr>
          <w:rFonts w:ascii="Arial"/>
          <w:sz w:val="11"/>
        </w:rPr>
        <w:sectPr>
          <w:type w:val="continuous"/>
          <w:pgSz w:w="12250" w:h="15850"/>
          <w:pgMar w:top="1500" w:bottom="280" w:left="1720" w:right="900"/>
        </w:sectPr>
      </w:pPr>
    </w:p>
    <w:p>
      <w:pPr>
        <w:pStyle w:val="BodyText"/>
        <w:rPr>
          <w:rFonts w:ascii="Arial"/>
          <w:sz w:val="12"/>
        </w:rPr>
      </w:pPr>
    </w:p>
    <w:p>
      <w:pPr>
        <w:spacing w:before="83"/>
        <w:ind w:left="0" w:right="0" w:firstLine="0"/>
        <w:jc w:val="right"/>
        <w:rPr>
          <w:rFonts w:ascii="Arial"/>
          <w:sz w:val="11"/>
        </w:rPr>
      </w:pPr>
      <w:r>
        <w:rPr>
          <w:rFonts w:ascii="Arial"/>
          <w:w w:val="95"/>
          <w:sz w:val="11"/>
        </w:rPr>
        <w:t>5000</w:t>
      </w:r>
    </w:p>
    <w:p>
      <w:pPr>
        <w:pStyle w:val="BodyText"/>
        <w:spacing w:before="2"/>
        <w:rPr>
          <w:rFonts w:ascii="Arial"/>
          <w:sz w:val="14"/>
        </w:rPr>
      </w:pPr>
      <w:r>
        <w:rPr/>
        <w:br w:type="column"/>
      </w:r>
      <w:r>
        <w:rPr>
          <w:rFonts w:ascii="Arial"/>
          <w:sz w:val="14"/>
        </w:rPr>
      </w:r>
    </w:p>
    <w:p>
      <w:pPr>
        <w:spacing w:before="0"/>
        <w:ind w:left="1602" w:right="0" w:firstLine="0"/>
        <w:jc w:val="left"/>
        <w:rPr>
          <w:rFonts w:ascii="Arial"/>
          <w:sz w:val="11"/>
        </w:rPr>
      </w:pPr>
      <w:r>
        <w:rPr>
          <w:rFonts w:ascii="Arial"/>
          <w:sz w:val="11"/>
        </w:rPr>
        <w:t>12000</w:t>
      </w:r>
    </w:p>
    <w:p>
      <w:pPr>
        <w:spacing w:after="0"/>
        <w:jc w:val="left"/>
        <w:rPr>
          <w:rFonts w:ascii="Arial"/>
          <w:sz w:val="11"/>
        </w:rPr>
        <w:sectPr>
          <w:type w:val="continuous"/>
          <w:pgSz w:w="12250" w:h="15850"/>
          <w:pgMar w:top="1500" w:bottom="280" w:left="1720" w:right="900"/>
          <w:cols w:num="2" w:equalWidth="0">
            <w:col w:w="1807" w:space="1364"/>
            <w:col w:w="6459"/>
          </w:cols>
        </w:sectPr>
      </w:pPr>
    </w:p>
    <w:p>
      <w:pPr>
        <w:pStyle w:val="BodyText"/>
        <w:rPr>
          <w:rFonts w:ascii="Arial"/>
          <w:sz w:val="12"/>
        </w:rPr>
      </w:pPr>
    </w:p>
    <w:p>
      <w:pPr>
        <w:spacing w:before="81"/>
        <w:ind w:left="0" w:right="0" w:firstLine="0"/>
        <w:jc w:val="right"/>
        <w:rPr>
          <w:rFonts w:ascii="Arial"/>
          <w:sz w:val="11"/>
        </w:rPr>
      </w:pPr>
      <w:r>
        <w:rPr>
          <w:rFonts w:ascii="Arial"/>
          <w:w w:val="95"/>
          <w:sz w:val="11"/>
        </w:rPr>
        <w:t>4000</w:t>
      </w:r>
    </w:p>
    <w:p>
      <w:pPr>
        <w:pStyle w:val="BodyText"/>
        <w:rPr>
          <w:rFonts w:ascii="Arial"/>
          <w:sz w:val="12"/>
        </w:rPr>
      </w:pPr>
    </w:p>
    <w:p>
      <w:pPr>
        <w:spacing w:before="81"/>
        <w:ind w:left="0" w:right="0" w:firstLine="0"/>
        <w:jc w:val="right"/>
        <w:rPr>
          <w:rFonts w:ascii="Arial"/>
          <w:sz w:val="11"/>
        </w:rPr>
      </w:pPr>
      <w:r>
        <w:rPr>
          <w:rFonts w:ascii="Arial"/>
          <w:w w:val="95"/>
          <w:sz w:val="11"/>
        </w:rPr>
        <w:t>3000</w:t>
      </w:r>
    </w:p>
    <w:p>
      <w:pPr>
        <w:pStyle w:val="BodyText"/>
        <w:rPr>
          <w:rFonts w:ascii="Arial"/>
          <w:sz w:val="12"/>
        </w:rPr>
      </w:pPr>
    </w:p>
    <w:p>
      <w:pPr>
        <w:spacing w:before="83"/>
        <w:ind w:left="0" w:right="0" w:firstLine="0"/>
        <w:jc w:val="right"/>
        <w:rPr>
          <w:rFonts w:ascii="Arial"/>
          <w:sz w:val="11"/>
        </w:rPr>
      </w:pPr>
      <w:r>
        <w:rPr>
          <w:rFonts w:ascii="Arial"/>
          <w:w w:val="95"/>
          <w:sz w:val="11"/>
        </w:rPr>
        <w:t>2000</w:t>
      </w:r>
    </w:p>
    <w:p>
      <w:pPr>
        <w:pStyle w:val="BodyText"/>
        <w:rPr>
          <w:rFonts w:ascii="Arial"/>
          <w:sz w:val="12"/>
        </w:rPr>
      </w:pPr>
      <w:r>
        <w:rPr/>
        <w:br w:type="column"/>
      </w:r>
      <w:r>
        <w:rPr>
          <w:rFonts w:ascii="Arial"/>
          <w:sz w:val="12"/>
        </w:rPr>
      </w: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spacing w:before="101"/>
        <w:ind w:left="-20" w:right="0" w:firstLine="0"/>
        <w:jc w:val="left"/>
        <w:rPr>
          <w:rFonts w:ascii="Arial"/>
          <w:sz w:val="11"/>
        </w:rPr>
      </w:pPr>
      <w:r>
        <w:rPr>
          <w:rFonts w:ascii="Arial"/>
          <w:spacing w:val="-5"/>
          <w:sz w:val="11"/>
        </w:rPr>
        <w:t>92       94       96       98       00       02       04       06       08    </w:t>
      </w:r>
      <w:r>
        <w:rPr>
          <w:rFonts w:ascii="Arial"/>
          <w:spacing w:val="-9"/>
          <w:sz w:val="11"/>
        </w:rPr>
        <w:t>10</w:t>
      </w:r>
    </w:p>
    <w:p>
      <w:pPr>
        <w:pStyle w:val="BodyText"/>
        <w:spacing w:before="8"/>
        <w:rPr>
          <w:rFonts w:ascii="Arial"/>
          <w:sz w:val="9"/>
        </w:rPr>
      </w:pPr>
      <w:r>
        <w:rPr/>
        <w:br w:type="column"/>
      </w:r>
      <w:r>
        <w:rPr>
          <w:rFonts w:ascii="Arial"/>
          <w:sz w:val="9"/>
        </w:rPr>
      </w:r>
    </w:p>
    <w:p>
      <w:pPr>
        <w:spacing w:before="0"/>
        <w:ind w:left="229" w:right="-9" w:firstLine="0"/>
        <w:jc w:val="left"/>
        <w:rPr>
          <w:rFonts w:ascii="Arial"/>
          <w:sz w:val="11"/>
        </w:rPr>
      </w:pPr>
      <w:r>
        <w:rPr>
          <w:rFonts w:ascii="Arial"/>
          <w:spacing w:val="-9"/>
          <w:w w:val="95"/>
          <w:sz w:val="11"/>
        </w:rPr>
        <w:t>10000</w:t>
      </w:r>
    </w:p>
    <w:p>
      <w:pPr>
        <w:pStyle w:val="BodyText"/>
        <w:spacing w:before="10"/>
        <w:rPr>
          <w:rFonts w:ascii="Arial"/>
          <w:sz w:val="14"/>
        </w:rPr>
      </w:pPr>
    </w:p>
    <w:p>
      <w:pPr>
        <w:spacing w:before="0"/>
        <w:ind w:left="281" w:right="-12" w:firstLine="0"/>
        <w:jc w:val="left"/>
        <w:rPr>
          <w:rFonts w:ascii="Arial"/>
          <w:sz w:val="11"/>
        </w:rPr>
      </w:pPr>
      <w:r>
        <w:rPr>
          <w:rFonts w:ascii="Arial"/>
          <w:spacing w:val="-9"/>
          <w:w w:val="95"/>
          <w:sz w:val="11"/>
        </w:rPr>
        <w:t>8000</w:t>
      </w:r>
    </w:p>
    <w:p>
      <w:pPr>
        <w:pStyle w:val="BodyText"/>
        <w:spacing w:before="8"/>
        <w:rPr>
          <w:rFonts w:ascii="Arial"/>
          <w:sz w:val="14"/>
        </w:rPr>
      </w:pPr>
    </w:p>
    <w:p>
      <w:pPr>
        <w:spacing w:before="0"/>
        <w:ind w:left="281" w:right="-12" w:firstLine="0"/>
        <w:jc w:val="left"/>
        <w:rPr>
          <w:rFonts w:ascii="Arial"/>
          <w:sz w:val="11"/>
        </w:rPr>
      </w:pPr>
      <w:r>
        <w:rPr>
          <w:rFonts w:ascii="Arial"/>
          <w:spacing w:val="-9"/>
          <w:w w:val="95"/>
          <w:sz w:val="11"/>
        </w:rPr>
        <w:t>6000</w:t>
      </w:r>
    </w:p>
    <w:p>
      <w:pPr>
        <w:pStyle w:val="BodyText"/>
        <w:spacing w:before="10"/>
        <w:rPr>
          <w:rFonts w:ascii="Arial"/>
          <w:sz w:val="14"/>
        </w:rPr>
      </w:pPr>
    </w:p>
    <w:p>
      <w:pPr>
        <w:spacing w:before="0"/>
        <w:ind w:left="281" w:right="-12" w:firstLine="0"/>
        <w:jc w:val="left"/>
        <w:rPr>
          <w:rFonts w:ascii="Arial"/>
          <w:sz w:val="11"/>
        </w:rPr>
      </w:pPr>
      <w:r>
        <w:rPr>
          <w:rFonts w:ascii="Arial"/>
          <w:spacing w:val="-9"/>
          <w:w w:val="95"/>
          <w:sz w:val="11"/>
        </w:rPr>
        <w:t>4000</w:t>
      </w:r>
    </w:p>
    <w:p>
      <w:pPr>
        <w:pStyle w:val="BodyText"/>
        <w:rPr>
          <w:rFonts w:ascii="Arial"/>
          <w:sz w:val="12"/>
        </w:rPr>
      </w:pPr>
      <w:r>
        <w:rPr/>
        <w:br w:type="column"/>
      </w:r>
      <w:r>
        <w:rPr>
          <w:rFonts w:ascii="Arial"/>
          <w:sz w:val="12"/>
        </w:rPr>
      </w: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spacing w:before="9"/>
        <w:rPr>
          <w:rFonts w:ascii="Arial"/>
          <w:sz w:val="16"/>
        </w:rPr>
      </w:pPr>
    </w:p>
    <w:p>
      <w:pPr>
        <w:spacing w:before="0"/>
        <w:ind w:left="-20" w:right="0" w:firstLine="0"/>
        <w:jc w:val="left"/>
        <w:rPr>
          <w:rFonts w:ascii="Arial"/>
          <w:sz w:val="11"/>
        </w:rPr>
      </w:pPr>
      <w:r>
        <w:rPr>
          <w:rFonts w:ascii="Arial"/>
          <w:sz w:val="11"/>
        </w:rPr>
        <w:t>92       94       96       98       00       02       04       06       08    10</w:t>
      </w:r>
    </w:p>
    <w:p>
      <w:pPr>
        <w:spacing w:after="0"/>
        <w:jc w:val="left"/>
        <w:rPr>
          <w:rFonts w:ascii="Arial"/>
          <w:sz w:val="11"/>
        </w:rPr>
        <w:sectPr>
          <w:type w:val="continuous"/>
          <w:pgSz w:w="12250" w:h="15850"/>
          <w:pgMar w:top="1500" w:bottom="280" w:left="1720" w:right="900"/>
          <w:cols w:num="4" w:equalWidth="0">
            <w:col w:w="1807" w:space="40"/>
            <w:col w:w="2657" w:space="40"/>
            <w:col w:w="486" w:space="40"/>
            <w:col w:w="4560"/>
          </w:cols>
        </w:sectPr>
      </w:pPr>
    </w:p>
    <w:p>
      <w:pPr>
        <w:pStyle w:val="BodyText"/>
        <w:spacing w:before="9"/>
        <w:rPr>
          <w:rFonts w:ascii="Arial"/>
          <w:sz w:val="17"/>
        </w:rPr>
      </w:pPr>
    </w:p>
    <w:p>
      <w:pPr>
        <w:spacing w:before="80"/>
        <w:ind w:left="690" w:right="1489" w:firstLine="0"/>
        <w:jc w:val="left"/>
        <w:rPr>
          <w:sz w:val="16"/>
        </w:rPr>
      </w:pPr>
      <w:r>
        <w:rPr>
          <w:sz w:val="16"/>
        </w:rPr>
        <w:t>Fuente: EIA, 2011.</w:t>
      </w:r>
    </w:p>
    <w:p>
      <w:pPr>
        <w:spacing w:after="0"/>
        <w:jc w:val="left"/>
        <w:rPr>
          <w:sz w:val="16"/>
        </w:rPr>
        <w:sectPr>
          <w:type w:val="continuous"/>
          <w:pgSz w:w="12250" w:h="15850"/>
          <w:pgMar w:top="1500" w:bottom="280" w:left="1720" w:right="900"/>
        </w:sectPr>
      </w:pPr>
    </w:p>
    <w:p>
      <w:pPr>
        <w:pStyle w:val="Heading4"/>
        <w:spacing w:before="55"/>
        <w:ind w:left="1244" w:right="1966" w:firstLine="0"/>
        <w:jc w:val="center"/>
      </w:pPr>
      <w:bookmarkStart w:name="_bookmark172" w:id="237"/>
      <w:bookmarkEnd w:id="237"/>
      <w:r>
        <w:rPr>
          <w:b w:val="0"/>
        </w:rPr>
      </w:r>
      <w:r>
        <w:rPr/>
        <w:t>Anexo 2.3.  Reserva de gas natural por regiones: 1992  -</w:t>
      </w:r>
      <w:r>
        <w:rPr>
          <w:spacing w:val="54"/>
        </w:rPr>
        <w:t> </w:t>
      </w:r>
      <w:r>
        <w:rPr/>
        <w:t>2010</w:t>
      </w:r>
    </w:p>
    <w:p>
      <w:pPr>
        <w:pStyle w:val="BodyText"/>
        <w:spacing w:before="96"/>
        <w:ind w:left="1244" w:right="1964"/>
        <w:jc w:val="center"/>
      </w:pPr>
      <w:r>
        <w:rPr/>
        <w:t>(En billones de pies cúbicos)</w:t>
      </w:r>
    </w:p>
    <w:p>
      <w:pPr>
        <w:pStyle w:val="BodyText"/>
        <w:rPr>
          <w:sz w:val="20"/>
        </w:rPr>
      </w:pPr>
    </w:p>
    <w:p>
      <w:pPr>
        <w:pStyle w:val="BodyText"/>
        <w:spacing w:before="10"/>
        <w:rPr>
          <w:sz w:val="12"/>
        </w:rPr>
      </w:pPr>
    </w:p>
    <w:p>
      <w:pPr>
        <w:tabs>
          <w:tab w:pos="4565" w:val="left" w:leader="none"/>
          <w:tab w:pos="7782" w:val="left" w:leader="none"/>
        </w:tabs>
        <w:spacing w:line="231" w:lineRule="exact"/>
        <w:ind w:left="1091" w:right="0" w:firstLine="0"/>
        <w:rPr>
          <w:sz w:val="20"/>
        </w:rPr>
      </w:pPr>
      <w:r>
        <w:rPr>
          <w:position w:val="-4"/>
          <w:sz w:val="20"/>
        </w:rPr>
        <w:pict>
          <v:group style="width:66.6pt;height:10.25pt;mso-position-horizontal-relative:char;mso-position-vertical-relative:line" coordorigin="0,0" coordsize="1332,205">
            <v:rect style="position:absolute;left:6;top:6;width:1320;height:194" filled="true" fillcolor="#ffffff" stroked="false">
              <v:fill type="solid"/>
            </v:rect>
            <v:shape style="position:absolute;left:6;top:6;width:1321;height:194" type="#_x0000_t202" filled="false" stroked="true" strokeweight=".531816pt" strokecolor="#000000">
              <v:textbox inset="0,0,0,0">
                <w:txbxContent>
                  <w:p>
                    <w:pPr>
                      <w:spacing w:before="31"/>
                      <w:ind w:left="48" w:right="0" w:firstLine="0"/>
                      <w:jc w:val="left"/>
                      <w:rPr>
                        <w:rFonts w:ascii="Arial"/>
                        <w:sz w:val="11"/>
                      </w:rPr>
                    </w:pPr>
                    <w:r>
                      <w:rPr>
                        <w:rFonts w:ascii="Arial"/>
                        <w:w w:val="95"/>
                        <w:sz w:val="11"/>
                      </w:rPr>
                      <w:t>RESERVAS MUNDIALES</w:t>
                    </w:r>
                  </w:p>
                </w:txbxContent>
              </v:textbox>
              <w10:wrap type="none"/>
            </v:shape>
          </v:group>
        </w:pict>
      </w:r>
      <w:r>
        <w:rPr>
          <w:position w:val="-4"/>
          <w:sz w:val="20"/>
        </w:rPr>
      </w:r>
      <w:r>
        <w:rPr>
          <w:position w:val="-4"/>
          <w:sz w:val="20"/>
        </w:rPr>
        <w:tab/>
      </w:r>
      <w:r>
        <w:rPr>
          <w:position w:val="-1"/>
          <w:sz w:val="20"/>
        </w:rPr>
        <w:pict>
          <v:group style="width:27.65pt;height:10.25pt;mso-position-horizontal-relative:char;mso-position-vertical-relative:line" coordorigin="0,0" coordsize="553,205">
            <v:rect style="position:absolute;left:6;top:6;width:541;height:194" filled="true" fillcolor="#ffffff" stroked="false">
              <v:fill type="solid"/>
            </v:rect>
            <v:shape style="position:absolute;left:6;top:6;width:542;height:194" type="#_x0000_t202" filled="false" stroked="true" strokeweight=".529869pt" strokecolor="#000000">
              <v:textbox inset="0,0,0,0">
                <w:txbxContent>
                  <w:p>
                    <w:pPr>
                      <w:spacing w:before="31"/>
                      <w:ind w:left="49" w:right="0" w:firstLine="0"/>
                      <w:jc w:val="left"/>
                      <w:rPr>
                        <w:rFonts w:ascii="Arial"/>
                        <w:sz w:val="11"/>
                      </w:rPr>
                    </w:pPr>
                    <w:r>
                      <w:rPr>
                        <w:rFonts w:ascii="Arial"/>
                        <w:sz w:val="11"/>
                      </w:rPr>
                      <w:t>EUROPA</w:t>
                    </w:r>
                  </w:p>
                </w:txbxContent>
              </v:textbox>
              <w10:wrap type="none"/>
            </v:shape>
          </v:group>
        </w:pict>
      </w:r>
      <w:r>
        <w:rPr>
          <w:position w:val="-1"/>
          <w:sz w:val="20"/>
        </w:rPr>
      </w:r>
      <w:r>
        <w:rPr>
          <w:position w:val="-1"/>
          <w:sz w:val="20"/>
        </w:rPr>
        <w:tab/>
      </w:r>
      <w:r>
        <w:rPr>
          <w:position w:val="-1"/>
          <w:sz w:val="20"/>
        </w:rPr>
        <w:pict>
          <v:group style="width:28.2pt;height:10.25pt;mso-position-horizontal-relative:char;mso-position-vertical-relative:line" coordorigin="0,0" coordsize="564,205">
            <v:rect style="position:absolute;left:6;top:6;width:553;height:194" filled="true" fillcolor="#ffffff" stroked="false">
              <v:fill type="solid"/>
            </v:rect>
            <v:shape style="position:absolute;left:6;top:6;width:553;height:194" type="#_x0000_t202" filled="false" stroked="true" strokeweight=".52996pt" strokecolor="#000000">
              <v:textbox inset="0,0,0,0">
                <w:txbxContent>
                  <w:p>
                    <w:pPr>
                      <w:spacing w:before="31"/>
                      <w:ind w:left="48" w:right="-5" w:firstLine="0"/>
                      <w:jc w:val="left"/>
                      <w:rPr>
                        <w:rFonts w:ascii="Arial"/>
                        <w:sz w:val="11"/>
                      </w:rPr>
                    </w:pPr>
                    <w:r>
                      <w:rPr>
                        <w:rFonts w:ascii="Arial"/>
                        <w:sz w:val="11"/>
                      </w:rPr>
                      <w:t>EURASIA</w:t>
                    </w:r>
                  </w:p>
                </w:txbxContent>
              </v:textbox>
              <w10:wrap type="none"/>
            </v:shape>
          </v:group>
        </w:pict>
      </w:r>
      <w:r>
        <w:rPr>
          <w:position w:val="-1"/>
          <w:sz w:val="20"/>
        </w:rPr>
      </w:r>
    </w:p>
    <w:p>
      <w:pPr>
        <w:spacing w:after="0" w:line="231" w:lineRule="exact"/>
        <w:rPr>
          <w:sz w:val="20"/>
        </w:rPr>
        <w:sectPr>
          <w:pgSz w:w="12250" w:h="15850"/>
          <w:pgMar w:header="0" w:footer="977" w:top="1360" w:bottom="1220" w:left="1720" w:right="1000"/>
        </w:sectPr>
      </w:pPr>
    </w:p>
    <w:p>
      <w:pPr>
        <w:spacing w:before="27"/>
        <w:ind w:left="231" w:right="-14" w:firstLine="0"/>
        <w:jc w:val="left"/>
        <w:rPr>
          <w:rFonts w:ascii="Arial"/>
          <w:sz w:val="11"/>
        </w:rPr>
      </w:pPr>
      <w:r>
        <w:rPr/>
        <w:pict>
          <v:shape style="position:absolute;margin-left:140.84314pt;margin-top:-9.974722pt;width:66.05pt;height:9.7pt;mso-position-horizontal-relative:page;mso-position-vertical-relative:paragraph;z-index:-554896" type="#_x0000_t202" filled="false" stroked="false">
            <v:textbox inset="0,0,0,0">
              <w:txbxContent>
                <w:p>
                  <w:pPr>
                    <w:spacing w:line="164" w:lineRule="exact" w:before="0"/>
                    <w:ind w:left="490" w:right="0" w:firstLine="0"/>
                    <w:jc w:val="left"/>
                    <w:rPr>
                      <w:rFonts w:ascii="Arial"/>
                      <w:sz w:val="15"/>
                    </w:rPr>
                  </w:pPr>
                  <w:r>
                    <w:rPr>
                      <w:rFonts w:ascii="Arial"/>
                      <w:sz w:val="15"/>
                    </w:rPr>
                    <w:t>MUND</w:t>
                  </w:r>
                </w:p>
              </w:txbxContent>
            </v:textbox>
            <w10:wrap type="none"/>
          </v:shape>
        </w:pict>
      </w:r>
      <w:r>
        <w:rPr/>
        <w:pict>
          <v:shape style="position:absolute;margin-left:314.537384pt;margin-top:-11.297012pt;width:27.1pt;height:11.2pt;mso-position-horizontal-relative:page;mso-position-vertical-relative:paragraph;z-index:-554872" type="#_x0000_t202" filled="false" stroked="false">
            <v:textbox inset="0,0,0,0">
              <w:txbxContent>
                <w:p>
                  <w:pPr>
                    <w:spacing w:line="169" w:lineRule="exact" w:before="55"/>
                    <w:ind w:left="174" w:right="0" w:firstLine="0"/>
                    <w:jc w:val="left"/>
                    <w:rPr>
                      <w:rFonts w:ascii="Arial"/>
                      <w:sz w:val="15"/>
                    </w:rPr>
                  </w:pPr>
                  <w:r>
                    <w:rPr>
                      <w:rFonts w:ascii="Arial"/>
                      <w:w w:val="94"/>
                      <w:sz w:val="15"/>
                    </w:rPr>
                    <w:t>E</w:t>
                  </w:r>
                </w:p>
              </w:txbxContent>
            </v:textbox>
            <w10:wrap type="none"/>
          </v:shape>
        </w:pict>
      </w:r>
      <w:r>
        <w:rPr/>
        <w:pict>
          <v:shape style="position:absolute;margin-left:475.401337pt;margin-top:-11.297012pt;width:27.65pt;height:10.5pt;mso-position-horizontal-relative:page;mso-position-vertical-relative:paragraph;z-index:-554848" type="#_x0000_t202" filled="false" stroked="false">
            <v:textbox inset="0,0,0,0">
              <w:txbxContent>
                <w:p>
                  <w:pPr>
                    <w:spacing w:line="169" w:lineRule="exact" w:before="41"/>
                    <w:ind w:left="114" w:right="-5" w:firstLine="0"/>
                    <w:jc w:val="left"/>
                    <w:rPr>
                      <w:rFonts w:ascii="Arial"/>
                      <w:sz w:val="15"/>
                    </w:rPr>
                  </w:pPr>
                  <w:r>
                    <w:rPr>
                      <w:rFonts w:ascii="Arial"/>
                      <w:sz w:val="15"/>
                    </w:rPr>
                    <w:t>EURA</w:t>
                  </w:r>
                </w:p>
              </w:txbxContent>
            </v:textbox>
            <w10:wrap type="none"/>
          </v:shape>
        </w:pict>
      </w:r>
      <w:r>
        <w:rPr>
          <w:rFonts w:ascii="Arial"/>
          <w:spacing w:val="-9"/>
          <w:w w:val="95"/>
          <w:sz w:val="11"/>
        </w:rPr>
        <w:t>6400</w:t>
      </w:r>
    </w:p>
    <w:p>
      <w:pPr>
        <w:pStyle w:val="BodyText"/>
        <w:rPr>
          <w:rFonts w:ascii="Arial"/>
          <w:sz w:val="10"/>
        </w:rPr>
      </w:pPr>
    </w:p>
    <w:p>
      <w:pPr>
        <w:pStyle w:val="BodyText"/>
        <w:spacing w:before="11"/>
        <w:rPr>
          <w:rFonts w:ascii="Arial"/>
          <w:sz w:val="7"/>
        </w:rPr>
      </w:pPr>
    </w:p>
    <w:p>
      <w:pPr>
        <w:spacing w:before="0"/>
        <w:ind w:left="231" w:right="-14" w:firstLine="0"/>
        <w:jc w:val="left"/>
        <w:rPr>
          <w:rFonts w:ascii="Arial"/>
          <w:sz w:val="11"/>
        </w:rPr>
      </w:pPr>
      <w:r>
        <w:rPr>
          <w:rFonts w:ascii="Arial"/>
          <w:spacing w:val="-9"/>
          <w:w w:val="95"/>
          <w:sz w:val="11"/>
        </w:rPr>
        <w:t>6000</w:t>
      </w:r>
    </w:p>
    <w:p>
      <w:pPr>
        <w:pStyle w:val="BodyText"/>
        <w:rPr>
          <w:rFonts w:ascii="Arial"/>
          <w:sz w:val="10"/>
        </w:rPr>
      </w:pPr>
    </w:p>
    <w:p>
      <w:pPr>
        <w:pStyle w:val="BodyText"/>
        <w:rPr>
          <w:rFonts w:ascii="Arial"/>
          <w:sz w:val="8"/>
        </w:rPr>
      </w:pPr>
    </w:p>
    <w:p>
      <w:pPr>
        <w:spacing w:before="0"/>
        <w:ind w:left="231" w:right="-14" w:firstLine="0"/>
        <w:jc w:val="left"/>
        <w:rPr>
          <w:rFonts w:ascii="Arial"/>
          <w:sz w:val="11"/>
        </w:rPr>
      </w:pPr>
      <w:r>
        <w:rPr>
          <w:rFonts w:ascii="Arial"/>
          <w:spacing w:val="-9"/>
          <w:w w:val="95"/>
          <w:sz w:val="11"/>
        </w:rPr>
        <w:t>5600</w:t>
      </w:r>
    </w:p>
    <w:p>
      <w:pPr>
        <w:pStyle w:val="BodyText"/>
        <w:rPr>
          <w:rFonts w:ascii="Arial"/>
          <w:sz w:val="10"/>
        </w:rPr>
      </w:pPr>
    </w:p>
    <w:p>
      <w:pPr>
        <w:pStyle w:val="BodyText"/>
        <w:spacing w:before="1"/>
        <w:rPr>
          <w:rFonts w:ascii="Arial"/>
          <w:sz w:val="8"/>
        </w:rPr>
      </w:pPr>
    </w:p>
    <w:p>
      <w:pPr>
        <w:spacing w:before="0"/>
        <w:ind w:left="231" w:right="-14" w:firstLine="0"/>
        <w:jc w:val="left"/>
        <w:rPr>
          <w:rFonts w:ascii="Arial"/>
          <w:sz w:val="11"/>
        </w:rPr>
      </w:pPr>
      <w:r>
        <w:rPr>
          <w:rFonts w:ascii="Arial"/>
          <w:spacing w:val="-9"/>
          <w:w w:val="95"/>
          <w:sz w:val="11"/>
        </w:rPr>
        <w:t>5200</w:t>
      </w:r>
    </w:p>
    <w:p>
      <w:pPr>
        <w:pStyle w:val="BodyText"/>
        <w:rPr>
          <w:rFonts w:ascii="Arial"/>
          <w:sz w:val="10"/>
        </w:rPr>
      </w:pPr>
    </w:p>
    <w:p>
      <w:pPr>
        <w:pStyle w:val="BodyText"/>
        <w:spacing w:before="11"/>
        <w:rPr>
          <w:rFonts w:ascii="Arial"/>
          <w:sz w:val="7"/>
        </w:rPr>
      </w:pPr>
    </w:p>
    <w:p>
      <w:pPr>
        <w:spacing w:before="0"/>
        <w:ind w:left="231" w:right="-14" w:firstLine="0"/>
        <w:jc w:val="left"/>
        <w:rPr>
          <w:rFonts w:ascii="Arial"/>
          <w:sz w:val="11"/>
        </w:rPr>
      </w:pPr>
      <w:r>
        <w:rPr>
          <w:rFonts w:ascii="Arial"/>
          <w:spacing w:val="-9"/>
          <w:w w:val="95"/>
          <w:sz w:val="11"/>
        </w:rPr>
        <w:t>4800</w:t>
      </w:r>
    </w:p>
    <w:p>
      <w:pPr>
        <w:spacing w:before="64"/>
        <w:ind w:left="231" w:right="-15" w:firstLine="0"/>
        <w:jc w:val="left"/>
        <w:rPr>
          <w:rFonts w:ascii="Arial"/>
          <w:sz w:val="11"/>
        </w:rPr>
      </w:pPr>
      <w:r>
        <w:rPr/>
        <w:br w:type="column"/>
      </w:r>
      <w:r>
        <w:rPr>
          <w:rFonts w:ascii="Arial"/>
          <w:spacing w:val="-9"/>
          <w:w w:val="95"/>
          <w:sz w:val="11"/>
        </w:rPr>
        <w:t>220</w:t>
      </w:r>
    </w:p>
    <w:p>
      <w:pPr>
        <w:pStyle w:val="BodyText"/>
        <w:rPr>
          <w:rFonts w:ascii="Arial"/>
          <w:sz w:val="10"/>
        </w:rPr>
      </w:pPr>
    </w:p>
    <w:p>
      <w:pPr>
        <w:pStyle w:val="BodyText"/>
        <w:spacing w:before="11"/>
        <w:rPr>
          <w:rFonts w:ascii="Arial"/>
          <w:sz w:val="7"/>
        </w:rPr>
      </w:pPr>
    </w:p>
    <w:p>
      <w:pPr>
        <w:spacing w:before="0"/>
        <w:ind w:left="231" w:right="-15" w:firstLine="0"/>
        <w:jc w:val="left"/>
        <w:rPr>
          <w:rFonts w:ascii="Arial"/>
          <w:sz w:val="11"/>
        </w:rPr>
      </w:pPr>
      <w:r>
        <w:rPr/>
        <w:pict>
          <v:group style="position:absolute;margin-left:108.355469pt;margin-top:-15.032836pt;width:132.050pt;height:104.45pt;mso-position-horizontal-relative:page;mso-position-vertical-relative:paragraph;z-index:-554536" coordorigin="2167,-301" coordsize="2641,2089">
            <v:shape style="position:absolute;left:745;top:1168;width:83;height:2621" coordorigin="745,1168" coordsize="83,2621" path="m2173,1721l2217,1721m2225,1738l2225,1783m2225,1738l2225,1783m2173,1386l2217,1386m2173,1052l2217,1052m2173,719l2217,719m2173,384l2217,384m2173,50l2217,50e" filled="false" stroked="true" strokeweight=".520925pt" strokecolor="#000000">
              <v:path arrowok="t"/>
            </v:shape>
            <v:shape style="position:absolute;left:2225;top:-191;width:2563;height:1599" coordorigin="2225,-191" coordsize="2563,1599" path="m2225,1407l2367,984,2509,872,2651,899,2793,938,2937,929,3079,814,3221,765,3363,751,3507,639,3649,500,3791,461,3932,-18,4074,1,4218,-59,4360,-129,4502,-133,4644,-191,4788,-191e" filled="false" stroked="true" strokeweight=".605596pt" strokecolor="#0000ff">
              <v:path arrowok="t"/>
            </v:shape>
            <v:shape style="position:absolute;left:745;top:664;width:4132;height:3125" coordorigin="745,664" coordsize="4132,3125" path="m2173,-283l2217,-283m2367,1738l2367,1783m2509,1738l2509,1783m2509,1738l2509,1783m2651,1738l2651,1783m2793,1738l2793,1783m2793,1738l2793,1783m2937,1738l2937,1783m3079,1738l3079,1783m3079,1738l3079,1783m3221,1738l3221,1783m3363,1738l3363,1783m3363,1738l3363,1783m3507,1738l3507,1783m3649,1738l3649,1783m3649,1738l3649,1783m3791,1738l3791,1783m3932,1738l3932,1783m3932,1738l3932,1783m4074,1738l4074,1783m4218,1738l4218,1783m4218,1738l4218,1783m4360,1738l4360,1783m4502,1738l4502,1783m4502,1738l4502,1783m4644,1738l4644,1783m4788,1738l4788,1783m4788,1738l4788,1783e" filled="false" stroked="true" strokeweight=".520925pt" strokecolor="#000000">
              <v:path arrowok="t"/>
            </v:shape>
            <v:rect style="position:absolute;left:2217;top:-292;width:2581;height:2023" filled="false" stroked="true" strokeweight=".872755pt" strokecolor="#000000"/>
            <w10:wrap type="none"/>
          </v:group>
        </w:pict>
      </w:r>
      <w:r>
        <w:rPr>
          <w:rFonts w:ascii="Arial"/>
          <w:spacing w:val="-9"/>
          <w:w w:val="95"/>
          <w:sz w:val="11"/>
        </w:rPr>
        <w:t>210</w:t>
      </w:r>
    </w:p>
    <w:p>
      <w:pPr>
        <w:pStyle w:val="BodyText"/>
        <w:rPr>
          <w:rFonts w:ascii="Arial"/>
          <w:sz w:val="10"/>
        </w:rPr>
      </w:pPr>
    </w:p>
    <w:p>
      <w:pPr>
        <w:pStyle w:val="BodyText"/>
        <w:rPr>
          <w:rFonts w:ascii="Arial"/>
          <w:sz w:val="8"/>
        </w:rPr>
      </w:pPr>
    </w:p>
    <w:p>
      <w:pPr>
        <w:spacing w:before="0"/>
        <w:ind w:left="231" w:right="-15" w:firstLine="0"/>
        <w:jc w:val="left"/>
        <w:rPr>
          <w:rFonts w:ascii="Arial"/>
          <w:sz w:val="11"/>
        </w:rPr>
      </w:pPr>
      <w:r>
        <w:rPr>
          <w:rFonts w:ascii="Arial"/>
          <w:spacing w:val="-9"/>
          <w:w w:val="95"/>
          <w:sz w:val="11"/>
        </w:rPr>
        <w:t>200</w:t>
      </w:r>
    </w:p>
    <w:p>
      <w:pPr>
        <w:pStyle w:val="BodyText"/>
        <w:rPr>
          <w:rFonts w:ascii="Arial"/>
          <w:sz w:val="10"/>
        </w:rPr>
      </w:pPr>
    </w:p>
    <w:p>
      <w:pPr>
        <w:pStyle w:val="BodyText"/>
        <w:spacing w:before="1"/>
        <w:rPr>
          <w:rFonts w:ascii="Arial"/>
          <w:sz w:val="8"/>
        </w:rPr>
      </w:pPr>
    </w:p>
    <w:p>
      <w:pPr>
        <w:spacing w:before="0"/>
        <w:ind w:left="231" w:right="-15" w:firstLine="0"/>
        <w:jc w:val="left"/>
        <w:rPr>
          <w:rFonts w:ascii="Arial"/>
          <w:sz w:val="11"/>
        </w:rPr>
      </w:pPr>
      <w:r>
        <w:rPr>
          <w:rFonts w:ascii="Arial"/>
          <w:spacing w:val="-9"/>
          <w:w w:val="95"/>
          <w:sz w:val="11"/>
        </w:rPr>
        <w:t>190</w:t>
      </w:r>
    </w:p>
    <w:p>
      <w:pPr>
        <w:pStyle w:val="BodyText"/>
        <w:rPr>
          <w:rFonts w:ascii="Arial"/>
          <w:sz w:val="10"/>
        </w:rPr>
      </w:pPr>
    </w:p>
    <w:p>
      <w:pPr>
        <w:pStyle w:val="BodyText"/>
        <w:spacing w:before="11"/>
        <w:rPr>
          <w:rFonts w:ascii="Arial"/>
          <w:sz w:val="7"/>
        </w:rPr>
      </w:pPr>
    </w:p>
    <w:p>
      <w:pPr>
        <w:spacing w:before="0"/>
        <w:ind w:left="231" w:right="-15" w:firstLine="0"/>
        <w:jc w:val="left"/>
        <w:rPr>
          <w:rFonts w:ascii="Arial"/>
          <w:sz w:val="11"/>
        </w:rPr>
      </w:pPr>
      <w:r>
        <w:rPr>
          <w:rFonts w:ascii="Arial"/>
          <w:spacing w:val="-9"/>
          <w:w w:val="95"/>
          <w:sz w:val="11"/>
        </w:rPr>
        <w:t>180</w:t>
      </w:r>
    </w:p>
    <w:p>
      <w:pPr>
        <w:spacing w:before="50"/>
        <w:ind w:left="231" w:right="0" w:firstLine="0"/>
        <w:jc w:val="left"/>
        <w:rPr>
          <w:rFonts w:ascii="Arial"/>
          <w:sz w:val="11"/>
        </w:rPr>
      </w:pPr>
      <w:r>
        <w:rPr/>
        <w:br w:type="column"/>
      </w:r>
      <w:r>
        <w:rPr>
          <w:rFonts w:ascii="Arial"/>
          <w:sz w:val="11"/>
        </w:rPr>
        <w:t>2200</w:t>
      </w:r>
    </w:p>
    <w:p>
      <w:pPr>
        <w:pStyle w:val="BodyText"/>
        <w:rPr>
          <w:rFonts w:ascii="Arial"/>
          <w:sz w:val="10"/>
        </w:rPr>
      </w:pPr>
    </w:p>
    <w:p>
      <w:pPr>
        <w:pStyle w:val="BodyText"/>
        <w:spacing w:before="9"/>
        <w:rPr>
          <w:rFonts w:ascii="Arial"/>
          <w:sz w:val="13"/>
        </w:rPr>
      </w:pPr>
    </w:p>
    <w:p>
      <w:pPr>
        <w:spacing w:before="0"/>
        <w:ind w:left="231" w:right="0" w:firstLine="0"/>
        <w:jc w:val="left"/>
        <w:rPr>
          <w:rFonts w:ascii="Arial"/>
          <w:sz w:val="11"/>
        </w:rPr>
      </w:pPr>
      <w:r>
        <w:rPr/>
        <w:pict>
          <v:group style="position:absolute;margin-left:423.473663pt;margin-top:-16.533648pt;width:132.050pt;height:104.45pt;mso-position-horizontal-relative:page;mso-position-vertical-relative:paragraph;z-index:-554632" coordorigin="8469,-331" coordsize="2641,2089">
            <v:shape style="position:absolute;left:10701;top:1251;width:83;height:2519" coordorigin="10701,1251" coordsize="83,2519" path="m8475,1689l8519,1689m8528,1708l8528,1753m8528,1708l8528,1753m8475,1289l8519,1289m8475,888l8519,888m8475,488l8519,488m8475,87l8519,87e" filled="false" stroked="true" strokeweight=".520925pt" strokecolor="#000000">
              <v:path arrowok="t"/>
            </v:shape>
            <v:shape style="position:absolute;left:8528;top:-174;width:2563;height:1664" coordorigin="8528,-174" coordsize="2563,1664" path="m8528,1490l8670,721,8812,500,8954,580,9095,580,9809,580,9951,661,10093,676,10235,676,10377,676,10521,676,10663,428,10805,428,10947,513,11090,-174e" filled="false" stroked="true" strokeweight=".605168pt" strokecolor="#0000ff">
              <v:path arrowok="t"/>
            </v:shape>
            <v:shape style="position:absolute;left:10701;top:646;width:4132;height:3125" coordorigin="10701,646" coordsize="4132,3125" path="m8475,-313l8519,-313m8670,1708l8670,1753m8812,1708l8812,1753m8812,1708l8812,1753m8954,1708l8954,1753m9095,1708l9095,1753m9095,1708l9095,1753m9239,1708l9239,1753m9381,1708l9381,1753m9381,1708l9381,1753m9523,1708l9523,1753m9665,1708l9665,1753m9665,1708l9665,1753m9809,1708l9809,1753m9951,1708l9951,1753m9951,1708l9951,1753m10093,1708l10093,1753m10235,1708l10235,1753m10235,1708l10235,1753m10377,1708l10377,1753m10521,1708l10521,1753m10521,1708l10521,1753m10663,1708l10663,1753m10805,1708l10805,1753m10805,1708l10805,1753m10947,1708l10947,1753m11090,1708l11090,1753m11090,1708l11090,1753e" filled="false" stroked="true" strokeweight=".520925pt" strokecolor="#000000">
              <v:path arrowok="t"/>
            </v:shape>
            <v:rect style="position:absolute;left:8519;top:-322;width:2581;height:2023" filled="false" stroked="true" strokeweight=".872755pt" strokecolor="#000000"/>
            <w10:wrap type="none"/>
          </v:group>
        </w:pict>
      </w:r>
      <w:r>
        <w:rPr>
          <w:rFonts w:ascii="Arial"/>
          <w:sz w:val="11"/>
        </w:rPr>
        <w:t>2100</w:t>
      </w:r>
    </w:p>
    <w:p>
      <w:pPr>
        <w:pStyle w:val="BodyText"/>
        <w:rPr>
          <w:rFonts w:ascii="Arial"/>
          <w:sz w:val="10"/>
        </w:rPr>
      </w:pPr>
    </w:p>
    <w:p>
      <w:pPr>
        <w:pStyle w:val="BodyText"/>
        <w:spacing w:before="9"/>
        <w:rPr>
          <w:rFonts w:ascii="Arial"/>
          <w:sz w:val="13"/>
        </w:rPr>
      </w:pPr>
    </w:p>
    <w:p>
      <w:pPr>
        <w:spacing w:before="0"/>
        <w:ind w:left="231" w:right="0" w:firstLine="0"/>
        <w:jc w:val="left"/>
        <w:rPr>
          <w:rFonts w:ascii="Arial"/>
          <w:sz w:val="11"/>
        </w:rPr>
      </w:pPr>
      <w:r>
        <w:rPr>
          <w:rFonts w:ascii="Arial"/>
          <w:sz w:val="11"/>
        </w:rPr>
        <w:t>2000</w:t>
      </w:r>
    </w:p>
    <w:p>
      <w:pPr>
        <w:pStyle w:val="BodyText"/>
        <w:rPr>
          <w:rFonts w:ascii="Arial"/>
          <w:sz w:val="10"/>
        </w:rPr>
      </w:pPr>
    </w:p>
    <w:p>
      <w:pPr>
        <w:pStyle w:val="BodyText"/>
        <w:spacing w:before="9"/>
        <w:rPr>
          <w:rFonts w:ascii="Arial"/>
          <w:sz w:val="13"/>
        </w:rPr>
      </w:pPr>
    </w:p>
    <w:p>
      <w:pPr>
        <w:spacing w:before="0"/>
        <w:ind w:left="231" w:right="0" w:firstLine="0"/>
        <w:jc w:val="left"/>
        <w:rPr>
          <w:rFonts w:ascii="Arial"/>
          <w:sz w:val="11"/>
        </w:rPr>
      </w:pPr>
      <w:r>
        <w:rPr>
          <w:rFonts w:ascii="Arial"/>
          <w:sz w:val="11"/>
        </w:rPr>
        <w:t>1900</w:t>
      </w:r>
    </w:p>
    <w:p>
      <w:pPr>
        <w:spacing w:after="0"/>
        <w:jc w:val="left"/>
        <w:rPr>
          <w:rFonts w:ascii="Arial"/>
          <w:sz w:val="11"/>
        </w:rPr>
        <w:sectPr>
          <w:type w:val="continuous"/>
          <w:pgSz w:w="12250" w:h="15850"/>
          <w:pgMar w:top="1500" w:bottom="280" w:left="1720" w:right="1000"/>
          <w:cols w:num="3" w:equalWidth="0">
            <w:col w:w="434" w:space="2621"/>
            <w:col w:w="384" w:space="2864"/>
            <w:col w:w="3227"/>
          </w:cols>
        </w:sectPr>
      </w:pPr>
    </w:p>
    <w:p>
      <w:pPr>
        <w:pStyle w:val="BodyText"/>
        <w:spacing w:before="9"/>
        <w:rPr>
          <w:rFonts w:ascii="Arial"/>
          <w:sz w:val="14"/>
        </w:rPr>
      </w:pPr>
    </w:p>
    <w:p>
      <w:pPr>
        <w:spacing w:before="0"/>
        <w:ind w:left="231" w:right="-14" w:firstLine="0"/>
        <w:jc w:val="left"/>
        <w:rPr>
          <w:rFonts w:ascii="Arial"/>
          <w:sz w:val="11"/>
        </w:rPr>
      </w:pPr>
      <w:r>
        <w:rPr>
          <w:rFonts w:ascii="Arial"/>
          <w:spacing w:val="-9"/>
          <w:w w:val="95"/>
          <w:sz w:val="11"/>
        </w:rPr>
        <w:t>4400</w:t>
      </w:r>
    </w:p>
    <w:p>
      <w:pPr>
        <w:pStyle w:val="BodyText"/>
        <w:rPr>
          <w:rFonts w:ascii="Arial"/>
          <w:sz w:val="10"/>
        </w:rPr>
      </w:pPr>
      <w:r>
        <w:rPr/>
        <w:br w:type="column"/>
      </w:r>
      <w:r>
        <w:rPr>
          <w:rFonts w:ascii="Arial"/>
          <w:sz w:val="10"/>
        </w:rPr>
      </w:r>
    </w:p>
    <w:p>
      <w:pPr>
        <w:pStyle w:val="BodyText"/>
        <w:spacing w:before="11"/>
        <w:rPr>
          <w:rFonts w:ascii="Arial"/>
          <w:sz w:val="7"/>
        </w:rPr>
      </w:pPr>
    </w:p>
    <w:p>
      <w:pPr>
        <w:spacing w:before="0"/>
        <w:ind w:left="231" w:right="-15" w:firstLine="0"/>
        <w:jc w:val="left"/>
        <w:rPr>
          <w:rFonts w:ascii="Arial"/>
          <w:sz w:val="11"/>
        </w:rPr>
      </w:pPr>
      <w:r>
        <w:rPr>
          <w:rFonts w:ascii="Arial"/>
          <w:spacing w:val="-9"/>
          <w:w w:val="95"/>
          <w:sz w:val="11"/>
        </w:rPr>
        <w:t>170</w:t>
      </w:r>
    </w:p>
    <w:p>
      <w:pPr>
        <w:pStyle w:val="BodyText"/>
        <w:spacing w:before="10"/>
        <w:rPr>
          <w:rFonts w:ascii="Arial"/>
          <w:sz w:val="10"/>
        </w:rPr>
      </w:pPr>
      <w:r>
        <w:rPr/>
        <w:br w:type="column"/>
      </w:r>
      <w:r>
        <w:rPr>
          <w:rFonts w:ascii="Arial"/>
          <w:sz w:val="10"/>
        </w:rPr>
      </w:r>
    </w:p>
    <w:p>
      <w:pPr>
        <w:spacing w:before="0"/>
        <w:ind w:left="231" w:right="0" w:firstLine="0"/>
        <w:jc w:val="left"/>
        <w:rPr>
          <w:rFonts w:ascii="Arial"/>
          <w:sz w:val="11"/>
        </w:rPr>
      </w:pPr>
      <w:r>
        <w:rPr>
          <w:rFonts w:ascii="Arial"/>
          <w:sz w:val="11"/>
        </w:rPr>
        <w:t>1800</w:t>
      </w:r>
    </w:p>
    <w:p>
      <w:pPr>
        <w:spacing w:after="0"/>
        <w:jc w:val="left"/>
        <w:rPr>
          <w:rFonts w:ascii="Arial"/>
          <w:sz w:val="11"/>
        </w:rPr>
        <w:sectPr>
          <w:type w:val="continuous"/>
          <w:pgSz w:w="12250" w:h="15850"/>
          <w:pgMar w:top="1500" w:bottom="280" w:left="1720" w:right="1000"/>
          <w:cols w:num="3" w:equalWidth="0">
            <w:col w:w="434" w:space="2621"/>
            <w:col w:w="384" w:space="2864"/>
            <w:col w:w="3227"/>
          </w:cols>
        </w:sectPr>
      </w:pPr>
    </w:p>
    <w:p>
      <w:pPr>
        <w:pStyle w:val="BodyText"/>
        <w:spacing w:before="10"/>
        <w:rPr>
          <w:rFonts w:ascii="Arial"/>
          <w:sz w:val="14"/>
        </w:rPr>
      </w:pPr>
    </w:p>
    <w:p>
      <w:pPr>
        <w:spacing w:before="0"/>
        <w:ind w:left="231" w:right="-14" w:firstLine="0"/>
        <w:jc w:val="left"/>
        <w:rPr>
          <w:rFonts w:ascii="Arial"/>
          <w:sz w:val="11"/>
        </w:rPr>
      </w:pPr>
      <w:r>
        <w:rPr>
          <w:rFonts w:ascii="Arial"/>
          <w:spacing w:val="-9"/>
          <w:w w:val="95"/>
          <w:sz w:val="11"/>
        </w:rPr>
        <w:t>4000</w:t>
      </w:r>
    </w:p>
    <w:p>
      <w:pPr>
        <w:pStyle w:val="BodyText"/>
        <w:rPr>
          <w:rFonts w:ascii="Arial"/>
          <w:sz w:val="10"/>
        </w:rPr>
      </w:pPr>
      <w:r>
        <w:rPr/>
        <w:br w:type="column"/>
      </w:r>
      <w:r>
        <w:rPr>
          <w:rFonts w:ascii="Arial"/>
          <w:sz w:val="10"/>
        </w:rPr>
      </w:r>
    </w:p>
    <w:p>
      <w:pPr>
        <w:pStyle w:val="BodyText"/>
        <w:rPr>
          <w:rFonts w:ascii="Arial"/>
          <w:sz w:val="10"/>
        </w:rPr>
      </w:pPr>
    </w:p>
    <w:p>
      <w:pPr>
        <w:pStyle w:val="BodyText"/>
        <w:spacing w:before="11"/>
        <w:rPr>
          <w:rFonts w:ascii="Arial"/>
          <w:sz w:val="7"/>
        </w:rPr>
      </w:pPr>
    </w:p>
    <w:p>
      <w:pPr>
        <w:spacing w:before="0"/>
        <w:ind w:left="-20" w:right="-5" w:firstLine="0"/>
        <w:jc w:val="left"/>
        <w:rPr>
          <w:rFonts w:ascii="Arial"/>
          <w:sz w:val="11"/>
        </w:rPr>
      </w:pPr>
      <w:r>
        <w:rPr>
          <w:rFonts w:ascii="Arial"/>
          <w:spacing w:val="-5"/>
          <w:sz w:val="11"/>
        </w:rPr>
        <w:t>92       94       96       98       00       02       04       06       08    </w:t>
      </w:r>
      <w:r>
        <w:rPr>
          <w:rFonts w:ascii="Arial"/>
          <w:spacing w:val="-9"/>
          <w:sz w:val="11"/>
        </w:rPr>
        <w:t>10</w:t>
      </w:r>
    </w:p>
    <w:p>
      <w:pPr>
        <w:pStyle w:val="BodyText"/>
        <w:rPr>
          <w:rFonts w:ascii="Arial"/>
          <w:sz w:val="10"/>
        </w:rPr>
      </w:pPr>
      <w:r>
        <w:rPr/>
        <w:br w:type="column"/>
      </w:r>
      <w:r>
        <w:rPr>
          <w:rFonts w:ascii="Arial"/>
          <w:sz w:val="10"/>
        </w:rPr>
      </w:r>
    </w:p>
    <w:p>
      <w:pPr>
        <w:pStyle w:val="BodyText"/>
        <w:spacing w:before="1"/>
        <w:rPr>
          <w:rFonts w:ascii="Arial"/>
          <w:sz w:val="8"/>
        </w:rPr>
      </w:pPr>
    </w:p>
    <w:p>
      <w:pPr>
        <w:spacing w:before="0"/>
        <w:ind w:left="127" w:right="-15" w:firstLine="0"/>
        <w:jc w:val="left"/>
        <w:rPr>
          <w:rFonts w:ascii="Arial"/>
          <w:sz w:val="11"/>
        </w:rPr>
      </w:pPr>
      <w:r>
        <w:rPr>
          <w:rFonts w:ascii="Arial"/>
          <w:spacing w:val="-9"/>
          <w:w w:val="95"/>
          <w:sz w:val="11"/>
        </w:rPr>
        <w:t>160</w:t>
      </w:r>
    </w:p>
    <w:p>
      <w:pPr>
        <w:pStyle w:val="BodyText"/>
        <w:rPr>
          <w:rFonts w:ascii="Arial"/>
          <w:sz w:val="10"/>
        </w:rPr>
      </w:pPr>
      <w:r>
        <w:rPr/>
        <w:br w:type="column"/>
      </w:r>
      <w:r>
        <w:rPr>
          <w:rFonts w:ascii="Arial"/>
          <w:sz w:val="10"/>
        </w:rPr>
      </w:r>
    </w:p>
    <w:p>
      <w:pPr>
        <w:pStyle w:val="BodyText"/>
        <w:rPr>
          <w:rFonts w:ascii="Arial"/>
          <w:sz w:val="10"/>
        </w:rPr>
      </w:pPr>
    </w:p>
    <w:p>
      <w:pPr>
        <w:pStyle w:val="BodyText"/>
        <w:spacing w:before="2"/>
        <w:rPr>
          <w:rFonts w:ascii="Arial"/>
          <w:sz w:val="11"/>
        </w:rPr>
      </w:pPr>
    </w:p>
    <w:p>
      <w:pPr>
        <w:spacing w:before="0"/>
        <w:ind w:left="-20" w:right="-5" w:firstLine="0"/>
        <w:jc w:val="left"/>
        <w:rPr>
          <w:rFonts w:ascii="Arial"/>
          <w:sz w:val="11"/>
        </w:rPr>
      </w:pPr>
      <w:r>
        <w:rPr/>
        <w:pict>
          <v:group style="position:absolute;margin-left:258.564819pt;margin-top:-104.214813pt;width:132pt;height:104.45pt;mso-position-horizontal-relative:page;mso-position-vertical-relative:paragraph;z-index:-554656" coordorigin="5171,-2084" coordsize="2640,2089">
            <v:shape style="position:absolute;left:5491;top:-596;width:83;height:2620" coordorigin="5491,-596" coordsize="83,2620" path="m5177,-63l5221,-63m5229,-45l5229,-1m5229,-45l5229,-1m5177,-398l5221,-398m5177,-731l5221,-731m5177,-1065l5221,-1065m5177,-1400l5221,-1400m5177,-1733l5221,-1733e" filled="false" stroked="true" strokeweight=".520925pt" strokecolor="#000000">
              <v:path arrowok="t"/>
            </v:shape>
            <v:shape style="position:absolute;left:5229;top:-1934;width:2563;height:1671" coordorigin="5229,-1934" coordsize="2563,1671" path="m5229,-1232l5371,-1834,5513,-1800,5655,-1934,5797,-1198,5941,-1098,6083,-1299,6225,-865,6367,-798,6511,-865,6653,-465,6795,-1500,6937,-1299,7079,-1198,7222,-1433,7364,-731,7506,-465,7649,-364,7792,-264e" filled="false" stroked="true" strokeweight=".605122pt" strokecolor="#0000ff">
              <v:path arrowok="t"/>
            </v:shape>
            <v:shape style="position:absolute;left:5491;top:-1100;width:4132;height:3124" coordorigin="5491,-1100" coordsize="4132,3124" path="m5177,-2066l5221,-2066m5371,-45l5371,-1m5513,-45l5513,-1m5513,-45l5513,-1m5655,-45l5655,-1m5797,-45l5797,-1m5797,-45l5797,-1m5941,-45l5941,-1m6083,-45l6083,-1m6083,-45l6083,-1m6225,-45l6225,-1m6367,-45l6367,-1m6367,-45l6367,-1m6511,-45l6511,-1m6653,-45l6653,-1m6653,-45l6653,-1m6795,-45l6795,-1m6937,-45l6937,-1m6937,-45l6937,-1m7079,-45l7079,-1m7222,-45l7222,-1m7222,-45l7222,-1m7364,-45l7364,-1m7506,-45l7506,-1m7506,-45l7506,-1m7649,-45l7649,-1m7792,-45l7792,-1m7792,-45l7792,-1e" filled="false" stroked="true" strokeweight=".520925pt" strokecolor="#000000">
              <v:path arrowok="t"/>
            </v:shape>
            <v:rect style="position:absolute;left:5221;top:-2075;width:2582;height:2023" filled="false" stroked="true" strokeweight=".872755pt" strokecolor="#000000"/>
            <w10:wrap type="none"/>
          </v:group>
        </w:pict>
      </w:r>
      <w:r>
        <w:rPr>
          <w:rFonts w:ascii="Arial"/>
          <w:spacing w:val="-5"/>
          <w:sz w:val="11"/>
        </w:rPr>
        <w:t>92       94       96       98       00       02       04       06       08    </w:t>
      </w:r>
      <w:r>
        <w:rPr>
          <w:rFonts w:ascii="Arial"/>
          <w:spacing w:val="-9"/>
          <w:sz w:val="11"/>
        </w:rPr>
        <w:t>10</w:t>
      </w:r>
    </w:p>
    <w:p>
      <w:pPr>
        <w:pStyle w:val="BodyText"/>
        <w:rPr>
          <w:rFonts w:ascii="Arial"/>
          <w:sz w:val="10"/>
        </w:rPr>
      </w:pPr>
      <w:r>
        <w:rPr/>
        <w:br w:type="column"/>
      </w:r>
      <w:r>
        <w:rPr>
          <w:rFonts w:ascii="Arial"/>
          <w:sz w:val="10"/>
        </w:rPr>
      </w:r>
    </w:p>
    <w:p>
      <w:pPr>
        <w:spacing w:before="78"/>
        <w:ind w:left="231" w:right="-14" w:firstLine="0"/>
        <w:jc w:val="left"/>
        <w:rPr>
          <w:rFonts w:ascii="Arial"/>
          <w:sz w:val="11"/>
        </w:rPr>
      </w:pPr>
      <w:r>
        <w:rPr>
          <w:rFonts w:ascii="Arial"/>
          <w:spacing w:val="-9"/>
          <w:w w:val="95"/>
          <w:sz w:val="11"/>
        </w:rPr>
        <w:t>1700</w:t>
      </w:r>
    </w:p>
    <w:p>
      <w:pPr>
        <w:pStyle w:val="BodyText"/>
        <w:rPr>
          <w:rFonts w:ascii="Arial"/>
          <w:sz w:val="10"/>
        </w:rPr>
      </w:pPr>
      <w:r>
        <w:rPr/>
        <w:br w:type="column"/>
      </w:r>
      <w:r>
        <w:rPr>
          <w:rFonts w:ascii="Arial"/>
          <w:sz w:val="10"/>
        </w:rPr>
      </w:r>
    </w:p>
    <w:p>
      <w:pPr>
        <w:pStyle w:val="BodyText"/>
        <w:rPr>
          <w:rFonts w:ascii="Arial"/>
          <w:sz w:val="10"/>
        </w:rPr>
      </w:pPr>
    </w:p>
    <w:p>
      <w:pPr>
        <w:pStyle w:val="BodyText"/>
        <w:spacing w:before="11"/>
        <w:rPr>
          <w:rFonts w:ascii="Arial"/>
          <w:sz w:val="9"/>
        </w:rPr>
      </w:pPr>
    </w:p>
    <w:p>
      <w:pPr>
        <w:spacing w:before="0"/>
        <w:ind w:left="-20" w:right="0" w:firstLine="0"/>
        <w:jc w:val="left"/>
        <w:rPr>
          <w:rFonts w:ascii="Arial"/>
          <w:sz w:val="11"/>
        </w:rPr>
      </w:pPr>
      <w:r>
        <w:rPr>
          <w:rFonts w:ascii="Arial"/>
          <w:spacing w:val="-5"/>
          <w:sz w:val="11"/>
        </w:rPr>
        <w:t>92       94       96       98       00       02       04       06       08    </w:t>
      </w:r>
      <w:r>
        <w:rPr>
          <w:rFonts w:ascii="Arial"/>
          <w:spacing w:val="-9"/>
          <w:sz w:val="11"/>
        </w:rPr>
        <w:t>10</w:t>
      </w:r>
    </w:p>
    <w:p>
      <w:pPr>
        <w:spacing w:after="0"/>
        <w:jc w:val="left"/>
        <w:rPr>
          <w:rFonts w:ascii="Arial"/>
          <w:sz w:val="11"/>
        </w:rPr>
        <w:sectPr>
          <w:type w:val="continuous"/>
          <w:pgSz w:w="12250" w:h="15850"/>
          <w:pgMar w:top="1500" w:bottom="280" w:left="1720" w:right="1000"/>
          <w:cols w:num="6" w:equalWidth="0">
            <w:col w:w="434" w:space="40"/>
            <w:col w:w="2645" w:space="40"/>
            <w:col w:w="280" w:space="40"/>
            <w:col w:w="2645" w:space="179"/>
            <w:col w:w="434" w:space="40"/>
            <w:col w:w="2753"/>
          </w:cols>
        </w:sectPr>
      </w:pPr>
    </w:p>
    <w:p>
      <w:pPr>
        <w:pStyle w:val="BodyText"/>
        <w:rPr>
          <w:rFonts w:ascii="Arial"/>
          <w:sz w:val="20"/>
        </w:rPr>
      </w:pPr>
    </w:p>
    <w:p>
      <w:pPr>
        <w:pStyle w:val="BodyText"/>
        <w:spacing w:before="3"/>
        <w:rPr>
          <w:rFonts w:ascii="Arial"/>
          <w:sz w:val="12"/>
        </w:rPr>
      </w:pPr>
    </w:p>
    <w:p>
      <w:pPr>
        <w:tabs>
          <w:tab w:pos="4159" w:val="left" w:leader="none"/>
          <w:tab w:pos="7507" w:val="left" w:leader="none"/>
        </w:tabs>
        <w:spacing w:line="240" w:lineRule="auto"/>
        <w:ind w:left="1245" w:right="0" w:firstLine="0"/>
        <w:rPr>
          <w:rFonts w:ascii="Arial"/>
          <w:sz w:val="20"/>
        </w:rPr>
      </w:pPr>
      <w:r>
        <w:rPr>
          <w:rFonts w:ascii="Arial"/>
          <w:position w:val="7"/>
          <w:sz w:val="20"/>
        </w:rPr>
        <w:pict>
          <v:group style="width:48.65pt;height:10.3pt;mso-position-horizontal-relative:char;mso-position-vertical-relative:line" coordorigin="0,0" coordsize="973,206">
            <v:rect style="position:absolute;left:6;top:6;width:962;height:194" filled="true" fillcolor="#ffffff" stroked="false">
              <v:fill type="solid"/>
            </v:rect>
            <v:shape style="position:absolute;left:6;top:6;width:962;height:195" type="#_x0000_t202" filled="false" stroked="true" strokeweight=".531439pt" strokecolor="#000000">
              <v:textbox inset="0,0,0,0">
                <w:txbxContent>
                  <w:p>
                    <w:pPr>
                      <w:spacing w:before="31"/>
                      <w:ind w:left="48" w:right="0" w:firstLine="0"/>
                      <w:jc w:val="left"/>
                      <w:rPr>
                        <w:rFonts w:ascii="Arial" w:hAnsi="Arial"/>
                        <w:sz w:val="11"/>
                      </w:rPr>
                    </w:pPr>
                    <w:r>
                      <w:rPr>
                        <w:rFonts w:ascii="Arial" w:hAnsi="Arial"/>
                        <w:w w:val="95"/>
                        <w:sz w:val="11"/>
                      </w:rPr>
                      <w:t>NORTE AMÉRICA</w:t>
                    </w:r>
                  </w:p>
                </w:txbxContent>
              </v:textbox>
              <w10:wrap type="none"/>
            </v:shape>
          </v:group>
        </w:pict>
      </w:r>
      <w:r>
        <w:rPr>
          <w:rFonts w:ascii="Arial"/>
          <w:position w:val="7"/>
          <w:sz w:val="20"/>
        </w:rPr>
      </w:r>
      <w:r>
        <w:rPr>
          <w:rFonts w:ascii="Arial"/>
          <w:position w:val="7"/>
          <w:sz w:val="20"/>
        </w:rPr>
        <w:tab/>
      </w:r>
      <w:r>
        <w:rPr>
          <w:rFonts w:ascii="Arial"/>
          <w:sz w:val="20"/>
        </w:rPr>
        <w:pict>
          <v:group style="width:68.350pt;height:10.3pt;mso-position-horizontal-relative:char;mso-position-vertical-relative:line" coordorigin="0,0" coordsize="1367,206">
            <v:rect style="position:absolute;left:6;top:6;width:1356;height:194" filled="true" fillcolor="#ffffff" stroked="false">
              <v:fill type="solid"/>
            </v:rect>
            <v:shape style="position:absolute;left:6;top:6;width:1356;height:195" type="#_x0000_t202" filled="false" stroked="true" strokeweight=".531837pt" strokecolor="#000000">
              <v:textbox inset="0,0,0,0">
                <w:txbxContent>
                  <w:p>
                    <w:pPr>
                      <w:spacing w:before="31"/>
                      <w:ind w:left="48" w:right="0" w:firstLine="0"/>
                      <w:jc w:val="left"/>
                      <w:rPr>
                        <w:rFonts w:ascii="Arial" w:hAnsi="Arial"/>
                        <w:sz w:val="11"/>
                      </w:rPr>
                    </w:pPr>
                    <w:r>
                      <w:rPr>
                        <w:rFonts w:ascii="Arial" w:hAnsi="Arial"/>
                        <w:w w:val="95"/>
                        <w:sz w:val="11"/>
                      </w:rPr>
                      <w:t>CENTRO Y SUDAMÉRICA</w:t>
                    </w:r>
                  </w:p>
                </w:txbxContent>
              </v:textbox>
              <w10:wrap type="none"/>
            </v:shape>
          </v:group>
        </w:pict>
      </w:r>
      <w:r>
        <w:rPr>
          <w:rFonts w:ascii="Arial"/>
          <w:sz w:val="20"/>
        </w:rPr>
      </w:r>
      <w:r>
        <w:rPr>
          <w:rFonts w:ascii="Arial"/>
          <w:sz w:val="20"/>
        </w:rPr>
        <w:tab/>
      </w:r>
      <w:r>
        <w:rPr>
          <w:rFonts w:ascii="Arial"/>
          <w:position w:val="1"/>
          <w:sz w:val="20"/>
        </w:rPr>
        <w:pict>
          <v:group style="width:46.65pt;height:10.3pt;mso-position-horizontal-relative:char;mso-position-vertical-relative:line" coordorigin="0,0" coordsize="933,206">
            <v:rect style="position:absolute;left:6;top:6;width:921;height:194" filled="true" fillcolor="#ffffff" stroked="false">
              <v:fill type="solid"/>
            </v:rect>
            <v:shape style="position:absolute;left:6;top:6;width:922;height:195" type="#_x0000_t202" filled="false" stroked="true" strokeweight=".531368pt" strokecolor="#000000">
              <v:textbox inset="0,0,0,0">
                <w:txbxContent>
                  <w:p>
                    <w:pPr>
                      <w:spacing w:before="31"/>
                      <w:ind w:left="48" w:right="-7" w:firstLine="0"/>
                      <w:jc w:val="left"/>
                      <w:rPr>
                        <w:rFonts w:ascii="Arial" w:hAnsi="Arial"/>
                        <w:sz w:val="11"/>
                      </w:rPr>
                    </w:pPr>
                    <w:r>
                      <w:rPr>
                        <w:rFonts w:ascii="Arial" w:hAnsi="Arial"/>
                        <w:spacing w:val="-4"/>
                        <w:sz w:val="11"/>
                      </w:rPr>
                      <w:t>ASIA </w:t>
                    </w:r>
                    <w:r>
                      <w:rPr>
                        <w:rFonts w:ascii="Arial" w:hAnsi="Arial"/>
                        <w:sz w:val="11"/>
                      </w:rPr>
                      <w:t>Y OCEANÍA</w:t>
                    </w:r>
                  </w:p>
                </w:txbxContent>
              </v:textbox>
              <w10:wrap type="none"/>
            </v:shape>
          </v:group>
        </w:pict>
      </w:r>
      <w:r>
        <w:rPr>
          <w:rFonts w:ascii="Arial"/>
          <w:position w:val="1"/>
          <w:sz w:val="20"/>
        </w:rPr>
      </w:r>
    </w:p>
    <w:p>
      <w:pPr>
        <w:spacing w:after="0" w:line="240" w:lineRule="auto"/>
        <w:rPr>
          <w:rFonts w:ascii="Arial"/>
          <w:sz w:val="20"/>
        </w:rPr>
        <w:sectPr>
          <w:type w:val="continuous"/>
          <w:pgSz w:w="12250" w:h="15850"/>
          <w:pgMar w:top="1500" w:bottom="280" w:left="1720" w:right="1000"/>
        </w:sectPr>
      </w:pPr>
    </w:p>
    <w:p>
      <w:pPr>
        <w:spacing w:line="76" w:lineRule="exact" w:before="0"/>
        <w:ind w:left="287" w:right="-15" w:firstLine="0"/>
        <w:jc w:val="left"/>
        <w:rPr>
          <w:rFonts w:ascii="Arial"/>
          <w:sz w:val="11"/>
        </w:rPr>
      </w:pPr>
      <w:r>
        <w:rPr/>
        <w:pict>
          <v:shape style="position:absolute;margin-left:148.533447pt;margin-top:-15.193631pt;width:48.1pt;height:9.75pt;mso-position-horizontal-relative:page;mso-position-vertical-relative:paragraph;z-index:-554824" type="#_x0000_t202" filled="false" stroked="false">
            <v:textbox inset="0,0,0,0">
              <w:txbxContent>
                <w:p>
                  <w:pPr>
                    <w:spacing w:before="20"/>
                    <w:ind w:left="412" w:right="0" w:firstLine="0"/>
                    <w:jc w:val="left"/>
                    <w:rPr>
                      <w:rFonts w:ascii="Arial"/>
                      <w:sz w:val="15"/>
                    </w:rPr>
                  </w:pPr>
                  <w:r>
                    <w:rPr>
                      <w:rFonts w:ascii="Arial"/>
                      <w:sz w:val="15"/>
                    </w:rPr>
                    <w:t>N_A</w:t>
                  </w:r>
                </w:p>
              </w:txbxContent>
            </v:textbox>
            <w10:wrap type="none"/>
          </v:shape>
        </w:pict>
      </w:r>
      <w:r>
        <w:rPr/>
        <w:pict>
          <v:shape style="position:absolute;margin-left:294.262421pt;margin-top:-11.934184pt;width:67.8pt;height:9.75pt;mso-position-horizontal-relative:page;mso-position-vertical-relative:paragraph;z-index:-554800" type="#_x0000_t202" filled="false" stroked="false">
            <v:textbox inset="0,0,0,0">
              <w:txbxContent>
                <w:p>
                  <w:pPr>
                    <w:spacing w:before="14"/>
                    <w:ind w:left="549" w:right="0" w:firstLine="0"/>
                    <w:jc w:val="left"/>
                    <w:rPr>
                      <w:rFonts w:ascii="Arial"/>
                      <w:sz w:val="15"/>
                    </w:rPr>
                  </w:pPr>
                  <w:r>
                    <w:rPr>
                      <w:rFonts w:ascii="Arial"/>
                      <w:sz w:val="15"/>
                    </w:rPr>
                    <w:t>C_S_A</w:t>
                  </w:r>
                </w:p>
              </w:txbxContent>
            </v:textbox>
            <w10:wrap type="none"/>
          </v:shape>
        </w:pict>
      </w:r>
      <w:r>
        <w:rPr/>
        <w:pict>
          <v:shape style="position:absolute;margin-left:461.627289pt;margin-top:-12.549049pt;width:46.1pt;height:9.75pt;mso-position-horizontal-relative:page;mso-position-vertical-relative:paragraph;z-index:-554776" type="#_x0000_t202" filled="false" stroked="false">
            <v:textbox inset="0,0,0,0">
              <w:txbxContent>
                <w:p>
                  <w:pPr>
                    <w:spacing w:line="171" w:lineRule="exact" w:before="23"/>
                    <w:ind w:left="292" w:right="289" w:firstLine="0"/>
                    <w:jc w:val="center"/>
                    <w:rPr>
                      <w:rFonts w:ascii="Arial"/>
                      <w:sz w:val="15"/>
                    </w:rPr>
                  </w:pPr>
                  <w:r>
                    <w:rPr>
                      <w:rFonts w:ascii="Arial"/>
                      <w:sz w:val="15"/>
                    </w:rPr>
                    <w:t>A_O</w:t>
                  </w:r>
                </w:p>
              </w:txbxContent>
            </v:textbox>
            <w10:wrap type="none"/>
          </v:shape>
        </w:pict>
      </w:r>
      <w:r>
        <w:rPr>
          <w:rFonts w:ascii="Arial"/>
          <w:spacing w:val="-9"/>
          <w:w w:val="95"/>
          <w:sz w:val="11"/>
        </w:rPr>
        <w:t>360</w:t>
      </w:r>
    </w:p>
    <w:p>
      <w:pPr>
        <w:pStyle w:val="BodyText"/>
        <w:rPr>
          <w:rFonts w:ascii="Arial"/>
          <w:sz w:val="10"/>
        </w:rPr>
      </w:pPr>
    </w:p>
    <w:p>
      <w:pPr>
        <w:pStyle w:val="BodyText"/>
        <w:spacing w:before="11"/>
        <w:rPr>
          <w:rFonts w:ascii="Arial"/>
          <w:sz w:val="7"/>
        </w:rPr>
      </w:pPr>
    </w:p>
    <w:p>
      <w:pPr>
        <w:spacing w:before="0"/>
        <w:ind w:left="287" w:right="-15" w:firstLine="0"/>
        <w:jc w:val="left"/>
        <w:rPr>
          <w:rFonts w:ascii="Arial"/>
          <w:sz w:val="11"/>
        </w:rPr>
      </w:pPr>
      <w:r>
        <w:rPr>
          <w:rFonts w:ascii="Arial"/>
          <w:spacing w:val="-9"/>
          <w:w w:val="95"/>
          <w:sz w:val="11"/>
        </w:rPr>
        <w:t>340</w:t>
      </w:r>
    </w:p>
    <w:p>
      <w:pPr>
        <w:pStyle w:val="BodyText"/>
        <w:rPr>
          <w:rFonts w:ascii="Arial"/>
          <w:sz w:val="10"/>
        </w:rPr>
      </w:pPr>
    </w:p>
    <w:p>
      <w:pPr>
        <w:pStyle w:val="BodyText"/>
        <w:spacing w:before="11"/>
        <w:rPr>
          <w:rFonts w:ascii="Arial"/>
          <w:sz w:val="7"/>
        </w:rPr>
      </w:pPr>
    </w:p>
    <w:p>
      <w:pPr>
        <w:spacing w:before="0"/>
        <w:ind w:left="287" w:right="-15" w:firstLine="0"/>
        <w:jc w:val="left"/>
        <w:rPr>
          <w:rFonts w:ascii="Arial"/>
          <w:sz w:val="11"/>
        </w:rPr>
      </w:pPr>
      <w:r>
        <w:rPr>
          <w:rFonts w:ascii="Arial"/>
          <w:spacing w:val="-9"/>
          <w:w w:val="95"/>
          <w:sz w:val="11"/>
        </w:rPr>
        <w:t>320</w:t>
      </w:r>
    </w:p>
    <w:p>
      <w:pPr>
        <w:pStyle w:val="BodyText"/>
        <w:rPr>
          <w:rFonts w:ascii="Arial"/>
          <w:sz w:val="10"/>
        </w:rPr>
      </w:pPr>
    </w:p>
    <w:p>
      <w:pPr>
        <w:pStyle w:val="BodyText"/>
        <w:spacing w:before="1"/>
        <w:rPr>
          <w:rFonts w:ascii="Arial"/>
          <w:sz w:val="8"/>
        </w:rPr>
      </w:pPr>
    </w:p>
    <w:p>
      <w:pPr>
        <w:spacing w:before="0"/>
        <w:ind w:left="287" w:right="-15" w:firstLine="0"/>
        <w:jc w:val="left"/>
        <w:rPr>
          <w:rFonts w:ascii="Arial"/>
          <w:sz w:val="11"/>
        </w:rPr>
      </w:pPr>
      <w:r>
        <w:rPr>
          <w:rFonts w:ascii="Arial"/>
          <w:spacing w:val="-9"/>
          <w:w w:val="95"/>
          <w:sz w:val="11"/>
        </w:rPr>
        <w:t>300</w:t>
      </w:r>
    </w:p>
    <w:p>
      <w:pPr>
        <w:pStyle w:val="BodyText"/>
        <w:rPr>
          <w:rFonts w:ascii="Arial"/>
          <w:sz w:val="10"/>
        </w:rPr>
      </w:pPr>
    </w:p>
    <w:p>
      <w:pPr>
        <w:pStyle w:val="BodyText"/>
        <w:rPr>
          <w:rFonts w:ascii="Arial"/>
          <w:sz w:val="8"/>
        </w:rPr>
      </w:pPr>
    </w:p>
    <w:p>
      <w:pPr>
        <w:spacing w:before="0"/>
        <w:ind w:left="287" w:right="-15" w:firstLine="0"/>
        <w:jc w:val="left"/>
        <w:rPr>
          <w:rFonts w:ascii="Arial"/>
          <w:sz w:val="11"/>
        </w:rPr>
      </w:pPr>
      <w:r>
        <w:rPr>
          <w:rFonts w:ascii="Arial"/>
          <w:spacing w:val="-9"/>
          <w:w w:val="95"/>
          <w:sz w:val="11"/>
        </w:rPr>
        <w:t>280</w:t>
      </w:r>
    </w:p>
    <w:p>
      <w:pPr>
        <w:pStyle w:val="BodyText"/>
        <w:rPr>
          <w:rFonts w:ascii="Arial"/>
          <w:sz w:val="10"/>
        </w:rPr>
      </w:pPr>
    </w:p>
    <w:p>
      <w:pPr>
        <w:pStyle w:val="BodyText"/>
        <w:spacing w:before="11"/>
        <w:rPr>
          <w:rFonts w:ascii="Arial"/>
          <w:sz w:val="7"/>
        </w:rPr>
      </w:pPr>
    </w:p>
    <w:p>
      <w:pPr>
        <w:spacing w:before="0"/>
        <w:ind w:left="287" w:right="-15" w:firstLine="0"/>
        <w:jc w:val="left"/>
        <w:rPr>
          <w:rFonts w:ascii="Arial"/>
          <w:sz w:val="11"/>
        </w:rPr>
      </w:pPr>
      <w:r>
        <w:rPr>
          <w:rFonts w:ascii="Arial"/>
          <w:spacing w:val="-9"/>
          <w:w w:val="95"/>
          <w:sz w:val="11"/>
        </w:rPr>
        <w:t>260</w:t>
      </w:r>
    </w:p>
    <w:p>
      <w:pPr>
        <w:pStyle w:val="BodyText"/>
        <w:rPr>
          <w:rFonts w:ascii="Arial"/>
          <w:sz w:val="10"/>
        </w:rPr>
      </w:pPr>
    </w:p>
    <w:p>
      <w:pPr>
        <w:pStyle w:val="BodyText"/>
        <w:spacing w:before="1"/>
        <w:rPr>
          <w:rFonts w:ascii="Arial"/>
          <w:sz w:val="8"/>
        </w:rPr>
      </w:pPr>
    </w:p>
    <w:p>
      <w:pPr>
        <w:spacing w:before="0"/>
        <w:ind w:left="287" w:right="-15" w:firstLine="0"/>
        <w:jc w:val="left"/>
        <w:rPr>
          <w:rFonts w:ascii="Arial"/>
          <w:sz w:val="11"/>
        </w:rPr>
      </w:pPr>
      <w:r>
        <w:rPr>
          <w:rFonts w:ascii="Arial"/>
          <w:spacing w:val="-9"/>
          <w:w w:val="95"/>
          <w:sz w:val="11"/>
        </w:rPr>
        <w:t>240</w:t>
      </w:r>
    </w:p>
    <w:p>
      <w:pPr>
        <w:pStyle w:val="BodyText"/>
        <w:rPr>
          <w:rFonts w:ascii="Arial"/>
          <w:sz w:val="10"/>
        </w:rPr>
      </w:pPr>
      <w:r>
        <w:rPr/>
        <w:br w:type="column"/>
      </w:r>
      <w:r>
        <w:rPr>
          <w:rFonts w:ascii="Arial"/>
          <w:sz w:val="10"/>
        </w:rPr>
      </w: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spacing w:before="10"/>
        <w:rPr>
          <w:rFonts w:ascii="Arial"/>
          <w:sz w:val="12"/>
        </w:rPr>
      </w:pPr>
    </w:p>
    <w:p>
      <w:pPr>
        <w:spacing w:before="0"/>
        <w:ind w:left="-20" w:right="-5" w:firstLine="0"/>
        <w:jc w:val="left"/>
        <w:rPr>
          <w:rFonts w:ascii="Arial"/>
          <w:sz w:val="11"/>
        </w:rPr>
      </w:pPr>
      <w:r>
        <w:rPr/>
        <w:pict>
          <v:group style="position:absolute;margin-left:108.618164pt;margin-top:-104.214798pt;width:132pt;height:104.45pt;mso-position-horizontal-relative:page;mso-position-vertical-relative:paragraph;z-index:-554704" coordorigin="2172,-2084" coordsize="2640,2089">
            <v:shape style="position:absolute;left:753;top:896;width:83;height:2620" coordorigin="753,896" coordsize="83,2620" path="m2178,-63l2222,-63m2230,-45l2230,-1m2230,-45l2230,-1m2178,-398l2222,-398m2178,-731l2222,-731m2178,-1065l2222,-1065m2178,-1400l2222,-1400m2178,-1733l2222,-1733e" filled="false" stroked="true" strokeweight=".520925pt" strokecolor="#000000">
              <v:path arrowok="t"/>
            </v:shape>
            <v:shape style="position:absolute;left:2230;top:-1800;width:2564;height:1436" coordorigin="2230,-1800" coordsize="2564,1436" path="m2230,-1616l2372,-1550,2514,-1566,2656,-1299,2798,-1098,2942,-1116,3084,-948,3226,-982,3368,-581,3512,-648,3654,-664,3796,-364,3938,-514,4080,-664,4223,-798,4365,-1232,4507,-1348,4649,-1800,4793,-1800e" filled="false" stroked="true" strokeweight=".606669pt" strokecolor="#0000ff">
              <v:path arrowok="t"/>
            </v:shape>
            <v:shape style="position:absolute;left:753;top:391;width:4132;height:3125" coordorigin="753,391" coordsize="4132,3125" path="m2178,-2067l2222,-2067m2372,-45l2372,-1m2514,-45l2514,-1m2514,-45l2514,-1m2656,-45l2656,-1m2798,-45l2798,-1m2798,-45l2798,-1m2942,-45l2942,-1m3084,-45l3084,-1m3084,-45l3084,-1m3226,-45l3226,-1m3368,-45l3368,-1m3368,-45l3368,-1m3512,-45l3512,-1m3654,-45l3654,-1m3654,-45l3654,-1m3796,-45l3796,-1m3938,-45l3938,-1m3938,-45l3938,-1m4080,-45l4080,-1m4223,-45l4223,-1m4223,-45l4223,-1m4365,-45l4365,-1m4507,-45l4507,-1m4507,-45l4507,-1m4649,-45l4649,-1m4793,-45l4793,-1m4793,-45l4793,-1e" filled="false" stroked="true" strokeweight=".520925pt" strokecolor="#000000">
              <v:path arrowok="t"/>
            </v:shape>
            <v:rect style="position:absolute;left:2222;top:-2075;width:2581;height:2023" filled="false" stroked="true" strokeweight=".872752pt" strokecolor="#000000"/>
            <w10:wrap type="none"/>
          </v:group>
        </w:pict>
      </w:r>
      <w:r>
        <w:rPr>
          <w:rFonts w:ascii="Arial"/>
          <w:spacing w:val="-5"/>
          <w:sz w:val="11"/>
        </w:rPr>
        <w:t>92       94       96       98       00       02       04       06       08    </w:t>
      </w:r>
      <w:r>
        <w:rPr>
          <w:rFonts w:ascii="Arial"/>
          <w:spacing w:val="-9"/>
          <w:sz w:val="11"/>
        </w:rPr>
        <w:t>10</w:t>
      </w:r>
    </w:p>
    <w:p>
      <w:pPr>
        <w:spacing w:before="11"/>
        <w:ind w:left="264" w:right="-15" w:firstLine="0"/>
        <w:jc w:val="left"/>
        <w:rPr>
          <w:rFonts w:ascii="Arial"/>
          <w:sz w:val="11"/>
        </w:rPr>
      </w:pPr>
      <w:r>
        <w:rPr/>
        <w:br w:type="column"/>
      </w:r>
      <w:r>
        <w:rPr>
          <w:rFonts w:ascii="Arial"/>
          <w:spacing w:val="-9"/>
          <w:w w:val="95"/>
          <w:sz w:val="11"/>
        </w:rPr>
        <w:t>280</w:t>
      </w:r>
    </w:p>
    <w:p>
      <w:pPr>
        <w:pStyle w:val="BodyText"/>
        <w:rPr>
          <w:rFonts w:ascii="Arial"/>
          <w:sz w:val="10"/>
        </w:rPr>
      </w:pPr>
    </w:p>
    <w:p>
      <w:pPr>
        <w:pStyle w:val="BodyText"/>
        <w:spacing w:before="11"/>
        <w:rPr>
          <w:rFonts w:ascii="Arial"/>
          <w:sz w:val="7"/>
        </w:rPr>
      </w:pPr>
    </w:p>
    <w:p>
      <w:pPr>
        <w:spacing w:before="0"/>
        <w:ind w:left="264" w:right="-15" w:firstLine="0"/>
        <w:jc w:val="left"/>
        <w:rPr>
          <w:rFonts w:ascii="Arial"/>
          <w:sz w:val="11"/>
        </w:rPr>
      </w:pPr>
      <w:r>
        <w:rPr>
          <w:rFonts w:ascii="Arial"/>
          <w:spacing w:val="-9"/>
          <w:w w:val="95"/>
          <w:sz w:val="11"/>
        </w:rPr>
        <w:t>260</w:t>
      </w:r>
    </w:p>
    <w:p>
      <w:pPr>
        <w:pStyle w:val="BodyText"/>
        <w:rPr>
          <w:rFonts w:ascii="Arial"/>
          <w:sz w:val="10"/>
        </w:rPr>
      </w:pPr>
    </w:p>
    <w:p>
      <w:pPr>
        <w:pStyle w:val="BodyText"/>
        <w:rPr>
          <w:rFonts w:ascii="Arial"/>
          <w:sz w:val="8"/>
        </w:rPr>
      </w:pPr>
    </w:p>
    <w:p>
      <w:pPr>
        <w:spacing w:before="0"/>
        <w:ind w:left="264" w:right="-15" w:firstLine="0"/>
        <w:jc w:val="left"/>
        <w:rPr>
          <w:rFonts w:ascii="Arial"/>
          <w:sz w:val="11"/>
        </w:rPr>
      </w:pPr>
      <w:r>
        <w:rPr>
          <w:rFonts w:ascii="Arial"/>
          <w:spacing w:val="-9"/>
          <w:w w:val="95"/>
          <w:sz w:val="11"/>
        </w:rPr>
        <w:t>240</w:t>
      </w:r>
    </w:p>
    <w:p>
      <w:pPr>
        <w:pStyle w:val="BodyText"/>
        <w:rPr>
          <w:rFonts w:ascii="Arial"/>
          <w:sz w:val="10"/>
        </w:rPr>
      </w:pPr>
    </w:p>
    <w:p>
      <w:pPr>
        <w:pStyle w:val="BodyText"/>
        <w:spacing w:before="1"/>
        <w:rPr>
          <w:rFonts w:ascii="Arial"/>
          <w:sz w:val="8"/>
        </w:rPr>
      </w:pPr>
    </w:p>
    <w:p>
      <w:pPr>
        <w:spacing w:before="0"/>
        <w:ind w:left="264" w:right="-15" w:firstLine="0"/>
        <w:jc w:val="left"/>
        <w:rPr>
          <w:rFonts w:ascii="Arial"/>
          <w:sz w:val="11"/>
        </w:rPr>
      </w:pPr>
      <w:r>
        <w:rPr>
          <w:rFonts w:ascii="Arial"/>
          <w:spacing w:val="-9"/>
          <w:w w:val="95"/>
          <w:sz w:val="11"/>
        </w:rPr>
        <w:t>220</w:t>
      </w:r>
    </w:p>
    <w:p>
      <w:pPr>
        <w:pStyle w:val="BodyText"/>
        <w:rPr>
          <w:rFonts w:ascii="Arial"/>
          <w:sz w:val="10"/>
        </w:rPr>
      </w:pPr>
    </w:p>
    <w:p>
      <w:pPr>
        <w:pStyle w:val="BodyText"/>
        <w:spacing w:before="11"/>
        <w:rPr>
          <w:rFonts w:ascii="Arial"/>
          <w:sz w:val="7"/>
        </w:rPr>
      </w:pPr>
    </w:p>
    <w:p>
      <w:pPr>
        <w:spacing w:before="0"/>
        <w:ind w:left="264" w:right="-15" w:firstLine="0"/>
        <w:jc w:val="left"/>
        <w:rPr>
          <w:rFonts w:ascii="Arial"/>
          <w:sz w:val="11"/>
        </w:rPr>
      </w:pPr>
      <w:r>
        <w:rPr>
          <w:rFonts w:ascii="Arial"/>
          <w:spacing w:val="-9"/>
          <w:w w:val="95"/>
          <w:sz w:val="11"/>
        </w:rPr>
        <w:t>200</w:t>
      </w:r>
    </w:p>
    <w:p>
      <w:pPr>
        <w:pStyle w:val="BodyText"/>
        <w:rPr>
          <w:rFonts w:ascii="Arial"/>
          <w:sz w:val="10"/>
        </w:rPr>
      </w:pPr>
    </w:p>
    <w:p>
      <w:pPr>
        <w:pStyle w:val="BodyText"/>
        <w:spacing w:before="11"/>
        <w:rPr>
          <w:rFonts w:ascii="Arial"/>
          <w:sz w:val="7"/>
        </w:rPr>
      </w:pPr>
    </w:p>
    <w:p>
      <w:pPr>
        <w:spacing w:before="0"/>
        <w:ind w:left="264" w:right="-15" w:firstLine="0"/>
        <w:jc w:val="left"/>
        <w:rPr>
          <w:rFonts w:ascii="Arial"/>
          <w:sz w:val="11"/>
        </w:rPr>
      </w:pPr>
      <w:r>
        <w:rPr>
          <w:rFonts w:ascii="Arial"/>
          <w:spacing w:val="-9"/>
          <w:w w:val="95"/>
          <w:sz w:val="11"/>
        </w:rPr>
        <w:t>180</w:t>
      </w:r>
    </w:p>
    <w:p>
      <w:pPr>
        <w:pStyle w:val="BodyText"/>
        <w:rPr>
          <w:rFonts w:ascii="Arial"/>
          <w:sz w:val="10"/>
        </w:rPr>
      </w:pPr>
    </w:p>
    <w:p>
      <w:pPr>
        <w:pStyle w:val="BodyText"/>
        <w:spacing w:before="1"/>
        <w:rPr>
          <w:rFonts w:ascii="Arial"/>
          <w:sz w:val="8"/>
        </w:rPr>
      </w:pPr>
    </w:p>
    <w:p>
      <w:pPr>
        <w:spacing w:before="0"/>
        <w:ind w:left="264" w:right="-15" w:firstLine="0"/>
        <w:jc w:val="left"/>
        <w:rPr>
          <w:rFonts w:ascii="Arial"/>
          <w:sz w:val="11"/>
        </w:rPr>
      </w:pPr>
      <w:r>
        <w:rPr>
          <w:rFonts w:ascii="Arial"/>
          <w:spacing w:val="-9"/>
          <w:w w:val="95"/>
          <w:sz w:val="11"/>
        </w:rPr>
        <w:t>160</w:t>
      </w:r>
    </w:p>
    <w:p>
      <w:pPr>
        <w:pStyle w:val="BodyText"/>
        <w:rPr>
          <w:rFonts w:ascii="Arial"/>
          <w:sz w:val="10"/>
        </w:rPr>
      </w:pPr>
      <w:r>
        <w:rPr/>
        <w:br w:type="column"/>
      </w:r>
      <w:r>
        <w:rPr>
          <w:rFonts w:ascii="Arial"/>
          <w:sz w:val="10"/>
        </w:rPr>
      </w: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spacing w:before="2"/>
        <w:rPr>
          <w:rFonts w:ascii="Arial"/>
          <w:sz w:val="8"/>
        </w:rPr>
      </w:pPr>
    </w:p>
    <w:p>
      <w:pPr>
        <w:spacing w:before="1"/>
        <w:ind w:left="-20" w:right="-5" w:firstLine="0"/>
        <w:jc w:val="left"/>
        <w:rPr>
          <w:rFonts w:ascii="Arial"/>
          <w:sz w:val="11"/>
        </w:rPr>
      </w:pPr>
      <w:r>
        <w:rPr>
          <w:rFonts w:ascii="Arial"/>
          <w:spacing w:val="-5"/>
          <w:sz w:val="11"/>
        </w:rPr>
        <w:t>92       94       96       98       00       02       04       06       08    </w:t>
      </w:r>
      <w:r>
        <w:rPr>
          <w:rFonts w:ascii="Arial"/>
          <w:spacing w:val="-9"/>
          <w:sz w:val="11"/>
        </w:rPr>
        <w:t>10</w:t>
      </w:r>
    </w:p>
    <w:p>
      <w:pPr>
        <w:spacing w:before="6"/>
        <w:ind w:left="159" w:right="-15" w:firstLine="0"/>
        <w:jc w:val="left"/>
        <w:rPr>
          <w:rFonts w:ascii="Arial"/>
          <w:sz w:val="11"/>
        </w:rPr>
      </w:pPr>
      <w:r>
        <w:rPr/>
        <w:br w:type="column"/>
      </w:r>
      <w:r>
        <w:rPr>
          <w:rFonts w:ascii="Arial"/>
          <w:spacing w:val="-9"/>
          <w:w w:val="95"/>
          <w:sz w:val="11"/>
        </w:rPr>
        <w:t>550</w:t>
      </w:r>
    </w:p>
    <w:p>
      <w:pPr>
        <w:pStyle w:val="BodyText"/>
        <w:rPr>
          <w:rFonts w:ascii="Arial"/>
          <w:sz w:val="10"/>
        </w:rPr>
      </w:pPr>
    </w:p>
    <w:p>
      <w:pPr>
        <w:pStyle w:val="BodyText"/>
        <w:spacing w:before="11"/>
        <w:rPr>
          <w:rFonts w:ascii="Arial"/>
          <w:sz w:val="7"/>
        </w:rPr>
      </w:pPr>
    </w:p>
    <w:p>
      <w:pPr>
        <w:spacing w:before="0"/>
        <w:ind w:left="159" w:right="-15" w:firstLine="0"/>
        <w:jc w:val="left"/>
        <w:rPr>
          <w:rFonts w:ascii="Arial"/>
          <w:sz w:val="11"/>
        </w:rPr>
      </w:pPr>
      <w:r>
        <w:rPr>
          <w:rFonts w:ascii="Arial"/>
          <w:spacing w:val="-9"/>
          <w:w w:val="95"/>
          <w:sz w:val="11"/>
        </w:rPr>
        <w:t>500</w:t>
      </w:r>
    </w:p>
    <w:p>
      <w:pPr>
        <w:pStyle w:val="BodyText"/>
        <w:rPr>
          <w:rFonts w:ascii="Arial"/>
          <w:sz w:val="10"/>
        </w:rPr>
      </w:pPr>
    </w:p>
    <w:p>
      <w:pPr>
        <w:pStyle w:val="BodyText"/>
        <w:spacing w:before="11"/>
        <w:rPr>
          <w:rFonts w:ascii="Arial"/>
          <w:sz w:val="7"/>
        </w:rPr>
      </w:pPr>
    </w:p>
    <w:p>
      <w:pPr>
        <w:spacing w:before="0"/>
        <w:ind w:left="159" w:right="-15" w:firstLine="0"/>
        <w:jc w:val="left"/>
        <w:rPr>
          <w:rFonts w:ascii="Arial"/>
          <w:sz w:val="11"/>
        </w:rPr>
      </w:pPr>
      <w:r>
        <w:rPr>
          <w:rFonts w:ascii="Arial"/>
          <w:spacing w:val="-9"/>
          <w:w w:val="95"/>
          <w:sz w:val="11"/>
        </w:rPr>
        <w:t>450</w:t>
      </w:r>
    </w:p>
    <w:p>
      <w:pPr>
        <w:pStyle w:val="BodyText"/>
        <w:rPr>
          <w:rFonts w:ascii="Arial"/>
          <w:sz w:val="10"/>
        </w:rPr>
      </w:pPr>
    </w:p>
    <w:p>
      <w:pPr>
        <w:pStyle w:val="BodyText"/>
        <w:spacing w:before="1"/>
        <w:rPr>
          <w:rFonts w:ascii="Arial"/>
          <w:sz w:val="8"/>
        </w:rPr>
      </w:pPr>
    </w:p>
    <w:p>
      <w:pPr>
        <w:spacing w:before="0"/>
        <w:ind w:left="159" w:right="-15" w:firstLine="0"/>
        <w:jc w:val="left"/>
        <w:rPr>
          <w:rFonts w:ascii="Arial"/>
          <w:sz w:val="11"/>
        </w:rPr>
      </w:pPr>
      <w:r>
        <w:rPr>
          <w:rFonts w:ascii="Arial"/>
          <w:spacing w:val="-9"/>
          <w:w w:val="95"/>
          <w:sz w:val="11"/>
        </w:rPr>
        <w:t>400</w:t>
      </w:r>
    </w:p>
    <w:p>
      <w:pPr>
        <w:pStyle w:val="BodyText"/>
        <w:rPr>
          <w:rFonts w:ascii="Arial"/>
          <w:sz w:val="10"/>
        </w:rPr>
      </w:pPr>
    </w:p>
    <w:p>
      <w:pPr>
        <w:pStyle w:val="BodyText"/>
        <w:rPr>
          <w:rFonts w:ascii="Arial"/>
          <w:sz w:val="8"/>
        </w:rPr>
      </w:pPr>
    </w:p>
    <w:p>
      <w:pPr>
        <w:spacing w:before="0"/>
        <w:ind w:left="159" w:right="-15" w:firstLine="0"/>
        <w:jc w:val="left"/>
        <w:rPr>
          <w:rFonts w:ascii="Arial"/>
          <w:sz w:val="11"/>
        </w:rPr>
      </w:pPr>
      <w:r>
        <w:rPr>
          <w:rFonts w:ascii="Arial"/>
          <w:spacing w:val="-9"/>
          <w:w w:val="95"/>
          <w:sz w:val="11"/>
        </w:rPr>
        <w:t>350</w:t>
      </w:r>
    </w:p>
    <w:p>
      <w:pPr>
        <w:pStyle w:val="BodyText"/>
        <w:rPr>
          <w:rFonts w:ascii="Arial"/>
          <w:sz w:val="10"/>
        </w:rPr>
      </w:pPr>
    </w:p>
    <w:p>
      <w:pPr>
        <w:pStyle w:val="BodyText"/>
        <w:spacing w:before="11"/>
        <w:rPr>
          <w:rFonts w:ascii="Arial"/>
          <w:sz w:val="7"/>
        </w:rPr>
      </w:pPr>
    </w:p>
    <w:p>
      <w:pPr>
        <w:spacing w:before="0"/>
        <w:ind w:left="159" w:right="-15" w:firstLine="0"/>
        <w:jc w:val="left"/>
        <w:rPr>
          <w:rFonts w:ascii="Arial"/>
          <w:sz w:val="11"/>
        </w:rPr>
      </w:pPr>
      <w:r>
        <w:rPr>
          <w:rFonts w:ascii="Arial"/>
          <w:spacing w:val="-9"/>
          <w:w w:val="95"/>
          <w:sz w:val="11"/>
        </w:rPr>
        <w:t>300</w:t>
      </w:r>
    </w:p>
    <w:p>
      <w:pPr>
        <w:pStyle w:val="BodyText"/>
        <w:rPr>
          <w:rFonts w:ascii="Arial"/>
          <w:sz w:val="10"/>
        </w:rPr>
      </w:pPr>
    </w:p>
    <w:p>
      <w:pPr>
        <w:pStyle w:val="BodyText"/>
        <w:spacing w:before="1"/>
        <w:rPr>
          <w:rFonts w:ascii="Arial"/>
          <w:sz w:val="8"/>
        </w:rPr>
      </w:pPr>
    </w:p>
    <w:p>
      <w:pPr>
        <w:spacing w:before="0"/>
        <w:ind w:left="159" w:right="-15" w:firstLine="0"/>
        <w:jc w:val="left"/>
        <w:rPr>
          <w:rFonts w:ascii="Arial"/>
          <w:sz w:val="11"/>
        </w:rPr>
      </w:pPr>
      <w:r>
        <w:rPr>
          <w:rFonts w:ascii="Arial"/>
          <w:spacing w:val="-9"/>
          <w:w w:val="95"/>
          <w:sz w:val="11"/>
        </w:rPr>
        <w:t>250</w:t>
      </w:r>
    </w:p>
    <w:p>
      <w:pPr>
        <w:pStyle w:val="BodyText"/>
        <w:rPr>
          <w:rFonts w:ascii="Arial"/>
          <w:sz w:val="10"/>
        </w:rPr>
      </w:pPr>
      <w:r>
        <w:rPr/>
        <w:br w:type="column"/>
      </w:r>
      <w:r>
        <w:rPr>
          <w:rFonts w:ascii="Arial"/>
          <w:sz w:val="10"/>
        </w:rPr>
      </w: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spacing w:before="89"/>
        <w:ind w:left="-20" w:right="0" w:firstLine="0"/>
        <w:jc w:val="left"/>
        <w:rPr>
          <w:rFonts w:ascii="Arial"/>
          <w:sz w:val="11"/>
        </w:rPr>
      </w:pPr>
      <w:r>
        <w:rPr/>
        <w:pict>
          <v:group style="position:absolute;margin-left:265.667053pt;margin-top:-99.50695pt;width:132.050pt;height:104.45pt;mso-position-horizontal-relative:page;mso-position-vertical-relative:paragraph;z-index:-554680" coordorigin="5313,-1990" coordsize="2641,2089">
            <v:shape style="position:absolute;left:5715;top:1021;width:83;height:2620" coordorigin="5715,1021" coordsize="83,2620" path="m5319,32l5363,32m5371,49l5371,93m5371,49l5371,93m5319,-304l5363,-304m5319,-637l5363,-637m5319,-970l5363,-970m5319,-1305l5363,-1305m5319,-1639l5363,-1639e" filled="false" stroked="true" strokeweight=".520925pt" strokecolor="#000000">
              <v:path arrowok="t"/>
            </v:shape>
            <v:shape style="position:absolute;left:5371;top:-1755;width:2563;height:1669" coordorigin="5371,-1755" coordsize="2563,1669" path="m5371,-87l5513,-454,5655,-587,5797,-454,5939,-704,6083,-771,6225,-1004,6367,-954,6509,-1021,6653,-1388,6795,-1522,6937,-1471,7079,-1455,7221,-1489,7364,-1489,7506,-1321,7649,-1672,7791,-1755,7934,-1755e" filled="false" stroked="true" strokeweight=".605133pt" strokecolor="#0000ff">
              <v:path arrowok="t"/>
            </v:shape>
            <v:shape style="position:absolute;left:5715;top:517;width:4132;height:3124" coordorigin="5715,517" coordsize="4132,3124" path="m5319,-1972l5363,-1972m5513,49l5513,93m5655,49l5655,93m5655,49l5655,93m5797,49l5797,93m5939,49l5939,93m5939,49l5939,93m6083,49l6083,93m6225,49l6225,93m6225,49l6225,93m6367,49l6367,93m6509,49l6509,93m6509,49l6509,93m6653,49l6653,93m6795,49l6795,93m6795,49l6795,93m6937,49l6937,93m7079,49l7079,93m7079,49l7079,93m7221,49l7221,93m7364,49l7364,93m7364,49l7364,93m7506,49l7506,93m7649,49l7649,93m7649,49l7649,93m7791,49l7791,93m7934,49l7934,93m7934,49l7934,93e" filled="false" stroked="true" strokeweight=".520925pt" strokecolor="#000000">
              <v:path arrowok="t"/>
            </v:shape>
            <v:rect style="position:absolute;left:5363;top:-1981;width:2582;height:2023" filled="false" stroked="true" strokeweight=".872754pt" strokecolor="#000000"/>
            <w10:wrap type="none"/>
          </v:group>
        </w:pict>
      </w:r>
      <w:r>
        <w:rPr/>
        <w:pict>
          <v:group style="position:absolute;margin-left:417.479156pt;margin-top:-99.764793pt;width:132.050pt;height:104.45pt;mso-position-horizontal-relative:page;mso-position-vertical-relative:paragraph;z-index:-554560" coordorigin="8350,-1995" coordsize="2641,2089">
            <v:shape style="position:absolute;left:10512;top:509;width:83;height:3125" coordorigin="10512,509" coordsize="83,3125" path="m8355,26l8399,26m8408,44l8408,88m8408,44l8408,88m8355,-309l8399,-309m8355,-642l8399,-642m8355,-976l8399,-976m8355,-1311l8399,-1311m8355,-1644l8399,-1644m8355,-1978l8399,-1978e" filled="false" stroked="true" strokeweight=".520925pt" strokecolor="#000000">
              <v:path arrowok="t"/>
            </v:shape>
            <v:shape style="position:absolute;left:8408;top:-1905;width:2563;height:1604" coordorigin="8408,-1905" coordsize="2563,1604" path="m8408,-302l8549,-582,8691,-676,8834,-649,8976,-503,9119,-455,9261,-448,9403,-709,9545,-729,9689,-743,9831,-1196,9973,-1277,10115,-1277,10257,-882,10401,-923,10543,-1103,10685,-1076,10827,-1177,10970,-1905e" filled="false" stroked="true" strokeweight=".605562pt" strokecolor="#0000ff">
              <v:path arrowok="t"/>
            </v:shape>
            <v:shape style="position:absolute;left:10819;top:3566;width:3825;height:67" coordorigin="10819,3566" coordsize="3825,67" path="m8549,44l8549,88m8691,44l8691,88m8691,44l8691,88m8834,44l8834,88m8976,44l8976,88m8976,44l8976,88m9119,44l9119,88m9261,44l9261,88m9261,44l9261,88m9403,44l9403,88m9545,44l9545,88m9545,44l9545,88m9689,44l9689,88m9831,44l9831,88m9831,44l9831,88m9973,44l9973,88m10115,44l10115,88m10115,44l10115,88m10257,44l10257,88m10401,44l10401,88m10401,44l10401,88m10543,44l10543,88m10685,44l10685,88m10685,44l10685,88m10827,44l10827,88m10970,44l10970,88m10970,44l10970,88e" filled="false" stroked="true" strokeweight=".520925pt" strokecolor="#000000">
              <v:path arrowok="t"/>
            </v:shape>
            <v:rect style="position:absolute;left:8399;top:-1986;width:2582;height:2023" filled="false" stroked="true" strokeweight=".872754pt" strokecolor="#000000"/>
            <w10:wrap type="none"/>
          </v:group>
        </w:pict>
      </w:r>
      <w:r>
        <w:rPr>
          <w:rFonts w:ascii="Arial"/>
          <w:spacing w:val="-5"/>
          <w:sz w:val="11"/>
        </w:rPr>
        <w:t>92       94       96       98       00       02       04       06       08    </w:t>
      </w:r>
      <w:r>
        <w:rPr>
          <w:rFonts w:ascii="Arial"/>
          <w:spacing w:val="-9"/>
          <w:sz w:val="11"/>
        </w:rPr>
        <w:t>10</w:t>
      </w:r>
    </w:p>
    <w:p>
      <w:pPr>
        <w:spacing w:after="0"/>
        <w:jc w:val="left"/>
        <w:rPr>
          <w:rFonts w:ascii="Arial"/>
          <w:sz w:val="11"/>
        </w:rPr>
        <w:sectPr>
          <w:type w:val="continuous"/>
          <w:pgSz w:w="12250" w:h="15850"/>
          <w:pgMar w:top="1500" w:bottom="280" w:left="1720" w:right="1000"/>
          <w:cols w:num="6" w:equalWidth="0">
            <w:col w:w="440" w:space="40"/>
            <w:col w:w="2645" w:space="40"/>
            <w:col w:w="417" w:space="40"/>
            <w:col w:w="2645" w:space="40"/>
            <w:col w:w="312" w:space="40"/>
            <w:col w:w="2871"/>
          </w:cols>
        </w:sectPr>
      </w:pPr>
    </w:p>
    <w:p>
      <w:pPr>
        <w:tabs>
          <w:tab w:pos="5581" w:val="left" w:leader="none"/>
        </w:tabs>
        <w:spacing w:before="39"/>
        <w:ind w:left="2324" w:right="0" w:firstLine="0"/>
        <w:jc w:val="left"/>
        <w:rPr>
          <w:rFonts w:ascii="Arial" w:hAnsi="Arial"/>
          <w:sz w:val="11"/>
        </w:rPr>
      </w:pPr>
      <w:r>
        <w:rPr/>
        <w:pict>
          <v:shape style="position:absolute;margin-left:199.508835pt;margin-top:.318837pt;width:24pt;height:9.8pt;mso-position-horizontal-relative:page;mso-position-vertical-relative:paragraph;z-index:-554752" type="#_x0000_t202" filled="false" stroked="false">
            <v:textbox inset="0,0,0,0">
              <w:txbxContent>
                <w:p>
                  <w:pPr>
                    <w:spacing w:before="0"/>
                    <w:ind w:left="0" w:right="28" w:firstLine="0"/>
                    <w:jc w:val="center"/>
                    <w:rPr>
                      <w:rFonts w:ascii="Arial"/>
                      <w:sz w:val="15"/>
                    </w:rPr>
                  </w:pPr>
                  <w:r>
                    <w:rPr>
                      <w:rFonts w:ascii="Arial"/>
                      <w:w w:val="94"/>
                      <w:sz w:val="15"/>
                    </w:rPr>
                    <w:t>A</w:t>
                  </w:r>
                </w:p>
              </w:txbxContent>
            </v:textbox>
            <w10:wrap type="none"/>
          </v:shape>
        </w:pict>
      </w:r>
      <w:r>
        <w:rPr/>
        <w:pict>
          <v:shape style="position:absolute;margin-left:362.39209pt;margin-top:1.641128pt;width:45.75pt;height:9.8pt;mso-position-horizontal-relative:page;mso-position-vertical-relative:paragraph;z-index:-554728" type="#_x0000_t202" filled="false" stroked="false">
            <v:textbox inset="0,0,0,0">
              <w:txbxContent>
                <w:p>
                  <w:pPr>
                    <w:spacing w:line="155" w:lineRule="exact" w:before="0"/>
                    <w:ind w:left="280" w:right="0" w:firstLine="0"/>
                    <w:jc w:val="left"/>
                    <w:rPr>
                      <w:rFonts w:ascii="Arial"/>
                      <w:sz w:val="15"/>
                    </w:rPr>
                  </w:pPr>
                  <w:r>
                    <w:rPr>
                      <w:rFonts w:ascii="Arial"/>
                      <w:sz w:val="15"/>
                    </w:rPr>
                    <w:t>MO</w:t>
                  </w:r>
                </w:p>
              </w:txbxContent>
            </v:textbox>
            <w10:wrap type="none"/>
          </v:shape>
        </w:pict>
      </w:r>
      <w:r>
        <w:rPr/>
        <w:pict>
          <v:group style="position:absolute;margin-left:199.233841pt;margin-top:.043837pt;width:24.55pt;height:10.35pt;mso-position-horizontal-relative:page;mso-position-vertical-relative:paragraph;z-index:-554512" coordorigin="3985,1" coordsize="491,207">
            <v:rect style="position:absolute;left:3990;top:6;width:480;height:196" filled="true" fillcolor="#ffffff" stroked="false">
              <v:fill type="solid"/>
            </v:rect>
            <v:rect style="position:absolute;left:3990;top:6;width:480;height:196" filled="false" stroked="true" strokeweight=".529022pt" strokecolor="#000000"/>
            <w10:wrap type="none"/>
          </v:group>
        </w:pict>
      </w:r>
      <w:r>
        <w:rPr/>
        <w:pict>
          <v:group style="position:absolute;margin-left:362.117065pt;margin-top:1.366128pt;width:46.3pt;height:10.35pt;mso-position-horizontal-relative:page;mso-position-vertical-relative:paragraph;z-index:-554488" coordorigin="7242,27" coordsize="926,207">
            <v:rect style="position:absolute;left:7248;top:33;width:914;height:196" filled="true" fillcolor="#ffffff" stroked="false">
              <v:fill type="solid"/>
            </v:rect>
            <v:rect style="position:absolute;left:7248;top:33;width:914;height:196" filled="false" stroked="true" strokeweight=".531262pt" strokecolor="#000000"/>
            <w10:wrap type="none"/>
          </v:group>
        </w:pict>
      </w:r>
      <w:r>
        <w:rPr>
          <w:rFonts w:ascii="Arial" w:hAnsi="Arial"/>
          <w:position w:val="3"/>
          <w:sz w:val="11"/>
        </w:rPr>
        <w:t>ÁFRICA</w:t>
        <w:tab/>
      </w:r>
      <w:r>
        <w:rPr>
          <w:rFonts w:ascii="Arial" w:hAnsi="Arial"/>
          <w:spacing w:val="-1"/>
          <w:w w:val="95"/>
          <w:sz w:val="11"/>
        </w:rPr>
        <w:t>MEDIO</w:t>
      </w:r>
      <w:r>
        <w:rPr>
          <w:rFonts w:ascii="Arial" w:hAnsi="Arial"/>
          <w:spacing w:val="-2"/>
          <w:w w:val="95"/>
          <w:sz w:val="11"/>
        </w:rPr>
        <w:t> </w:t>
      </w:r>
      <w:r>
        <w:rPr>
          <w:rFonts w:ascii="Arial" w:hAnsi="Arial"/>
          <w:spacing w:val="-1"/>
          <w:w w:val="95"/>
          <w:sz w:val="11"/>
        </w:rPr>
        <w:t>ORIENTE</w:t>
      </w:r>
    </w:p>
    <w:p>
      <w:pPr>
        <w:tabs>
          <w:tab w:pos="4361" w:val="left" w:leader="none"/>
        </w:tabs>
        <w:spacing w:before="43"/>
        <w:ind w:left="985" w:right="0" w:firstLine="0"/>
        <w:jc w:val="left"/>
        <w:rPr>
          <w:rFonts w:ascii="Arial"/>
          <w:sz w:val="11"/>
        </w:rPr>
      </w:pPr>
      <w:r>
        <w:rPr/>
        <w:pict>
          <v:group style="position:absolute;margin-left:314.863708pt;margin-top:6.122591pt;width:132pt;height:104.45pt;mso-position-horizontal-relative:page;mso-position-vertical-relative:paragraph;z-index:-554608" coordorigin="6297,122" coordsize="2640,2089">
            <v:shape style="position:absolute;left:7270;top:4305;width:83;height:2746" coordorigin="7270,4305" coordsize="83,2746" path="m6303,2144l6347,2144m6355,2161l6355,2206m6355,2161l6355,2206m6303,1893l6347,1893m6303,1643l6347,1643m6303,1393l6347,1393m6303,1142l6347,1142m6303,892l6347,892m6303,641l6347,641m6303,391l6347,391e" filled="false" stroked="true" strokeweight=".520925pt" strokecolor="#000000">
              <v:path arrowok="t"/>
            </v:shape>
            <v:shape style="position:absolute;left:6355;top:317;width:2564;height:1678" coordorigin="6355,317" coordsize="2564,1678" path="m6355,1994l6497,1742,6639,1666,6781,1650,6923,1647,7067,1620,7209,1484,7351,1454,7493,1456,7636,1322,7779,1172,7921,1167,8063,493,8205,488,8348,433,8490,433,8632,454,8774,399,8918,317e" filled="false" stroked="true" strokeweight=".605077pt" strokecolor="#0000ff">
              <v:path arrowok="t"/>
            </v:shape>
            <v:shape style="position:absolute;left:7270;top:3926;width:4132;height:3125" coordorigin="7270,3926" coordsize="4132,3125" path="m6303,140l6347,140m6497,2161l6497,2206m6639,2161l6639,2206m6639,2161l6639,2206m6781,2161l6781,2206m6923,2161l6923,2206m6923,2161l6923,2206m7067,2161l7067,2206m7209,2161l7209,2206m7209,2161l7209,2206m7351,2161l7351,2206m7493,2161l7493,2206m7493,2161l7493,2206m7636,2161l7636,2206m7779,2161l7779,2206m7779,2161l7779,2206m7921,2161l7921,2206m8063,2161l8063,2206m8063,2161l8063,2206m8205,2161l8205,2206m8348,2161l8348,2206m8348,2161l8348,2206m8490,2161l8490,2206m8632,2161l8632,2206m8632,2161l8632,2206m8774,2161l8774,2206m8918,2161l8918,2206m8918,2161l8918,2206e" filled="false" stroked="true" strokeweight=".520925pt" strokecolor="#000000">
              <v:path arrowok="t"/>
            </v:shape>
            <v:rect style="position:absolute;left:6347;top:131;width:2581;height:2023" filled="false" stroked="true" strokeweight=".872753pt" strokecolor="#000000"/>
            <w10:wrap type="none"/>
          </v:group>
        </w:pict>
      </w:r>
      <w:r>
        <w:rPr/>
        <w:pict>
          <v:group style="position:absolute;margin-left:143.517914pt;margin-top:5.686234pt;width:132.050pt;height:104.45pt;mso-position-horizontal-relative:page;mso-position-vertical-relative:paragraph;z-index:-554584" coordorigin="2870,114" coordsize="2641,2089">
            <v:shape style="position:absolute;left:1856;top:3913;width:83;height:3125" coordorigin="1856,3913" coordsize="83,3125" path="m2876,2133l2920,2133m2928,2153l2928,2197m2928,2153l2928,2197m2876,1634l2920,1634m2876,1133l2920,1133m2876,632l2920,632m2876,131l2920,131e" filled="false" stroked="true" strokeweight=".520925pt" strokecolor="#000000">
              <v:path arrowok="t"/>
            </v:shape>
            <v:shape style="position:absolute;left:2928;top:181;width:2563;height:1854" coordorigin="2928,181" coordsize="2563,1854" path="m2928,2035l3070,1664,3212,1694,3354,1714,3496,1784,3640,1844,3782,1643,3924,1523,4066,1193,4210,1193,4352,1183,4494,952,4636,601,4778,361,4922,271,5063,290,5206,230,5348,191,5491,181e" filled="false" stroked="true" strokeweight=".603938pt" strokecolor="#0000ff">
              <v:path arrowok="t"/>
            </v:shape>
            <v:shape style="position:absolute;left:2163;top:6970;width:3825;height:67" coordorigin="2163,6970" coordsize="3825,67" path="m3070,2153l3070,2197m3212,2153l3212,2197m3212,2153l3212,2197m3354,2153l3354,2197m3496,2153l3496,2197m3496,2153l3496,2197m3640,2153l3640,2197m3782,2153l3782,2197m3782,2153l3782,2197m3924,2153l3924,2197m4066,2153l4066,2197m4066,2153l4066,2197m4210,2153l4210,2197m4352,2153l4352,2197m4352,2153l4352,2197m4494,2153l4494,2197m4636,2153l4636,2197m4636,2153l4636,2197m4778,2153l4778,2197m4922,2153l4922,2197m4922,2153l4922,2197m5063,2153l5063,2197m5206,2153l5206,2197m5206,2153l5206,2197m5348,2153l5348,2197m5491,2153l5491,2197m5491,2153l5491,2197e" filled="false" stroked="true" strokeweight=".520925pt" strokecolor="#000000">
              <v:path arrowok="t"/>
            </v:shape>
            <v:rect style="position:absolute;left:2920;top:123;width:2581;height:2023" filled="false" stroked="true" strokeweight=".872756pt" strokecolor="#000000"/>
            <w10:wrap type="none"/>
          </v:group>
        </w:pict>
      </w:r>
      <w:r>
        <w:rPr>
          <w:rFonts w:ascii="Arial"/>
          <w:spacing w:val="-6"/>
          <w:position w:val="1"/>
          <w:sz w:val="11"/>
        </w:rPr>
        <w:t>500</w:t>
        <w:tab/>
      </w:r>
      <w:r>
        <w:rPr>
          <w:rFonts w:ascii="Arial"/>
          <w:spacing w:val="-9"/>
          <w:sz w:val="11"/>
        </w:rPr>
        <w:t>2800</w:t>
      </w:r>
    </w:p>
    <w:p>
      <w:pPr>
        <w:pStyle w:val="BodyText"/>
        <w:spacing w:before="8"/>
        <w:rPr>
          <w:rFonts w:ascii="Arial"/>
          <w:sz w:val="10"/>
        </w:rPr>
      </w:pPr>
    </w:p>
    <w:p>
      <w:pPr>
        <w:spacing w:before="1"/>
        <w:ind w:left="1244" w:right="1839" w:firstLine="0"/>
        <w:jc w:val="center"/>
        <w:rPr>
          <w:rFonts w:ascii="Arial"/>
          <w:sz w:val="11"/>
        </w:rPr>
      </w:pPr>
      <w:r>
        <w:rPr>
          <w:rFonts w:ascii="Arial"/>
          <w:sz w:val="11"/>
        </w:rPr>
        <w:t>2600</w:t>
      </w:r>
    </w:p>
    <w:p>
      <w:pPr>
        <w:pStyle w:val="BodyText"/>
        <w:spacing w:before="10"/>
        <w:rPr>
          <w:rFonts w:ascii="Arial"/>
          <w:sz w:val="9"/>
        </w:rPr>
      </w:pPr>
    </w:p>
    <w:p>
      <w:pPr>
        <w:tabs>
          <w:tab w:pos="4361" w:val="left" w:leader="none"/>
        </w:tabs>
        <w:spacing w:before="0"/>
        <w:ind w:left="985" w:right="0" w:firstLine="0"/>
        <w:jc w:val="left"/>
        <w:rPr>
          <w:rFonts w:ascii="Arial"/>
          <w:sz w:val="11"/>
        </w:rPr>
      </w:pPr>
      <w:r>
        <w:rPr>
          <w:rFonts w:ascii="Arial"/>
          <w:spacing w:val="-6"/>
          <w:position w:val="1"/>
          <w:sz w:val="11"/>
        </w:rPr>
        <w:t>450</w:t>
        <w:tab/>
      </w:r>
      <w:r>
        <w:rPr>
          <w:rFonts w:ascii="Arial"/>
          <w:spacing w:val="-9"/>
          <w:sz w:val="11"/>
        </w:rPr>
        <w:t>2400</w:t>
      </w:r>
    </w:p>
    <w:p>
      <w:pPr>
        <w:pStyle w:val="BodyText"/>
        <w:spacing w:before="8"/>
        <w:rPr>
          <w:rFonts w:ascii="Arial"/>
          <w:sz w:val="10"/>
        </w:rPr>
      </w:pPr>
    </w:p>
    <w:p>
      <w:pPr>
        <w:spacing w:before="1"/>
        <w:ind w:left="1244" w:right="1839" w:firstLine="0"/>
        <w:jc w:val="center"/>
        <w:rPr>
          <w:rFonts w:ascii="Arial"/>
          <w:sz w:val="11"/>
        </w:rPr>
      </w:pPr>
      <w:r>
        <w:rPr>
          <w:rFonts w:ascii="Arial"/>
          <w:sz w:val="11"/>
        </w:rPr>
        <w:t>2200</w:t>
      </w:r>
    </w:p>
    <w:p>
      <w:pPr>
        <w:pStyle w:val="BodyText"/>
        <w:spacing w:before="10"/>
        <w:rPr>
          <w:rFonts w:ascii="Arial"/>
          <w:sz w:val="9"/>
        </w:rPr>
      </w:pPr>
    </w:p>
    <w:p>
      <w:pPr>
        <w:tabs>
          <w:tab w:pos="4361" w:val="left" w:leader="none"/>
        </w:tabs>
        <w:spacing w:before="0"/>
        <w:ind w:left="985" w:right="0" w:firstLine="0"/>
        <w:jc w:val="left"/>
        <w:rPr>
          <w:rFonts w:ascii="Arial"/>
          <w:sz w:val="11"/>
        </w:rPr>
      </w:pPr>
      <w:r>
        <w:rPr>
          <w:rFonts w:ascii="Arial"/>
          <w:spacing w:val="-6"/>
          <w:position w:val="1"/>
          <w:sz w:val="11"/>
        </w:rPr>
        <w:t>400</w:t>
        <w:tab/>
      </w:r>
      <w:r>
        <w:rPr>
          <w:rFonts w:ascii="Arial"/>
          <w:spacing w:val="-9"/>
          <w:sz w:val="11"/>
        </w:rPr>
        <w:t>2000</w:t>
      </w:r>
    </w:p>
    <w:p>
      <w:pPr>
        <w:pStyle w:val="BodyText"/>
        <w:spacing w:before="9"/>
        <w:rPr>
          <w:rFonts w:ascii="Arial"/>
          <w:sz w:val="10"/>
        </w:rPr>
      </w:pPr>
    </w:p>
    <w:p>
      <w:pPr>
        <w:spacing w:before="0"/>
        <w:ind w:left="1244" w:right="1839" w:firstLine="0"/>
        <w:jc w:val="center"/>
        <w:rPr>
          <w:rFonts w:ascii="Arial"/>
          <w:sz w:val="11"/>
        </w:rPr>
      </w:pPr>
      <w:r>
        <w:rPr>
          <w:rFonts w:ascii="Arial"/>
          <w:sz w:val="11"/>
        </w:rPr>
        <w:t>1800</w:t>
      </w:r>
    </w:p>
    <w:p>
      <w:pPr>
        <w:pStyle w:val="BodyText"/>
        <w:spacing w:before="10"/>
        <w:rPr>
          <w:rFonts w:ascii="Arial"/>
          <w:sz w:val="9"/>
        </w:rPr>
      </w:pPr>
    </w:p>
    <w:p>
      <w:pPr>
        <w:tabs>
          <w:tab w:pos="4361" w:val="left" w:leader="none"/>
        </w:tabs>
        <w:spacing w:before="0"/>
        <w:ind w:left="985" w:right="0" w:firstLine="0"/>
        <w:jc w:val="left"/>
        <w:rPr>
          <w:rFonts w:ascii="Arial"/>
          <w:sz w:val="11"/>
        </w:rPr>
      </w:pPr>
      <w:r>
        <w:rPr>
          <w:rFonts w:ascii="Arial"/>
          <w:spacing w:val="-6"/>
          <w:position w:val="1"/>
          <w:sz w:val="11"/>
        </w:rPr>
        <w:t>350</w:t>
        <w:tab/>
      </w:r>
      <w:r>
        <w:rPr>
          <w:rFonts w:ascii="Arial"/>
          <w:spacing w:val="-9"/>
          <w:sz w:val="11"/>
        </w:rPr>
        <w:t>1600</w:t>
      </w:r>
    </w:p>
    <w:p>
      <w:pPr>
        <w:pStyle w:val="BodyText"/>
        <w:spacing w:before="9"/>
        <w:rPr>
          <w:rFonts w:ascii="Arial"/>
          <w:sz w:val="10"/>
        </w:rPr>
      </w:pPr>
    </w:p>
    <w:p>
      <w:pPr>
        <w:spacing w:before="0"/>
        <w:ind w:left="1244" w:right="1839" w:firstLine="0"/>
        <w:jc w:val="center"/>
        <w:rPr>
          <w:rFonts w:ascii="Arial"/>
          <w:sz w:val="11"/>
        </w:rPr>
      </w:pPr>
      <w:r>
        <w:rPr>
          <w:rFonts w:ascii="Arial"/>
          <w:sz w:val="11"/>
        </w:rPr>
        <w:t>1400</w:t>
      </w:r>
    </w:p>
    <w:p>
      <w:pPr>
        <w:spacing w:after="0"/>
        <w:jc w:val="center"/>
        <w:rPr>
          <w:rFonts w:ascii="Arial"/>
          <w:sz w:val="11"/>
        </w:rPr>
        <w:sectPr>
          <w:type w:val="continuous"/>
          <w:pgSz w:w="12250" w:h="15850"/>
          <w:pgMar w:top="1500" w:bottom="280" w:left="1720" w:right="1000"/>
        </w:sectPr>
      </w:pPr>
    </w:p>
    <w:p>
      <w:pPr>
        <w:pStyle w:val="BodyText"/>
        <w:spacing w:before="9"/>
        <w:rPr>
          <w:rFonts w:ascii="Arial"/>
          <w:sz w:val="9"/>
        </w:rPr>
      </w:pPr>
    </w:p>
    <w:p>
      <w:pPr>
        <w:spacing w:before="0"/>
        <w:ind w:left="985" w:right="-5" w:firstLine="0"/>
        <w:jc w:val="left"/>
        <w:rPr>
          <w:rFonts w:ascii="Arial"/>
          <w:sz w:val="11"/>
        </w:rPr>
      </w:pPr>
      <w:r>
        <w:rPr>
          <w:rFonts w:ascii="Arial"/>
          <w:sz w:val="11"/>
        </w:rPr>
        <w:t>300</w:t>
      </w:r>
    </w:p>
    <w:p>
      <w:pPr>
        <w:spacing w:before="25"/>
        <w:ind w:left="1157" w:right="-5" w:firstLine="0"/>
        <w:jc w:val="left"/>
        <w:rPr>
          <w:rFonts w:ascii="Arial"/>
          <w:sz w:val="11"/>
        </w:rPr>
      </w:pPr>
      <w:r>
        <w:rPr>
          <w:rFonts w:ascii="Arial"/>
          <w:spacing w:val="-5"/>
          <w:sz w:val="11"/>
        </w:rPr>
        <w:t>92       94       96       98       00       02       04       06       08    </w:t>
      </w:r>
      <w:r>
        <w:rPr>
          <w:rFonts w:ascii="Arial"/>
          <w:spacing w:val="-9"/>
          <w:sz w:val="11"/>
        </w:rPr>
        <w:t>10</w:t>
      </w:r>
    </w:p>
    <w:p>
      <w:pPr>
        <w:pStyle w:val="BodyText"/>
        <w:spacing w:before="8"/>
        <w:rPr>
          <w:rFonts w:ascii="Arial"/>
          <w:sz w:val="10"/>
        </w:rPr>
      </w:pPr>
      <w:r>
        <w:rPr/>
        <w:br w:type="column"/>
      </w:r>
      <w:r>
        <w:rPr>
          <w:rFonts w:ascii="Arial"/>
          <w:sz w:val="10"/>
        </w:rPr>
      </w:r>
    </w:p>
    <w:p>
      <w:pPr>
        <w:spacing w:before="1"/>
        <w:ind w:left="0" w:right="0" w:firstLine="0"/>
        <w:jc w:val="right"/>
        <w:rPr>
          <w:rFonts w:ascii="Arial"/>
          <w:sz w:val="11"/>
        </w:rPr>
      </w:pPr>
      <w:r>
        <w:rPr>
          <w:rFonts w:ascii="Arial"/>
          <w:w w:val="95"/>
          <w:sz w:val="11"/>
        </w:rPr>
        <w:t>1200</w:t>
      </w:r>
    </w:p>
    <w:p>
      <w:pPr>
        <w:pStyle w:val="BodyText"/>
        <w:rPr>
          <w:rFonts w:ascii="Arial"/>
          <w:sz w:val="10"/>
        </w:rPr>
      </w:pPr>
      <w:r>
        <w:rPr/>
        <w:br w:type="column"/>
      </w:r>
      <w:r>
        <w:rPr>
          <w:rFonts w:ascii="Arial"/>
          <w:sz w:val="10"/>
        </w:rPr>
      </w:r>
    </w:p>
    <w:p>
      <w:pPr>
        <w:pStyle w:val="BodyText"/>
        <w:spacing w:before="9"/>
        <w:rPr>
          <w:rFonts w:ascii="Arial"/>
          <w:sz w:val="13"/>
        </w:rPr>
      </w:pPr>
    </w:p>
    <w:p>
      <w:pPr>
        <w:spacing w:before="0"/>
        <w:ind w:left="-20" w:right="0" w:firstLine="0"/>
        <w:jc w:val="left"/>
        <w:rPr>
          <w:rFonts w:ascii="Arial"/>
          <w:sz w:val="11"/>
        </w:rPr>
      </w:pPr>
      <w:r>
        <w:rPr>
          <w:rFonts w:ascii="Arial"/>
          <w:sz w:val="11"/>
        </w:rPr>
        <w:t>92       94       96       98       00       02       04       06       08    10</w:t>
      </w:r>
    </w:p>
    <w:p>
      <w:pPr>
        <w:spacing w:after="0"/>
        <w:jc w:val="left"/>
        <w:rPr>
          <w:rFonts w:ascii="Arial"/>
          <w:sz w:val="11"/>
        </w:rPr>
        <w:sectPr>
          <w:type w:val="continuous"/>
          <w:pgSz w:w="12250" w:h="15850"/>
          <w:pgMar w:top="1500" w:bottom="280" w:left="1720" w:right="1000"/>
          <w:cols w:num="3" w:equalWidth="0">
            <w:col w:w="3822" w:space="40"/>
            <w:col w:w="703" w:space="40"/>
            <w:col w:w="4925"/>
          </w:cols>
        </w:sectPr>
      </w:pPr>
    </w:p>
    <w:p>
      <w:pPr>
        <w:pStyle w:val="BodyText"/>
        <w:spacing w:before="4"/>
        <w:rPr>
          <w:rFonts w:ascii="Arial"/>
          <w:sz w:val="16"/>
        </w:rPr>
      </w:pPr>
    </w:p>
    <w:p>
      <w:pPr>
        <w:spacing w:before="80"/>
        <w:ind w:left="690" w:right="0" w:firstLine="0"/>
        <w:jc w:val="left"/>
        <w:rPr>
          <w:sz w:val="16"/>
        </w:rPr>
      </w:pPr>
      <w:r>
        <w:rPr>
          <w:sz w:val="16"/>
        </w:rPr>
        <w:t>Fuente: EIA, 2011.</w:t>
      </w:r>
    </w:p>
    <w:p>
      <w:pPr>
        <w:spacing w:after="0"/>
        <w:jc w:val="left"/>
        <w:rPr>
          <w:sz w:val="16"/>
        </w:rPr>
        <w:sectPr>
          <w:type w:val="continuous"/>
          <w:pgSz w:w="12250" w:h="15850"/>
          <w:pgMar w:top="1500" w:bottom="280" w:left="1720" w:right="1000"/>
        </w:sectPr>
      </w:pPr>
    </w:p>
    <w:p>
      <w:pPr>
        <w:pStyle w:val="Heading4"/>
        <w:spacing w:line="276" w:lineRule="auto" w:before="55"/>
        <w:ind w:left="4141" w:right="127" w:hanging="3695"/>
      </w:pPr>
      <w:bookmarkStart w:name="_bookmark173" w:id="238"/>
      <w:bookmarkEnd w:id="238"/>
      <w:r>
        <w:rPr>
          <w:b w:val="0"/>
        </w:rPr>
      </w:r>
      <w:r>
        <w:rPr/>
        <w:t>Anexo 2.4. Bases de datos utilizadas para relaciones del índice de precio del gas natural</w:t>
      </w:r>
    </w:p>
    <w:p>
      <w:pPr>
        <w:pStyle w:val="BodyText"/>
        <w:rPr>
          <w:b/>
          <w:sz w:val="23"/>
        </w:rPr>
      </w:pPr>
    </w:p>
    <w:p>
      <w:pPr>
        <w:pStyle w:val="BodyText"/>
        <w:spacing w:line="360" w:lineRule="auto"/>
        <w:ind w:left="102" w:right="116"/>
        <w:jc w:val="both"/>
      </w:pPr>
      <w:r>
        <w:rPr/>
        <w:t>El índice de precios del gas natural fue tomado en base a un simple promedio de tres precios: </w:t>
      </w:r>
      <w:r>
        <w:rPr>
          <w:i/>
        </w:rPr>
        <w:t>Henry Hub (EEUU)</w:t>
      </w:r>
      <w:r>
        <w:rPr/>
        <w:t>, precios del gas natural de Japón y de Rusia. El índice de precio del petróleo fue calculado en función de: </w:t>
      </w:r>
      <w:r>
        <w:rPr>
          <w:i/>
        </w:rPr>
        <w:t>West Texas Intermediate </w:t>
      </w:r>
      <w:r>
        <w:rPr/>
        <w:t>(</w:t>
      </w:r>
      <w:r>
        <w:rPr>
          <w:i/>
        </w:rPr>
        <w:t>EEUU</w:t>
      </w:r>
      <w:r>
        <w:rPr/>
        <w:t>), </w:t>
      </w:r>
      <w:r>
        <w:rPr>
          <w:i/>
        </w:rPr>
        <w:t>Dated </w:t>
      </w:r>
      <w:r>
        <w:rPr>
          <w:i/>
        </w:rPr>
        <w:t>Brent </w:t>
      </w:r>
      <w:r>
        <w:rPr/>
        <w:t>(</w:t>
      </w:r>
      <w:r>
        <w:rPr>
          <w:i/>
        </w:rPr>
        <w:t>Reino Unido</w:t>
      </w:r>
      <w:r>
        <w:rPr/>
        <w:t>), y </w:t>
      </w:r>
      <w:r>
        <w:rPr>
          <w:i/>
        </w:rPr>
        <w:t>Dubai Fateh </w:t>
      </w:r>
      <w:r>
        <w:rPr/>
        <w:t>(</w:t>
      </w:r>
      <w:r>
        <w:rPr>
          <w:i/>
        </w:rPr>
        <w:t>Golfo Pérsico</w:t>
      </w:r>
      <w:r>
        <w:rPr/>
        <w:t>). El índice de precios de materias primas no petroleras, incluye productos industriales, metales y agrícolas. En todos los casos, el año base fue 2005=100 (Fondo Monetario Internacional, FMI)/ </w:t>
      </w:r>
      <w:r>
        <w:rPr>
          <w:i/>
        </w:rPr>
        <w:t>IMF Primary </w:t>
      </w:r>
      <w:r>
        <w:rPr>
          <w:i/>
        </w:rPr>
        <w:t>Commoditie Prices</w:t>
      </w:r>
      <w:r>
        <w:rPr/>
        <w:t>. La tasa de interés de los fondos federales fue tomada de la Reserva Federal de EEUU. El índice nominal efectivo del dólar (</w:t>
      </w:r>
      <w:r>
        <w:rPr>
          <w:i/>
        </w:rPr>
        <w:t>neer</w:t>
      </w:r>
      <w:r>
        <w:rPr/>
        <w:t>) se obtuvo del </w:t>
      </w:r>
      <w:r>
        <w:rPr>
          <w:i/>
        </w:rPr>
        <w:t>Bank for </w:t>
      </w:r>
      <w:r>
        <w:rPr>
          <w:i/>
        </w:rPr>
        <w:t>International Settlements </w:t>
      </w:r>
      <w:r>
        <w:rPr/>
        <w:t>(</w:t>
      </w:r>
      <w:r>
        <w:rPr>
          <w:i/>
        </w:rPr>
        <w:t>BIS</w:t>
      </w:r>
      <w:r>
        <w:rPr/>
        <w:t>). La tasa de crecimiento económico internacional fue obtenida por un simple promedio del PIB real de ocho economías perteneciente a la OECD: Australia, Francia, Estados Unidos, Sud-África, Reino Unido, Corea del Sur, Italia y Canadá.</w:t>
      </w:r>
    </w:p>
    <w:p>
      <w:pPr>
        <w:spacing w:after="0" w:line="360" w:lineRule="auto"/>
        <w:jc w:val="both"/>
        <w:sectPr>
          <w:pgSz w:w="12250" w:h="15850"/>
          <w:pgMar w:header="0" w:footer="977" w:top="1360" w:bottom="1220" w:left="1600" w:right="1580"/>
        </w:sectPr>
      </w:pPr>
    </w:p>
    <w:p>
      <w:pPr>
        <w:pStyle w:val="Heading4"/>
        <w:spacing w:before="55"/>
        <w:ind w:left="0" w:right="16" w:firstLine="0"/>
        <w:jc w:val="center"/>
      </w:pPr>
      <w:bookmarkStart w:name="_bookmark174" w:id="239"/>
      <w:bookmarkEnd w:id="239"/>
      <w:r>
        <w:rPr>
          <w:b w:val="0"/>
        </w:rPr>
      </w:r>
      <w:r>
        <w:rPr/>
        <w:t>Anexo 2.5.  Formulas para los precios de exportación del gas boliviano</w:t>
      </w:r>
    </w:p>
    <w:p>
      <w:pPr>
        <w:pStyle w:val="BodyText"/>
        <w:spacing w:before="96"/>
        <w:ind w:right="21"/>
        <w:jc w:val="center"/>
      </w:pPr>
      <w:r>
        <w:rPr/>
        <w:t>(Mercados de Brasil y Argentina)</w:t>
      </w:r>
    </w:p>
    <w:p>
      <w:pPr>
        <w:pStyle w:val="BodyText"/>
      </w:pPr>
    </w:p>
    <w:p>
      <w:pPr>
        <w:pStyle w:val="BodyText"/>
      </w:pPr>
    </w:p>
    <w:p>
      <w:pPr>
        <w:pStyle w:val="BodyText"/>
        <w:spacing w:line="360" w:lineRule="auto"/>
        <w:ind w:left="102" w:right="127"/>
      </w:pPr>
      <w:r>
        <w:rPr/>
        <w:t>En el mercado brasileño, el precio fue acordado en dólares americanos de BTU (British Thermal Unit), cuyo precio es calculado de forma trimestral:</w:t>
      </w:r>
    </w:p>
    <w:p>
      <w:pPr>
        <w:pStyle w:val="BodyText"/>
        <w:rPr>
          <w:sz w:val="20"/>
        </w:rPr>
      </w:pPr>
    </w:p>
    <w:p>
      <w:pPr>
        <w:spacing w:after="0"/>
        <w:rPr>
          <w:sz w:val="20"/>
        </w:rPr>
        <w:sectPr>
          <w:pgSz w:w="12250" w:h="15850"/>
          <w:pgMar w:header="0" w:footer="977" w:top="1360" w:bottom="1220" w:left="1600" w:right="1580"/>
        </w:sectPr>
      </w:pPr>
    </w:p>
    <w:p>
      <w:pPr>
        <w:pStyle w:val="BodyText"/>
        <w:spacing w:before="2"/>
        <w:rPr>
          <w:sz w:val="26"/>
        </w:rPr>
      </w:pPr>
    </w:p>
    <w:p>
      <w:pPr>
        <w:tabs>
          <w:tab w:pos="1999" w:val="left" w:leader="none"/>
        </w:tabs>
        <w:spacing w:line="34" w:lineRule="exact" w:before="0"/>
        <w:ind w:left="1121" w:right="0" w:firstLine="0"/>
        <w:jc w:val="left"/>
        <w:rPr>
          <w:i/>
          <w:sz w:val="19"/>
        </w:rPr>
      </w:pPr>
      <w:r>
        <w:rPr>
          <w:i/>
          <w:w w:val="155"/>
          <w:sz w:val="19"/>
        </w:rPr>
        <w:t>PG</w:t>
      </w:r>
      <w:r>
        <w:rPr>
          <w:i/>
          <w:spacing w:val="4"/>
          <w:w w:val="155"/>
          <w:sz w:val="19"/>
        </w:rPr>
        <w:t> </w:t>
      </w:r>
      <w:r>
        <w:rPr>
          <w:rFonts w:ascii="Symbol" w:hAnsi="Symbol"/>
          <w:w w:val="155"/>
          <w:sz w:val="19"/>
        </w:rPr>
        <w:t></w:t>
      </w:r>
      <w:r>
        <w:rPr>
          <w:w w:val="155"/>
          <w:sz w:val="19"/>
        </w:rPr>
        <w:tab/>
      </w:r>
      <w:r>
        <w:rPr>
          <w:i/>
          <w:w w:val="155"/>
          <w:sz w:val="19"/>
        </w:rPr>
        <w:t>P</w:t>
      </w:r>
      <w:r>
        <w:rPr>
          <w:i/>
          <w:spacing w:val="13"/>
          <w:w w:val="155"/>
          <w:sz w:val="19"/>
        </w:rPr>
        <w:t> </w:t>
      </w:r>
      <w:r>
        <w:rPr>
          <w:i/>
          <w:w w:val="155"/>
          <w:sz w:val="19"/>
        </w:rPr>
        <w:t>i</w:t>
      </w:r>
    </w:p>
    <w:p>
      <w:pPr>
        <w:spacing w:line="141" w:lineRule="exact" w:before="193"/>
        <w:ind w:left="209" w:right="0" w:firstLine="0"/>
        <w:jc w:val="left"/>
        <w:rPr>
          <w:rFonts w:ascii="Symbol" w:hAnsi="Symbol"/>
          <w:sz w:val="19"/>
        </w:rPr>
      </w:pPr>
      <w:r>
        <w:rPr/>
        <w:br w:type="column"/>
      </w:r>
      <w:r>
        <w:rPr>
          <w:rFonts w:ascii="Symbol" w:hAnsi="Symbol"/>
          <w:w w:val="155"/>
          <w:sz w:val="19"/>
        </w:rPr>
        <w:t></w:t>
      </w:r>
      <w:r>
        <w:rPr>
          <w:w w:val="155"/>
          <w:sz w:val="19"/>
        </w:rPr>
        <w:t>  </w:t>
      </w:r>
      <w:r>
        <w:rPr>
          <w:w w:val="155"/>
          <w:position w:val="-12"/>
          <w:sz w:val="19"/>
        </w:rPr>
        <w:t>.5 </w:t>
      </w:r>
      <w:r>
        <w:rPr>
          <w:w w:val="155"/>
          <w:position w:val="-9"/>
          <w:sz w:val="19"/>
        </w:rPr>
        <w:t>* </w:t>
      </w:r>
      <w:r>
        <w:rPr>
          <w:i/>
          <w:w w:val="155"/>
          <w:position w:val="1"/>
          <w:sz w:val="19"/>
          <w:u w:val="single"/>
        </w:rPr>
        <w:t>F </w:t>
      </w:r>
      <w:r>
        <w:rPr>
          <w:w w:val="155"/>
          <w:position w:val="1"/>
          <w:sz w:val="19"/>
          <w:u w:val="single"/>
        </w:rPr>
        <w:t>01 </w:t>
      </w:r>
      <w:r>
        <w:rPr>
          <w:rFonts w:ascii="Symbol" w:hAnsi="Symbol"/>
          <w:w w:val="155"/>
          <w:position w:val="-9"/>
          <w:sz w:val="19"/>
        </w:rPr>
        <w:t></w:t>
      </w:r>
      <w:r>
        <w:rPr>
          <w:w w:val="155"/>
          <w:position w:val="-12"/>
          <w:sz w:val="19"/>
        </w:rPr>
        <w:t>0.25 </w:t>
      </w:r>
      <w:r>
        <w:rPr>
          <w:w w:val="155"/>
          <w:position w:val="-9"/>
          <w:sz w:val="19"/>
        </w:rPr>
        <w:t>* </w:t>
      </w:r>
      <w:r>
        <w:rPr>
          <w:i/>
          <w:w w:val="155"/>
          <w:position w:val="1"/>
          <w:sz w:val="19"/>
          <w:u w:val="single"/>
        </w:rPr>
        <w:t>F </w:t>
      </w:r>
      <w:r>
        <w:rPr>
          <w:w w:val="155"/>
          <w:position w:val="1"/>
          <w:sz w:val="19"/>
          <w:u w:val="single"/>
        </w:rPr>
        <w:t>02 </w:t>
      </w:r>
      <w:r>
        <w:rPr>
          <w:rFonts w:ascii="Symbol" w:hAnsi="Symbol"/>
          <w:w w:val="155"/>
          <w:position w:val="-9"/>
          <w:sz w:val="19"/>
        </w:rPr>
        <w:t></w:t>
      </w:r>
      <w:r>
        <w:rPr>
          <w:w w:val="155"/>
          <w:position w:val="-12"/>
          <w:sz w:val="19"/>
        </w:rPr>
        <w:t>0.25 </w:t>
      </w:r>
      <w:r>
        <w:rPr>
          <w:w w:val="155"/>
          <w:position w:val="-9"/>
          <w:sz w:val="19"/>
        </w:rPr>
        <w:t>* </w:t>
      </w:r>
      <w:r>
        <w:rPr>
          <w:i/>
          <w:w w:val="155"/>
          <w:position w:val="1"/>
          <w:sz w:val="19"/>
          <w:u w:val="single"/>
        </w:rPr>
        <w:t>F </w:t>
      </w:r>
      <w:r>
        <w:rPr>
          <w:w w:val="155"/>
          <w:position w:val="1"/>
          <w:sz w:val="19"/>
          <w:u w:val="single"/>
        </w:rPr>
        <w:t>03 </w:t>
      </w:r>
      <w:r>
        <w:rPr>
          <w:rFonts w:ascii="Symbol" w:hAnsi="Symbol"/>
          <w:w w:val="155"/>
          <w:sz w:val="19"/>
        </w:rPr>
        <w:t></w:t>
      </w:r>
    </w:p>
    <w:p>
      <w:pPr>
        <w:spacing w:after="0" w:line="141" w:lineRule="exact"/>
        <w:jc w:val="left"/>
        <w:rPr>
          <w:rFonts w:ascii="Symbol" w:hAnsi="Symbol"/>
          <w:sz w:val="19"/>
        </w:rPr>
        <w:sectPr>
          <w:type w:val="continuous"/>
          <w:pgSz w:w="12250" w:h="15850"/>
          <w:pgMar w:top="1500" w:bottom="280" w:left="1600" w:right="1580"/>
          <w:cols w:num="2" w:equalWidth="0">
            <w:col w:w="2350" w:space="40"/>
            <w:col w:w="6680"/>
          </w:cols>
        </w:sectPr>
      </w:pPr>
    </w:p>
    <w:p>
      <w:pPr>
        <w:pStyle w:val="BodyText"/>
        <w:rPr>
          <w:rFonts w:ascii="Symbol" w:hAnsi="Symbol"/>
        </w:rPr>
      </w:pPr>
    </w:p>
    <w:p>
      <w:pPr>
        <w:pStyle w:val="BodyText"/>
        <w:spacing w:before="8"/>
        <w:rPr>
          <w:rFonts w:ascii="Symbol" w:hAnsi="Symbol"/>
          <w:sz w:val="23"/>
        </w:rPr>
      </w:pPr>
    </w:p>
    <w:p>
      <w:pPr>
        <w:pStyle w:val="BodyText"/>
        <w:ind w:left="102" w:right="-15"/>
      </w:pPr>
      <w:r>
        <w:rPr>
          <w:spacing w:val="-1"/>
        </w:rPr>
        <w:t>Donde:</w:t>
      </w:r>
    </w:p>
    <w:p>
      <w:pPr>
        <w:spacing w:line="174" w:lineRule="exact" w:before="0"/>
        <w:ind w:left="102" w:right="0" w:firstLine="0"/>
        <w:jc w:val="left"/>
        <w:rPr>
          <w:sz w:val="19"/>
        </w:rPr>
      </w:pPr>
      <w:r>
        <w:rPr/>
        <w:br w:type="column"/>
      </w:r>
      <w:r>
        <w:rPr>
          <w:w w:val="155"/>
          <w:sz w:val="19"/>
        </w:rPr>
        <w:t>( )* </w:t>
      </w:r>
      <w:r>
        <w:rPr>
          <w:w w:val="155"/>
          <w:position w:val="-1"/>
          <w:sz w:val="19"/>
        </w:rPr>
        <w:t>0</w:t>
      </w:r>
    </w:p>
    <w:p>
      <w:pPr>
        <w:spacing w:line="192" w:lineRule="exact" w:before="0"/>
        <w:ind w:left="0" w:right="138" w:firstLine="0"/>
        <w:jc w:val="right"/>
        <w:rPr>
          <w:rFonts w:ascii="Symbol" w:hAnsi="Symbol"/>
          <w:sz w:val="19"/>
        </w:rPr>
      </w:pPr>
      <w:r>
        <w:rPr/>
        <w:pict>
          <v:shape style="position:absolute;margin-left:209.92775pt;margin-top:-4.778282pt;width:.1pt;height:9.6pt;mso-position-horizontal-relative:page;mso-position-vertical-relative:paragraph;z-index:-554392" type="#_x0000_t202" filled="false" stroked="false">
            <v:textbox inset="0,0,0,0">
              <w:txbxContent>
                <w:p>
                  <w:pPr>
                    <w:spacing w:line="191" w:lineRule="exact" w:before="0"/>
                    <w:ind w:left="0" w:right="0" w:firstLine="0"/>
                    <w:jc w:val="left"/>
                    <w:rPr>
                      <w:rFonts w:ascii="Symbol" w:hAnsi="Symbol"/>
                      <w:sz w:val="19"/>
                    </w:rPr>
                  </w:pPr>
                  <w:r>
                    <w:rPr>
                      <w:rFonts w:ascii="Symbol" w:hAnsi="Symbol"/>
                      <w:spacing w:val="-114"/>
                      <w:w w:val="156"/>
                      <w:sz w:val="19"/>
                    </w:rPr>
                    <w:t></w:t>
                  </w:r>
                </w:p>
              </w:txbxContent>
            </v:textbox>
            <w10:wrap type="none"/>
          </v:shape>
        </w:pict>
      </w:r>
      <w:r>
        <w:rPr>
          <w:rFonts w:ascii="Symbol" w:hAnsi="Symbol"/>
          <w:w w:val="156"/>
          <w:sz w:val="19"/>
        </w:rPr>
        <w:t></w:t>
      </w:r>
    </w:p>
    <w:p>
      <w:pPr>
        <w:spacing w:before="124"/>
        <w:ind w:left="102" w:right="-18" w:firstLine="0"/>
        <w:jc w:val="left"/>
        <w:rPr>
          <w:i/>
          <w:sz w:val="19"/>
        </w:rPr>
      </w:pPr>
      <w:r>
        <w:rPr/>
        <w:br w:type="column"/>
      </w:r>
      <w:r>
        <w:rPr>
          <w:i/>
          <w:w w:val="155"/>
          <w:sz w:val="19"/>
        </w:rPr>
        <w:t>F</w:t>
      </w:r>
      <w:r>
        <w:rPr>
          <w:i/>
          <w:spacing w:val="-50"/>
          <w:w w:val="155"/>
          <w:sz w:val="19"/>
        </w:rPr>
        <w:t> </w:t>
      </w:r>
      <w:r>
        <w:rPr>
          <w:spacing w:val="-12"/>
          <w:w w:val="155"/>
          <w:sz w:val="19"/>
        </w:rPr>
        <w:t>01</w:t>
      </w:r>
      <w:r>
        <w:rPr>
          <w:i/>
          <w:spacing w:val="-12"/>
          <w:w w:val="155"/>
          <w:sz w:val="19"/>
        </w:rPr>
        <w:t>o</w:t>
      </w:r>
    </w:p>
    <w:p>
      <w:pPr>
        <w:spacing w:before="124"/>
        <w:ind w:left="102" w:right="-18" w:firstLine="0"/>
        <w:jc w:val="left"/>
        <w:rPr>
          <w:i/>
          <w:sz w:val="19"/>
        </w:rPr>
      </w:pPr>
      <w:r>
        <w:rPr/>
        <w:br w:type="column"/>
      </w:r>
      <w:r>
        <w:rPr>
          <w:i/>
          <w:w w:val="155"/>
          <w:sz w:val="19"/>
        </w:rPr>
        <w:t>F</w:t>
      </w:r>
      <w:r>
        <w:rPr>
          <w:i/>
          <w:spacing w:val="-49"/>
          <w:w w:val="155"/>
          <w:sz w:val="19"/>
        </w:rPr>
        <w:t> </w:t>
      </w:r>
      <w:r>
        <w:rPr>
          <w:spacing w:val="-5"/>
          <w:w w:val="155"/>
          <w:sz w:val="19"/>
        </w:rPr>
        <w:t>02</w:t>
      </w:r>
      <w:r>
        <w:rPr>
          <w:i/>
          <w:spacing w:val="-5"/>
          <w:w w:val="155"/>
          <w:sz w:val="19"/>
        </w:rPr>
        <w:t>o</w:t>
      </w:r>
    </w:p>
    <w:p>
      <w:pPr>
        <w:spacing w:before="40"/>
        <w:ind w:left="102" w:right="-17" w:firstLine="0"/>
        <w:jc w:val="left"/>
        <w:rPr>
          <w:rFonts w:ascii="Symbol" w:hAnsi="Symbol"/>
          <w:sz w:val="19"/>
        </w:rPr>
      </w:pPr>
      <w:r>
        <w:rPr/>
        <w:br w:type="column"/>
      </w:r>
      <w:r>
        <w:rPr>
          <w:i/>
          <w:w w:val="155"/>
          <w:sz w:val="19"/>
        </w:rPr>
        <w:t>F</w:t>
      </w:r>
      <w:r>
        <w:rPr>
          <w:i/>
          <w:spacing w:val="-28"/>
          <w:sz w:val="19"/>
        </w:rPr>
        <w:t> </w:t>
      </w:r>
      <w:r>
        <w:rPr>
          <w:spacing w:val="-3"/>
          <w:w w:val="155"/>
          <w:sz w:val="19"/>
        </w:rPr>
        <w:t>0</w:t>
      </w:r>
      <w:r>
        <w:rPr>
          <w:spacing w:val="-20"/>
          <w:w w:val="155"/>
          <w:sz w:val="19"/>
        </w:rPr>
        <w:t>3</w:t>
      </w:r>
      <w:r>
        <w:rPr>
          <w:i/>
          <w:w w:val="155"/>
          <w:sz w:val="19"/>
        </w:rPr>
        <w:t>o</w:t>
      </w:r>
      <w:r>
        <w:rPr>
          <w:i/>
          <w:spacing w:val="-25"/>
          <w:sz w:val="19"/>
        </w:rPr>
        <w:t> </w:t>
      </w:r>
      <w:r>
        <w:rPr>
          <w:rFonts w:ascii="Symbol" w:hAnsi="Symbol"/>
          <w:spacing w:val="-114"/>
          <w:w w:val="156"/>
          <w:position w:val="7"/>
          <w:sz w:val="19"/>
        </w:rPr>
        <w:t></w:t>
      </w:r>
      <w:r>
        <w:rPr>
          <w:rFonts w:ascii="Symbol" w:hAnsi="Symbol"/>
          <w:w w:val="156"/>
          <w:position w:val="-1"/>
          <w:sz w:val="19"/>
        </w:rPr>
        <w:t></w:t>
      </w:r>
    </w:p>
    <w:p>
      <w:pPr>
        <w:pStyle w:val="BodyText"/>
        <w:spacing w:before="168"/>
        <w:ind w:left="102"/>
      </w:pPr>
      <w:r>
        <w:rPr/>
        <w:br w:type="column"/>
      </w:r>
      <w:r>
        <w:rPr/>
        <w:t>2A.1</w:t>
      </w:r>
    </w:p>
    <w:p>
      <w:pPr>
        <w:spacing w:after="0"/>
        <w:sectPr>
          <w:type w:val="continuous"/>
          <w:pgSz w:w="12250" w:h="15850"/>
          <w:pgMar w:top="1500" w:bottom="280" w:left="1600" w:right="1580"/>
          <w:cols w:num="6" w:equalWidth="0">
            <w:col w:w="808" w:space="1269"/>
            <w:col w:w="776" w:space="382"/>
            <w:col w:w="714" w:space="896"/>
            <w:col w:w="736" w:space="896"/>
            <w:col w:w="864" w:space="43"/>
            <w:col w:w="1686"/>
          </w:cols>
        </w:sectPr>
      </w:pPr>
    </w:p>
    <w:p>
      <w:pPr>
        <w:pStyle w:val="BodyText"/>
        <w:spacing w:line="360" w:lineRule="auto" w:before="139"/>
        <w:ind w:left="102" w:right="117"/>
        <w:jc w:val="both"/>
      </w:pPr>
      <w:r>
        <w:rPr/>
        <w:t>PG = precio del gas en unidades de dólares estadounidenses por millón de BTU, a la entrada del ducto; P(i) = precio base establecido en el contrato de compra-venta, el mismo que es creciente en el tiempo.F01, F02 y F03, son promedios aritméticos de los puntos medios diarios de los precios, determinados en conformidad con las cotizaciones diarias, superior e inferior, de cada día del trimestre inmediatamente anterior al trimestre correspondiente a la aplicación del PG,</w:t>
      </w:r>
      <w:r>
        <w:rPr>
          <w:spacing w:val="-11"/>
        </w:rPr>
        <w:t> </w:t>
      </w:r>
      <w:r>
        <w:rPr/>
        <w:t>siendo:</w:t>
      </w:r>
    </w:p>
    <w:p>
      <w:pPr>
        <w:pStyle w:val="BodyText"/>
      </w:pPr>
    </w:p>
    <w:p>
      <w:pPr>
        <w:pStyle w:val="BodyText"/>
        <w:spacing w:line="360" w:lineRule="auto" w:before="143"/>
        <w:ind w:left="102" w:right="124"/>
        <w:jc w:val="both"/>
      </w:pPr>
      <w:r>
        <w:rPr/>
        <w:t>F01 = Fuel Oil de 3.5% de azufre, referido bajo el título Cargo es FOB Med Basis Italy:  F02 = Fuel Oil de 1% de azufre, referido como US Gulf Coast Waterborne en $us/Bbl </w:t>
      </w:r>
      <w:r>
        <w:rPr>
          <w:spacing w:val="57"/>
        </w:rPr>
        <w:t> </w:t>
      </w:r>
      <w:r>
        <w:rPr/>
        <w:t>F03</w:t>
      </w:r>
    </w:p>
    <w:p>
      <w:pPr>
        <w:pStyle w:val="BodyText"/>
        <w:spacing w:before="4"/>
        <w:ind w:left="102"/>
        <w:jc w:val="both"/>
      </w:pPr>
      <w:r>
        <w:rPr/>
        <w:t>= Fuel Oil de 1% de azufre, referido como Cargo es FOB NWE, en $us/TM</w:t>
      </w:r>
    </w:p>
    <w:p>
      <w:pPr>
        <w:pStyle w:val="BodyText"/>
      </w:pPr>
    </w:p>
    <w:p>
      <w:pPr>
        <w:pStyle w:val="BodyText"/>
      </w:pPr>
    </w:p>
    <w:p>
      <w:pPr>
        <w:pStyle w:val="BodyText"/>
        <w:spacing w:line="360" w:lineRule="auto"/>
        <w:ind w:left="102" w:right="117"/>
        <w:jc w:val="both"/>
      </w:pPr>
      <w:r>
        <w:rPr>
          <w:w w:val="173"/>
        </w:rPr>
        <w:t>     </w:t>
      </w:r>
      <w:r>
        <w:rPr/>
        <w:t> </w:t>
      </w:r>
      <w:r>
        <w:rPr>
          <w:w w:val="166"/>
        </w:rPr>
        <w:t>  </w:t>
      </w:r>
      <w:r>
        <w:rPr>
          <w:w w:val="177"/>
        </w:rPr>
        <w:t>  </w:t>
      </w:r>
      <w:r>
        <w:rPr>
          <w:w w:val="155"/>
        </w:rPr>
        <w:t>   </w:t>
      </w:r>
      <w:r>
        <w:rPr/>
        <w:t> </w:t>
      </w:r>
      <w:r>
        <w:rPr>
          <w:w w:val="166"/>
        </w:rPr>
        <w:t>  </w:t>
      </w:r>
      <w:r>
        <w:rPr/>
        <w:t> </w:t>
      </w:r>
      <w:r>
        <w:rPr>
          <w:w w:val="155"/>
        </w:rPr>
        <w:t>  </w:t>
      </w:r>
      <w:r>
        <w:rPr>
          <w:w w:val="140"/>
        </w:rPr>
        <w:t>   </w:t>
      </w:r>
      <w:r>
        <w:rPr>
          <w:w w:val="155"/>
        </w:rPr>
        <w:t>  </w:t>
      </w:r>
      <w:r>
        <w:rPr>
          <w:w w:val="200"/>
        </w:rPr>
        <w:t> </w:t>
      </w:r>
      <w:r>
        <w:rPr/>
        <w:t> </w:t>
      </w:r>
      <w:r>
        <w:rPr>
          <w:w w:val="177"/>
        </w:rPr>
        <w:t> </w:t>
      </w:r>
      <w:r>
        <w:rPr/>
        <w:t> </w:t>
      </w:r>
      <w:r>
        <w:rPr>
          <w:w w:val="155"/>
        </w:rPr>
        <w:t>   </w:t>
      </w:r>
      <w:r>
        <w:rPr/>
        <w:t> </w:t>
      </w:r>
      <w:r>
        <w:rPr>
          <w:w w:val="164"/>
        </w:rPr>
        <w:t>     </w:t>
      </w:r>
      <w:r>
        <w:rPr>
          <w:w w:val="177"/>
        </w:rPr>
        <w:t>  </w:t>
      </w:r>
      <w:r>
        <w:rPr>
          <w:w w:val="185"/>
        </w:rPr>
        <w:t>   </w:t>
      </w:r>
      <w:r>
        <w:rPr/>
        <w:t> </w:t>
      </w:r>
      <w:r>
        <w:rPr>
          <w:w w:val="177"/>
        </w:rPr>
        <w:t> </w:t>
      </w:r>
      <w:r>
        <w:rPr>
          <w:w w:val="200"/>
        </w:rPr>
        <w:t> </w:t>
      </w:r>
      <w:r>
        <w:rPr/>
        <w:t> </w:t>
      </w:r>
      <w:r>
        <w:rPr>
          <w:w w:val="177"/>
        </w:rPr>
        <w:t> </w:t>
      </w:r>
      <w:r>
        <w:rPr>
          <w:w w:val="111"/>
        </w:rPr>
        <w:t> </w:t>
      </w:r>
      <w:r>
        <w:rPr/>
        <w:t> </w:t>
      </w:r>
      <w:r>
        <w:rPr>
          <w:w w:val="222"/>
        </w:rPr>
        <w:t> </w:t>
      </w:r>
      <w:r>
        <w:rPr>
          <w:w w:val="126"/>
        </w:rPr>
        <w:t>    </w:t>
      </w:r>
      <w:r>
        <w:rPr/>
        <w:t>‘ O lgram Report en la tabla Spot Price Assessments. Asimismo, F01o, F02o y F03o, son promedios aritméticos.</w:t>
      </w:r>
    </w:p>
    <w:p>
      <w:pPr>
        <w:pStyle w:val="BodyText"/>
        <w:spacing w:line="360" w:lineRule="auto" w:before="4"/>
        <w:ind w:left="102" w:right="122"/>
        <w:jc w:val="both"/>
      </w:pPr>
      <w:r>
        <w:rPr/>
        <w:t>Donde el precio final del gas exportado a Brasil es directamente proporcional al precio base (Pi) el cual se modifica periódicamente mediante decreto supremo, pero que varía de 0.95 US$/MMBTU hasta 1,06 US$/MMBTU.</w:t>
      </w:r>
    </w:p>
    <w:p>
      <w:pPr>
        <w:pStyle w:val="BodyText"/>
      </w:pPr>
    </w:p>
    <w:p>
      <w:pPr>
        <w:pStyle w:val="BodyText"/>
        <w:spacing w:before="143"/>
        <w:ind w:left="102"/>
        <w:jc w:val="both"/>
      </w:pPr>
      <w:r>
        <w:rPr/>
        <w:t>Para finalizar, el mecanismo de fijación de precios con Argentina, se basa en:</w:t>
      </w:r>
    </w:p>
    <w:p>
      <w:pPr>
        <w:pStyle w:val="BodyText"/>
        <w:rPr>
          <w:sz w:val="20"/>
        </w:rPr>
      </w:pPr>
    </w:p>
    <w:p>
      <w:pPr>
        <w:pStyle w:val="BodyText"/>
        <w:spacing w:before="4"/>
        <w:rPr>
          <w:sz w:val="21"/>
        </w:rPr>
      </w:pPr>
    </w:p>
    <w:p>
      <w:pPr>
        <w:spacing w:after="0"/>
        <w:rPr>
          <w:sz w:val="21"/>
        </w:rPr>
        <w:sectPr>
          <w:type w:val="continuous"/>
          <w:pgSz w:w="12250" w:h="15850"/>
          <w:pgMar w:top="1500" w:bottom="280" w:left="1600" w:right="1580"/>
        </w:sectPr>
      </w:pPr>
    </w:p>
    <w:p>
      <w:pPr>
        <w:tabs>
          <w:tab w:pos="2103" w:val="left" w:leader="none"/>
        </w:tabs>
        <w:spacing w:line="110" w:lineRule="exact" w:before="85"/>
        <w:ind w:left="1405" w:right="0" w:firstLine="0"/>
        <w:jc w:val="left"/>
        <w:rPr>
          <w:sz w:val="15"/>
        </w:rPr>
      </w:pPr>
      <w:r>
        <w:rPr>
          <w:i/>
          <w:w w:val="195"/>
          <w:position w:val="2"/>
          <w:sz w:val="15"/>
        </w:rPr>
        <w:t>G</w:t>
      </w:r>
      <w:r>
        <w:rPr>
          <w:i/>
          <w:spacing w:val="-1"/>
          <w:w w:val="195"/>
          <w:position w:val="2"/>
          <w:sz w:val="15"/>
        </w:rPr>
        <w:t> </w:t>
      </w:r>
      <w:r>
        <w:rPr>
          <w:rFonts w:ascii="Symbol" w:hAnsi="Symbol"/>
          <w:w w:val="195"/>
          <w:position w:val="2"/>
          <w:sz w:val="15"/>
        </w:rPr>
        <w:t></w:t>
      </w:r>
      <w:r>
        <w:rPr>
          <w:w w:val="195"/>
          <w:position w:val="2"/>
          <w:sz w:val="15"/>
        </w:rPr>
        <w:tab/>
      </w:r>
      <w:r>
        <w:rPr>
          <w:i/>
          <w:w w:val="195"/>
          <w:position w:val="2"/>
          <w:sz w:val="15"/>
        </w:rPr>
        <w:t>P  </w:t>
      </w:r>
      <w:r>
        <w:rPr>
          <w:rFonts w:ascii="Symbol" w:hAnsi="Symbol"/>
          <w:w w:val="195"/>
          <w:position w:val="10"/>
          <w:sz w:val="15"/>
        </w:rPr>
        <w:t></w:t>
      </w:r>
      <w:r>
        <w:rPr>
          <w:w w:val="195"/>
          <w:position w:val="10"/>
          <w:sz w:val="15"/>
        </w:rPr>
        <w:t>  </w:t>
      </w:r>
      <w:r>
        <w:rPr>
          <w:w w:val="195"/>
          <w:sz w:val="15"/>
        </w:rPr>
        <w:t>.5 </w:t>
      </w:r>
      <w:r>
        <w:rPr>
          <w:w w:val="195"/>
          <w:position w:val="2"/>
          <w:sz w:val="15"/>
        </w:rPr>
        <w:t>* </w:t>
      </w:r>
      <w:r>
        <w:rPr>
          <w:i/>
          <w:w w:val="195"/>
          <w:position w:val="11"/>
          <w:sz w:val="15"/>
        </w:rPr>
        <w:t>F </w:t>
      </w:r>
      <w:r>
        <w:rPr>
          <w:w w:val="195"/>
          <w:position w:val="11"/>
          <w:sz w:val="15"/>
        </w:rPr>
        <w:t>01 </w:t>
      </w:r>
      <w:r>
        <w:rPr>
          <w:rFonts w:ascii="Symbol" w:hAnsi="Symbol"/>
          <w:w w:val="195"/>
          <w:position w:val="2"/>
          <w:sz w:val="15"/>
        </w:rPr>
        <w:t></w:t>
      </w:r>
      <w:r>
        <w:rPr>
          <w:w w:val="195"/>
          <w:sz w:val="15"/>
        </w:rPr>
        <w:t>0.25 </w:t>
      </w:r>
      <w:r>
        <w:rPr>
          <w:w w:val="195"/>
          <w:position w:val="2"/>
          <w:sz w:val="15"/>
        </w:rPr>
        <w:t>* </w:t>
      </w:r>
      <w:r>
        <w:rPr>
          <w:i/>
          <w:w w:val="195"/>
          <w:position w:val="11"/>
          <w:sz w:val="15"/>
        </w:rPr>
        <w:t>F</w:t>
      </w:r>
      <w:r>
        <w:rPr>
          <w:i/>
          <w:spacing w:val="-36"/>
          <w:w w:val="195"/>
          <w:position w:val="11"/>
          <w:sz w:val="15"/>
        </w:rPr>
        <w:t> </w:t>
      </w:r>
      <w:r>
        <w:rPr>
          <w:spacing w:val="-3"/>
          <w:w w:val="195"/>
          <w:position w:val="11"/>
          <w:sz w:val="15"/>
        </w:rPr>
        <w:t>02</w:t>
      </w:r>
    </w:p>
    <w:p>
      <w:pPr>
        <w:spacing w:line="110" w:lineRule="exact" w:before="85"/>
        <w:ind w:left="64" w:right="0" w:firstLine="0"/>
        <w:jc w:val="left"/>
        <w:rPr>
          <w:rFonts w:ascii="Symbol" w:hAnsi="Symbol"/>
          <w:sz w:val="15"/>
        </w:rPr>
      </w:pPr>
      <w:r>
        <w:rPr/>
        <w:br w:type="column"/>
      </w:r>
      <w:r>
        <w:rPr>
          <w:rFonts w:ascii="Symbol" w:hAnsi="Symbol"/>
          <w:w w:val="195"/>
          <w:position w:val="2"/>
          <w:sz w:val="15"/>
        </w:rPr>
        <w:t></w:t>
      </w:r>
      <w:r>
        <w:rPr>
          <w:w w:val="195"/>
          <w:sz w:val="15"/>
        </w:rPr>
        <w:t>0.25 </w:t>
      </w:r>
      <w:r>
        <w:rPr>
          <w:w w:val="195"/>
          <w:position w:val="2"/>
          <w:sz w:val="15"/>
        </w:rPr>
        <w:t>* </w:t>
      </w:r>
      <w:r>
        <w:rPr>
          <w:i/>
          <w:w w:val="195"/>
          <w:position w:val="11"/>
          <w:sz w:val="15"/>
        </w:rPr>
        <w:t>F </w:t>
      </w:r>
      <w:r>
        <w:rPr>
          <w:w w:val="195"/>
          <w:position w:val="11"/>
          <w:sz w:val="15"/>
        </w:rPr>
        <w:t>03 </w:t>
      </w:r>
      <w:r>
        <w:rPr>
          <w:rFonts w:ascii="Symbol" w:hAnsi="Symbol"/>
          <w:w w:val="195"/>
          <w:position w:val="10"/>
          <w:sz w:val="15"/>
        </w:rPr>
        <w:t></w:t>
      </w:r>
    </w:p>
    <w:p>
      <w:pPr>
        <w:spacing w:after="0" w:line="110" w:lineRule="exact"/>
        <w:jc w:val="left"/>
        <w:rPr>
          <w:rFonts w:ascii="Symbol" w:hAnsi="Symbol"/>
          <w:sz w:val="15"/>
        </w:rPr>
        <w:sectPr>
          <w:type w:val="continuous"/>
          <w:pgSz w:w="12250" w:h="15850"/>
          <w:pgMar w:top="1500" w:bottom="280" w:left="1600" w:right="1580"/>
          <w:cols w:num="2" w:equalWidth="0">
            <w:col w:w="5292" w:space="40"/>
            <w:col w:w="3738"/>
          </w:cols>
        </w:sectPr>
      </w:pPr>
    </w:p>
    <w:p>
      <w:pPr>
        <w:spacing w:line="62" w:lineRule="exact" w:before="0"/>
        <w:ind w:left="2279" w:right="127" w:firstLine="0"/>
        <w:jc w:val="left"/>
        <w:rPr>
          <w:sz w:val="15"/>
        </w:rPr>
      </w:pPr>
      <w:r>
        <w:rPr>
          <w:w w:val="195"/>
          <w:position w:val="2"/>
          <w:sz w:val="15"/>
        </w:rPr>
        <w:t>* </w:t>
      </w:r>
      <w:r>
        <w:rPr>
          <w:w w:val="195"/>
          <w:sz w:val="15"/>
        </w:rPr>
        <w:t>0</w:t>
      </w:r>
    </w:p>
    <w:p>
      <w:pPr>
        <w:spacing w:after="0" w:line="62" w:lineRule="exact"/>
        <w:jc w:val="left"/>
        <w:rPr>
          <w:sz w:val="15"/>
        </w:rPr>
        <w:sectPr>
          <w:type w:val="continuous"/>
          <w:pgSz w:w="12250" w:h="15850"/>
          <w:pgMar w:top="1500" w:bottom="280" w:left="1600" w:right="1580"/>
        </w:sectPr>
      </w:pPr>
    </w:p>
    <w:p>
      <w:pPr>
        <w:tabs>
          <w:tab w:pos="3151" w:val="left" w:leader="none"/>
        </w:tabs>
        <w:spacing w:line="229" w:lineRule="exact" w:before="0"/>
        <w:ind w:left="2424" w:right="0" w:firstLine="0"/>
        <w:jc w:val="left"/>
        <w:rPr>
          <w:i/>
          <w:sz w:val="15"/>
        </w:rPr>
      </w:pPr>
      <w:r>
        <w:rPr/>
        <w:pict>
          <v:line style="position:absolute;mso-position-horizontal-relative:page;mso-position-vertical-relative:paragraph;z-index:-554464" from="236.158432pt,1.118676pt" to="268.54471pt,1.118676pt" stroked="true" strokeweight=".100845pt" strokecolor="#000000">
            <w10:wrap type="none"/>
          </v:line>
        </w:pict>
      </w:r>
      <w:r>
        <w:rPr/>
        <w:pict>
          <v:line style="position:absolute;mso-position-horizontal-relative:page;mso-position-vertical-relative:paragraph;z-index:17680" from="315.150513pt,1.118676pt" to="348.665707pt,1.118676pt" stroked="true" strokeweight=".100845pt" strokecolor="#000000">
            <w10:wrap type="none"/>
          </v:line>
        </w:pict>
      </w:r>
      <w:r>
        <w:rPr>
          <w:rFonts w:ascii="Symbol" w:hAnsi="Symbol"/>
          <w:spacing w:val="-113"/>
          <w:w w:val="196"/>
          <w:sz w:val="15"/>
        </w:rPr>
        <w:t></w:t>
      </w:r>
      <w:r>
        <w:rPr>
          <w:rFonts w:ascii="Symbol" w:hAnsi="Symbol"/>
          <w:w w:val="196"/>
          <w:position w:val="7"/>
          <w:sz w:val="15"/>
        </w:rPr>
        <w:t></w:t>
      </w:r>
      <w:r>
        <w:rPr>
          <w:position w:val="7"/>
          <w:sz w:val="15"/>
        </w:rPr>
        <w:tab/>
      </w:r>
      <w:r>
        <w:rPr>
          <w:i/>
          <w:w w:val="196"/>
          <w:position w:val="2"/>
          <w:sz w:val="15"/>
        </w:rPr>
        <w:t>F</w:t>
      </w:r>
      <w:r>
        <w:rPr>
          <w:i/>
          <w:spacing w:val="-17"/>
          <w:position w:val="2"/>
          <w:sz w:val="15"/>
        </w:rPr>
        <w:t> </w:t>
      </w:r>
      <w:r>
        <w:rPr>
          <w:spacing w:val="-3"/>
          <w:w w:val="196"/>
          <w:position w:val="2"/>
          <w:sz w:val="15"/>
        </w:rPr>
        <w:t>0</w:t>
      </w:r>
      <w:r>
        <w:rPr>
          <w:spacing w:val="-33"/>
          <w:w w:val="196"/>
          <w:position w:val="2"/>
          <w:sz w:val="15"/>
        </w:rPr>
        <w:t>1</w:t>
      </w:r>
      <w:r>
        <w:rPr>
          <w:i/>
          <w:w w:val="196"/>
          <w:position w:val="2"/>
          <w:sz w:val="15"/>
        </w:rPr>
        <w:t>o</w:t>
      </w:r>
    </w:p>
    <w:p>
      <w:pPr>
        <w:spacing w:before="38"/>
        <w:ind w:left="933" w:right="-17" w:firstLine="0"/>
        <w:jc w:val="left"/>
        <w:rPr>
          <w:i/>
          <w:sz w:val="15"/>
        </w:rPr>
      </w:pPr>
      <w:r>
        <w:rPr/>
        <w:br w:type="column"/>
      </w:r>
      <w:r>
        <w:rPr>
          <w:i/>
          <w:w w:val="195"/>
          <w:sz w:val="15"/>
        </w:rPr>
        <w:t>F</w:t>
      </w:r>
      <w:r>
        <w:rPr>
          <w:i/>
          <w:spacing w:val="-49"/>
          <w:w w:val="195"/>
          <w:sz w:val="15"/>
        </w:rPr>
        <w:t> </w:t>
      </w:r>
      <w:r>
        <w:rPr>
          <w:spacing w:val="-5"/>
          <w:w w:val="195"/>
          <w:sz w:val="15"/>
        </w:rPr>
        <w:t>02</w:t>
      </w:r>
      <w:r>
        <w:rPr>
          <w:i/>
          <w:spacing w:val="-5"/>
          <w:w w:val="195"/>
          <w:sz w:val="15"/>
        </w:rPr>
        <w:t>o</w:t>
      </w:r>
    </w:p>
    <w:p>
      <w:pPr>
        <w:spacing w:line="298" w:lineRule="exact" w:before="0"/>
        <w:ind w:left="933" w:right="0" w:firstLine="0"/>
        <w:jc w:val="left"/>
        <w:rPr>
          <w:sz w:val="24"/>
        </w:rPr>
      </w:pPr>
      <w:r>
        <w:rPr/>
        <w:br w:type="column"/>
      </w:r>
      <w:r>
        <w:rPr>
          <w:i/>
          <w:w w:val="196"/>
          <w:position w:val="2"/>
          <w:sz w:val="15"/>
        </w:rPr>
        <w:t>F</w:t>
      </w:r>
      <w:r>
        <w:rPr>
          <w:i/>
          <w:spacing w:val="-17"/>
          <w:position w:val="2"/>
          <w:sz w:val="15"/>
        </w:rPr>
        <w:t> </w:t>
      </w:r>
      <w:r>
        <w:rPr>
          <w:spacing w:val="-3"/>
          <w:w w:val="196"/>
          <w:position w:val="2"/>
          <w:sz w:val="15"/>
        </w:rPr>
        <w:t>0</w:t>
      </w:r>
      <w:r>
        <w:rPr>
          <w:spacing w:val="-20"/>
          <w:w w:val="196"/>
          <w:position w:val="2"/>
          <w:sz w:val="15"/>
        </w:rPr>
        <w:t>3</w:t>
      </w:r>
      <w:r>
        <w:rPr>
          <w:i/>
          <w:w w:val="196"/>
          <w:position w:val="2"/>
          <w:sz w:val="15"/>
        </w:rPr>
        <w:t>o</w:t>
      </w:r>
      <w:r>
        <w:rPr>
          <w:i/>
          <w:spacing w:val="-15"/>
          <w:position w:val="2"/>
          <w:sz w:val="15"/>
        </w:rPr>
        <w:t> </w:t>
      </w:r>
      <w:r>
        <w:rPr>
          <w:rFonts w:ascii="Symbol" w:hAnsi="Symbol"/>
          <w:spacing w:val="-113"/>
          <w:w w:val="196"/>
          <w:position w:val="7"/>
          <w:sz w:val="15"/>
        </w:rPr>
        <w:t></w:t>
      </w:r>
      <w:r>
        <w:rPr>
          <w:rFonts w:ascii="Symbol" w:hAnsi="Symbol"/>
          <w:w w:val="196"/>
          <w:sz w:val="15"/>
        </w:rPr>
        <w:t></w:t>
      </w:r>
      <w:r>
        <w:rPr>
          <w:sz w:val="15"/>
        </w:rPr>
        <w:t>  </w:t>
      </w:r>
      <w:r>
        <w:rPr>
          <w:spacing w:val="-18"/>
          <w:sz w:val="15"/>
        </w:rPr>
        <w:t> </w:t>
      </w:r>
      <w:r>
        <w:rPr>
          <w:position w:val="-4"/>
          <w:sz w:val="24"/>
        </w:rPr>
        <w:t>2A.2</w:t>
      </w:r>
    </w:p>
    <w:p>
      <w:pPr>
        <w:spacing w:after="0" w:line="298" w:lineRule="exact"/>
        <w:jc w:val="left"/>
        <w:rPr>
          <w:sz w:val="24"/>
        </w:rPr>
        <w:sectPr>
          <w:type w:val="continuous"/>
          <w:pgSz w:w="12250" w:h="15850"/>
          <w:pgMar w:top="1500" w:bottom="280" w:left="1600" w:right="1580"/>
          <w:cols w:num="3" w:equalWidth="0">
            <w:col w:w="3759" w:space="40"/>
            <w:col w:w="1563" w:space="40"/>
            <w:col w:w="3668"/>
          </w:cols>
        </w:sectPr>
      </w:pPr>
    </w:p>
    <w:p>
      <w:pPr>
        <w:pStyle w:val="BodyText"/>
        <w:spacing w:line="362" w:lineRule="auto" w:before="141"/>
        <w:ind w:left="102" w:right="257"/>
      </w:pPr>
      <w:r>
        <w:rPr/>
        <w:pict>
          <v:line style="position:absolute;mso-position-horizontal-relative:page;mso-position-vertical-relative:paragraph;z-index:-554416" from="395.271545pt,-13.792293pt" to="428.338376pt,-13.792293pt" stroked="true" strokeweight=".100845pt" strokecolor="#000000">
            <w10:wrap type="none"/>
          </v:line>
        </w:pict>
      </w:r>
      <w:r>
        <w:rPr/>
        <w:t>Cómo se puede apreciar en ambos mercados (Argentina y Brasil) están determinados por los precios de los </w:t>
      </w:r>
      <w:r>
        <w:rPr>
          <w:i/>
        </w:rPr>
        <w:t>fuel</w:t>
      </w:r>
      <w:r>
        <w:rPr>
          <w:i/>
          <w:spacing w:val="-4"/>
        </w:rPr>
        <w:t> </w:t>
      </w:r>
      <w:r>
        <w:rPr>
          <w:i/>
        </w:rPr>
        <w:t>oils</w:t>
      </w:r>
      <w:r>
        <w:rPr/>
        <w:t>.</w:t>
      </w:r>
    </w:p>
    <w:p>
      <w:pPr>
        <w:spacing w:after="0" w:line="362" w:lineRule="auto"/>
        <w:sectPr>
          <w:type w:val="continuous"/>
          <w:pgSz w:w="12250" w:h="15850"/>
          <w:pgMar w:top="1500" w:bottom="280" w:left="1600" w:right="1580"/>
        </w:sectPr>
      </w:pPr>
    </w:p>
    <w:p>
      <w:pPr>
        <w:pStyle w:val="Heading4"/>
        <w:spacing w:before="55"/>
        <w:ind w:left="615" w:firstLine="0"/>
      </w:pPr>
      <w:bookmarkStart w:name="_bookmark175" w:id="240"/>
      <w:bookmarkEnd w:id="240"/>
      <w:r>
        <w:rPr>
          <w:b w:val="0"/>
        </w:rPr>
      </w:r>
      <w:r>
        <w:rPr/>
        <w:t>Anexo 2.6.  Estimaciones ARCH – GARCH sobre el precio del gas natural</w:t>
      </w:r>
    </w:p>
    <w:p>
      <w:pPr>
        <w:spacing w:line="266" w:lineRule="auto" w:before="125"/>
        <w:ind w:left="737" w:right="4145" w:firstLine="0"/>
        <w:jc w:val="left"/>
        <w:rPr>
          <w:rFonts w:ascii="Constantia" w:hAnsi="Constantia"/>
          <w:sz w:val="18"/>
        </w:rPr>
      </w:pPr>
      <w:r>
        <w:rPr>
          <w:rFonts w:ascii="Constantia" w:hAnsi="Constantia"/>
          <w:w w:val="130"/>
          <w:sz w:val="18"/>
        </w:rPr>
        <w:t>Método: Máxima Verosimilitud - ARCH Variable dependiente: ∆ Pgas</w:t>
      </w:r>
    </w:p>
    <w:p>
      <w:pPr>
        <w:tabs>
          <w:tab w:pos="8736" w:val="left" w:leader="none"/>
        </w:tabs>
        <w:spacing w:before="0"/>
        <w:ind w:left="701" w:right="0" w:firstLine="0"/>
        <w:jc w:val="left"/>
        <w:rPr>
          <w:rFonts w:ascii="Constantia"/>
          <w:sz w:val="18"/>
        </w:rPr>
      </w:pPr>
      <w:r>
        <w:rPr>
          <w:rFonts w:ascii="Constantia"/>
          <w:spacing w:val="-22"/>
          <w:w w:val="128"/>
          <w:sz w:val="18"/>
          <w:u w:val="thick"/>
        </w:rPr>
        <w:t> </w:t>
      </w:r>
      <w:r>
        <w:rPr>
          <w:rFonts w:ascii="Constantia"/>
          <w:w w:val="130"/>
          <w:sz w:val="18"/>
          <w:u w:val="thick"/>
        </w:rPr>
        <w:t>Datos:</w:t>
      </w:r>
      <w:r>
        <w:rPr>
          <w:rFonts w:ascii="Constantia"/>
          <w:spacing w:val="-12"/>
          <w:w w:val="130"/>
          <w:sz w:val="18"/>
          <w:u w:val="thick"/>
        </w:rPr>
        <w:t> </w:t>
      </w:r>
      <w:r>
        <w:rPr>
          <w:rFonts w:ascii="Constantia"/>
          <w:spacing w:val="-3"/>
          <w:w w:val="130"/>
          <w:sz w:val="18"/>
          <w:u w:val="thick"/>
        </w:rPr>
        <w:t>1999(M07)</w:t>
      </w:r>
      <w:r>
        <w:rPr>
          <w:rFonts w:ascii="Constantia"/>
          <w:spacing w:val="-13"/>
          <w:w w:val="130"/>
          <w:sz w:val="18"/>
          <w:u w:val="thick"/>
        </w:rPr>
        <w:t> </w:t>
      </w:r>
      <w:r>
        <w:rPr>
          <w:rFonts w:ascii="Constantia"/>
          <w:w w:val="130"/>
          <w:sz w:val="18"/>
          <w:u w:val="thick"/>
        </w:rPr>
        <w:t>-</w:t>
      </w:r>
      <w:r>
        <w:rPr>
          <w:rFonts w:ascii="Constantia"/>
          <w:spacing w:val="-11"/>
          <w:w w:val="130"/>
          <w:sz w:val="18"/>
          <w:u w:val="thick"/>
        </w:rPr>
        <w:t> </w:t>
      </w:r>
      <w:r>
        <w:rPr>
          <w:rFonts w:ascii="Constantia"/>
          <w:w w:val="130"/>
          <w:sz w:val="18"/>
          <w:u w:val="thick"/>
        </w:rPr>
        <w:t>2011</w:t>
      </w:r>
      <w:r>
        <w:rPr>
          <w:rFonts w:ascii="Constantia"/>
          <w:spacing w:val="-12"/>
          <w:w w:val="130"/>
          <w:sz w:val="18"/>
          <w:u w:val="thick"/>
        </w:rPr>
        <w:t> </w:t>
      </w:r>
      <w:r>
        <w:rPr>
          <w:rFonts w:ascii="Constantia"/>
          <w:w w:val="130"/>
          <w:sz w:val="18"/>
          <w:u w:val="thick"/>
        </w:rPr>
        <w:t>(M12)</w:t>
      </w:r>
      <w:r>
        <w:rPr>
          <w:rFonts w:ascii="Constantia"/>
          <w:sz w:val="18"/>
          <w:u w:val="thick"/>
        </w:rPr>
        <w:tab/>
      </w:r>
    </w:p>
    <w:p>
      <w:pPr>
        <w:spacing w:before="44"/>
        <w:ind w:left="2922" w:right="0" w:firstLine="0"/>
        <w:jc w:val="left"/>
        <w:rPr>
          <w:rFonts w:ascii="Constantia" w:hAnsi="Constantia"/>
          <w:b/>
          <w:sz w:val="18"/>
        </w:rPr>
      </w:pPr>
      <w:r>
        <w:rPr>
          <w:rFonts w:ascii="Constantia" w:hAnsi="Constantia"/>
          <w:b/>
          <w:w w:val="130"/>
          <w:sz w:val="18"/>
        </w:rPr>
        <w:t>Ecuación media:</w:t>
      </w:r>
    </w:p>
    <w:p>
      <w:pPr>
        <w:tabs>
          <w:tab w:pos="4609" w:val="left" w:leader="none"/>
          <w:tab w:pos="7850" w:val="left" w:leader="none"/>
        </w:tabs>
        <w:spacing w:before="24"/>
        <w:ind w:left="3080" w:right="0" w:firstLine="0"/>
        <w:jc w:val="left"/>
        <w:rPr>
          <w:rFonts w:ascii="Constantia" w:hAnsi="Constantia"/>
          <w:sz w:val="18"/>
        </w:rPr>
      </w:pPr>
      <w:r>
        <w:rPr>
          <w:rFonts w:ascii="Constantia" w:hAnsi="Constantia"/>
          <w:w w:val="130"/>
          <w:sz w:val="18"/>
        </w:rPr>
        <w:t>Coeficientes</w:t>
        <w:tab/>
      </w:r>
      <w:r>
        <w:rPr>
          <w:rFonts w:ascii="Constantia" w:hAnsi="Constantia"/>
          <w:spacing w:val="-3"/>
          <w:w w:val="130"/>
          <w:sz w:val="18"/>
        </w:rPr>
        <w:t>Error </w:t>
      </w:r>
      <w:r>
        <w:rPr>
          <w:rFonts w:ascii="Constantia" w:hAnsi="Constantia"/>
          <w:w w:val="130"/>
          <w:sz w:val="18"/>
        </w:rPr>
        <w:t>estándar </w:t>
      </w:r>
      <w:r>
        <w:rPr>
          <w:rFonts w:ascii="Constantia" w:hAnsi="Constantia"/>
          <w:spacing w:val="22"/>
          <w:w w:val="130"/>
          <w:sz w:val="18"/>
        </w:rPr>
        <w:t> </w:t>
      </w:r>
      <w:r>
        <w:rPr>
          <w:rFonts w:ascii="Constantia" w:hAnsi="Constantia"/>
          <w:w w:val="130"/>
          <w:sz w:val="18"/>
        </w:rPr>
        <w:t>Estadístico</w:t>
      </w:r>
      <w:r>
        <w:rPr>
          <w:rFonts w:ascii="Constantia" w:hAnsi="Constantia"/>
          <w:spacing w:val="-8"/>
          <w:w w:val="130"/>
          <w:sz w:val="18"/>
        </w:rPr>
        <w:t> </w:t>
      </w:r>
      <w:r>
        <w:rPr>
          <w:rFonts w:ascii="Constantia" w:hAnsi="Constantia"/>
          <w:w w:val="130"/>
          <w:sz w:val="18"/>
        </w:rPr>
        <w:t>t</w:t>
        <w:tab/>
        <w:t>Prob.</w:t>
      </w:r>
    </w:p>
    <w:p>
      <w:pPr>
        <w:pStyle w:val="BodyText"/>
        <w:spacing w:line="29" w:lineRule="exact"/>
        <w:ind w:left="696"/>
        <w:rPr>
          <w:rFonts w:ascii="Constantia"/>
          <w:sz w:val="2"/>
        </w:rPr>
      </w:pPr>
      <w:r>
        <w:rPr>
          <w:rFonts w:ascii="Constantia"/>
          <w:position w:val="0"/>
          <w:sz w:val="2"/>
        </w:rPr>
        <w:pict>
          <v:group style="width:402.3pt;height:1.5pt;mso-position-horizontal-relative:char;mso-position-vertical-relative:line" coordorigin="0,0" coordsize="8046,30">
            <v:line style="position:absolute" from="11,5" to="8035,5" stroked="true" strokeweight=".488264pt" strokecolor="#000000"/>
            <v:line style="position:absolute" from="5,5" to="8041,5" stroked="true" strokeweight=".488264pt" strokecolor="#000000"/>
            <v:line style="position:absolute" from="11,25" to="8035,25" stroked="true" strokeweight=".488264pt" strokecolor="#000000"/>
            <v:line style="position:absolute" from="5,25" to="8041,25" stroked="true" strokeweight=".488264pt" strokecolor="#000000"/>
          </v:group>
        </w:pict>
      </w:r>
      <w:r>
        <w:rPr>
          <w:rFonts w:ascii="Constantia"/>
          <w:position w:val="0"/>
          <w:sz w:val="2"/>
        </w:rPr>
      </w:r>
    </w:p>
    <w:p>
      <w:pPr>
        <w:pStyle w:val="BodyText"/>
        <w:spacing w:before="8"/>
        <w:rPr>
          <w:rFonts w:ascii="Constantia"/>
          <w:sz w:val="15"/>
        </w:rPr>
      </w:pPr>
    </w:p>
    <w:tbl>
      <w:tblPr>
        <w:tblW w:w="0" w:type="auto"/>
        <w:jc w:val="left"/>
        <w:tblInd w:w="7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84"/>
        <w:gridCol w:w="2096"/>
        <w:gridCol w:w="1475"/>
        <w:gridCol w:w="1317"/>
        <w:gridCol w:w="964"/>
      </w:tblGrid>
      <w:tr>
        <w:trPr>
          <w:trHeight w:val="315" w:hRule="exact"/>
        </w:trPr>
        <w:tc>
          <w:tcPr>
            <w:tcW w:w="2184" w:type="dxa"/>
          </w:tcPr>
          <w:p>
            <w:pPr>
              <w:pStyle w:val="TableParagraph"/>
              <w:spacing w:before="68"/>
              <w:ind w:left="36"/>
              <w:jc w:val="left"/>
              <w:rPr>
                <w:rFonts w:ascii="Constantia" w:hAnsi="Constantia"/>
                <w:sz w:val="18"/>
              </w:rPr>
            </w:pPr>
            <w:r>
              <w:rPr>
                <w:rFonts w:ascii="Constantia" w:hAnsi="Constantia"/>
                <w:w w:val="130"/>
                <w:sz w:val="18"/>
              </w:rPr>
              <w:t>∆ Pgas t-3</w:t>
            </w:r>
          </w:p>
        </w:tc>
        <w:tc>
          <w:tcPr>
            <w:tcW w:w="2096" w:type="dxa"/>
          </w:tcPr>
          <w:p>
            <w:pPr>
              <w:pStyle w:val="TableParagraph"/>
              <w:spacing w:before="68"/>
              <w:ind w:right="609"/>
              <w:jc w:val="right"/>
              <w:rPr>
                <w:rFonts w:ascii="Constantia"/>
                <w:sz w:val="18"/>
              </w:rPr>
            </w:pPr>
            <w:r>
              <w:rPr>
                <w:rFonts w:ascii="Constantia"/>
                <w:w w:val="125"/>
                <w:sz w:val="18"/>
              </w:rPr>
              <w:t>0.46</w:t>
            </w:r>
          </w:p>
        </w:tc>
        <w:tc>
          <w:tcPr>
            <w:tcW w:w="1475" w:type="dxa"/>
          </w:tcPr>
          <w:p>
            <w:pPr>
              <w:pStyle w:val="TableParagraph"/>
              <w:spacing w:before="68"/>
              <w:ind w:right="435"/>
              <w:jc w:val="right"/>
              <w:rPr>
                <w:rFonts w:ascii="Constantia"/>
                <w:sz w:val="18"/>
              </w:rPr>
            </w:pPr>
            <w:r>
              <w:rPr>
                <w:rFonts w:ascii="Constantia"/>
                <w:w w:val="125"/>
                <w:sz w:val="18"/>
              </w:rPr>
              <w:t>0.04</w:t>
            </w:r>
          </w:p>
        </w:tc>
        <w:tc>
          <w:tcPr>
            <w:tcW w:w="1317" w:type="dxa"/>
          </w:tcPr>
          <w:p>
            <w:pPr>
              <w:pStyle w:val="TableParagraph"/>
              <w:spacing w:before="68"/>
              <w:ind w:left="411" w:right="372"/>
              <w:rPr>
                <w:rFonts w:ascii="Constantia"/>
                <w:sz w:val="18"/>
              </w:rPr>
            </w:pPr>
            <w:r>
              <w:rPr>
                <w:rFonts w:ascii="Constantia"/>
                <w:w w:val="130"/>
                <w:sz w:val="18"/>
              </w:rPr>
              <w:t>11.85</w:t>
            </w:r>
          </w:p>
        </w:tc>
        <w:tc>
          <w:tcPr>
            <w:tcW w:w="964" w:type="dxa"/>
          </w:tcPr>
          <w:p>
            <w:pPr>
              <w:pStyle w:val="TableParagraph"/>
              <w:spacing w:before="68"/>
              <w:ind w:right="117"/>
              <w:jc w:val="right"/>
              <w:rPr>
                <w:rFonts w:ascii="Constantia"/>
                <w:sz w:val="18"/>
              </w:rPr>
            </w:pPr>
            <w:r>
              <w:rPr>
                <w:rFonts w:ascii="Constantia"/>
                <w:w w:val="125"/>
                <w:sz w:val="18"/>
              </w:rPr>
              <w:t>0.00</w:t>
            </w:r>
          </w:p>
        </w:tc>
      </w:tr>
      <w:tr>
        <w:trPr>
          <w:trHeight w:val="245" w:hRule="exact"/>
        </w:trPr>
        <w:tc>
          <w:tcPr>
            <w:tcW w:w="2184" w:type="dxa"/>
          </w:tcPr>
          <w:p>
            <w:pPr>
              <w:pStyle w:val="TableParagraph"/>
              <w:spacing w:line="217" w:lineRule="exact"/>
              <w:ind w:left="36"/>
              <w:jc w:val="left"/>
              <w:rPr>
                <w:rFonts w:ascii="Constantia" w:hAnsi="Constantia"/>
                <w:sz w:val="18"/>
              </w:rPr>
            </w:pPr>
            <w:r>
              <w:rPr>
                <w:rFonts w:ascii="Constantia" w:hAnsi="Constantia"/>
                <w:w w:val="130"/>
                <w:sz w:val="18"/>
              </w:rPr>
              <w:t>∆ Ppet t-2</w:t>
            </w:r>
          </w:p>
        </w:tc>
        <w:tc>
          <w:tcPr>
            <w:tcW w:w="2096" w:type="dxa"/>
          </w:tcPr>
          <w:p>
            <w:pPr>
              <w:pStyle w:val="TableParagraph"/>
              <w:spacing w:line="217" w:lineRule="exact"/>
              <w:ind w:right="613"/>
              <w:jc w:val="right"/>
              <w:rPr>
                <w:rFonts w:ascii="Constantia"/>
                <w:sz w:val="18"/>
              </w:rPr>
            </w:pPr>
            <w:r>
              <w:rPr>
                <w:rFonts w:ascii="Constantia"/>
                <w:w w:val="125"/>
                <w:sz w:val="18"/>
              </w:rPr>
              <w:t>0.01</w:t>
            </w:r>
          </w:p>
        </w:tc>
        <w:tc>
          <w:tcPr>
            <w:tcW w:w="1475" w:type="dxa"/>
          </w:tcPr>
          <w:p>
            <w:pPr>
              <w:pStyle w:val="TableParagraph"/>
              <w:spacing w:line="217" w:lineRule="exact"/>
              <w:ind w:right="434"/>
              <w:jc w:val="right"/>
              <w:rPr>
                <w:rFonts w:ascii="Constantia"/>
                <w:sz w:val="18"/>
              </w:rPr>
            </w:pPr>
            <w:r>
              <w:rPr>
                <w:rFonts w:ascii="Constantia"/>
                <w:w w:val="125"/>
                <w:sz w:val="18"/>
              </w:rPr>
              <w:t>0.00</w:t>
            </w:r>
          </w:p>
        </w:tc>
        <w:tc>
          <w:tcPr>
            <w:tcW w:w="1317" w:type="dxa"/>
          </w:tcPr>
          <w:p>
            <w:pPr>
              <w:pStyle w:val="TableParagraph"/>
              <w:spacing w:line="217" w:lineRule="exact"/>
              <w:ind w:left="411" w:right="357"/>
              <w:rPr>
                <w:rFonts w:ascii="Constantia"/>
                <w:sz w:val="18"/>
              </w:rPr>
            </w:pPr>
            <w:r>
              <w:rPr>
                <w:rFonts w:ascii="Constantia"/>
                <w:w w:val="130"/>
                <w:sz w:val="18"/>
              </w:rPr>
              <w:t>8.06</w:t>
            </w:r>
          </w:p>
        </w:tc>
        <w:tc>
          <w:tcPr>
            <w:tcW w:w="964" w:type="dxa"/>
          </w:tcPr>
          <w:p>
            <w:pPr>
              <w:pStyle w:val="TableParagraph"/>
              <w:spacing w:line="217" w:lineRule="exact"/>
              <w:ind w:right="117"/>
              <w:jc w:val="right"/>
              <w:rPr>
                <w:rFonts w:ascii="Constantia"/>
                <w:sz w:val="18"/>
              </w:rPr>
            </w:pPr>
            <w:r>
              <w:rPr>
                <w:rFonts w:ascii="Constantia"/>
                <w:w w:val="125"/>
                <w:sz w:val="18"/>
              </w:rPr>
              <w:t>0.00</w:t>
            </w:r>
          </w:p>
        </w:tc>
      </w:tr>
      <w:tr>
        <w:trPr>
          <w:trHeight w:val="245" w:hRule="exact"/>
        </w:trPr>
        <w:tc>
          <w:tcPr>
            <w:tcW w:w="2184" w:type="dxa"/>
          </w:tcPr>
          <w:p>
            <w:pPr>
              <w:pStyle w:val="TableParagraph"/>
              <w:spacing w:line="217" w:lineRule="exact"/>
              <w:ind w:left="36"/>
              <w:jc w:val="left"/>
              <w:rPr>
                <w:rFonts w:ascii="Constantia" w:hAnsi="Constantia"/>
                <w:sz w:val="18"/>
              </w:rPr>
            </w:pPr>
            <w:r>
              <w:rPr>
                <w:rFonts w:ascii="Constantia" w:hAnsi="Constantia"/>
                <w:w w:val="130"/>
                <w:sz w:val="18"/>
              </w:rPr>
              <w:t>∆ Ppet t-3</w:t>
            </w:r>
          </w:p>
        </w:tc>
        <w:tc>
          <w:tcPr>
            <w:tcW w:w="2096" w:type="dxa"/>
          </w:tcPr>
          <w:p>
            <w:pPr>
              <w:pStyle w:val="TableParagraph"/>
              <w:spacing w:line="217" w:lineRule="exact"/>
              <w:ind w:right="613"/>
              <w:jc w:val="right"/>
              <w:rPr>
                <w:rFonts w:ascii="Constantia"/>
                <w:sz w:val="18"/>
              </w:rPr>
            </w:pPr>
            <w:r>
              <w:rPr>
                <w:rFonts w:ascii="Constantia"/>
                <w:w w:val="125"/>
                <w:sz w:val="18"/>
              </w:rPr>
              <w:t>0.01</w:t>
            </w:r>
          </w:p>
        </w:tc>
        <w:tc>
          <w:tcPr>
            <w:tcW w:w="1475" w:type="dxa"/>
          </w:tcPr>
          <w:p>
            <w:pPr>
              <w:pStyle w:val="TableParagraph"/>
              <w:spacing w:line="217" w:lineRule="exact"/>
              <w:ind w:right="434"/>
              <w:jc w:val="right"/>
              <w:rPr>
                <w:rFonts w:ascii="Constantia"/>
                <w:sz w:val="18"/>
              </w:rPr>
            </w:pPr>
            <w:r>
              <w:rPr>
                <w:rFonts w:ascii="Constantia"/>
                <w:w w:val="125"/>
                <w:sz w:val="18"/>
              </w:rPr>
              <w:t>0.00</w:t>
            </w:r>
          </w:p>
        </w:tc>
        <w:tc>
          <w:tcPr>
            <w:tcW w:w="1317" w:type="dxa"/>
          </w:tcPr>
          <w:p>
            <w:pPr>
              <w:pStyle w:val="TableParagraph"/>
              <w:spacing w:line="217" w:lineRule="exact"/>
              <w:ind w:left="411" w:right="346"/>
              <w:rPr>
                <w:rFonts w:ascii="Constantia"/>
                <w:sz w:val="18"/>
              </w:rPr>
            </w:pPr>
            <w:r>
              <w:rPr>
                <w:rFonts w:ascii="Constantia"/>
                <w:w w:val="130"/>
                <w:sz w:val="18"/>
              </w:rPr>
              <w:t>8.07</w:t>
            </w:r>
          </w:p>
        </w:tc>
        <w:tc>
          <w:tcPr>
            <w:tcW w:w="964" w:type="dxa"/>
          </w:tcPr>
          <w:p>
            <w:pPr>
              <w:pStyle w:val="TableParagraph"/>
              <w:spacing w:line="217" w:lineRule="exact"/>
              <w:ind w:right="117"/>
              <w:jc w:val="right"/>
              <w:rPr>
                <w:rFonts w:ascii="Constantia"/>
                <w:sz w:val="18"/>
              </w:rPr>
            </w:pPr>
            <w:r>
              <w:rPr>
                <w:rFonts w:ascii="Constantia"/>
                <w:w w:val="125"/>
                <w:sz w:val="18"/>
              </w:rPr>
              <w:t>0.00</w:t>
            </w:r>
          </w:p>
        </w:tc>
      </w:tr>
      <w:tr>
        <w:trPr>
          <w:trHeight w:val="233" w:hRule="exact"/>
        </w:trPr>
        <w:tc>
          <w:tcPr>
            <w:tcW w:w="2184" w:type="dxa"/>
            <w:tcBorders>
              <w:bottom w:val="double" w:sz="4" w:space="0" w:color="000000"/>
            </w:tcBorders>
          </w:tcPr>
          <w:p>
            <w:pPr>
              <w:pStyle w:val="TableParagraph"/>
              <w:spacing w:line="217" w:lineRule="exact"/>
              <w:ind w:left="36"/>
              <w:jc w:val="left"/>
              <w:rPr>
                <w:rFonts w:ascii="Constantia" w:hAnsi="Constantia"/>
                <w:sz w:val="18"/>
              </w:rPr>
            </w:pPr>
            <w:r>
              <w:rPr>
                <w:rFonts w:ascii="Constantia" w:hAnsi="Constantia"/>
                <w:w w:val="130"/>
                <w:sz w:val="18"/>
              </w:rPr>
              <w:t>∆ Ppet t-4</w:t>
            </w:r>
          </w:p>
        </w:tc>
        <w:tc>
          <w:tcPr>
            <w:tcW w:w="2096" w:type="dxa"/>
            <w:tcBorders>
              <w:bottom w:val="double" w:sz="4" w:space="0" w:color="000000"/>
            </w:tcBorders>
          </w:tcPr>
          <w:p>
            <w:pPr>
              <w:pStyle w:val="TableParagraph"/>
              <w:spacing w:line="217" w:lineRule="exact"/>
              <w:ind w:right="610"/>
              <w:jc w:val="right"/>
              <w:rPr>
                <w:rFonts w:ascii="Constantia"/>
                <w:sz w:val="18"/>
              </w:rPr>
            </w:pPr>
            <w:r>
              <w:rPr>
                <w:rFonts w:ascii="Constantia"/>
                <w:w w:val="125"/>
                <w:sz w:val="18"/>
              </w:rPr>
              <w:t>0.02</w:t>
            </w:r>
          </w:p>
        </w:tc>
        <w:tc>
          <w:tcPr>
            <w:tcW w:w="1475" w:type="dxa"/>
            <w:tcBorders>
              <w:bottom w:val="double" w:sz="4" w:space="0" w:color="000000"/>
            </w:tcBorders>
          </w:tcPr>
          <w:p>
            <w:pPr>
              <w:pStyle w:val="TableParagraph"/>
              <w:spacing w:line="217" w:lineRule="exact"/>
              <w:ind w:right="434"/>
              <w:jc w:val="right"/>
              <w:rPr>
                <w:rFonts w:ascii="Constantia"/>
                <w:sz w:val="18"/>
              </w:rPr>
            </w:pPr>
            <w:r>
              <w:rPr>
                <w:rFonts w:ascii="Constantia"/>
                <w:w w:val="125"/>
                <w:sz w:val="18"/>
              </w:rPr>
              <w:t>0.00</w:t>
            </w:r>
          </w:p>
        </w:tc>
        <w:tc>
          <w:tcPr>
            <w:tcW w:w="1317" w:type="dxa"/>
            <w:tcBorders>
              <w:bottom w:val="double" w:sz="4" w:space="0" w:color="000000"/>
            </w:tcBorders>
          </w:tcPr>
          <w:p>
            <w:pPr>
              <w:pStyle w:val="TableParagraph"/>
              <w:spacing w:line="217" w:lineRule="exact"/>
              <w:ind w:left="409" w:right="392"/>
              <w:rPr>
                <w:rFonts w:ascii="Constantia"/>
                <w:sz w:val="18"/>
              </w:rPr>
            </w:pPr>
            <w:r>
              <w:rPr>
                <w:rFonts w:ascii="Constantia"/>
                <w:w w:val="130"/>
                <w:sz w:val="18"/>
              </w:rPr>
              <w:t>15.27</w:t>
            </w:r>
          </w:p>
        </w:tc>
        <w:tc>
          <w:tcPr>
            <w:tcW w:w="964" w:type="dxa"/>
            <w:tcBorders>
              <w:bottom w:val="double" w:sz="4" w:space="0" w:color="000000"/>
            </w:tcBorders>
          </w:tcPr>
          <w:p>
            <w:pPr>
              <w:pStyle w:val="TableParagraph"/>
              <w:spacing w:line="217" w:lineRule="exact"/>
              <w:ind w:right="117"/>
              <w:jc w:val="right"/>
              <w:rPr>
                <w:rFonts w:ascii="Constantia"/>
                <w:sz w:val="18"/>
              </w:rPr>
            </w:pPr>
            <w:r>
              <w:rPr>
                <w:rFonts w:ascii="Constantia"/>
                <w:w w:val="125"/>
                <w:sz w:val="18"/>
              </w:rPr>
              <w:t>0.00</w:t>
            </w:r>
          </w:p>
        </w:tc>
      </w:tr>
      <w:tr>
        <w:trPr>
          <w:trHeight w:val="286" w:hRule="exact"/>
        </w:trPr>
        <w:tc>
          <w:tcPr>
            <w:tcW w:w="8036" w:type="dxa"/>
            <w:gridSpan w:val="5"/>
          </w:tcPr>
          <w:p>
            <w:pPr>
              <w:pStyle w:val="TableParagraph"/>
              <w:tabs>
                <w:tab w:pos="2221" w:val="left" w:leader="none"/>
                <w:tab w:pos="8035" w:val="left" w:leader="none"/>
              </w:tabs>
              <w:spacing w:before="29"/>
              <w:jc w:val="left"/>
              <w:rPr>
                <w:rFonts w:ascii="Constantia" w:hAnsi="Constantia"/>
                <w:b/>
                <w:sz w:val="18"/>
              </w:rPr>
            </w:pPr>
            <w:r>
              <w:rPr>
                <w:rFonts w:ascii="Constantia" w:hAnsi="Constantia"/>
                <w:b/>
                <w:w w:val="128"/>
                <w:sz w:val="18"/>
                <w:u w:val="thick"/>
              </w:rPr>
              <w:t> </w:t>
            </w:r>
            <w:r>
              <w:rPr>
                <w:rFonts w:ascii="Constantia" w:hAnsi="Constantia"/>
                <w:b/>
                <w:sz w:val="18"/>
                <w:u w:val="thick"/>
              </w:rPr>
              <w:tab/>
            </w:r>
            <w:r>
              <w:rPr>
                <w:rFonts w:ascii="Constantia" w:hAnsi="Constantia"/>
                <w:b/>
                <w:spacing w:val="-3"/>
                <w:w w:val="130"/>
                <w:sz w:val="18"/>
                <w:u w:val="thick"/>
              </w:rPr>
              <w:t>Ecuación </w:t>
            </w:r>
            <w:r>
              <w:rPr>
                <w:rFonts w:ascii="Constantia" w:hAnsi="Constantia"/>
                <w:b/>
                <w:w w:val="130"/>
                <w:sz w:val="18"/>
                <w:u w:val="thick"/>
              </w:rPr>
              <w:t>de</w:t>
            </w:r>
            <w:r>
              <w:rPr>
                <w:rFonts w:ascii="Constantia" w:hAnsi="Constantia"/>
                <w:b/>
                <w:spacing w:val="-40"/>
                <w:w w:val="130"/>
                <w:sz w:val="18"/>
                <w:u w:val="thick"/>
              </w:rPr>
              <w:t> </w:t>
            </w:r>
            <w:r>
              <w:rPr>
                <w:rFonts w:ascii="Constantia" w:hAnsi="Constantia"/>
                <w:b/>
                <w:w w:val="130"/>
                <w:sz w:val="18"/>
                <w:u w:val="thick"/>
              </w:rPr>
              <w:t>varianza:</w:t>
            </w:r>
            <w:r>
              <w:rPr>
                <w:rFonts w:ascii="Constantia" w:hAnsi="Constantia"/>
                <w:b/>
                <w:sz w:val="18"/>
                <w:u w:val="thick"/>
              </w:rPr>
              <w:tab/>
            </w:r>
          </w:p>
        </w:tc>
      </w:tr>
      <w:tr>
        <w:trPr>
          <w:trHeight w:val="254" w:hRule="exact"/>
        </w:trPr>
        <w:tc>
          <w:tcPr>
            <w:tcW w:w="2184" w:type="dxa"/>
          </w:tcPr>
          <w:p>
            <w:pPr>
              <w:pStyle w:val="TableParagraph"/>
              <w:spacing w:before="7"/>
              <w:ind w:left="36"/>
              <w:jc w:val="left"/>
              <w:rPr>
                <w:rFonts w:ascii="Constantia" w:hAnsi="Constantia"/>
                <w:sz w:val="18"/>
              </w:rPr>
            </w:pPr>
            <w:r>
              <w:rPr>
                <w:rFonts w:ascii="Constantia" w:hAnsi="Constantia"/>
                <w:w w:val="130"/>
                <w:sz w:val="18"/>
              </w:rPr>
              <w:t>Error(t-1)²</w:t>
            </w:r>
          </w:p>
        </w:tc>
        <w:tc>
          <w:tcPr>
            <w:tcW w:w="2096" w:type="dxa"/>
          </w:tcPr>
          <w:p>
            <w:pPr>
              <w:pStyle w:val="TableParagraph"/>
              <w:spacing w:before="7"/>
              <w:ind w:right="617"/>
              <w:jc w:val="right"/>
              <w:rPr>
                <w:rFonts w:ascii="Constantia"/>
                <w:sz w:val="18"/>
              </w:rPr>
            </w:pPr>
            <w:r>
              <w:rPr>
                <w:rFonts w:ascii="Constantia"/>
                <w:w w:val="125"/>
                <w:sz w:val="18"/>
              </w:rPr>
              <w:t>0.33</w:t>
            </w:r>
          </w:p>
        </w:tc>
        <w:tc>
          <w:tcPr>
            <w:tcW w:w="1475" w:type="dxa"/>
          </w:tcPr>
          <w:p>
            <w:pPr>
              <w:pStyle w:val="TableParagraph"/>
              <w:spacing w:before="7"/>
              <w:ind w:right="435"/>
              <w:jc w:val="right"/>
              <w:rPr>
                <w:rFonts w:ascii="Constantia"/>
                <w:sz w:val="18"/>
              </w:rPr>
            </w:pPr>
            <w:r>
              <w:rPr>
                <w:rFonts w:ascii="Constantia"/>
                <w:w w:val="125"/>
                <w:sz w:val="18"/>
              </w:rPr>
              <w:t>0.04</w:t>
            </w:r>
          </w:p>
        </w:tc>
        <w:tc>
          <w:tcPr>
            <w:tcW w:w="1317" w:type="dxa"/>
          </w:tcPr>
          <w:p>
            <w:pPr>
              <w:pStyle w:val="TableParagraph"/>
              <w:spacing w:before="7"/>
              <w:ind w:left="411" w:right="340"/>
              <w:rPr>
                <w:rFonts w:ascii="Constantia"/>
                <w:sz w:val="18"/>
              </w:rPr>
            </w:pPr>
            <w:r>
              <w:rPr>
                <w:rFonts w:ascii="Constantia"/>
                <w:w w:val="130"/>
                <w:sz w:val="18"/>
              </w:rPr>
              <w:t>7.63</w:t>
            </w:r>
          </w:p>
        </w:tc>
        <w:tc>
          <w:tcPr>
            <w:tcW w:w="964" w:type="dxa"/>
          </w:tcPr>
          <w:p>
            <w:pPr>
              <w:pStyle w:val="TableParagraph"/>
              <w:spacing w:before="7"/>
              <w:ind w:right="117"/>
              <w:jc w:val="right"/>
              <w:rPr>
                <w:rFonts w:ascii="Constantia"/>
                <w:sz w:val="18"/>
              </w:rPr>
            </w:pPr>
            <w:r>
              <w:rPr>
                <w:rFonts w:ascii="Constantia"/>
                <w:w w:val="125"/>
                <w:sz w:val="18"/>
              </w:rPr>
              <w:t>0.00</w:t>
            </w:r>
          </w:p>
        </w:tc>
      </w:tr>
      <w:tr>
        <w:trPr>
          <w:trHeight w:val="233" w:hRule="exact"/>
        </w:trPr>
        <w:tc>
          <w:tcPr>
            <w:tcW w:w="2184" w:type="dxa"/>
            <w:tcBorders>
              <w:bottom w:val="double" w:sz="4" w:space="0" w:color="000000"/>
            </w:tcBorders>
          </w:tcPr>
          <w:p>
            <w:pPr>
              <w:pStyle w:val="TableParagraph"/>
              <w:spacing w:line="217" w:lineRule="exact"/>
              <w:ind w:left="36"/>
              <w:jc w:val="left"/>
              <w:rPr>
                <w:rFonts w:ascii="Constantia"/>
                <w:sz w:val="18"/>
              </w:rPr>
            </w:pPr>
            <w:r>
              <w:rPr>
                <w:rFonts w:ascii="Constantia"/>
                <w:w w:val="130"/>
                <w:sz w:val="18"/>
              </w:rPr>
              <w:t>GARCH t-1</w:t>
            </w:r>
          </w:p>
        </w:tc>
        <w:tc>
          <w:tcPr>
            <w:tcW w:w="2096" w:type="dxa"/>
            <w:tcBorders>
              <w:bottom w:val="double" w:sz="4" w:space="0" w:color="000000"/>
            </w:tcBorders>
          </w:tcPr>
          <w:p>
            <w:pPr>
              <w:pStyle w:val="TableParagraph"/>
              <w:spacing w:line="217" w:lineRule="exact"/>
              <w:ind w:right="610"/>
              <w:jc w:val="right"/>
              <w:rPr>
                <w:rFonts w:ascii="Constantia"/>
                <w:sz w:val="18"/>
              </w:rPr>
            </w:pPr>
            <w:r>
              <w:rPr>
                <w:rFonts w:ascii="Constantia"/>
                <w:w w:val="125"/>
                <w:sz w:val="18"/>
              </w:rPr>
              <w:t>0.67</w:t>
            </w:r>
          </w:p>
        </w:tc>
        <w:tc>
          <w:tcPr>
            <w:tcW w:w="1475" w:type="dxa"/>
            <w:tcBorders>
              <w:bottom w:val="double" w:sz="4" w:space="0" w:color="000000"/>
            </w:tcBorders>
          </w:tcPr>
          <w:p>
            <w:pPr>
              <w:pStyle w:val="TableParagraph"/>
              <w:spacing w:line="217" w:lineRule="exact"/>
              <w:ind w:right="435"/>
              <w:jc w:val="right"/>
              <w:rPr>
                <w:rFonts w:ascii="Constantia"/>
                <w:sz w:val="18"/>
              </w:rPr>
            </w:pPr>
            <w:r>
              <w:rPr>
                <w:rFonts w:ascii="Constantia"/>
                <w:w w:val="125"/>
                <w:sz w:val="18"/>
              </w:rPr>
              <w:t>0.04</w:t>
            </w:r>
          </w:p>
        </w:tc>
        <w:tc>
          <w:tcPr>
            <w:tcW w:w="1317" w:type="dxa"/>
            <w:tcBorders>
              <w:bottom w:val="double" w:sz="4" w:space="0" w:color="000000"/>
            </w:tcBorders>
          </w:tcPr>
          <w:p>
            <w:pPr>
              <w:pStyle w:val="TableParagraph"/>
              <w:spacing w:line="217" w:lineRule="exact"/>
              <w:ind w:left="409" w:right="392"/>
              <w:rPr>
                <w:rFonts w:ascii="Constantia"/>
                <w:sz w:val="18"/>
              </w:rPr>
            </w:pPr>
            <w:r>
              <w:rPr>
                <w:rFonts w:ascii="Constantia"/>
                <w:w w:val="130"/>
                <w:sz w:val="18"/>
              </w:rPr>
              <w:t>15.37</w:t>
            </w:r>
          </w:p>
        </w:tc>
        <w:tc>
          <w:tcPr>
            <w:tcW w:w="964" w:type="dxa"/>
            <w:tcBorders>
              <w:bottom w:val="double" w:sz="4" w:space="0" w:color="000000"/>
            </w:tcBorders>
          </w:tcPr>
          <w:p>
            <w:pPr>
              <w:pStyle w:val="TableParagraph"/>
              <w:spacing w:line="217" w:lineRule="exact"/>
              <w:ind w:right="117"/>
              <w:jc w:val="right"/>
              <w:rPr>
                <w:rFonts w:ascii="Constantia"/>
                <w:sz w:val="18"/>
              </w:rPr>
            </w:pPr>
            <w:r>
              <w:rPr>
                <w:rFonts w:ascii="Constantia"/>
                <w:w w:val="125"/>
                <w:sz w:val="18"/>
              </w:rPr>
              <w:t>0.00</w:t>
            </w:r>
          </w:p>
        </w:tc>
      </w:tr>
      <w:tr>
        <w:trPr>
          <w:trHeight w:val="280" w:hRule="exact"/>
        </w:trPr>
        <w:tc>
          <w:tcPr>
            <w:tcW w:w="2184" w:type="dxa"/>
            <w:tcBorders>
              <w:top w:val="double" w:sz="4" w:space="0" w:color="000000"/>
            </w:tcBorders>
          </w:tcPr>
          <w:p>
            <w:pPr>
              <w:pStyle w:val="TableParagraph"/>
              <w:spacing w:before="14"/>
              <w:ind w:left="36"/>
              <w:jc w:val="left"/>
              <w:rPr>
                <w:rFonts w:ascii="Constantia"/>
                <w:sz w:val="18"/>
              </w:rPr>
            </w:pPr>
            <w:r>
              <w:rPr>
                <w:rFonts w:ascii="Constantia"/>
                <w:w w:val="130"/>
                <w:sz w:val="18"/>
              </w:rPr>
              <w:t>R2</w:t>
            </w:r>
          </w:p>
        </w:tc>
        <w:tc>
          <w:tcPr>
            <w:tcW w:w="2096" w:type="dxa"/>
            <w:tcBorders>
              <w:top w:val="double" w:sz="4" w:space="0" w:color="000000"/>
            </w:tcBorders>
          </w:tcPr>
          <w:p>
            <w:pPr>
              <w:pStyle w:val="TableParagraph"/>
              <w:spacing w:before="14"/>
              <w:ind w:right="612"/>
              <w:jc w:val="right"/>
              <w:rPr>
                <w:rFonts w:ascii="Constantia"/>
                <w:sz w:val="18"/>
              </w:rPr>
            </w:pPr>
            <w:r>
              <w:rPr>
                <w:rFonts w:ascii="Constantia"/>
                <w:w w:val="125"/>
                <w:sz w:val="18"/>
              </w:rPr>
              <w:t>0.35</w:t>
            </w:r>
          </w:p>
        </w:tc>
        <w:tc>
          <w:tcPr>
            <w:tcW w:w="1475" w:type="dxa"/>
            <w:tcBorders>
              <w:top w:val="double" w:sz="4" w:space="0" w:color="000000"/>
            </w:tcBorders>
          </w:tcPr>
          <w:p>
            <w:pPr/>
          </w:p>
        </w:tc>
        <w:tc>
          <w:tcPr>
            <w:tcW w:w="1317" w:type="dxa"/>
            <w:tcBorders>
              <w:top w:val="double" w:sz="4" w:space="0" w:color="000000"/>
            </w:tcBorders>
          </w:tcPr>
          <w:p>
            <w:pPr/>
          </w:p>
        </w:tc>
        <w:tc>
          <w:tcPr>
            <w:tcW w:w="964" w:type="dxa"/>
            <w:tcBorders>
              <w:top w:val="double" w:sz="4" w:space="0" w:color="000000"/>
            </w:tcBorders>
          </w:tcPr>
          <w:p>
            <w:pPr/>
          </w:p>
        </w:tc>
      </w:tr>
    </w:tbl>
    <w:p>
      <w:pPr>
        <w:tabs>
          <w:tab w:pos="3954" w:val="left" w:leader="none"/>
        </w:tabs>
        <w:spacing w:line="288" w:lineRule="auto" w:before="0"/>
        <w:ind w:left="737" w:right="4432" w:hanging="37"/>
        <w:jc w:val="left"/>
        <w:rPr>
          <w:rFonts w:ascii="Constantia"/>
          <w:sz w:val="18"/>
        </w:rPr>
      </w:pPr>
      <w:r>
        <w:rPr>
          <w:rFonts w:ascii="Constantia"/>
          <w:spacing w:val="-22"/>
          <w:w w:val="128"/>
          <w:sz w:val="18"/>
          <w:u w:val="thick"/>
        </w:rPr>
        <w:t> </w:t>
      </w:r>
      <w:r>
        <w:rPr>
          <w:rFonts w:ascii="Constantia"/>
          <w:w w:val="130"/>
          <w:sz w:val="18"/>
          <w:u w:val="thick"/>
        </w:rPr>
        <w:t>R2</w:t>
      </w:r>
      <w:r>
        <w:rPr>
          <w:rFonts w:ascii="Constantia"/>
          <w:spacing w:val="-6"/>
          <w:w w:val="130"/>
          <w:sz w:val="18"/>
          <w:u w:val="thick"/>
        </w:rPr>
        <w:t> </w:t>
      </w:r>
      <w:r>
        <w:rPr>
          <w:rFonts w:ascii="Constantia"/>
          <w:w w:val="130"/>
          <w:sz w:val="18"/>
          <w:u w:val="thick"/>
        </w:rPr>
        <w:t>ajustada</w:t>
        <w:tab/>
        <w:t>0.34 </w:t>
      </w:r>
      <w:r>
        <w:rPr>
          <w:rFonts w:ascii="Constantia"/>
          <w:w w:val="130"/>
          <w:sz w:val="18"/>
        </w:rPr>
        <w:t>Arch - LM (1</w:t>
      </w:r>
      <w:r>
        <w:rPr>
          <w:rFonts w:ascii="Constantia"/>
          <w:spacing w:val="-30"/>
          <w:w w:val="130"/>
          <w:sz w:val="18"/>
        </w:rPr>
        <w:t> </w:t>
      </w:r>
      <w:r>
        <w:rPr>
          <w:rFonts w:ascii="Constantia"/>
          <w:w w:val="130"/>
          <w:sz w:val="18"/>
        </w:rPr>
        <w:t>rezago)</w:t>
      </w:r>
    </w:p>
    <w:p>
      <w:pPr>
        <w:tabs>
          <w:tab w:pos="3966" w:val="left" w:leader="none"/>
        </w:tabs>
        <w:spacing w:line="201" w:lineRule="exact" w:before="0"/>
        <w:ind w:left="701" w:right="0" w:firstLine="0"/>
        <w:jc w:val="both"/>
        <w:rPr>
          <w:rFonts w:ascii="Constantia" w:hAnsi="Constantia"/>
          <w:sz w:val="18"/>
        </w:rPr>
      </w:pPr>
      <w:r>
        <w:rPr>
          <w:rFonts w:ascii="Constantia" w:hAnsi="Constantia"/>
          <w:spacing w:val="-22"/>
          <w:w w:val="128"/>
          <w:sz w:val="18"/>
          <w:u w:val="thick"/>
        </w:rPr>
        <w:t> </w:t>
      </w:r>
      <w:r>
        <w:rPr>
          <w:rFonts w:ascii="Constantia" w:hAnsi="Constantia"/>
          <w:w w:val="130"/>
          <w:sz w:val="18"/>
          <w:u w:val="thick"/>
        </w:rPr>
        <w:t>Prob.</w:t>
      </w:r>
      <w:r>
        <w:rPr>
          <w:rFonts w:ascii="Constantia" w:hAnsi="Constantia"/>
          <w:spacing w:val="-5"/>
          <w:w w:val="130"/>
          <w:sz w:val="18"/>
          <w:u w:val="thick"/>
        </w:rPr>
        <w:t> </w:t>
      </w:r>
      <w:r>
        <w:rPr>
          <w:rFonts w:ascii="Constantia" w:hAnsi="Constantia"/>
          <w:w w:val="130"/>
          <w:sz w:val="18"/>
          <w:u w:val="thick"/>
        </w:rPr>
        <w:t>Estadístico</w:t>
      </w:r>
      <w:r>
        <w:rPr>
          <w:rFonts w:ascii="Constantia" w:hAnsi="Constantia"/>
          <w:spacing w:val="-10"/>
          <w:w w:val="130"/>
          <w:sz w:val="18"/>
          <w:u w:val="thick"/>
        </w:rPr>
        <w:t> </w:t>
      </w:r>
      <w:r>
        <w:rPr>
          <w:rFonts w:ascii="Constantia" w:hAnsi="Constantia"/>
          <w:w w:val="130"/>
          <w:sz w:val="18"/>
          <w:u w:val="thick"/>
        </w:rPr>
        <w:t>F</w:t>
        <w:tab/>
        <w:t>0.52</w:t>
      </w:r>
      <w:r>
        <w:rPr>
          <w:rFonts w:ascii="Constantia" w:hAnsi="Constantia"/>
          <w:sz w:val="18"/>
          <w:u w:val="thick"/>
        </w:rPr>
        <w:t>  </w:t>
      </w:r>
      <w:r>
        <w:rPr>
          <w:rFonts w:ascii="Constantia" w:hAnsi="Constantia"/>
          <w:spacing w:val="-16"/>
          <w:sz w:val="18"/>
          <w:u w:val="thick"/>
        </w:rPr>
        <w:t> </w:t>
      </w:r>
    </w:p>
    <w:p>
      <w:pPr>
        <w:tabs>
          <w:tab w:pos="4366" w:val="right" w:leader="none"/>
          <w:tab w:pos="4488" w:val="left" w:leader="none"/>
        </w:tabs>
        <w:spacing w:line="288" w:lineRule="auto" w:before="44"/>
        <w:ind w:left="737" w:right="4432" w:hanging="37"/>
        <w:jc w:val="left"/>
        <w:rPr>
          <w:rFonts w:ascii="Constantia"/>
          <w:sz w:val="18"/>
        </w:rPr>
      </w:pPr>
      <w:r>
        <w:rPr>
          <w:rFonts w:ascii="Constantia"/>
          <w:spacing w:val="-22"/>
          <w:w w:val="128"/>
          <w:sz w:val="18"/>
          <w:u w:val="thick"/>
        </w:rPr>
        <w:t> </w:t>
      </w:r>
      <w:r>
        <w:rPr>
          <w:rFonts w:ascii="Constantia"/>
          <w:spacing w:val="-3"/>
          <w:w w:val="130"/>
          <w:sz w:val="18"/>
          <w:u w:val="thick"/>
        </w:rPr>
        <w:t>Normalidad</w:t>
        <w:tab/>
        <w:tab/>
      </w:r>
      <w:r>
        <w:rPr>
          <w:rFonts w:ascii="Constantia"/>
          <w:w w:val="130"/>
          <w:sz w:val="18"/>
        </w:rPr>
        <w:t> Jarque-Bera</w:t>
        <w:tab/>
        <w:t>1.05</w:t>
      </w:r>
    </w:p>
    <w:p>
      <w:pPr>
        <w:tabs>
          <w:tab w:pos="3954" w:val="left" w:leader="none"/>
        </w:tabs>
        <w:spacing w:line="201" w:lineRule="exact" w:before="0"/>
        <w:ind w:left="701" w:right="0" w:firstLine="0"/>
        <w:jc w:val="both"/>
        <w:rPr>
          <w:rFonts w:ascii="Constantia"/>
          <w:sz w:val="18"/>
        </w:rPr>
      </w:pPr>
      <w:r>
        <w:rPr>
          <w:rFonts w:ascii="Constantia"/>
          <w:spacing w:val="-22"/>
          <w:w w:val="128"/>
          <w:sz w:val="18"/>
          <w:u w:val="single"/>
        </w:rPr>
        <w:t> </w:t>
      </w:r>
      <w:r>
        <w:rPr>
          <w:rFonts w:ascii="Constantia"/>
          <w:w w:val="130"/>
          <w:sz w:val="18"/>
          <w:u w:val="single"/>
        </w:rPr>
        <w:t>Prob.</w:t>
        <w:tab/>
        <w:t>0.59</w:t>
      </w:r>
      <w:r>
        <w:rPr>
          <w:rFonts w:ascii="Constantia"/>
          <w:sz w:val="18"/>
          <w:u w:val="single"/>
        </w:rPr>
        <w:t>  </w:t>
      </w:r>
      <w:r>
        <w:rPr>
          <w:rFonts w:ascii="Constantia"/>
          <w:spacing w:val="-19"/>
          <w:sz w:val="18"/>
          <w:u w:val="single"/>
        </w:rPr>
        <w:t> </w:t>
      </w:r>
    </w:p>
    <w:p>
      <w:pPr>
        <w:spacing w:line="240" w:lineRule="auto" w:before="19"/>
        <w:ind w:left="690" w:right="98" w:firstLine="0"/>
        <w:jc w:val="both"/>
        <w:rPr>
          <w:sz w:val="18"/>
        </w:rPr>
      </w:pPr>
      <w:r>
        <w:rPr>
          <w:sz w:val="18"/>
        </w:rPr>
        <w:t>El test de normalidad (Jarque-Bera) contrasta la hipótesis nula de distribución normal de los residuos; el test ARCH contrasta la hipótesis nula de homocedasticidad de los residuos. En todos los caso se rechaza la hipótesis nula si la probabilidad es inferior al 5%. Se emplearon los estadísticos de Ljung-Box y Box-Pierce para detectar la autocorrelación de los residuos: en ambos casos no se evidenció autocorrelación de los residuos al 5% de significancia.</w:t>
      </w:r>
    </w:p>
    <w:p>
      <w:pPr>
        <w:spacing w:after="0" w:line="240" w:lineRule="auto"/>
        <w:jc w:val="both"/>
        <w:rPr>
          <w:sz w:val="18"/>
        </w:rPr>
        <w:sectPr>
          <w:pgSz w:w="12250" w:h="15850"/>
          <w:pgMar w:header="0" w:footer="977" w:top="1360" w:bottom="1220" w:left="1720" w:right="1600"/>
        </w:sectPr>
      </w:pPr>
    </w:p>
    <w:p>
      <w:pPr>
        <w:pStyle w:val="Heading4"/>
        <w:spacing w:before="53"/>
        <w:ind w:left="102" w:right="127" w:firstLine="0"/>
      </w:pPr>
      <w:bookmarkStart w:name="_bookmark176" w:id="241"/>
      <w:bookmarkEnd w:id="241"/>
      <w:r>
        <w:rPr>
          <w:b w:val="0"/>
        </w:rPr>
      </w:r>
      <w:r>
        <w:rPr/>
        <w:t>Anexo 3.1: Filtros utilizados</w:t>
      </w:r>
    </w:p>
    <w:p>
      <w:pPr>
        <w:pStyle w:val="BodyText"/>
        <w:rPr>
          <w:b/>
          <w:sz w:val="29"/>
        </w:rPr>
      </w:pPr>
    </w:p>
    <w:p>
      <w:pPr>
        <w:pStyle w:val="BodyText"/>
        <w:ind w:left="810" w:right="127"/>
      </w:pPr>
      <w:r>
        <w:rPr>
          <w:u w:val="single"/>
        </w:rPr>
        <w:t>Filtro de Hodrick-Prescott (HP)</w:t>
      </w:r>
    </w:p>
    <w:p>
      <w:pPr>
        <w:pStyle w:val="BodyText"/>
        <w:spacing w:line="360" w:lineRule="auto" w:before="137"/>
        <w:ind w:left="102" w:right="120" w:firstLine="707"/>
        <w:jc w:val="both"/>
      </w:pPr>
      <w:r>
        <w:rPr/>
        <w:t>El filtro de Hodrick y Prescott (1997) [HP] es un método estadístico que descompone la serie en dos componentes: una tendencia de largo plazo y un componente irregular. En macroeconomía aplicada,  el primer componente se lo suele utilizar para  medir el PIB potencial (cuando la serie analizada es el PIB); el segundo componente se refiere a las fluctuaciones</w:t>
      </w:r>
      <w:r>
        <w:rPr>
          <w:spacing w:val="-10"/>
        </w:rPr>
        <w:t> </w:t>
      </w:r>
      <w:r>
        <w:rPr/>
        <w:t>cíclicas:</w:t>
      </w:r>
    </w:p>
    <w:p>
      <w:pPr>
        <w:pStyle w:val="BodyText"/>
        <w:spacing w:before="7"/>
        <w:ind w:right="22"/>
        <w:jc w:val="center"/>
      </w:pPr>
      <w:r>
        <w:rPr/>
        <w:t>Serie observada  =  Tendencia de largo plazo  +  fluctuaciones cíclicas</w:t>
      </w:r>
    </w:p>
    <w:p>
      <w:pPr>
        <w:tabs>
          <w:tab w:pos="741" w:val="left" w:leader="none"/>
          <w:tab w:pos="2078" w:val="left" w:leader="none"/>
        </w:tabs>
        <w:spacing w:before="185"/>
        <w:ind w:left="0" w:right="17" w:firstLine="0"/>
        <w:jc w:val="center"/>
        <w:rPr>
          <w:sz w:val="24"/>
        </w:rPr>
      </w:pPr>
      <w:r>
        <w:rPr>
          <w:rFonts w:ascii="Cambria Math"/>
          <w:spacing w:val="-11"/>
          <w:w w:val="255"/>
          <w:sz w:val="28"/>
        </w:rPr>
        <w:t> </w:t>
      </w:r>
      <w:r>
        <w:rPr>
          <w:rFonts w:ascii="Cambria Math"/>
          <w:w w:val="199"/>
          <w:position w:val="-5"/>
          <w:sz w:val="20"/>
        </w:rPr>
        <w:t> </w:t>
      </w:r>
      <w:r>
        <w:rPr>
          <w:rFonts w:ascii="Cambria Math"/>
          <w:position w:val="-5"/>
          <w:sz w:val="20"/>
        </w:rPr>
        <w:t> </w:t>
      </w:r>
      <w:r>
        <w:rPr>
          <w:rFonts w:ascii="Cambria Math"/>
          <w:spacing w:val="9"/>
          <w:position w:val="-5"/>
          <w:sz w:val="20"/>
        </w:rPr>
        <w:t> </w:t>
      </w:r>
      <w:r>
        <w:rPr>
          <w:rFonts w:ascii="Cambria Math"/>
          <w:w w:val="340"/>
          <w:sz w:val="28"/>
        </w:rPr>
        <w:t> </w:t>
      </w:r>
      <w:r>
        <w:rPr>
          <w:rFonts w:ascii="Cambria Math"/>
          <w:sz w:val="28"/>
        </w:rPr>
        <w:tab/>
      </w:r>
      <w:r>
        <w:rPr>
          <w:rFonts w:ascii="Cambria Math"/>
          <w:w w:val="209"/>
          <w:sz w:val="28"/>
        </w:rPr>
        <w:t> </w:t>
      </w:r>
      <w:r>
        <w:rPr>
          <w:rFonts w:ascii="Cambria Math"/>
          <w:w w:val="199"/>
          <w:position w:val="-5"/>
          <w:sz w:val="20"/>
        </w:rPr>
        <w:t> </w:t>
      </w:r>
      <w:r>
        <w:rPr>
          <w:rFonts w:ascii="Cambria Math"/>
          <w:position w:val="-5"/>
          <w:sz w:val="20"/>
        </w:rPr>
        <w:t> </w:t>
      </w:r>
      <w:r>
        <w:rPr>
          <w:rFonts w:ascii="Cambria Math"/>
          <w:spacing w:val="-11"/>
          <w:position w:val="-5"/>
          <w:sz w:val="20"/>
        </w:rPr>
        <w:t> </w:t>
      </w:r>
      <w:r>
        <w:rPr>
          <w:rFonts w:ascii="Cambria Math"/>
          <w:w w:val="340"/>
          <w:sz w:val="28"/>
        </w:rPr>
        <w:t> </w:t>
      </w:r>
      <w:r>
        <w:rPr>
          <w:rFonts w:ascii="Cambria Math"/>
          <w:sz w:val="28"/>
        </w:rPr>
        <w:t>  </w:t>
      </w:r>
      <w:r>
        <w:rPr>
          <w:rFonts w:ascii="Cambria Math"/>
          <w:spacing w:val="1"/>
          <w:sz w:val="28"/>
        </w:rPr>
        <w:t> </w:t>
      </w:r>
      <w:r>
        <w:rPr>
          <w:rFonts w:ascii="Cambria Math"/>
          <w:spacing w:val="1"/>
          <w:w w:val="196"/>
          <w:sz w:val="28"/>
        </w:rPr>
        <w:t> </w:t>
      </w:r>
      <w:r>
        <w:rPr>
          <w:rFonts w:ascii="Cambria Math"/>
          <w:w w:val="199"/>
          <w:position w:val="-5"/>
          <w:sz w:val="20"/>
        </w:rPr>
        <w:t> </w:t>
      </w:r>
      <w:r>
        <w:rPr>
          <w:rFonts w:ascii="Cambria Math"/>
          <w:position w:val="-5"/>
          <w:sz w:val="20"/>
        </w:rPr>
        <w:tab/>
      </w:r>
      <w:r>
        <w:rPr>
          <w:sz w:val="24"/>
        </w:rPr>
        <w:t>3A.</w:t>
      </w:r>
      <w:r>
        <w:rPr>
          <w:spacing w:val="-1"/>
          <w:sz w:val="24"/>
        </w:rPr>
        <w:t> </w:t>
      </w:r>
      <w:r>
        <w:rPr>
          <w:sz w:val="24"/>
        </w:rPr>
        <w:t>1</w:t>
      </w:r>
    </w:p>
    <w:p>
      <w:pPr>
        <w:pStyle w:val="BodyText"/>
        <w:spacing w:line="360" w:lineRule="auto" w:before="168"/>
        <w:ind w:left="102" w:right="116" w:firstLine="707"/>
        <w:jc w:val="both"/>
      </w:pPr>
      <w:r>
        <w:rPr/>
        <w:t>La presentación formal de esta descomposición se realizó sobre el análisis de los ciclos económicos de EEUU (Hodrick y Prescott, 1997). Las especificaciones técnicas se basan en calcular la tendencia de largo plazo </w:t>
      </w:r>
      <w:r>
        <w:rPr>
          <w:rFonts w:ascii="Cambria Math" w:hAnsi="Cambria Math"/>
        </w:rPr>
        <w:t>{   } </w:t>
      </w:r>
      <w:r>
        <w:rPr/>
        <w:t>de la serie </w:t>
      </w:r>
      <w:r>
        <w:rPr>
          <w:rFonts w:ascii="Cambria Math" w:hAnsi="Cambria Math"/>
        </w:rPr>
        <w:t>{   } </w:t>
      </w:r>
      <w:r>
        <w:rPr/>
        <w:t>al minimizar la varianza   de      alrededor de     sujeto a una penalidad que restringe la segunda diferencia  de   </w:t>
      </w:r>
      <w:r>
        <w:rPr>
          <w:spacing w:val="1"/>
        </w:rPr>
        <w:t> </w:t>
      </w:r>
      <w:r>
        <w:rPr/>
        <w:t>.</w:t>
      </w:r>
    </w:p>
    <w:p>
      <w:pPr>
        <w:spacing w:after="0" w:line="360" w:lineRule="auto"/>
        <w:jc w:val="both"/>
        <w:sectPr>
          <w:pgSz w:w="12250" w:h="15850"/>
          <w:pgMar w:header="0" w:footer="977" w:top="1360" w:bottom="1220" w:left="1600" w:right="1580"/>
        </w:sectPr>
      </w:pPr>
    </w:p>
    <w:p>
      <w:pPr>
        <w:pStyle w:val="Heading1"/>
        <w:ind w:left="807"/>
      </w:pPr>
      <w:r>
        <w:rPr>
          <w:w w:val="262"/>
        </w:rPr>
        <w:t>   </w:t>
      </w:r>
      <w:r>
        <w:rPr/>
        <w:t> </w:t>
      </w:r>
      <w:r>
        <w:rPr>
          <w:w w:val="105"/>
          <w:position w:val="1"/>
        </w:rPr>
        <w:t>∑                                 ∑      </w:t>
      </w:r>
      <w:r>
        <w:rPr>
          <w:w w:val="105"/>
        </w:rPr>
        <w:t>(                                             )</w:t>
      </w:r>
    </w:p>
    <w:p>
      <w:pPr>
        <w:pStyle w:val="BodyText"/>
        <w:spacing w:before="143"/>
        <w:ind w:left="225"/>
      </w:pPr>
      <w:r>
        <w:rPr/>
        <w:br w:type="column"/>
      </w:r>
      <w:r>
        <w:rPr/>
        <w:t>3A.2</w:t>
      </w:r>
    </w:p>
    <w:p>
      <w:pPr>
        <w:spacing w:after="0"/>
        <w:sectPr>
          <w:type w:val="continuous"/>
          <w:pgSz w:w="12250" w:h="15850"/>
          <w:pgMar w:top="1500" w:bottom="280" w:left="1600" w:right="1580"/>
          <w:cols w:num="2" w:equalWidth="0">
            <w:col w:w="7494" w:space="40"/>
            <w:col w:w="1536"/>
          </w:cols>
        </w:sectPr>
      </w:pPr>
    </w:p>
    <w:p>
      <w:pPr>
        <w:pStyle w:val="BodyText"/>
        <w:spacing w:before="4"/>
        <w:rPr>
          <w:sz w:val="5"/>
        </w:rPr>
      </w:pPr>
    </w:p>
    <w:p>
      <w:pPr>
        <w:tabs>
          <w:tab w:pos="3537" w:val="left" w:leader="none"/>
        </w:tabs>
        <w:spacing w:line="240" w:lineRule="auto"/>
        <w:ind w:left="1302" w:right="0" w:firstLine="0"/>
        <w:rPr>
          <w:sz w:val="20"/>
        </w:rPr>
      </w:pPr>
      <w:r>
        <w:rPr>
          <w:sz w:val="20"/>
        </w:rPr>
        <w:pict>
          <v:group style="width:92.25pt;height:21.75pt;mso-position-horizontal-relative:char;mso-position-vertical-relative:line" coordorigin="0,0" coordsize="1845,435">
            <v:shape style="position:absolute;left:8;top:8;width:1830;height:420" coordorigin="8,8" coordsize="1830,420" path="m1838,8l1826,89,1793,156,1744,201,1685,218,1075,218,1016,234,967,279,934,346,923,428,911,346,878,279,829,234,770,218,160,218,101,201,52,156,19,89,8,8e" filled="false" stroked="true" strokeweight=".75pt" strokecolor="#000000">
              <v:path arrowok="t"/>
            </v:shape>
          </v:group>
        </w:pict>
      </w:r>
      <w:r>
        <w:rPr>
          <w:sz w:val="20"/>
        </w:rPr>
      </w:r>
      <w:r>
        <w:rPr>
          <w:sz w:val="20"/>
        </w:rPr>
        <w:tab/>
      </w:r>
      <w:r>
        <w:rPr>
          <w:position w:val="8"/>
          <w:sz w:val="20"/>
        </w:rPr>
        <w:pict>
          <v:group style="width:171.75pt;height:21.75pt;mso-position-horizontal-relative:char;mso-position-vertical-relative:line" coordorigin="0,0" coordsize="3435,435">
            <v:shape style="position:absolute;left:8;top:8;width:3420;height:420" coordorigin="8,8" coordsize="3420,420" path="m3428,8l3413,74,3373,132,3311,177,3233,207,3143,218,2003,218,1912,228,1834,258,1772,304,1732,361,1718,428,1703,361,1663,304,1601,258,1523,228,1433,218,293,218,202,207,124,177,62,132,22,74,8,8e" filled="false" stroked="true" strokeweight=".75pt" strokecolor="#000000">
              <v:path arrowok="t"/>
            </v:shape>
          </v:group>
        </w:pict>
      </w:r>
      <w:r>
        <w:rPr>
          <w:position w:val="8"/>
          <w:sz w:val="20"/>
        </w:rPr>
      </w:r>
    </w:p>
    <w:p>
      <w:pPr>
        <w:pStyle w:val="BodyText"/>
        <w:tabs>
          <w:tab w:pos="3855" w:val="left" w:leader="none"/>
        </w:tabs>
        <w:spacing w:line="272" w:lineRule="exact"/>
        <w:ind w:left="1061" w:right="127"/>
      </w:pPr>
      <w:r>
        <w:rPr/>
        <w:t>Bondad de</w:t>
      </w:r>
      <w:r>
        <w:rPr>
          <w:spacing w:val="-1"/>
        </w:rPr>
        <w:t> </w:t>
      </w:r>
      <w:r>
        <w:rPr/>
        <w:t>ajuste</w:t>
        <w:tab/>
        <w:t>Penalidad para el componente</w:t>
      </w:r>
      <w:r>
        <w:rPr>
          <w:spacing w:val="-4"/>
        </w:rPr>
        <w:t> </w:t>
      </w:r>
      <w:r>
        <w:rPr/>
        <w:t>irregular</w:t>
      </w:r>
    </w:p>
    <w:p>
      <w:pPr>
        <w:pStyle w:val="BodyText"/>
        <w:spacing w:line="360" w:lineRule="auto" w:before="135"/>
        <w:ind w:left="102" w:right="112" w:firstLine="707"/>
        <w:jc w:val="both"/>
      </w:pPr>
      <w:r>
        <w:rPr/>
        <w:t>El parámetro de penalidad </w:t>
      </w:r>
      <w:r>
        <w:rPr>
          <w:rFonts w:ascii="Cambria Math" w:hAnsi="Cambria Math"/>
        </w:rPr>
        <w:t>{ </w:t>
      </w:r>
      <w:r>
        <w:rPr>
          <w:sz w:val="28"/>
        </w:rPr>
        <w:t>} </w:t>
      </w:r>
      <w:r>
        <w:rPr/>
        <w:t>suaviza la tendencia de  largo plazo: mientras sea  más grande sea </w:t>
      </w:r>
      <w:r>
        <w:rPr>
          <w:rFonts w:ascii="Cambria Math" w:hAnsi="Cambria Math"/>
        </w:rPr>
        <w:t>{    </w:t>
      </w:r>
      <w:r>
        <w:rPr/>
        <w:t>},   la tendencia de largo plazo  </w:t>
      </w:r>
      <w:r>
        <w:rPr>
          <w:rFonts w:ascii="Cambria Math" w:hAnsi="Cambria Math"/>
        </w:rPr>
        <w:t>{   }  </w:t>
      </w:r>
      <w:r>
        <w:rPr/>
        <w:t>será más lineal. Hodrick y     Prescott (1997) emplearon los siguientes valores de</w:t>
      </w:r>
      <w:r>
        <w:rPr>
          <w:spacing w:val="-13"/>
        </w:rPr>
        <w:t> </w:t>
      </w:r>
      <w:r>
        <w:rPr/>
        <w:t>penalidad:</w:t>
      </w:r>
    </w:p>
    <w:p>
      <w:pPr>
        <w:pStyle w:val="BodyText"/>
        <w:spacing w:line="265" w:lineRule="exact"/>
        <w:ind w:left="420"/>
        <w:jc w:val="center"/>
        <w:rPr>
          <w:rFonts w:ascii="Cambria Math"/>
        </w:rPr>
      </w:pPr>
      <w:r>
        <w:rPr>
          <w:rFonts w:ascii="Cambria Math"/>
          <w:spacing w:val="-1"/>
          <w:w w:val="251"/>
        </w:rPr>
        <w:t>  </w:t>
      </w:r>
      <w:r>
        <w:rPr>
          <w:rFonts w:ascii="Cambria Math"/>
          <w:w w:val="251"/>
        </w:rPr>
        <w:t> </w:t>
      </w:r>
      <w:r>
        <w:rPr>
          <w:rFonts w:ascii="Cambria Math"/>
          <w:spacing w:val="1"/>
        </w:rPr>
        <w:t> </w:t>
      </w:r>
      <w:r>
        <w:rPr>
          <w:rFonts w:ascii="Cambria Math"/>
          <w:w w:val="253"/>
        </w:rPr>
        <w:t>  </w:t>
      </w:r>
      <w:r>
        <w:rPr>
          <w:rFonts w:ascii="Cambria Math"/>
          <w:w w:val="216"/>
        </w:rPr>
        <w:t> </w:t>
      </w:r>
      <w:r>
        <w:rPr>
          <w:rFonts w:ascii="Cambria Math"/>
          <w:w w:val="252"/>
        </w:rPr>
        <w:t> </w:t>
      </w:r>
      <w:r>
        <w:rPr>
          <w:rFonts w:ascii="Cambria Math"/>
          <w:spacing w:val="3"/>
        </w:rPr>
        <w:t> </w:t>
      </w:r>
      <w:r>
        <w:rPr>
          <w:rFonts w:ascii="Cambria Math"/>
          <w:w w:val="258"/>
        </w:rPr>
        <w:t>  </w:t>
      </w:r>
      <w:r>
        <w:rPr>
          <w:rFonts w:ascii="Cambria Math"/>
          <w:spacing w:val="-2"/>
          <w:w w:val="179"/>
        </w:rPr>
        <w:t> </w:t>
      </w:r>
      <w:r>
        <w:rPr>
          <w:rFonts w:ascii="Cambria Math"/>
          <w:w w:val="225"/>
        </w:rPr>
        <w:t>  </w:t>
      </w:r>
      <w:r>
        <w:rPr>
          <w:rFonts w:ascii="Cambria Math"/>
          <w:spacing w:val="6"/>
        </w:rPr>
        <w:t> </w:t>
      </w:r>
      <w:r>
        <w:rPr>
          <w:rFonts w:ascii="Cambria Math"/>
          <w:w w:val="252"/>
        </w:rPr>
        <w:t> </w:t>
      </w:r>
      <w:r>
        <w:rPr>
          <w:rFonts w:ascii="Cambria Math"/>
          <w:spacing w:val="-1"/>
          <w:w w:val="260"/>
        </w:rPr>
        <w:t> </w:t>
      </w:r>
      <w:r>
        <w:rPr>
          <w:rFonts w:ascii="Cambria Math"/>
          <w:w w:val="252"/>
        </w:rPr>
        <w:t> </w:t>
      </w:r>
      <w:r>
        <w:rPr>
          <w:rFonts w:ascii="Cambria Math"/>
          <w:spacing w:val="-1"/>
          <w:w w:val="260"/>
        </w:rPr>
        <w:t> </w:t>
      </w:r>
      <w:r>
        <w:rPr>
          <w:rFonts w:ascii="Cambria Math"/>
          <w:w w:val="252"/>
        </w:rPr>
        <w:t> </w:t>
      </w:r>
      <w:r>
        <w:rPr>
          <w:rFonts w:ascii="Cambria Math"/>
          <w:w w:val="143"/>
        </w:rPr>
        <w:t> </w:t>
      </w:r>
      <w:r>
        <w:rPr>
          <w:rFonts w:ascii="Cambria Math"/>
          <w:w w:val="225"/>
        </w:rPr>
        <w:t> </w:t>
      </w:r>
      <w:r>
        <w:rPr>
          <w:rFonts w:ascii="Cambria Math"/>
          <w:w w:val="209"/>
        </w:rPr>
        <w:t> </w:t>
      </w:r>
    </w:p>
    <w:p>
      <w:pPr>
        <w:pStyle w:val="BodyText"/>
        <w:spacing w:before="23"/>
        <w:ind w:left="2610" w:right="127"/>
        <w:rPr>
          <w:rFonts w:ascii="Cambria Math"/>
        </w:rPr>
      </w:pPr>
      <w:r>
        <w:rPr>
          <w:rFonts w:ascii="Cambria Math"/>
          <w:w w:val="235"/>
        </w:rPr>
        <w:t> </w:t>
      </w:r>
      <w:r>
        <w:rPr>
          <w:rFonts w:ascii="Cambria Math"/>
        </w:rPr>
        <w:t> </w:t>
      </w:r>
      <w:r>
        <w:rPr>
          <w:rFonts w:ascii="Cambria Math"/>
          <w:w w:val="339"/>
        </w:rPr>
        <w:t> </w:t>
      </w:r>
      <w:r>
        <w:rPr>
          <w:rFonts w:ascii="Cambria Math"/>
        </w:rPr>
        <w:t> {                                                            }</w:t>
      </w:r>
    </w:p>
    <w:p>
      <w:pPr>
        <w:pStyle w:val="BodyText"/>
        <w:spacing w:before="4"/>
        <w:ind w:left="418"/>
        <w:jc w:val="center"/>
        <w:rPr>
          <w:rFonts w:ascii="Cambria Math"/>
        </w:rPr>
      </w:pPr>
      <w:r>
        <w:rPr>
          <w:rFonts w:ascii="Cambria Math"/>
          <w:spacing w:val="-1"/>
          <w:w w:val="251"/>
        </w:rPr>
        <w:t>  </w:t>
      </w:r>
      <w:r>
        <w:rPr>
          <w:rFonts w:ascii="Cambria Math"/>
          <w:spacing w:val="1"/>
          <w:w w:val="251"/>
        </w:rPr>
        <w:t> </w:t>
      </w:r>
      <w:r>
        <w:rPr>
          <w:rFonts w:ascii="Cambria Math"/>
          <w:spacing w:val="-1"/>
          <w:w w:val="251"/>
        </w:rPr>
        <w:t> </w:t>
      </w:r>
      <w:r>
        <w:rPr>
          <w:rFonts w:ascii="Cambria Math"/>
          <w:w w:val="251"/>
        </w:rPr>
        <w:t> </w:t>
      </w:r>
      <w:r>
        <w:rPr>
          <w:rFonts w:ascii="Cambria Math"/>
          <w:spacing w:val="1"/>
        </w:rPr>
        <w:t> </w:t>
      </w:r>
      <w:r>
        <w:rPr>
          <w:rFonts w:ascii="Cambria Math"/>
          <w:w w:val="253"/>
        </w:rPr>
        <w:t>  </w:t>
      </w:r>
      <w:r>
        <w:rPr>
          <w:rFonts w:ascii="Cambria Math"/>
          <w:w w:val="216"/>
        </w:rPr>
        <w:t> </w:t>
      </w:r>
      <w:r>
        <w:rPr>
          <w:rFonts w:ascii="Cambria Math"/>
          <w:w w:val="252"/>
        </w:rPr>
        <w:t> </w:t>
      </w:r>
      <w:r>
        <w:rPr>
          <w:rFonts w:ascii="Cambria Math"/>
          <w:spacing w:val="3"/>
        </w:rPr>
        <w:t> </w:t>
      </w:r>
      <w:r>
        <w:rPr>
          <w:rFonts w:ascii="Cambria Math"/>
          <w:w w:val="258"/>
        </w:rPr>
        <w:t>  </w:t>
      </w:r>
      <w:r>
        <w:rPr>
          <w:rFonts w:ascii="Cambria Math"/>
          <w:spacing w:val="-2"/>
          <w:w w:val="179"/>
        </w:rPr>
        <w:t> </w:t>
      </w:r>
      <w:r>
        <w:rPr>
          <w:rFonts w:ascii="Cambria Math"/>
          <w:w w:val="225"/>
        </w:rPr>
        <w:t>  </w:t>
      </w:r>
      <w:r>
        <w:rPr>
          <w:rFonts w:ascii="Cambria Math"/>
          <w:spacing w:val="6"/>
        </w:rPr>
        <w:t> </w:t>
      </w:r>
      <w:r>
        <w:rPr>
          <w:rFonts w:ascii="Cambria Math"/>
          <w:w w:val="302"/>
        </w:rPr>
        <w:t> </w:t>
      </w:r>
      <w:r>
        <w:rPr>
          <w:rFonts w:ascii="Cambria Math"/>
          <w:spacing w:val="1"/>
          <w:w w:val="302"/>
        </w:rPr>
        <w:t> </w:t>
      </w:r>
      <w:r>
        <w:rPr>
          <w:rFonts w:ascii="Cambria Math"/>
          <w:spacing w:val="-1"/>
          <w:w w:val="260"/>
        </w:rPr>
        <w:t> </w:t>
      </w:r>
      <w:r>
        <w:rPr>
          <w:rFonts w:ascii="Cambria Math"/>
          <w:w w:val="235"/>
        </w:rPr>
        <w:t> </w:t>
      </w:r>
      <w:r>
        <w:rPr>
          <w:rFonts w:ascii="Cambria Math"/>
          <w:spacing w:val="-2"/>
          <w:w w:val="235"/>
        </w:rPr>
        <w:t> </w:t>
      </w:r>
      <w:r>
        <w:rPr>
          <w:rFonts w:ascii="Cambria Math"/>
          <w:w w:val="252"/>
        </w:rPr>
        <w:t> </w:t>
      </w:r>
      <w:r>
        <w:rPr>
          <w:rFonts w:ascii="Cambria Math"/>
          <w:w w:val="143"/>
        </w:rPr>
        <w:t> </w:t>
      </w:r>
      <w:r>
        <w:rPr>
          <w:rFonts w:ascii="Cambria Math"/>
          <w:w w:val="225"/>
        </w:rPr>
        <w:t> </w:t>
      </w:r>
      <w:r>
        <w:rPr>
          <w:rFonts w:ascii="Cambria Math"/>
          <w:w w:val="209"/>
        </w:rPr>
        <w:t> </w:t>
      </w:r>
    </w:p>
    <w:p>
      <w:pPr>
        <w:pStyle w:val="BodyText"/>
        <w:spacing w:before="9"/>
        <w:rPr>
          <w:rFonts w:ascii="Cambria Math"/>
          <w:sz w:val="28"/>
        </w:rPr>
      </w:pPr>
    </w:p>
    <w:p>
      <w:pPr>
        <w:pStyle w:val="BodyText"/>
        <w:spacing w:before="70"/>
        <w:ind w:left="102" w:right="127"/>
      </w:pPr>
      <w:r>
        <w:rPr>
          <w:u w:val="single"/>
        </w:rPr>
        <w:t>Filtro de Cristiano y Fitzgerald (CF)</w:t>
      </w:r>
    </w:p>
    <w:p>
      <w:pPr>
        <w:pStyle w:val="BodyText"/>
        <w:spacing w:line="360" w:lineRule="auto" w:before="139"/>
        <w:ind w:left="102" w:right="117" w:firstLine="707"/>
        <w:jc w:val="both"/>
      </w:pPr>
      <w:r>
        <w:rPr/>
        <w:t>Se utilizó el filtro de Christiano y Fitzgerald (2003) [CF] en su versión de muestra asimétrica de bandas de frecuencia o periodicidades (</w:t>
      </w:r>
      <w:r>
        <w:rPr>
          <w:i/>
        </w:rPr>
        <w:t>band-pass) </w:t>
      </w:r>
      <w:r>
        <w:rPr/>
        <w:t>y bajo el supuesto que las series eran de tipo no estacionarias. A diferencia de la versión simétrica, no requiere un número determinado de rezagos, lo cual dificulta la aplicación para series con muestras pequeñas. El filtro de CF permite al investigador descomponer las series en un número de componentes irregulares que son mutuamente exclusivos y, por tanto, se capturan los ciclos en bandas de periodicidades.</w:t>
      </w:r>
    </w:p>
    <w:p>
      <w:pPr>
        <w:spacing w:after="0" w:line="360" w:lineRule="auto"/>
        <w:jc w:val="both"/>
        <w:sectPr>
          <w:type w:val="continuous"/>
          <w:pgSz w:w="12250" w:h="15850"/>
          <w:pgMar w:top="1500" w:bottom="28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1"/>
        </w:rPr>
      </w:pPr>
    </w:p>
    <w:p>
      <w:pPr>
        <w:pStyle w:val="Heading4"/>
        <w:spacing w:before="1"/>
        <w:ind w:left="102" w:firstLine="0"/>
      </w:pPr>
      <w:bookmarkStart w:name="_bookmark177" w:id="242"/>
      <w:bookmarkEnd w:id="242"/>
      <w:r>
        <w:rPr>
          <w:b w:val="0"/>
        </w:rPr>
      </w:r>
      <w:r>
        <w:rPr/>
        <w:t>Anexo 3.2: Cálculo de la tasa de interés real de la deuda pública</w:t>
      </w:r>
    </w:p>
    <w:p>
      <w:pPr>
        <w:spacing w:after="0"/>
        <w:sectPr>
          <w:pgSz w:w="12250" w:h="15850"/>
          <w:pgMar w:header="0" w:footer="977" w:top="1500" w:bottom="1220" w:left="1600" w:right="1720"/>
        </w:sectPr>
      </w:pPr>
    </w:p>
    <w:p>
      <w:pPr>
        <w:pStyle w:val="BodyText"/>
        <w:spacing w:line="360" w:lineRule="auto" w:before="50"/>
        <w:ind w:left="102" w:right="127" w:firstLine="707"/>
      </w:pPr>
      <w:r>
        <w:rPr/>
        <w:t>Para encontrar la tasa de interés real promedio ponderada de la deuda pública, se sigue lo expuesto por  Croce y Hugo (2003):</w:t>
      </w:r>
    </w:p>
    <w:p>
      <w:pPr>
        <w:spacing w:after="0" w:line="360" w:lineRule="auto"/>
        <w:sectPr>
          <w:pgSz w:w="12250" w:h="15850"/>
          <w:pgMar w:header="0" w:footer="977" w:top="1360" w:bottom="1220" w:left="1600" w:right="1580"/>
        </w:sectPr>
      </w:pPr>
    </w:p>
    <w:p>
      <w:pPr>
        <w:pStyle w:val="BodyText"/>
        <w:spacing w:before="16"/>
        <w:ind w:left="810"/>
        <w:rPr>
          <w:rFonts w:ascii="Cambria Math" w:hAnsi="Cambria Math"/>
          <w:sz w:val="17"/>
        </w:rPr>
      </w:pPr>
      <w:r>
        <w:rPr/>
        <w:pict>
          <v:shape style="position:absolute;margin-left:412.75pt;margin-top:7.617707pt;width:3.75pt;height:8.550pt;mso-position-horizontal-relative:page;mso-position-vertical-relative:paragraph;z-index:-554200" type="#_x0000_t202" filled="false" stroked="false">
            <v:textbox inset="0,0,0,0">
              <w:txbxContent>
                <w:p>
                  <w:pPr>
                    <w:spacing w:line="170" w:lineRule="exact" w:before="0"/>
                    <w:ind w:left="0" w:right="0" w:firstLine="0"/>
                    <w:jc w:val="left"/>
                    <w:rPr>
                      <w:rFonts w:ascii="Cambria Math"/>
                      <w:sz w:val="17"/>
                    </w:rPr>
                  </w:pPr>
                  <w:r>
                    <w:rPr>
                      <w:rFonts w:ascii="Cambria Math"/>
                      <w:w w:val="200"/>
                      <w:sz w:val="17"/>
                    </w:rPr>
                    <w:t> </w:t>
                  </w:r>
                </w:p>
              </w:txbxContent>
            </v:textbox>
            <w10:wrap type="none"/>
          </v:shape>
        </w:pict>
      </w:r>
      <w:r>
        <w:rPr/>
        <w:t>Se considera la tasa de interés real de la deuda  doméstica </w:t>
      </w:r>
      <w:r>
        <w:rPr>
          <w:rFonts w:ascii="Cambria Math" w:hAnsi="Cambria Math"/>
          <w:w w:val="188"/>
        </w:rPr>
        <w:t> </w:t>
      </w:r>
      <w:r>
        <w:rPr>
          <w:rFonts w:ascii="Cambria Math" w:hAnsi="Cambria Math"/>
          <w:w w:val="216"/>
        </w:rPr>
        <w:t> </w:t>
      </w:r>
      <w:r>
        <w:rPr>
          <w:rFonts w:ascii="Cambria Math" w:hAnsi="Cambria Math"/>
          <w:w w:val="325"/>
          <w:position w:val="9"/>
          <w:sz w:val="17"/>
        </w:rPr>
        <w:t> </w:t>
      </w:r>
    </w:p>
    <w:p>
      <w:pPr>
        <w:pStyle w:val="BodyText"/>
        <w:spacing w:before="9"/>
        <w:ind w:left="102"/>
      </w:pPr>
      <w:r>
        <w:rPr/>
        <w:pict>
          <v:shape style="position:absolute;margin-left:272.570007pt;margin-top:7.147678pt;width:136.25pt;height:8.65pt;mso-position-horizontal-relative:page;mso-position-vertical-relative:paragraph;z-index:-554176" type="#_x0000_t202" filled="false" stroked="false">
            <v:textbox inset="0,0,0,0">
              <w:txbxContent>
                <w:p>
                  <w:pPr>
                    <w:tabs>
                      <w:tab w:pos="2649" w:val="left" w:leader="none"/>
                    </w:tabs>
                    <w:spacing w:line="173" w:lineRule="exact" w:before="0"/>
                    <w:ind w:left="0" w:right="0" w:firstLine="0"/>
                    <w:jc w:val="left"/>
                    <w:rPr>
                      <w:rFonts w:ascii="Cambria Math"/>
                      <w:sz w:val="17"/>
                    </w:rPr>
                  </w:pPr>
                  <w:r>
                    <w:rPr>
                      <w:rFonts w:ascii="Cambria Math"/>
                      <w:w w:val="200"/>
                      <w:sz w:val="17"/>
                    </w:rPr>
                    <w:t> </w:t>
                  </w:r>
                  <w:r>
                    <w:rPr>
                      <w:rFonts w:ascii="Cambria Math"/>
                      <w:sz w:val="17"/>
                    </w:rPr>
                    <w:tab/>
                  </w:r>
                  <w:r>
                    <w:rPr>
                      <w:rFonts w:ascii="Cambria Math"/>
                      <w:w w:val="200"/>
                      <w:sz w:val="17"/>
                    </w:rPr>
                    <w:t> </w:t>
                  </w:r>
                </w:p>
              </w:txbxContent>
            </v:textbox>
            <w10:wrap type="none"/>
          </v:shape>
        </w:pict>
      </w:r>
      <w:r>
        <w:rPr/>
        <w:t>promedio del financiamiento interno         y  la tasa de inflación      </w:t>
      </w:r>
      <w:r>
        <w:rPr>
          <w:spacing w:val="59"/>
        </w:rPr>
        <w:t> </w:t>
      </w:r>
      <w:r>
        <w:rPr/>
        <w:t>:</w:t>
      </w:r>
    </w:p>
    <w:p>
      <w:pPr>
        <w:spacing w:line="62" w:lineRule="exact" w:before="0"/>
        <w:ind w:left="1679" w:right="0" w:firstLine="0"/>
        <w:jc w:val="center"/>
        <w:rPr>
          <w:rFonts w:ascii="Cambria Math"/>
          <w:sz w:val="14"/>
        </w:rPr>
      </w:pPr>
      <w:r>
        <w:rPr>
          <w:rFonts w:ascii="Cambria Math"/>
          <w:w w:val="358"/>
          <w:sz w:val="14"/>
        </w:rPr>
        <w:t> </w:t>
      </w:r>
    </w:p>
    <w:p>
      <w:pPr>
        <w:pStyle w:val="BodyText"/>
        <w:spacing w:before="16"/>
        <w:ind w:left="-26"/>
      </w:pPr>
      <w:r>
        <w:rPr/>
        <w:br w:type="column"/>
      </w:r>
      <w:r>
        <w:rPr>
          <w:rFonts w:ascii="Cambria Math"/>
          <w:w w:val="188"/>
        </w:rPr>
        <w:t> </w:t>
      </w:r>
      <w:r>
        <w:rPr>
          <w:rFonts w:ascii="Cambria Math"/>
        </w:rPr>
        <w:t> </w:t>
      </w:r>
      <w:r>
        <w:rPr/>
        <w:t>que incluye el costo</w:t>
      </w:r>
    </w:p>
    <w:p>
      <w:pPr>
        <w:spacing w:after="0"/>
        <w:sectPr>
          <w:type w:val="continuous"/>
          <w:pgSz w:w="12250" w:h="15850"/>
          <w:pgMar w:top="1500" w:bottom="280" w:left="1600" w:right="1580"/>
          <w:cols w:num="2" w:equalWidth="0">
            <w:col w:w="6816" w:space="40"/>
            <w:col w:w="2214"/>
          </w:cols>
        </w:sectPr>
      </w:pPr>
    </w:p>
    <w:p>
      <w:pPr>
        <w:tabs>
          <w:tab w:pos="1888" w:val="left" w:leader="none"/>
        </w:tabs>
        <w:spacing w:line="287" w:lineRule="exact" w:before="0"/>
        <w:ind w:left="309" w:right="0" w:firstLine="0"/>
        <w:jc w:val="center"/>
        <w:rPr>
          <w:sz w:val="24"/>
        </w:rPr>
      </w:pPr>
      <w:r>
        <w:rPr/>
        <w:pict>
          <v:line style="position:absolute;mso-position-horizontal-relative:page;mso-position-vertical-relative:paragraph;z-index:-554296" from="271.25pt,10.925423pt" to="299.33pt,10.925423pt" stroked="true" strokeweight=".84pt" strokecolor="#000000">
            <w10:wrap type="none"/>
          </v:line>
        </w:pict>
      </w:r>
      <w:r>
        <w:rPr>
          <w:rFonts w:ascii="Cambria Math"/>
          <w:w w:val="339"/>
          <w:sz w:val="24"/>
        </w:rPr>
        <w:t> </w:t>
      </w:r>
      <w:r>
        <w:rPr>
          <w:rFonts w:ascii="Cambria Math"/>
          <w:spacing w:val="12"/>
          <w:sz w:val="24"/>
        </w:rPr>
        <w:t> </w:t>
      </w:r>
      <w:r>
        <w:rPr>
          <w:rFonts w:ascii="Cambria Math"/>
          <w:w w:val="105"/>
          <w:position w:val="15"/>
          <w:sz w:val="17"/>
        </w:rPr>
        <w:t>(         </w:t>
      </w:r>
      <w:r>
        <w:rPr>
          <w:rFonts w:ascii="Cambria Math"/>
          <w:spacing w:val="18"/>
          <w:w w:val="105"/>
          <w:position w:val="15"/>
          <w:sz w:val="17"/>
        </w:rPr>
        <w:t> </w:t>
      </w:r>
      <w:r>
        <w:rPr>
          <w:rFonts w:ascii="Cambria Math"/>
          <w:w w:val="105"/>
          <w:position w:val="15"/>
          <w:sz w:val="17"/>
        </w:rPr>
        <w:t>)</w:t>
      </w:r>
      <w:r>
        <w:rPr>
          <w:rFonts w:ascii="Cambria Math"/>
          <w:w w:val="105"/>
          <w:sz w:val="24"/>
        </w:rPr>
        <w:tab/>
      </w:r>
      <w:r>
        <w:rPr>
          <w:w w:val="105"/>
          <w:sz w:val="24"/>
        </w:rPr>
        <w:t>(3A.3)</w:t>
      </w:r>
    </w:p>
    <w:p>
      <w:pPr>
        <w:spacing w:line="148" w:lineRule="exact" w:before="0"/>
        <w:ind w:left="0" w:right="847" w:firstLine="0"/>
        <w:jc w:val="center"/>
        <w:rPr>
          <w:rFonts w:ascii="Cambria Math"/>
          <w:sz w:val="17"/>
        </w:rPr>
      </w:pPr>
      <w:r>
        <w:rPr>
          <w:rFonts w:ascii="Cambria Math"/>
          <w:spacing w:val="-2"/>
          <w:w w:val="188"/>
          <w:position w:val="1"/>
          <w:sz w:val="17"/>
        </w:rPr>
        <w:t> </w:t>
      </w:r>
      <w:r>
        <w:rPr>
          <w:rFonts w:ascii="Cambria Math"/>
          <w:spacing w:val="-1"/>
          <w:w w:val="263"/>
          <w:sz w:val="17"/>
        </w:rPr>
        <w:t> </w:t>
      </w:r>
      <w:r>
        <w:rPr>
          <w:rFonts w:ascii="Cambria Math"/>
          <w:w w:val="331"/>
          <w:sz w:val="17"/>
        </w:rPr>
        <w:t> </w:t>
      </w:r>
      <w:r>
        <w:rPr>
          <w:rFonts w:ascii="Cambria Math"/>
          <w:w w:val="300"/>
          <w:sz w:val="17"/>
        </w:rPr>
        <w:t> </w:t>
      </w:r>
      <w:r>
        <w:rPr>
          <w:rFonts w:ascii="Cambria Math"/>
          <w:spacing w:val="6"/>
          <w:w w:val="213"/>
          <w:position w:val="-2"/>
          <w:sz w:val="14"/>
        </w:rPr>
        <w:t> </w:t>
      </w:r>
      <w:r>
        <w:rPr>
          <w:rFonts w:ascii="Cambria Math"/>
          <w:w w:val="188"/>
          <w:position w:val="1"/>
          <w:sz w:val="17"/>
        </w:rPr>
        <w:t> </w:t>
      </w:r>
    </w:p>
    <w:p>
      <w:pPr>
        <w:pStyle w:val="BodyText"/>
        <w:spacing w:line="244" w:lineRule="auto" w:before="14"/>
        <w:ind w:left="102" w:right="117" w:firstLine="707"/>
        <w:jc w:val="both"/>
      </w:pPr>
      <w:r>
        <w:rPr/>
        <w:pict>
          <v:shape style="position:absolute;margin-left:311.209991pt;margin-top:21.437693pt;width:147.050pt;height:8.65pt;mso-position-horizontal-relative:page;mso-position-vertical-relative:paragraph;z-index:-554152" type="#_x0000_t202" filled="false" stroked="false">
            <v:textbox inset="0,0,0,0">
              <w:txbxContent>
                <w:p>
                  <w:pPr>
                    <w:tabs>
                      <w:tab w:pos="2865" w:val="left" w:leader="none"/>
                    </w:tabs>
                    <w:spacing w:line="173" w:lineRule="exact" w:before="0"/>
                    <w:ind w:left="0" w:right="0" w:firstLine="0"/>
                    <w:jc w:val="left"/>
                    <w:rPr>
                      <w:rFonts w:ascii="Cambria Math"/>
                      <w:sz w:val="17"/>
                    </w:rPr>
                  </w:pPr>
                  <w:r>
                    <w:rPr>
                      <w:rFonts w:ascii="Cambria Math"/>
                      <w:w w:val="200"/>
                      <w:sz w:val="17"/>
                    </w:rPr>
                    <w:t> </w:t>
                  </w:r>
                  <w:r>
                    <w:rPr>
                      <w:rFonts w:ascii="Cambria Math"/>
                      <w:sz w:val="17"/>
                    </w:rPr>
                    <w:tab/>
                  </w:r>
                  <w:r>
                    <w:rPr>
                      <w:rFonts w:ascii="Cambria Math"/>
                      <w:w w:val="200"/>
                      <w:sz w:val="17"/>
                    </w:rPr>
                    <w:t> </w:t>
                  </w:r>
                </w:p>
              </w:txbxContent>
            </v:textbox>
            <w10:wrap type="none"/>
          </v:shape>
        </w:pict>
      </w:r>
      <w:r>
        <w:rPr/>
        <w:t>En el caso de la tasa de interés real de la deuda externa   se toma en cuenta: el    costo promedio del financiamiento externo   ; la variación cambiaria   y la tasa de    inflación       </w:t>
      </w:r>
      <w:r>
        <w:rPr>
          <w:spacing w:val="8"/>
        </w:rPr>
        <w:t> </w:t>
      </w:r>
      <w:r>
        <w:rPr/>
        <w:t>:</w:t>
      </w:r>
    </w:p>
    <w:p>
      <w:pPr>
        <w:spacing w:line="143" w:lineRule="exact" w:before="0"/>
        <w:ind w:left="0" w:right="857" w:firstLine="0"/>
        <w:jc w:val="center"/>
        <w:rPr>
          <w:rFonts w:ascii="Cambria Math"/>
          <w:sz w:val="17"/>
        </w:rPr>
      </w:pPr>
      <w:r>
        <w:rPr/>
        <w:pict>
          <v:shape style="position:absolute;margin-left:274.730011pt;margin-top:4.577439pt;width:34.5pt;height:7.45pt;mso-position-horizontal-relative:page;mso-position-vertical-relative:paragraph;z-index:-554128" type="#_x0000_t202" filled="false" stroked="false">
            <v:textbox inset="0,0,0,0">
              <w:txbxContent>
                <w:p>
                  <w:pPr>
                    <w:tabs>
                      <w:tab w:pos="623" w:val="left" w:leader="none"/>
                    </w:tabs>
                    <w:spacing w:line="144" w:lineRule="exact" w:before="0"/>
                    <w:ind w:left="0" w:right="0" w:firstLine="0"/>
                    <w:jc w:val="left"/>
                    <w:rPr>
                      <w:rFonts w:ascii="Cambria Math"/>
                      <w:sz w:val="14"/>
                    </w:rPr>
                  </w:pPr>
                  <w:r>
                    <w:rPr>
                      <w:rFonts w:ascii="Cambria Math"/>
                      <w:w w:val="213"/>
                      <w:sz w:val="14"/>
                    </w:rPr>
                    <w:t> </w:t>
                  </w:r>
                  <w:r>
                    <w:rPr>
                      <w:rFonts w:ascii="Cambria Math"/>
                      <w:sz w:val="14"/>
                    </w:rPr>
                    <w:tab/>
                  </w:r>
                  <w:r>
                    <w:rPr>
                      <w:rFonts w:ascii="Cambria Math"/>
                      <w:w w:val="213"/>
                      <w:position w:val="1"/>
                      <w:sz w:val="14"/>
                    </w:rPr>
                    <w:t> </w:t>
                  </w:r>
                </w:p>
              </w:txbxContent>
            </v:textbox>
            <w10:wrap type="none"/>
          </v:shape>
        </w:pict>
      </w:r>
      <w:r>
        <w:rPr>
          <w:rFonts w:ascii="Cambria Math"/>
          <w:spacing w:val="-2"/>
          <w:w w:val="188"/>
          <w:position w:val="1"/>
          <w:sz w:val="17"/>
        </w:rPr>
        <w:t> </w:t>
      </w:r>
      <w:r>
        <w:rPr>
          <w:rFonts w:ascii="Cambria Math"/>
          <w:spacing w:val="-1"/>
          <w:w w:val="263"/>
          <w:sz w:val="17"/>
        </w:rPr>
        <w:t> </w:t>
      </w:r>
      <w:r>
        <w:rPr>
          <w:rFonts w:ascii="Cambria Math"/>
          <w:w w:val="331"/>
          <w:sz w:val="17"/>
        </w:rPr>
        <w:t> </w:t>
      </w:r>
      <w:r>
        <w:rPr>
          <w:rFonts w:ascii="Cambria Math"/>
          <w:spacing w:val="7"/>
          <w:w w:val="159"/>
          <w:sz w:val="17"/>
        </w:rPr>
        <w:t> </w:t>
      </w:r>
      <w:r>
        <w:rPr>
          <w:rFonts w:ascii="Cambria Math"/>
          <w:spacing w:val="9"/>
          <w:w w:val="218"/>
          <w:position w:val="7"/>
          <w:sz w:val="14"/>
        </w:rPr>
        <w:t> </w:t>
      </w:r>
      <w:r>
        <w:rPr>
          <w:rFonts w:ascii="Cambria Math"/>
          <w:spacing w:val="-2"/>
          <w:w w:val="188"/>
          <w:position w:val="1"/>
          <w:sz w:val="17"/>
        </w:rPr>
        <w:t> </w:t>
      </w:r>
      <w:r>
        <w:rPr>
          <w:rFonts w:ascii="Cambria Math"/>
          <w:spacing w:val="-1"/>
          <w:w w:val="219"/>
          <w:sz w:val="17"/>
        </w:rPr>
        <w:t> </w:t>
      </w:r>
      <w:r>
        <w:rPr>
          <w:rFonts w:ascii="Cambria Math"/>
          <w:spacing w:val="-2"/>
          <w:w w:val="188"/>
          <w:position w:val="1"/>
          <w:sz w:val="17"/>
        </w:rPr>
        <w:t> </w:t>
      </w:r>
      <w:r>
        <w:rPr>
          <w:rFonts w:ascii="Cambria Math"/>
          <w:spacing w:val="2"/>
          <w:w w:val="263"/>
          <w:sz w:val="17"/>
        </w:rPr>
        <w:t> </w:t>
      </w:r>
      <w:r>
        <w:rPr>
          <w:rFonts w:ascii="Cambria Math"/>
          <w:w w:val="331"/>
          <w:sz w:val="17"/>
        </w:rPr>
        <w:t> </w:t>
      </w:r>
      <w:r>
        <w:rPr>
          <w:rFonts w:ascii="Cambria Math"/>
          <w:w w:val="246"/>
          <w:sz w:val="17"/>
        </w:rPr>
        <w:t> </w:t>
      </w:r>
      <w:r>
        <w:rPr>
          <w:rFonts w:ascii="Cambria Math"/>
          <w:sz w:val="17"/>
        </w:rPr>
        <w:t> </w:t>
      </w:r>
      <w:r>
        <w:rPr>
          <w:rFonts w:ascii="Cambria Math"/>
          <w:spacing w:val="-2"/>
          <w:sz w:val="17"/>
        </w:rPr>
        <w:t> </w:t>
      </w:r>
      <w:r>
        <w:rPr>
          <w:rFonts w:ascii="Cambria Math"/>
          <w:w w:val="188"/>
          <w:position w:val="1"/>
          <w:sz w:val="17"/>
        </w:rPr>
        <w:t> </w:t>
      </w:r>
    </w:p>
    <w:p>
      <w:pPr>
        <w:pStyle w:val="BodyText"/>
        <w:tabs>
          <w:tab w:pos="5430" w:val="left" w:leader="none"/>
        </w:tabs>
        <w:spacing w:line="169" w:lineRule="exact"/>
        <w:ind w:left="4712" w:right="127"/>
      </w:pPr>
      <w:r>
        <w:rPr/>
        <w:pict>
          <v:line style="position:absolute;mso-position-horizontal-relative:page;mso-position-vertical-relative:paragraph;z-index:17848" from="257.089996pt,5.02735pt" to="313.009996pt,5.02735pt" stroked="true" strokeweight=".84pt" strokecolor="#000000">
            <w10:wrap type="none"/>
          </v:line>
        </w:pict>
      </w:r>
      <w:r>
        <w:rPr>
          <w:rFonts w:ascii="Cambria Math"/>
          <w:w w:val="339"/>
        </w:rPr>
        <w:t> </w:t>
      </w:r>
      <w:r>
        <w:rPr>
          <w:rFonts w:ascii="Cambria Math"/>
        </w:rPr>
        <w:t>  </w:t>
      </w:r>
      <w:r>
        <w:rPr>
          <w:rFonts w:ascii="Cambria Math"/>
          <w:w w:val="251"/>
        </w:rPr>
        <w:t> </w:t>
      </w:r>
      <w:r>
        <w:rPr>
          <w:rFonts w:ascii="Cambria Math"/>
        </w:rPr>
        <w:tab/>
      </w:r>
      <w:r>
        <w:rPr/>
        <w:t>(3A.4)</w:t>
      </w:r>
    </w:p>
    <w:p>
      <w:pPr>
        <w:spacing w:line="148" w:lineRule="exact" w:before="0"/>
        <w:ind w:left="0" w:right="859" w:firstLine="0"/>
        <w:jc w:val="center"/>
        <w:rPr>
          <w:rFonts w:ascii="Cambria Math"/>
          <w:sz w:val="17"/>
        </w:rPr>
      </w:pPr>
      <w:r>
        <w:rPr>
          <w:rFonts w:ascii="Cambria Math"/>
          <w:spacing w:val="-2"/>
          <w:w w:val="188"/>
          <w:position w:val="1"/>
          <w:sz w:val="17"/>
        </w:rPr>
        <w:t> </w:t>
      </w:r>
      <w:r>
        <w:rPr>
          <w:rFonts w:ascii="Cambria Math"/>
          <w:spacing w:val="2"/>
          <w:w w:val="263"/>
          <w:sz w:val="17"/>
        </w:rPr>
        <w:t> </w:t>
      </w:r>
      <w:r>
        <w:rPr>
          <w:rFonts w:ascii="Cambria Math"/>
          <w:w w:val="331"/>
          <w:sz w:val="17"/>
        </w:rPr>
        <w:t> </w:t>
      </w:r>
      <w:r>
        <w:rPr>
          <w:rFonts w:ascii="Cambria Math"/>
          <w:w w:val="300"/>
          <w:sz w:val="17"/>
        </w:rPr>
        <w:t> </w:t>
      </w:r>
      <w:r>
        <w:rPr>
          <w:rFonts w:ascii="Cambria Math"/>
          <w:spacing w:val="6"/>
          <w:w w:val="213"/>
          <w:position w:val="-2"/>
          <w:sz w:val="14"/>
        </w:rPr>
        <w:t> </w:t>
      </w:r>
      <w:r>
        <w:rPr>
          <w:rFonts w:ascii="Cambria Math"/>
          <w:w w:val="188"/>
          <w:position w:val="1"/>
          <w:sz w:val="17"/>
        </w:rPr>
        <w:t> </w:t>
      </w:r>
    </w:p>
    <w:p>
      <w:pPr>
        <w:pStyle w:val="BodyText"/>
        <w:spacing w:line="242" w:lineRule="auto" w:before="15"/>
        <w:ind w:left="102" w:right="118" w:firstLine="707"/>
        <w:jc w:val="both"/>
      </w:pPr>
      <w:r>
        <w:rPr/>
        <w:t>Se  considera  el  endeudamiento  interno     y  externo     ,     expresados  en términos del PIB, para luego calcular la deuda total     . Finalmente, se encuentra la tasa    de interés real promedio ponderada de la deuda pública   con base en la ponderación de  cada fuente de financiamiento y su costo</w:t>
      </w:r>
      <w:r>
        <w:rPr>
          <w:spacing w:val="-8"/>
        </w:rPr>
        <w:t> </w:t>
      </w:r>
      <w:r>
        <w:rPr/>
        <w:t>respectivo:</w:t>
      </w:r>
    </w:p>
    <w:p>
      <w:pPr>
        <w:pStyle w:val="BodyText"/>
        <w:spacing w:before="117"/>
        <w:ind w:left="5457" w:right="127"/>
      </w:pPr>
      <w:r>
        <w:rPr/>
        <w:pict>
          <v:line style="position:absolute;mso-position-horizontal-relative:page;mso-position-vertical-relative:paragraph;z-index:17872" from="272.450012pt,13.633114pt" to="290.930012pt,13.633114pt" stroked="true" strokeweight=".84pt" strokecolor="#000000">
            <w10:wrap type="none"/>
          </v:line>
        </w:pict>
      </w:r>
      <w:r>
        <w:rPr/>
        <w:pict>
          <v:line style="position:absolute;mso-position-horizontal-relative:page;mso-position-vertical-relative:paragraph;z-index:17896" from="322.369995pt,13.633114pt" to="340.849995pt,13.633114pt" stroked="true" strokeweight=".84pt" strokecolor="#000000">
            <w10:wrap type="none"/>
          </v:line>
        </w:pict>
      </w:r>
      <w:r>
        <w:rPr/>
        <w:t>(3A.5)</w:t>
      </w:r>
    </w:p>
    <w:p>
      <w:pPr>
        <w:pStyle w:val="BodyText"/>
      </w:pPr>
    </w:p>
    <w:p>
      <w:pPr>
        <w:pStyle w:val="BodyText"/>
      </w:pPr>
    </w:p>
    <w:p>
      <w:pPr>
        <w:pStyle w:val="BodyText"/>
        <w:spacing w:before="10"/>
        <w:rPr>
          <w:sz w:val="26"/>
        </w:rPr>
      </w:pPr>
    </w:p>
    <w:p>
      <w:pPr>
        <w:pStyle w:val="Heading4"/>
        <w:ind w:left="102" w:right="127" w:firstLine="0"/>
      </w:pPr>
      <w:bookmarkStart w:name="_bookmark178" w:id="243"/>
      <w:bookmarkEnd w:id="243"/>
      <w:r>
        <w:rPr>
          <w:b w:val="0"/>
        </w:rPr>
      </w:r>
      <w:r>
        <w:rPr/>
        <w:t>Anexo 3.3: Movimientos cíclicos de la posición fiscal de Bolivia en torno a la producción de gas natural</w:t>
      </w:r>
    </w:p>
    <w:p>
      <w:pPr>
        <w:spacing w:after="0"/>
        <w:sectPr>
          <w:type w:val="continuous"/>
          <w:pgSz w:w="12250" w:h="15850"/>
          <w:pgMar w:top="1500" w:bottom="280" w:left="1600" w:right="1580"/>
        </w:sectPr>
      </w:pPr>
    </w:p>
    <w:p>
      <w:pPr>
        <w:spacing w:before="81"/>
        <w:ind w:left="0" w:right="0" w:firstLine="0"/>
        <w:jc w:val="right"/>
        <w:rPr>
          <w:rFonts w:ascii="Constantia"/>
          <w:sz w:val="17"/>
        </w:rPr>
      </w:pPr>
      <w:r>
        <w:rPr>
          <w:rFonts w:ascii="Constantia"/>
          <w:sz w:val="17"/>
        </w:rPr>
        <w:t>Volatilidad</w:t>
      </w:r>
    </w:p>
    <w:p>
      <w:pPr>
        <w:spacing w:before="81"/>
        <w:ind w:left="567" w:right="0" w:firstLine="0"/>
        <w:jc w:val="left"/>
        <w:rPr>
          <w:rFonts w:ascii="Constantia"/>
          <w:sz w:val="17"/>
        </w:rPr>
      </w:pPr>
      <w:r>
        <w:rPr/>
        <w:br w:type="column"/>
      </w:r>
      <w:r>
        <w:rPr>
          <w:rFonts w:ascii="Constantia"/>
          <w:sz w:val="17"/>
        </w:rPr>
        <w:t>Variabilidad</w:t>
      </w:r>
    </w:p>
    <w:p>
      <w:pPr>
        <w:spacing w:before="81"/>
        <w:ind w:left="568" w:right="0" w:firstLine="0"/>
        <w:jc w:val="left"/>
        <w:rPr>
          <w:rFonts w:ascii="Constantia" w:hAnsi="Constantia"/>
          <w:sz w:val="17"/>
        </w:rPr>
      </w:pPr>
      <w:r>
        <w:rPr/>
        <w:br w:type="column"/>
      </w:r>
      <w:r>
        <w:rPr>
          <w:rFonts w:ascii="Constantia" w:hAnsi="Constantia"/>
          <w:sz w:val="17"/>
        </w:rPr>
        <w:t>Correlación</w:t>
      </w:r>
    </w:p>
    <w:p>
      <w:pPr>
        <w:spacing w:after="0"/>
        <w:jc w:val="left"/>
        <w:rPr>
          <w:rFonts w:ascii="Constantia" w:hAnsi="Constantia"/>
          <w:sz w:val="17"/>
        </w:rPr>
        <w:sectPr>
          <w:type w:val="continuous"/>
          <w:pgSz w:w="12250" w:h="15850"/>
          <w:pgMar w:top="1500" w:bottom="280" w:left="1600" w:right="1580"/>
          <w:cols w:num="3" w:equalWidth="0">
            <w:col w:w="4375" w:space="40"/>
            <w:col w:w="1503" w:space="40"/>
            <w:col w:w="3112"/>
          </w:cols>
        </w:sectPr>
      </w:pPr>
    </w:p>
    <w:tbl>
      <w:tblPr>
        <w:tblW w:w="0" w:type="auto"/>
        <w:jc w:val="left"/>
        <w:tblInd w:w="14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181"/>
        <w:gridCol w:w="666"/>
        <w:gridCol w:w="589"/>
        <w:gridCol w:w="266"/>
        <w:gridCol w:w="635"/>
        <w:gridCol w:w="588"/>
        <w:gridCol w:w="255"/>
        <w:gridCol w:w="687"/>
        <w:gridCol w:w="590"/>
        <w:gridCol w:w="191"/>
        <w:gridCol w:w="1170"/>
      </w:tblGrid>
      <w:tr>
        <w:trPr>
          <w:trHeight w:val="225" w:hRule="exact"/>
        </w:trPr>
        <w:tc>
          <w:tcPr>
            <w:tcW w:w="8819" w:type="dxa"/>
            <w:gridSpan w:val="11"/>
          </w:tcPr>
          <w:p>
            <w:pPr>
              <w:pStyle w:val="TableParagraph"/>
              <w:tabs>
                <w:tab w:pos="4935" w:val="left" w:leader="none"/>
                <w:tab w:pos="6563" w:val="left" w:leader="none"/>
                <w:tab w:pos="7680" w:val="left" w:leader="none"/>
              </w:tabs>
              <w:spacing w:line="212" w:lineRule="exact"/>
              <w:ind w:left="3702"/>
              <w:jc w:val="left"/>
              <w:rPr>
                <w:rFonts w:ascii="Constantia" w:hAnsi="Constantia" w:cs="Constantia" w:eastAsia="Constantia"/>
                <w:sz w:val="17"/>
                <w:szCs w:val="17"/>
              </w:rPr>
            </w:pPr>
            <w:r>
              <w:rPr>
                <w:rFonts w:ascii="Constantia" w:hAnsi="Constantia" w:cs="Constantia" w:eastAsia="Constantia"/>
                <w:position w:val="1"/>
                <w:sz w:val="17"/>
                <w:szCs w:val="17"/>
              </w:rPr>
              <w:t>(σ)</w:t>
              <w:tab/>
              <w:t>[σ(</w:t>
            </w:r>
            <w:r>
              <w:rPr>
                <w:rFonts w:ascii="Constantia" w:hAnsi="Constantia" w:cs="Constantia" w:eastAsia="Constantia"/>
                <w:position w:val="1"/>
                <w:sz w:val="14"/>
                <w:szCs w:val="14"/>
              </w:rPr>
              <w:t>i</w:t>
            </w:r>
            <w:r>
              <w:rPr>
                <w:rFonts w:ascii="Constantia" w:hAnsi="Constantia" w:cs="Constantia" w:eastAsia="Constantia"/>
                <w:position w:val="1"/>
                <w:sz w:val="17"/>
                <w:szCs w:val="17"/>
              </w:rPr>
              <w:t>)/σ(</w:t>
            </w:r>
            <w:r>
              <w:rPr>
                <w:rFonts w:ascii="Constantia" w:hAnsi="Constantia" w:cs="Constantia" w:eastAsia="Constantia"/>
                <w:position w:val="1"/>
                <w:sz w:val="14"/>
                <w:szCs w:val="14"/>
              </w:rPr>
              <w:t>y</w:t>
            </w:r>
            <w:r>
              <w:rPr>
                <w:rFonts w:ascii="Constantia" w:hAnsi="Constantia" w:cs="Constantia" w:eastAsia="Constantia"/>
                <w:position w:val="1"/>
                <w:sz w:val="17"/>
                <w:szCs w:val="17"/>
              </w:rPr>
              <w:t>)]</w:t>
              <w:tab/>
            </w:r>
            <w:r>
              <w:rPr>
                <w:rFonts w:ascii="Constantia" w:hAnsi="Constantia" w:cs="Constantia" w:eastAsia="Constantia"/>
                <w:spacing w:val="2"/>
                <w:position w:val="1"/>
                <w:sz w:val="17"/>
                <w:szCs w:val="17"/>
              </w:rPr>
              <w:t>[</w:t>
            </w:r>
            <w:r>
              <w:rPr>
                <w:spacing w:val="2"/>
                <w:position w:val="1"/>
                <w:sz w:val="17"/>
                <w:szCs w:val="17"/>
              </w:rPr>
              <w:t>ϕ</w:t>
            </w:r>
            <w:r>
              <w:rPr>
                <w:spacing w:val="-5"/>
                <w:position w:val="1"/>
                <w:sz w:val="17"/>
                <w:szCs w:val="17"/>
              </w:rPr>
              <w:t> </w:t>
            </w:r>
            <w:r>
              <w:rPr>
                <w:rFonts w:ascii="Constantia" w:hAnsi="Constantia" w:cs="Constantia" w:eastAsia="Constantia"/>
                <w:position w:val="1"/>
                <w:sz w:val="17"/>
                <w:szCs w:val="17"/>
              </w:rPr>
              <w:t>(t</w:t>
            </w:r>
            <w:r>
              <w:rPr>
                <w:rFonts w:ascii="Constantia" w:hAnsi="Constantia" w:cs="Constantia" w:eastAsia="Constantia"/>
                <w:position w:val="1"/>
                <w:sz w:val="14"/>
                <w:szCs w:val="14"/>
              </w:rPr>
              <w:t>0</w:t>
            </w:r>
            <w:r>
              <w:rPr>
                <w:rFonts w:ascii="Constantia" w:hAnsi="Constantia" w:cs="Constantia" w:eastAsia="Constantia"/>
                <w:position w:val="1"/>
                <w:sz w:val="17"/>
                <w:szCs w:val="17"/>
              </w:rPr>
              <w:t>)]</w:t>
              <w:tab/>
            </w:r>
            <w:r>
              <w:rPr>
                <w:rFonts w:ascii="Constantia" w:hAnsi="Constantia" w:cs="Constantia" w:eastAsia="Constantia"/>
                <w:sz w:val="17"/>
                <w:szCs w:val="17"/>
              </w:rPr>
              <w:t>Orientación</w:t>
            </w:r>
          </w:p>
        </w:tc>
      </w:tr>
      <w:tr>
        <w:trPr>
          <w:trHeight w:val="334" w:hRule="exact"/>
        </w:trPr>
        <w:tc>
          <w:tcPr>
            <w:tcW w:w="3181" w:type="dxa"/>
          </w:tcPr>
          <w:p>
            <w:pPr/>
          </w:p>
        </w:tc>
        <w:tc>
          <w:tcPr>
            <w:tcW w:w="666" w:type="dxa"/>
            <w:tcBorders>
              <w:top w:val="double" w:sz="4" w:space="0" w:color="000000"/>
            </w:tcBorders>
          </w:tcPr>
          <w:p>
            <w:pPr>
              <w:pStyle w:val="TableParagraph"/>
              <w:spacing w:before="61"/>
              <w:ind w:left="91" w:right="91"/>
              <w:rPr>
                <w:rFonts w:ascii="Constantia"/>
                <w:sz w:val="17"/>
              </w:rPr>
            </w:pPr>
            <w:r>
              <w:rPr>
                <w:rFonts w:ascii="Constantia"/>
                <w:sz w:val="17"/>
              </w:rPr>
              <w:t>HP</w:t>
            </w:r>
          </w:p>
        </w:tc>
        <w:tc>
          <w:tcPr>
            <w:tcW w:w="589" w:type="dxa"/>
            <w:tcBorders>
              <w:top w:val="double" w:sz="4" w:space="0" w:color="000000"/>
            </w:tcBorders>
          </w:tcPr>
          <w:p>
            <w:pPr>
              <w:pStyle w:val="TableParagraph"/>
              <w:spacing w:before="61"/>
              <w:ind w:left="81" w:right="83"/>
              <w:rPr>
                <w:rFonts w:ascii="Constantia"/>
                <w:sz w:val="17"/>
              </w:rPr>
            </w:pPr>
            <w:r>
              <w:rPr>
                <w:rFonts w:ascii="Constantia"/>
                <w:sz w:val="17"/>
              </w:rPr>
              <w:t>CF</w:t>
            </w:r>
          </w:p>
        </w:tc>
        <w:tc>
          <w:tcPr>
            <w:tcW w:w="266" w:type="dxa"/>
          </w:tcPr>
          <w:p>
            <w:pPr/>
          </w:p>
        </w:tc>
        <w:tc>
          <w:tcPr>
            <w:tcW w:w="635" w:type="dxa"/>
            <w:tcBorders>
              <w:top w:val="double" w:sz="4" w:space="0" w:color="000000"/>
            </w:tcBorders>
          </w:tcPr>
          <w:p>
            <w:pPr>
              <w:pStyle w:val="TableParagraph"/>
              <w:spacing w:before="61"/>
              <w:ind w:left="202"/>
              <w:jc w:val="left"/>
              <w:rPr>
                <w:rFonts w:ascii="Constantia"/>
                <w:sz w:val="17"/>
              </w:rPr>
            </w:pPr>
            <w:r>
              <w:rPr>
                <w:rFonts w:ascii="Constantia"/>
                <w:sz w:val="17"/>
              </w:rPr>
              <w:t>HP</w:t>
            </w:r>
          </w:p>
        </w:tc>
        <w:tc>
          <w:tcPr>
            <w:tcW w:w="588" w:type="dxa"/>
            <w:tcBorders>
              <w:top w:val="double" w:sz="4" w:space="0" w:color="000000"/>
            </w:tcBorders>
          </w:tcPr>
          <w:p>
            <w:pPr>
              <w:pStyle w:val="TableParagraph"/>
              <w:spacing w:before="61"/>
              <w:ind w:left="81" w:right="83"/>
              <w:rPr>
                <w:rFonts w:ascii="Constantia"/>
                <w:sz w:val="17"/>
              </w:rPr>
            </w:pPr>
            <w:r>
              <w:rPr>
                <w:rFonts w:ascii="Constantia"/>
                <w:sz w:val="17"/>
              </w:rPr>
              <w:t>CF</w:t>
            </w:r>
          </w:p>
        </w:tc>
        <w:tc>
          <w:tcPr>
            <w:tcW w:w="255" w:type="dxa"/>
          </w:tcPr>
          <w:p>
            <w:pPr/>
          </w:p>
        </w:tc>
        <w:tc>
          <w:tcPr>
            <w:tcW w:w="687" w:type="dxa"/>
            <w:tcBorders>
              <w:top w:val="double" w:sz="4" w:space="0" w:color="000000"/>
            </w:tcBorders>
          </w:tcPr>
          <w:p>
            <w:pPr>
              <w:pStyle w:val="TableParagraph"/>
              <w:spacing w:before="61"/>
              <w:ind w:left="212"/>
              <w:jc w:val="left"/>
              <w:rPr>
                <w:rFonts w:ascii="Constantia"/>
                <w:sz w:val="17"/>
              </w:rPr>
            </w:pPr>
            <w:r>
              <w:rPr>
                <w:rFonts w:ascii="Constantia"/>
                <w:sz w:val="17"/>
              </w:rPr>
              <w:t>HP</w:t>
            </w:r>
          </w:p>
        </w:tc>
        <w:tc>
          <w:tcPr>
            <w:tcW w:w="590" w:type="dxa"/>
            <w:tcBorders>
              <w:top w:val="double" w:sz="4" w:space="0" w:color="000000"/>
            </w:tcBorders>
          </w:tcPr>
          <w:p>
            <w:pPr>
              <w:pStyle w:val="TableParagraph"/>
              <w:spacing w:before="61"/>
              <w:ind w:left="185"/>
              <w:jc w:val="left"/>
              <w:rPr>
                <w:rFonts w:ascii="Constantia"/>
                <w:sz w:val="17"/>
              </w:rPr>
            </w:pPr>
            <w:r>
              <w:rPr>
                <w:rFonts w:ascii="Constantia"/>
                <w:sz w:val="17"/>
              </w:rPr>
              <w:t>CF</w:t>
            </w:r>
          </w:p>
        </w:tc>
        <w:tc>
          <w:tcPr>
            <w:tcW w:w="191" w:type="dxa"/>
          </w:tcPr>
          <w:p>
            <w:pPr/>
          </w:p>
        </w:tc>
        <w:tc>
          <w:tcPr>
            <w:tcW w:w="1170" w:type="dxa"/>
            <w:tcBorders>
              <w:top w:val="double" w:sz="4" w:space="0" w:color="000000"/>
            </w:tcBorders>
          </w:tcPr>
          <w:p>
            <w:pPr/>
          </w:p>
        </w:tc>
      </w:tr>
      <w:tr>
        <w:trPr>
          <w:trHeight w:val="335" w:hRule="exact"/>
        </w:trPr>
        <w:tc>
          <w:tcPr>
            <w:tcW w:w="3181" w:type="dxa"/>
          </w:tcPr>
          <w:p>
            <w:pPr>
              <w:pStyle w:val="TableParagraph"/>
              <w:spacing w:before="13"/>
              <w:ind w:left="31"/>
              <w:jc w:val="left"/>
              <w:rPr>
                <w:rFonts w:ascii="Constantia" w:hAnsi="Constantia"/>
                <w:b/>
                <w:sz w:val="20"/>
              </w:rPr>
            </w:pPr>
            <w:r>
              <w:rPr>
                <w:rFonts w:ascii="Constantia" w:hAnsi="Constantia"/>
                <w:b/>
                <w:sz w:val="20"/>
                <w:u w:val="single"/>
              </w:rPr>
              <w:t>Producción de gas natural  (y)</w:t>
            </w:r>
          </w:p>
        </w:tc>
        <w:tc>
          <w:tcPr>
            <w:tcW w:w="666" w:type="dxa"/>
          </w:tcPr>
          <w:p>
            <w:pPr>
              <w:pStyle w:val="TableParagraph"/>
              <w:spacing w:before="55"/>
              <w:ind w:left="160" w:right="80"/>
              <w:rPr>
                <w:rFonts w:ascii="Constantia"/>
                <w:sz w:val="20"/>
              </w:rPr>
            </w:pPr>
            <w:r>
              <w:rPr>
                <w:rFonts w:ascii="Constantia"/>
                <w:sz w:val="20"/>
              </w:rPr>
              <w:t>0.07</w:t>
            </w:r>
          </w:p>
        </w:tc>
        <w:tc>
          <w:tcPr>
            <w:tcW w:w="589" w:type="dxa"/>
          </w:tcPr>
          <w:p>
            <w:pPr>
              <w:pStyle w:val="TableParagraph"/>
              <w:spacing w:before="55"/>
              <w:ind w:left="87" w:right="83"/>
              <w:rPr>
                <w:rFonts w:ascii="Constantia"/>
                <w:sz w:val="20"/>
              </w:rPr>
            </w:pPr>
            <w:r>
              <w:rPr>
                <w:rFonts w:ascii="Constantia"/>
                <w:sz w:val="20"/>
              </w:rPr>
              <w:t>0.04</w:t>
            </w:r>
          </w:p>
        </w:tc>
        <w:tc>
          <w:tcPr>
            <w:tcW w:w="266" w:type="dxa"/>
          </w:tcPr>
          <w:p>
            <w:pPr/>
          </w:p>
        </w:tc>
        <w:tc>
          <w:tcPr>
            <w:tcW w:w="635" w:type="dxa"/>
          </w:tcPr>
          <w:p>
            <w:pPr>
              <w:pStyle w:val="TableParagraph"/>
              <w:spacing w:before="55"/>
              <w:ind w:left="191"/>
              <w:jc w:val="left"/>
              <w:rPr>
                <w:rFonts w:ascii="Constantia"/>
                <w:sz w:val="20"/>
              </w:rPr>
            </w:pPr>
            <w:r>
              <w:rPr>
                <w:rFonts w:ascii="Constantia"/>
                <w:sz w:val="20"/>
              </w:rPr>
              <w:t>1.00</w:t>
            </w:r>
          </w:p>
        </w:tc>
        <w:tc>
          <w:tcPr>
            <w:tcW w:w="588" w:type="dxa"/>
          </w:tcPr>
          <w:p>
            <w:pPr>
              <w:pStyle w:val="TableParagraph"/>
              <w:spacing w:before="55"/>
              <w:ind w:left="89" w:right="41"/>
              <w:rPr>
                <w:rFonts w:ascii="Constantia"/>
                <w:sz w:val="20"/>
              </w:rPr>
            </w:pPr>
            <w:r>
              <w:rPr>
                <w:rFonts w:ascii="Constantia"/>
                <w:sz w:val="20"/>
              </w:rPr>
              <w:t>1.00</w:t>
            </w:r>
          </w:p>
        </w:tc>
        <w:tc>
          <w:tcPr>
            <w:tcW w:w="255" w:type="dxa"/>
          </w:tcPr>
          <w:p>
            <w:pPr/>
          </w:p>
        </w:tc>
        <w:tc>
          <w:tcPr>
            <w:tcW w:w="687" w:type="dxa"/>
          </w:tcPr>
          <w:p>
            <w:pPr/>
          </w:p>
        </w:tc>
        <w:tc>
          <w:tcPr>
            <w:tcW w:w="590" w:type="dxa"/>
          </w:tcPr>
          <w:p>
            <w:pPr/>
          </w:p>
        </w:tc>
        <w:tc>
          <w:tcPr>
            <w:tcW w:w="191" w:type="dxa"/>
          </w:tcPr>
          <w:p>
            <w:pPr/>
          </w:p>
        </w:tc>
        <w:tc>
          <w:tcPr>
            <w:tcW w:w="1170" w:type="dxa"/>
          </w:tcPr>
          <w:p>
            <w:pPr/>
          </w:p>
        </w:tc>
      </w:tr>
      <w:tr>
        <w:trPr>
          <w:trHeight w:val="202" w:hRule="exact"/>
        </w:trPr>
        <w:tc>
          <w:tcPr>
            <w:tcW w:w="3181" w:type="dxa"/>
          </w:tcPr>
          <w:p>
            <w:pPr>
              <w:pStyle w:val="TableParagraph"/>
              <w:spacing w:before="4"/>
              <w:ind w:left="31"/>
              <w:jc w:val="left"/>
              <w:rPr>
                <w:rFonts w:ascii="Constantia" w:hAnsi="Constantia"/>
                <w:sz w:val="17"/>
              </w:rPr>
            </w:pPr>
            <w:r>
              <w:rPr>
                <w:rFonts w:ascii="Constantia" w:hAnsi="Constantia"/>
                <w:sz w:val="17"/>
              </w:rPr>
              <w:t>Asignación de Ing. Fisc. Gasíf.</w:t>
            </w:r>
          </w:p>
        </w:tc>
        <w:tc>
          <w:tcPr>
            <w:tcW w:w="666" w:type="dxa"/>
          </w:tcPr>
          <w:p>
            <w:pPr/>
          </w:p>
        </w:tc>
        <w:tc>
          <w:tcPr>
            <w:tcW w:w="589" w:type="dxa"/>
          </w:tcPr>
          <w:p>
            <w:pPr/>
          </w:p>
        </w:tc>
        <w:tc>
          <w:tcPr>
            <w:tcW w:w="266" w:type="dxa"/>
          </w:tcPr>
          <w:p>
            <w:pPr/>
          </w:p>
        </w:tc>
        <w:tc>
          <w:tcPr>
            <w:tcW w:w="635" w:type="dxa"/>
          </w:tcPr>
          <w:p>
            <w:pPr/>
          </w:p>
        </w:tc>
        <w:tc>
          <w:tcPr>
            <w:tcW w:w="588" w:type="dxa"/>
          </w:tcPr>
          <w:p>
            <w:pPr/>
          </w:p>
        </w:tc>
        <w:tc>
          <w:tcPr>
            <w:tcW w:w="255" w:type="dxa"/>
          </w:tcPr>
          <w:p>
            <w:pPr/>
          </w:p>
        </w:tc>
        <w:tc>
          <w:tcPr>
            <w:tcW w:w="687" w:type="dxa"/>
          </w:tcPr>
          <w:p>
            <w:pPr/>
          </w:p>
        </w:tc>
        <w:tc>
          <w:tcPr>
            <w:tcW w:w="590" w:type="dxa"/>
          </w:tcPr>
          <w:p>
            <w:pPr/>
          </w:p>
        </w:tc>
        <w:tc>
          <w:tcPr>
            <w:tcW w:w="191" w:type="dxa"/>
          </w:tcPr>
          <w:p>
            <w:pPr/>
          </w:p>
        </w:tc>
        <w:tc>
          <w:tcPr>
            <w:tcW w:w="1170" w:type="dxa"/>
          </w:tcPr>
          <w:p>
            <w:pPr/>
          </w:p>
        </w:tc>
      </w:tr>
      <w:tr>
        <w:trPr>
          <w:trHeight w:val="239" w:hRule="exact"/>
        </w:trPr>
        <w:tc>
          <w:tcPr>
            <w:tcW w:w="3181" w:type="dxa"/>
          </w:tcPr>
          <w:p>
            <w:pPr>
              <w:pStyle w:val="TableParagraph"/>
              <w:spacing w:before="30"/>
              <w:ind w:left="31"/>
              <w:jc w:val="left"/>
              <w:rPr>
                <w:rFonts w:ascii="Constantia"/>
                <w:sz w:val="12"/>
              </w:rPr>
            </w:pPr>
            <w:r>
              <w:rPr>
                <w:rFonts w:ascii="Constantia"/>
                <w:w w:val="105"/>
                <w:sz w:val="12"/>
              </w:rPr>
              <w:t>(Gasto de capital/ Ingresos fisc. Gas Natur.)</w:t>
            </w:r>
          </w:p>
        </w:tc>
        <w:tc>
          <w:tcPr>
            <w:tcW w:w="666" w:type="dxa"/>
          </w:tcPr>
          <w:p>
            <w:pPr>
              <w:pStyle w:val="TableParagraph"/>
              <w:spacing w:line="199" w:lineRule="exact"/>
              <w:ind w:left="160" w:right="81"/>
              <w:rPr>
                <w:rFonts w:ascii="Constantia"/>
                <w:sz w:val="20"/>
              </w:rPr>
            </w:pPr>
            <w:r>
              <w:rPr>
                <w:rFonts w:ascii="Constantia"/>
                <w:sz w:val="20"/>
              </w:rPr>
              <w:t>0.24</w:t>
            </w:r>
          </w:p>
        </w:tc>
        <w:tc>
          <w:tcPr>
            <w:tcW w:w="589" w:type="dxa"/>
          </w:tcPr>
          <w:p>
            <w:pPr>
              <w:pStyle w:val="TableParagraph"/>
              <w:spacing w:line="199" w:lineRule="exact"/>
              <w:ind w:left="90" w:right="63"/>
              <w:rPr>
                <w:rFonts w:ascii="Constantia"/>
                <w:sz w:val="20"/>
              </w:rPr>
            </w:pPr>
            <w:r>
              <w:rPr>
                <w:rFonts w:ascii="Constantia"/>
                <w:sz w:val="20"/>
              </w:rPr>
              <w:t>0.22</w:t>
            </w:r>
          </w:p>
        </w:tc>
        <w:tc>
          <w:tcPr>
            <w:tcW w:w="266" w:type="dxa"/>
          </w:tcPr>
          <w:p>
            <w:pPr/>
          </w:p>
        </w:tc>
        <w:tc>
          <w:tcPr>
            <w:tcW w:w="635" w:type="dxa"/>
          </w:tcPr>
          <w:p>
            <w:pPr>
              <w:pStyle w:val="TableParagraph"/>
              <w:spacing w:line="199" w:lineRule="exact"/>
              <w:ind w:left="159"/>
              <w:jc w:val="left"/>
              <w:rPr>
                <w:rFonts w:ascii="Constantia"/>
                <w:sz w:val="20"/>
              </w:rPr>
            </w:pPr>
            <w:r>
              <w:rPr>
                <w:rFonts w:ascii="Constantia"/>
                <w:sz w:val="20"/>
              </w:rPr>
              <w:t>3.40</w:t>
            </w:r>
          </w:p>
        </w:tc>
        <w:tc>
          <w:tcPr>
            <w:tcW w:w="588" w:type="dxa"/>
          </w:tcPr>
          <w:p>
            <w:pPr>
              <w:pStyle w:val="TableParagraph"/>
              <w:spacing w:line="199" w:lineRule="exact"/>
              <w:ind w:left="89" w:right="83"/>
              <w:rPr>
                <w:rFonts w:ascii="Constantia"/>
                <w:sz w:val="20"/>
              </w:rPr>
            </w:pPr>
            <w:r>
              <w:rPr>
                <w:rFonts w:ascii="Constantia"/>
                <w:sz w:val="20"/>
              </w:rPr>
              <w:t>4.96</w:t>
            </w:r>
          </w:p>
        </w:tc>
        <w:tc>
          <w:tcPr>
            <w:tcW w:w="255" w:type="dxa"/>
          </w:tcPr>
          <w:p>
            <w:pPr/>
          </w:p>
        </w:tc>
        <w:tc>
          <w:tcPr>
            <w:tcW w:w="687" w:type="dxa"/>
          </w:tcPr>
          <w:p>
            <w:pPr>
              <w:pStyle w:val="TableParagraph"/>
              <w:spacing w:line="199" w:lineRule="exact"/>
              <w:ind w:left="138"/>
              <w:jc w:val="left"/>
              <w:rPr>
                <w:rFonts w:ascii="Constantia"/>
                <w:sz w:val="20"/>
              </w:rPr>
            </w:pPr>
            <w:r>
              <w:rPr>
                <w:rFonts w:ascii="Constantia"/>
                <w:sz w:val="20"/>
              </w:rPr>
              <w:t>0.06</w:t>
            </w:r>
          </w:p>
        </w:tc>
        <w:tc>
          <w:tcPr>
            <w:tcW w:w="590" w:type="dxa"/>
          </w:tcPr>
          <w:p>
            <w:pPr>
              <w:pStyle w:val="TableParagraph"/>
              <w:spacing w:line="199" w:lineRule="exact"/>
              <w:ind w:left="68"/>
              <w:jc w:val="left"/>
              <w:rPr>
                <w:rFonts w:ascii="Constantia"/>
                <w:sz w:val="20"/>
              </w:rPr>
            </w:pPr>
            <w:r>
              <w:rPr>
                <w:rFonts w:ascii="Constantia"/>
                <w:sz w:val="20"/>
              </w:rPr>
              <w:t>-0.30</w:t>
            </w:r>
          </w:p>
        </w:tc>
        <w:tc>
          <w:tcPr>
            <w:tcW w:w="191" w:type="dxa"/>
          </w:tcPr>
          <w:p>
            <w:pPr/>
          </w:p>
        </w:tc>
        <w:tc>
          <w:tcPr>
            <w:tcW w:w="1170" w:type="dxa"/>
          </w:tcPr>
          <w:p>
            <w:pPr>
              <w:pStyle w:val="TableParagraph"/>
              <w:spacing w:line="191" w:lineRule="exact"/>
              <w:ind w:left="31"/>
              <w:jc w:val="left"/>
              <w:rPr>
                <w:rFonts w:ascii="Constantia" w:hAnsi="Constantia"/>
                <w:sz w:val="17"/>
              </w:rPr>
            </w:pPr>
            <w:r>
              <w:rPr>
                <w:rFonts w:ascii="Constantia" w:hAnsi="Constantia"/>
                <w:sz w:val="17"/>
              </w:rPr>
              <w:t>Acíclica</w:t>
            </w:r>
          </w:p>
        </w:tc>
      </w:tr>
      <w:tr>
        <w:trPr>
          <w:trHeight w:val="218" w:hRule="exact"/>
        </w:trPr>
        <w:tc>
          <w:tcPr>
            <w:tcW w:w="3181" w:type="dxa"/>
          </w:tcPr>
          <w:p>
            <w:pPr>
              <w:pStyle w:val="TableParagraph"/>
              <w:spacing w:before="10"/>
              <w:ind w:left="31"/>
              <w:jc w:val="left"/>
              <w:rPr>
                <w:rFonts w:ascii="Constantia" w:hAnsi="Constantia"/>
                <w:sz w:val="17"/>
              </w:rPr>
            </w:pPr>
            <w:r>
              <w:rPr>
                <w:rFonts w:ascii="Constantia" w:hAnsi="Constantia"/>
                <w:sz w:val="17"/>
              </w:rPr>
              <w:t>Asignación de Ing. Fisc. No Gasíf.</w:t>
            </w:r>
          </w:p>
        </w:tc>
        <w:tc>
          <w:tcPr>
            <w:tcW w:w="666" w:type="dxa"/>
          </w:tcPr>
          <w:p>
            <w:pPr/>
          </w:p>
        </w:tc>
        <w:tc>
          <w:tcPr>
            <w:tcW w:w="589" w:type="dxa"/>
          </w:tcPr>
          <w:p>
            <w:pPr/>
          </w:p>
        </w:tc>
        <w:tc>
          <w:tcPr>
            <w:tcW w:w="266" w:type="dxa"/>
          </w:tcPr>
          <w:p>
            <w:pPr/>
          </w:p>
        </w:tc>
        <w:tc>
          <w:tcPr>
            <w:tcW w:w="635" w:type="dxa"/>
          </w:tcPr>
          <w:p>
            <w:pPr/>
          </w:p>
        </w:tc>
        <w:tc>
          <w:tcPr>
            <w:tcW w:w="588" w:type="dxa"/>
          </w:tcPr>
          <w:p>
            <w:pPr/>
          </w:p>
        </w:tc>
        <w:tc>
          <w:tcPr>
            <w:tcW w:w="255" w:type="dxa"/>
          </w:tcPr>
          <w:p>
            <w:pPr/>
          </w:p>
        </w:tc>
        <w:tc>
          <w:tcPr>
            <w:tcW w:w="687" w:type="dxa"/>
          </w:tcPr>
          <w:p>
            <w:pPr/>
          </w:p>
        </w:tc>
        <w:tc>
          <w:tcPr>
            <w:tcW w:w="590" w:type="dxa"/>
          </w:tcPr>
          <w:p>
            <w:pPr/>
          </w:p>
        </w:tc>
        <w:tc>
          <w:tcPr>
            <w:tcW w:w="191" w:type="dxa"/>
          </w:tcPr>
          <w:p>
            <w:pPr/>
          </w:p>
        </w:tc>
        <w:tc>
          <w:tcPr>
            <w:tcW w:w="1170" w:type="dxa"/>
          </w:tcPr>
          <w:p>
            <w:pPr/>
          </w:p>
        </w:tc>
      </w:tr>
      <w:tr>
        <w:trPr>
          <w:trHeight w:val="255" w:hRule="exact"/>
        </w:trPr>
        <w:tc>
          <w:tcPr>
            <w:tcW w:w="3181" w:type="dxa"/>
          </w:tcPr>
          <w:p>
            <w:pPr>
              <w:pStyle w:val="TableParagraph"/>
              <w:spacing w:before="20"/>
              <w:ind w:left="31"/>
              <w:jc w:val="left"/>
              <w:rPr>
                <w:rFonts w:ascii="Constantia" w:hAnsi="Constantia"/>
                <w:sz w:val="12"/>
              </w:rPr>
            </w:pPr>
            <w:r>
              <w:rPr>
                <w:rFonts w:ascii="Constantia" w:hAnsi="Constantia"/>
                <w:w w:val="105"/>
                <w:sz w:val="12"/>
              </w:rPr>
              <w:t>(Gasto corriente / Ingresos fisc. No Gasíf.)</w:t>
            </w:r>
          </w:p>
        </w:tc>
        <w:tc>
          <w:tcPr>
            <w:tcW w:w="666" w:type="dxa"/>
          </w:tcPr>
          <w:p>
            <w:pPr>
              <w:pStyle w:val="TableParagraph"/>
              <w:spacing w:line="209" w:lineRule="exact"/>
              <w:ind w:left="160" w:right="9"/>
              <w:rPr>
                <w:rFonts w:ascii="Constantia"/>
                <w:sz w:val="20"/>
              </w:rPr>
            </w:pPr>
            <w:r>
              <w:rPr>
                <w:rFonts w:ascii="Constantia"/>
                <w:sz w:val="20"/>
              </w:rPr>
              <w:t>0.11</w:t>
            </w:r>
          </w:p>
        </w:tc>
        <w:tc>
          <w:tcPr>
            <w:tcW w:w="589" w:type="dxa"/>
          </w:tcPr>
          <w:p>
            <w:pPr>
              <w:pStyle w:val="TableParagraph"/>
              <w:spacing w:line="209" w:lineRule="exact"/>
              <w:ind w:left="90" w:right="83"/>
              <w:rPr>
                <w:rFonts w:ascii="Constantia"/>
                <w:sz w:val="20"/>
              </w:rPr>
            </w:pPr>
            <w:r>
              <w:rPr>
                <w:rFonts w:ascii="Constantia"/>
                <w:sz w:val="20"/>
              </w:rPr>
              <w:t>0.09</w:t>
            </w:r>
          </w:p>
        </w:tc>
        <w:tc>
          <w:tcPr>
            <w:tcW w:w="266" w:type="dxa"/>
          </w:tcPr>
          <w:p>
            <w:pPr/>
          </w:p>
        </w:tc>
        <w:tc>
          <w:tcPr>
            <w:tcW w:w="635" w:type="dxa"/>
          </w:tcPr>
          <w:p>
            <w:pPr>
              <w:pStyle w:val="TableParagraph"/>
              <w:spacing w:line="209" w:lineRule="exact"/>
              <w:ind w:left="244"/>
              <w:jc w:val="left"/>
              <w:rPr>
                <w:rFonts w:ascii="Constantia"/>
                <w:sz w:val="20"/>
              </w:rPr>
            </w:pPr>
            <w:r>
              <w:rPr>
                <w:rFonts w:ascii="Constantia"/>
                <w:sz w:val="20"/>
              </w:rPr>
              <w:t>1.51</w:t>
            </w:r>
          </w:p>
        </w:tc>
        <w:tc>
          <w:tcPr>
            <w:tcW w:w="588" w:type="dxa"/>
          </w:tcPr>
          <w:p>
            <w:pPr>
              <w:pStyle w:val="TableParagraph"/>
              <w:spacing w:line="209" w:lineRule="exact"/>
              <w:ind w:left="89" w:right="26"/>
              <w:rPr>
                <w:rFonts w:ascii="Constantia"/>
                <w:sz w:val="20"/>
              </w:rPr>
            </w:pPr>
            <w:r>
              <w:rPr>
                <w:rFonts w:ascii="Constantia"/>
                <w:sz w:val="20"/>
              </w:rPr>
              <w:t>2.13</w:t>
            </w:r>
          </w:p>
        </w:tc>
        <w:tc>
          <w:tcPr>
            <w:tcW w:w="255" w:type="dxa"/>
          </w:tcPr>
          <w:p>
            <w:pPr/>
          </w:p>
        </w:tc>
        <w:tc>
          <w:tcPr>
            <w:tcW w:w="687" w:type="dxa"/>
          </w:tcPr>
          <w:p>
            <w:pPr>
              <w:pStyle w:val="TableParagraph"/>
              <w:spacing w:line="209" w:lineRule="exact"/>
              <w:ind w:right="66"/>
              <w:jc w:val="right"/>
              <w:rPr>
                <w:rFonts w:ascii="Constantia"/>
                <w:sz w:val="20"/>
              </w:rPr>
            </w:pPr>
            <w:r>
              <w:rPr>
                <w:rFonts w:ascii="Constantia"/>
                <w:sz w:val="20"/>
              </w:rPr>
              <w:t>-0.57**</w:t>
            </w:r>
          </w:p>
        </w:tc>
        <w:tc>
          <w:tcPr>
            <w:tcW w:w="590" w:type="dxa"/>
          </w:tcPr>
          <w:p>
            <w:pPr>
              <w:pStyle w:val="TableParagraph"/>
              <w:spacing w:line="209" w:lineRule="exact"/>
              <w:ind w:left="68"/>
              <w:jc w:val="left"/>
              <w:rPr>
                <w:rFonts w:ascii="Constantia"/>
                <w:sz w:val="20"/>
              </w:rPr>
            </w:pPr>
            <w:r>
              <w:rPr>
                <w:rFonts w:ascii="Constantia"/>
                <w:sz w:val="20"/>
              </w:rPr>
              <w:t>-0.30</w:t>
            </w:r>
          </w:p>
        </w:tc>
        <w:tc>
          <w:tcPr>
            <w:tcW w:w="191" w:type="dxa"/>
          </w:tcPr>
          <w:p>
            <w:pPr/>
          </w:p>
        </w:tc>
        <w:tc>
          <w:tcPr>
            <w:tcW w:w="1170" w:type="dxa"/>
          </w:tcPr>
          <w:p>
            <w:pPr>
              <w:pStyle w:val="TableParagraph"/>
              <w:spacing w:line="201" w:lineRule="exact"/>
              <w:ind w:left="31"/>
              <w:jc w:val="left"/>
              <w:rPr>
                <w:rFonts w:ascii="Constantia"/>
                <w:sz w:val="17"/>
              </w:rPr>
            </w:pPr>
            <w:r>
              <w:rPr>
                <w:rFonts w:ascii="Constantia"/>
                <w:sz w:val="17"/>
              </w:rPr>
              <w:t>Ambigua</w:t>
            </w:r>
          </w:p>
        </w:tc>
      </w:tr>
      <w:tr>
        <w:trPr>
          <w:trHeight w:val="308" w:hRule="exact"/>
        </w:trPr>
        <w:tc>
          <w:tcPr>
            <w:tcW w:w="3181" w:type="dxa"/>
          </w:tcPr>
          <w:p>
            <w:pPr>
              <w:pStyle w:val="TableParagraph"/>
              <w:spacing w:before="15"/>
              <w:ind w:left="31"/>
              <w:jc w:val="left"/>
              <w:rPr>
                <w:rFonts w:ascii="Constantia"/>
                <w:sz w:val="17"/>
              </w:rPr>
            </w:pPr>
            <w:r>
              <w:rPr>
                <w:rFonts w:ascii="Constantia"/>
                <w:sz w:val="17"/>
              </w:rPr>
              <w:t>Balance primario/ PIB</w:t>
            </w:r>
          </w:p>
        </w:tc>
        <w:tc>
          <w:tcPr>
            <w:tcW w:w="666" w:type="dxa"/>
          </w:tcPr>
          <w:p>
            <w:pPr>
              <w:pStyle w:val="TableParagraph"/>
              <w:spacing w:before="18"/>
              <w:ind w:left="160" w:right="86"/>
              <w:rPr>
                <w:rFonts w:ascii="Constantia"/>
                <w:sz w:val="20"/>
              </w:rPr>
            </w:pPr>
            <w:r>
              <w:rPr>
                <w:rFonts w:ascii="Constantia"/>
                <w:sz w:val="20"/>
              </w:rPr>
              <w:t>0.03</w:t>
            </w:r>
          </w:p>
        </w:tc>
        <w:tc>
          <w:tcPr>
            <w:tcW w:w="589" w:type="dxa"/>
          </w:tcPr>
          <w:p>
            <w:pPr>
              <w:pStyle w:val="TableParagraph"/>
              <w:spacing w:before="18"/>
              <w:ind w:left="90" w:right="74"/>
              <w:rPr>
                <w:rFonts w:ascii="Constantia"/>
                <w:sz w:val="20"/>
              </w:rPr>
            </w:pPr>
            <w:r>
              <w:rPr>
                <w:rFonts w:ascii="Constantia"/>
                <w:sz w:val="20"/>
              </w:rPr>
              <w:t>0.02</w:t>
            </w:r>
          </w:p>
        </w:tc>
        <w:tc>
          <w:tcPr>
            <w:tcW w:w="266" w:type="dxa"/>
          </w:tcPr>
          <w:p>
            <w:pPr/>
          </w:p>
        </w:tc>
        <w:tc>
          <w:tcPr>
            <w:tcW w:w="635" w:type="dxa"/>
          </w:tcPr>
          <w:p>
            <w:pPr>
              <w:pStyle w:val="TableParagraph"/>
              <w:spacing w:before="18"/>
              <w:ind w:left="170"/>
              <w:jc w:val="left"/>
              <w:rPr>
                <w:rFonts w:ascii="Constantia"/>
                <w:sz w:val="20"/>
              </w:rPr>
            </w:pPr>
            <w:r>
              <w:rPr>
                <w:rFonts w:ascii="Constantia"/>
                <w:sz w:val="20"/>
              </w:rPr>
              <w:t>0.37</w:t>
            </w:r>
          </w:p>
        </w:tc>
        <w:tc>
          <w:tcPr>
            <w:tcW w:w="588" w:type="dxa"/>
          </w:tcPr>
          <w:p>
            <w:pPr>
              <w:pStyle w:val="TableParagraph"/>
              <w:spacing w:before="18"/>
              <w:ind w:left="89" w:right="68"/>
              <w:rPr>
                <w:rFonts w:ascii="Constantia"/>
                <w:sz w:val="20"/>
              </w:rPr>
            </w:pPr>
            <w:r>
              <w:rPr>
                <w:rFonts w:ascii="Constantia"/>
                <w:sz w:val="20"/>
              </w:rPr>
              <w:t>0.53</w:t>
            </w:r>
          </w:p>
        </w:tc>
        <w:tc>
          <w:tcPr>
            <w:tcW w:w="255" w:type="dxa"/>
          </w:tcPr>
          <w:p>
            <w:pPr/>
          </w:p>
        </w:tc>
        <w:tc>
          <w:tcPr>
            <w:tcW w:w="687" w:type="dxa"/>
          </w:tcPr>
          <w:p>
            <w:pPr>
              <w:pStyle w:val="TableParagraph"/>
              <w:spacing w:before="18"/>
              <w:ind w:right="119"/>
              <w:jc w:val="right"/>
              <w:rPr>
                <w:rFonts w:ascii="Constantia"/>
                <w:sz w:val="20"/>
              </w:rPr>
            </w:pPr>
            <w:r>
              <w:rPr>
                <w:rFonts w:ascii="Constantia"/>
                <w:sz w:val="20"/>
              </w:rPr>
              <w:t>0.43*</w:t>
            </w:r>
          </w:p>
        </w:tc>
        <w:tc>
          <w:tcPr>
            <w:tcW w:w="590" w:type="dxa"/>
          </w:tcPr>
          <w:p>
            <w:pPr>
              <w:pStyle w:val="TableParagraph"/>
              <w:spacing w:before="18"/>
              <w:ind w:right="28"/>
              <w:jc w:val="right"/>
              <w:rPr>
                <w:rFonts w:ascii="Constantia"/>
                <w:sz w:val="20"/>
              </w:rPr>
            </w:pPr>
            <w:r>
              <w:rPr>
                <w:rFonts w:ascii="Constantia"/>
                <w:sz w:val="20"/>
              </w:rPr>
              <w:t>0.58*</w:t>
            </w:r>
          </w:p>
        </w:tc>
        <w:tc>
          <w:tcPr>
            <w:tcW w:w="191" w:type="dxa"/>
          </w:tcPr>
          <w:p>
            <w:pPr/>
          </w:p>
        </w:tc>
        <w:tc>
          <w:tcPr>
            <w:tcW w:w="1170" w:type="dxa"/>
          </w:tcPr>
          <w:p>
            <w:pPr>
              <w:pStyle w:val="TableParagraph"/>
              <w:spacing w:before="47"/>
              <w:ind w:left="31"/>
              <w:jc w:val="left"/>
              <w:rPr>
                <w:rFonts w:ascii="Constantia" w:hAnsi="Constantia"/>
                <w:sz w:val="17"/>
              </w:rPr>
            </w:pPr>
            <w:r>
              <w:rPr>
                <w:rFonts w:ascii="Constantia" w:hAnsi="Constantia"/>
                <w:sz w:val="17"/>
              </w:rPr>
              <w:t>Procíclico</w:t>
            </w:r>
          </w:p>
        </w:tc>
      </w:tr>
      <w:tr>
        <w:trPr>
          <w:trHeight w:val="297" w:hRule="exact"/>
        </w:trPr>
        <w:tc>
          <w:tcPr>
            <w:tcW w:w="3181" w:type="dxa"/>
          </w:tcPr>
          <w:p>
            <w:pPr>
              <w:pStyle w:val="TableParagraph"/>
              <w:spacing w:before="15"/>
              <w:ind w:left="31"/>
              <w:jc w:val="left"/>
              <w:rPr>
                <w:rFonts w:ascii="Constantia" w:hAnsi="Constantia"/>
                <w:sz w:val="17"/>
              </w:rPr>
            </w:pPr>
            <w:r>
              <w:rPr>
                <w:rFonts w:ascii="Constantia" w:hAnsi="Constantia"/>
                <w:sz w:val="17"/>
              </w:rPr>
              <w:t>Balance primario no gasíf./ PIB</w:t>
            </w:r>
          </w:p>
        </w:tc>
        <w:tc>
          <w:tcPr>
            <w:tcW w:w="666" w:type="dxa"/>
          </w:tcPr>
          <w:p>
            <w:pPr>
              <w:pStyle w:val="TableParagraph"/>
              <w:spacing w:before="18"/>
              <w:ind w:left="160" w:right="86"/>
              <w:rPr>
                <w:rFonts w:ascii="Constantia"/>
                <w:sz w:val="20"/>
              </w:rPr>
            </w:pPr>
            <w:r>
              <w:rPr>
                <w:rFonts w:ascii="Constantia"/>
                <w:sz w:val="20"/>
              </w:rPr>
              <w:t>0.03</w:t>
            </w:r>
          </w:p>
        </w:tc>
        <w:tc>
          <w:tcPr>
            <w:tcW w:w="589" w:type="dxa"/>
          </w:tcPr>
          <w:p>
            <w:pPr>
              <w:pStyle w:val="TableParagraph"/>
              <w:spacing w:before="18"/>
              <w:ind w:left="90" w:right="74"/>
              <w:rPr>
                <w:rFonts w:ascii="Constantia"/>
                <w:sz w:val="20"/>
              </w:rPr>
            </w:pPr>
            <w:r>
              <w:rPr>
                <w:rFonts w:ascii="Constantia"/>
                <w:sz w:val="20"/>
              </w:rPr>
              <w:t>0.02</w:t>
            </w:r>
          </w:p>
        </w:tc>
        <w:tc>
          <w:tcPr>
            <w:tcW w:w="266" w:type="dxa"/>
          </w:tcPr>
          <w:p>
            <w:pPr/>
          </w:p>
        </w:tc>
        <w:tc>
          <w:tcPr>
            <w:tcW w:w="635" w:type="dxa"/>
          </w:tcPr>
          <w:p>
            <w:pPr>
              <w:pStyle w:val="TableParagraph"/>
              <w:spacing w:before="18"/>
              <w:ind w:left="159"/>
              <w:jc w:val="left"/>
              <w:rPr>
                <w:rFonts w:ascii="Constantia"/>
                <w:sz w:val="20"/>
              </w:rPr>
            </w:pPr>
            <w:r>
              <w:rPr>
                <w:rFonts w:ascii="Constantia"/>
                <w:sz w:val="20"/>
              </w:rPr>
              <w:t>0.39</w:t>
            </w:r>
          </w:p>
        </w:tc>
        <w:tc>
          <w:tcPr>
            <w:tcW w:w="588" w:type="dxa"/>
          </w:tcPr>
          <w:p>
            <w:pPr>
              <w:pStyle w:val="TableParagraph"/>
              <w:spacing w:before="18"/>
              <w:ind w:left="89" w:right="64"/>
              <w:rPr>
                <w:rFonts w:ascii="Constantia"/>
                <w:sz w:val="20"/>
              </w:rPr>
            </w:pPr>
            <w:r>
              <w:rPr>
                <w:rFonts w:ascii="Constantia"/>
                <w:sz w:val="20"/>
              </w:rPr>
              <w:t>0.55</w:t>
            </w:r>
          </w:p>
        </w:tc>
        <w:tc>
          <w:tcPr>
            <w:tcW w:w="255" w:type="dxa"/>
          </w:tcPr>
          <w:p>
            <w:pPr/>
          </w:p>
        </w:tc>
        <w:tc>
          <w:tcPr>
            <w:tcW w:w="687" w:type="dxa"/>
          </w:tcPr>
          <w:p>
            <w:pPr>
              <w:pStyle w:val="TableParagraph"/>
              <w:spacing w:before="18"/>
              <w:ind w:right="66"/>
              <w:jc w:val="right"/>
              <w:rPr>
                <w:rFonts w:ascii="Constantia"/>
                <w:sz w:val="20"/>
              </w:rPr>
            </w:pPr>
            <w:r>
              <w:rPr>
                <w:rFonts w:ascii="Constantia"/>
                <w:sz w:val="20"/>
              </w:rPr>
              <w:t>0.58**</w:t>
            </w:r>
          </w:p>
        </w:tc>
        <w:tc>
          <w:tcPr>
            <w:tcW w:w="590" w:type="dxa"/>
          </w:tcPr>
          <w:p>
            <w:pPr>
              <w:pStyle w:val="TableParagraph"/>
              <w:spacing w:before="18"/>
              <w:ind w:right="28"/>
              <w:jc w:val="right"/>
              <w:rPr>
                <w:rFonts w:ascii="Constantia"/>
                <w:sz w:val="20"/>
              </w:rPr>
            </w:pPr>
            <w:r>
              <w:rPr>
                <w:rFonts w:ascii="Constantia"/>
                <w:sz w:val="20"/>
              </w:rPr>
              <w:t>0.41*</w:t>
            </w:r>
          </w:p>
        </w:tc>
        <w:tc>
          <w:tcPr>
            <w:tcW w:w="191" w:type="dxa"/>
          </w:tcPr>
          <w:p>
            <w:pPr/>
          </w:p>
        </w:tc>
        <w:tc>
          <w:tcPr>
            <w:tcW w:w="1170" w:type="dxa"/>
          </w:tcPr>
          <w:p>
            <w:pPr>
              <w:pStyle w:val="TableParagraph"/>
              <w:spacing w:before="47"/>
              <w:ind w:left="31"/>
              <w:jc w:val="left"/>
              <w:rPr>
                <w:rFonts w:ascii="Constantia" w:hAnsi="Constantia"/>
                <w:sz w:val="17"/>
              </w:rPr>
            </w:pPr>
            <w:r>
              <w:rPr>
                <w:rFonts w:ascii="Constantia" w:hAnsi="Constantia"/>
                <w:sz w:val="17"/>
              </w:rPr>
              <w:t>Procíclico</w:t>
            </w:r>
          </w:p>
        </w:tc>
      </w:tr>
      <w:tr>
        <w:trPr>
          <w:trHeight w:val="258" w:hRule="exact"/>
        </w:trPr>
        <w:tc>
          <w:tcPr>
            <w:tcW w:w="3181" w:type="dxa"/>
            <w:tcBorders>
              <w:bottom w:val="double" w:sz="4" w:space="0" w:color="000000"/>
            </w:tcBorders>
          </w:tcPr>
          <w:p>
            <w:pPr>
              <w:pStyle w:val="TableParagraph"/>
              <w:spacing w:before="16"/>
              <w:ind w:left="31"/>
              <w:jc w:val="left"/>
              <w:rPr>
                <w:rFonts w:ascii="Constantia" w:hAnsi="Constantia"/>
                <w:sz w:val="17"/>
              </w:rPr>
            </w:pPr>
            <w:r>
              <w:rPr>
                <w:rFonts w:ascii="Constantia" w:hAnsi="Constantia"/>
                <w:sz w:val="17"/>
              </w:rPr>
              <w:t>Deuda pública/ PIB</w:t>
            </w:r>
          </w:p>
        </w:tc>
        <w:tc>
          <w:tcPr>
            <w:tcW w:w="666" w:type="dxa"/>
            <w:tcBorders>
              <w:bottom w:val="double" w:sz="4" w:space="0" w:color="000000"/>
            </w:tcBorders>
          </w:tcPr>
          <w:p>
            <w:pPr>
              <w:pStyle w:val="TableParagraph"/>
              <w:spacing w:line="243" w:lineRule="exact"/>
              <w:ind w:left="160" w:right="48"/>
              <w:rPr>
                <w:rFonts w:ascii="Constantia"/>
                <w:sz w:val="20"/>
              </w:rPr>
            </w:pPr>
            <w:r>
              <w:rPr>
                <w:rFonts w:ascii="Constantia"/>
                <w:sz w:val="20"/>
              </w:rPr>
              <w:t>0.16</w:t>
            </w:r>
          </w:p>
        </w:tc>
        <w:tc>
          <w:tcPr>
            <w:tcW w:w="589" w:type="dxa"/>
            <w:tcBorders>
              <w:bottom w:val="double" w:sz="4" w:space="0" w:color="000000"/>
            </w:tcBorders>
          </w:tcPr>
          <w:p>
            <w:pPr>
              <w:pStyle w:val="TableParagraph"/>
              <w:spacing w:line="243" w:lineRule="exact"/>
              <w:ind w:left="90" w:right="44"/>
              <w:rPr>
                <w:rFonts w:ascii="Constantia"/>
                <w:sz w:val="20"/>
              </w:rPr>
            </w:pPr>
            <w:r>
              <w:rPr>
                <w:rFonts w:ascii="Constantia"/>
                <w:sz w:val="20"/>
              </w:rPr>
              <w:t>0.14</w:t>
            </w:r>
          </w:p>
        </w:tc>
        <w:tc>
          <w:tcPr>
            <w:tcW w:w="266" w:type="dxa"/>
            <w:tcBorders>
              <w:bottom w:val="double" w:sz="4" w:space="0" w:color="000000"/>
            </w:tcBorders>
          </w:tcPr>
          <w:p>
            <w:pPr/>
          </w:p>
        </w:tc>
        <w:tc>
          <w:tcPr>
            <w:tcW w:w="635" w:type="dxa"/>
            <w:tcBorders>
              <w:bottom w:val="double" w:sz="4" w:space="0" w:color="000000"/>
            </w:tcBorders>
          </w:tcPr>
          <w:p>
            <w:pPr>
              <w:pStyle w:val="TableParagraph"/>
              <w:spacing w:line="243" w:lineRule="exact"/>
              <w:ind w:left="170"/>
              <w:jc w:val="left"/>
              <w:rPr>
                <w:rFonts w:ascii="Constantia"/>
                <w:sz w:val="20"/>
              </w:rPr>
            </w:pPr>
            <w:r>
              <w:rPr>
                <w:rFonts w:ascii="Constantia"/>
                <w:sz w:val="20"/>
              </w:rPr>
              <w:t>2.24</w:t>
            </w:r>
          </w:p>
        </w:tc>
        <w:tc>
          <w:tcPr>
            <w:tcW w:w="588" w:type="dxa"/>
            <w:tcBorders>
              <w:bottom w:val="double" w:sz="4" w:space="0" w:color="000000"/>
            </w:tcBorders>
          </w:tcPr>
          <w:p>
            <w:pPr>
              <w:pStyle w:val="TableParagraph"/>
              <w:spacing w:line="243" w:lineRule="exact"/>
              <w:ind w:left="89" w:right="26"/>
              <w:rPr>
                <w:rFonts w:ascii="Constantia"/>
                <w:sz w:val="20"/>
              </w:rPr>
            </w:pPr>
            <w:r>
              <w:rPr>
                <w:rFonts w:ascii="Constantia"/>
                <w:sz w:val="20"/>
              </w:rPr>
              <w:t>3.13</w:t>
            </w:r>
          </w:p>
        </w:tc>
        <w:tc>
          <w:tcPr>
            <w:tcW w:w="255" w:type="dxa"/>
            <w:tcBorders>
              <w:bottom w:val="double" w:sz="4" w:space="0" w:color="000000"/>
            </w:tcBorders>
          </w:tcPr>
          <w:p>
            <w:pPr/>
          </w:p>
        </w:tc>
        <w:tc>
          <w:tcPr>
            <w:tcW w:w="687" w:type="dxa"/>
            <w:tcBorders>
              <w:bottom w:val="double" w:sz="4" w:space="0" w:color="000000"/>
            </w:tcBorders>
          </w:tcPr>
          <w:p>
            <w:pPr>
              <w:pStyle w:val="TableParagraph"/>
              <w:spacing w:line="243" w:lineRule="exact"/>
              <w:ind w:left="191"/>
              <w:jc w:val="left"/>
              <w:rPr>
                <w:rFonts w:ascii="Constantia"/>
                <w:sz w:val="20"/>
              </w:rPr>
            </w:pPr>
            <w:r>
              <w:rPr>
                <w:rFonts w:ascii="Constantia"/>
                <w:sz w:val="20"/>
              </w:rPr>
              <w:t>0.21</w:t>
            </w:r>
          </w:p>
        </w:tc>
        <w:tc>
          <w:tcPr>
            <w:tcW w:w="590" w:type="dxa"/>
            <w:tcBorders>
              <w:bottom w:val="double" w:sz="4" w:space="0" w:color="000000"/>
            </w:tcBorders>
          </w:tcPr>
          <w:p>
            <w:pPr>
              <w:pStyle w:val="TableParagraph"/>
              <w:spacing w:line="243" w:lineRule="exact"/>
              <w:ind w:left="79"/>
              <w:jc w:val="left"/>
              <w:rPr>
                <w:rFonts w:ascii="Constantia"/>
                <w:sz w:val="20"/>
              </w:rPr>
            </w:pPr>
            <w:r>
              <w:rPr>
                <w:rFonts w:ascii="Constantia"/>
                <w:sz w:val="20"/>
              </w:rPr>
              <w:t>-0.23</w:t>
            </w:r>
          </w:p>
        </w:tc>
        <w:tc>
          <w:tcPr>
            <w:tcW w:w="191" w:type="dxa"/>
            <w:tcBorders>
              <w:bottom w:val="double" w:sz="4" w:space="0" w:color="000000"/>
            </w:tcBorders>
          </w:tcPr>
          <w:p>
            <w:pPr/>
          </w:p>
        </w:tc>
        <w:tc>
          <w:tcPr>
            <w:tcW w:w="1170" w:type="dxa"/>
            <w:tcBorders>
              <w:bottom w:val="double" w:sz="4" w:space="0" w:color="000000"/>
            </w:tcBorders>
          </w:tcPr>
          <w:p>
            <w:pPr>
              <w:pStyle w:val="TableParagraph"/>
              <w:spacing w:before="27"/>
              <w:ind w:left="31"/>
              <w:jc w:val="left"/>
              <w:rPr>
                <w:rFonts w:ascii="Constantia" w:hAnsi="Constantia"/>
                <w:sz w:val="17"/>
              </w:rPr>
            </w:pPr>
            <w:r>
              <w:rPr>
                <w:rFonts w:ascii="Constantia" w:hAnsi="Constantia"/>
                <w:sz w:val="17"/>
              </w:rPr>
              <w:t>Acíclica</w:t>
            </w:r>
          </w:p>
        </w:tc>
      </w:tr>
      <w:tr>
        <w:trPr>
          <w:trHeight w:val="329" w:hRule="exact"/>
        </w:trPr>
        <w:tc>
          <w:tcPr>
            <w:tcW w:w="8819" w:type="dxa"/>
            <w:gridSpan w:val="11"/>
          </w:tcPr>
          <w:p>
            <w:pPr>
              <w:pStyle w:val="TableParagraph"/>
              <w:tabs>
                <w:tab w:pos="3744" w:val="left" w:leader="none"/>
                <w:tab w:pos="8829" w:val="left" w:leader="none"/>
              </w:tabs>
              <w:spacing w:before="34"/>
              <w:ind w:left="-11" w:right="-11"/>
              <w:jc w:val="left"/>
              <w:rPr>
                <w:sz w:val="22"/>
              </w:rPr>
            </w:pPr>
            <w:r>
              <w:rPr>
                <w:w w:val="101"/>
                <w:sz w:val="22"/>
                <w:u w:val="single"/>
              </w:rPr>
              <w:t> </w:t>
            </w:r>
            <w:r>
              <w:rPr>
                <w:sz w:val="22"/>
                <w:u w:val="single"/>
              </w:rPr>
              <w:tab/>
              <w:t>Gasto</w:t>
            </w:r>
            <w:r>
              <w:rPr>
                <w:spacing w:val="4"/>
                <w:sz w:val="22"/>
                <w:u w:val="single"/>
              </w:rPr>
              <w:t> </w:t>
            </w:r>
            <w:r>
              <w:rPr>
                <w:sz w:val="22"/>
                <w:u w:val="single"/>
              </w:rPr>
              <w:t>primario</w:t>
              <w:tab/>
            </w:r>
          </w:p>
        </w:tc>
      </w:tr>
      <w:tr>
        <w:trPr>
          <w:trHeight w:val="275" w:hRule="exact"/>
        </w:trPr>
        <w:tc>
          <w:tcPr>
            <w:tcW w:w="3181" w:type="dxa"/>
          </w:tcPr>
          <w:p>
            <w:pPr>
              <w:pStyle w:val="TableParagraph"/>
              <w:spacing w:before="14"/>
              <w:ind w:left="31"/>
              <w:jc w:val="left"/>
              <w:rPr>
                <w:rFonts w:ascii="Constantia"/>
                <w:sz w:val="17"/>
              </w:rPr>
            </w:pPr>
            <w:r>
              <w:rPr>
                <w:rFonts w:ascii="Constantia"/>
                <w:sz w:val="17"/>
              </w:rPr>
              <w:t>Consumo del gobierno</w:t>
            </w:r>
          </w:p>
        </w:tc>
        <w:tc>
          <w:tcPr>
            <w:tcW w:w="666" w:type="dxa"/>
          </w:tcPr>
          <w:p>
            <w:pPr>
              <w:pStyle w:val="TableParagraph"/>
              <w:spacing w:before="7"/>
              <w:ind w:left="160" w:right="44"/>
              <w:rPr>
                <w:rFonts w:ascii="Constantia"/>
                <w:sz w:val="20"/>
              </w:rPr>
            </w:pPr>
            <w:r>
              <w:rPr>
                <w:rFonts w:ascii="Constantia"/>
                <w:sz w:val="20"/>
              </w:rPr>
              <w:t>0.13</w:t>
            </w:r>
          </w:p>
        </w:tc>
        <w:tc>
          <w:tcPr>
            <w:tcW w:w="589" w:type="dxa"/>
          </w:tcPr>
          <w:p>
            <w:pPr>
              <w:pStyle w:val="TableParagraph"/>
              <w:spacing w:before="7"/>
              <w:ind w:left="90" w:right="3"/>
              <w:rPr>
                <w:rFonts w:ascii="Constantia"/>
                <w:sz w:val="20"/>
              </w:rPr>
            </w:pPr>
            <w:r>
              <w:rPr>
                <w:rFonts w:ascii="Constantia"/>
                <w:sz w:val="20"/>
              </w:rPr>
              <w:t>0.11</w:t>
            </w:r>
          </w:p>
        </w:tc>
        <w:tc>
          <w:tcPr>
            <w:tcW w:w="901" w:type="dxa"/>
            <w:gridSpan w:val="2"/>
          </w:tcPr>
          <w:p>
            <w:pPr>
              <w:pStyle w:val="TableParagraph"/>
              <w:spacing w:before="7"/>
              <w:ind w:left="468"/>
              <w:jc w:val="left"/>
              <w:rPr>
                <w:rFonts w:ascii="Constantia"/>
                <w:sz w:val="20"/>
              </w:rPr>
            </w:pPr>
            <w:r>
              <w:rPr>
                <w:rFonts w:ascii="Constantia"/>
                <w:sz w:val="20"/>
              </w:rPr>
              <w:t>1.74</w:t>
            </w:r>
          </w:p>
        </w:tc>
        <w:tc>
          <w:tcPr>
            <w:tcW w:w="588" w:type="dxa"/>
          </w:tcPr>
          <w:p>
            <w:pPr>
              <w:pStyle w:val="TableParagraph"/>
              <w:spacing w:before="7"/>
              <w:ind w:left="89" w:right="64"/>
              <w:rPr>
                <w:rFonts w:ascii="Constantia"/>
                <w:sz w:val="20"/>
              </w:rPr>
            </w:pPr>
            <w:r>
              <w:rPr>
                <w:rFonts w:ascii="Constantia"/>
                <w:sz w:val="20"/>
              </w:rPr>
              <w:t>2.45</w:t>
            </w:r>
          </w:p>
        </w:tc>
        <w:tc>
          <w:tcPr>
            <w:tcW w:w="942" w:type="dxa"/>
            <w:gridSpan w:val="2"/>
          </w:tcPr>
          <w:p>
            <w:pPr>
              <w:pStyle w:val="TableParagraph"/>
              <w:spacing w:before="7"/>
              <w:ind w:left="340"/>
              <w:jc w:val="left"/>
              <w:rPr>
                <w:rFonts w:ascii="Constantia"/>
                <w:sz w:val="20"/>
              </w:rPr>
            </w:pPr>
            <w:r>
              <w:rPr>
                <w:rFonts w:ascii="Constantia"/>
                <w:sz w:val="20"/>
              </w:rPr>
              <w:t>-0.33</w:t>
            </w:r>
          </w:p>
        </w:tc>
        <w:tc>
          <w:tcPr>
            <w:tcW w:w="590" w:type="dxa"/>
          </w:tcPr>
          <w:p>
            <w:pPr>
              <w:pStyle w:val="TableParagraph"/>
              <w:spacing w:before="7"/>
              <w:ind w:right="28"/>
              <w:jc w:val="right"/>
              <w:rPr>
                <w:rFonts w:ascii="Constantia"/>
                <w:sz w:val="20"/>
              </w:rPr>
            </w:pPr>
            <w:r>
              <w:rPr>
                <w:rFonts w:ascii="Constantia"/>
                <w:sz w:val="20"/>
              </w:rPr>
              <w:t>0.02</w:t>
            </w:r>
          </w:p>
        </w:tc>
        <w:tc>
          <w:tcPr>
            <w:tcW w:w="1362" w:type="dxa"/>
            <w:gridSpan w:val="2"/>
          </w:tcPr>
          <w:p>
            <w:pPr>
              <w:pStyle w:val="TableParagraph"/>
              <w:spacing w:before="36"/>
              <w:ind w:left="223"/>
              <w:jc w:val="left"/>
              <w:rPr>
                <w:rFonts w:ascii="Constantia" w:hAnsi="Constantia"/>
                <w:sz w:val="17"/>
              </w:rPr>
            </w:pPr>
            <w:r>
              <w:rPr>
                <w:rFonts w:ascii="Constantia" w:hAnsi="Constantia"/>
                <w:sz w:val="17"/>
              </w:rPr>
              <w:t>Acíclico</w:t>
            </w:r>
          </w:p>
        </w:tc>
      </w:tr>
      <w:tr>
        <w:trPr>
          <w:trHeight w:val="271" w:hRule="exact"/>
        </w:trPr>
        <w:tc>
          <w:tcPr>
            <w:tcW w:w="3181" w:type="dxa"/>
          </w:tcPr>
          <w:p>
            <w:pPr>
              <w:pStyle w:val="TableParagraph"/>
              <w:spacing w:before="5"/>
              <w:ind w:left="31"/>
              <w:jc w:val="left"/>
              <w:rPr>
                <w:rFonts w:ascii="Constantia"/>
                <w:sz w:val="17"/>
              </w:rPr>
            </w:pPr>
            <w:r>
              <w:rPr>
                <w:rFonts w:ascii="Constantia"/>
                <w:sz w:val="17"/>
              </w:rPr>
              <w:t>Gaso de capital</w:t>
            </w:r>
          </w:p>
        </w:tc>
        <w:tc>
          <w:tcPr>
            <w:tcW w:w="666" w:type="dxa"/>
          </w:tcPr>
          <w:p>
            <w:pPr>
              <w:pStyle w:val="TableParagraph"/>
              <w:spacing w:line="232" w:lineRule="exact"/>
              <w:ind w:left="160" w:right="48"/>
              <w:rPr>
                <w:rFonts w:ascii="Constantia"/>
                <w:sz w:val="20"/>
              </w:rPr>
            </w:pPr>
            <w:r>
              <w:rPr>
                <w:rFonts w:ascii="Constantia"/>
                <w:sz w:val="20"/>
              </w:rPr>
              <w:t>0.10</w:t>
            </w:r>
          </w:p>
        </w:tc>
        <w:tc>
          <w:tcPr>
            <w:tcW w:w="589" w:type="dxa"/>
          </w:tcPr>
          <w:p>
            <w:pPr>
              <w:pStyle w:val="TableParagraph"/>
              <w:spacing w:line="232" w:lineRule="exact"/>
              <w:ind w:left="88" w:right="83"/>
              <w:rPr>
                <w:rFonts w:ascii="Constantia"/>
                <w:sz w:val="20"/>
              </w:rPr>
            </w:pPr>
            <w:r>
              <w:rPr>
                <w:rFonts w:ascii="Constantia"/>
                <w:sz w:val="20"/>
              </w:rPr>
              <w:t>0.08</w:t>
            </w:r>
          </w:p>
        </w:tc>
        <w:tc>
          <w:tcPr>
            <w:tcW w:w="901" w:type="dxa"/>
            <w:gridSpan w:val="2"/>
          </w:tcPr>
          <w:p>
            <w:pPr>
              <w:pStyle w:val="TableParagraph"/>
              <w:spacing w:line="232" w:lineRule="exact"/>
              <w:ind w:left="457"/>
              <w:jc w:val="left"/>
              <w:rPr>
                <w:rFonts w:ascii="Constantia"/>
                <w:sz w:val="20"/>
              </w:rPr>
            </w:pPr>
            <w:r>
              <w:rPr>
                <w:rFonts w:ascii="Constantia"/>
                <w:sz w:val="20"/>
              </w:rPr>
              <w:t>1.44</w:t>
            </w:r>
          </w:p>
        </w:tc>
        <w:tc>
          <w:tcPr>
            <w:tcW w:w="588" w:type="dxa"/>
          </w:tcPr>
          <w:p>
            <w:pPr>
              <w:pStyle w:val="TableParagraph"/>
              <w:spacing w:line="232" w:lineRule="exact"/>
              <w:ind w:left="89" w:right="41"/>
              <w:rPr>
                <w:rFonts w:ascii="Constantia"/>
                <w:sz w:val="20"/>
              </w:rPr>
            </w:pPr>
            <w:r>
              <w:rPr>
                <w:rFonts w:ascii="Constantia"/>
                <w:sz w:val="20"/>
              </w:rPr>
              <w:t>1.86</w:t>
            </w:r>
          </w:p>
        </w:tc>
        <w:tc>
          <w:tcPr>
            <w:tcW w:w="942" w:type="dxa"/>
            <w:gridSpan w:val="2"/>
          </w:tcPr>
          <w:p>
            <w:pPr>
              <w:pStyle w:val="TableParagraph"/>
              <w:spacing w:line="232" w:lineRule="exact"/>
              <w:ind w:left="319"/>
              <w:jc w:val="left"/>
              <w:rPr>
                <w:rFonts w:ascii="Constantia"/>
                <w:sz w:val="20"/>
              </w:rPr>
            </w:pPr>
            <w:r>
              <w:rPr>
                <w:rFonts w:ascii="Constantia"/>
                <w:sz w:val="20"/>
              </w:rPr>
              <w:t>-0.04</w:t>
            </w:r>
          </w:p>
        </w:tc>
        <w:tc>
          <w:tcPr>
            <w:tcW w:w="590" w:type="dxa"/>
          </w:tcPr>
          <w:p>
            <w:pPr>
              <w:pStyle w:val="TableParagraph"/>
              <w:spacing w:line="232" w:lineRule="exact"/>
              <w:ind w:right="30"/>
              <w:jc w:val="right"/>
              <w:rPr>
                <w:rFonts w:ascii="Constantia"/>
                <w:sz w:val="20"/>
              </w:rPr>
            </w:pPr>
            <w:r>
              <w:rPr>
                <w:rFonts w:ascii="Constantia"/>
                <w:sz w:val="20"/>
              </w:rPr>
              <w:t>-0.14</w:t>
            </w:r>
          </w:p>
        </w:tc>
        <w:tc>
          <w:tcPr>
            <w:tcW w:w="1362" w:type="dxa"/>
            <w:gridSpan w:val="2"/>
          </w:tcPr>
          <w:p>
            <w:pPr>
              <w:pStyle w:val="TableParagraph"/>
              <w:spacing w:before="16"/>
              <w:ind w:left="223"/>
              <w:jc w:val="left"/>
              <w:rPr>
                <w:rFonts w:ascii="Constantia" w:hAnsi="Constantia"/>
                <w:sz w:val="17"/>
              </w:rPr>
            </w:pPr>
            <w:r>
              <w:rPr>
                <w:rFonts w:ascii="Constantia" w:hAnsi="Constantia"/>
                <w:sz w:val="17"/>
              </w:rPr>
              <w:t>Acíclico</w:t>
            </w:r>
          </w:p>
        </w:tc>
      </w:tr>
      <w:tr>
        <w:trPr>
          <w:trHeight w:val="282" w:hRule="exact"/>
        </w:trPr>
        <w:tc>
          <w:tcPr>
            <w:tcW w:w="3181" w:type="dxa"/>
          </w:tcPr>
          <w:p>
            <w:pPr>
              <w:pStyle w:val="TableParagraph"/>
              <w:spacing w:before="11"/>
              <w:ind w:left="31"/>
              <w:jc w:val="left"/>
              <w:rPr>
                <w:rFonts w:ascii="Constantia"/>
                <w:sz w:val="17"/>
              </w:rPr>
            </w:pPr>
            <w:r>
              <w:rPr>
                <w:rFonts w:ascii="Constantia"/>
                <w:sz w:val="17"/>
              </w:rPr>
              <w:t>Gasto Corriente</w:t>
            </w:r>
          </w:p>
        </w:tc>
        <w:tc>
          <w:tcPr>
            <w:tcW w:w="666" w:type="dxa"/>
          </w:tcPr>
          <w:p>
            <w:pPr>
              <w:pStyle w:val="TableParagraph"/>
              <w:spacing w:before="4"/>
              <w:ind w:left="160" w:right="91"/>
              <w:rPr>
                <w:rFonts w:ascii="Constantia"/>
                <w:sz w:val="20"/>
              </w:rPr>
            </w:pPr>
            <w:r>
              <w:rPr>
                <w:rFonts w:ascii="Constantia"/>
                <w:sz w:val="20"/>
              </w:rPr>
              <w:t>0.08</w:t>
            </w:r>
          </w:p>
        </w:tc>
        <w:tc>
          <w:tcPr>
            <w:tcW w:w="589" w:type="dxa"/>
          </w:tcPr>
          <w:p>
            <w:pPr>
              <w:pStyle w:val="TableParagraph"/>
              <w:spacing w:before="4"/>
              <w:ind w:left="89" w:right="83"/>
              <w:rPr>
                <w:rFonts w:ascii="Constantia"/>
                <w:sz w:val="20"/>
              </w:rPr>
            </w:pPr>
            <w:r>
              <w:rPr>
                <w:rFonts w:ascii="Constantia"/>
                <w:sz w:val="20"/>
              </w:rPr>
              <w:t>0.06</w:t>
            </w:r>
          </w:p>
        </w:tc>
        <w:tc>
          <w:tcPr>
            <w:tcW w:w="901" w:type="dxa"/>
            <w:gridSpan w:val="2"/>
          </w:tcPr>
          <w:p>
            <w:pPr>
              <w:pStyle w:val="TableParagraph"/>
              <w:spacing w:before="4"/>
              <w:ind w:left="457"/>
              <w:jc w:val="left"/>
              <w:rPr>
                <w:rFonts w:ascii="Constantia"/>
                <w:sz w:val="20"/>
              </w:rPr>
            </w:pPr>
            <w:r>
              <w:rPr>
                <w:rFonts w:ascii="Constantia"/>
                <w:sz w:val="20"/>
              </w:rPr>
              <w:t>1.06</w:t>
            </w:r>
          </w:p>
        </w:tc>
        <w:tc>
          <w:tcPr>
            <w:tcW w:w="588" w:type="dxa"/>
          </w:tcPr>
          <w:p>
            <w:pPr>
              <w:pStyle w:val="TableParagraph"/>
              <w:spacing w:before="4"/>
              <w:ind w:left="89" w:right="29"/>
              <w:rPr>
                <w:rFonts w:ascii="Constantia"/>
                <w:sz w:val="20"/>
              </w:rPr>
            </w:pPr>
            <w:r>
              <w:rPr>
                <w:rFonts w:ascii="Constantia"/>
                <w:sz w:val="20"/>
              </w:rPr>
              <w:t>1.39</w:t>
            </w:r>
          </w:p>
        </w:tc>
        <w:tc>
          <w:tcPr>
            <w:tcW w:w="942" w:type="dxa"/>
            <w:gridSpan w:val="2"/>
          </w:tcPr>
          <w:p>
            <w:pPr>
              <w:pStyle w:val="TableParagraph"/>
              <w:spacing w:before="4"/>
              <w:ind w:left="308"/>
              <w:jc w:val="left"/>
              <w:rPr>
                <w:rFonts w:ascii="Constantia"/>
                <w:sz w:val="20"/>
              </w:rPr>
            </w:pPr>
            <w:r>
              <w:rPr>
                <w:rFonts w:ascii="Constantia"/>
                <w:sz w:val="20"/>
              </w:rPr>
              <w:t>-0.51**</w:t>
            </w:r>
          </w:p>
        </w:tc>
        <w:tc>
          <w:tcPr>
            <w:tcW w:w="590" w:type="dxa"/>
          </w:tcPr>
          <w:p>
            <w:pPr>
              <w:pStyle w:val="TableParagraph"/>
              <w:spacing w:before="4"/>
              <w:ind w:right="27"/>
              <w:jc w:val="right"/>
              <w:rPr>
                <w:rFonts w:ascii="Constantia"/>
                <w:sz w:val="20"/>
              </w:rPr>
            </w:pPr>
            <w:r>
              <w:rPr>
                <w:rFonts w:ascii="Constantia"/>
                <w:sz w:val="20"/>
              </w:rPr>
              <w:t>-0.19</w:t>
            </w:r>
          </w:p>
        </w:tc>
        <w:tc>
          <w:tcPr>
            <w:tcW w:w="1362" w:type="dxa"/>
            <w:gridSpan w:val="2"/>
          </w:tcPr>
          <w:p>
            <w:pPr>
              <w:pStyle w:val="TableParagraph"/>
              <w:spacing w:before="32"/>
              <w:ind w:left="223"/>
              <w:jc w:val="left"/>
              <w:rPr>
                <w:rFonts w:ascii="Constantia"/>
                <w:sz w:val="17"/>
              </w:rPr>
            </w:pPr>
            <w:r>
              <w:rPr>
                <w:rFonts w:ascii="Constantia"/>
                <w:sz w:val="17"/>
              </w:rPr>
              <w:t>Ambiguo</w:t>
            </w:r>
          </w:p>
        </w:tc>
      </w:tr>
      <w:tr>
        <w:trPr>
          <w:trHeight w:val="258" w:hRule="exact"/>
        </w:trPr>
        <w:tc>
          <w:tcPr>
            <w:tcW w:w="3181" w:type="dxa"/>
            <w:tcBorders>
              <w:bottom w:val="double" w:sz="4" w:space="0" w:color="000000"/>
            </w:tcBorders>
          </w:tcPr>
          <w:p>
            <w:pPr>
              <w:pStyle w:val="TableParagraph"/>
              <w:spacing w:before="16"/>
              <w:ind w:left="31"/>
              <w:jc w:val="left"/>
              <w:rPr>
                <w:rFonts w:ascii="Constantia"/>
                <w:sz w:val="17"/>
              </w:rPr>
            </w:pPr>
            <w:r>
              <w:rPr>
                <w:rFonts w:ascii="Constantia"/>
                <w:sz w:val="17"/>
              </w:rPr>
              <w:t>Transferencias gubernamentales</w:t>
            </w:r>
          </w:p>
        </w:tc>
        <w:tc>
          <w:tcPr>
            <w:tcW w:w="666" w:type="dxa"/>
            <w:tcBorders>
              <w:bottom w:val="double" w:sz="4" w:space="0" w:color="000000"/>
            </w:tcBorders>
          </w:tcPr>
          <w:p>
            <w:pPr>
              <w:pStyle w:val="TableParagraph"/>
              <w:spacing w:line="243" w:lineRule="exact"/>
              <w:ind w:left="160" w:right="44"/>
              <w:rPr>
                <w:rFonts w:ascii="Constantia"/>
                <w:sz w:val="20"/>
              </w:rPr>
            </w:pPr>
            <w:r>
              <w:rPr>
                <w:rFonts w:ascii="Constantia"/>
                <w:sz w:val="20"/>
              </w:rPr>
              <w:t>0.13</w:t>
            </w:r>
          </w:p>
        </w:tc>
        <w:tc>
          <w:tcPr>
            <w:tcW w:w="589" w:type="dxa"/>
            <w:tcBorders>
              <w:bottom w:val="double" w:sz="4" w:space="0" w:color="000000"/>
            </w:tcBorders>
          </w:tcPr>
          <w:p>
            <w:pPr>
              <w:pStyle w:val="TableParagraph"/>
              <w:spacing w:line="243" w:lineRule="exact"/>
              <w:ind w:left="90" w:right="32"/>
              <w:rPr>
                <w:rFonts w:ascii="Constantia"/>
                <w:sz w:val="20"/>
              </w:rPr>
            </w:pPr>
            <w:r>
              <w:rPr>
                <w:rFonts w:ascii="Constantia"/>
                <w:sz w:val="20"/>
              </w:rPr>
              <w:t>0.12</w:t>
            </w:r>
          </w:p>
        </w:tc>
        <w:tc>
          <w:tcPr>
            <w:tcW w:w="901" w:type="dxa"/>
            <w:gridSpan w:val="2"/>
            <w:tcBorders>
              <w:bottom w:val="double" w:sz="4" w:space="0" w:color="000000"/>
            </w:tcBorders>
          </w:tcPr>
          <w:p>
            <w:pPr>
              <w:pStyle w:val="TableParagraph"/>
              <w:spacing w:line="243" w:lineRule="exact"/>
              <w:ind w:left="468"/>
              <w:jc w:val="left"/>
              <w:rPr>
                <w:rFonts w:ascii="Constantia"/>
                <w:sz w:val="20"/>
              </w:rPr>
            </w:pPr>
            <w:r>
              <w:rPr>
                <w:rFonts w:ascii="Constantia"/>
                <w:sz w:val="20"/>
              </w:rPr>
              <w:t>1.74</w:t>
            </w:r>
          </w:p>
        </w:tc>
        <w:tc>
          <w:tcPr>
            <w:tcW w:w="588" w:type="dxa"/>
            <w:tcBorders>
              <w:bottom w:val="double" w:sz="4" w:space="0" w:color="000000"/>
            </w:tcBorders>
          </w:tcPr>
          <w:p>
            <w:pPr>
              <w:pStyle w:val="TableParagraph"/>
              <w:spacing w:line="243" w:lineRule="exact"/>
              <w:ind w:left="89" w:right="64"/>
              <w:rPr>
                <w:rFonts w:ascii="Constantia"/>
                <w:sz w:val="20"/>
              </w:rPr>
            </w:pPr>
            <w:r>
              <w:rPr>
                <w:rFonts w:ascii="Constantia"/>
                <w:sz w:val="20"/>
              </w:rPr>
              <w:t>2.65</w:t>
            </w:r>
          </w:p>
        </w:tc>
        <w:tc>
          <w:tcPr>
            <w:tcW w:w="942" w:type="dxa"/>
            <w:gridSpan w:val="2"/>
            <w:tcBorders>
              <w:bottom w:val="double" w:sz="4" w:space="0" w:color="000000"/>
            </w:tcBorders>
          </w:tcPr>
          <w:p>
            <w:pPr>
              <w:pStyle w:val="TableParagraph"/>
              <w:spacing w:line="243" w:lineRule="exact"/>
              <w:ind w:left="329"/>
              <w:jc w:val="left"/>
              <w:rPr>
                <w:rFonts w:ascii="Constantia"/>
                <w:sz w:val="20"/>
              </w:rPr>
            </w:pPr>
            <w:r>
              <w:rPr>
                <w:rFonts w:ascii="Constantia"/>
                <w:sz w:val="20"/>
              </w:rPr>
              <w:t>-0.34</w:t>
            </w:r>
          </w:p>
        </w:tc>
        <w:tc>
          <w:tcPr>
            <w:tcW w:w="590" w:type="dxa"/>
            <w:tcBorders>
              <w:bottom w:val="double" w:sz="4" w:space="0" w:color="000000"/>
            </w:tcBorders>
          </w:tcPr>
          <w:p>
            <w:pPr>
              <w:pStyle w:val="TableParagraph"/>
              <w:spacing w:line="243" w:lineRule="exact"/>
              <w:ind w:right="28"/>
              <w:jc w:val="right"/>
              <w:rPr>
                <w:rFonts w:ascii="Constantia"/>
                <w:sz w:val="20"/>
              </w:rPr>
            </w:pPr>
            <w:r>
              <w:rPr>
                <w:rFonts w:ascii="Constantia"/>
                <w:sz w:val="20"/>
              </w:rPr>
              <w:t>-0.30</w:t>
            </w:r>
          </w:p>
        </w:tc>
        <w:tc>
          <w:tcPr>
            <w:tcW w:w="1362" w:type="dxa"/>
            <w:gridSpan w:val="2"/>
            <w:tcBorders>
              <w:bottom w:val="double" w:sz="4" w:space="0" w:color="000000"/>
            </w:tcBorders>
          </w:tcPr>
          <w:p>
            <w:pPr>
              <w:pStyle w:val="TableParagraph"/>
              <w:spacing w:before="27"/>
              <w:ind w:left="223"/>
              <w:jc w:val="left"/>
              <w:rPr>
                <w:rFonts w:ascii="Constantia" w:hAnsi="Constantia"/>
                <w:sz w:val="17"/>
              </w:rPr>
            </w:pPr>
            <w:r>
              <w:rPr>
                <w:rFonts w:ascii="Constantia" w:hAnsi="Constantia"/>
                <w:sz w:val="17"/>
              </w:rPr>
              <w:t>Acíclico</w:t>
            </w:r>
          </w:p>
        </w:tc>
      </w:tr>
    </w:tbl>
    <w:p>
      <w:pPr>
        <w:spacing w:before="17"/>
        <w:ind w:left="216" w:right="127" w:firstLine="0"/>
        <w:jc w:val="left"/>
        <w:rPr>
          <w:sz w:val="17"/>
        </w:rPr>
      </w:pPr>
      <w:r>
        <w:rPr>
          <w:sz w:val="17"/>
        </w:rPr>
        <w:t>Significancia: ** al 1% y * al 5% respectivamente</w:t>
      </w:r>
    </w:p>
    <w:p>
      <w:pPr>
        <w:spacing w:before="11"/>
        <w:ind w:left="102" w:right="127" w:firstLine="0"/>
        <w:jc w:val="left"/>
        <w:rPr>
          <w:sz w:val="20"/>
        </w:rPr>
      </w:pPr>
      <w:r>
        <w:rPr>
          <w:sz w:val="20"/>
        </w:rPr>
        <w:t>Fuente: Estimaciones propias con base en información del Banco Central de Bolivia (2012).</w:t>
      </w:r>
    </w:p>
    <w:p>
      <w:pPr>
        <w:spacing w:after="0"/>
        <w:jc w:val="left"/>
        <w:rPr>
          <w:sz w:val="20"/>
        </w:rPr>
        <w:sectPr>
          <w:type w:val="continuous"/>
          <w:pgSz w:w="12250" w:h="15850"/>
          <w:pgMar w:top="1500" w:bottom="280" w:left="1600" w:right="1580"/>
        </w:sectPr>
      </w:pPr>
    </w:p>
    <w:p>
      <w:pPr>
        <w:pStyle w:val="Heading4"/>
        <w:spacing w:before="53"/>
        <w:ind w:left="102" w:right="127" w:firstLine="0"/>
      </w:pPr>
      <w:bookmarkStart w:name="_bookmark179" w:id="244"/>
      <w:bookmarkEnd w:id="244"/>
      <w:r>
        <w:rPr>
          <w:b w:val="0"/>
        </w:rPr>
      </w:r>
      <w:r>
        <w:rPr/>
        <w:t>Anexo 3.4: Movimientos cíclicos de la posición fiscal de Bolivia en torno al ciclo económico (brecha del producto)</w:t>
      </w:r>
    </w:p>
    <w:p>
      <w:pPr>
        <w:spacing w:after="0"/>
        <w:sectPr>
          <w:pgSz w:w="12250" w:h="15850"/>
          <w:pgMar w:header="0" w:footer="977" w:top="1360" w:bottom="1220" w:left="1600" w:right="1580"/>
        </w:sectPr>
      </w:pPr>
    </w:p>
    <w:p>
      <w:pPr>
        <w:spacing w:before="84"/>
        <w:ind w:left="0" w:right="0" w:firstLine="0"/>
        <w:jc w:val="right"/>
        <w:rPr>
          <w:rFonts w:ascii="Constantia"/>
          <w:sz w:val="16"/>
        </w:rPr>
      </w:pPr>
      <w:r>
        <w:rPr>
          <w:rFonts w:ascii="Constantia"/>
          <w:sz w:val="16"/>
        </w:rPr>
        <w:t>Volatilidad</w:t>
      </w:r>
    </w:p>
    <w:p>
      <w:pPr>
        <w:spacing w:before="84"/>
        <w:ind w:left="531" w:right="0" w:firstLine="0"/>
        <w:jc w:val="left"/>
        <w:rPr>
          <w:rFonts w:ascii="Constantia"/>
          <w:sz w:val="16"/>
        </w:rPr>
      </w:pPr>
      <w:r>
        <w:rPr/>
        <w:br w:type="column"/>
      </w:r>
      <w:r>
        <w:rPr>
          <w:rFonts w:ascii="Constantia"/>
          <w:sz w:val="16"/>
        </w:rPr>
        <w:t>Variabilidad</w:t>
      </w:r>
    </w:p>
    <w:p>
      <w:pPr>
        <w:spacing w:before="84"/>
        <w:ind w:left="531" w:right="0" w:firstLine="0"/>
        <w:jc w:val="left"/>
        <w:rPr>
          <w:rFonts w:ascii="Constantia" w:hAnsi="Constantia"/>
          <w:sz w:val="16"/>
        </w:rPr>
      </w:pPr>
      <w:r>
        <w:rPr/>
        <w:br w:type="column"/>
      </w:r>
      <w:r>
        <w:rPr>
          <w:rFonts w:ascii="Constantia" w:hAnsi="Constantia"/>
          <w:sz w:val="16"/>
        </w:rPr>
        <w:t>Correlación</w:t>
      </w:r>
    </w:p>
    <w:p>
      <w:pPr>
        <w:spacing w:after="0"/>
        <w:jc w:val="left"/>
        <w:rPr>
          <w:rFonts w:ascii="Constantia" w:hAnsi="Constantia"/>
          <w:sz w:val="16"/>
        </w:rPr>
        <w:sectPr>
          <w:type w:val="continuous"/>
          <w:pgSz w:w="12250" w:h="15850"/>
          <w:pgMar w:top="1500" w:bottom="280" w:left="1600" w:right="1580"/>
          <w:cols w:num="3" w:equalWidth="0">
            <w:col w:w="4351" w:space="40"/>
            <w:col w:w="1425" w:space="40"/>
            <w:col w:w="3214"/>
          </w:cols>
        </w:sectPr>
      </w:pPr>
    </w:p>
    <w:tbl>
      <w:tblPr>
        <w:tblW w:w="0" w:type="auto"/>
        <w:jc w:val="left"/>
        <w:tblInd w:w="13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214"/>
        <w:gridCol w:w="637"/>
        <w:gridCol w:w="564"/>
        <w:gridCol w:w="254"/>
        <w:gridCol w:w="587"/>
        <w:gridCol w:w="563"/>
        <w:gridCol w:w="244"/>
        <w:gridCol w:w="601"/>
        <w:gridCol w:w="620"/>
        <w:gridCol w:w="183"/>
        <w:gridCol w:w="1129"/>
      </w:tblGrid>
      <w:tr>
        <w:trPr>
          <w:trHeight w:val="215" w:hRule="exact"/>
        </w:trPr>
        <w:tc>
          <w:tcPr>
            <w:tcW w:w="8595" w:type="dxa"/>
            <w:gridSpan w:val="11"/>
          </w:tcPr>
          <w:p>
            <w:pPr>
              <w:pStyle w:val="TableParagraph"/>
              <w:tabs>
                <w:tab w:pos="4882" w:val="left" w:leader="none"/>
                <w:tab w:pos="6428" w:val="left" w:leader="none"/>
                <w:tab w:pos="7496" w:val="left" w:leader="none"/>
              </w:tabs>
              <w:spacing w:line="202" w:lineRule="exact"/>
              <w:ind w:left="3712"/>
              <w:jc w:val="left"/>
              <w:rPr>
                <w:rFonts w:ascii="Constantia" w:hAnsi="Constantia" w:cs="Constantia" w:eastAsia="Constantia"/>
                <w:sz w:val="16"/>
                <w:szCs w:val="16"/>
              </w:rPr>
            </w:pPr>
            <w:r>
              <w:rPr>
                <w:rFonts w:ascii="Constantia" w:hAnsi="Constantia" w:cs="Constantia" w:eastAsia="Constantia"/>
                <w:position w:val="1"/>
                <w:sz w:val="16"/>
                <w:szCs w:val="16"/>
              </w:rPr>
              <w:t>(σ)</w:t>
              <w:tab/>
              <w:t>[σ(</w:t>
            </w:r>
            <w:r>
              <w:rPr>
                <w:rFonts w:ascii="Constantia" w:hAnsi="Constantia" w:cs="Constantia" w:eastAsia="Constantia"/>
                <w:position w:val="1"/>
                <w:sz w:val="13"/>
                <w:szCs w:val="13"/>
              </w:rPr>
              <w:t>i</w:t>
            </w:r>
            <w:r>
              <w:rPr>
                <w:rFonts w:ascii="Constantia" w:hAnsi="Constantia" w:cs="Constantia" w:eastAsia="Constantia"/>
                <w:position w:val="1"/>
                <w:sz w:val="16"/>
                <w:szCs w:val="16"/>
              </w:rPr>
              <w:t>)/σ(</w:t>
            </w:r>
            <w:r>
              <w:rPr>
                <w:rFonts w:ascii="Constantia" w:hAnsi="Constantia" w:cs="Constantia" w:eastAsia="Constantia"/>
                <w:position w:val="1"/>
                <w:sz w:val="13"/>
                <w:szCs w:val="13"/>
              </w:rPr>
              <w:t>y</w:t>
            </w:r>
            <w:r>
              <w:rPr>
                <w:rFonts w:ascii="Constantia" w:hAnsi="Constantia" w:cs="Constantia" w:eastAsia="Constantia"/>
                <w:position w:val="1"/>
                <w:sz w:val="16"/>
                <w:szCs w:val="16"/>
              </w:rPr>
              <w:t>)]</w:t>
              <w:tab/>
              <w:t>[</w:t>
            </w:r>
            <w:r>
              <w:rPr>
                <w:position w:val="1"/>
                <w:sz w:val="16"/>
                <w:szCs w:val="16"/>
              </w:rPr>
              <w:t>ϕ</w:t>
            </w:r>
            <w:r>
              <w:rPr>
                <w:spacing w:val="-1"/>
                <w:position w:val="1"/>
                <w:sz w:val="16"/>
                <w:szCs w:val="16"/>
              </w:rPr>
              <w:t> </w:t>
            </w:r>
            <w:r>
              <w:rPr>
                <w:rFonts w:ascii="Constantia" w:hAnsi="Constantia" w:cs="Constantia" w:eastAsia="Constantia"/>
                <w:position w:val="1"/>
                <w:sz w:val="16"/>
                <w:szCs w:val="16"/>
              </w:rPr>
              <w:t>(t</w:t>
            </w:r>
            <w:r>
              <w:rPr>
                <w:rFonts w:ascii="Constantia" w:hAnsi="Constantia" w:cs="Constantia" w:eastAsia="Constantia"/>
                <w:position w:val="1"/>
                <w:sz w:val="13"/>
                <w:szCs w:val="13"/>
              </w:rPr>
              <w:t>0</w:t>
            </w:r>
            <w:r>
              <w:rPr>
                <w:rFonts w:ascii="Constantia" w:hAnsi="Constantia" w:cs="Constantia" w:eastAsia="Constantia"/>
                <w:position w:val="1"/>
                <w:sz w:val="16"/>
                <w:szCs w:val="16"/>
              </w:rPr>
              <w:t>)]</w:t>
              <w:tab/>
            </w:r>
            <w:r>
              <w:rPr>
                <w:rFonts w:ascii="Constantia" w:hAnsi="Constantia" w:cs="Constantia" w:eastAsia="Constantia"/>
                <w:sz w:val="16"/>
                <w:szCs w:val="16"/>
              </w:rPr>
              <w:t>Orientación</w:t>
            </w:r>
          </w:p>
        </w:tc>
      </w:tr>
      <w:tr>
        <w:trPr>
          <w:trHeight w:val="300" w:hRule="exact"/>
        </w:trPr>
        <w:tc>
          <w:tcPr>
            <w:tcW w:w="3214" w:type="dxa"/>
          </w:tcPr>
          <w:p>
            <w:pPr/>
          </w:p>
        </w:tc>
        <w:tc>
          <w:tcPr>
            <w:tcW w:w="637" w:type="dxa"/>
            <w:tcBorders>
              <w:top w:val="double" w:sz="4" w:space="0" w:color="000000"/>
            </w:tcBorders>
          </w:tcPr>
          <w:p>
            <w:pPr>
              <w:pStyle w:val="TableParagraph"/>
              <w:spacing w:before="62"/>
              <w:ind w:left="87" w:right="87"/>
              <w:rPr>
                <w:rFonts w:ascii="Constantia"/>
                <w:sz w:val="16"/>
              </w:rPr>
            </w:pPr>
            <w:r>
              <w:rPr>
                <w:rFonts w:ascii="Constantia"/>
                <w:sz w:val="16"/>
              </w:rPr>
              <w:t>HP</w:t>
            </w:r>
          </w:p>
        </w:tc>
        <w:tc>
          <w:tcPr>
            <w:tcW w:w="564" w:type="dxa"/>
            <w:tcBorders>
              <w:top w:val="double" w:sz="4" w:space="0" w:color="000000"/>
            </w:tcBorders>
          </w:tcPr>
          <w:p>
            <w:pPr>
              <w:pStyle w:val="TableParagraph"/>
              <w:spacing w:before="62"/>
              <w:ind w:left="187"/>
              <w:jc w:val="left"/>
              <w:rPr>
                <w:rFonts w:ascii="Constantia"/>
                <w:sz w:val="16"/>
              </w:rPr>
            </w:pPr>
            <w:r>
              <w:rPr>
                <w:rFonts w:ascii="Constantia"/>
                <w:sz w:val="16"/>
              </w:rPr>
              <w:t>CF</w:t>
            </w:r>
          </w:p>
        </w:tc>
        <w:tc>
          <w:tcPr>
            <w:tcW w:w="254" w:type="dxa"/>
          </w:tcPr>
          <w:p>
            <w:pPr/>
          </w:p>
        </w:tc>
        <w:tc>
          <w:tcPr>
            <w:tcW w:w="587" w:type="dxa"/>
            <w:tcBorders>
              <w:top w:val="double" w:sz="4" w:space="0" w:color="000000"/>
            </w:tcBorders>
          </w:tcPr>
          <w:p>
            <w:pPr>
              <w:pStyle w:val="TableParagraph"/>
              <w:spacing w:before="62"/>
              <w:ind w:left="98" w:right="89"/>
              <w:rPr>
                <w:rFonts w:ascii="Constantia"/>
                <w:sz w:val="16"/>
              </w:rPr>
            </w:pPr>
            <w:r>
              <w:rPr>
                <w:rFonts w:ascii="Constantia"/>
                <w:sz w:val="16"/>
              </w:rPr>
              <w:t>HP</w:t>
            </w:r>
          </w:p>
        </w:tc>
        <w:tc>
          <w:tcPr>
            <w:tcW w:w="563" w:type="dxa"/>
            <w:tcBorders>
              <w:top w:val="double" w:sz="4" w:space="0" w:color="000000"/>
            </w:tcBorders>
          </w:tcPr>
          <w:p>
            <w:pPr>
              <w:pStyle w:val="TableParagraph"/>
              <w:spacing w:before="62"/>
              <w:ind w:left="186"/>
              <w:jc w:val="left"/>
              <w:rPr>
                <w:rFonts w:ascii="Constantia"/>
                <w:sz w:val="16"/>
              </w:rPr>
            </w:pPr>
            <w:r>
              <w:rPr>
                <w:rFonts w:ascii="Constantia"/>
                <w:sz w:val="16"/>
              </w:rPr>
              <w:t>CF</w:t>
            </w:r>
          </w:p>
        </w:tc>
        <w:tc>
          <w:tcPr>
            <w:tcW w:w="244" w:type="dxa"/>
          </w:tcPr>
          <w:p>
            <w:pPr/>
          </w:p>
        </w:tc>
        <w:tc>
          <w:tcPr>
            <w:tcW w:w="601" w:type="dxa"/>
            <w:tcBorders>
              <w:top w:val="double" w:sz="4" w:space="0" w:color="000000"/>
            </w:tcBorders>
          </w:tcPr>
          <w:p>
            <w:pPr>
              <w:pStyle w:val="TableParagraph"/>
              <w:spacing w:before="62"/>
              <w:ind w:left="62" w:right="26"/>
              <w:rPr>
                <w:rFonts w:ascii="Constantia"/>
                <w:sz w:val="16"/>
              </w:rPr>
            </w:pPr>
            <w:r>
              <w:rPr>
                <w:rFonts w:ascii="Constantia"/>
                <w:sz w:val="16"/>
              </w:rPr>
              <w:t>HP</w:t>
            </w:r>
          </w:p>
        </w:tc>
        <w:tc>
          <w:tcPr>
            <w:tcW w:w="620" w:type="dxa"/>
            <w:tcBorders>
              <w:top w:val="double" w:sz="4" w:space="0" w:color="000000"/>
            </w:tcBorders>
          </w:tcPr>
          <w:p>
            <w:pPr>
              <w:pStyle w:val="TableParagraph"/>
              <w:spacing w:before="62"/>
              <w:ind w:left="233"/>
              <w:jc w:val="left"/>
              <w:rPr>
                <w:rFonts w:ascii="Constantia"/>
                <w:sz w:val="16"/>
              </w:rPr>
            </w:pPr>
            <w:r>
              <w:rPr>
                <w:rFonts w:ascii="Constantia"/>
                <w:sz w:val="16"/>
              </w:rPr>
              <w:t>CF</w:t>
            </w:r>
          </w:p>
        </w:tc>
        <w:tc>
          <w:tcPr>
            <w:tcW w:w="183" w:type="dxa"/>
          </w:tcPr>
          <w:p>
            <w:pPr/>
          </w:p>
        </w:tc>
        <w:tc>
          <w:tcPr>
            <w:tcW w:w="1129" w:type="dxa"/>
            <w:tcBorders>
              <w:top w:val="double" w:sz="4" w:space="0" w:color="000000"/>
            </w:tcBorders>
          </w:tcPr>
          <w:p>
            <w:pPr/>
          </w:p>
        </w:tc>
      </w:tr>
      <w:tr>
        <w:trPr>
          <w:trHeight w:val="250" w:hRule="exact"/>
        </w:trPr>
        <w:tc>
          <w:tcPr>
            <w:tcW w:w="3214" w:type="dxa"/>
          </w:tcPr>
          <w:p>
            <w:pPr>
              <w:pStyle w:val="TableParagraph"/>
              <w:spacing w:line="226" w:lineRule="exact"/>
              <w:ind w:left="40"/>
              <w:jc w:val="left"/>
              <w:rPr>
                <w:rFonts w:ascii="Constantia" w:hAnsi="Constantia"/>
                <w:b/>
                <w:sz w:val="19"/>
              </w:rPr>
            </w:pPr>
            <w:r>
              <w:rPr>
                <w:rFonts w:ascii="Constantia" w:hAnsi="Constantia"/>
                <w:b/>
                <w:sz w:val="19"/>
                <w:u w:val="single"/>
              </w:rPr>
              <w:t>Ciclo económico (y)</w:t>
            </w:r>
          </w:p>
        </w:tc>
        <w:tc>
          <w:tcPr>
            <w:tcW w:w="637" w:type="dxa"/>
          </w:tcPr>
          <w:p>
            <w:pPr>
              <w:pStyle w:val="TableParagraph"/>
              <w:spacing w:line="226" w:lineRule="exact"/>
              <w:ind w:left="152" w:right="87"/>
              <w:rPr>
                <w:rFonts w:ascii="Constantia"/>
                <w:sz w:val="19"/>
              </w:rPr>
            </w:pPr>
            <w:r>
              <w:rPr>
                <w:rFonts w:ascii="Constantia"/>
                <w:sz w:val="19"/>
              </w:rPr>
              <w:t>0.04</w:t>
            </w:r>
          </w:p>
        </w:tc>
        <w:tc>
          <w:tcPr>
            <w:tcW w:w="564" w:type="dxa"/>
          </w:tcPr>
          <w:p>
            <w:pPr>
              <w:pStyle w:val="TableParagraph"/>
              <w:spacing w:line="226" w:lineRule="exact"/>
              <w:ind w:right="103"/>
              <w:jc w:val="right"/>
              <w:rPr>
                <w:rFonts w:ascii="Constantia"/>
                <w:sz w:val="19"/>
              </w:rPr>
            </w:pPr>
            <w:r>
              <w:rPr>
                <w:rFonts w:ascii="Constantia"/>
                <w:sz w:val="19"/>
              </w:rPr>
              <w:t>0.03</w:t>
            </w:r>
          </w:p>
        </w:tc>
        <w:tc>
          <w:tcPr>
            <w:tcW w:w="254" w:type="dxa"/>
          </w:tcPr>
          <w:p>
            <w:pPr/>
          </w:p>
        </w:tc>
        <w:tc>
          <w:tcPr>
            <w:tcW w:w="587" w:type="dxa"/>
          </w:tcPr>
          <w:p>
            <w:pPr>
              <w:pStyle w:val="TableParagraph"/>
              <w:spacing w:line="226" w:lineRule="exact"/>
              <w:ind w:left="112" w:right="56"/>
              <w:rPr>
                <w:rFonts w:ascii="Constantia"/>
                <w:sz w:val="19"/>
              </w:rPr>
            </w:pPr>
            <w:r>
              <w:rPr>
                <w:rFonts w:ascii="Constantia"/>
                <w:sz w:val="19"/>
              </w:rPr>
              <w:t>1.00</w:t>
            </w:r>
          </w:p>
        </w:tc>
        <w:tc>
          <w:tcPr>
            <w:tcW w:w="563" w:type="dxa"/>
          </w:tcPr>
          <w:p>
            <w:pPr>
              <w:pStyle w:val="TableParagraph"/>
              <w:spacing w:line="226" w:lineRule="exact"/>
              <w:ind w:left="145"/>
              <w:jc w:val="left"/>
              <w:rPr>
                <w:rFonts w:ascii="Constantia"/>
                <w:sz w:val="19"/>
              </w:rPr>
            </w:pPr>
            <w:r>
              <w:rPr>
                <w:rFonts w:ascii="Constantia"/>
                <w:sz w:val="19"/>
              </w:rPr>
              <w:t>1.00</w:t>
            </w:r>
          </w:p>
        </w:tc>
        <w:tc>
          <w:tcPr>
            <w:tcW w:w="244" w:type="dxa"/>
          </w:tcPr>
          <w:p>
            <w:pPr/>
          </w:p>
        </w:tc>
        <w:tc>
          <w:tcPr>
            <w:tcW w:w="601" w:type="dxa"/>
          </w:tcPr>
          <w:p>
            <w:pPr/>
          </w:p>
        </w:tc>
        <w:tc>
          <w:tcPr>
            <w:tcW w:w="620" w:type="dxa"/>
          </w:tcPr>
          <w:p>
            <w:pPr/>
          </w:p>
        </w:tc>
        <w:tc>
          <w:tcPr>
            <w:tcW w:w="183" w:type="dxa"/>
          </w:tcPr>
          <w:p>
            <w:pPr/>
          </w:p>
        </w:tc>
        <w:tc>
          <w:tcPr>
            <w:tcW w:w="1129" w:type="dxa"/>
          </w:tcPr>
          <w:p>
            <w:pPr/>
          </w:p>
        </w:tc>
      </w:tr>
      <w:tr>
        <w:trPr>
          <w:trHeight w:val="205" w:hRule="exact"/>
        </w:trPr>
        <w:tc>
          <w:tcPr>
            <w:tcW w:w="3214" w:type="dxa"/>
          </w:tcPr>
          <w:p>
            <w:pPr>
              <w:pStyle w:val="TableParagraph"/>
              <w:spacing w:line="193" w:lineRule="exact"/>
              <w:ind w:left="40"/>
              <w:jc w:val="left"/>
              <w:rPr>
                <w:rFonts w:ascii="Constantia" w:hAnsi="Constantia"/>
                <w:sz w:val="16"/>
              </w:rPr>
            </w:pPr>
            <w:r>
              <w:rPr>
                <w:rFonts w:ascii="Constantia" w:hAnsi="Constantia"/>
                <w:sz w:val="16"/>
              </w:rPr>
              <w:t>Asignación de Ing. Fisc. Gasíf.</w:t>
            </w:r>
          </w:p>
        </w:tc>
        <w:tc>
          <w:tcPr>
            <w:tcW w:w="637" w:type="dxa"/>
          </w:tcPr>
          <w:p>
            <w:pPr/>
          </w:p>
        </w:tc>
        <w:tc>
          <w:tcPr>
            <w:tcW w:w="564" w:type="dxa"/>
          </w:tcPr>
          <w:p>
            <w:pPr/>
          </w:p>
        </w:tc>
        <w:tc>
          <w:tcPr>
            <w:tcW w:w="254" w:type="dxa"/>
          </w:tcPr>
          <w:p>
            <w:pPr/>
          </w:p>
        </w:tc>
        <w:tc>
          <w:tcPr>
            <w:tcW w:w="587" w:type="dxa"/>
          </w:tcPr>
          <w:p>
            <w:pPr/>
          </w:p>
        </w:tc>
        <w:tc>
          <w:tcPr>
            <w:tcW w:w="563" w:type="dxa"/>
          </w:tcPr>
          <w:p>
            <w:pPr/>
          </w:p>
        </w:tc>
        <w:tc>
          <w:tcPr>
            <w:tcW w:w="244" w:type="dxa"/>
          </w:tcPr>
          <w:p>
            <w:pPr/>
          </w:p>
        </w:tc>
        <w:tc>
          <w:tcPr>
            <w:tcW w:w="601" w:type="dxa"/>
          </w:tcPr>
          <w:p>
            <w:pPr/>
          </w:p>
        </w:tc>
        <w:tc>
          <w:tcPr>
            <w:tcW w:w="620" w:type="dxa"/>
          </w:tcPr>
          <w:p>
            <w:pPr/>
          </w:p>
        </w:tc>
        <w:tc>
          <w:tcPr>
            <w:tcW w:w="183" w:type="dxa"/>
          </w:tcPr>
          <w:p>
            <w:pPr/>
          </w:p>
        </w:tc>
        <w:tc>
          <w:tcPr>
            <w:tcW w:w="1129" w:type="dxa"/>
          </w:tcPr>
          <w:p>
            <w:pPr/>
          </w:p>
        </w:tc>
      </w:tr>
      <w:tr>
        <w:trPr>
          <w:trHeight w:val="235" w:hRule="exact"/>
        </w:trPr>
        <w:tc>
          <w:tcPr>
            <w:tcW w:w="3214" w:type="dxa"/>
          </w:tcPr>
          <w:p>
            <w:pPr>
              <w:pStyle w:val="TableParagraph"/>
              <w:spacing w:before="7"/>
              <w:ind w:left="40"/>
              <w:jc w:val="left"/>
              <w:rPr>
                <w:rFonts w:ascii="Constantia"/>
                <w:sz w:val="16"/>
              </w:rPr>
            </w:pPr>
            <w:r>
              <w:rPr>
                <w:rFonts w:ascii="Constantia"/>
                <w:sz w:val="16"/>
              </w:rPr>
              <w:t>(Gasto de capital/ Ingresos fisc. Gas Natur.)</w:t>
            </w:r>
          </w:p>
        </w:tc>
        <w:tc>
          <w:tcPr>
            <w:tcW w:w="637" w:type="dxa"/>
          </w:tcPr>
          <w:p>
            <w:pPr>
              <w:pStyle w:val="TableParagraph"/>
              <w:spacing w:line="211" w:lineRule="exact"/>
              <w:ind w:left="153" w:right="78"/>
              <w:rPr>
                <w:rFonts w:ascii="Constantia"/>
                <w:sz w:val="19"/>
              </w:rPr>
            </w:pPr>
            <w:r>
              <w:rPr>
                <w:rFonts w:ascii="Constantia"/>
                <w:sz w:val="19"/>
              </w:rPr>
              <w:t>0.24</w:t>
            </w:r>
          </w:p>
        </w:tc>
        <w:tc>
          <w:tcPr>
            <w:tcW w:w="564" w:type="dxa"/>
          </w:tcPr>
          <w:p>
            <w:pPr>
              <w:pStyle w:val="TableParagraph"/>
              <w:spacing w:line="211" w:lineRule="exact"/>
              <w:ind w:right="98"/>
              <w:jc w:val="right"/>
              <w:rPr>
                <w:rFonts w:ascii="Constantia"/>
                <w:sz w:val="19"/>
              </w:rPr>
            </w:pPr>
            <w:r>
              <w:rPr>
                <w:rFonts w:ascii="Constantia"/>
                <w:sz w:val="19"/>
              </w:rPr>
              <w:t>0.22</w:t>
            </w:r>
          </w:p>
        </w:tc>
        <w:tc>
          <w:tcPr>
            <w:tcW w:w="254" w:type="dxa"/>
          </w:tcPr>
          <w:p>
            <w:pPr/>
          </w:p>
        </w:tc>
        <w:tc>
          <w:tcPr>
            <w:tcW w:w="587" w:type="dxa"/>
          </w:tcPr>
          <w:p>
            <w:pPr>
              <w:pStyle w:val="TableParagraph"/>
              <w:spacing w:line="211" w:lineRule="exact"/>
              <w:ind w:left="108" w:right="89"/>
              <w:rPr>
                <w:rFonts w:ascii="Constantia"/>
                <w:sz w:val="19"/>
              </w:rPr>
            </w:pPr>
            <w:r>
              <w:rPr>
                <w:rFonts w:ascii="Constantia"/>
                <w:sz w:val="19"/>
              </w:rPr>
              <w:t>6.83</w:t>
            </w:r>
          </w:p>
        </w:tc>
        <w:tc>
          <w:tcPr>
            <w:tcW w:w="563" w:type="dxa"/>
          </w:tcPr>
          <w:p>
            <w:pPr>
              <w:pStyle w:val="TableParagraph"/>
              <w:spacing w:line="211" w:lineRule="exact"/>
              <w:ind w:left="105"/>
              <w:jc w:val="left"/>
              <w:rPr>
                <w:rFonts w:ascii="Constantia"/>
                <w:sz w:val="19"/>
              </w:rPr>
            </w:pPr>
            <w:r>
              <w:rPr>
                <w:rFonts w:ascii="Constantia"/>
                <w:sz w:val="19"/>
              </w:rPr>
              <w:t>6.44</w:t>
            </w:r>
          </w:p>
        </w:tc>
        <w:tc>
          <w:tcPr>
            <w:tcW w:w="244" w:type="dxa"/>
          </w:tcPr>
          <w:p>
            <w:pPr/>
          </w:p>
        </w:tc>
        <w:tc>
          <w:tcPr>
            <w:tcW w:w="601" w:type="dxa"/>
          </w:tcPr>
          <w:p>
            <w:pPr>
              <w:pStyle w:val="TableParagraph"/>
              <w:spacing w:line="211" w:lineRule="exact"/>
              <w:ind w:left="26" w:right="44"/>
              <w:rPr>
                <w:rFonts w:ascii="Constantia"/>
                <w:sz w:val="19"/>
              </w:rPr>
            </w:pPr>
            <w:r>
              <w:rPr>
                <w:rFonts w:ascii="Constantia"/>
                <w:sz w:val="19"/>
              </w:rPr>
              <w:t>-0.34*</w:t>
            </w:r>
          </w:p>
        </w:tc>
        <w:tc>
          <w:tcPr>
            <w:tcW w:w="620" w:type="dxa"/>
          </w:tcPr>
          <w:p>
            <w:pPr>
              <w:pStyle w:val="TableParagraph"/>
              <w:spacing w:line="211" w:lineRule="exact"/>
              <w:ind w:left="50"/>
              <w:jc w:val="left"/>
              <w:rPr>
                <w:rFonts w:ascii="Constantia"/>
                <w:sz w:val="19"/>
              </w:rPr>
            </w:pPr>
            <w:r>
              <w:rPr>
                <w:rFonts w:ascii="Constantia"/>
                <w:sz w:val="19"/>
              </w:rPr>
              <w:t>-0.51**</w:t>
            </w:r>
          </w:p>
        </w:tc>
        <w:tc>
          <w:tcPr>
            <w:tcW w:w="183" w:type="dxa"/>
          </w:tcPr>
          <w:p>
            <w:pPr/>
          </w:p>
        </w:tc>
        <w:tc>
          <w:tcPr>
            <w:tcW w:w="1129" w:type="dxa"/>
          </w:tcPr>
          <w:p>
            <w:pPr>
              <w:pStyle w:val="TableParagraph"/>
              <w:spacing w:before="7"/>
              <w:ind w:left="30"/>
              <w:jc w:val="left"/>
              <w:rPr>
                <w:rFonts w:ascii="Constantia" w:hAnsi="Constantia"/>
                <w:sz w:val="16"/>
              </w:rPr>
            </w:pPr>
            <w:r>
              <w:rPr>
                <w:rFonts w:ascii="Constantia" w:hAnsi="Constantia"/>
                <w:sz w:val="16"/>
              </w:rPr>
              <w:t>Contracíclica</w:t>
            </w:r>
          </w:p>
        </w:tc>
      </w:tr>
      <w:tr>
        <w:trPr>
          <w:trHeight w:val="189" w:hRule="exact"/>
        </w:trPr>
        <w:tc>
          <w:tcPr>
            <w:tcW w:w="3214" w:type="dxa"/>
          </w:tcPr>
          <w:p>
            <w:pPr>
              <w:pStyle w:val="TableParagraph"/>
              <w:spacing w:line="193" w:lineRule="exact"/>
              <w:ind w:left="40"/>
              <w:jc w:val="left"/>
              <w:rPr>
                <w:rFonts w:ascii="Constantia" w:hAnsi="Constantia"/>
                <w:sz w:val="16"/>
              </w:rPr>
            </w:pPr>
            <w:r>
              <w:rPr>
                <w:rFonts w:ascii="Constantia" w:hAnsi="Constantia"/>
                <w:sz w:val="16"/>
              </w:rPr>
              <w:t>Asignación de Ing. Fisc. No Gasíf.</w:t>
            </w:r>
          </w:p>
        </w:tc>
        <w:tc>
          <w:tcPr>
            <w:tcW w:w="637" w:type="dxa"/>
          </w:tcPr>
          <w:p>
            <w:pPr/>
          </w:p>
        </w:tc>
        <w:tc>
          <w:tcPr>
            <w:tcW w:w="564" w:type="dxa"/>
          </w:tcPr>
          <w:p>
            <w:pPr/>
          </w:p>
        </w:tc>
        <w:tc>
          <w:tcPr>
            <w:tcW w:w="254" w:type="dxa"/>
          </w:tcPr>
          <w:p>
            <w:pPr/>
          </w:p>
        </w:tc>
        <w:tc>
          <w:tcPr>
            <w:tcW w:w="587" w:type="dxa"/>
          </w:tcPr>
          <w:p>
            <w:pPr/>
          </w:p>
        </w:tc>
        <w:tc>
          <w:tcPr>
            <w:tcW w:w="563" w:type="dxa"/>
          </w:tcPr>
          <w:p>
            <w:pPr/>
          </w:p>
        </w:tc>
        <w:tc>
          <w:tcPr>
            <w:tcW w:w="244" w:type="dxa"/>
          </w:tcPr>
          <w:p>
            <w:pPr/>
          </w:p>
        </w:tc>
        <w:tc>
          <w:tcPr>
            <w:tcW w:w="601" w:type="dxa"/>
          </w:tcPr>
          <w:p>
            <w:pPr/>
          </w:p>
        </w:tc>
        <w:tc>
          <w:tcPr>
            <w:tcW w:w="620" w:type="dxa"/>
          </w:tcPr>
          <w:p>
            <w:pPr/>
          </w:p>
        </w:tc>
        <w:tc>
          <w:tcPr>
            <w:tcW w:w="183" w:type="dxa"/>
          </w:tcPr>
          <w:p>
            <w:pPr/>
          </w:p>
        </w:tc>
        <w:tc>
          <w:tcPr>
            <w:tcW w:w="1129" w:type="dxa"/>
          </w:tcPr>
          <w:p>
            <w:pPr/>
          </w:p>
        </w:tc>
      </w:tr>
      <w:tr>
        <w:trPr>
          <w:trHeight w:val="257" w:hRule="exact"/>
        </w:trPr>
        <w:tc>
          <w:tcPr>
            <w:tcW w:w="3214" w:type="dxa"/>
          </w:tcPr>
          <w:p>
            <w:pPr>
              <w:pStyle w:val="TableParagraph"/>
              <w:spacing w:before="23"/>
              <w:ind w:left="40"/>
              <w:jc w:val="left"/>
              <w:rPr>
                <w:rFonts w:ascii="Constantia" w:hAnsi="Constantia"/>
                <w:sz w:val="16"/>
              </w:rPr>
            </w:pPr>
            <w:r>
              <w:rPr>
                <w:rFonts w:ascii="Constantia" w:hAnsi="Constantia"/>
                <w:sz w:val="16"/>
              </w:rPr>
              <w:t>(Gasto corriente / Ingresos fisc. No Gasíf.)</w:t>
            </w:r>
          </w:p>
        </w:tc>
        <w:tc>
          <w:tcPr>
            <w:tcW w:w="637" w:type="dxa"/>
          </w:tcPr>
          <w:p>
            <w:pPr>
              <w:pStyle w:val="TableParagraph"/>
              <w:spacing w:line="196" w:lineRule="exact"/>
              <w:ind w:left="153" w:right="9"/>
              <w:rPr>
                <w:rFonts w:ascii="Constantia"/>
                <w:sz w:val="19"/>
              </w:rPr>
            </w:pPr>
            <w:r>
              <w:rPr>
                <w:rFonts w:ascii="Constantia"/>
                <w:sz w:val="19"/>
              </w:rPr>
              <w:t>0.11</w:t>
            </w:r>
          </w:p>
        </w:tc>
        <w:tc>
          <w:tcPr>
            <w:tcW w:w="564" w:type="dxa"/>
          </w:tcPr>
          <w:p>
            <w:pPr>
              <w:pStyle w:val="TableParagraph"/>
              <w:spacing w:line="196" w:lineRule="exact"/>
              <w:ind w:right="96"/>
              <w:jc w:val="right"/>
              <w:rPr>
                <w:rFonts w:ascii="Constantia"/>
                <w:sz w:val="19"/>
              </w:rPr>
            </w:pPr>
            <w:r>
              <w:rPr>
                <w:rFonts w:ascii="Constantia"/>
                <w:sz w:val="19"/>
              </w:rPr>
              <w:t>0.09</w:t>
            </w:r>
          </w:p>
        </w:tc>
        <w:tc>
          <w:tcPr>
            <w:tcW w:w="254" w:type="dxa"/>
          </w:tcPr>
          <w:p>
            <w:pPr/>
          </w:p>
        </w:tc>
        <w:tc>
          <w:tcPr>
            <w:tcW w:w="587" w:type="dxa"/>
          </w:tcPr>
          <w:p>
            <w:pPr>
              <w:pStyle w:val="TableParagraph"/>
              <w:spacing w:line="196" w:lineRule="exact"/>
              <w:ind w:left="112" w:right="83"/>
              <w:rPr>
                <w:rFonts w:ascii="Constantia"/>
                <w:sz w:val="19"/>
              </w:rPr>
            </w:pPr>
            <w:r>
              <w:rPr>
                <w:rFonts w:ascii="Constantia"/>
                <w:sz w:val="19"/>
              </w:rPr>
              <w:t>3.03</w:t>
            </w:r>
          </w:p>
        </w:tc>
        <w:tc>
          <w:tcPr>
            <w:tcW w:w="563" w:type="dxa"/>
          </w:tcPr>
          <w:p>
            <w:pPr>
              <w:pStyle w:val="TableParagraph"/>
              <w:spacing w:line="196" w:lineRule="exact"/>
              <w:ind w:left="125"/>
              <w:jc w:val="left"/>
              <w:rPr>
                <w:rFonts w:ascii="Constantia"/>
                <w:sz w:val="19"/>
              </w:rPr>
            </w:pPr>
            <w:r>
              <w:rPr>
                <w:rFonts w:ascii="Constantia"/>
                <w:sz w:val="19"/>
              </w:rPr>
              <w:t>2.76</w:t>
            </w:r>
          </w:p>
        </w:tc>
        <w:tc>
          <w:tcPr>
            <w:tcW w:w="244" w:type="dxa"/>
          </w:tcPr>
          <w:p>
            <w:pPr/>
          </w:p>
        </w:tc>
        <w:tc>
          <w:tcPr>
            <w:tcW w:w="601" w:type="dxa"/>
          </w:tcPr>
          <w:p>
            <w:pPr>
              <w:pStyle w:val="TableParagraph"/>
              <w:spacing w:line="196" w:lineRule="exact"/>
              <w:ind w:left="26" w:right="44"/>
              <w:rPr>
                <w:rFonts w:ascii="Constantia"/>
                <w:sz w:val="19"/>
              </w:rPr>
            </w:pPr>
            <w:r>
              <w:rPr>
                <w:rFonts w:ascii="Constantia"/>
                <w:sz w:val="19"/>
              </w:rPr>
              <w:t>-0.38*</w:t>
            </w:r>
          </w:p>
        </w:tc>
        <w:tc>
          <w:tcPr>
            <w:tcW w:w="620" w:type="dxa"/>
          </w:tcPr>
          <w:p>
            <w:pPr>
              <w:pStyle w:val="TableParagraph"/>
              <w:spacing w:line="196" w:lineRule="exact"/>
              <w:ind w:left="70"/>
              <w:jc w:val="left"/>
              <w:rPr>
                <w:rFonts w:ascii="Constantia"/>
                <w:sz w:val="19"/>
              </w:rPr>
            </w:pPr>
            <w:r>
              <w:rPr>
                <w:rFonts w:ascii="Constantia"/>
                <w:sz w:val="19"/>
              </w:rPr>
              <w:t>-0.29</w:t>
            </w:r>
          </w:p>
        </w:tc>
        <w:tc>
          <w:tcPr>
            <w:tcW w:w="183" w:type="dxa"/>
          </w:tcPr>
          <w:p>
            <w:pPr/>
          </w:p>
        </w:tc>
        <w:tc>
          <w:tcPr>
            <w:tcW w:w="1129" w:type="dxa"/>
          </w:tcPr>
          <w:p>
            <w:pPr>
              <w:pStyle w:val="TableParagraph"/>
              <w:spacing w:line="188" w:lineRule="exact"/>
              <w:ind w:left="30"/>
              <w:jc w:val="left"/>
              <w:rPr>
                <w:rFonts w:ascii="Constantia"/>
                <w:sz w:val="16"/>
              </w:rPr>
            </w:pPr>
            <w:r>
              <w:rPr>
                <w:rFonts w:ascii="Constantia"/>
                <w:sz w:val="16"/>
              </w:rPr>
              <w:t>Ambigua</w:t>
            </w:r>
          </w:p>
        </w:tc>
      </w:tr>
      <w:tr>
        <w:trPr>
          <w:trHeight w:val="299" w:hRule="exact"/>
        </w:trPr>
        <w:tc>
          <w:tcPr>
            <w:tcW w:w="3214" w:type="dxa"/>
          </w:tcPr>
          <w:p>
            <w:pPr>
              <w:pStyle w:val="TableParagraph"/>
              <w:spacing w:before="11"/>
              <w:ind w:left="40"/>
              <w:jc w:val="left"/>
              <w:rPr>
                <w:rFonts w:ascii="Constantia"/>
                <w:sz w:val="16"/>
              </w:rPr>
            </w:pPr>
            <w:r>
              <w:rPr>
                <w:rFonts w:ascii="Constantia"/>
                <w:sz w:val="16"/>
              </w:rPr>
              <w:t>Balance  primario/ PIB</w:t>
            </w:r>
          </w:p>
        </w:tc>
        <w:tc>
          <w:tcPr>
            <w:tcW w:w="637" w:type="dxa"/>
          </w:tcPr>
          <w:p>
            <w:pPr>
              <w:pStyle w:val="TableParagraph"/>
              <w:spacing w:before="34"/>
              <w:ind w:left="153" w:right="82"/>
              <w:rPr>
                <w:rFonts w:ascii="Constantia"/>
                <w:sz w:val="19"/>
              </w:rPr>
            </w:pPr>
            <w:r>
              <w:rPr>
                <w:rFonts w:ascii="Constantia"/>
                <w:sz w:val="19"/>
              </w:rPr>
              <w:t>0.03</w:t>
            </w:r>
          </w:p>
        </w:tc>
        <w:tc>
          <w:tcPr>
            <w:tcW w:w="564" w:type="dxa"/>
          </w:tcPr>
          <w:p>
            <w:pPr>
              <w:pStyle w:val="TableParagraph"/>
              <w:spacing w:before="34"/>
              <w:ind w:right="98"/>
              <w:jc w:val="right"/>
              <w:rPr>
                <w:rFonts w:ascii="Constantia"/>
                <w:sz w:val="19"/>
              </w:rPr>
            </w:pPr>
            <w:r>
              <w:rPr>
                <w:rFonts w:ascii="Constantia"/>
                <w:sz w:val="19"/>
              </w:rPr>
              <w:t>0.02</w:t>
            </w:r>
          </w:p>
        </w:tc>
        <w:tc>
          <w:tcPr>
            <w:tcW w:w="254" w:type="dxa"/>
          </w:tcPr>
          <w:p>
            <w:pPr/>
          </w:p>
        </w:tc>
        <w:tc>
          <w:tcPr>
            <w:tcW w:w="587" w:type="dxa"/>
          </w:tcPr>
          <w:p>
            <w:pPr>
              <w:pStyle w:val="TableParagraph"/>
              <w:spacing w:before="34"/>
              <w:ind w:left="112" w:right="88"/>
              <w:rPr>
                <w:rFonts w:ascii="Constantia"/>
                <w:sz w:val="19"/>
              </w:rPr>
            </w:pPr>
            <w:r>
              <w:rPr>
                <w:rFonts w:ascii="Constantia"/>
                <w:sz w:val="19"/>
              </w:rPr>
              <w:t>0.74</w:t>
            </w:r>
          </w:p>
        </w:tc>
        <w:tc>
          <w:tcPr>
            <w:tcW w:w="563" w:type="dxa"/>
          </w:tcPr>
          <w:p>
            <w:pPr>
              <w:pStyle w:val="TableParagraph"/>
              <w:spacing w:before="34"/>
              <w:ind w:left="105"/>
              <w:jc w:val="left"/>
              <w:rPr>
                <w:rFonts w:ascii="Constantia"/>
                <w:sz w:val="19"/>
              </w:rPr>
            </w:pPr>
            <w:r>
              <w:rPr>
                <w:rFonts w:ascii="Constantia"/>
                <w:sz w:val="19"/>
              </w:rPr>
              <w:t>0.69</w:t>
            </w:r>
          </w:p>
        </w:tc>
        <w:tc>
          <w:tcPr>
            <w:tcW w:w="244" w:type="dxa"/>
          </w:tcPr>
          <w:p>
            <w:pPr/>
          </w:p>
        </w:tc>
        <w:tc>
          <w:tcPr>
            <w:tcW w:w="601" w:type="dxa"/>
          </w:tcPr>
          <w:p>
            <w:pPr>
              <w:pStyle w:val="TableParagraph"/>
              <w:spacing w:before="34"/>
              <w:ind w:left="62"/>
              <w:rPr>
                <w:rFonts w:ascii="Constantia"/>
                <w:sz w:val="19"/>
              </w:rPr>
            </w:pPr>
            <w:r>
              <w:rPr>
                <w:rFonts w:ascii="Constantia"/>
                <w:sz w:val="19"/>
              </w:rPr>
              <w:t>0.64**</w:t>
            </w:r>
          </w:p>
        </w:tc>
        <w:tc>
          <w:tcPr>
            <w:tcW w:w="620" w:type="dxa"/>
          </w:tcPr>
          <w:p>
            <w:pPr>
              <w:pStyle w:val="TableParagraph"/>
              <w:spacing w:before="34"/>
              <w:ind w:left="80"/>
              <w:jc w:val="left"/>
              <w:rPr>
                <w:rFonts w:ascii="Constantia"/>
                <w:sz w:val="19"/>
              </w:rPr>
            </w:pPr>
            <w:r>
              <w:rPr>
                <w:rFonts w:ascii="Constantia"/>
                <w:sz w:val="19"/>
              </w:rPr>
              <w:t>0.74**</w:t>
            </w:r>
          </w:p>
        </w:tc>
        <w:tc>
          <w:tcPr>
            <w:tcW w:w="183" w:type="dxa"/>
          </w:tcPr>
          <w:p>
            <w:pPr/>
          </w:p>
        </w:tc>
        <w:tc>
          <w:tcPr>
            <w:tcW w:w="1129" w:type="dxa"/>
          </w:tcPr>
          <w:p>
            <w:pPr>
              <w:pStyle w:val="TableParagraph"/>
              <w:spacing w:before="62"/>
              <w:ind w:left="30"/>
              <w:jc w:val="left"/>
              <w:rPr>
                <w:rFonts w:ascii="Constantia" w:hAnsi="Constantia"/>
                <w:sz w:val="16"/>
              </w:rPr>
            </w:pPr>
            <w:r>
              <w:rPr>
                <w:rFonts w:ascii="Constantia" w:hAnsi="Constantia"/>
                <w:sz w:val="16"/>
              </w:rPr>
              <w:t>Procíclico</w:t>
            </w:r>
          </w:p>
        </w:tc>
      </w:tr>
      <w:tr>
        <w:trPr>
          <w:trHeight w:val="283" w:hRule="exact"/>
        </w:trPr>
        <w:tc>
          <w:tcPr>
            <w:tcW w:w="3214" w:type="dxa"/>
          </w:tcPr>
          <w:p>
            <w:pPr>
              <w:pStyle w:val="TableParagraph"/>
              <w:spacing w:before="9"/>
              <w:ind w:left="40"/>
              <w:jc w:val="left"/>
              <w:rPr>
                <w:rFonts w:ascii="Constantia" w:hAnsi="Constantia"/>
                <w:sz w:val="16"/>
              </w:rPr>
            </w:pPr>
            <w:r>
              <w:rPr>
                <w:rFonts w:ascii="Constantia" w:hAnsi="Constantia"/>
                <w:sz w:val="16"/>
              </w:rPr>
              <w:t>Balance primario no gasíf./  PIB</w:t>
            </w:r>
          </w:p>
        </w:tc>
        <w:tc>
          <w:tcPr>
            <w:tcW w:w="637" w:type="dxa"/>
          </w:tcPr>
          <w:p>
            <w:pPr>
              <w:pStyle w:val="TableParagraph"/>
              <w:ind w:left="153" w:right="82"/>
              <w:rPr>
                <w:rFonts w:ascii="Constantia"/>
                <w:sz w:val="19"/>
              </w:rPr>
            </w:pPr>
            <w:r>
              <w:rPr>
                <w:rFonts w:ascii="Constantia"/>
                <w:sz w:val="19"/>
              </w:rPr>
              <w:t>0.03</w:t>
            </w:r>
          </w:p>
        </w:tc>
        <w:tc>
          <w:tcPr>
            <w:tcW w:w="564" w:type="dxa"/>
          </w:tcPr>
          <w:p>
            <w:pPr>
              <w:pStyle w:val="TableParagraph"/>
              <w:ind w:right="98"/>
              <w:jc w:val="right"/>
              <w:rPr>
                <w:rFonts w:ascii="Constantia"/>
                <w:sz w:val="19"/>
              </w:rPr>
            </w:pPr>
            <w:r>
              <w:rPr>
                <w:rFonts w:ascii="Constantia"/>
                <w:sz w:val="19"/>
              </w:rPr>
              <w:t>0.02</w:t>
            </w:r>
          </w:p>
        </w:tc>
        <w:tc>
          <w:tcPr>
            <w:tcW w:w="841" w:type="dxa"/>
            <w:gridSpan w:val="2"/>
          </w:tcPr>
          <w:p>
            <w:pPr>
              <w:pStyle w:val="TableParagraph"/>
              <w:ind w:left="386"/>
              <w:jc w:val="left"/>
              <w:rPr>
                <w:rFonts w:ascii="Constantia"/>
                <w:sz w:val="19"/>
              </w:rPr>
            </w:pPr>
            <w:r>
              <w:rPr>
                <w:rFonts w:ascii="Constantia"/>
                <w:sz w:val="19"/>
              </w:rPr>
              <w:t>0.79</w:t>
            </w:r>
          </w:p>
        </w:tc>
        <w:tc>
          <w:tcPr>
            <w:tcW w:w="563" w:type="dxa"/>
          </w:tcPr>
          <w:p>
            <w:pPr>
              <w:pStyle w:val="TableParagraph"/>
              <w:ind w:left="155"/>
              <w:jc w:val="left"/>
              <w:rPr>
                <w:rFonts w:ascii="Constantia"/>
                <w:sz w:val="19"/>
              </w:rPr>
            </w:pPr>
            <w:r>
              <w:rPr>
                <w:rFonts w:ascii="Constantia"/>
                <w:sz w:val="19"/>
              </w:rPr>
              <w:t>0.71</w:t>
            </w:r>
          </w:p>
        </w:tc>
        <w:tc>
          <w:tcPr>
            <w:tcW w:w="1465" w:type="dxa"/>
            <w:gridSpan w:val="3"/>
          </w:tcPr>
          <w:p>
            <w:pPr>
              <w:pStyle w:val="TableParagraph"/>
              <w:ind w:left="315"/>
              <w:jc w:val="left"/>
              <w:rPr>
                <w:rFonts w:ascii="Constantia"/>
                <w:sz w:val="19"/>
              </w:rPr>
            </w:pPr>
            <w:r>
              <w:rPr>
                <w:rFonts w:ascii="Constantia"/>
                <w:sz w:val="19"/>
              </w:rPr>
              <w:t>0.44** 0.44**</w:t>
            </w:r>
          </w:p>
        </w:tc>
        <w:tc>
          <w:tcPr>
            <w:tcW w:w="1312" w:type="dxa"/>
            <w:gridSpan w:val="2"/>
          </w:tcPr>
          <w:p>
            <w:pPr>
              <w:pStyle w:val="TableParagraph"/>
              <w:spacing w:before="29"/>
              <w:ind w:left="213"/>
              <w:jc w:val="left"/>
              <w:rPr>
                <w:rFonts w:ascii="Constantia" w:hAnsi="Constantia"/>
                <w:sz w:val="16"/>
              </w:rPr>
            </w:pPr>
            <w:r>
              <w:rPr>
                <w:rFonts w:ascii="Constantia" w:hAnsi="Constantia"/>
                <w:sz w:val="16"/>
              </w:rPr>
              <w:t>Procíclico</w:t>
            </w:r>
          </w:p>
        </w:tc>
      </w:tr>
      <w:tr>
        <w:trPr>
          <w:trHeight w:val="273" w:hRule="exact"/>
        </w:trPr>
        <w:tc>
          <w:tcPr>
            <w:tcW w:w="3214" w:type="dxa"/>
            <w:tcBorders>
              <w:bottom w:val="double" w:sz="4" w:space="0" w:color="000000"/>
            </w:tcBorders>
          </w:tcPr>
          <w:p>
            <w:pPr>
              <w:pStyle w:val="TableParagraph"/>
              <w:spacing w:before="23"/>
              <w:ind w:left="40"/>
              <w:jc w:val="left"/>
              <w:rPr>
                <w:rFonts w:ascii="Constantia" w:hAnsi="Constantia"/>
                <w:sz w:val="16"/>
              </w:rPr>
            </w:pPr>
            <w:r>
              <w:rPr>
                <w:rFonts w:ascii="Constantia" w:hAnsi="Constantia"/>
                <w:sz w:val="16"/>
              </w:rPr>
              <w:t>Deuda pública/ PIB</w:t>
            </w:r>
          </w:p>
        </w:tc>
        <w:tc>
          <w:tcPr>
            <w:tcW w:w="637" w:type="dxa"/>
            <w:tcBorders>
              <w:bottom w:val="double" w:sz="4" w:space="0" w:color="000000"/>
            </w:tcBorders>
          </w:tcPr>
          <w:p>
            <w:pPr>
              <w:pStyle w:val="TableParagraph"/>
              <w:spacing w:before="25"/>
              <w:ind w:left="153" w:right="46"/>
              <w:rPr>
                <w:rFonts w:ascii="Constantia"/>
                <w:sz w:val="19"/>
              </w:rPr>
            </w:pPr>
            <w:r>
              <w:rPr>
                <w:rFonts w:ascii="Constantia"/>
                <w:sz w:val="19"/>
              </w:rPr>
              <w:t>0.16</w:t>
            </w:r>
          </w:p>
        </w:tc>
        <w:tc>
          <w:tcPr>
            <w:tcW w:w="564" w:type="dxa"/>
            <w:tcBorders>
              <w:bottom w:val="double" w:sz="4" w:space="0" w:color="000000"/>
            </w:tcBorders>
          </w:tcPr>
          <w:p>
            <w:pPr>
              <w:pStyle w:val="TableParagraph"/>
              <w:spacing w:before="25"/>
              <w:ind w:right="99"/>
              <w:jc w:val="right"/>
              <w:rPr>
                <w:rFonts w:ascii="Constantia"/>
                <w:sz w:val="19"/>
              </w:rPr>
            </w:pPr>
            <w:r>
              <w:rPr>
                <w:rFonts w:ascii="Constantia"/>
                <w:sz w:val="19"/>
              </w:rPr>
              <w:t>0.14</w:t>
            </w:r>
          </w:p>
        </w:tc>
        <w:tc>
          <w:tcPr>
            <w:tcW w:w="841" w:type="dxa"/>
            <w:gridSpan w:val="2"/>
            <w:tcBorders>
              <w:bottom w:val="double" w:sz="4" w:space="0" w:color="000000"/>
            </w:tcBorders>
          </w:tcPr>
          <w:p>
            <w:pPr>
              <w:pStyle w:val="TableParagraph"/>
              <w:spacing w:before="25"/>
              <w:ind w:left="386"/>
              <w:jc w:val="left"/>
              <w:rPr>
                <w:rFonts w:ascii="Constantia"/>
                <w:sz w:val="19"/>
              </w:rPr>
            </w:pPr>
            <w:r>
              <w:rPr>
                <w:rFonts w:ascii="Constantia"/>
                <w:sz w:val="19"/>
              </w:rPr>
              <w:t>4.50</w:t>
            </w:r>
          </w:p>
        </w:tc>
        <w:tc>
          <w:tcPr>
            <w:tcW w:w="563" w:type="dxa"/>
            <w:tcBorders>
              <w:bottom w:val="double" w:sz="4" w:space="0" w:color="000000"/>
            </w:tcBorders>
          </w:tcPr>
          <w:p>
            <w:pPr>
              <w:pStyle w:val="TableParagraph"/>
              <w:spacing w:before="25"/>
              <w:ind w:left="115"/>
              <w:jc w:val="left"/>
              <w:rPr>
                <w:rFonts w:ascii="Constantia"/>
                <w:sz w:val="19"/>
              </w:rPr>
            </w:pPr>
            <w:r>
              <w:rPr>
                <w:rFonts w:ascii="Constantia"/>
                <w:sz w:val="19"/>
              </w:rPr>
              <w:t>4.07</w:t>
            </w:r>
          </w:p>
        </w:tc>
        <w:tc>
          <w:tcPr>
            <w:tcW w:w="1465" w:type="dxa"/>
            <w:gridSpan w:val="3"/>
            <w:tcBorders>
              <w:bottom w:val="double" w:sz="4" w:space="0" w:color="000000"/>
            </w:tcBorders>
          </w:tcPr>
          <w:p>
            <w:pPr>
              <w:pStyle w:val="TableParagraph"/>
              <w:spacing w:before="25"/>
              <w:ind w:left="294"/>
              <w:jc w:val="left"/>
              <w:rPr>
                <w:rFonts w:ascii="Constantia"/>
                <w:sz w:val="19"/>
              </w:rPr>
            </w:pPr>
            <w:r>
              <w:rPr>
                <w:rFonts w:ascii="Constantia"/>
                <w:sz w:val="19"/>
              </w:rPr>
              <w:t>-0.35* -0.48**</w:t>
            </w:r>
          </w:p>
        </w:tc>
        <w:tc>
          <w:tcPr>
            <w:tcW w:w="1312" w:type="dxa"/>
            <w:gridSpan w:val="2"/>
            <w:tcBorders>
              <w:bottom w:val="double" w:sz="4" w:space="0" w:color="000000"/>
            </w:tcBorders>
          </w:tcPr>
          <w:p>
            <w:pPr>
              <w:pStyle w:val="TableParagraph"/>
              <w:spacing w:before="53"/>
              <w:ind w:left="213"/>
              <w:jc w:val="left"/>
              <w:rPr>
                <w:rFonts w:ascii="Constantia" w:hAnsi="Constantia"/>
                <w:sz w:val="16"/>
              </w:rPr>
            </w:pPr>
            <w:r>
              <w:rPr>
                <w:rFonts w:ascii="Constantia" w:hAnsi="Constantia"/>
                <w:sz w:val="16"/>
              </w:rPr>
              <w:t>Contracíclica</w:t>
            </w:r>
          </w:p>
        </w:tc>
      </w:tr>
      <w:tr>
        <w:trPr>
          <w:trHeight w:val="316" w:hRule="exact"/>
        </w:trPr>
        <w:tc>
          <w:tcPr>
            <w:tcW w:w="8595" w:type="dxa"/>
            <w:gridSpan w:val="11"/>
          </w:tcPr>
          <w:p>
            <w:pPr>
              <w:pStyle w:val="TableParagraph"/>
              <w:tabs>
                <w:tab w:pos="3661" w:val="left" w:leader="none"/>
                <w:tab w:pos="8594" w:val="left" w:leader="none"/>
              </w:tabs>
              <w:spacing w:before="34"/>
              <w:jc w:val="left"/>
              <w:rPr>
                <w:sz w:val="21"/>
              </w:rPr>
            </w:pPr>
            <w:r>
              <w:rPr>
                <w:w w:val="101"/>
                <w:sz w:val="21"/>
                <w:u w:val="single"/>
              </w:rPr>
              <w:t> </w:t>
            </w:r>
            <w:r>
              <w:rPr>
                <w:sz w:val="21"/>
                <w:u w:val="single"/>
              </w:rPr>
              <w:tab/>
              <w:t>Gasto</w:t>
            </w:r>
            <w:r>
              <w:rPr>
                <w:spacing w:val="5"/>
                <w:sz w:val="21"/>
                <w:u w:val="single"/>
              </w:rPr>
              <w:t> </w:t>
            </w:r>
            <w:r>
              <w:rPr>
                <w:sz w:val="21"/>
                <w:u w:val="single"/>
              </w:rPr>
              <w:t>primario</w:t>
              <w:tab/>
            </w:r>
          </w:p>
        </w:tc>
      </w:tr>
      <w:tr>
        <w:trPr>
          <w:trHeight w:val="279" w:hRule="exact"/>
        </w:trPr>
        <w:tc>
          <w:tcPr>
            <w:tcW w:w="3214" w:type="dxa"/>
          </w:tcPr>
          <w:p>
            <w:pPr>
              <w:pStyle w:val="TableParagraph"/>
              <w:spacing w:before="17"/>
              <w:ind w:left="40"/>
              <w:jc w:val="left"/>
              <w:rPr>
                <w:rFonts w:ascii="Constantia"/>
                <w:sz w:val="16"/>
              </w:rPr>
            </w:pPr>
            <w:r>
              <w:rPr>
                <w:rFonts w:ascii="Constantia"/>
                <w:sz w:val="16"/>
              </w:rPr>
              <w:t>Consumo del gobierno</w:t>
            </w:r>
          </w:p>
        </w:tc>
        <w:tc>
          <w:tcPr>
            <w:tcW w:w="637" w:type="dxa"/>
          </w:tcPr>
          <w:p>
            <w:pPr>
              <w:pStyle w:val="TableParagraph"/>
              <w:spacing w:before="9"/>
              <w:ind w:left="153" w:right="42"/>
              <w:rPr>
                <w:rFonts w:ascii="Constantia"/>
                <w:sz w:val="19"/>
              </w:rPr>
            </w:pPr>
            <w:r>
              <w:rPr>
                <w:rFonts w:ascii="Constantia"/>
                <w:sz w:val="19"/>
              </w:rPr>
              <w:t>0.13</w:t>
            </w:r>
          </w:p>
        </w:tc>
        <w:tc>
          <w:tcPr>
            <w:tcW w:w="564" w:type="dxa"/>
          </w:tcPr>
          <w:p>
            <w:pPr>
              <w:pStyle w:val="TableParagraph"/>
              <w:spacing w:before="9"/>
              <w:ind w:right="101"/>
              <w:jc w:val="right"/>
              <w:rPr>
                <w:rFonts w:ascii="Constantia"/>
                <w:sz w:val="19"/>
              </w:rPr>
            </w:pPr>
            <w:r>
              <w:rPr>
                <w:rFonts w:ascii="Constantia"/>
                <w:sz w:val="19"/>
              </w:rPr>
              <w:t>0.11</w:t>
            </w:r>
          </w:p>
        </w:tc>
        <w:tc>
          <w:tcPr>
            <w:tcW w:w="841" w:type="dxa"/>
            <w:gridSpan w:val="2"/>
          </w:tcPr>
          <w:p>
            <w:pPr>
              <w:pStyle w:val="TableParagraph"/>
              <w:spacing w:before="9"/>
              <w:ind w:left="396"/>
              <w:jc w:val="left"/>
              <w:rPr>
                <w:rFonts w:ascii="Constantia"/>
                <w:sz w:val="19"/>
              </w:rPr>
            </w:pPr>
            <w:r>
              <w:rPr>
                <w:rFonts w:ascii="Constantia"/>
                <w:sz w:val="19"/>
              </w:rPr>
              <w:t>3.50</w:t>
            </w:r>
          </w:p>
        </w:tc>
        <w:tc>
          <w:tcPr>
            <w:tcW w:w="563" w:type="dxa"/>
          </w:tcPr>
          <w:p>
            <w:pPr>
              <w:pStyle w:val="TableParagraph"/>
              <w:spacing w:before="9"/>
              <w:ind w:left="155"/>
              <w:jc w:val="left"/>
              <w:rPr>
                <w:rFonts w:ascii="Constantia"/>
                <w:sz w:val="19"/>
              </w:rPr>
            </w:pPr>
            <w:r>
              <w:rPr>
                <w:rFonts w:ascii="Constantia"/>
                <w:sz w:val="19"/>
              </w:rPr>
              <w:t>3.18</w:t>
            </w:r>
          </w:p>
        </w:tc>
        <w:tc>
          <w:tcPr>
            <w:tcW w:w="845" w:type="dxa"/>
            <w:gridSpan w:val="2"/>
          </w:tcPr>
          <w:p>
            <w:pPr>
              <w:pStyle w:val="TableParagraph"/>
              <w:spacing w:before="9"/>
              <w:ind w:left="457" w:right="-6"/>
              <w:jc w:val="left"/>
              <w:rPr>
                <w:rFonts w:ascii="Constantia"/>
                <w:sz w:val="19"/>
              </w:rPr>
            </w:pPr>
            <w:r>
              <w:rPr>
                <w:rFonts w:ascii="Constantia"/>
                <w:sz w:val="19"/>
              </w:rPr>
              <w:t>0.11</w:t>
            </w:r>
          </w:p>
        </w:tc>
        <w:tc>
          <w:tcPr>
            <w:tcW w:w="620" w:type="dxa"/>
          </w:tcPr>
          <w:p>
            <w:pPr>
              <w:pStyle w:val="TableParagraph"/>
              <w:spacing w:before="9"/>
              <w:ind w:left="141"/>
              <w:jc w:val="left"/>
              <w:rPr>
                <w:rFonts w:ascii="Constantia"/>
                <w:sz w:val="19"/>
              </w:rPr>
            </w:pPr>
            <w:r>
              <w:rPr>
                <w:rFonts w:ascii="Constantia"/>
                <w:sz w:val="19"/>
              </w:rPr>
              <w:t>0.29</w:t>
            </w:r>
          </w:p>
        </w:tc>
        <w:tc>
          <w:tcPr>
            <w:tcW w:w="1312" w:type="dxa"/>
            <w:gridSpan w:val="2"/>
          </w:tcPr>
          <w:p>
            <w:pPr>
              <w:pStyle w:val="TableParagraph"/>
              <w:spacing w:before="37"/>
              <w:ind w:left="213"/>
              <w:jc w:val="left"/>
              <w:rPr>
                <w:rFonts w:ascii="Constantia" w:hAnsi="Constantia"/>
                <w:sz w:val="16"/>
              </w:rPr>
            </w:pPr>
            <w:r>
              <w:rPr>
                <w:rFonts w:ascii="Constantia" w:hAnsi="Constantia"/>
                <w:sz w:val="16"/>
              </w:rPr>
              <w:t>Acíclico</w:t>
            </w:r>
          </w:p>
        </w:tc>
      </w:tr>
      <w:tr>
        <w:trPr>
          <w:trHeight w:val="261" w:hRule="exact"/>
        </w:trPr>
        <w:tc>
          <w:tcPr>
            <w:tcW w:w="3214" w:type="dxa"/>
          </w:tcPr>
          <w:p>
            <w:pPr>
              <w:pStyle w:val="TableParagraph"/>
              <w:spacing w:before="14"/>
              <w:ind w:left="40"/>
              <w:jc w:val="left"/>
              <w:rPr>
                <w:rFonts w:ascii="Constantia"/>
                <w:sz w:val="16"/>
              </w:rPr>
            </w:pPr>
            <w:r>
              <w:rPr>
                <w:rFonts w:ascii="Constantia"/>
                <w:sz w:val="16"/>
              </w:rPr>
              <w:t>Gaso de capital</w:t>
            </w:r>
          </w:p>
        </w:tc>
        <w:tc>
          <w:tcPr>
            <w:tcW w:w="637" w:type="dxa"/>
          </w:tcPr>
          <w:p>
            <w:pPr>
              <w:pStyle w:val="TableParagraph"/>
              <w:spacing w:before="6"/>
              <w:ind w:left="153" w:right="46"/>
              <w:rPr>
                <w:rFonts w:ascii="Constantia"/>
                <w:sz w:val="19"/>
              </w:rPr>
            </w:pPr>
            <w:r>
              <w:rPr>
                <w:rFonts w:ascii="Constantia"/>
                <w:sz w:val="19"/>
              </w:rPr>
              <w:t>0.10</w:t>
            </w:r>
          </w:p>
        </w:tc>
        <w:tc>
          <w:tcPr>
            <w:tcW w:w="564" w:type="dxa"/>
          </w:tcPr>
          <w:p>
            <w:pPr>
              <w:pStyle w:val="TableParagraph"/>
              <w:spacing w:before="6"/>
              <w:ind w:right="98"/>
              <w:jc w:val="right"/>
              <w:rPr>
                <w:rFonts w:ascii="Constantia"/>
                <w:sz w:val="19"/>
              </w:rPr>
            </w:pPr>
            <w:r>
              <w:rPr>
                <w:rFonts w:ascii="Constantia"/>
                <w:sz w:val="19"/>
              </w:rPr>
              <w:t>0.08</w:t>
            </w:r>
          </w:p>
        </w:tc>
        <w:tc>
          <w:tcPr>
            <w:tcW w:w="841" w:type="dxa"/>
            <w:gridSpan w:val="2"/>
          </w:tcPr>
          <w:p>
            <w:pPr>
              <w:pStyle w:val="TableParagraph"/>
              <w:spacing w:before="6"/>
              <w:ind w:left="386"/>
              <w:jc w:val="left"/>
              <w:rPr>
                <w:rFonts w:ascii="Constantia"/>
                <w:sz w:val="19"/>
              </w:rPr>
            </w:pPr>
            <w:r>
              <w:rPr>
                <w:rFonts w:ascii="Constantia"/>
                <w:sz w:val="19"/>
              </w:rPr>
              <w:t>2.89</w:t>
            </w:r>
          </w:p>
        </w:tc>
        <w:tc>
          <w:tcPr>
            <w:tcW w:w="563" w:type="dxa"/>
          </w:tcPr>
          <w:p>
            <w:pPr>
              <w:pStyle w:val="TableParagraph"/>
              <w:spacing w:before="6"/>
              <w:ind w:left="155"/>
              <w:jc w:val="left"/>
              <w:rPr>
                <w:rFonts w:ascii="Constantia"/>
                <w:sz w:val="19"/>
              </w:rPr>
            </w:pPr>
            <w:r>
              <w:rPr>
                <w:rFonts w:ascii="Constantia"/>
                <w:sz w:val="19"/>
              </w:rPr>
              <w:t>2.41</w:t>
            </w:r>
          </w:p>
        </w:tc>
        <w:tc>
          <w:tcPr>
            <w:tcW w:w="845" w:type="dxa"/>
            <w:gridSpan w:val="2"/>
          </w:tcPr>
          <w:p>
            <w:pPr>
              <w:pStyle w:val="TableParagraph"/>
              <w:spacing w:before="6"/>
              <w:ind w:left="376" w:right="-6"/>
              <w:jc w:val="left"/>
              <w:rPr>
                <w:rFonts w:ascii="Constantia"/>
                <w:sz w:val="19"/>
              </w:rPr>
            </w:pPr>
            <w:r>
              <w:rPr>
                <w:rFonts w:ascii="Constantia"/>
                <w:sz w:val="19"/>
              </w:rPr>
              <w:t>0.06</w:t>
            </w:r>
          </w:p>
        </w:tc>
        <w:tc>
          <w:tcPr>
            <w:tcW w:w="620" w:type="dxa"/>
          </w:tcPr>
          <w:p>
            <w:pPr>
              <w:pStyle w:val="TableParagraph"/>
              <w:spacing w:before="6"/>
              <w:ind w:left="131"/>
              <w:jc w:val="left"/>
              <w:rPr>
                <w:rFonts w:ascii="Constantia"/>
                <w:sz w:val="19"/>
              </w:rPr>
            </w:pPr>
            <w:r>
              <w:rPr>
                <w:rFonts w:ascii="Constantia"/>
                <w:sz w:val="19"/>
              </w:rPr>
              <w:t>0.00</w:t>
            </w:r>
          </w:p>
        </w:tc>
        <w:tc>
          <w:tcPr>
            <w:tcW w:w="1312" w:type="dxa"/>
            <w:gridSpan w:val="2"/>
          </w:tcPr>
          <w:p>
            <w:pPr>
              <w:pStyle w:val="TableParagraph"/>
              <w:spacing w:before="34"/>
              <w:ind w:left="213"/>
              <w:jc w:val="left"/>
              <w:rPr>
                <w:rFonts w:ascii="Constantia" w:hAnsi="Constantia"/>
                <w:sz w:val="16"/>
              </w:rPr>
            </w:pPr>
            <w:r>
              <w:rPr>
                <w:rFonts w:ascii="Constantia" w:hAnsi="Constantia"/>
                <w:sz w:val="16"/>
              </w:rPr>
              <w:t>Acíclico</w:t>
            </w:r>
          </w:p>
        </w:tc>
      </w:tr>
      <w:tr>
        <w:trPr>
          <w:trHeight w:val="256" w:hRule="exact"/>
        </w:trPr>
        <w:tc>
          <w:tcPr>
            <w:tcW w:w="3214" w:type="dxa"/>
          </w:tcPr>
          <w:p>
            <w:pPr>
              <w:pStyle w:val="TableParagraph"/>
              <w:spacing w:before="9"/>
              <w:ind w:left="40"/>
              <w:jc w:val="left"/>
              <w:rPr>
                <w:rFonts w:ascii="Constantia"/>
                <w:sz w:val="16"/>
              </w:rPr>
            </w:pPr>
            <w:r>
              <w:rPr>
                <w:rFonts w:ascii="Constantia"/>
                <w:sz w:val="16"/>
              </w:rPr>
              <w:t>Gasto Corriente</w:t>
            </w:r>
          </w:p>
        </w:tc>
        <w:tc>
          <w:tcPr>
            <w:tcW w:w="637" w:type="dxa"/>
          </w:tcPr>
          <w:p>
            <w:pPr>
              <w:pStyle w:val="TableParagraph"/>
              <w:spacing w:line="223" w:lineRule="exact"/>
              <w:ind w:left="153" w:right="87"/>
              <w:rPr>
                <w:rFonts w:ascii="Constantia"/>
                <w:sz w:val="19"/>
              </w:rPr>
            </w:pPr>
            <w:r>
              <w:rPr>
                <w:rFonts w:ascii="Constantia"/>
                <w:sz w:val="19"/>
              </w:rPr>
              <w:t>0.08</w:t>
            </w:r>
          </w:p>
        </w:tc>
        <w:tc>
          <w:tcPr>
            <w:tcW w:w="564" w:type="dxa"/>
          </w:tcPr>
          <w:p>
            <w:pPr>
              <w:pStyle w:val="TableParagraph"/>
              <w:spacing w:line="223" w:lineRule="exact"/>
              <w:ind w:right="97"/>
              <w:jc w:val="right"/>
              <w:rPr>
                <w:rFonts w:ascii="Constantia"/>
                <w:sz w:val="19"/>
              </w:rPr>
            </w:pPr>
            <w:r>
              <w:rPr>
                <w:rFonts w:ascii="Constantia"/>
                <w:sz w:val="19"/>
              </w:rPr>
              <w:t>0.06</w:t>
            </w:r>
          </w:p>
        </w:tc>
        <w:tc>
          <w:tcPr>
            <w:tcW w:w="841" w:type="dxa"/>
            <w:gridSpan w:val="2"/>
          </w:tcPr>
          <w:p>
            <w:pPr>
              <w:pStyle w:val="TableParagraph"/>
              <w:spacing w:line="223" w:lineRule="exact"/>
              <w:ind w:left="437"/>
              <w:jc w:val="left"/>
              <w:rPr>
                <w:rFonts w:ascii="Constantia"/>
                <w:sz w:val="19"/>
              </w:rPr>
            </w:pPr>
            <w:r>
              <w:rPr>
                <w:rFonts w:ascii="Constantia"/>
                <w:sz w:val="19"/>
              </w:rPr>
              <w:t>2.13</w:t>
            </w:r>
          </w:p>
        </w:tc>
        <w:tc>
          <w:tcPr>
            <w:tcW w:w="563" w:type="dxa"/>
          </w:tcPr>
          <w:p>
            <w:pPr>
              <w:pStyle w:val="TableParagraph"/>
              <w:spacing w:line="223" w:lineRule="exact"/>
              <w:ind w:left="186"/>
              <w:jc w:val="left"/>
              <w:rPr>
                <w:rFonts w:ascii="Constantia"/>
                <w:sz w:val="19"/>
              </w:rPr>
            </w:pPr>
            <w:r>
              <w:rPr>
                <w:rFonts w:ascii="Constantia"/>
                <w:sz w:val="19"/>
              </w:rPr>
              <w:t>1.81</w:t>
            </w:r>
          </w:p>
        </w:tc>
        <w:tc>
          <w:tcPr>
            <w:tcW w:w="845" w:type="dxa"/>
            <w:gridSpan w:val="2"/>
          </w:tcPr>
          <w:p>
            <w:pPr>
              <w:pStyle w:val="TableParagraph"/>
              <w:spacing w:line="223" w:lineRule="exact"/>
              <w:ind w:left="356" w:right="-6"/>
              <w:jc w:val="left"/>
              <w:rPr>
                <w:rFonts w:ascii="Constantia"/>
                <w:sz w:val="19"/>
              </w:rPr>
            </w:pPr>
            <w:r>
              <w:rPr>
                <w:rFonts w:ascii="Constantia"/>
                <w:sz w:val="19"/>
              </w:rPr>
              <w:t>-0.13</w:t>
            </w:r>
          </w:p>
        </w:tc>
        <w:tc>
          <w:tcPr>
            <w:tcW w:w="620" w:type="dxa"/>
          </w:tcPr>
          <w:p>
            <w:pPr>
              <w:pStyle w:val="TableParagraph"/>
              <w:spacing w:line="223" w:lineRule="exact"/>
              <w:ind w:left="141"/>
              <w:jc w:val="left"/>
              <w:rPr>
                <w:rFonts w:ascii="Constantia"/>
                <w:sz w:val="19"/>
              </w:rPr>
            </w:pPr>
            <w:r>
              <w:rPr>
                <w:rFonts w:ascii="Constantia"/>
                <w:sz w:val="19"/>
              </w:rPr>
              <w:t>0.03</w:t>
            </w:r>
          </w:p>
        </w:tc>
        <w:tc>
          <w:tcPr>
            <w:tcW w:w="1312" w:type="dxa"/>
            <w:gridSpan w:val="2"/>
          </w:tcPr>
          <w:p>
            <w:pPr>
              <w:pStyle w:val="TableParagraph"/>
              <w:spacing w:before="19"/>
              <w:ind w:left="213"/>
              <w:jc w:val="left"/>
              <w:rPr>
                <w:rFonts w:ascii="Constantia" w:hAnsi="Constantia"/>
                <w:sz w:val="16"/>
              </w:rPr>
            </w:pPr>
            <w:r>
              <w:rPr>
                <w:rFonts w:ascii="Constantia" w:hAnsi="Constantia"/>
                <w:sz w:val="16"/>
              </w:rPr>
              <w:t>Acíclico</w:t>
            </w:r>
          </w:p>
        </w:tc>
      </w:tr>
      <w:tr>
        <w:trPr>
          <w:trHeight w:val="248" w:hRule="exact"/>
        </w:trPr>
        <w:tc>
          <w:tcPr>
            <w:tcW w:w="3214" w:type="dxa"/>
            <w:tcBorders>
              <w:bottom w:val="double" w:sz="4" w:space="0" w:color="000000"/>
            </w:tcBorders>
          </w:tcPr>
          <w:p>
            <w:pPr>
              <w:pStyle w:val="TableParagraph"/>
              <w:spacing w:before="19"/>
              <w:ind w:left="40"/>
              <w:jc w:val="left"/>
              <w:rPr>
                <w:rFonts w:ascii="Constantia"/>
                <w:sz w:val="16"/>
              </w:rPr>
            </w:pPr>
            <w:r>
              <w:rPr>
                <w:rFonts w:ascii="Constantia"/>
                <w:sz w:val="16"/>
              </w:rPr>
              <w:t>Transferencias gubernamentales</w:t>
            </w:r>
          </w:p>
        </w:tc>
        <w:tc>
          <w:tcPr>
            <w:tcW w:w="637" w:type="dxa"/>
            <w:tcBorders>
              <w:bottom w:val="double" w:sz="4" w:space="0" w:color="000000"/>
            </w:tcBorders>
          </w:tcPr>
          <w:p>
            <w:pPr>
              <w:pStyle w:val="TableParagraph"/>
              <w:ind w:left="153" w:right="42"/>
              <w:rPr>
                <w:rFonts w:ascii="Constantia"/>
                <w:sz w:val="19"/>
              </w:rPr>
            </w:pPr>
            <w:r>
              <w:rPr>
                <w:rFonts w:ascii="Constantia"/>
                <w:sz w:val="19"/>
              </w:rPr>
              <w:t>0.13</w:t>
            </w:r>
          </w:p>
        </w:tc>
        <w:tc>
          <w:tcPr>
            <w:tcW w:w="564" w:type="dxa"/>
            <w:tcBorders>
              <w:bottom w:val="double" w:sz="4" w:space="0" w:color="000000"/>
            </w:tcBorders>
          </w:tcPr>
          <w:p>
            <w:pPr>
              <w:pStyle w:val="TableParagraph"/>
              <w:ind w:right="98"/>
              <w:jc w:val="right"/>
              <w:rPr>
                <w:rFonts w:ascii="Constantia"/>
                <w:sz w:val="19"/>
              </w:rPr>
            </w:pPr>
            <w:r>
              <w:rPr>
                <w:rFonts w:ascii="Constantia"/>
                <w:sz w:val="19"/>
              </w:rPr>
              <w:t>0.12</w:t>
            </w:r>
          </w:p>
        </w:tc>
        <w:tc>
          <w:tcPr>
            <w:tcW w:w="841" w:type="dxa"/>
            <w:gridSpan w:val="2"/>
            <w:tcBorders>
              <w:bottom w:val="double" w:sz="4" w:space="0" w:color="000000"/>
            </w:tcBorders>
          </w:tcPr>
          <w:p>
            <w:pPr>
              <w:pStyle w:val="TableParagraph"/>
              <w:ind w:left="396"/>
              <w:jc w:val="left"/>
              <w:rPr>
                <w:rFonts w:ascii="Constantia"/>
                <w:sz w:val="19"/>
              </w:rPr>
            </w:pPr>
            <w:r>
              <w:rPr>
                <w:rFonts w:ascii="Constantia"/>
                <w:sz w:val="19"/>
              </w:rPr>
              <w:t>3.50</w:t>
            </w:r>
          </w:p>
        </w:tc>
        <w:tc>
          <w:tcPr>
            <w:tcW w:w="563" w:type="dxa"/>
            <w:tcBorders>
              <w:bottom w:val="double" w:sz="4" w:space="0" w:color="000000"/>
            </w:tcBorders>
          </w:tcPr>
          <w:p>
            <w:pPr>
              <w:pStyle w:val="TableParagraph"/>
              <w:ind w:left="115"/>
              <w:jc w:val="left"/>
              <w:rPr>
                <w:rFonts w:ascii="Constantia"/>
                <w:sz w:val="19"/>
              </w:rPr>
            </w:pPr>
            <w:r>
              <w:rPr>
                <w:rFonts w:ascii="Constantia"/>
                <w:sz w:val="19"/>
              </w:rPr>
              <w:t>3.44</w:t>
            </w:r>
          </w:p>
        </w:tc>
        <w:tc>
          <w:tcPr>
            <w:tcW w:w="845" w:type="dxa"/>
            <w:gridSpan w:val="2"/>
            <w:tcBorders>
              <w:bottom w:val="double" w:sz="4" w:space="0" w:color="000000"/>
            </w:tcBorders>
          </w:tcPr>
          <w:p>
            <w:pPr>
              <w:pStyle w:val="TableParagraph"/>
              <w:ind w:left="254" w:right="-6"/>
              <w:jc w:val="left"/>
              <w:rPr>
                <w:rFonts w:ascii="Constantia"/>
                <w:sz w:val="19"/>
              </w:rPr>
            </w:pPr>
            <w:r>
              <w:rPr>
                <w:rFonts w:ascii="Constantia"/>
                <w:sz w:val="19"/>
              </w:rPr>
              <w:t>-0.50**</w:t>
            </w:r>
          </w:p>
        </w:tc>
        <w:tc>
          <w:tcPr>
            <w:tcW w:w="620" w:type="dxa"/>
            <w:tcBorders>
              <w:bottom w:val="double" w:sz="4" w:space="0" w:color="000000"/>
            </w:tcBorders>
          </w:tcPr>
          <w:p>
            <w:pPr>
              <w:pStyle w:val="TableParagraph"/>
              <w:ind w:left="9"/>
              <w:jc w:val="left"/>
              <w:rPr>
                <w:rFonts w:ascii="Constantia"/>
                <w:sz w:val="19"/>
              </w:rPr>
            </w:pPr>
            <w:r>
              <w:rPr>
                <w:rFonts w:ascii="Constantia"/>
                <w:sz w:val="19"/>
              </w:rPr>
              <w:t>-0.62**</w:t>
            </w:r>
          </w:p>
        </w:tc>
        <w:tc>
          <w:tcPr>
            <w:tcW w:w="1312" w:type="dxa"/>
            <w:gridSpan w:val="2"/>
            <w:tcBorders>
              <w:bottom w:val="double" w:sz="4" w:space="0" w:color="000000"/>
            </w:tcBorders>
          </w:tcPr>
          <w:p>
            <w:pPr>
              <w:pStyle w:val="TableParagraph"/>
              <w:spacing w:before="29"/>
              <w:ind w:left="213"/>
              <w:jc w:val="left"/>
              <w:rPr>
                <w:rFonts w:ascii="Constantia" w:hAnsi="Constantia"/>
                <w:sz w:val="16"/>
              </w:rPr>
            </w:pPr>
            <w:r>
              <w:rPr>
                <w:rFonts w:ascii="Constantia" w:hAnsi="Constantia"/>
                <w:sz w:val="16"/>
              </w:rPr>
              <w:t>Contracíclico</w:t>
            </w:r>
          </w:p>
        </w:tc>
      </w:tr>
    </w:tbl>
    <w:p>
      <w:pPr>
        <w:spacing w:before="73"/>
        <w:ind w:left="212" w:right="127" w:firstLine="0"/>
        <w:jc w:val="left"/>
        <w:rPr>
          <w:sz w:val="16"/>
        </w:rPr>
      </w:pPr>
      <w:r>
        <w:rPr>
          <w:sz w:val="16"/>
        </w:rPr>
        <w:t>Significancia: ** al 1% y * al 5% respectivamente</w:t>
      </w:r>
    </w:p>
    <w:p>
      <w:pPr>
        <w:spacing w:before="11"/>
        <w:ind w:left="102" w:right="127" w:firstLine="0"/>
        <w:jc w:val="left"/>
        <w:rPr>
          <w:sz w:val="20"/>
        </w:rPr>
      </w:pPr>
      <w:r>
        <w:rPr>
          <w:sz w:val="20"/>
        </w:rPr>
        <w:t>Fuente: Estimaciones propias con base en información del Banco Central de Bolivia (2012).</w:t>
      </w:r>
    </w:p>
    <w:p>
      <w:pPr>
        <w:pStyle w:val="BodyText"/>
        <w:rPr>
          <w:sz w:val="20"/>
        </w:rPr>
      </w:pPr>
    </w:p>
    <w:p>
      <w:pPr>
        <w:pStyle w:val="BodyText"/>
        <w:spacing w:before="2"/>
        <w:rPr>
          <w:sz w:val="25"/>
        </w:rPr>
      </w:pPr>
    </w:p>
    <w:p>
      <w:pPr>
        <w:pStyle w:val="Heading4"/>
        <w:ind w:left="102" w:right="127" w:firstLine="0"/>
      </w:pPr>
      <w:bookmarkStart w:name="_bookmark180" w:id="245"/>
      <w:bookmarkEnd w:id="245"/>
      <w:r>
        <w:rPr>
          <w:b w:val="0"/>
        </w:rPr>
      </w:r>
      <w:r>
        <w:rPr/>
        <w:t>Anexo 3. 5: Elasticidades calculadas para el cómputo del balance fiscal cíclicamente ajustado</w:t>
      </w:r>
    </w:p>
    <w:p>
      <w:pPr>
        <w:pStyle w:val="ListParagraph"/>
        <w:numPr>
          <w:ilvl w:val="0"/>
          <w:numId w:val="26"/>
        </w:numPr>
        <w:tabs>
          <w:tab w:pos="462" w:val="left" w:leader="none"/>
        </w:tabs>
        <w:spacing w:line="240" w:lineRule="auto" w:before="58" w:after="0"/>
        <w:ind w:left="462" w:right="0" w:hanging="360"/>
        <w:jc w:val="left"/>
        <w:rPr>
          <w:sz w:val="24"/>
        </w:rPr>
      </w:pPr>
      <w:r>
        <w:rPr>
          <w:sz w:val="24"/>
        </w:rPr>
        <w:t>Elasticidad de la venta doméstica del gas natural en función del</w:t>
      </w:r>
      <w:r>
        <w:rPr>
          <w:spacing w:val="-10"/>
          <w:sz w:val="24"/>
        </w:rPr>
        <w:t> </w:t>
      </w:r>
      <w:r>
        <w:rPr>
          <w:sz w:val="24"/>
        </w:rPr>
        <w:t>PIB</w:t>
      </w:r>
    </w:p>
    <w:p>
      <w:pPr>
        <w:pStyle w:val="BodyText"/>
        <w:spacing w:before="6"/>
        <w:rPr>
          <w:sz w:val="14"/>
        </w:rPr>
      </w:pPr>
    </w:p>
    <w:p>
      <w:pPr>
        <w:spacing w:before="59"/>
        <w:ind w:left="148" w:right="127" w:firstLine="0"/>
        <w:jc w:val="left"/>
        <w:rPr>
          <w:rFonts w:ascii="Constantia" w:hAnsi="Constantia"/>
          <w:b/>
          <w:sz w:val="21"/>
        </w:rPr>
      </w:pPr>
      <w:r>
        <w:rPr>
          <w:rFonts w:ascii="Constantia" w:hAnsi="Constantia"/>
          <w:b/>
          <w:w w:val="110"/>
          <w:sz w:val="21"/>
        </w:rPr>
        <w:t>Variable dependiente: </w:t>
      </w:r>
      <w:r>
        <w:rPr>
          <w:rFonts w:ascii="Calibri" w:hAnsi="Calibri"/>
          <w:b/>
          <w:w w:val="110"/>
          <w:sz w:val="21"/>
        </w:rPr>
        <w:t>∆ </w:t>
      </w:r>
      <w:r>
        <w:rPr>
          <w:rFonts w:ascii="Constantia" w:hAnsi="Constantia"/>
          <w:b/>
          <w:w w:val="110"/>
          <w:sz w:val="21"/>
        </w:rPr>
        <w:t>Log de venta doméstica de gas natural</w:t>
      </w:r>
    </w:p>
    <w:p>
      <w:pPr>
        <w:spacing w:before="22" w:after="22"/>
        <w:ind w:left="148" w:right="127" w:firstLine="0"/>
        <w:jc w:val="left"/>
        <w:rPr>
          <w:rFonts w:ascii="Constantia"/>
          <w:sz w:val="21"/>
        </w:rPr>
      </w:pPr>
      <w:r>
        <w:rPr>
          <w:rFonts w:ascii="Constantia"/>
          <w:w w:val="110"/>
          <w:sz w:val="21"/>
        </w:rPr>
        <w:t>Datos: 2002(T3) - 2012 (T1)</w:t>
      </w: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04"/>
        <w:gridCol w:w="1648"/>
        <w:gridCol w:w="1604"/>
        <w:gridCol w:w="1463"/>
        <w:gridCol w:w="892"/>
      </w:tblGrid>
      <w:tr>
        <w:trPr>
          <w:trHeight w:val="273" w:hRule="exact"/>
        </w:trPr>
        <w:tc>
          <w:tcPr>
            <w:tcW w:w="2504" w:type="dxa"/>
            <w:tcBorders>
              <w:bottom w:val="double" w:sz="4" w:space="0" w:color="000000"/>
            </w:tcBorders>
          </w:tcPr>
          <w:p>
            <w:pPr>
              <w:pStyle w:val="TableParagraph"/>
              <w:ind w:left="775"/>
              <w:jc w:val="left"/>
              <w:rPr>
                <w:rFonts w:ascii="Constantia"/>
                <w:sz w:val="21"/>
              </w:rPr>
            </w:pPr>
            <w:r>
              <w:rPr>
                <w:rFonts w:ascii="Constantia"/>
                <w:w w:val="110"/>
                <w:sz w:val="21"/>
              </w:rPr>
              <w:t>Variables</w:t>
            </w:r>
          </w:p>
        </w:tc>
        <w:tc>
          <w:tcPr>
            <w:tcW w:w="1648" w:type="dxa"/>
            <w:tcBorders>
              <w:bottom w:val="double" w:sz="4" w:space="0" w:color="000000"/>
            </w:tcBorders>
          </w:tcPr>
          <w:p>
            <w:pPr>
              <w:pStyle w:val="TableParagraph"/>
              <w:ind w:left="215"/>
              <w:jc w:val="left"/>
              <w:rPr>
                <w:rFonts w:ascii="Constantia"/>
                <w:sz w:val="21"/>
              </w:rPr>
            </w:pPr>
            <w:r>
              <w:rPr>
                <w:rFonts w:ascii="Constantia"/>
                <w:w w:val="110"/>
                <w:sz w:val="21"/>
              </w:rPr>
              <w:t>Coeficientes</w:t>
            </w:r>
          </w:p>
        </w:tc>
        <w:tc>
          <w:tcPr>
            <w:tcW w:w="1604" w:type="dxa"/>
            <w:tcBorders>
              <w:bottom w:val="double" w:sz="4" w:space="0" w:color="000000"/>
            </w:tcBorders>
          </w:tcPr>
          <w:p>
            <w:pPr>
              <w:pStyle w:val="TableParagraph"/>
              <w:ind w:right="86"/>
              <w:jc w:val="right"/>
              <w:rPr>
                <w:rFonts w:ascii="Constantia" w:hAnsi="Constantia"/>
                <w:sz w:val="21"/>
              </w:rPr>
            </w:pPr>
            <w:r>
              <w:rPr>
                <w:rFonts w:ascii="Constantia" w:hAnsi="Constantia"/>
                <w:w w:val="110"/>
                <w:sz w:val="21"/>
              </w:rPr>
              <w:t>Error estándar</w:t>
            </w:r>
          </w:p>
        </w:tc>
        <w:tc>
          <w:tcPr>
            <w:tcW w:w="1463" w:type="dxa"/>
            <w:tcBorders>
              <w:bottom w:val="double" w:sz="4" w:space="0" w:color="000000"/>
            </w:tcBorders>
          </w:tcPr>
          <w:p>
            <w:pPr>
              <w:pStyle w:val="TableParagraph"/>
              <w:ind w:right="162"/>
              <w:jc w:val="right"/>
              <w:rPr>
                <w:rFonts w:ascii="Constantia" w:hAnsi="Constantia"/>
                <w:sz w:val="21"/>
              </w:rPr>
            </w:pPr>
            <w:r>
              <w:rPr>
                <w:rFonts w:ascii="Constantia" w:hAnsi="Constantia"/>
                <w:w w:val="110"/>
                <w:sz w:val="21"/>
              </w:rPr>
              <w:t>Estadístico t</w:t>
            </w:r>
          </w:p>
        </w:tc>
        <w:tc>
          <w:tcPr>
            <w:tcW w:w="892" w:type="dxa"/>
            <w:tcBorders>
              <w:bottom w:val="double" w:sz="4" w:space="0" w:color="000000"/>
            </w:tcBorders>
          </w:tcPr>
          <w:p>
            <w:pPr>
              <w:pStyle w:val="TableParagraph"/>
              <w:ind w:left="164"/>
              <w:jc w:val="left"/>
              <w:rPr>
                <w:rFonts w:ascii="Constantia"/>
                <w:sz w:val="21"/>
              </w:rPr>
            </w:pPr>
            <w:r>
              <w:rPr>
                <w:rFonts w:ascii="Constantia"/>
                <w:w w:val="110"/>
                <w:sz w:val="21"/>
              </w:rPr>
              <w:t>Prob.</w:t>
            </w:r>
          </w:p>
        </w:tc>
      </w:tr>
      <w:tr>
        <w:trPr>
          <w:trHeight w:val="315" w:hRule="exact"/>
        </w:trPr>
        <w:tc>
          <w:tcPr>
            <w:tcW w:w="2504" w:type="dxa"/>
            <w:tcBorders>
              <w:top w:val="double" w:sz="4" w:space="0" w:color="000000"/>
            </w:tcBorders>
          </w:tcPr>
          <w:p>
            <w:pPr>
              <w:pStyle w:val="TableParagraph"/>
              <w:spacing w:before="12"/>
              <w:ind w:left="35"/>
              <w:jc w:val="left"/>
              <w:rPr>
                <w:rFonts w:ascii="Constantia"/>
                <w:sz w:val="21"/>
              </w:rPr>
            </w:pPr>
            <w:r>
              <w:rPr>
                <w:rFonts w:ascii="Constantia"/>
                <w:w w:val="110"/>
                <w:sz w:val="21"/>
              </w:rPr>
              <w:t>Constante</w:t>
            </w:r>
          </w:p>
        </w:tc>
        <w:tc>
          <w:tcPr>
            <w:tcW w:w="1648" w:type="dxa"/>
            <w:tcBorders>
              <w:top w:val="double" w:sz="4" w:space="0" w:color="000000"/>
            </w:tcBorders>
          </w:tcPr>
          <w:p>
            <w:pPr>
              <w:pStyle w:val="TableParagraph"/>
              <w:spacing w:before="12"/>
              <w:ind w:right="106"/>
              <w:jc w:val="right"/>
              <w:rPr>
                <w:rFonts w:ascii="Constantia"/>
                <w:sz w:val="21"/>
              </w:rPr>
            </w:pPr>
            <w:r>
              <w:rPr>
                <w:rFonts w:ascii="Constantia"/>
                <w:w w:val="105"/>
                <w:sz w:val="21"/>
              </w:rPr>
              <w:t>0.04</w:t>
            </w:r>
          </w:p>
        </w:tc>
        <w:tc>
          <w:tcPr>
            <w:tcW w:w="1604" w:type="dxa"/>
            <w:tcBorders>
              <w:top w:val="double" w:sz="4" w:space="0" w:color="000000"/>
            </w:tcBorders>
          </w:tcPr>
          <w:p>
            <w:pPr>
              <w:pStyle w:val="TableParagraph"/>
              <w:spacing w:before="12"/>
              <w:ind w:right="133"/>
              <w:jc w:val="right"/>
              <w:rPr>
                <w:rFonts w:ascii="Constantia"/>
                <w:sz w:val="21"/>
              </w:rPr>
            </w:pPr>
            <w:r>
              <w:rPr>
                <w:rFonts w:ascii="Constantia"/>
                <w:w w:val="105"/>
                <w:sz w:val="21"/>
              </w:rPr>
              <w:t>0.02</w:t>
            </w:r>
          </w:p>
        </w:tc>
        <w:tc>
          <w:tcPr>
            <w:tcW w:w="1463" w:type="dxa"/>
            <w:tcBorders>
              <w:top w:val="double" w:sz="4" w:space="0" w:color="000000"/>
            </w:tcBorders>
          </w:tcPr>
          <w:p>
            <w:pPr>
              <w:pStyle w:val="TableParagraph"/>
              <w:spacing w:before="12"/>
              <w:ind w:right="177"/>
              <w:jc w:val="right"/>
              <w:rPr>
                <w:rFonts w:ascii="Constantia"/>
                <w:sz w:val="21"/>
              </w:rPr>
            </w:pPr>
            <w:r>
              <w:rPr>
                <w:rFonts w:ascii="Constantia"/>
                <w:w w:val="105"/>
                <w:sz w:val="21"/>
              </w:rPr>
              <w:t>1.80</w:t>
            </w:r>
          </w:p>
        </w:tc>
        <w:tc>
          <w:tcPr>
            <w:tcW w:w="892" w:type="dxa"/>
            <w:tcBorders>
              <w:top w:val="double" w:sz="4" w:space="0" w:color="000000"/>
            </w:tcBorders>
          </w:tcPr>
          <w:p>
            <w:pPr>
              <w:pStyle w:val="TableParagraph"/>
              <w:spacing w:before="12"/>
              <w:ind w:right="119"/>
              <w:jc w:val="right"/>
              <w:rPr>
                <w:rFonts w:ascii="Constantia"/>
                <w:sz w:val="21"/>
              </w:rPr>
            </w:pPr>
            <w:r>
              <w:rPr>
                <w:rFonts w:ascii="Constantia"/>
                <w:w w:val="105"/>
                <w:sz w:val="21"/>
              </w:rPr>
              <w:t>0.081</w:t>
            </w:r>
          </w:p>
        </w:tc>
      </w:tr>
      <w:tr>
        <w:trPr>
          <w:trHeight w:val="279" w:hRule="exact"/>
        </w:trPr>
        <w:tc>
          <w:tcPr>
            <w:tcW w:w="2504" w:type="dxa"/>
          </w:tcPr>
          <w:p>
            <w:pPr>
              <w:pStyle w:val="TableParagraph"/>
              <w:spacing w:line="249" w:lineRule="exact"/>
              <w:ind w:left="35"/>
              <w:jc w:val="left"/>
              <w:rPr>
                <w:rFonts w:ascii="Constantia" w:hAnsi="Constantia"/>
                <w:sz w:val="21"/>
              </w:rPr>
            </w:pPr>
            <w:r>
              <w:rPr>
                <w:rFonts w:ascii="Calibri" w:hAnsi="Calibri"/>
                <w:w w:val="110"/>
                <w:sz w:val="21"/>
              </w:rPr>
              <w:t>∆ </w:t>
            </w:r>
            <w:r>
              <w:rPr>
                <w:rFonts w:ascii="Constantia" w:hAnsi="Constantia"/>
                <w:w w:val="110"/>
                <w:sz w:val="21"/>
              </w:rPr>
              <w:t>Log PIB</w:t>
            </w:r>
          </w:p>
        </w:tc>
        <w:tc>
          <w:tcPr>
            <w:tcW w:w="1648" w:type="dxa"/>
          </w:tcPr>
          <w:p>
            <w:pPr>
              <w:pStyle w:val="TableParagraph"/>
              <w:spacing w:line="249" w:lineRule="exact"/>
              <w:ind w:right="104"/>
              <w:jc w:val="right"/>
              <w:rPr>
                <w:rFonts w:ascii="Constantia"/>
                <w:sz w:val="21"/>
              </w:rPr>
            </w:pPr>
            <w:r>
              <w:rPr>
                <w:rFonts w:ascii="Constantia"/>
                <w:w w:val="105"/>
                <w:sz w:val="21"/>
              </w:rPr>
              <w:t>1.62</w:t>
            </w:r>
          </w:p>
        </w:tc>
        <w:tc>
          <w:tcPr>
            <w:tcW w:w="1604" w:type="dxa"/>
          </w:tcPr>
          <w:p>
            <w:pPr>
              <w:pStyle w:val="TableParagraph"/>
              <w:spacing w:line="249" w:lineRule="exact"/>
              <w:ind w:right="131"/>
              <w:jc w:val="right"/>
              <w:rPr>
                <w:rFonts w:ascii="Constantia"/>
                <w:sz w:val="21"/>
              </w:rPr>
            </w:pPr>
            <w:r>
              <w:rPr>
                <w:rFonts w:ascii="Constantia"/>
                <w:w w:val="105"/>
                <w:sz w:val="21"/>
              </w:rPr>
              <w:t>0.79</w:t>
            </w:r>
          </w:p>
        </w:tc>
        <w:tc>
          <w:tcPr>
            <w:tcW w:w="1463" w:type="dxa"/>
          </w:tcPr>
          <w:p>
            <w:pPr>
              <w:pStyle w:val="TableParagraph"/>
              <w:spacing w:line="249" w:lineRule="exact"/>
              <w:ind w:right="179"/>
              <w:jc w:val="right"/>
              <w:rPr>
                <w:rFonts w:ascii="Constantia"/>
                <w:sz w:val="21"/>
              </w:rPr>
            </w:pPr>
            <w:r>
              <w:rPr>
                <w:rFonts w:ascii="Constantia"/>
                <w:w w:val="105"/>
                <w:sz w:val="21"/>
              </w:rPr>
              <w:t>2.05</w:t>
            </w:r>
          </w:p>
        </w:tc>
        <w:tc>
          <w:tcPr>
            <w:tcW w:w="892" w:type="dxa"/>
          </w:tcPr>
          <w:p>
            <w:pPr>
              <w:pStyle w:val="TableParagraph"/>
              <w:spacing w:line="249" w:lineRule="exact"/>
              <w:ind w:right="116"/>
              <w:jc w:val="right"/>
              <w:rPr>
                <w:rFonts w:ascii="Constantia"/>
                <w:sz w:val="21"/>
              </w:rPr>
            </w:pPr>
            <w:r>
              <w:rPr>
                <w:rFonts w:ascii="Constantia"/>
                <w:w w:val="105"/>
                <w:sz w:val="21"/>
              </w:rPr>
              <w:t>0.047</w:t>
            </w:r>
          </w:p>
        </w:tc>
      </w:tr>
      <w:tr>
        <w:trPr>
          <w:trHeight w:val="273" w:hRule="exact"/>
        </w:trPr>
        <w:tc>
          <w:tcPr>
            <w:tcW w:w="2504" w:type="dxa"/>
          </w:tcPr>
          <w:p>
            <w:pPr>
              <w:pStyle w:val="TableParagraph"/>
              <w:spacing w:line="249" w:lineRule="exact"/>
              <w:ind w:left="35"/>
              <w:jc w:val="left"/>
              <w:rPr>
                <w:rFonts w:ascii="Constantia" w:hAnsi="Constantia"/>
                <w:sz w:val="21"/>
              </w:rPr>
            </w:pPr>
            <w:r>
              <w:rPr>
                <w:rFonts w:ascii="Calibri" w:hAnsi="Calibri"/>
                <w:w w:val="110"/>
                <w:sz w:val="21"/>
              </w:rPr>
              <w:t>∆ </w:t>
            </w:r>
            <w:r>
              <w:rPr>
                <w:rFonts w:ascii="Constantia" w:hAnsi="Constantia"/>
                <w:w w:val="110"/>
                <w:sz w:val="21"/>
              </w:rPr>
              <w:t>dummy de impulso 1</w:t>
            </w:r>
          </w:p>
        </w:tc>
        <w:tc>
          <w:tcPr>
            <w:tcW w:w="1648" w:type="dxa"/>
          </w:tcPr>
          <w:p>
            <w:pPr>
              <w:pStyle w:val="TableParagraph"/>
              <w:spacing w:line="249" w:lineRule="exact"/>
              <w:ind w:right="106"/>
              <w:jc w:val="right"/>
              <w:rPr>
                <w:rFonts w:ascii="Constantia"/>
                <w:sz w:val="21"/>
              </w:rPr>
            </w:pPr>
            <w:r>
              <w:rPr>
                <w:rFonts w:ascii="Constantia"/>
                <w:w w:val="105"/>
                <w:sz w:val="21"/>
              </w:rPr>
              <w:t>0.85</w:t>
            </w:r>
          </w:p>
        </w:tc>
        <w:tc>
          <w:tcPr>
            <w:tcW w:w="1604" w:type="dxa"/>
          </w:tcPr>
          <w:p>
            <w:pPr>
              <w:pStyle w:val="TableParagraph"/>
              <w:spacing w:line="249" w:lineRule="exact"/>
              <w:ind w:right="134"/>
              <w:jc w:val="right"/>
              <w:rPr>
                <w:rFonts w:ascii="Constantia"/>
                <w:sz w:val="21"/>
              </w:rPr>
            </w:pPr>
            <w:r>
              <w:rPr>
                <w:rFonts w:ascii="Constantia"/>
                <w:w w:val="105"/>
                <w:sz w:val="21"/>
              </w:rPr>
              <w:t>0.12</w:t>
            </w:r>
          </w:p>
        </w:tc>
        <w:tc>
          <w:tcPr>
            <w:tcW w:w="1463" w:type="dxa"/>
          </w:tcPr>
          <w:p>
            <w:pPr>
              <w:pStyle w:val="TableParagraph"/>
              <w:spacing w:line="249" w:lineRule="exact"/>
              <w:ind w:right="176"/>
              <w:jc w:val="right"/>
              <w:rPr>
                <w:rFonts w:ascii="Constantia"/>
                <w:sz w:val="21"/>
              </w:rPr>
            </w:pPr>
            <w:r>
              <w:rPr>
                <w:rFonts w:ascii="Constantia"/>
                <w:w w:val="105"/>
                <w:sz w:val="21"/>
              </w:rPr>
              <w:t>6.96</w:t>
            </w:r>
          </w:p>
        </w:tc>
        <w:tc>
          <w:tcPr>
            <w:tcW w:w="892" w:type="dxa"/>
          </w:tcPr>
          <w:p>
            <w:pPr>
              <w:pStyle w:val="TableParagraph"/>
              <w:spacing w:line="249" w:lineRule="exact"/>
              <w:ind w:right="115"/>
              <w:jc w:val="right"/>
              <w:rPr>
                <w:rFonts w:ascii="Constantia"/>
                <w:sz w:val="21"/>
              </w:rPr>
            </w:pPr>
            <w:r>
              <w:rPr>
                <w:rFonts w:ascii="Constantia"/>
                <w:w w:val="105"/>
                <w:sz w:val="21"/>
              </w:rPr>
              <w:t>0.000</w:t>
            </w:r>
          </w:p>
        </w:tc>
      </w:tr>
      <w:tr>
        <w:trPr>
          <w:trHeight w:val="271" w:hRule="exact"/>
        </w:trPr>
        <w:tc>
          <w:tcPr>
            <w:tcW w:w="2504" w:type="dxa"/>
            <w:tcBorders>
              <w:bottom w:val="double" w:sz="4" w:space="0" w:color="000000"/>
            </w:tcBorders>
          </w:tcPr>
          <w:p>
            <w:pPr>
              <w:pStyle w:val="TableParagraph"/>
              <w:spacing w:line="243" w:lineRule="exact"/>
              <w:ind w:left="35"/>
              <w:jc w:val="left"/>
              <w:rPr>
                <w:rFonts w:ascii="Constantia" w:hAnsi="Constantia"/>
                <w:sz w:val="21"/>
              </w:rPr>
            </w:pPr>
            <w:r>
              <w:rPr>
                <w:rFonts w:ascii="Calibri" w:hAnsi="Calibri"/>
                <w:w w:val="110"/>
                <w:sz w:val="21"/>
              </w:rPr>
              <w:t>∆ </w:t>
            </w:r>
            <w:r>
              <w:rPr>
                <w:rFonts w:ascii="Constantia" w:hAnsi="Constantia"/>
                <w:w w:val="110"/>
                <w:sz w:val="21"/>
              </w:rPr>
              <w:t>dummy de impulso 2</w:t>
            </w:r>
          </w:p>
        </w:tc>
        <w:tc>
          <w:tcPr>
            <w:tcW w:w="1648" w:type="dxa"/>
            <w:tcBorders>
              <w:bottom w:val="double" w:sz="4" w:space="0" w:color="000000"/>
            </w:tcBorders>
          </w:tcPr>
          <w:p>
            <w:pPr>
              <w:pStyle w:val="TableParagraph"/>
              <w:spacing w:line="254" w:lineRule="exact"/>
              <w:ind w:right="105"/>
              <w:jc w:val="right"/>
              <w:rPr>
                <w:rFonts w:ascii="Constantia"/>
                <w:sz w:val="21"/>
              </w:rPr>
            </w:pPr>
            <w:r>
              <w:rPr>
                <w:rFonts w:ascii="Constantia"/>
                <w:w w:val="105"/>
                <w:sz w:val="21"/>
              </w:rPr>
              <w:t>0.17</w:t>
            </w:r>
          </w:p>
        </w:tc>
        <w:tc>
          <w:tcPr>
            <w:tcW w:w="1604" w:type="dxa"/>
            <w:tcBorders>
              <w:bottom w:val="double" w:sz="4" w:space="0" w:color="000000"/>
            </w:tcBorders>
          </w:tcPr>
          <w:p>
            <w:pPr>
              <w:pStyle w:val="TableParagraph"/>
              <w:spacing w:line="254" w:lineRule="exact"/>
              <w:ind w:right="133"/>
              <w:jc w:val="right"/>
              <w:rPr>
                <w:rFonts w:ascii="Constantia"/>
                <w:sz w:val="21"/>
              </w:rPr>
            </w:pPr>
            <w:r>
              <w:rPr>
                <w:rFonts w:ascii="Constantia"/>
                <w:w w:val="105"/>
                <w:sz w:val="21"/>
              </w:rPr>
              <w:t>0.08</w:t>
            </w:r>
          </w:p>
        </w:tc>
        <w:tc>
          <w:tcPr>
            <w:tcW w:w="1463" w:type="dxa"/>
            <w:tcBorders>
              <w:bottom w:val="double" w:sz="4" w:space="0" w:color="000000"/>
            </w:tcBorders>
          </w:tcPr>
          <w:p>
            <w:pPr>
              <w:pStyle w:val="TableParagraph"/>
              <w:spacing w:line="254" w:lineRule="exact"/>
              <w:ind w:right="177"/>
              <w:jc w:val="right"/>
              <w:rPr>
                <w:rFonts w:ascii="Constantia"/>
                <w:sz w:val="21"/>
              </w:rPr>
            </w:pPr>
            <w:r>
              <w:rPr>
                <w:rFonts w:ascii="Constantia"/>
                <w:w w:val="105"/>
                <w:sz w:val="21"/>
              </w:rPr>
              <w:t>2.02</w:t>
            </w:r>
          </w:p>
        </w:tc>
        <w:tc>
          <w:tcPr>
            <w:tcW w:w="892" w:type="dxa"/>
            <w:tcBorders>
              <w:bottom w:val="double" w:sz="4" w:space="0" w:color="000000"/>
            </w:tcBorders>
          </w:tcPr>
          <w:p>
            <w:pPr>
              <w:pStyle w:val="TableParagraph"/>
              <w:spacing w:line="254" w:lineRule="exact"/>
              <w:ind w:right="118"/>
              <w:jc w:val="right"/>
              <w:rPr>
                <w:rFonts w:ascii="Constantia"/>
                <w:sz w:val="21"/>
              </w:rPr>
            </w:pPr>
            <w:r>
              <w:rPr>
                <w:rFonts w:ascii="Constantia"/>
                <w:w w:val="105"/>
                <w:sz w:val="21"/>
              </w:rPr>
              <w:t>0.051</w:t>
            </w:r>
          </w:p>
        </w:tc>
      </w:tr>
      <w:tr>
        <w:trPr>
          <w:trHeight w:val="323" w:hRule="exact"/>
        </w:trPr>
        <w:tc>
          <w:tcPr>
            <w:tcW w:w="2504" w:type="dxa"/>
            <w:tcBorders>
              <w:top w:val="double" w:sz="4" w:space="0" w:color="000000"/>
            </w:tcBorders>
          </w:tcPr>
          <w:p>
            <w:pPr>
              <w:pStyle w:val="TableParagraph"/>
              <w:spacing w:before="12"/>
              <w:ind w:left="35"/>
              <w:jc w:val="left"/>
              <w:rPr>
                <w:rFonts w:ascii="Constantia"/>
                <w:sz w:val="21"/>
              </w:rPr>
            </w:pPr>
            <w:r>
              <w:rPr>
                <w:rFonts w:ascii="Constantia"/>
                <w:w w:val="110"/>
                <w:sz w:val="21"/>
              </w:rPr>
              <w:t>R2</w:t>
            </w:r>
          </w:p>
        </w:tc>
        <w:tc>
          <w:tcPr>
            <w:tcW w:w="1648" w:type="dxa"/>
            <w:tcBorders>
              <w:top w:val="double" w:sz="4" w:space="0" w:color="000000"/>
            </w:tcBorders>
          </w:tcPr>
          <w:p>
            <w:pPr>
              <w:pStyle w:val="TableParagraph"/>
              <w:spacing w:before="12"/>
              <w:ind w:right="111"/>
              <w:jc w:val="right"/>
              <w:rPr>
                <w:rFonts w:ascii="Constantia"/>
                <w:sz w:val="21"/>
              </w:rPr>
            </w:pPr>
            <w:r>
              <w:rPr>
                <w:rFonts w:ascii="Constantia"/>
                <w:w w:val="105"/>
                <w:sz w:val="21"/>
              </w:rPr>
              <w:t>0.63</w:t>
            </w:r>
          </w:p>
        </w:tc>
        <w:tc>
          <w:tcPr>
            <w:tcW w:w="1604" w:type="dxa"/>
            <w:tcBorders>
              <w:top w:val="double" w:sz="4" w:space="0" w:color="000000"/>
            </w:tcBorders>
          </w:tcPr>
          <w:p>
            <w:pPr/>
          </w:p>
        </w:tc>
        <w:tc>
          <w:tcPr>
            <w:tcW w:w="1463" w:type="dxa"/>
            <w:tcBorders>
              <w:top w:val="double" w:sz="4" w:space="0" w:color="000000"/>
            </w:tcBorders>
          </w:tcPr>
          <w:p>
            <w:pPr/>
          </w:p>
        </w:tc>
        <w:tc>
          <w:tcPr>
            <w:tcW w:w="892" w:type="dxa"/>
            <w:tcBorders>
              <w:top w:val="double" w:sz="4" w:space="0" w:color="000000"/>
            </w:tcBorders>
          </w:tcPr>
          <w:p>
            <w:pPr/>
          </w:p>
        </w:tc>
      </w:tr>
    </w:tbl>
    <w:p>
      <w:pPr>
        <w:tabs>
          <w:tab w:pos="3750" w:val="left" w:leader="none"/>
        </w:tabs>
        <w:spacing w:line="241" w:lineRule="exact" w:before="0"/>
        <w:ind w:left="112" w:right="0" w:firstLine="0"/>
        <w:jc w:val="both"/>
        <w:rPr>
          <w:rFonts w:ascii="Constantia"/>
          <w:sz w:val="21"/>
        </w:rPr>
      </w:pPr>
      <w:r>
        <w:rPr>
          <w:rFonts w:ascii="Constantia"/>
          <w:spacing w:val="-22"/>
          <w:w w:val="107"/>
          <w:sz w:val="21"/>
          <w:u w:val="thick"/>
        </w:rPr>
        <w:t> </w:t>
      </w:r>
      <w:r>
        <w:rPr>
          <w:rFonts w:ascii="Constantia"/>
          <w:w w:val="110"/>
          <w:sz w:val="21"/>
          <w:u w:val="thick"/>
        </w:rPr>
        <w:t>R2</w:t>
      </w:r>
      <w:r>
        <w:rPr>
          <w:rFonts w:ascii="Constantia"/>
          <w:spacing w:val="-7"/>
          <w:w w:val="110"/>
          <w:sz w:val="21"/>
          <w:u w:val="thick"/>
        </w:rPr>
        <w:t> </w:t>
      </w:r>
      <w:r>
        <w:rPr>
          <w:rFonts w:ascii="Constantia"/>
          <w:w w:val="110"/>
          <w:sz w:val="21"/>
          <w:u w:val="thick"/>
        </w:rPr>
        <w:t>ajustada</w:t>
        <w:tab/>
        <w:t>0.59</w:t>
      </w:r>
      <w:r>
        <w:rPr>
          <w:rFonts w:ascii="Constantia"/>
          <w:sz w:val="21"/>
          <w:u w:val="thick"/>
        </w:rPr>
        <w:t> </w:t>
      </w:r>
      <w:r>
        <w:rPr>
          <w:rFonts w:ascii="Constantia"/>
          <w:spacing w:val="9"/>
          <w:sz w:val="21"/>
          <w:u w:val="thick"/>
        </w:rPr>
        <w:t> </w:t>
      </w:r>
    </w:p>
    <w:p>
      <w:pPr>
        <w:tabs>
          <w:tab w:pos="3810" w:val="left" w:leader="none"/>
        </w:tabs>
        <w:spacing w:line="280" w:lineRule="auto" w:before="45"/>
        <w:ind w:left="148" w:right="4784" w:hanging="36"/>
        <w:jc w:val="left"/>
        <w:rPr>
          <w:rFonts w:ascii="Constantia"/>
          <w:sz w:val="21"/>
        </w:rPr>
      </w:pPr>
      <w:r>
        <w:rPr>
          <w:rFonts w:ascii="Constantia"/>
          <w:spacing w:val="-22"/>
          <w:w w:val="107"/>
          <w:sz w:val="21"/>
          <w:u w:val="thick"/>
        </w:rPr>
        <w:t> </w:t>
      </w:r>
      <w:r>
        <w:rPr>
          <w:rFonts w:ascii="Constantia"/>
          <w:w w:val="110"/>
          <w:sz w:val="21"/>
          <w:u w:val="thick"/>
        </w:rPr>
        <w:t>Durbin-Watson</w:t>
        <w:tab/>
        <w:t>1.53 </w:t>
      </w:r>
      <w:r>
        <w:rPr>
          <w:rFonts w:ascii="Constantia"/>
          <w:w w:val="110"/>
          <w:sz w:val="21"/>
        </w:rPr>
        <w:t>Arch - LM (1</w:t>
      </w:r>
      <w:r>
        <w:rPr>
          <w:rFonts w:ascii="Constantia"/>
          <w:spacing w:val="-38"/>
          <w:w w:val="110"/>
          <w:sz w:val="21"/>
        </w:rPr>
        <w:t> </w:t>
      </w:r>
      <w:r>
        <w:rPr>
          <w:rFonts w:ascii="Constantia"/>
          <w:w w:val="110"/>
          <w:sz w:val="21"/>
        </w:rPr>
        <w:t>rezago)</w:t>
      </w:r>
    </w:p>
    <w:p>
      <w:pPr>
        <w:tabs>
          <w:tab w:pos="3750" w:val="left" w:leader="none"/>
        </w:tabs>
        <w:spacing w:line="235" w:lineRule="exact" w:before="0"/>
        <w:ind w:left="112" w:right="0" w:firstLine="0"/>
        <w:jc w:val="both"/>
        <w:rPr>
          <w:rFonts w:ascii="Constantia" w:hAnsi="Constantia"/>
          <w:sz w:val="21"/>
        </w:rPr>
      </w:pPr>
      <w:r>
        <w:rPr>
          <w:rFonts w:ascii="Constantia" w:hAnsi="Constantia"/>
          <w:spacing w:val="-22"/>
          <w:w w:val="107"/>
          <w:sz w:val="21"/>
          <w:u w:val="thick"/>
        </w:rPr>
        <w:t> </w:t>
      </w:r>
      <w:r>
        <w:rPr>
          <w:rFonts w:ascii="Constantia" w:hAnsi="Constantia"/>
          <w:w w:val="110"/>
          <w:sz w:val="21"/>
          <w:u w:val="thick"/>
        </w:rPr>
        <w:t>Prob.</w:t>
      </w:r>
      <w:r>
        <w:rPr>
          <w:rFonts w:ascii="Constantia" w:hAnsi="Constantia"/>
          <w:spacing w:val="-6"/>
          <w:w w:val="110"/>
          <w:sz w:val="21"/>
          <w:u w:val="thick"/>
        </w:rPr>
        <w:t> </w:t>
      </w:r>
      <w:r>
        <w:rPr>
          <w:rFonts w:ascii="Constantia" w:hAnsi="Constantia"/>
          <w:w w:val="110"/>
          <w:sz w:val="21"/>
          <w:u w:val="thick"/>
        </w:rPr>
        <w:t>Estadístico</w:t>
      </w:r>
      <w:r>
        <w:rPr>
          <w:rFonts w:ascii="Constantia" w:hAnsi="Constantia"/>
          <w:spacing w:val="-11"/>
          <w:w w:val="110"/>
          <w:sz w:val="21"/>
          <w:u w:val="thick"/>
        </w:rPr>
        <w:t> </w:t>
      </w:r>
      <w:r>
        <w:rPr>
          <w:rFonts w:ascii="Constantia" w:hAnsi="Constantia"/>
          <w:w w:val="110"/>
          <w:sz w:val="21"/>
          <w:u w:val="thick"/>
        </w:rPr>
        <w:t>F</w:t>
        <w:tab/>
        <w:t>0.95</w:t>
      </w:r>
      <w:r>
        <w:rPr>
          <w:rFonts w:ascii="Constantia" w:hAnsi="Constantia"/>
          <w:sz w:val="21"/>
          <w:u w:val="thick"/>
        </w:rPr>
        <w:t> </w:t>
      </w:r>
      <w:r>
        <w:rPr>
          <w:rFonts w:ascii="Constantia" w:hAnsi="Constantia"/>
          <w:spacing w:val="14"/>
          <w:sz w:val="21"/>
          <w:u w:val="thick"/>
        </w:rPr>
        <w:t> </w:t>
      </w:r>
    </w:p>
    <w:p>
      <w:pPr>
        <w:tabs>
          <w:tab w:pos="4158" w:val="right" w:leader="none"/>
          <w:tab w:pos="4275" w:val="left" w:leader="none"/>
        </w:tabs>
        <w:spacing w:line="280" w:lineRule="auto" w:before="44"/>
        <w:ind w:left="148" w:right="4784" w:hanging="36"/>
        <w:jc w:val="left"/>
        <w:rPr>
          <w:rFonts w:ascii="Constantia"/>
          <w:sz w:val="21"/>
        </w:rPr>
      </w:pPr>
      <w:r>
        <w:rPr>
          <w:rFonts w:ascii="Constantia"/>
          <w:spacing w:val="-22"/>
          <w:w w:val="107"/>
          <w:sz w:val="21"/>
          <w:u w:val="thick"/>
        </w:rPr>
        <w:t> </w:t>
      </w:r>
      <w:r>
        <w:rPr>
          <w:rFonts w:ascii="Constantia"/>
          <w:spacing w:val="-3"/>
          <w:w w:val="110"/>
          <w:sz w:val="21"/>
          <w:u w:val="thick"/>
        </w:rPr>
        <w:t>Normalidad</w:t>
        <w:tab/>
        <w:tab/>
      </w:r>
      <w:r>
        <w:rPr>
          <w:rFonts w:ascii="Constantia"/>
          <w:w w:val="110"/>
          <w:sz w:val="21"/>
        </w:rPr>
        <w:t> Jarque-Bera</w:t>
        <w:tab/>
        <w:t>2.30</w:t>
      </w:r>
    </w:p>
    <w:p>
      <w:pPr>
        <w:tabs>
          <w:tab w:pos="3798" w:val="left" w:leader="none"/>
        </w:tabs>
        <w:spacing w:line="235" w:lineRule="exact" w:before="0"/>
        <w:ind w:left="112" w:right="0" w:firstLine="0"/>
        <w:jc w:val="both"/>
        <w:rPr>
          <w:rFonts w:ascii="Constantia"/>
          <w:sz w:val="21"/>
        </w:rPr>
      </w:pPr>
      <w:r>
        <w:rPr>
          <w:rFonts w:ascii="Constantia"/>
          <w:spacing w:val="-22"/>
          <w:w w:val="107"/>
          <w:sz w:val="21"/>
          <w:u w:val="single"/>
        </w:rPr>
        <w:t> </w:t>
      </w:r>
      <w:r>
        <w:rPr>
          <w:rFonts w:ascii="Constantia"/>
          <w:w w:val="110"/>
          <w:sz w:val="21"/>
          <w:u w:val="single"/>
        </w:rPr>
        <w:t>Prob.</w:t>
        <w:tab/>
        <w:t>0.31</w:t>
      </w:r>
      <w:r>
        <w:rPr>
          <w:rFonts w:ascii="Constantia"/>
          <w:sz w:val="21"/>
          <w:u w:val="single"/>
        </w:rPr>
        <w:t> </w:t>
      </w:r>
      <w:r>
        <w:rPr>
          <w:rFonts w:ascii="Constantia"/>
          <w:spacing w:val="15"/>
          <w:sz w:val="21"/>
          <w:u w:val="single"/>
        </w:rPr>
        <w:t> </w:t>
      </w:r>
    </w:p>
    <w:p>
      <w:pPr>
        <w:spacing w:before="27"/>
        <w:ind w:left="102" w:right="0" w:firstLine="0"/>
        <w:jc w:val="both"/>
        <w:rPr>
          <w:sz w:val="20"/>
        </w:rPr>
      </w:pPr>
      <w:r>
        <w:rPr>
          <w:sz w:val="20"/>
        </w:rPr>
        <w:t>Fuente: Estimaciones propias con base en información del Banco Central de Bolivia (2012) y del INE (2013).</w:t>
      </w:r>
    </w:p>
    <w:p>
      <w:pPr>
        <w:pStyle w:val="BodyText"/>
        <w:spacing w:before="1"/>
        <w:rPr>
          <w:sz w:val="18"/>
        </w:rPr>
      </w:pPr>
    </w:p>
    <w:p>
      <w:pPr>
        <w:spacing w:before="0"/>
        <w:ind w:left="102" w:right="116" w:firstLine="0"/>
        <w:jc w:val="both"/>
        <w:rPr>
          <w:sz w:val="18"/>
        </w:rPr>
      </w:pPr>
      <w:r>
        <w:rPr>
          <w:sz w:val="18"/>
        </w:rPr>
        <w:t>El estadístico Durbin-Watson detecta la presencia de autocorrelación para un rezago en los residuos, se  considera adecuado cuando se encuentra en el rango de 1.5 a 2.5. El test de normalidad (Jarque-Bera) contrasta la hipótesis nula de distribución normal de los residuos; el test ARCH contrasta la hipótesis nula de homocedasticidad de los residuos. En todos los caso se rechaza la hipótesis nula si la probabilidad es inferior al 5%. Las pruebas anteriores son aplicables a las especificaciones de los siguientes modelos.</w:t>
      </w:r>
    </w:p>
    <w:p>
      <w:pPr>
        <w:spacing w:after="0"/>
        <w:jc w:val="both"/>
        <w:rPr>
          <w:sz w:val="18"/>
        </w:rPr>
        <w:sectPr>
          <w:type w:val="continuous"/>
          <w:pgSz w:w="12250" w:h="15850"/>
          <w:pgMar w:top="1500" w:bottom="280" w:left="1600" w:right="1580"/>
        </w:sectPr>
      </w:pPr>
    </w:p>
    <w:p>
      <w:pPr>
        <w:pStyle w:val="ListParagraph"/>
        <w:numPr>
          <w:ilvl w:val="0"/>
          <w:numId w:val="26"/>
        </w:numPr>
        <w:tabs>
          <w:tab w:pos="462" w:val="left" w:leader="none"/>
        </w:tabs>
        <w:spacing w:line="276" w:lineRule="auto" w:before="50" w:after="0"/>
        <w:ind w:left="462" w:right="850" w:hanging="360"/>
        <w:jc w:val="left"/>
        <w:rPr>
          <w:sz w:val="24"/>
        </w:rPr>
      </w:pPr>
      <w:r>
        <w:rPr>
          <w:sz w:val="24"/>
        </w:rPr>
        <w:t>Elasticidad de la venta externa del gas natural en función de los precios de exportación del gas</w:t>
      </w:r>
      <w:r>
        <w:rPr>
          <w:spacing w:val="-6"/>
          <w:sz w:val="24"/>
        </w:rPr>
        <w:t> </w:t>
      </w:r>
      <w:r>
        <w:rPr>
          <w:sz w:val="24"/>
        </w:rPr>
        <w:t>natural</w:t>
      </w:r>
    </w:p>
    <w:p>
      <w:pPr>
        <w:pStyle w:val="BodyText"/>
        <w:spacing w:before="10"/>
        <w:rPr>
          <w:sz w:val="14"/>
        </w:rPr>
      </w:pPr>
    </w:p>
    <w:p>
      <w:pPr>
        <w:spacing w:before="60"/>
        <w:ind w:left="504" w:right="1021" w:firstLine="0"/>
        <w:jc w:val="left"/>
        <w:rPr>
          <w:rFonts w:ascii="Constantia" w:hAnsi="Constantia"/>
          <w:b/>
          <w:sz w:val="21"/>
        </w:rPr>
      </w:pPr>
      <w:r>
        <w:rPr>
          <w:rFonts w:ascii="Constantia" w:hAnsi="Constantia"/>
          <w:b/>
          <w:sz w:val="21"/>
        </w:rPr>
        <w:t>Variable dependiente: </w:t>
      </w:r>
      <w:r>
        <w:rPr>
          <w:rFonts w:ascii="Calibri" w:hAnsi="Calibri"/>
          <w:b/>
          <w:sz w:val="21"/>
        </w:rPr>
        <w:t>∆ </w:t>
      </w:r>
      <w:r>
        <w:rPr>
          <w:rFonts w:ascii="Constantia" w:hAnsi="Constantia"/>
          <w:b/>
          <w:sz w:val="21"/>
        </w:rPr>
        <w:t>Log de venta externa de gas natural</w:t>
      </w:r>
    </w:p>
    <w:p>
      <w:pPr>
        <w:spacing w:before="24" w:after="22"/>
        <w:ind w:left="504" w:right="1021" w:firstLine="0"/>
        <w:jc w:val="left"/>
        <w:rPr>
          <w:rFonts w:ascii="Constantia"/>
          <w:sz w:val="21"/>
        </w:rPr>
      </w:pPr>
      <w:r>
        <w:rPr>
          <w:rFonts w:ascii="Constantia"/>
          <w:sz w:val="21"/>
        </w:rPr>
        <w:t>Datos: 2000(T2) - 2011 (T4)</w:t>
      </w:r>
    </w:p>
    <w:tbl>
      <w:tblPr>
        <w:tblW w:w="0" w:type="auto"/>
        <w:jc w:val="left"/>
        <w:tblInd w:w="47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106"/>
        <w:gridCol w:w="1739"/>
        <w:gridCol w:w="1467"/>
        <w:gridCol w:w="1525"/>
        <w:gridCol w:w="1005"/>
      </w:tblGrid>
      <w:tr>
        <w:trPr>
          <w:trHeight w:val="275" w:hRule="exact"/>
        </w:trPr>
        <w:tc>
          <w:tcPr>
            <w:tcW w:w="3106" w:type="dxa"/>
            <w:tcBorders>
              <w:bottom w:val="double" w:sz="4" w:space="0" w:color="000000"/>
            </w:tcBorders>
          </w:tcPr>
          <w:p>
            <w:pPr>
              <w:pStyle w:val="TableParagraph"/>
              <w:spacing w:before="2"/>
              <w:ind w:left="1325"/>
              <w:jc w:val="left"/>
              <w:rPr>
                <w:rFonts w:ascii="Constantia"/>
                <w:sz w:val="21"/>
              </w:rPr>
            </w:pPr>
            <w:r>
              <w:rPr>
                <w:rFonts w:ascii="Constantia"/>
                <w:sz w:val="21"/>
              </w:rPr>
              <w:t>Variables</w:t>
            </w:r>
          </w:p>
        </w:tc>
        <w:tc>
          <w:tcPr>
            <w:tcW w:w="1739" w:type="dxa"/>
            <w:tcBorders>
              <w:bottom w:val="double" w:sz="4" w:space="0" w:color="000000"/>
            </w:tcBorders>
          </w:tcPr>
          <w:p>
            <w:pPr>
              <w:pStyle w:val="TableParagraph"/>
              <w:spacing w:before="2"/>
              <w:ind w:left="500"/>
              <w:jc w:val="left"/>
              <w:rPr>
                <w:rFonts w:ascii="Constantia"/>
                <w:sz w:val="21"/>
              </w:rPr>
            </w:pPr>
            <w:r>
              <w:rPr>
                <w:rFonts w:ascii="Constantia"/>
                <w:sz w:val="21"/>
              </w:rPr>
              <w:t>Coeficientes</w:t>
            </w:r>
          </w:p>
        </w:tc>
        <w:tc>
          <w:tcPr>
            <w:tcW w:w="1467" w:type="dxa"/>
            <w:tcBorders>
              <w:bottom w:val="double" w:sz="4" w:space="0" w:color="000000"/>
            </w:tcBorders>
          </w:tcPr>
          <w:p>
            <w:pPr>
              <w:pStyle w:val="TableParagraph"/>
              <w:spacing w:before="2"/>
              <w:ind w:right="116"/>
              <w:jc w:val="right"/>
              <w:rPr>
                <w:rFonts w:ascii="Constantia" w:hAnsi="Constantia"/>
                <w:sz w:val="21"/>
              </w:rPr>
            </w:pPr>
            <w:r>
              <w:rPr>
                <w:rFonts w:ascii="Constantia" w:hAnsi="Constantia"/>
                <w:sz w:val="21"/>
              </w:rPr>
              <w:t>Error estándar</w:t>
            </w:r>
          </w:p>
        </w:tc>
        <w:tc>
          <w:tcPr>
            <w:tcW w:w="1525" w:type="dxa"/>
            <w:tcBorders>
              <w:bottom w:val="double" w:sz="4" w:space="0" w:color="000000"/>
            </w:tcBorders>
          </w:tcPr>
          <w:p>
            <w:pPr>
              <w:pStyle w:val="TableParagraph"/>
              <w:spacing w:before="2"/>
              <w:ind w:left="118"/>
              <w:jc w:val="left"/>
              <w:rPr>
                <w:rFonts w:ascii="Constantia" w:hAnsi="Constantia"/>
                <w:sz w:val="21"/>
              </w:rPr>
            </w:pPr>
            <w:r>
              <w:rPr>
                <w:rFonts w:ascii="Constantia" w:hAnsi="Constantia"/>
                <w:sz w:val="21"/>
              </w:rPr>
              <w:t>Estadístico t</w:t>
            </w:r>
          </w:p>
        </w:tc>
        <w:tc>
          <w:tcPr>
            <w:tcW w:w="1005" w:type="dxa"/>
            <w:tcBorders>
              <w:bottom w:val="double" w:sz="4" w:space="0" w:color="000000"/>
            </w:tcBorders>
          </w:tcPr>
          <w:p>
            <w:pPr>
              <w:pStyle w:val="TableParagraph"/>
              <w:spacing w:before="2"/>
              <w:ind w:left="190"/>
              <w:jc w:val="left"/>
              <w:rPr>
                <w:rFonts w:ascii="Constantia"/>
                <w:sz w:val="21"/>
              </w:rPr>
            </w:pPr>
            <w:r>
              <w:rPr>
                <w:rFonts w:ascii="Constantia"/>
                <w:sz w:val="21"/>
              </w:rPr>
              <w:t>Prob.</w:t>
            </w:r>
          </w:p>
        </w:tc>
      </w:tr>
      <w:tr>
        <w:trPr>
          <w:trHeight w:val="316" w:hRule="exact"/>
        </w:trPr>
        <w:tc>
          <w:tcPr>
            <w:tcW w:w="3106" w:type="dxa"/>
            <w:tcBorders>
              <w:top w:val="double" w:sz="4" w:space="0" w:color="000000"/>
            </w:tcBorders>
          </w:tcPr>
          <w:p>
            <w:pPr>
              <w:pStyle w:val="TableParagraph"/>
              <w:spacing w:before="13"/>
              <w:ind w:left="32"/>
              <w:jc w:val="left"/>
              <w:rPr>
                <w:rFonts w:ascii="Constantia"/>
                <w:sz w:val="21"/>
              </w:rPr>
            </w:pPr>
            <w:r>
              <w:rPr>
                <w:rFonts w:ascii="Constantia"/>
                <w:sz w:val="21"/>
              </w:rPr>
              <w:t>Constante</w:t>
            </w:r>
          </w:p>
        </w:tc>
        <w:tc>
          <w:tcPr>
            <w:tcW w:w="1739" w:type="dxa"/>
            <w:tcBorders>
              <w:top w:val="double" w:sz="4" w:space="0" w:color="000000"/>
            </w:tcBorders>
          </w:tcPr>
          <w:p>
            <w:pPr>
              <w:pStyle w:val="TableParagraph"/>
              <w:spacing w:before="13"/>
              <w:ind w:right="137"/>
              <w:jc w:val="right"/>
              <w:rPr>
                <w:rFonts w:ascii="Constantia"/>
                <w:sz w:val="21"/>
              </w:rPr>
            </w:pPr>
            <w:r>
              <w:rPr>
                <w:rFonts w:ascii="Constantia"/>
                <w:w w:val="95"/>
                <w:sz w:val="21"/>
              </w:rPr>
              <w:t>0.02</w:t>
            </w:r>
          </w:p>
        </w:tc>
        <w:tc>
          <w:tcPr>
            <w:tcW w:w="1467" w:type="dxa"/>
            <w:tcBorders>
              <w:top w:val="double" w:sz="4" w:space="0" w:color="000000"/>
            </w:tcBorders>
          </w:tcPr>
          <w:p>
            <w:pPr>
              <w:pStyle w:val="TableParagraph"/>
              <w:spacing w:before="13"/>
              <w:ind w:right="151"/>
              <w:jc w:val="right"/>
              <w:rPr>
                <w:rFonts w:ascii="Constantia"/>
                <w:sz w:val="21"/>
              </w:rPr>
            </w:pPr>
            <w:r>
              <w:rPr>
                <w:rFonts w:ascii="Constantia"/>
                <w:w w:val="95"/>
                <w:sz w:val="21"/>
              </w:rPr>
              <w:t>0.01</w:t>
            </w:r>
          </w:p>
        </w:tc>
        <w:tc>
          <w:tcPr>
            <w:tcW w:w="1525" w:type="dxa"/>
            <w:tcBorders>
              <w:top w:val="double" w:sz="4" w:space="0" w:color="000000"/>
            </w:tcBorders>
          </w:tcPr>
          <w:p>
            <w:pPr>
              <w:pStyle w:val="TableParagraph"/>
              <w:spacing w:before="13"/>
              <w:ind w:right="261"/>
              <w:jc w:val="right"/>
              <w:rPr>
                <w:rFonts w:ascii="Constantia"/>
                <w:sz w:val="21"/>
              </w:rPr>
            </w:pPr>
            <w:r>
              <w:rPr>
                <w:rFonts w:ascii="Constantia"/>
                <w:w w:val="95"/>
                <w:sz w:val="21"/>
              </w:rPr>
              <w:t>3.10</w:t>
            </w:r>
          </w:p>
        </w:tc>
        <w:tc>
          <w:tcPr>
            <w:tcW w:w="1005" w:type="dxa"/>
            <w:tcBorders>
              <w:top w:val="double" w:sz="4" w:space="0" w:color="000000"/>
            </w:tcBorders>
          </w:tcPr>
          <w:p>
            <w:pPr>
              <w:pStyle w:val="TableParagraph"/>
              <w:spacing w:before="13"/>
              <w:ind w:right="110"/>
              <w:jc w:val="right"/>
              <w:rPr>
                <w:rFonts w:ascii="Constantia"/>
                <w:sz w:val="21"/>
              </w:rPr>
            </w:pPr>
            <w:r>
              <w:rPr>
                <w:rFonts w:ascii="Constantia"/>
                <w:w w:val="95"/>
                <w:sz w:val="21"/>
              </w:rPr>
              <w:t>0.003</w:t>
            </w:r>
          </w:p>
        </w:tc>
      </w:tr>
      <w:tr>
        <w:trPr>
          <w:trHeight w:val="280" w:hRule="exact"/>
        </w:trPr>
        <w:tc>
          <w:tcPr>
            <w:tcW w:w="3106" w:type="dxa"/>
          </w:tcPr>
          <w:p>
            <w:pPr>
              <w:pStyle w:val="TableParagraph"/>
              <w:spacing w:line="250" w:lineRule="exact"/>
              <w:ind w:left="32"/>
              <w:jc w:val="left"/>
              <w:rPr>
                <w:rFonts w:ascii="Constantia" w:hAnsi="Constantia"/>
                <w:sz w:val="21"/>
              </w:rPr>
            </w:pPr>
            <w:r>
              <w:rPr>
                <w:rFonts w:ascii="Calibri" w:hAnsi="Calibri"/>
                <w:sz w:val="21"/>
              </w:rPr>
              <w:t>∆ </w:t>
            </w:r>
            <w:r>
              <w:rPr>
                <w:rFonts w:ascii="Constantia" w:hAnsi="Constantia"/>
                <w:sz w:val="21"/>
              </w:rPr>
              <w:t>Log Precios del gas natural</w:t>
            </w:r>
          </w:p>
        </w:tc>
        <w:tc>
          <w:tcPr>
            <w:tcW w:w="1739" w:type="dxa"/>
          </w:tcPr>
          <w:p>
            <w:pPr>
              <w:pStyle w:val="TableParagraph"/>
              <w:spacing w:line="250" w:lineRule="exact"/>
              <w:ind w:right="137"/>
              <w:jc w:val="right"/>
              <w:rPr>
                <w:rFonts w:ascii="Constantia"/>
                <w:sz w:val="21"/>
              </w:rPr>
            </w:pPr>
            <w:r>
              <w:rPr>
                <w:rFonts w:ascii="Constantia"/>
                <w:w w:val="95"/>
                <w:sz w:val="21"/>
              </w:rPr>
              <w:t>1.07</w:t>
            </w:r>
          </w:p>
        </w:tc>
        <w:tc>
          <w:tcPr>
            <w:tcW w:w="1467" w:type="dxa"/>
          </w:tcPr>
          <w:p>
            <w:pPr>
              <w:pStyle w:val="TableParagraph"/>
              <w:spacing w:line="250" w:lineRule="exact"/>
              <w:ind w:right="148"/>
              <w:jc w:val="right"/>
              <w:rPr>
                <w:rFonts w:ascii="Constantia"/>
                <w:sz w:val="21"/>
              </w:rPr>
            </w:pPr>
            <w:r>
              <w:rPr>
                <w:rFonts w:ascii="Constantia"/>
                <w:w w:val="95"/>
                <w:sz w:val="21"/>
              </w:rPr>
              <w:t>0.06</w:t>
            </w:r>
          </w:p>
        </w:tc>
        <w:tc>
          <w:tcPr>
            <w:tcW w:w="1525" w:type="dxa"/>
          </w:tcPr>
          <w:p>
            <w:pPr>
              <w:pStyle w:val="TableParagraph"/>
              <w:spacing w:line="250" w:lineRule="exact"/>
              <w:ind w:right="263"/>
              <w:jc w:val="right"/>
              <w:rPr>
                <w:rFonts w:ascii="Constantia"/>
                <w:sz w:val="21"/>
              </w:rPr>
            </w:pPr>
            <w:r>
              <w:rPr>
                <w:rFonts w:ascii="Constantia"/>
                <w:w w:val="95"/>
                <w:sz w:val="21"/>
              </w:rPr>
              <w:t>17.75</w:t>
            </w:r>
          </w:p>
        </w:tc>
        <w:tc>
          <w:tcPr>
            <w:tcW w:w="1005" w:type="dxa"/>
          </w:tcPr>
          <w:p>
            <w:pPr>
              <w:pStyle w:val="TableParagraph"/>
              <w:spacing w:line="250" w:lineRule="exact"/>
              <w:ind w:right="104"/>
              <w:jc w:val="right"/>
              <w:rPr>
                <w:rFonts w:ascii="Constantia"/>
                <w:sz w:val="21"/>
              </w:rPr>
            </w:pPr>
            <w:r>
              <w:rPr>
                <w:rFonts w:ascii="Constantia"/>
                <w:w w:val="95"/>
                <w:sz w:val="21"/>
              </w:rPr>
              <w:t>0.000</w:t>
            </w:r>
          </w:p>
        </w:tc>
      </w:tr>
      <w:tr>
        <w:trPr>
          <w:trHeight w:val="280" w:hRule="exact"/>
        </w:trPr>
        <w:tc>
          <w:tcPr>
            <w:tcW w:w="3106" w:type="dxa"/>
          </w:tcPr>
          <w:p>
            <w:pPr>
              <w:pStyle w:val="TableParagraph"/>
              <w:spacing w:line="250" w:lineRule="exact"/>
              <w:ind w:left="32"/>
              <w:jc w:val="left"/>
              <w:rPr>
                <w:rFonts w:ascii="Constantia" w:hAnsi="Constantia"/>
                <w:sz w:val="21"/>
              </w:rPr>
            </w:pPr>
            <w:r>
              <w:rPr>
                <w:rFonts w:ascii="Calibri" w:hAnsi="Calibri"/>
                <w:sz w:val="21"/>
              </w:rPr>
              <w:t>∆ </w:t>
            </w:r>
            <w:r>
              <w:rPr>
                <w:rFonts w:ascii="Constantia" w:hAnsi="Constantia"/>
                <w:sz w:val="21"/>
              </w:rPr>
              <w:t>dummy de impulso</w:t>
            </w:r>
          </w:p>
        </w:tc>
        <w:tc>
          <w:tcPr>
            <w:tcW w:w="1739" w:type="dxa"/>
          </w:tcPr>
          <w:p>
            <w:pPr>
              <w:pStyle w:val="TableParagraph"/>
              <w:spacing w:line="250" w:lineRule="exact"/>
              <w:ind w:right="63"/>
              <w:jc w:val="right"/>
              <w:rPr>
                <w:rFonts w:ascii="Constantia"/>
                <w:sz w:val="21"/>
              </w:rPr>
            </w:pPr>
            <w:r>
              <w:rPr>
                <w:rFonts w:ascii="Constantia"/>
                <w:w w:val="95"/>
                <w:sz w:val="21"/>
              </w:rPr>
              <w:t>(0.13)</w:t>
            </w:r>
          </w:p>
        </w:tc>
        <w:tc>
          <w:tcPr>
            <w:tcW w:w="1467" w:type="dxa"/>
          </w:tcPr>
          <w:p>
            <w:pPr>
              <w:pStyle w:val="TableParagraph"/>
              <w:spacing w:line="250" w:lineRule="exact"/>
              <w:ind w:right="148"/>
              <w:jc w:val="right"/>
              <w:rPr>
                <w:rFonts w:ascii="Constantia"/>
                <w:sz w:val="21"/>
              </w:rPr>
            </w:pPr>
            <w:r>
              <w:rPr>
                <w:rFonts w:ascii="Constantia"/>
                <w:w w:val="95"/>
                <w:sz w:val="21"/>
              </w:rPr>
              <w:t>0.02</w:t>
            </w:r>
          </w:p>
        </w:tc>
        <w:tc>
          <w:tcPr>
            <w:tcW w:w="1525" w:type="dxa"/>
          </w:tcPr>
          <w:p>
            <w:pPr>
              <w:pStyle w:val="TableParagraph"/>
              <w:spacing w:line="250" w:lineRule="exact"/>
              <w:ind w:right="188"/>
              <w:jc w:val="right"/>
              <w:rPr>
                <w:rFonts w:ascii="Constantia"/>
                <w:sz w:val="21"/>
              </w:rPr>
            </w:pPr>
            <w:r>
              <w:rPr>
                <w:rFonts w:ascii="Constantia"/>
                <w:w w:val="95"/>
                <w:sz w:val="21"/>
              </w:rPr>
              <w:t>(6.42)</w:t>
            </w:r>
          </w:p>
        </w:tc>
        <w:tc>
          <w:tcPr>
            <w:tcW w:w="1005" w:type="dxa"/>
          </w:tcPr>
          <w:p>
            <w:pPr>
              <w:pStyle w:val="TableParagraph"/>
              <w:spacing w:line="250" w:lineRule="exact"/>
              <w:ind w:right="104"/>
              <w:jc w:val="right"/>
              <w:rPr>
                <w:rFonts w:ascii="Constantia"/>
                <w:sz w:val="21"/>
              </w:rPr>
            </w:pPr>
            <w:r>
              <w:rPr>
                <w:rFonts w:ascii="Constantia"/>
                <w:w w:val="95"/>
                <w:sz w:val="21"/>
              </w:rPr>
              <w:t>0.000</w:t>
            </w:r>
          </w:p>
        </w:tc>
      </w:tr>
      <w:tr>
        <w:trPr>
          <w:trHeight w:val="266" w:hRule="exact"/>
        </w:trPr>
        <w:tc>
          <w:tcPr>
            <w:tcW w:w="3106" w:type="dxa"/>
            <w:tcBorders>
              <w:bottom w:val="double" w:sz="4" w:space="0" w:color="000000"/>
            </w:tcBorders>
          </w:tcPr>
          <w:p>
            <w:pPr>
              <w:pStyle w:val="TableParagraph"/>
              <w:spacing w:line="250" w:lineRule="exact"/>
              <w:ind w:left="32"/>
              <w:jc w:val="left"/>
              <w:rPr>
                <w:rFonts w:ascii="Constantia" w:hAnsi="Constantia"/>
                <w:sz w:val="21"/>
              </w:rPr>
            </w:pPr>
            <w:r>
              <w:rPr>
                <w:rFonts w:ascii="Constantia" w:hAnsi="Constantia"/>
                <w:sz w:val="21"/>
              </w:rPr>
              <w:t>Media móvil (1 rezago)</w:t>
            </w:r>
          </w:p>
        </w:tc>
        <w:tc>
          <w:tcPr>
            <w:tcW w:w="1739" w:type="dxa"/>
            <w:tcBorders>
              <w:bottom w:val="double" w:sz="4" w:space="0" w:color="000000"/>
            </w:tcBorders>
          </w:tcPr>
          <w:p>
            <w:pPr>
              <w:pStyle w:val="TableParagraph"/>
              <w:spacing w:line="250" w:lineRule="exact"/>
              <w:ind w:right="137"/>
              <w:jc w:val="right"/>
              <w:rPr>
                <w:rFonts w:ascii="Constantia"/>
                <w:sz w:val="21"/>
              </w:rPr>
            </w:pPr>
            <w:r>
              <w:rPr>
                <w:rFonts w:ascii="Constantia"/>
                <w:w w:val="95"/>
                <w:sz w:val="21"/>
              </w:rPr>
              <w:t>0.37</w:t>
            </w:r>
          </w:p>
        </w:tc>
        <w:tc>
          <w:tcPr>
            <w:tcW w:w="1467" w:type="dxa"/>
            <w:tcBorders>
              <w:bottom w:val="double" w:sz="4" w:space="0" w:color="000000"/>
            </w:tcBorders>
          </w:tcPr>
          <w:p>
            <w:pPr>
              <w:pStyle w:val="TableParagraph"/>
              <w:spacing w:line="250" w:lineRule="exact"/>
              <w:ind w:right="150"/>
              <w:jc w:val="right"/>
              <w:rPr>
                <w:rFonts w:ascii="Constantia"/>
                <w:sz w:val="21"/>
              </w:rPr>
            </w:pPr>
            <w:r>
              <w:rPr>
                <w:rFonts w:ascii="Constantia"/>
                <w:w w:val="95"/>
                <w:sz w:val="21"/>
              </w:rPr>
              <w:t>0.14</w:t>
            </w:r>
          </w:p>
        </w:tc>
        <w:tc>
          <w:tcPr>
            <w:tcW w:w="1525" w:type="dxa"/>
            <w:tcBorders>
              <w:bottom w:val="double" w:sz="4" w:space="0" w:color="000000"/>
            </w:tcBorders>
          </w:tcPr>
          <w:p>
            <w:pPr>
              <w:pStyle w:val="TableParagraph"/>
              <w:spacing w:line="250" w:lineRule="exact"/>
              <w:ind w:right="260"/>
              <w:jc w:val="right"/>
              <w:rPr>
                <w:rFonts w:ascii="Constantia"/>
                <w:sz w:val="21"/>
              </w:rPr>
            </w:pPr>
            <w:r>
              <w:rPr>
                <w:rFonts w:ascii="Constantia"/>
                <w:w w:val="95"/>
                <w:sz w:val="21"/>
              </w:rPr>
              <w:t>2.59</w:t>
            </w:r>
          </w:p>
        </w:tc>
        <w:tc>
          <w:tcPr>
            <w:tcW w:w="1005" w:type="dxa"/>
            <w:tcBorders>
              <w:bottom w:val="double" w:sz="4" w:space="0" w:color="000000"/>
            </w:tcBorders>
          </w:tcPr>
          <w:p>
            <w:pPr>
              <w:pStyle w:val="TableParagraph"/>
              <w:spacing w:line="250" w:lineRule="exact"/>
              <w:ind w:right="111"/>
              <w:jc w:val="right"/>
              <w:rPr>
                <w:rFonts w:ascii="Constantia"/>
                <w:sz w:val="21"/>
              </w:rPr>
            </w:pPr>
            <w:r>
              <w:rPr>
                <w:rFonts w:ascii="Constantia"/>
                <w:w w:val="95"/>
                <w:sz w:val="21"/>
              </w:rPr>
              <w:t>0.013</w:t>
            </w:r>
          </w:p>
        </w:tc>
      </w:tr>
      <w:tr>
        <w:trPr>
          <w:trHeight w:val="325" w:hRule="exact"/>
        </w:trPr>
        <w:tc>
          <w:tcPr>
            <w:tcW w:w="3106" w:type="dxa"/>
            <w:tcBorders>
              <w:top w:val="double" w:sz="4" w:space="0" w:color="000000"/>
            </w:tcBorders>
          </w:tcPr>
          <w:p>
            <w:pPr>
              <w:pStyle w:val="TableParagraph"/>
              <w:spacing w:before="13"/>
              <w:ind w:left="32"/>
              <w:jc w:val="left"/>
              <w:rPr>
                <w:rFonts w:ascii="Constantia"/>
                <w:sz w:val="21"/>
              </w:rPr>
            </w:pPr>
            <w:r>
              <w:rPr>
                <w:rFonts w:ascii="Constantia"/>
                <w:sz w:val="21"/>
              </w:rPr>
              <w:t>R2</w:t>
            </w:r>
          </w:p>
        </w:tc>
        <w:tc>
          <w:tcPr>
            <w:tcW w:w="1739" w:type="dxa"/>
            <w:tcBorders>
              <w:top w:val="double" w:sz="4" w:space="0" w:color="000000"/>
            </w:tcBorders>
          </w:tcPr>
          <w:p>
            <w:pPr>
              <w:pStyle w:val="TableParagraph"/>
              <w:spacing w:before="13"/>
              <w:ind w:right="141"/>
              <w:jc w:val="right"/>
              <w:rPr>
                <w:rFonts w:ascii="Constantia"/>
                <w:sz w:val="21"/>
              </w:rPr>
            </w:pPr>
            <w:r>
              <w:rPr>
                <w:rFonts w:ascii="Constantia"/>
                <w:w w:val="95"/>
                <w:sz w:val="21"/>
              </w:rPr>
              <w:t>0.91</w:t>
            </w:r>
          </w:p>
        </w:tc>
        <w:tc>
          <w:tcPr>
            <w:tcW w:w="1467" w:type="dxa"/>
            <w:tcBorders>
              <w:top w:val="double" w:sz="4" w:space="0" w:color="000000"/>
            </w:tcBorders>
          </w:tcPr>
          <w:p>
            <w:pPr/>
          </w:p>
        </w:tc>
        <w:tc>
          <w:tcPr>
            <w:tcW w:w="1525" w:type="dxa"/>
            <w:tcBorders>
              <w:top w:val="double" w:sz="4" w:space="0" w:color="000000"/>
            </w:tcBorders>
          </w:tcPr>
          <w:p>
            <w:pPr/>
          </w:p>
        </w:tc>
        <w:tc>
          <w:tcPr>
            <w:tcW w:w="1005" w:type="dxa"/>
            <w:tcBorders>
              <w:top w:val="double" w:sz="4" w:space="0" w:color="000000"/>
            </w:tcBorders>
          </w:tcPr>
          <w:p>
            <w:pPr/>
          </w:p>
        </w:tc>
      </w:tr>
    </w:tbl>
    <w:p>
      <w:pPr>
        <w:tabs>
          <w:tab w:pos="4838" w:val="left" w:leader="none"/>
        </w:tabs>
        <w:spacing w:line="242" w:lineRule="exact" w:before="0"/>
        <w:ind w:left="471" w:right="1021" w:firstLine="0"/>
        <w:jc w:val="left"/>
        <w:rPr>
          <w:rFonts w:ascii="Constantia"/>
          <w:sz w:val="21"/>
        </w:rPr>
      </w:pPr>
      <w:r>
        <w:rPr>
          <w:rFonts w:ascii="Constantia"/>
          <w:spacing w:val="-20"/>
          <w:w w:val="98"/>
          <w:sz w:val="21"/>
          <w:u w:val="thick"/>
        </w:rPr>
        <w:t> </w:t>
      </w:r>
      <w:r>
        <w:rPr>
          <w:rFonts w:ascii="Constantia"/>
          <w:sz w:val="21"/>
          <w:u w:val="thick"/>
        </w:rPr>
        <w:t>R2</w:t>
      </w:r>
      <w:r>
        <w:rPr>
          <w:rFonts w:ascii="Constantia"/>
          <w:spacing w:val="-7"/>
          <w:sz w:val="21"/>
          <w:u w:val="thick"/>
        </w:rPr>
        <w:t> </w:t>
      </w:r>
      <w:r>
        <w:rPr>
          <w:rFonts w:ascii="Constantia"/>
          <w:sz w:val="21"/>
          <w:u w:val="thick"/>
        </w:rPr>
        <w:t>ajustada</w:t>
        <w:tab/>
        <w:t>0.91</w:t>
      </w:r>
      <w:r>
        <w:rPr>
          <w:rFonts w:ascii="Constantia"/>
          <w:spacing w:val="4"/>
          <w:sz w:val="21"/>
          <w:u w:val="thick"/>
        </w:rPr>
        <w:t> </w:t>
      </w:r>
    </w:p>
    <w:p>
      <w:pPr>
        <w:tabs>
          <w:tab w:pos="4849" w:val="left" w:leader="none"/>
        </w:tabs>
        <w:spacing w:line="283" w:lineRule="auto" w:before="46"/>
        <w:ind w:left="504" w:right="4356" w:hanging="33"/>
        <w:jc w:val="left"/>
        <w:rPr>
          <w:rFonts w:ascii="Constantia"/>
          <w:sz w:val="21"/>
        </w:rPr>
      </w:pPr>
      <w:r>
        <w:rPr>
          <w:rFonts w:ascii="Constantia"/>
          <w:spacing w:val="-20"/>
          <w:w w:val="98"/>
          <w:sz w:val="21"/>
          <w:u w:val="thick"/>
        </w:rPr>
        <w:t> </w:t>
      </w:r>
      <w:r>
        <w:rPr>
          <w:rFonts w:ascii="Constantia"/>
          <w:sz w:val="21"/>
          <w:u w:val="thick"/>
        </w:rPr>
        <w:t>Durbin-Watson</w:t>
        <w:tab/>
        <w:t>1.82 </w:t>
      </w:r>
      <w:r>
        <w:rPr>
          <w:rFonts w:ascii="Constantia"/>
          <w:sz w:val="21"/>
        </w:rPr>
        <w:t>Arch - LM</w:t>
      </w:r>
      <w:r>
        <w:rPr>
          <w:rFonts w:ascii="Constantia"/>
          <w:spacing w:val="-13"/>
          <w:sz w:val="21"/>
        </w:rPr>
        <w:t> </w:t>
      </w:r>
      <w:r>
        <w:rPr>
          <w:rFonts w:ascii="Constantia"/>
          <w:sz w:val="21"/>
        </w:rPr>
        <w:t>(1)</w:t>
      </w:r>
    </w:p>
    <w:p>
      <w:pPr>
        <w:tabs>
          <w:tab w:pos="4795" w:val="left" w:leader="none"/>
        </w:tabs>
        <w:spacing w:line="234" w:lineRule="exact" w:before="0"/>
        <w:ind w:left="471" w:right="1021" w:firstLine="0"/>
        <w:jc w:val="left"/>
        <w:rPr>
          <w:rFonts w:ascii="Constantia" w:hAnsi="Constantia"/>
          <w:sz w:val="21"/>
        </w:rPr>
      </w:pPr>
      <w:r>
        <w:rPr>
          <w:rFonts w:ascii="Constantia" w:hAnsi="Constantia"/>
          <w:spacing w:val="-20"/>
          <w:w w:val="98"/>
          <w:sz w:val="21"/>
          <w:u w:val="thick"/>
        </w:rPr>
        <w:t> </w:t>
      </w:r>
      <w:r>
        <w:rPr>
          <w:rFonts w:ascii="Constantia" w:hAnsi="Constantia"/>
          <w:sz w:val="21"/>
          <w:u w:val="thick"/>
        </w:rPr>
        <w:t>Prob.</w:t>
      </w:r>
      <w:r>
        <w:rPr>
          <w:rFonts w:ascii="Constantia" w:hAnsi="Constantia"/>
          <w:spacing w:val="-6"/>
          <w:sz w:val="21"/>
          <w:u w:val="thick"/>
        </w:rPr>
        <w:t> </w:t>
      </w:r>
      <w:r>
        <w:rPr>
          <w:rFonts w:ascii="Constantia" w:hAnsi="Constantia"/>
          <w:sz w:val="21"/>
          <w:u w:val="thick"/>
        </w:rPr>
        <w:t>Estadístico</w:t>
      </w:r>
      <w:r>
        <w:rPr>
          <w:rFonts w:ascii="Constantia" w:hAnsi="Constantia"/>
          <w:spacing w:val="-10"/>
          <w:sz w:val="21"/>
          <w:u w:val="thick"/>
        </w:rPr>
        <w:t> </w:t>
      </w:r>
      <w:r>
        <w:rPr>
          <w:rFonts w:ascii="Constantia" w:hAnsi="Constantia"/>
          <w:sz w:val="21"/>
          <w:u w:val="thick"/>
        </w:rPr>
        <w:t>F</w:t>
        <w:tab/>
        <w:t>0.86 </w:t>
      </w:r>
    </w:p>
    <w:p>
      <w:pPr>
        <w:tabs>
          <w:tab w:pos="5178" w:val="right" w:leader="none"/>
          <w:tab w:pos="5283" w:val="left" w:leader="none"/>
        </w:tabs>
        <w:spacing w:line="283" w:lineRule="auto" w:before="46"/>
        <w:ind w:left="504" w:right="4356" w:hanging="33"/>
        <w:jc w:val="left"/>
        <w:rPr>
          <w:rFonts w:ascii="Constantia"/>
          <w:sz w:val="21"/>
        </w:rPr>
      </w:pPr>
      <w:r>
        <w:rPr>
          <w:rFonts w:ascii="Constantia"/>
          <w:spacing w:val="-20"/>
          <w:w w:val="98"/>
          <w:sz w:val="21"/>
          <w:u w:val="thick"/>
        </w:rPr>
        <w:t> </w:t>
      </w:r>
      <w:r>
        <w:rPr>
          <w:rFonts w:ascii="Constantia"/>
          <w:spacing w:val="-3"/>
          <w:sz w:val="21"/>
          <w:u w:val="thick"/>
        </w:rPr>
        <w:t>Normalidad</w:t>
        <w:tab/>
        <w:tab/>
      </w:r>
      <w:r>
        <w:rPr>
          <w:rFonts w:ascii="Constantia"/>
          <w:sz w:val="21"/>
        </w:rPr>
        <w:t> Jarque-Bera</w:t>
        <w:tab/>
        <w:t>4.39</w:t>
      </w:r>
    </w:p>
    <w:p>
      <w:pPr>
        <w:tabs>
          <w:tab w:pos="4882" w:val="left" w:leader="none"/>
        </w:tabs>
        <w:spacing w:line="234" w:lineRule="exact" w:before="0"/>
        <w:ind w:left="471" w:right="1021" w:firstLine="0"/>
        <w:jc w:val="left"/>
        <w:rPr>
          <w:rFonts w:ascii="Constantia"/>
          <w:sz w:val="21"/>
        </w:rPr>
      </w:pPr>
      <w:r>
        <w:rPr>
          <w:rFonts w:ascii="Constantia"/>
          <w:spacing w:val="-20"/>
          <w:w w:val="98"/>
          <w:sz w:val="21"/>
          <w:u w:val="thick"/>
        </w:rPr>
        <w:t> </w:t>
      </w:r>
      <w:r>
        <w:rPr>
          <w:rFonts w:ascii="Constantia"/>
          <w:sz w:val="21"/>
          <w:u w:val="thick"/>
        </w:rPr>
        <w:t>Prob.</w:t>
        <w:tab/>
        <w:t>0.11</w:t>
      </w:r>
      <w:r>
        <w:rPr>
          <w:rFonts w:ascii="Constantia"/>
          <w:spacing w:val="4"/>
          <w:sz w:val="21"/>
          <w:u w:val="thick"/>
        </w:rPr>
        <w:t> </w:t>
      </w:r>
    </w:p>
    <w:p>
      <w:pPr>
        <w:spacing w:before="105"/>
        <w:ind w:left="461" w:right="1021" w:firstLine="0"/>
        <w:jc w:val="left"/>
        <w:rPr>
          <w:sz w:val="20"/>
        </w:rPr>
      </w:pPr>
      <w:r>
        <w:rPr>
          <w:sz w:val="20"/>
        </w:rPr>
        <w:t>Fuente: Estimaciones propias con base en información del Banco Central de Bolivia (2012) y del INE (2013).</w:t>
      </w:r>
    </w:p>
    <w:p>
      <w:pPr>
        <w:pStyle w:val="BodyText"/>
        <w:spacing w:before="1"/>
      </w:pPr>
    </w:p>
    <w:p>
      <w:pPr>
        <w:pStyle w:val="ListParagraph"/>
        <w:numPr>
          <w:ilvl w:val="0"/>
          <w:numId w:val="26"/>
        </w:numPr>
        <w:tabs>
          <w:tab w:pos="462" w:val="left" w:leader="none"/>
        </w:tabs>
        <w:spacing w:line="240" w:lineRule="auto" w:before="0" w:after="0"/>
        <w:ind w:left="462" w:right="0" w:hanging="360"/>
        <w:jc w:val="left"/>
        <w:rPr>
          <w:sz w:val="24"/>
        </w:rPr>
      </w:pPr>
      <w:r>
        <w:rPr>
          <w:sz w:val="24"/>
        </w:rPr>
        <w:t>Elasticidad de los ingresos fiscales de la renta interna en función del</w:t>
      </w:r>
      <w:r>
        <w:rPr>
          <w:spacing w:val="-12"/>
          <w:sz w:val="24"/>
        </w:rPr>
        <w:t> </w:t>
      </w:r>
      <w:r>
        <w:rPr>
          <w:sz w:val="24"/>
        </w:rPr>
        <w:t>PIB</w:t>
      </w:r>
    </w:p>
    <w:p>
      <w:pPr>
        <w:pStyle w:val="BodyText"/>
        <w:spacing w:before="6"/>
        <w:rPr>
          <w:sz w:val="19"/>
        </w:rPr>
      </w:pPr>
    </w:p>
    <w:p>
      <w:pPr>
        <w:spacing w:before="50"/>
        <w:ind w:left="512" w:right="1021" w:firstLine="0"/>
        <w:jc w:val="left"/>
        <w:rPr>
          <w:rFonts w:ascii="Constantia" w:hAnsi="Constantia"/>
          <w:b/>
          <w:sz w:val="26"/>
        </w:rPr>
      </w:pPr>
      <w:r>
        <w:rPr>
          <w:rFonts w:ascii="Constantia" w:hAnsi="Constantia"/>
          <w:b/>
          <w:w w:val="95"/>
          <w:sz w:val="26"/>
        </w:rPr>
        <w:t>Variable dependiente: </w:t>
      </w:r>
      <w:r>
        <w:rPr>
          <w:rFonts w:ascii="Calibri" w:hAnsi="Calibri"/>
          <w:b/>
          <w:w w:val="95"/>
          <w:sz w:val="26"/>
        </w:rPr>
        <w:t>∆ </w:t>
      </w:r>
      <w:r>
        <w:rPr>
          <w:rFonts w:ascii="Constantia" w:hAnsi="Constantia"/>
          <w:b/>
          <w:w w:val="95"/>
          <w:sz w:val="26"/>
        </w:rPr>
        <w:t>Log de ingresos fiscales de la renta interna</w:t>
      </w:r>
    </w:p>
    <w:p>
      <w:pPr>
        <w:spacing w:before="28"/>
        <w:ind w:left="512" w:right="1021" w:firstLine="0"/>
        <w:jc w:val="left"/>
        <w:rPr>
          <w:rFonts w:ascii="Constantia"/>
          <w:sz w:val="26"/>
        </w:rPr>
      </w:pPr>
      <w:r>
        <w:rPr>
          <w:rFonts w:ascii="Constantia"/>
          <w:w w:val="95"/>
          <w:sz w:val="26"/>
        </w:rPr>
        <w:t>Datos: 2000(T2) - 2012 (T1)</w:t>
      </w:r>
    </w:p>
    <w:p>
      <w:pPr>
        <w:pStyle w:val="Heading2"/>
        <w:tabs>
          <w:tab w:pos="3360" w:val="left" w:leader="none"/>
          <w:tab w:pos="4319" w:val="left" w:leader="none"/>
          <w:tab w:pos="5149" w:val="left" w:leader="none"/>
          <w:tab w:pos="6375" w:val="left" w:leader="none"/>
          <w:tab w:pos="7013" w:val="left" w:leader="none"/>
          <w:tab w:pos="7831" w:val="left" w:leader="none"/>
          <w:tab w:pos="8687" w:val="left" w:leader="none"/>
          <w:tab w:pos="8827" w:val="left" w:leader="none"/>
        </w:tabs>
        <w:spacing w:line="283" w:lineRule="auto" w:before="28"/>
        <w:ind w:left="512" w:right="248" w:firstLine="779"/>
        <w:rPr>
          <w:rFonts w:ascii="Constantia" w:hAnsi="Constantia"/>
        </w:rPr>
      </w:pPr>
      <w:r>
        <w:rPr/>
        <w:pict>
          <v:group style="position:absolute;margin-left:103.312828pt;margin-top:17.200951pt;width:453pt;height:2.15pt;mso-position-horizontal-relative:page;mso-position-vertical-relative:paragraph;z-index:-554104" coordorigin="2066,344" coordsize="9060,43">
            <v:line style="position:absolute" from="2080,351" to="11112,351" stroked="true" strokeweight=".689298pt" strokecolor="#000000"/>
            <v:line style="position:absolute" from="2074,352" to="11118,352" stroked="true" strokeweight=".712274pt" strokecolor="#000000"/>
            <v:line style="position:absolute" from="2080,379" to="11112,379" stroked="true" strokeweight=".689298pt" strokecolor="#000000"/>
            <v:line style="position:absolute" from="2074,379" to="11118,379" stroked="true" strokeweight=".689298pt" strokecolor="#000000"/>
            <w10:wrap type="none"/>
          </v:group>
        </w:pict>
      </w:r>
      <w:r>
        <w:rPr>
          <w:rFonts w:ascii="Constantia" w:hAnsi="Constantia"/>
        </w:rPr>
        <w:t>Variables</w:t>
        <w:tab/>
      </w:r>
      <w:r>
        <w:rPr>
          <w:rFonts w:ascii="Constantia" w:hAnsi="Constantia"/>
          <w:w w:val="95"/>
        </w:rPr>
        <w:t>Coeficientes</w:t>
        <w:tab/>
      </w:r>
      <w:r>
        <w:rPr>
          <w:rFonts w:ascii="Constantia" w:hAnsi="Constantia"/>
          <w:spacing w:val="-3"/>
        </w:rPr>
        <w:t>Error</w:t>
      </w:r>
      <w:r>
        <w:rPr>
          <w:rFonts w:ascii="Constantia" w:hAnsi="Constantia"/>
          <w:spacing w:val="-33"/>
        </w:rPr>
        <w:t> </w:t>
      </w:r>
      <w:r>
        <w:rPr>
          <w:rFonts w:ascii="Constantia" w:hAnsi="Constantia"/>
        </w:rPr>
        <w:t>estándar</w:t>
        <w:tab/>
        <w:t>Estadístico</w:t>
      </w:r>
      <w:r>
        <w:rPr>
          <w:rFonts w:ascii="Constantia" w:hAnsi="Constantia"/>
          <w:spacing w:val="-29"/>
        </w:rPr>
        <w:t> </w:t>
      </w:r>
      <w:r>
        <w:rPr>
          <w:rFonts w:ascii="Constantia" w:hAnsi="Constantia"/>
        </w:rPr>
        <w:t>t</w:t>
        <w:tab/>
        <w:t>Prob. Constante</w:t>
        <w:tab/>
        <w:tab/>
        <w:t>0.00</w:t>
        <w:tab/>
        <w:tab/>
        <w:t>0.01</w:t>
        <w:tab/>
        <w:tab/>
        <w:t>0.44</w:t>
        <w:tab/>
        <w:tab/>
      </w:r>
      <w:r>
        <w:rPr>
          <w:rFonts w:ascii="Constantia" w:hAnsi="Constantia"/>
          <w:spacing w:val="-3"/>
          <w:w w:val="95"/>
        </w:rPr>
        <w:t>0.662</w:t>
      </w:r>
    </w:p>
    <w:p>
      <w:pPr>
        <w:pStyle w:val="Heading2"/>
        <w:tabs>
          <w:tab w:pos="4395" w:val="left" w:leader="none"/>
          <w:tab w:pos="6337" w:val="left" w:leader="none"/>
          <w:tab w:pos="7882" w:val="left" w:leader="none"/>
          <w:tab w:pos="8815" w:val="left" w:leader="none"/>
        </w:tabs>
        <w:spacing w:line="288" w:lineRule="exact"/>
        <w:ind w:left="512" w:right="0"/>
        <w:rPr>
          <w:rFonts w:ascii="Constantia" w:hAnsi="Constantia"/>
        </w:rPr>
      </w:pPr>
      <w:r>
        <w:rPr/>
        <w:pict>
          <v:group style="position:absolute;margin-left:103.33783pt;margin-top:14.390253pt;width:452.95pt;height:2.1pt;mso-position-horizontal-relative:page;mso-position-vertical-relative:paragraph;z-index:-554080" coordorigin="2067,288" coordsize="9059,42">
            <v:line style="position:absolute" from="2080,295" to="11112,295" stroked="true" strokeweight=".689298pt" strokecolor="#000000"/>
            <v:line style="position:absolute" from="2074,295" to="11118,295" stroked="true" strokeweight=".689298pt" strokecolor="#000000"/>
            <v:line style="position:absolute" from="2080,322" to="11112,322" stroked="true" strokeweight=".689298pt" strokecolor="#000000"/>
            <v:line style="position:absolute" from="2074,322" to="11118,322" stroked="true" strokeweight=".689298pt" strokecolor="#000000"/>
            <w10:wrap type="none"/>
          </v:group>
        </w:pict>
      </w:r>
      <w:r>
        <w:rPr>
          <w:rFonts w:ascii="Calibri" w:hAnsi="Calibri"/>
          <w:position w:val="1"/>
        </w:rPr>
        <w:t>∆</w:t>
      </w:r>
      <w:r>
        <w:rPr>
          <w:rFonts w:ascii="Calibri" w:hAnsi="Calibri"/>
          <w:spacing w:val="-6"/>
          <w:position w:val="1"/>
        </w:rPr>
        <w:t> </w:t>
      </w:r>
      <w:r>
        <w:rPr>
          <w:rFonts w:ascii="Constantia" w:hAnsi="Constantia"/>
          <w:position w:val="1"/>
        </w:rPr>
        <w:t>Log</w:t>
      </w:r>
      <w:r>
        <w:rPr>
          <w:rFonts w:ascii="Constantia" w:hAnsi="Constantia"/>
          <w:spacing w:val="-13"/>
          <w:position w:val="1"/>
        </w:rPr>
        <w:t> </w:t>
      </w:r>
      <w:r>
        <w:rPr>
          <w:rFonts w:ascii="Constantia" w:hAnsi="Constantia"/>
          <w:spacing w:val="-3"/>
          <w:position w:val="1"/>
        </w:rPr>
        <w:t>PIB</w:t>
        <w:tab/>
      </w:r>
      <w:r>
        <w:rPr>
          <w:rFonts w:ascii="Constantia" w:hAnsi="Constantia"/>
        </w:rPr>
        <w:t>1.22</w:t>
        <w:tab/>
        <w:t>0.26</w:t>
        <w:tab/>
        <w:t>4.61</w:t>
        <w:tab/>
      </w:r>
      <w:r>
        <w:rPr>
          <w:rFonts w:ascii="Constantia" w:hAnsi="Constantia"/>
          <w:spacing w:val="-3"/>
        </w:rPr>
        <w:t>0.000</w:t>
      </w:r>
    </w:p>
    <w:p>
      <w:pPr>
        <w:pStyle w:val="Heading2"/>
        <w:tabs>
          <w:tab w:pos="4344" w:val="left" w:leader="none"/>
        </w:tabs>
        <w:spacing w:before="56"/>
        <w:ind w:left="512"/>
        <w:rPr>
          <w:rFonts w:ascii="Constantia"/>
        </w:rPr>
      </w:pPr>
      <w:r>
        <w:rPr>
          <w:rFonts w:ascii="Constantia"/>
        </w:rPr>
        <w:t>R2</w:t>
        <w:tab/>
        <w:t>0.32</w:t>
      </w:r>
    </w:p>
    <w:p>
      <w:pPr>
        <w:pStyle w:val="Heading2"/>
        <w:tabs>
          <w:tab w:pos="4331" w:val="left" w:leader="none"/>
        </w:tabs>
        <w:spacing w:before="28"/>
        <w:ind w:left="473"/>
        <w:rPr>
          <w:rFonts w:ascii="Constantia"/>
        </w:rPr>
      </w:pPr>
      <w:r>
        <w:rPr>
          <w:rFonts w:ascii="Constantia"/>
          <w:spacing w:val="-23"/>
          <w:w w:val="93"/>
          <w:u w:val="thick"/>
        </w:rPr>
        <w:t> </w:t>
      </w:r>
      <w:r>
        <w:rPr>
          <w:rFonts w:ascii="Constantia"/>
          <w:u w:val="thick"/>
        </w:rPr>
        <w:t>R2</w:t>
      </w:r>
      <w:r>
        <w:rPr>
          <w:rFonts w:ascii="Constantia"/>
          <w:spacing w:val="-27"/>
          <w:u w:val="thick"/>
        </w:rPr>
        <w:t> </w:t>
      </w:r>
      <w:r>
        <w:rPr>
          <w:rFonts w:ascii="Constantia"/>
          <w:u w:val="thick"/>
        </w:rPr>
        <w:t>ajustada</w:t>
        <w:tab/>
        <w:t>0.30</w:t>
      </w:r>
      <w:r>
        <w:rPr>
          <w:rFonts w:ascii="Constantia"/>
          <w:spacing w:val="-5"/>
          <w:u w:val="thick"/>
        </w:rPr>
        <w:t> </w:t>
      </w:r>
    </w:p>
    <w:p>
      <w:pPr>
        <w:pStyle w:val="Heading2"/>
        <w:tabs>
          <w:tab w:pos="4331" w:val="left" w:leader="none"/>
        </w:tabs>
        <w:spacing w:line="283" w:lineRule="auto" w:before="55"/>
        <w:ind w:left="512" w:right="4746" w:hanging="39"/>
        <w:rPr>
          <w:rFonts w:ascii="Constantia"/>
        </w:rPr>
      </w:pPr>
      <w:r>
        <w:rPr>
          <w:rFonts w:ascii="Constantia"/>
          <w:spacing w:val="-23"/>
          <w:w w:val="93"/>
          <w:u w:val="thick"/>
        </w:rPr>
        <w:t> </w:t>
      </w:r>
      <w:r>
        <w:rPr>
          <w:rFonts w:ascii="Constantia"/>
          <w:w w:val="95"/>
          <w:u w:val="thick"/>
        </w:rPr>
        <w:t>Durbin-Watson</w:t>
        <w:tab/>
      </w:r>
      <w:r>
        <w:rPr>
          <w:rFonts w:ascii="Constantia"/>
          <w:u w:val="thick"/>
        </w:rPr>
        <w:t>2.08 </w:t>
      </w:r>
      <w:r>
        <w:rPr>
          <w:rFonts w:ascii="Constantia"/>
        </w:rPr>
        <w:t>Arch</w:t>
      </w:r>
      <w:r>
        <w:rPr>
          <w:rFonts w:ascii="Constantia"/>
          <w:spacing w:val="-30"/>
        </w:rPr>
        <w:t> </w:t>
      </w:r>
      <w:r>
        <w:rPr>
          <w:rFonts w:ascii="Constantia"/>
        </w:rPr>
        <w:t>-</w:t>
      </w:r>
      <w:r>
        <w:rPr>
          <w:rFonts w:ascii="Constantia"/>
          <w:spacing w:val="-29"/>
        </w:rPr>
        <w:t> </w:t>
      </w:r>
      <w:r>
        <w:rPr>
          <w:rFonts w:ascii="Constantia"/>
        </w:rPr>
        <w:t>LM</w:t>
      </w:r>
      <w:r>
        <w:rPr>
          <w:rFonts w:ascii="Constantia"/>
          <w:spacing w:val="-31"/>
        </w:rPr>
        <w:t> </w:t>
      </w:r>
      <w:r>
        <w:rPr>
          <w:rFonts w:ascii="Constantia"/>
        </w:rPr>
        <w:t>(1)</w:t>
      </w:r>
    </w:p>
    <w:p>
      <w:pPr>
        <w:pStyle w:val="Heading2"/>
        <w:tabs>
          <w:tab w:pos="3079" w:val="left" w:leader="none"/>
          <w:tab w:pos="4319" w:val="left" w:leader="none"/>
        </w:tabs>
        <w:spacing w:line="288" w:lineRule="exact"/>
        <w:ind w:left="473"/>
        <w:rPr>
          <w:rFonts w:ascii="Constantia" w:hAnsi="Constantia"/>
        </w:rPr>
      </w:pPr>
      <w:r>
        <w:rPr>
          <w:rFonts w:ascii="Constantia" w:hAnsi="Constantia"/>
          <w:spacing w:val="-23"/>
          <w:w w:val="93"/>
          <w:u w:val="thick"/>
        </w:rPr>
        <w:t> </w:t>
      </w:r>
      <w:r>
        <w:rPr>
          <w:rFonts w:ascii="Constantia" w:hAnsi="Constantia"/>
          <w:u w:val="thick"/>
        </w:rPr>
        <w:t>Prob.</w:t>
      </w:r>
      <w:r>
        <w:rPr>
          <w:rFonts w:ascii="Constantia" w:hAnsi="Constantia"/>
          <w:spacing w:val="-32"/>
          <w:u w:val="thick"/>
        </w:rPr>
        <w:t> </w:t>
      </w:r>
      <w:r>
        <w:rPr>
          <w:rFonts w:ascii="Constantia" w:hAnsi="Constantia"/>
          <w:u w:val="thick"/>
        </w:rPr>
        <w:t>Estadístico</w:t>
      </w:r>
      <w:r>
        <w:rPr>
          <w:rFonts w:ascii="Constantia" w:hAnsi="Constantia"/>
          <w:spacing w:val="-34"/>
          <w:u w:val="thick"/>
        </w:rPr>
        <w:t> </w:t>
      </w:r>
      <w:r>
        <w:rPr>
          <w:rFonts w:ascii="Constantia" w:hAnsi="Constantia"/>
          <w:u w:val="thick"/>
        </w:rPr>
        <w:t>F</w:t>
        <w:tab/>
      </w:r>
      <w:r>
        <w:rPr>
          <w:rFonts w:ascii="Constantia" w:hAnsi="Constantia"/>
        </w:rPr>
        <w:tab/>
        <w:t>0.60</w:t>
      </w:r>
    </w:p>
    <w:p>
      <w:pPr>
        <w:pStyle w:val="Heading2"/>
        <w:tabs>
          <w:tab w:pos="4370" w:val="left" w:leader="none"/>
          <w:tab w:pos="4893" w:val="left" w:leader="none"/>
        </w:tabs>
        <w:spacing w:line="283" w:lineRule="auto" w:before="55"/>
        <w:ind w:left="512" w:right="4746" w:hanging="39"/>
        <w:rPr>
          <w:rFonts w:ascii="Constantia"/>
        </w:rPr>
      </w:pPr>
      <w:r>
        <w:rPr>
          <w:rFonts w:ascii="Constantia"/>
          <w:spacing w:val="-23"/>
          <w:w w:val="93"/>
          <w:u w:val="thick"/>
        </w:rPr>
        <w:t> </w:t>
      </w:r>
      <w:r>
        <w:rPr>
          <w:rFonts w:ascii="Constantia"/>
          <w:spacing w:val="-4"/>
          <w:u w:val="thick"/>
        </w:rPr>
        <w:t>Normalidad</w:t>
        <w:tab/>
        <w:tab/>
      </w:r>
      <w:r>
        <w:rPr>
          <w:rFonts w:ascii="Constantia"/>
        </w:rPr>
        <w:t> Jarque-Bera</w:t>
        <w:tab/>
        <w:t>1.44</w:t>
      </w:r>
    </w:p>
    <w:p>
      <w:pPr>
        <w:tabs>
          <w:tab w:pos="4319" w:val="left" w:leader="none"/>
        </w:tabs>
        <w:spacing w:line="289" w:lineRule="exact" w:before="0"/>
        <w:ind w:left="473" w:right="1021" w:firstLine="0"/>
        <w:jc w:val="left"/>
        <w:rPr>
          <w:rFonts w:ascii="Constantia"/>
          <w:sz w:val="26"/>
        </w:rPr>
      </w:pPr>
      <w:r>
        <w:rPr>
          <w:rFonts w:ascii="Constantia"/>
          <w:spacing w:val="-23"/>
          <w:w w:val="93"/>
          <w:sz w:val="26"/>
          <w:u w:val="thick"/>
        </w:rPr>
        <w:t> </w:t>
      </w:r>
      <w:r>
        <w:rPr>
          <w:rFonts w:ascii="Constantia"/>
          <w:sz w:val="26"/>
          <w:u w:val="thick"/>
        </w:rPr>
        <w:t>Prob.</w:t>
        <w:tab/>
        <w:t>0.48</w:t>
      </w:r>
      <w:r>
        <w:rPr>
          <w:rFonts w:ascii="Constantia"/>
          <w:spacing w:val="-5"/>
          <w:sz w:val="26"/>
          <w:u w:val="thick"/>
        </w:rPr>
        <w:t> </w:t>
      </w:r>
    </w:p>
    <w:p>
      <w:pPr>
        <w:spacing w:before="165"/>
        <w:ind w:left="461" w:right="1021" w:firstLine="0"/>
        <w:jc w:val="left"/>
        <w:rPr>
          <w:sz w:val="20"/>
        </w:rPr>
      </w:pPr>
      <w:r>
        <w:rPr>
          <w:sz w:val="20"/>
        </w:rPr>
        <w:t>Fuente: Estimaciones propias con base en información del Banco Central de Bolivia (2012) y del INE (2013).</w:t>
      </w:r>
    </w:p>
    <w:p>
      <w:pPr>
        <w:spacing w:after="0"/>
        <w:jc w:val="left"/>
        <w:rPr>
          <w:sz w:val="20"/>
        </w:rPr>
        <w:sectPr>
          <w:pgSz w:w="12250" w:h="15850"/>
          <w:pgMar w:header="0" w:footer="977" w:top="1360" w:bottom="1220" w:left="1600" w:right="1000"/>
        </w:sectPr>
      </w:pPr>
    </w:p>
    <w:p>
      <w:pPr>
        <w:pStyle w:val="ListParagraph"/>
        <w:numPr>
          <w:ilvl w:val="0"/>
          <w:numId w:val="26"/>
        </w:numPr>
        <w:tabs>
          <w:tab w:pos="462" w:val="left" w:leader="none"/>
        </w:tabs>
        <w:spacing w:line="240" w:lineRule="auto" w:before="186" w:after="0"/>
        <w:ind w:left="462" w:right="0" w:hanging="360"/>
        <w:jc w:val="left"/>
        <w:rPr>
          <w:sz w:val="24"/>
        </w:rPr>
      </w:pPr>
      <w:r>
        <w:rPr>
          <w:sz w:val="24"/>
        </w:rPr>
        <w:t>Elasticidad de los ingresos fiscales de la renta aduanera en función de las</w:t>
      </w:r>
      <w:r>
        <w:rPr>
          <w:spacing w:val="-12"/>
          <w:sz w:val="24"/>
        </w:rPr>
        <w:t> </w:t>
      </w:r>
      <w:r>
        <w:rPr>
          <w:sz w:val="24"/>
        </w:rPr>
        <w:t>importaciones</w:t>
      </w:r>
    </w:p>
    <w:p>
      <w:pPr>
        <w:pStyle w:val="Heading4"/>
        <w:spacing w:before="275"/>
        <w:ind w:left="145" w:firstLine="0"/>
        <w:rPr>
          <w:rFonts w:ascii="Constantia" w:hAnsi="Constantia"/>
        </w:rPr>
      </w:pPr>
      <w:r>
        <w:rPr>
          <w:rFonts w:ascii="Constantia" w:hAnsi="Constantia"/>
          <w:w w:val="90"/>
        </w:rPr>
        <w:t>Variable dependiente: ∆ Log de ingresos fiscales de la renta aduanera</w:t>
      </w:r>
    </w:p>
    <w:p>
      <w:pPr>
        <w:pStyle w:val="BodyText"/>
        <w:spacing w:before="30" w:after="3"/>
        <w:ind w:left="145"/>
        <w:rPr>
          <w:rFonts w:ascii="Constantia"/>
        </w:rPr>
      </w:pPr>
      <w:r>
        <w:rPr>
          <w:rFonts w:ascii="Constantia"/>
          <w:w w:val="90"/>
        </w:rPr>
        <w:t>Datos: 2000(T2) - 2012 (T1)</w:t>
      </w: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165"/>
        <w:gridCol w:w="1327"/>
        <w:gridCol w:w="1498"/>
        <w:gridCol w:w="1546"/>
        <w:gridCol w:w="1081"/>
      </w:tblGrid>
      <w:tr>
        <w:trPr>
          <w:trHeight w:val="320" w:hRule="exact"/>
        </w:trPr>
        <w:tc>
          <w:tcPr>
            <w:tcW w:w="3165" w:type="dxa"/>
            <w:tcBorders>
              <w:bottom w:val="double" w:sz="5" w:space="0" w:color="000000"/>
            </w:tcBorders>
          </w:tcPr>
          <w:p>
            <w:pPr>
              <w:pStyle w:val="TableParagraph"/>
              <w:spacing w:before="26"/>
              <w:ind w:left="1109" w:right="1050"/>
              <w:rPr>
                <w:rFonts w:ascii="Constantia"/>
                <w:sz w:val="24"/>
              </w:rPr>
            </w:pPr>
            <w:r>
              <w:rPr>
                <w:rFonts w:ascii="Constantia"/>
                <w:sz w:val="24"/>
              </w:rPr>
              <w:t>Variables</w:t>
            </w:r>
          </w:p>
        </w:tc>
        <w:tc>
          <w:tcPr>
            <w:tcW w:w="1327" w:type="dxa"/>
            <w:tcBorders>
              <w:bottom w:val="double" w:sz="5" w:space="0" w:color="000000"/>
            </w:tcBorders>
          </w:tcPr>
          <w:p>
            <w:pPr>
              <w:pStyle w:val="TableParagraph"/>
              <w:spacing w:before="26"/>
              <w:ind w:right="86"/>
              <w:jc w:val="right"/>
              <w:rPr>
                <w:rFonts w:ascii="Constantia"/>
                <w:sz w:val="24"/>
              </w:rPr>
            </w:pPr>
            <w:r>
              <w:rPr>
                <w:rFonts w:ascii="Constantia"/>
                <w:w w:val="85"/>
                <w:sz w:val="24"/>
              </w:rPr>
              <w:t>Coeficientes</w:t>
            </w:r>
          </w:p>
        </w:tc>
        <w:tc>
          <w:tcPr>
            <w:tcW w:w="1498" w:type="dxa"/>
            <w:tcBorders>
              <w:bottom w:val="double" w:sz="5" w:space="0" w:color="000000"/>
            </w:tcBorders>
          </w:tcPr>
          <w:p>
            <w:pPr>
              <w:pStyle w:val="TableParagraph"/>
              <w:spacing w:before="26"/>
              <w:ind w:right="108"/>
              <w:jc w:val="right"/>
              <w:rPr>
                <w:rFonts w:ascii="Constantia" w:hAnsi="Constantia"/>
                <w:sz w:val="24"/>
              </w:rPr>
            </w:pPr>
            <w:r>
              <w:rPr>
                <w:rFonts w:ascii="Constantia" w:hAnsi="Constantia"/>
                <w:w w:val="90"/>
                <w:sz w:val="24"/>
              </w:rPr>
              <w:t>Error estándar</w:t>
            </w:r>
          </w:p>
        </w:tc>
        <w:tc>
          <w:tcPr>
            <w:tcW w:w="1546" w:type="dxa"/>
            <w:tcBorders>
              <w:bottom w:val="double" w:sz="5" w:space="0" w:color="000000"/>
            </w:tcBorders>
          </w:tcPr>
          <w:p>
            <w:pPr>
              <w:pStyle w:val="TableParagraph"/>
              <w:spacing w:before="26"/>
              <w:ind w:right="303"/>
              <w:jc w:val="right"/>
              <w:rPr>
                <w:rFonts w:ascii="Constantia" w:hAnsi="Constantia"/>
                <w:sz w:val="24"/>
              </w:rPr>
            </w:pPr>
            <w:r>
              <w:rPr>
                <w:rFonts w:ascii="Constantia" w:hAnsi="Constantia"/>
                <w:w w:val="90"/>
                <w:sz w:val="24"/>
              </w:rPr>
              <w:t>Estadístico t</w:t>
            </w:r>
          </w:p>
        </w:tc>
        <w:tc>
          <w:tcPr>
            <w:tcW w:w="1081" w:type="dxa"/>
            <w:tcBorders>
              <w:bottom w:val="double" w:sz="5" w:space="0" w:color="000000"/>
            </w:tcBorders>
          </w:tcPr>
          <w:p>
            <w:pPr>
              <w:pStyle w:val="TableParagraph"/>
              <w:spacing w:before="26"/>
              <w:ind w:left="212"/>
              <w:jc w:val="left"/>
              <w:rPr>
                <w:rFonts w:ascii="Constantia"/>
                <w:sz w:val="24"/>
              </w:rPr>
            </w:pPr>
            <w:r>
              <w:rPr>
                <w:rFonts w:ascii="Constantia"/>
                <w:sz w:val="24"/>
              </w:rPr>
              <w:t>Prob.</w:t>
            </w:r>
          </w:p>
        </w:tc>
      </w:tr>
      <w:tr>
        <w:trPr>
          <w:trHeight w:val="365" w:hRule="exact"/>
        </w:trPr>
        <w:tc>
          <w:tcPr>
            <w:tcW w:w="3165" w:type="dxa"/>
            <w:tcBorders>
              <w:top w:val="double" w:sz="5" w:space="0" w:color="000000"/>
            </w:tcBorders>
          </w:tcPr>
          <w:p>
            <w:pPr>
              <w:pStyle w:val="TableParagraph"/>
              <w:spacing w:before="35"/>
              <w:ind w:left="33"/>
              <w:jc w:val="left"/>
              <w:rPr>
                <w:rFonts w:ascii="Constantia"/>
                <w:sz w:val="24"/>
              </w:rPr>
            </w:pPr>
            <w:r>
              <w:rPr>
                <w:rFonts w:ascii="Constantia"/>
                <w:sz w:val="24"/>
              </w:rPr>
              <w:t>Constante</w:t>
            </w:r>
          </w:p>
        </w:tc>
        <w:tc>
          <w:tcPr>
            <w:tcW w:w="1327" w:type="dxa"/>
            <w:tcBorders>
              <w:top w:val="double" w:sz="5" w:space="0" w:color="000000"/>
            </w:tcBorders>
          </w:tcPr>
          <w:p>
            <w:pPr>
              <w:pStyle w:val="TableParagraph"/>
              <w:spacing w:before="35"/>
              <w:ind w:right="149"/>
              <w:jc w:val="right"/>
              <w:rPr>
                <w:rFonts w:ascii="Constantia"/>
                <w:sz w:val="24"/>
              </w:rPr>
            </w:pPr>
            <w:r>
              <w:rPr>
                <w:rFonts w:ascii="Constantia"/>
                <w:w w:val="85"/>
                <w:sz w:val="24"/>
              </w:rPr>
              <w:t>0.01</w:t>
            </w:r>
          </w:p>
        </w:tc>
        <w:tc>
          <w:tcPr>
            <w:tcW w:w="1498" w:type="dxa"/>
            <w:tcBorders>
              <w:top w:val="double" w:sz="5" w:space="0" w:color="000000"/>
            </w:tcBorders>
          </w:tcPr>
          <w:p>
            <w:pPr>
              <w:pStyle w:val="TableParagraph"/>
              <w:spacing w:before="35"/>
              <w:ind w:right="133"/>
              <w:jc w:val="right"/>
              <w:rPr>
                <w:rFonts w:ascii="Constantia"/>
                <w:sz w:val="24"/>
              </w:rPr>
            </w:pPr>
            <w:r>
              <w:rPr>
                <w:rFonts w:ascii="Constantia"/>
                <w:w w:val="85"/>
                <w:sz w:val="24"/>
              </w:rPr>
              <w:t>0.01</w:t>
            </w:r>
          </w:p>
        </w:tc>
        <w:tc>
          <w:tcPr>
            <w:tcW w:w="1546" w:type="dxa"/>
            <w:tcBorders>
              <w:top w:val="double" w:sz="5" w:space="0" w:color="000000"/>
            </w:tcBorders>
          </w:tcPr>
          <w:p>
            <w:pPr>
              <w:pStyle w:val="TableParagraph"/>
              <w:spacing w:before="35"/>
              <w:ind w:right="286"/>
              <w:jc w:val="right"/>
              <w:rPr>
                <w:rFonts w:ascii="Constantia"/>
                <w:sz w:val="24"/>
              </w:rPr>
            </w:pPr>
            <w:r>
              <w:rPr>
                <w:rFonts w:ascii="Constantia"/>
                <w:w w:val="85"/>
                <w:sz w:val="24"/>
              </w:rPr>
              <w:t>0.95</w:t>
            </w:r>
          </w:p>
        </w:tc>
        <w:tc>
          <w:tcPr>
            <w:tcW w:w="1081" w:type="dxa"/>
            <w:tcBorders>
              <w:top w:val="double" w:sz="5" w:space="0" w:color="000000"/>
            </w:tcBorders>
          </w:tcPr>
          <w:p>
            <w:pPr>
              <w:pStyle w:val="TableParagraph"/>
              <w:spacing w:before="35"/>
              <w:ind w:right="108"/>
              <w:jc w:val="right"/>
              <w:rPr>
                <w:rFonts w:ascii="Constantia"/>
                <w:sz w:val="24"/>
              </w:rPr>
            </w:pPr>
            <w:r>
              <w:rPr>
                <w:rFonts w:ascii="Constantia"/>
                <w:w w:val="85"/>
                <w:sz w:val="24"/>
              </w:rPr>
              <w:t>0.348</w:t>
            </w:r>
          </w:p>
        </w:tc>
      </w:tr>
      <w:tr>
        <w:trPr>
          <w:trHeight w:val="323" w:hRule="exact"/>
        </w:trPr>
        <w:tc>
          <w:tcPr>
            <w:tcW w:w="3165" w:type="dxa"/>
          </w:tcPr>
          <w:p>
            <w:pPr>
              <w:pStyle w:val="TableParagraph"/>
              <w:spacing w:before="13"/>
              <w:ind w:left="33"/>
              <w:jc w:val="left"/>
              <w:rPr>
                <w:rFonts w:ascii="Constantia" w:hAnsi="Constantia"/>
                <w:sz w:val="24"/>
              </w:rPr>
            </w:pPr>
            <w:r>
              <w:rPr>
                <w:rFonts w:ascii="Constantia" w:hAnsi="Constantia"/>
                <w:w w:val="90"/>
                <w:sz w:val="24"/>
              </w:rPr>
              <w:t>∆ Log Importaciones</w:t>
            </w:r>
          </w:p>
        </w:tc>
        <w:tc>
          <w:tcPr>
            <w:tcW w:w="1327" w:type="dxa"/>
          </w:tcPr>
          <w:p>
            <w:pPr>
              <w:pStyle w:val="TableParagraph"/>
              <w:spacing w:before="13"/>
              <w:ind w:right="146"/>
              <w:jc w:val="right"/>
              <w:rPr>
                <w:rFonts w:ascii="Constantia"/>
                <w:sz w:val="24"/>
              </w:rPr>
            </w:pPr>
            <w:r>
              <w:rPr>
                <w:rFonts w:ascii="Constantia"/>
                <w:w w:val="85"/>
                <w:sz w:val="24"/>
              </w:rPr>
              <w:t>0.72</w:t>
            </w:r>
          </w:p>
        </w:tc>
        <w:tc>
          <w:tcPr>
            <w:tcW w:w="1498" w:type="dxa"/>
          </w:tcPr>
          <w:p>
            <w:pPr>
              <w:pStyle w:val="TableParagraph"/>
              <w:spacing w:before="13"/>
              <w:ind w:right="132"/>
              <w:jc w:val="right"/>
              <w:rPr>
                <w:rFonts w:ascii="Constantia"/>
                <w:sz w:val="24"/>
              </w:rPr>
            </w:pPr>
            <w:r>
              <w:rPr>
                <w:rFonts w:ascii="Constantia"/>
                <w:w w:val="85"/>
                <w:sz w:val="24"/>
              </w:rPr>
              <w:t>0.14</w:t>
            </w:r>
          </w:p>
        </w:tc>
        <w:tc>
          <w:tcPr>
            <w:tcW w:w="1546" w:type="dxa"/>
          </w:tcPr>
          <w:p>
            <w:pPr>
              <w:pStyle w:val="TableParagraph"/>
              <w:spacing w:before="13"/>
              <w:ind w:right="285"/>
              <w:jc w:val="right"/>
              <w:rPr>
                <w:rFonts w:ascii="Constantia"/>
                <w:sz w:val="24"/>
              </w:rPr>
            </w:pPr>
            <w:r>
              <w:rPr>
                <w:rFonts w:ascii="Constantia"/>
                <w:w w:val="85"/>
                <w:sz w:val="24"/>
              </w:rPr>
              <w:t>5.17</w:t>
            </w:r>
          </w:p>
        </w:tc>
        <w:tc>
          <w:tcPr>
            <w:tcW w:w="1081" w:type="dxa"/>
          </w:tcPr>
          <w:p>
            <w:pPr>
              <w:pStyle w:val="TableParagraph"/>
              <w:spacing w:before="13"/>
              <w:ind w:right="109"/>
              <w:jc w:val="right"/>
              <w:rPr>
                <w:rFonts w:ascii="Constantia"/>
                <w:sz w:val="24"/>
              </w:rPr>
            </w:pPr>
            <w:r>
              <w:rPr>
                <w:rFonts w:ascii="Constantia"/>
                <w:w w:val="85"/>
                <w:sz w:val="24"/>
              </w:rPr>
              <w:t>0.000</w:t>
            </w:r>
          </w:p>
        </w:tc>
      </w:tr>
      <w:tr>
        <w:trPr>
          <w:trHeight w:val="323" w:hRule="exact"/>
        </w:trPr>
        <w:tc>
          <w:tcPr>
            <w:tcW w:w="3165" w:type="dxa"/>
          </w:tcPr>
          <w:p>
            <w:pPr>
              <w:pStyle w:val="TableParagraph"/>
              <w:spacing w:before="13"/>
              <w:ind w:left="33"/>
              <w:jc w:val="left"/>
              <w:rPr>
                <w:rFonts w:ascii="Constantia" w:hAnsi="Constantia"/>
                <w:sz w:val="24"/>
              </w:rPr>
            </w:pPr>
            <w:r>
              <w:rPr>
                <w:rFonts w:ascii="Constantia" w:hAnsi="Constantia"/>
                <w:w w:val="90"/>
                <w:sz w:val="24"/>
              </w:rPr>
              <w:t>∆ dummy de impulso 1</w:t>
            </w:r>
          </w:p>
        </w:tc>
        <w:tc>
          <w:tcPr>
            <w:tcW w:w="1327" w:type="dxa"/>
          </w:tcPr>
          <w:p>
            <w:pPr>
              <w:pStyle w:val="TableParagraph"/>
              <w:spacing w:before="13"/>
              <w:ind w:right="70"/>
              <w:jc w:val="right"/>
              <w:rPr>
                <w:rFonts w:ascii="Constantia"/>
                <w:sz w:val="24"/>
              </w:rPr>
            </w:pPr>
            <w:r>
              <w:rPr>
                <w:rFonts w:ascii="Constantia"/>
                <w:w w:val="85"/>
                <w:sz w:val="24"/>
              </w:rPr>
              <w:t>(0.20)</w:t>
            </w:r>
          </w:p>
        </w:tc>
        <w:tc>
          <w:tcPr>
            <w:tcW w:w="1498" w:type="dxa"/>
          </w:tcPr>
          <w:p>
            <w:pPr>
              <w:pStyle w:val="TableParagraph"/>
              <w:spacing w:before="13"/>
              <w:ind w:right="131"/>
              <w:jc w:val="right"/>
              <w:rPr>
                <w:rFonts w:ascii="Constantia"/>
                <w:sz w:val="24"/>
              </w:rPr>
            </w:pPr>
            <w:r>
              <w:rPr>
                <w:rFonts w:ascii="Constantia"/>
                <w:w w:val="85"/>
                <w:sz w:val="24"/>
              </w:rPr>
              <w:t>0.04</w:t>
            </w:r>
          </w:p>
        </w:tc>
        <w:tc>
          <w:tcPr>
            <w:tcW w:w="1546" w:type="dxa"/>
          </w:tcPr>
          <w:p>
            <w:pPr>
              <w:pStyle w:val="TableParagraph"/>
              <w:spacing w:before="13"/>
              <w:ind w:right="210"/>
              <w:jc w:val="right"/>
              <w:rPr>
                <w:rFonts w:ascii="Constantia"/>
                <w:sz w:val="24"/>
              </w:rPr>
            </w:pPr>
            <w:r>
              <w:rPr>
                <w:rFonts w:ascii="Constantia"/>
                <w:w w:val="85"/>
                <w:sz w:val="24"/>
              </w:rPr>
              <w:t>(4.61)</w:t>
            </w:r>
          </w:p>
        </w:tc>
        <w:tc>
          <w:tcPr>
            <w:tcW w:w="1081" w:type="dxa"/>
          </w:tcPr>
          <w:p>
            <w:pPr>
              <w:pStyle w:val="TableParagraph"/>
              <w:spacing w:before="13"/>
              <w:ind w:right="109"/>
              <w:jc w:val="right"/>
              <w:rPr>
                <w:rFonts w:ascii="Constantia"/>
                <w:sz w:val="24"/>
              </w:rPr>
            </w:pPr>
            <w:r>
              <w:rPr>
                <w:rFonts w:ascii="Constantia"/>
                <w:w w:val="85"/>
                <w:sz w:val="24"/>
              </w:rPr>
              <w:t>0.000</w:t>
            </w:r>
          </w:p>
        </w:tc>
      </w:tr>
      <w:tr>
        <w:trPr>
          <w:trHeight w:val="323" w:hRule="exact"/>
        </w:trPr>
        <w:tc>
          <w:tcPr>
            <w:tcW w:w="3165" w:type="dxa"/>
          </w:tcPr>
          <w:p>
            <w:pPr>
              <w:pStyle w:val="TableParagraph"/>
              <w:spacing w:before="13"/>
              <w:ind w:left="33"/>
              <w:jc w:val="left"/>
              <w:rPr>
                <w:rFonts w:ascii="Constantia" w:hAnsi="Constantia"/>
                <w:sz w:val="24"/>
              </w:rPr>
            </w:pPr>
            <w:r>
              <w:rPr>
                <w:rFonts w:ascii="Constantia" w:hAnsi="Constantia"/>
                <w:w w:val="90"/>
                <w:sz w:val="24"/>
              </w:rPr>
              <w:t>∆ dummy de impulso 2</w:t>
            </w:r>
          </w:p>
        </w:tc>
        <w:tc>
          <w:tcPr>
            <w:tcW w:w="1327" w:type="dxa"/>
          </w:tcPr>
          <w:p>
            <w:pPr>
              <w:pStyle w:val="TableParagraph"/>
              <w:spacing w:before="13"/>
              <w:ind w:right="145"/>
              <w:jc w:val="right"/>
              <w:rPr>
                <w:rFonts w:ascii="Constantia"/>
                <w:sz w:val="24"/>
              </w:rPr>
            </w:pPr>
            <w:r>
              <w:rPr>
                <w:rFonts w:ascii="Constantia"/>
                <w:w w:val="85"/>
                <w:sz w:val="24"/>
              </w:rPr>
              <w:t>0.26</w:t>
            </w:r>
          </w:p>
        </w:tc>
        <w:tc>
          <w:tcPr>
            <w:tcW w:w="1498" w:type="dxa"/>
          </w:tcPr>
          <w:p>
            <w:pPr>
              <w:pStyle w:val="TableParagraph"/>
              <w:spacing w:before="13"/>
              <w:ind w:right="131"/>
              <w:jc w:val="right"/>
              <w:rPr>
                <w:rFonts w:ascii="Constantia"/>
                <w:sz w:val="24"/>
              </w:rPr>
            </w:pPr>
            <w:r>
              <w:rPr>
                <w:rFonts w:ascii="Constantia"/>
                <w:w w:val="85"/>
                <w:sz w:val="24"/>
              </w:rPr>
              <w:t>0.04</w:t>
            </w:r>
          </w:p>
        </w:tc>
        <w:tc>
          <w:tcPr>
            <w:tcW w:w="1546" w:type="dxa"/>
          </w:tcPr>
          <w:p>
            <w:pPr>
              <w:pStyle w:val="TableParagraph"/>
              <w:spacing w:before="13"/>
              <w:ind w:right="289"/>
              <w:jc w:val="right"/>
              <w:rPr>
                <w:rFonts w:ascii="Constantia"/>
                <w:sz w:val="24"/>
              </w:rPr>
            </w:pPr>
            <w:r>
              <w:rPr>
                <w:rFonts w:ascii="Constantia"/>
                <w:w w:val="85"/>
                <w:sz w:val="24"/>
              </w:rPr>
              <w:t>6.01</w:t>
            </w:r>
          </w:p>
        </w:tc>
        <w:tc>
          <w:tcPr>
            <w:tcW w:w="1081" w:type="dxa"/>
          </w:tcPr>
          <w:p>
            <w:pPr>
              <w:pStyle w:val="TableParagraph"/>
              <w:spacing w:before="13"/>
              <w:ind w:right="109"/>
              <w:jc w:val="right"/>
              <w:rPr>
                <w:rFonts w:ascii="Constantia"/>
                <w:sz w:val="24"/>
              </w:rPr>
            </w:pPr>
            <w:r>
              <w:rPr>
                <w:rFonts w:ascii="Constantia"/>
                <w:w w:val="85"/>
                <w:sz w:val="24"/>
              </w:rPr>
              <w:t>0.000</w:t>
            </w:r>
          </w:p>
        </w:tc>
      </w:tr>
      <w:tr>
        <w:trPr>
          <w:trHeight w:val="307" w:hRule="exact"/>
        </w:trPr>
        <w:tc>
          <w:tcPr>
            <w:tcW w:w="3165" w:type="dxa"/>
            <w:tcBorders>
              <w:bottom w:val="double" w:sz="5" w:space="0" w:color="000000"/>
            </w:tcBorders>
          </w:tcPr>
          <w:p>
            <w:pPr>
              <w:pStyle w:val="TableParagraph"/>
              <w:spacing w:before="13"/>
              <w:ind w:left="33"/>
              <w:jc w:val="left"/>
              <w:rPr>
                <w:rFonts w:ascii="Constantia" w:hAnsi="Constantia"/>
                <w:sz w:val="24"/>
              </w:rPr>
            </w:pPr>
            <w:r>
              <w:rPr>
                <w:rFonts w:ascii="Constantia" w:hAnsi="Constantia"/>
                <w:w w:val="90"/>
                <w:sz w:val="24"/>
              </w:rPr>
              <w:t>Término autoregresivo (1 rezago)</w:t>
            </w:r>
          </w:p>
        </w:tc>
        <w:tc>
          <w:tcPr>
            <w:tcW w:w="1327" w:type="dxa"/>
            <w:tcBorders>
              <w:bottom w:val="double" w:sz="5" w:space="0" w:color="000000"/>
            </w:tcBorders>
          </w:tcPr>
          <w:p>
            <w:pPr>
              <w:pStyle w:val="TableParagraph"/>
              <w:spacing w:before="13"/>
              <w:ind w:right="146"/>
              <w:jc w:val="right"/>
              <w:rPr>
                <w:rFonts w:ascii="Constantia"/>
                <w:sz w:val="24"/>
              </w:rPr>
            </w:pPr>
            <w:r>
              <w:rPr>
                <w:rFonts w:ascii="Constantia"/>
                <w:w w:val="85"/>
                <w:sz w:val="24"/>
              </w:rPr>
              <w:t>0.38</w:t>
            </w:r>
          </w:p>
        </w:tc>
        <w:tc>
          <w:tcPr>
            <w:tcW w:w="1498" w:type="dxa"/>
            <w:tcBorders>
              <w:bottom w:val="double" w:sz="5" w:space="0" w:color="000000"/>
            </w:tcBorders>
          </w:tcPr>
          <w:p>
            <w:pPr>
              <w:pStyle w:val="TableParagraph"/>
              <w:spacing w:before="13"/>
              <w:ind w:right="136"/>
              <w:jc w:val="right"/>
              <w:rPr>
                <w:rFonts w:ascii="Constantia"/>
                <w:sz w:val="24"/>
              </w:rPr>
            </w:pPr>
            <w:r>
              <w:rPr>
                <w:rFonts w:ascii="Constantia"/>
                <w:w w:val="85"/>
                <w:sz w:val="24"/>
              </w:rPr>
              <w:t>0.13</w:t>
            </w:r>
          </w:p>
        </w:tc>
        <w:tc>
          <w:tcPr>
            <w:tcW w:w="1546" w:type="dxa"/>
            <w:tcBorders>
              <w:bottom w:val="double" w:sz="5" w:space="0" w:color="000000"/>
            </w:tcBorders>
          </w:tcPr>
          <w:p>
            <w:pPr>
              <w:pStyle w:val="TableParagraph"/>
              <w:spacing w:before="13"/>
              <w:ind w:right="284"/>
              <w:jc w:val="right"/>
              <w:rPr>
                <w:rFonts w:ascii="Constantia"/>
                <w:sz w:val="24"/>
              </w:rPr>
            </w:pPr>
            <w:r>
              <w:rPr>
                <w:rFonts w:ascii="Constantia"/>
                <w:w w:val="85"/>
                <w:sz w:val="24"/>
              </w:rPr>
              <w:t>2.80</w:t>
            </w:r>
          </w:p>
        </w:tc>
        <w:tc>
          <w:tcPr>
            <w:tcW w:w="1081" w:type="dxa"/>
            <w:tcBorders>
              <w:bottom w:val="double" w:sz="5" w:space="0" w:color="000000"/>
            </w:tcBorders>
          </w:tcPr>
          <w:p>
            <w:pPr>
              <w:pStyle w:val="TableParagraph"/>
              <w:spacing w:before="13"/>
              <w:ind w:right="108"/>
              <w:jc w:val="right"/>
              <w:rPr>
                <w:rFonts w:ascii="Constantia"/>
                <w:sz w:val="24"/>
              </w:rPr>
            </w:pPr>
            <w:r>
              <w:rPr>
                <w:rFonts w:ascii="Constantia"/>
                <w:w w:val="85"/>
                <w:sz w:val="24"/>
              </w:rPr>
              <w:t>0.008</w:t>
            </w:r>
          </w:p>
        </w:tc>
      </w:tr>
      <w:tr>
        <w:trPr>
          <w:trHeight w:val="378" w:hRule="exact"/>
        </w:trPr>
        <w:tc>
          <w:tcPr>
            <w:tcW w:w="3165" w:type="dxa"/>
            <w:tcBorders>
              <w:top w:val="double" w:sz="5" w:space="0" w:color="000000"/>
            </w:tcBorders>
          </w:tcPr>
          <w:p>
            <w:pPr>
              <w:pStyle w:val="TableParagraph"/>
              <w:spacing w:before="35"/>
              <w:ind w:left="33"/>
              <w:jc w:val="left"/>
              <w:rPr>
                <w:rFonts w:ascii="Constantia"/>
                <w:sz w:val="24"/>
              </w:rPr>
            </w:pPr>
            <w:r>
              <w:rPr>
                <w:rFonts w:ascii="Constantia"/>
                <w:sz w:val="24"/>
              </w:rPr>
              <w:t>R2</w:t>
            </w:r>
          </w:p>
        </w:tc>
        <w:tc>
          <w:tcPr>
            <w:tcW w:w="1327" w:type="dxa"/>
            <w:tcBorders>
              <w:top w:val="double" w:sz="5" w:space="0" w:color="000000"/>
            </w:tcBorders>
          </w:tcPr>
          <w:p>
            <w:pPr>
              <w:pStyle w:val="TableParagraph"/>
              <w:spacing w:before="35"/>
              <w:ind w:right="146"/>
              <w:jc w:val="right"/>
              <w:rPr>
                <w:rFonts w:ascii="Constantia"/>
                <w:sz w:val="24"/>
              </w:rPr>
            </w:pPr>
            <w:r>
              <w:rPr>
                <w:rFonts w:ascii="Constantia"/>
                <w:w w:val="85"/>
                <w:sz w:val="24"/>
              </w:rPr>
              <w:t>0.67</w:t>
            </w:r>
          </w:p>
        </w:tc>
        <w:tc>
          <w:tcPr>
            <w:tcW w:w="1498" w:type="dxa"/>
            <w:tcBorders>
              <w:top w:val="double" w:sz="5" w:space="0" w:color="000000"/>
            </w:tcBorders>
          </w:tcPr>
          <w:p>
            <w:pPr/>
          </w:p>
        </w:tc>
        <w:tc>
          <w:tcPr>
            <w:tcW w:w="1546" w:type="dxa"/>
            <w:tcBorders>
              <w:top w:val="double" w:sz="5" w:space="0" w:color="000000"/>
            </w:tcBorders>
          </w:tcPr>
          <w:p>
            <w:pPr/>
          </w:p>
        </w:tc>
        <w:tc>
          <w:tcPr>
            <w:tcW w:w="1081" w:type="dxa"/>
            <w:tcBorders>
              <w:top w:val="double" w:sz="5" w:space="0" w:color="000000"/>
            </w:tcBorders>
          </w:tcPr>
          <w:p>
            <w:pPr/>
          </w:p>
        </w:tc>
      </w:tr>
    </w:tbl>
    <w:p>
      <w:pPr>
        <w:pStyle w:val="BodyText"/>
        <w:tabs>
          <w:tab w:pos="4064" w:val="left" w:leader="none"/>
        </w:tabs>
        <w:ind w:left="112"/>
        <w:rPr>
          <w:rFonts w:ascii="Constantia"/>
        </w:rPr>
      </w:pPr>
      <w:r>
        <w:rPr>
          <w:rFonts w:ascii="Constantia"/>
          <w:spacing w:val="-20"/>
          <w:w w:val="88"/>
          <w:u w:val="thick"/>
        </w:rPr>
        <w:t> </w:t>
      </w:r>
      <w:r>
        <w:rPr>
          <w:rFonts w:ascii="Constantia"/>
          <w:u w:val="thick"/>
        </w:rPr>
        <w:t>R2</w:t>
      </w:r>
      <w:r>
        <w:rPr>
          <w:rFonts w:ascii="Constantia"/>
          <w:spacing w:val="-43"/>
          <w:u w:val="thick"/>
        </w:rPr>
        <w:t> </w:t>
      </w:r>
      <w:r>
        <w:rPr>
          <w:rFonts w:ascii="Constantia"/>
          <w:u w:val="thick"/>
        </w:rPr>
        <w:t>ajustada</w:t>
        <w:tab/>
        <w:t>0.64</w:t>
      </w:r>
      <w:r>
        <w:rPr>
          <w:rFonts w:ascii="Constantia"/>
          <w:spacing w:val="-10"/>
          <w:u w:val="thick"/>
        </w:rPr>
        <w:t> </w:t>
      </w:r>
    </w:p>
    <w:p>
      <w:pPr>
        <w:pStyle w:val="BodyText"/>
        <w:tabs>
          <w:tab w:pos="4109" w:val="left" w:leader="none"/>
        </w:tabs>
        <w:spacing w:line="285" w:lineRule="auto" w:before="55"/>
        <w:ind w:left="145" w:right="4474" w:hanging="34"/>
        <w:rPr>
          <w:rFonts w:ascii="Constantia"/>
        </w:rPr>
      </w:pPr>
      <w:r>
        <w:rPr>
          <w:rFonts w:ascii="Constantia"/>
          <w:spacing w:val="-20"/>
          <w:w w:val="88"/>
          <w:u w:val="thick"/>
        </w:rPr>
        <w:t> </w:t>
      </w:r>
      <w:r>
        <w:rPr>
          <w:rFonts w:ascii="Constantia"/>
          <w:w w:val="90"/>
          <w:u w:val="thick"/>
        </w:rPr>
        <w:t>Durbin-Watson</w:t>
        <w:tab/>
      </w:r>
      <w:r>
        <w:rPr>
          <w:rFonts w:ascii="Constantia"/>
          <w:u w:val="thick"/>
        </w:rPr>
        <w:t>1.98 </w:t>
      </w:r>
      <w:r>
        <w:rPr>
          <w:rFonts w:ascii="Constantia"/>
          <w:w w:val="95"/>
        </w:rPr>
        <w:t>Arch</w:t>
      </w:r>
      <w:r>
        <w:rPr>
          <w:rFonts w:ascii="Constantia"/>
          <w:spacing w:val="-37"/>
          <w:w w:val="95"/>
        </w:rPr>
        <w:t> </w:t>
      </w:r>
      <w:r>
        <w:rPr>
          <w:rFonts w:ascii="Constantia"/>
          <w:w w:val="95"/>
        </w:rPr>
        <w:t>-</w:t>
      </w:r>
      <w:r>
        <w:rPr>
          <w:rFonts w:ascii="Constantia"/>
          <w:spacing w:val="-36"/>
          <w:w w:val="95"/>
        </w:rPr>
        <w:t> </w:t>
      </w:r>
      <w:r>
        <w:rPr>
          <w:rFonts w:ascii="Constantia"/>
          <w:w w:val="95"/>
        </w:rPr>
        <w:t>LM</w:t>
      </w:r>
      <w:r>
        <w:rPr>
          <w:rFonts w:ascii="Constantia"/>
          <w:spacing w:val="-38"/>
          <w:w w:val="95"/>
        </w:rPr>
        <w:t> </w:t>
      </w:r>
      <w:r>
        <w:rPr>
          <w:rFonts w:ascii="Constantia"/>
          <w:w w:val="95"/>
        </w:rPr>
        <w:t>(1</w:t>
      </w:r>
      <w:r>
        <w:rPr>
          <w:rFonts w:ascii="Constantia"/>
          <w:spacing w:val="-37"/>
          <w:w w:val="95"/>
        </w:rPr>
        <w:t> </w:t>
      </w:r>
      <w:r>
        <w:rPr>
          <w:rFonts w:ascii="Constantia"/>
          <w:w w:val="95"/>
        </w:rPr>
        <w:t>rezago)</w:t>
      </w:r>
    </w:p>
    <w:p>
      <w:pPr>
        <w:pStyle w:val="BodyText"/>
        <w:tabs>
          <w:tab w:pos="4109" w:val="left" w:leader="none"/>
        </w:tabs>
        <w:spacing w:line="267" w:lineRule="exact"/>
        <w:ind w:left="112"/>
        <w:rPr>
          <w:rFonts w:ascii="Constantia" w:hAnsi="Constantia"/>
        </w:rPr>
      </w:pPr>
      <w:r>
        <w:rPr>
          <w:rFonts w:ascii="Constantia" w:hAnsi="Constantia"/>
          <w:spacing w:val="-20"/>
          <w:w w:val="88"/>
          <w:u w:val="thick"/>
        </w:rPr>
        <w:t> </w:t>
      </w:r>
      <w:r>
        <w:rPr>
          <w:rFonts w:ascii="Constantia" w:hAnsi="Constantia"/>
          <w:w w:val="95"/>
          <w:u w:val="thick"/>
        </w:rPr>
        <w:t>Prob.</w:t>
      </w:r>
      <w:r>
        <w:rPr>
          <w:rFonts w:ascii="Constantia" w:hAnsi="Constantia"/>
          <w:spacing w:val="-30"/>
          <w:w w:val="95"/>
          <w:u w:val="thick"/>
        </w:rPr>
        <w:t> </w:t>
      </w:r>
      <w:r>
        <w:rPr>
          <w:rFonts w:ascii="Constantia" w:hAnsi="Constantia"/>
          <w:w w:val="95"/>
          <w:u w:val="thick"/>
        </w:rPr>
        <w:t>Estadístico</w:t>
      </w:r>
      <w:r>
        <w:rPr>
          <w:rFonts w:ascii="Constantia" w:hAnsi="Constantia"/>
          <w:spacing w:val="-32"/>
          <w:w w:val="95"/>
          <w:u w:val="thick"/>
        </w:rPr>
        <w:t> </w:t>
      </w:r>
      <w:r>
        <w:rPr>
          <w:rFonts w:ascii="Constantia" w:hAnsi="Constantia"/>
          <w:w w:val="95"/>
          <w:u w:val="thick"/>
        </w:rPr>
        <w:t>F</w:t>
        <w:tab/>
      </w:r>
      <w:r>
        <w:rPr>
          <w:rFonts w:ascii="Constantia" w:hAnsi="Constantia"/>
          <w:u w:val="thick"/>
        </w:rPr>
        <w:t>0.16</w:t>
      </w:r>
      <w:r>
        <w:rPr>
          <w:rFonts w:ascii="Constantia" w:hAnsi="Constantia"/>
          <w:spacing w:val="-12"/>
          <w:u w:val="thick"/>
        </w:rPr>
        <w:t> </w:t>
      </w:r>
    </w:p>
    <w:p>
      <w:pPr>
        <w:pStyle w:val="BodyText"/>
        <w:tabs>
          <w:tab w:pos="4064" w:val="left" w:leader="none"/>
          <w:tab w:pos="4565" w:val="left" w:leader="none"/>
        </w:tabs>
        <w:spacing w:line="285" w:lineRule="auto" w:before="55"/>
        <w:ind w:left="145" w:right="4474" w:hanging="34"/>
        <w:rPr>
          <w:rFonts w:ascii="Constantia"/>
        </w:rPr>
      </w:pPr>
      <w:r>
        <w:rPr>
          <w:rFonts w:ascii="Constantia"/>
          <w:spacing w:val="-20"/>
          <w:w w:val="88"/>
          <w:u w:val="thick"/>
        </w:rPr>
        <w:t> </w:t>
      </w:r>
      <w:r>
        <w:rPr>
          <w:rFonts w:ascii="Constantia"/>
          <w:spacing w:val="-3"/>
          <w:u w:val="thick"/>
        </w:rPr>
        <w:t>Normalidad</w:t>
        <w:tab/>
        <w:tab/>
      </w:r>
      <w:r>
        <w:rPr>
          <w:rFonts w:ascii="Constantia"/>
        </w:rPr>
        <w:t> </w:t>
      </w:r>
      <w:r>
        <w:rPr>
          <w:rFonts w:ascii="Constantia"/>
          <w:w w:val="95"/>
        </w:rPr>
        <w:t>Jarque-Bera</w:t>
        <w:tab/>
      </w:r>
      <w:r>
        <w:rPr>
          <w:rFonts w:ascii="Constantia"/>
        </w:rPr>
        <w:t>0.84</w:t>
      </w:r>
    </w:p>
    <w:p>
      <w:pPr>
        <w:pStyle w:val="BodyText"/>
        <w:tabs>
          <w:tab w:pos="4064" w:val="left" w:leader="none"/>
        </w:tabs>
        <w:spacing w:line="267" w:lineRule="exact"/>
        <w:ind w:left="112"/>
        <w:rPr>
          <w:rFonts w:ascii="Constantia"/>
        </w:rPr>
      </w:pPr>
      <w:r>
        <w:rPr>
          <w:rFonts w:ascii="Constantia"/>
          <w:spacing w:val="-20"/>
          <w:w w:val="88"/>
          <w:u w:val="thick"/>
        </w:rPr>
        <w:t> </w:t>
      </w:r>
      <w:r>
        <w:rPr>
          <w:rFonts w:ascii="Constantia"/>
          <w:u w:val="thick"/>
        </w:rPr>
        <w:t>Prob.</w:t>
        <w:tab/>
        <w:t>0.66</w:t>
      </w:r>
      <w:r>
        <w:rPr>
          <w:rFonts w:ascii="Constantia"/>
          <w:spacing w:val="-12"/>
          <w:u w:val="thick"/>
        </w:rPr>
        <w:t> </w:t>
      </w:r>
    </w:p>
    <w:p>
      <w:pPr>
        <w:spacing w:before="137"/>
        <w:ind w:left="102" w:right="0" w:firstLine="0"/>
        <w:jc w:val="left"/>
        <w:rPr>
          <w:sz w:val="20"/>
        </w:rPr>
      </w:pPr>
      <w:r>
        <w:rPr>
          <w:sz w:val="20"/>
        </w:rPr>
        <w:t>Fuente: Estimaciones propias con base en información del Banco Central de Bolivia (2012) y del INE (2013).</w:t>
      </w:r>
    </w:p>
    <w:p>
      <w:pPr>
        <w:pStyle w:val="BodyText"/>
        <w:spacing w:before="1"/>
      </w:pPr>
    </w:p>
    <w:p>
      <w:pPr>
        <w:pStyle w:val="ListParagraph"/>
        <w:numPr>
          <w:ilvl w:val="0"/>
          <w:numId w:val="26"/>
        </w:numPr>
        <w:tabs>
          <w:tab w:pos="462" w:val="left" w:leader="none"/>
        </w:tabs>
        <w:spacing w:line="240" w:lineRule="auto" w:before="0" w:after="0"/>
        <w:ind w:left="462" w:right="0" w:hanging="360"/>
        <w:jc w:val="left"/>
        <w:rPr>
          <w:sz w:val="24"/>
        </w:rPr>
      </w:pPr>
      <w:r>
        <w:rPr>
          <w:sz w:val="24"/>
        </w:rPr>
        <w:t>Elasticidad de las importaciones en función del PIB</w:t>
      </w:r>
      <w:r>
        <w:rPr>
          <w:spacing w:val="-12"/>
          <w:sz w:val="24"/>
        </w:rPr>
        <w:t> </w:t>
      </w:r>
      <w:r>
        <w:rPr>
          <w:sz w:val="24"/>
        </w:rPr>
        <w:t>rezagado.</w:t>
      </w:r>
    </w:p>
    <w:p>
      <w:pPr>
        <w:pStyle w:val="BodyText"/>
        <w:spacing w:before="2"/>
        <w:rPr>
          <w:sz w:val="19"/>
        </w:rPr>
      </w:pPr>
    </w:p>
    <w:p>
      <w:pPr>
        <w:spacing w:before="51"/>
        <w:ind w:left="152" w:right="0" w:firstLine="0"/>
        <w:jc w:val="left"/>
        <w:rPr>
          <w:rFonts w:ascii="Constantia" w:hAnsi="Constantia"/>
          <w:b/>
          <w:sz w:val="25"/>
        </w:rPr>
      </w:pPr>
      <w:r>
        <w:rPr>
          <w:rFonts w:ascii="Constantia" w:hAnsi="Constantia"/>
          <w:b/>
          <w:sz w:val="25"/>
        </w:rPr>
        <w:t>Variable dependiente: ∆ Log de las importaciones</w:t>
      </w:r>
    </w:p>
    <w:p>
      <w:pPr>
        <w:spacing w:before="26" w:after="21"/>
        <w:ind w:left="152" w:right="0" w:firstLine="0"/>
        <w:jc w:val="left"/>
        <w:rPr>
          <w:rFonts w:ascii="Constantia"/>
          <w:sz w:val="25"/>
        </w:rPr>
      </w:pPr>
      <w:r>
        <w:rPr>
          <w:rFonts w:ascii="Constantia"/>
          <w:sz w:val="25"/>
        </w:rPr>
        <w:t>Datos: 2000(T2) - 2012 (T1)</w:t>
      </w:r>
    </w:p>
    <w:tbl>
      <w:tblPr>
        <w:tblW w:w="0" w:type="auto"/>
        <w:jc w:val="left"/>
        <w:tblInd w:w="1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61"/>
        <w:gridCol w:w="1956"/>
        <w:gridCol w:w="1782"/>
        <w:gridCol w:w="1883"/>
        <w:gridCol w:w="1100"/>
      </w:tblGrid>
      <w:tr>
        <w:trPr>
          <w:trHeight w:val="330" w:hRule="exact"/>
        </w:trPr>
        <w:tc>
          <w:tcPr>
            <w:tcW w:w="2061" w:type="dxa"/>
            <w:tcBorders>
              <w:bottom w:val="double" w:sz="5" w:space="0" w:color="000000"/>
            </w:tcBorders>
          </w:tcPr>
          <w:p>
            <w:pPr>
              <w:pStyle w:val="TableParagraph"/>
              <w:spacing w:before="5"/>
              <w:ind w:left="655"/>
              <w:jc w:val="left"/>
              <w:rPr>
                <w:rFonts w:ascii="Constantia"/>
                <w:sz w:val="25"/>
              </w:rPr>
            </w:pPr>
            <w:r>
              <w:rPr>
                <w:rFonts w:ascii="Constantia"/>
                <w:sz w:val="25"/>
              </w:rPr>
              <w:t>Variables</w:t>
            </w:r>
          </w:p>
        </w:tc>
        <w:tc>
          <w:tcPr>
            <w:tcW w:w="1956" w:type="dxa"/>
            <w:tcBorders>
              <w:bottom w:val="double" w:sz="5" w:space="0" w:color="000000"/>
            </w:tcBorders>
          </w:tcPr>
          <w:p>
            <w:pPr>
              <w:pStyle w:val="TableParagraph"/>
              <w:spacing w:before="5"/>
              <w:ind w:left="433"/>
              <w:jc w:val="left"/>
              <w:rPr>
                <w:rFonts w:ascii="Constantia"/>
                <w:sz w:val="25"/>
              </w:rPr>
            </w:pPr>
            <w:r>
              <w:rPr>
                <w:rFonts w:ascii="Constantia"/>
                <w:sz w:val="25"/>
              </w:rPr>
              <w:t>Coeficientes</w:t>
            </w:r>
          </w:p>
        </w:tc>
        <w:tc>
          <w:tcPr>
            <w:tcW w:w="1782" w:type="dxa"/>
            <w:tcBorders>
              <w:bottom w:val="double" w:sz="5" w:space="0" w:color="000000"/>
            </w:tcBorders>
          </w:tcPr>
          <w:p>
            <w:pPr>
              <w:pStyle w:val="TableParagraph"/>
              <w:spacing w:before="5"/>
              <w:ind w:right="177"/>
              <w:jc w:val="right"/>
              <w:rPr>
                <w:rFonts w:ascii="Constantia" w:hAnsi="Constantia"/>
                <w:sz w:val="25"/>
              </w:rPr>
            </w:pPr>
            <w:r>
              <w:rPr>
                <w:rFonts w:ascii="Constantia" w:hAnsi="Constantia"/>
                <w:sz w:val="25"/>
              </w:rPr>
              <w:t>Error estándar</w:t>
            </w:r>
          </w:p>
        </w:tc>
        <w:tc>
          <w:tcPr>
            <w:tcW w:w="1883" w:type="dxa"/>
            <w:tcBorders>
              <w:bottom w:val="double" w:sz="5" w:space="0" w:color="000000"/>
            </w:tcBorders>
          </w:tcPr>
          <w:p>
            <w:pPr>
              <w:pStyle w:val="TableParagraph"/>
              <w:spacing w:before="5"/>
              <w:ind w:left="179"/>
              <w:jc w:val="left"/>
              <w:rPr>
                <w:rFonts w:ascii="Constantia" w:hAnsi="Constantia"/>
                <w:sz w:val="25"/>
              </w:rPr>
            </w:pPr>
            <w:r>
              <w:rPr>
                <w:rFonts w:ascii="Constantia" w:hAnsi="Constantia"/>
                <w:sz w:val="25"/>
              </w:rPr>
              <w:t>Estadístico t</w:t>
            </w:r>
          </w:p>
        </w:tc>
        <w:tc>
          <w:tcPr>
            <w:tcW w:w="1100" w:type="dxa"/>
            <w:tcBorders>
              <w:bottom w:val="double" w:sz="5" w:space="0" w:color="000000"/>
            </w:tcBorders>
          </w:tcPr>
          <w:p>
            <w:pPr>
              <w:pStyle w:val="TableParagraph"/>
              <w:spacing w:before="5"/>
              <w:ind w:left="199"/>
              <w:jc w:val="left"/>
              <w:rPr>
                <w:rFonts w:ascii="Constantia"/>
                <w:sz w:val="25"/>
              </w:rPr>
            </w:pPr>
            <w:r>
              <w:rPr>
                <w:rFonts w:ascii="Constantia"/>
                <w:sz w:val="25"/>
              </w:rPr>
              <w:t>Prob.</w:t>
            </w:r>
          </w:p>
        </w:tc>
      </w:tr>
      <w:tr>
        <w:trPr>
          <w:trHeight w:val="368" w:hRule="exact"/>
        </w:trPr>
        <w:tc>
          <w:tcPr>
            <w:tcW w:w="2061" w:type="dxa"/>
            <w:tcBorders>
              <w:top w:val="double" w:sz="5" w:space="0" w:color="000000"/>
            </w:tcBorders>
          </w:tcPr>
          <w:p>
            <w:pPr>
              <w:pStyle w:val="TableParagraph"/>
              <w:spacing w:before="13"/>
              <w:ind w:left="38"/>
              <w:jc w:val="left"/>
              <w:rPr>
                <w:rFonts w:ascii="Constantia"/>
                <w:sz w:val="25"/>
              </w:rPr>
            </w:pPr>
            <w:r>
              <w:rPr>
                <w:rFonts w:ascii="Constantia"/>
                <w:sz w:val="25"/>
              </w:rPr>
              <w:t>Constante</w:t>
            </w:r>
          </w:p>
        </w:tc>
        <w:tc>
          <w:tcPr>
            <w:tcW w:w="1956" w:type="dxa"/>
            <w:tcBorders>
              <w:top w:val="double" w:sz="5" w:space="0" w:color="000000"/>
            </w:tcBorders>
          </w:tcPr>
          <w:p>
            <w:pPr>
              <w:pStyle w:val="TableParagraph"/>
              <w:spacing w:before="13"/>
              <w:ind w:left="1294"/>
              <w:jc w:val="left"/>
              <w:rPr>
                <w:rFonts w:ascii="Constantia"/>
                <w:sz w:val="25"/>
              </w:rPr>
            </w:pPr>
            <w:r>
              <w:rPr>
                <w:rFonts w:ascii="Constantia"/>
                <w:sz w:val="25"/>
              </w:rPr>
              <w:t>(0.01)</w:t>
            </w:r>
          </w:p>
        </w:tc>
        <w:tc>
          <w:tcPr>
            <w:tcW w:w="1782" w:type="dxa"/>
            <w:tcBorders>
              <w:top w:val="double" w:sz="5" w:space="0" w:color="000000"/>
            </w:tcBorders>
          </w:tcPr>
          <w:p>
            <w:pPr>
              <w:pStyle w:val="TableParagraph"/>
              <w:spacing w:before="13"/>
              <w:ind w:right="192"/>
              <w:jc w:val="right"/>
              <w:rPr>
                <w:rFonts w:ascii="Constantia"/>
                <w:sz w:val="25"/>
              </w:rPr>
            </w:pPr>
            <w:r>
              <w:rPr>
                <w:rFonts w:ascii="Constantia"/>
                <w:w w:val="95"/>
                <w:sz w:val="25"/>
              </w:rPr>
              <w:t>0.01</w:t>
            </w:r>
          </w:p>
        </w:tc>
        <w:tc>
          <w:tcPr>
            <w:tcW w:w="1883" w:type="dxa"/>
            <w:tcBorders>
              <w:top w:val="double" w:sz="5" w:space="0" w:color="000000"/>
            </w:tcBorders>
          </w:tcPr>
          <w:p>
            <w:pPr>
              <w:pStyle w:val="TableParagraph"/>
              <w:spacing w:before="13"/>
              <w:ind w:right="197"/>
              <w:jc w:val="right"/>
              <w:rPr>
                <w:rFonts w:ascii="Constantia"/>
                <w:sz w:val="25"/>
              </w:rPr>
            </w:pPr>
            <w:r>
              <w:rPr>
                <w:rFonts w:ascii="Constantia"/>
                <w:w w:val="95"/>
                <w:sz w:val="25"/>
              </w:rPr>
              <w:t>(0.71)</w:t>
            </w:r>
          </w:p>
        </w:tc>
        <w:tc>
          <w:tcPr>
            <w:tcW w:w="1100" w:type="dxa"/>
            <w:tcBorders>
              <w:top w:val="double" w:sz="5" w:space="0" w:color="000000"/>
            </w:tcBorders>
          </w:tcPr>
          <w:p>
            <w:pPr>
              <w:pStyle w:val="TableParagraph"/>
              <w:spacing w:before="13"/>
              <w:ind w:right="122"/>
              <w:jc w:val="right"/>
              <w:rPr>
                <w:rFonts w:ascii="Constantia"/>
                <w:sz w:val="25"/>
              </w:rPr>
            </w:pPr>
            <w:r>
              <w:rPr>
                <w:rFonts w:ascii="Constantia"/>
                <w:w w:val="95"/>
                <w:sz w:val="25"/>
              </w:rPr>
              <w:t>0.479</w:t>
            </w:r>
          </w:p>
        </w:tc>
      </w:tr>
      <w:tr>
        <w:trPr>
          <w:trHeight w:val="322" w:hRule="exact"/>
        </w:trPr>
        <w:tc>
          <w:tcPr>
            <w:tcW w:w="2061" w:type="dxa"/>
            <w:tcBorders>
              <w:bottom w:val="double" w:sz="5" w:space="0" w:color="000000"/>
            </w:tcBorders>
          </w:tcPr>
          <w:p>
            <w:pPr>
              <w:pStyle w:val="TableParagraph"/>
              <w:spacing w:line="290" w:lineRule="exact"/>
              <w:ind w:left="38"/>
              <w:jc w:val="left"/>
              <w:rPr>
                <w:rFonts w:ascii="Constantia" w:hAnsi="Constantia"/>
                <w:sz w:val="17"/>
              </w:rPr>
            </w:pPr>
            <w:r>
              <w:rPr>
                <w:rFonts w:ascii="Constantia" w:hAnsi="Constantia"/>
                <w:sz w:val="25"/>
              </w:rPr>
              <w:t>∆ Log PIB </w:t>
            </w:r>
            <w:r>
              <w:rPr>
                <w:rFonts w:ascii="Constantia" w:hAnsi="Constantia"/>
                <w:sz w:val="17"/>
              </w:rPr>
              <w:t>t-1</w:t>
            </w:r>
          </w:p>
        </w:tc>
        <w:tc>
          <w:tcPr>
            <w:tcW w:w="1956" w:type="dxa"/>
            <w:tcBorders>
              <w:bottom w:val="double" w:sz="5" w:space="0" w:color="000000"/>
            </w:tcBorders>
          </w:tcPr>
          <w:p>
            <w:pPr>
              <w:pStyle w:val="TableParagraph"/>
              <w:spacing w:line="303" w:lineRule="exact"/>
              <w:ind w:right="170"/>
              <w:jc w:val="right"/>
              <w:rPr>
                <w:rFonts w:ascii="Constantia"/>
                <w:sz w:val="25"/>
              </w:rPr>
            </w:pPr>
            <w:r>
              <w:rPr>
                <w:rFonts w:ascii="Constantia"/>
                <w:w w:val="95"/>
                <w:sz w:val="25"/>
              </w:rPr>
              <w:t>0.54</w:t>
            </w:r>
          </w:p>
        </w:tc>
        <w:tc>
          <w:tcPr>
            <w:tcW w:w="1782" w:type="dxa"/>
            <w:tcBorders>
              <w:bottom w:val="double" w:sz="5" w:space="0" w:color="000000"/>
            </w:tcBorders>
          </w:tcPr>
          <w:p>
            <w:pPr>
              <w:pStyle w:val="TableParagraph"/>
              <w:spacing w:line="303" w:lineRule="exact"/>
              <w:ind w:right="187"/>
              <w:jc w:val="right"/>
              <w:rPr>
                <w:rFonts w:ascii="Constantia"/>
                <w:sz w:val="25"/>
              </w:rPr>
            </w:pPr>
            <w:r>
              <w:rPr>
                <w:rFonts w:ascii="Constantia"/>
                <w:w w:val="95"/>
                <w:sz w:val="25"/>
              </w:rPr>
              <w:t>0.29</w:t>
            </w:r>
          </w:p>
        </w:tc>
        <w:tc>
          <w:tcPr>
            <w:tcW w:w="1883" w:type="dxa"/>
            <w:tcBorders>
              <w:bottom w:val="double" w:sz="5" w:space="0" w:color="000000"/>
            </w:tcBorders>
          </w:tcPr>
          <w:p>
            <w:pPr>
              <w:pStyle w:val="TableParagraph"/>
              <w:spacing w:line="303" w:lineRule="exact"/>
              <w:ind w:right="283"/>
              <w:jc w:val="right"/>
              <w:rPr>
                <w:rFonts w:ascii="Constantia"/>
                <w:sz w:val="25"/>
              </w:rPr>
            </w:pPr>
            <w:r>
              <w:rPr>
                <w:rFonts w:ascii="Constantia"/>
                <w:w w:val="95"/>
                <w:sz w:val="25"/>
              </w:rPr>
              <w:t>1.86</w:t>
            </w:r>
          </w:p>
        </w:tc>
        <w:tc>
          <w:tcPr>
            <w:tcW w:w="1100" w:type="dxa"/>
            <w:tcBorders>
              <w:bottom w:val="double" w:sz="5" w:space="0" w:color="000000"/>
            </w:tcBorders>
          </w:tcPr>
          <w:p>
            <w:pPr>
              <w:pStyle w:val="TableParagraph"/>
              <w:spacing w:line="303" w:lineRule="exact"/>
              <w:ind w:right="124"/>
              <w:jc w:val="right"/>
              <w:rPr>
                <w:rFonts w:ascii="Constantia"/>
                <w:sz w:val="25"/>
              </w:rPr>
            </w:pPr>
            <w:r>
              <w:rPr>
                <w:rFonts w:ascii="Constantia"/>
                <w:w w:val="95"/>
                <w:sz w:val="25"/>
              </w:rPr>
              <w:t>0.070</w:t>
            </w:r>
          </w:p>
        </w:tc>
      </w:tr>
      <w:tr>
        <w:trPr>
          <w:trHeight w:val="389" w:hRule="exact"/>
        </w:trPr>
        <w:tc>
          <w:tcPr>
            <w:tcW w:w="2061" w:type="dxa"/>
            <w:tcBorders>
              <w:top w:val="double" w:sz="5" w:space="0" w:color="000000"/>
            </w:tcBorders>
          </w:tcPr>
          <w:p>
            <w:pPr>
              <w:pStyle w:val="TableParagraph"/>
              <w:spacing w:before="14"/>
              <w:ind w:left="38"/>
              <w:jc w:val="left"/>
              <w:rPr>
                <w:rFonts w:ascii="Constantia"/>
                <w:sz w:val="25"/>
              </w:rPr>
            </w:pPr>
            <w:r>
              <w:rPr>
                <w:rFonts w:ascii="Constantia"/>
                <w:sz w:val="25"/>
              </w:rPr>
              <w:t>R2</w:t>
            </w:r>
          </w:p>
        </w:tc>
        <w:tc>
          <w:tcPr>
            <w:tcW w:w="1956" w:type="dxa"/>
            <w:tcBorders>
              <w:top w:val="double" w:sz="5" w:space="0" w:color="000000"/>
            </w:tcBorders>
          </w:tcPr>
          <w:p>
            <w:pPr>
              <w:pStyle w:val="TableParagraph"/>
              <w:spacing w:before="14"/>
              <w:ind w:right="169"/>
              <w:jc w:val="right"/>
              <w:rPr>
                <w:rFonts w:ascii="Constantia"/>
                <w:sz w:val="25"/>
              </w:rPr>
            </w:pPr>
            <w:r>
              <w:rPr>
                <w:rFonts w:ascii="Constantia"/>
                <w:w w:val="95"/>
                <w:sz w:val="25"/>
              </w:rPr>
              <w:t>0.07</w:t>
            </w:r>
          </w:p>
        </w:tc>
        <w:tc>
          <w:tcPr>
            <w:tcW w:w="1782" w:type="dxa"/>
            <w:tcBorders>
              <w:top w:val="double" w:sz="5" w:space="0" w:color="000000"/>
            </w:tcBorders>
          </w:tcPr>
          <w:p>
            <w:pPr/>
          </w:p>
        </w:tc>
        <w:tc>
          <w:tcPr>
            <w:tcW w:w="1883" w:type="dxa"/>
            <w:tcBorders>
              <w:top w:val="double" w:sz="5" w:space="0" w:color="000000"/>
            </w:tcBorders>
          </w:tcPr>
          <w:p>
            <w:pPr/>
          </w:p>
        </w:tc>
        <w:tc>
          <w:tcPr>
            <w:tcW w:w="1100" w:type="dxa"/>
            <w:tcBorders>
              <w:top w:val="double" w:sz="5" w:space="0" w:color="000000"/>
            </w:tcBorders>
          </w:tcPr>
          <w:p>
            <w:pPr/>
          </w:p>
        </w:tc>
      </w:tr>
    </w:tbl>
    <w:p>
      <w:pPr>
        <w:tabs>
          <w:tab w:pos="3521" w:val="left" w:leader="none"/>
        </w:tabs>
        <w:spacing w:line="282" w:lineRule="exact" w:before="0"/>
        <w:ind w:left="113" w:right="0" w:firstLine="0"/>
        <w:jc w:val="left"/>
        <w:rPr>
          <w:rFonts w:ascii="Constantia"/>
          <w:sz w:val="25"/>
        </w:rPr>
      </w:pPr>
      <w:r>
        <w:rPr>
          <w:rFonts w:ascii="Constantia"/>
          <w:spacing w:val="-23"/>
          <w:w w:val="97"/>
          <w:sz w:val="25"/>
          <w:u w:val="thick"/>
        </w:rPr>
        <w:t> </w:t>
      </w:r>
      <w:r>
        <w:rPr>
          <w:rFonts w:ascii="Constantia"/>
          <w:sz w:val="25"/>
          <w:u w:val="thick"/>
        </w:rPr>
        <w:t>R2</w:t>
      </w:r>
      <w:r>
        <w:rPr>
          <w:rFonts w:ascii="Constantia"/>
          <w:spacing w:val="-9"/>
          <w:sz w:val="25"/>
          <w:u w:val="thick"/>
        </w:rPr>
        <w:t> </w:t>
      </w:r>
      <w:r>
        <w:rPr>
          <w:rFonts w:ascii="Constantia"/>
          <w:sz w:val="25"/>
          <w:u w:val="thick"/>
        </w:rPr>
        <w:t>ajustada</w:t>
        <w:tab/>
        <w:t>0.05</w:t>
      </w:r>
      <w:r>
        <w:rPr>
          <w:rFonts w:ascii="Constantia"/>
          <w:spacing w:val="3"/>
          <w:sz w:val="25"/>
          <w:u w:val="thick"/>
        </w:rPr>
        <w:t> </w:t>
      </w:r>
    </w:p>
    <w:p>
      <w:pPr>
        <w:tabs>
          <w:tab w:pos="3534" w:val="left" w:leader="none"/>
        </w:tabs>
        <w:spacing w:line="280" w:lineRule="auto" w:before="53"/>
        <w:ind w:left="152" w:right="4953" w:hanging="39"/>
        <w:jc w:val="left"/>
        <w:rPr>
          <w:rFonts w:ascii="Constantia"/>
          <w:sz w:val="25"/>
        </w:rPr>
      </w:pPr>
      <w:r>
        <w:rPr>
          <w:rFonts w:ascii="Constantia"/>
          <w:spacing w:val="-23"/>
          <w:w w:val="97"/>
          <w:sz w:val="25"/>
          <w:u w:val="thick"/>
        </w:rPr>
        <w:t> </w:t>
      </w:r>
      <w:r>
        <w:rPr>
          <w:rFonts w:ascii="Constantia"/>
          <w:sz w:val="25"/>
          <w:u w:val="thick"/>
        </w:rPr>
        <w:t>Durbin-Watson</w:t>
        <w:tab/>
        <w:t>2.07 </w:t>
      </w:r>
      <w:r>
        <w:rPr>
          <w:rFonts w:ascii="Constantia"/>
          <w:sz w:val="25"/>
        </w:rPr>
        <w:t>Arch</w:t>
      </w:r>
      <w:r>
        <w:rPr>
          <w:rFonts w:ascii="Constantia"/>
          <w:spacing w:val="-13"/>
          <w:sz w:val="25"/>
        </w:rPr>
        <w:t> </w:t>
      </w:r>
      <w:r>
        <w:rPr>
          <w:rFonts w:ascii="Constantia"/>
          <w:sz w:val="25"/>
        </w:rPr>
        <w:t>-</w:t>
      </w:r>
      <w:r>
        <w:rPr>
          <w:rFonts w:ascii="Constantia"/>
          <w:spacing w:val="-11"/>
          <w:sz w:val="25"/>
        </w:rPr>
        <w:t> </w:t>
      </w:r>
      <w:r>
        <w:rPr>
          <w:rFonts w:ascii="Constantia"/>
          <w:sz w:val="25"/>
        </w:rPr>
        <w:t>LM</w:t>
      </w:r>
      <w:r>
        <w:rPr>
          <w:rFonts w:ascii="Constantia"/>
          <w:spacing w:val="-14"/>
          <w:sz w:val="25"/>
        </w:rPr>
        <w:t> </w:t>
      </w:r>
      <w:r>
        <w:rPr>
          <w:rFonts w:ascii="Constantia"/>
          <w:sz w:val="25"/>
        </w:rPr>
        <w:t>(1</w:t>
      </w:r>
      <w:r>
        <w:rPr>
          <w:rFonts w:ascii="Constantia"/>
          <w:spacing w:val="-12"/>
          <w:sz w:val="25"/>
        </w:rPr>
        <w:t> </w:t>
      </w:r>
      <w:r>
        <w:rPr>
          <w:rFonts w:ascii="Constantia"/>
          <w:sz w:val="25"/>
        </w:rPr>
        <w:t>rezago)</w:t>
      </w:r>
    </w:p>
    <w:p>
      <w:pPr>
        <w:tabs>
          <w:tab w:pos="3521" w:val="left" w:leader="none"/>
        </w:tabs>
        <w:spacing w:line="280" w:lineRule="exact" w:before="0"/>
        <w:ind w:left="113" w:right="0" w:firstLine="0"/>
        <w:jc w:val="left"/>
        <w:rPr>
          <w:rFonts w:ascii="Constantia" w:hAnsi="Constantia"/>
          <w:sz w:val="25"/>
        </w:rPr>
      </w:pPr>
      <w:r>
        <w:rPr>
          <w:rFonts w:ascii="Constantia" w:hAnsi="Constantia"/>
          <w:spacing w:val="-23"/>
          <w:w w:val="97"/>
          <w:sz w:val="25"/>
          <w:u w:val="thick"/>
        </w:rPr>
        <w:t> </w:t>
      </w:r>
      <w:r>
        <w:rPr>
          <w:rFonts w:ascii="Constantia" w:hAnsi="Constantia"/>
          <w:sz w:val="25"/>
          <w:u w:val="thick"/>
        </w:rPr>
        <w:t>Prob.</w:t>
      </w:r>
      <w:r>
        <w:rPr>
          <w:rFonts w:ascii="Constantia" w:hAnsi="Constantia"/>
          <w:spacing w:val="-9"/>
          <w:sz w:val="25"/>
          <w:u w:val="thick"/>
        </w:rPr>
        <w:t> </w:t>
      </w:r>
      <w:r>
        <w:rPr>
          <w:rFonts w:ascii="Constantia" w:hAnsi="Constantia"/>
          <w:sz w:val="25"/>
          <w:u w:val="thick"/>
        </w:rPr>
        <w:t>Estadístico</w:t>
      </w:r>
      <w:r>
        <w:rPr>
          <w:rFonts w:ascii="Constantia" w:hAnsi="Constantia"/>
          <w:spacing w:val="-13"/>
          <w:sz w:val="25"/>
          <w:u w:val="thick"/>
        </w:rPr>
        <w:t> </w:t>
      </w:r>
      <w:r>
        <w:rPr>
          <w:rFonts w:ascii="Constantia" w:hAnsi="Constantia"/>
          <w:sz w:val="25"/>
          <w:u w:val="thick"/>
        </w:rPr>
        <w:t>F</w:t>
        <w:tab/>
        <w:t>0.29</w:t>
      </w:r>
      <w:r>
        <w:rPr>
          <w:rFonts w:ascii="Constantia" w:hAnsi="Constantia"/>
          <w:spacing w:val="-2"/>
          <w:sz w:val="25"/>
          <w:u w:val="thick"/>
        </w:rPr>
        <w:t> </w:t>
      </w:r>
    </w:p>
    <w:p>
      <w:pPr>
        <w:tabs>
          <w:tab w:pos="3961" w:val="right" w:leader="none"/>
          <w:tab w:pos="4086" w:val="left" w:leader="none"/>
        </w:tabs>
        <w:spacing w:line="280" w:lineRule="auto" w:before="52"/>
        <w:ind w:left="152" w:right="4953" w:hanging="39"/>
        <w:jc w:val="left"/>
        <w:rPr>
          <w:rFonts w:ascii="Constantia"/>
          <w:sz w:val="25"/>
        </w:rPr>
      </w:pPr>
      <w:r>
        <w:rPr>
          <w:rFonts w:ascii="Constantia"/>
          <w:spacing w:val="-23"/>
          <w:w w:val="97"/>
          <w:sz w:val="25"/>
          <w:u w:val="thick"/>
        </w:rPr>
        <w:t> </w:t>
      </w:r>
      <w:r>
        <w:rPr>
          <w:rFonts w:ascii="Constantia"/>
          <w:spacing w:val="-4"/>
          <w:sz w:val="25"/>
          <w:u w:val="thick"/>
        </w:rPr>
        <w:t>Normalidad</w:t>
        <w:tab/>
        <w:tab/>
      </w:r>
      <w:r>
        <w:rPr>
          <w:rFonts w:ascii="Constantia"/>
          <w:sz w:val="25"/>
        </w:rPr>
        <w:t> Jarque-Bera</w:t>
        <w:tab/>
        <w:t>1.96</w:t>
      </w:r>
    </w:p>
    <w:p>
      <w:pPr>
        <w:tabs>
          <w:tab w:pos="3534" w:val="left" w:leader="none"/>
        </w:tabs>
        <w:spacing w:line="280" w:lineRule="exact" w:before="0"/>
        <w:ind w:left="113" w:right="0" w:firstLine="0"/>
        <w:jc w:val="left"/>
        <w:rPr>
          <w:rFonts w:ascii="Constantia"/>
          <w:sz w:val="25"/>
        </w:rPr>
      </w:pPr>
      <w:r>
        <w:rPr>
          <w:rFonts w:ascii="Constantia"/>
          <w:spacing w:val="-23"/>
          <w:w w:val="97"/>
          <w:sz w:val="25"/>
          <w:u w:val="thick"/>
        </w:rPr>
        <w:t> </w:t>
      </w:r>
      <w:r>
        <w:rPr>
          <w:rFonts w:ascii="Constantia"/>
          <w:sz w:val="25"/>
          <w:u w:val="thick"/>
        </w:rPr>
        <w:t>Prob.</w:t>
        <w:tab/>
        <w:t>0.32</w:t>
      </w:r>
      <w:r>
        <w:rPr>
          <w:rFonts w:ascii="Constantia"/>
          <w:spacing w:val="1"/>
          <w:sz w:val="25"/>
          <w:u w:val="thick"/>
        </w:rPr>
        <w:t> </w:t>
      </w:r>
    </w:p>
    <w:p>
      <w:pPr>
        <w:spacing w:before="126"/>
        <w:ind w:left="102" w:right="0" w:firstLine="0"/>
        <w:jc w:val="left"/>
        <w:rPr>
          <w:sz w:val="20"/>
        </w:rPr>
      </w:pPr>
      <w:r>
        <w:rPr>
          <w:sz w:val="20"/>
        </w:rPr>
        <w:t>Fuente: Estimaciones propias con base en información del INE (2013).</w:t>
      </w:r>
    </w:p>
    <w:p>
      <w:pPr>
        <w:pStyle w:val="BodyText"/>
        <w:rPr>
          <w:sz w:val="20"/>
        </w:rPr>
      </w:pPr>
    </w:p>
    <w:p>
      <w:pPr>
        <w:spacing w:before="0"/>
        <w:ind w:left="102" w:right="191" w:firstLine="0"/>
        <w:jc w:val="left"/>
        <w:rPr>
          <w:sz w:val="20"/>
        </w:rPr>
      </w:pPr>
      <w:r>
        <w:rPr>
          <w:sz w:val="20"/>
        </w:rPr>
        <w:t>La regresión log- log fue efectuada con base en 1 rezago del PIB (</w:t>
      </w:r>
      <w:r>
        <w:rPr>
          <w:sz w:val="16"/>
        </w:rPr>
        <w:t>t-1</w:t>
      </w:r>
      <w:r>
        <w:rPr>
          <w:sz w:val="20"/>
        </w:rPr>
        <w:t>) con el propósito de evitar el problema  de endogeneidad  [al considera                                                                  </w:t>
      </w:r>
      <w:r>
        <w:rPr>
          <w:spacing w:val="25"/>
          <w:sz w:val="20"/>
        </w:rPr>
        <w:t> </w:t>
      </w:r>
      <w:r>
        <w:rPr>
          <w:sz w:val="20"/>
        </w:rPr>
        <w:t>I</w:t>
      </w:r>
      <w:r>
        <w:rPr>
          <w:w w:val="265"/>
          <w:sz w:val="20"/>
        </w:rPr>
        <w:t> </w:t>
      </w:r>
      <w:r>
        <w:rPr>
          <w:sz w:val="20"/>
        </w:rPr>
        <w:t>  </w:t>
      </w:r>
      <w:r>
        <w:rPr>
          <w:spacing w:val="2"/>
          <w:sz w:val="20"/>
        </w:rPr>
        <w:t> </w:t>
      </w:r>
      <w:r>
        <w:rPr>
          <w:w w:val="1"/>
          <w:sz w:val="20"/>
        </w:rPr>
        <w:t> </w:t>
      </w:r>
      <w:r>
        <w:rPr>
          <w:sz w:val="20"/>
        </w:rPr>
        <w:t> </w:t>
      </w:r>
      <w:r>
        <w:rPr>
          <w:spacing w:val="-2"/>
          <w:sz w:val="20"/>
        </w:rPr>
        <w:t> </w:t>
      </w:r>
      <w:r>
        <w:rPr>
          <w:spacing w:val="1"/>
          <w:w w:val="199"/>
          <w:sz w:val="20"/>
        </w:rPr>
        <w:t> </w:t>
      </w:r>
      <w:r>
        <w:rPr>
          <w:w w:val="176"/>
          <w:sz w:val="20"/>
        </w:rPr>
        <w:t> </w:t>
      </w:r>
      <w:r>
        <w:rPr>
          <w:sz w:val="20"/>
        </w:rPr>
        <w:t> </w:t>
      </w:r>
      <w:r>
        <w:rPr>
          <w:spacing w:val="-2"/>
          <w:w w:val="132"/>
          <w:sz w:val="20"/>
        </w:rPr>
        <w:t> </w:t>
      </w:r>
      <w:r>
        <w:rPr>
          <w:spacing w:val="1"/>
          <w:w w:val="199"/>
          <w:sz w:val="20"/>
        </w:rPr>
        <w:t> </w:t>
      </w:r>
      <w:r>
        <w:rPr>
          <w:w w:val="132"/>
          <w:sz w:val="20"/>
        </w:rPr>
        <w:t> </w:t>
      </w:r>
      <w:r>
        <w:rPr>
          <w:spacing w:val="-4"/>
          <w:w w:val="309"/>
          <w:sz w:val="20"/>
        </w:rPr>
        <w:t> </w:t>
      </w:r>
      <w:r>
        <w:rPr>
          <w:w w:val="176"/>
          <w:sz w:val="20"/>
        </w:rPr>
        <w:t> </w:t>
      </w:r>
      <w:r>
        <w:rPr>
          <w:sz w:val="20"/>
        </w:rPr>
        <w:t> </w:t>
      </w:r>
      <w:r>
        <w:rPr>
          <w:spacing w:val="2"/>
          <w:w w:val="176"/>
          <w:sz w:val="20"/>
        </w:rPr>
        <w:t> </w:t>
      </w:r>
      <w:r>
        <w:rPr>
          <w:spacing w:val="1"/>
          <w:w w:val="199"/>
          <w:sz w:val="20"/>
        </w:rPr>
        <w:t> </w:t>
      </w:r>
      <w:r>
        <w:rPr>
          <w:spacing w:val="-2"/>
          <w:w w:val="199"/>
          <w:sz w:val="20"/>
        </w:rPr>
        <w:t> </w:t>
      </w:r>
      <w:r>
        <w:rPr>
          <w:w w:val="143"/>
          <w:sz w:val="20"/>
        </w:rPr>
        <w:t> </w:t>
      </w:r>
      <w:r>
        <w:rPr>
          <w:spacing w:val="2"/>
          <w:w w:val="143"/>
          <w:sz w:val="20"/>
        </w:rPr>
        <w:t> </w:t>
      </w:r>
      <w:r>
        <w:rPr>
          <w:spacing w:val="-4"/>
          <w:w w:val="309"/>
          <w:sz w:val="20"/>
        </w:rPr>
        <w:t> </w:t>
      </w:r>
      <w:r>
        <w:rPr>
          <w:spacing w:val="1"/>
          <w:w w:val="199"/>
          <w:sz w:val="20"/>
        </w:rPr>
        <w:t>  </w:t>
      </w:r>
      <w:r>
        <w:rPr>
          <w:w w:val="132"/>
          <w:sz w:val="20"/>
        </w:rPr>
        <w:t> </w:t>
      </w:r>
      <w:r>
        <w:rPr>
          <w:w w:val="188"/>
          <w:sz w:val="20"/>
        </w:rPr>
        <w:t> </w:t>
      </w:r>
      <w:r>
        <w:rPr>
          <w:spacing w:val="-1"/>
          <w:w w:val="188"/>
          <w:sz w:val="20"/>
        </w:rPr>
        <w:t> </w:t>
      </w:r>
      <w:r>
        <w:rPr>
          <w:w w:val="176"/>
          <w:sz w:val="20"/>
        </w:rPr>
        <w:t>  </w:t>
      </w:r>
      <w:r>
        <w:rPr>
          <w:w w:val="132"/>
          <w:sz w:val="20"/>
        </w:rPr>
        <w:t> </w:t>
      </w:r>
    </w:p>
    <w:p>
      <w:pPr>
        <w:spacing w:after="0"/>
        <w:jc w:val="left"/>
        <w:rPr>
          <w:sz w:val="20"/>
        </w:rPr>
        <w:sectPr>
          <w:pgSz w:w="12250" w:h="15850"/>
          <w:pgMar w:header="0" w:footer="977" w:top="1500" w:bottom="1220" w:left="1600" w:right="1600"/>
        </w:sectPr>
      </w:pPr>
    </w:p>
    <w:p>
      <w:pPr>
        <w:pStyle w:val="Heading4"/>
        <w:spacing w:before="53"/>
        <w:ind w:left="102" w:right="1186" w:firstLine="0"/>
      </w:pPr>
      <w:r>
        <w:rPr/>
        <w:pict>
          <v:line style="position:absolute;mso-position-horizontal-relative:page;mso-position-vertical-relative:paragraph;z-index:18064;mso-wrap-distance-left:0;mso-wrap-distance-right:0" from="573.511780pt,33.607071pt" to="573.511780pt,33.607071pt" stroked="true" strokeweight=".452354pt" strokecolor="#d0d6e4">
            <w10:wrap type="topAndBottom"/>
          </v:line>
        </w:pict>
      </w:r>
      <w:r>
        <w:rPr/>
        <w:pict>
          <v:line style="position:absolute;mso-position-horizontal-relative:page;mso-position-vertical-relative:paragraph;z-index:18112" from="573.511780pt,43.118561pt" to="573.511780pt,43.118561pt" stroked="true" strokeweight=".452354pt" strokecolor="#d0d6e4">
            <w10:wrap type="none"/>
          </v:line>
        </w:pict>
      </w:r>
      <w:r>
        <w:rPr/>
        <w:pict>
          <v:line style="position:absolute;mso-position-horizontal-relative:page;mso-position-vertical-relative:paragraph;z-index:18136" from="573.511780pt,55.814621pt" to="573.511780pt,55.814621pt" stroked="true" strokeweight=".452354pt" strokecolor="#d0d6e4">
            <w10:wrap type="none"/>
          </v:line>
        </w:pict>
      </w:r>
      <w:r>
        <w:rPr/>
        <w:pict>
          <v:line style="position:absolute;mso-position-horizontal-relative:page;mso-position-vertical-relative:paragraph;z-index:18160" from="573.511780pt,75.295982pt" to="573.511780pt,75.295982pt" stroked="true" strokeweight=".452354pt" strokecolor="#d0d6e4">
            <w10:wrap type="none"/>
          </v:line>
        </w:pict>
      </w:r>
      <w:r>
        <w:rPr/>
        <w:pict>
          <v:line style="position:absolute;mso-position-horizontal-relative:page;mso-position-vertical-relative:paragraph;z-index:18184" from="573.511780pt,122.419174pt" to="573.511780pt,122.419174pt" stroked="true" strokeweight=".452354pt" strokecolor="#d0d6e4">
            <w10:wrap type="none"/>
          </v:line>
        </w:pict>
      </w:r>
      <w:r>
        <w:rPr/>
        <w:pict>
          <v:line style="position:absolute;mso-position-horizontal-relative:page;mso-position-vertical-relative:page;z-index:18208" from="573.511780pt,201.885025pt" to="573.511780pt,201.885025pt" stroked="true" strokeweight=".452354pt" strokecolor="#d0d6e4">
            <w10:wrap type="none"/>
          </v:line>
        </w:pict>
      </w:r>
      <w:r>
        <w:rPr/>
        <w:pict>
          <v:line style="position:absolute;mso-position-horizontal-relative:page;mso-position-vertical-relative:page;z-index:18232" from="573.511780pt,213.205933pt" to="573.511780pt,213.205933pt" stroked="true" strokeweight=".452354pt" strokecolor="#d0d6e4">
            <w10:wrap type="none"/>
          </v:line>
        </w:pict>
      </w:r>
      <w:bookmarkStart w:name="_bookmark181" w:id="246"/>
      <w:bookmarkEnd w:id="246"/>
      <w:r>
        <w:rPr>
          <w:b w:val="0"/>
        </w:rPr>
      </w:r>
      <w:r>
        <w:rPr/>
        <w:t>Anexo 4.1: Pruebas de raíz unitaria para determinar el orden de integración de las variables</w:t>
      </w:r>
    </w:p>
    <w:p>
      <w:pPr>
        <w:pStyle w:val="BodyText"/>
        <w:spacing w:before="2"/>
        <w:rPr>
          <w:b/>
          <w:sz w:val="13"/>
        </w:rPr>
      </w:pPr>
    </w:p>
    <w:tbl>
      <w:tblPr>
        <w:tblW w:w="0" w:type="auto"/>
        <w:jc w:val="left"/>
        <w:tblInd w:w="13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95"/>
        <w:gridCol w:w="655"/>
        <w:gridCol w:w="444"/>
        <w:gridCol w:w="393"/>
        <w:gridCol w:w="410"/>
        <w:gridCol w:w="456"/>
        <w:gridCol w:w="484"/>
        <w:gridCol w:w="626"/>
        <w:gridCol w:w="376"/>
        <w:gridCol w:w="365"/>
        <w:gridCol w:w="376"/>
        <w:gridCol w:w="455"/>
        <w:gridCol w:w="456"/>
        <w:gridCol w:w="336"/>
        <w:gridCol w:w="342"/>
        <w:gridCol w:w="1361"/>
      </w:tblGrid>
      <w:tr>
        <w:trPr>
          <w:trHeight w:val="254" w:hRule="exact"/>
        </w:trPr>
        <w:tc>
          <w:tcPr>
            <w:tcW w:w="2095" w:type="dxa"/>
            <w:vMerge w:val="restart"/>
            <w:tcBorders>
              <w:right w:val="single" w:sz="2" w:space="0" w:color="000000"/>
            </w:tcBorders>
          </w:tcPr>
          <w:p>
            <w:pPr/>
          </w:p>
        </w:tc>
        <w:tc>
          <w:tcPr>
            <w:tcW w:w="2841" w:type="dxa"/>
            <w:gridSpan w:val="6"/>
            <w:tcBorders>
              <w:top w:val="single" w:sz="4" w:space="0" w:color="000000"/>
              <w:left w:val="single" w:sz="2" w:space="0" w:color="000000"/>
              <w:bottom w:val="single" w:sz="4" w:space="0" w:color="000000"/>
              <w:right w:val="single" w:sz="2" w:space="0" w:color="000000"/>
            </w:tcBorders>
            <w:shd w:val="clear" w:color="auto" w:fill="DBE4F0"/>
          </w:tcPr>
          <w:p>
            <w:pPr>
              <w:pStyle w:val="TableParagraph"/>
              <w:spacing w:before="19"/>
              <w:ind w:left="1185" w:right="1185"/>
              <w:rPr>
                <w:rFonts w:ascii="Constantia"/>
                <w:b/>
                <w:sz w:val="17"/>
              </w:rPr>
            </w:pPr>
            <w:r>
              <w:rPr>
                <w:rFonts w:ascii="Constantia"/>
                <w:b/>
                <w:w w:val="65"/>
                <w:sz w:val="17"/>
              </w:rPr>
              <w:t>En nivel</w:t>
            </w:r>
          </w:p>
        </w:tc>
        <w:tc>
          <w:tcPr>
            <w:tcW w:w="2653" w:type="dxa"/>
            <w:gridSpan w:val="6"/>
            <w:tcBorders>
              <w:top w:val="single" w:sz="4" w:space="0" w:color="000000"/>
              <w:left w:val="single" w:sz="2" w:space="0" w:color="000000"/>
              <w:bottom w:val="single" w:sz="4" w:space="0" w:color="000000"/>
              <w:right w:val="single" w:sz="2" w:space="0" w:color="000000"/>
            </w:tcBorders>
            <w:shd w:val="clear" w:color="auto" w:fill="F1DDDC"/>
          </w:tcPr>
          <w:p>
            <w:pPr>
              <w:pStyle w:val="TableParagraph"/>
              <w:spacing w:before="19"/>
              <w:ind w:left="768"/>
              <w:jc w:val="left"/>
              <w:rPr>
                <w:rFonts w:ascii="Constantia"/>
                <w:b/>
                <w:sz w:val="17"/>
              </w:rPr>
            </w:pPr>
            <w:r>
              <w:rPr>
                <w:rFonts w:ascii="Constantia"/>
                <w:b/>
                <w:w w:val="60"/>
                <w:sz w:val="17"/>
              </w:rPr>
              <w:t>En primera diferencia</w:t>
            </w:r>
          </w:p>
        </w:tc>
        <w:tc>
          <w:tcPr>
            <w:tcW w:w="2038" w:type="dxa"/>
            <w:gridSpan w:val="3"/>
            <w:vMerge w:val="restart"/>
            <w:tcBorders>
              <w:top w:val="single" w:sz="4" w:space="0" w:color="000000"/>
              <w:left w:val="single" w:sz="2" w:space="0" w:color="000000"/>
              <w:right w:val="single" w:sz="2" w:space="0" w:color="000000"/>
            </w:tcBorders>
          </w:tcPr>
          <w:p>
            <w:pPr>
              <w:pStyle w:val="TableParagraph"/>
              <w:spacing w:before="2"/>
              <w:jc w:val="left"/>
              <w:rPr>
                <w:b/>
                <w:sz w:val="18"/>
              </w:rPr>
            </w:pPr>
          </w:p>
          <w:p>
            <w:pPr>
              <w:pStyle w:val="TableParagraph"/>
              <w:ind w:left="466"/>
              <w:jc w:val="left"/>
              <w:rPr>
                <w:rFonts w:ascii="Constantia" w:hAnsi="Constantia"/>
                <w:b/>
                <w:sz w:val="17"/>
              </w:rPr>
            </w:pPr>
            <w:r>
              <w:rPr>
                <w:rFonts w:ascii="Constantia" w:hAnsi="Constantia"/>
                <w:b/>
                <w:w w:val="65"/>
                <w:sz w:val="17"/>
              </w:rPr>
              <w:t>Orden de Integración</w:t>
            </w:r>
          </w:p>
        </w:tc>
      </w:tr>
      <w:tr>
        <w:trPr>
          <w:trHeight w:val="390" w:hRule="exact"/>
        </w:trPr>
        <w:tc>
          <w:tcPr>
            <w:tcW w:w="2095" w:type="dxa"/>
            <w:vMerge/>
            <w:tcBorders>
              <w:bottom w:val="single" w:sz="4" w:space="0" w:color="000000"/>
              <w:right w:val="single" w:sz="2" w:space="0" w:color="000000"/>
            </w:tcBorders>
          </w:tcPr>
          <w:p>
            <w:pPr/>
          </w:p>
        </w:tc>
        <w:tc>
          <w:tcPr>
            <w:tcW w:w="1902" w:type="dxa"/>
            <w:gridSpan w:val="4"/>
            <w:tcBorders>
              <w:top w:val="single" w:sz="4" w:space="0" w:color="000000"/>
              <w:left w:val="single" w:sz="2" w:space="0" w:color="000000"/>
              <w:bottom w:val="single" w:sz="4" w:space="0" w:color="000000"/>
              <w:right w:val="single" w:sz="2" w:space="0" w:color="000000"/>
            </w:tcBorders>
          </w:tcPr>
          <w:p>
            <w:pPr>
              <w:pStyle w:val="TableParagraph"/>
              <w:spacing w:before="102"/>
              <w:ind w:left="592"/>
              <w:jc w:val="left"/>
              <w:rPr>
                <w:rFonts w:ascii="Constantia"/>
                <w:sz w:val="14"/>
              </w:rPr>
            </w:pPr>
            <w:r>
              <w:rPr>
                <w:rFonts w:ascii="Constantia"/>
                <w:w w:val="65"/>
                <w:sz w:val="14"/>
              </w:rPr>
              <w:t>Significancia DFA</w:t>
            </w:r>
          </w:p>
        </w:tc>
        <w:tc>
          <w:tcPr>
            <w:tcW w:w="940" w:type="dxa"/>
            <w:gridSpan w:val="2"/>
            <w:tcBorders>
              <w:top w:val="single" w:sz="4" w:space="0" w:color="000000"/>
              <w:left w:val="single" w:sz="2" w:space="0" w:color="000000"/>
              <w:bottom w:val="single" w:sz="4" w:space="0" w:color="000000"/>
              <w:right w:val="single" w:sz="2" w:space="0" w:color="000000"/>
            </w:tcBorders>
            <w:shd w:val="clear" w:color="auto" w:fill="D6E3BB"/>
          </w:tcPr>
          <w:p>
            <w:pPr>
              <w:pStyle w:val="TableParagraph"/>
              <w:spacing w:before="102"/>
              <w:ind w:left="216"/>
              <w:jc w:val="left"/>
              <w:rPr>
                <w:rFonts w:ascii="Constantia"/>
                <w:sz w:val="14"/>
              </w:rPr>
            </w:pPr>
            <w:r>
              <w:rPr>
                <w:rFonts w:ascii="Constantia"/>
                <w:w w:val="75"/>
                <w:sz w:val="14"/>
              </w:rPr>
              <w:t>Significancia</w:t>
            </w:r>
          </w:p>
        </w:tc>
        <w:tc>
          <w:tcPr>
            <w:tcW w:w="1742" w:type="dxa"/>
            <w:gridSpan w:val="4"/>
            <w:tcBorders>
              <w:top w:val="single" w:sz="4" w:space="0" w:color="000000"/>
              <w:left w:val="single" w:sz="2" w:space="0" w:color="000000"/>
              <w:bottom w:val="single" w:sz="4" w:space="0" w:color="000000"/>
              <w:right w:val="single" w:sz="2" w:space="0" w:color="000000"/>
            </w:tcBorders>
          </w:tcPr>
          <w:p>
            <w:pPr>
              <w:pStyle w:val="TableParagraph"/>
              <w:spacing w:before="102"/>
              <w:ind w:left="512"/>
              <w:jc w:val="left"/>
              <w:rPr>
                <w:rFonts w:ascii="Constantia"/>
                <w:sz w:val="14"/>
              </w:rPr>
            </w:pPr>
            <w:r>
              <w:rPr>
                <w:rFonts w:ascii="Constantia"/>
                <w:w w:val="65"/>
                <w:sz w:val="14"/>
              </w:rPr>
              <w:t>Significancia DFA</w:t>
            </w:r>
          </w:p>
        </w:tc>
        <w:tc>
          <w:tcPr>
            <w:tcW w:w="911" w:type="dxa"/>
            <w:gridSpan w:val="2"/>
            <w:tcBorders>
              <w:top w:val="single" w:sz="4" w:space="0" w:color="000000"/>
              <w:left w:val="single" w:sz="2" w:space="0" w:color="000000"/>
              <w:bottom w:val="single" w:sz="4" w:space="0" w:color="000000"/>
              <w:right w:val="single" w:sz="2" w:space="0" w:color="000000"/>
            </w:tcBorders>
            <w:shd w:val="clear" w:color="auto" w:fill="D6E3BB"/>
          </w:tcPr>
          <w:p>
            <w:pPr>
              <w:pStyle w:val="TableParagraph"/>
              <w:spacing w:before="102"/>
              <w:ind w:left="199"/>
              <w:jc w:val="left"/>
              <w:rPr>
                <w:rFonts w:ascii="Constantia"/>
                <w:sz w:val="14"/>
              </w:rPr>
            </w:pPr>
            <w:r>
              <w:rPr>
                <w:rFonts w:ascii="Constantia"/>
                <w:w w:val="75"/>
                <w:sz w:val="14"/>
              </w:rPr>
              <w:t>Significancia</w:t>
            </w:r>
          </w:p>
        </w:tc>
        <w:tc>
          <w:tcPr>
            <w:tcW w:w="2038" w:type="dxa"/>
            <w:gridSpan w:val="3"/>
            <w:vMerge/>
            <w:tcBorders>
              <w:left w:val="single" w:sz="2" w:space="0" w:color="000000"/>
              <w:bottom w:val="single" w:sz="4" w:space="0" w:color="000000"/>
              <w:right w:val="single" w:sz="2" w:space="0" w:color="000000"/>
            </w:tcBorders>
          </w:tcPr>
          <w:p>
            <w:pPr/>
          </w:p>
        </w:tc>
      </w:tr>
      <w:tr>
        <w:trPr>
          <w:trHeight w:val="942" w:hRule="exact"/>
        </w:trPr>
        <w:tc>
          <w:tcPr>
            <w:tcW w:w="2095" w:type="dxa"/>
            <w:tcBorders>
              <w:top w:val="single" w:sz="4" w:space="0" w:color="000000"/>
              <w:left w:val="single" w:sz="2" w:space="0" w:color="000000"/>
              <w:bottom w:val="single" w:sz="4" w:space="0" w:color="000000"/>
              <w:right w:val="single" w:sz="2" w:space="0" w:color="000000"/>
            </w:tcBorders>
          </w:tcPr>
          <w:p>
            <w:pPr>
              <w:pStyle w:val="TableParagraph"/>
              <w:jc w:val="left"/>
              <w:rPr>
                <w:b/>
                <w:sz w:val="14"/>
              </w:rPr>
            </w:pPr>
          </w:p>
          <w:p>
            <w:pPr>
              <w:pStyle w:val="TableParagraph"/>
              <w:jc w:val="left"/>
              <w:rPr>
                <w:b/>
                <w:sz w:val="14"/>
              </w:rPr>
            </w:pPr>
          </w:p>
          <w:p>
            <w:pPr>
              <w:pStyle w:val="TableParagraph"/>
              <w:jc w:val="left"/>
              <w:rPr>
                <w:b/>
                <w:sz w:val="14"/>
              </w:rPr>
            </w:pPr>
          </w:p>
          <w:p>
            <w:pPr>
              <w:pStyle w:val="TableParagraph"/>
              <w:jc w:val="left"/>
              <w:rPr>
                <w:b/>
                <w:sz w:val="14"/>
              </w:rPr>
            </w:pPr>
          </w:p>
          <w:p>
            <w:pPr>
              <w:pStyle w:val="TableParagraph"/>
              <w:spacing w:before="120"/>
              <w:ind w:left="17" w:right="-15"/>
              <w:jc w:val="left"/>
              <w:rPr>
                <w:rFonts w:ascii="Constantia"/>
                <w:b/>
                <w:sz w:val="14"/>
              </w:rPr>
            </w:pPr>
            <w:r>
              <w:rPr>
                <w:rFonts w:ascii="Constantia"/>
                <w:b/>
                <w:w w:val="75"/>
                <w:sz w:val="14"/>
              </w:rPr>
              <w:t>Variables</w:t>
            </w:r>
          </w:p>
        </w:tc>
        <w:tc>
          <w:tcPr>
            <w:tcW w:w="655" w:type="dxa"/>
            <w:tcBorders>
              <w:top w:val="single" w:sz="4" w:space="0" w:color="000000"/>
              <w:left w:val="single" w:sz="2" w:space="0" w:color="000000"/>
              <w:bottom w:val="single" w:sz="4" w:space="0" w:color="000000"/>
              <w:right w:val="single" w:sz="2" w:space="0" w:color="000000"/>
            </w:tcBorders>
          </w:tcPr>
          <w:p>
            <w:pPr>
              <w:pStyle w:val="TableParagraph"/>
              <w:spacing w:before="9"/>
              <w:jc w:val="left"/>
              <w:rPr>
                <w:b/>
                <w:sz w:val="16"/>
              </w:rPr>
            </w:pPr>
          </w:p>
          <w:p>
            <w:pPr>
              <w:pStyle w:val="TableParagraph"/>
              <w:spacing w:line="266" w:lineRule="auto"/>
              <w:ind w:left="34" w:right="35" w:firstLine="6"/>
              <w:rPr>
                <w:rFonts w:ascii="Constantia"/>
                <w:sz w:val="14"/>
              </w:rPr>
            </w:pPr>
            <w:r>
              <w:rPr>
                <w:rFonts w:ascii="Constantia"/>
                <w:w w:val="70"/>
                <w:sz w:val="14"/>
              </w:rPr>
              <w:t>Tendencia </w:t>
            </w:r>
            <w:r>
              <w:rPr>
                <w:rFonts w:ascii="Constantia"/>
                <w:w w:val="65"/>
                <w:sz w:val="14"/>
              </w:rPr>
              <w:t>deterministica </w:t>
            </w:r>
            <w:r>
              <w:rPr>
                <w:rFonts w:ascii="Constantia"/>
                <w:w w:val="75"/>
                <w:sz w:val="14"/>
              </w:rPr>
              <w:t>(a)</w:t>
            </w:r>
          </w:p>
        </w:tc>
        <w:tc>
          <w:tcPr>
            <w:tcW w:w="444" w:type="dxa"/>
            <w:tcBorders>
              <w:top w:val="single" w:sz="4" w:space="0" w:color="000000"/>
              <w:left w:val="single" w:sz="2" w:space="0" w:color="000000"/>
              <w:bottom w:val="single" w:sz="4" w:space="0" w:color="000000"/>
              <w:right w:val="single" w:sz="2" w:space="0" w:color="000000"/>
            </w:tcBorders>
          </w:tcPr>
          <w:p>
            <w:pPr>
              <w:pStyle w:val="TableParagraph"/>
              <w:spacing w:before="9"/>
              <w:jc w:val="left"/>
              <w:rPr>
                <w:b/>
                <w:sz w:val="16"/>
              </w:rPr>
            </w:pPr>
          </w:p>
          <w:p>
            <w:pPr>
              <w:pStyle w:val="TableParagraph"/>
              <w:spacing w:line="266" w:lineRule="auto"/>
              <w:ind w:left="85" w:right="85" w:firstLine="9"/>
              <w:rPr>
                <w:rFonts w:ascii="Constantia"/>
                <w:sz w:val="14"/>
              </w:rPr>
            </w:pPr>
            <w:r>
              <w:rPr>
                <w:rFonts w:ascii="Constantia"/>
                <w:w w:val="75"/>
                <w:sz w:val="14"/>
              </w:rPr>
              <w:t>Con </w:t>
            </w:r>
            <w:r>
              <w:rPr>
                <w:rFonts w:ascii="Constantia"/>
                <w:w w:val="65"/>
                <w:sz w:val="14"/>
              </w:rPr>
              <w:t>rumbo </w:t>
            </w:r>
            <w:r>
              <w:rPr>
                <w:rFonts w:ascii="Constantia"/>
                <w:w w:val="75"/>
                <w:sz w:val="14"/>
              </w:rPr>
              <w:t>(b)</w:t>
            </w:r>
          </w:p>
        </w:tc>
        <w:tc>
          <w:tcPr>
            <w:tcW w:w="393" w:type="dxa"/>
            <w:tcBorders>
              <w:top w:val="single" w:sz="4" w:space="0" w:color="000000"/>
              <w:left w:val="single" w:sz="2" w:space="0" w:color="000000"/>
              <w:bottom w:val="single" w:sz="4" w:space="0" w:color="000000"/>
              <w:right w:val="single" w:sz="2" w:space="0" w:color="000000"/>
            </w:tcBorders>
          </w:tcPr>
          <w:p>
            <w:pPr>
              <w:pStyle w:val="TableParagraph"/>
              <w:spacing w:before="9"/>
              <w:jc w:val="left"/>
              <w:rPr>
                <w:b/>
                <w:sz w:val="16"/>
              </w:rPr>
            </w:pPr>
          </w:p>
          <w:p>
            <w:pPr>
              <w:pStyle w:val="TableParagraph"/>
              <w:spacing w:line="266" w:lineRule="auto"/>
              <w:ind w:left="56" w:right="62" w:firstLine="9"/>
              <w:rPr>
                <w:rFonts w:ascii="Constantia"/>
                <w:sz w:val="14"/>
              </w:rPr>
            </w:pPr>
            <w:r>
              <w:rPr>
                <w:rFonts w:ascii="Constantia"/>
                <w:w w:val="75"/>
                <w:sz w:val="14"/>
              </w:rPr>
              <w:t>Sin </w:t>
            </w:r>
            <w:r>
              <w:rPr>
                <w:rFonts w:ascii="Constantia"/>
                <w:w w:val="65"/>
                <w:sz w:val="14"/>
              </w:rPr>
              <w:t>rumbo </w:t>
            </w:r>
            <w:r>
              <w:rPr>
                <w:rFonts w:ascii="Constantia"/>
                <w:w w:val="75"/>
                <w:sz w:val="14"/>
              </w:rPr>
              <w:t>(c)</w:t>
            </w:r>
          </w:p>
        </w:tc>
        <w:tc>
          <w:tcPr>
            <w:tcW w:w="410" w:type="dxa"/>
            <w:tcBorders>
              <w:top w:val="single" w:sz="4" w:space="0" w:color="000000"/>
              <w:left w:val="single" w:sz="2" w:space="0" w:color="000000"/>
              <w:bottom w:val="single" w:sz="4" w:space="0" w:color="000000"/>
              <w:right w:val="single" w:sz="2" w:space="0" w:color="000000"/>
            </w:tcBorders>
          </w:tcPr>
          <w:p>
            <w:pPr>
              <w:pStyle w:val="TableParagraph"/>
              <w:jc w:val="left"/>
              <w:rPr>
                <w:b/>
                <w:sz w:val="14"/>
              </w:rPr>
            </w:pPr>
          </w:p>
          <w:p>
            <w:pPr>
              <w:pStyle w:val="TableParagraph"/>
              <w:spacing w:before="5"/>
              <w:jc w:val="left"/>
              <w:rPr>
                <w:b/>
                <w:sz w:val="11"/>
              </w:rPr>
            </w:pPr>
          </w:p>
          <w:p>
            <w:pPr>
              <w:pStyle w:val="TableParagraph"/>
              <w:spacing w:line="266" w:lineRule="auto"/>
              <w:ind w:left="102" w:right="-11" w:hanging="80"/>
              <w:jc w:val="left"/>
              <w:rPr>
                <w:rFonts w:ascii="Constantia"/>
                <w:sz w:val="14"/>
              </w:rPr>
            </w:pPr>
            <w:r>
              <w:rPr>
                <w:rFonts w:ascii="Constantia"/>
                <w:w w:val="70"/>
                <w:sz w:val="14"/>
              </w:rPr>
              <w:t>k (a), (b) </w:t>
            </w:r>
            <w:r>
              <w:rPr>
                <w:rFonts w:ascii="Constantia"/>
                <w:w w:val="75"/>
                <w:sz w:val="14"/>
              </w:rPr>
              <w:t>y (c)</w:t>
            </w:r>
          </w:p>
        </w:tc>
        <w:tc>
          <w:tcPr>
            <w:tcW w:w="456" w:type="dxa"/>
            <w:tcBorders>
              <w:top w:val="single" w:sz="4" w:space="0" w:color="000000"/>
              <w:left w:val="single" w:sz="2" w:space="0" w:color="000000"/>
              <w:bottom w:val="single" w:sz="4" w:space="0" w:color="000000"/>
              <w:right w:val="single" w:sz="2" w:space="0" w:color="000000"/>
            </w:tcBorders>
            <w:shd w:val="clear" w:color="auto" w:fill="D6E3BB"/>
          </w:tcPr>
          <w:p>
            <w:pPr>
              <w:pStyle w:val="TableParagraph"/>
              <w:jc w:val="left"/>
              <w:rPr>
                <w:b/>
                <w:sz w:val="14"/>
              </w:rPr>
            </w:pPr>
          </w:p>
          <w:p>
            <w:pPr>
              <w:pStyle w:val="TableParagraph"/>
              <w:spacing w:before="3"/>
              <w:jc w:val="left"/>
              <w:rPr>
                <w:b/>
                <w:sz w:val="19"/>
              </w:rPr>
            </w:pPr>
          </w:p>
          <w:p>
            <w:pPr>
              <w:pStyle w:val="TableParagraph"/>
              <w:rPr>
                <w:rFonts w:ascii="Constantia"/>
                <w:sz w:val="14"/>
              </w:rPr>
            </w:pPr>
            <w:r>
              <w:rPr>
                <w:rFonts w:ascii="Constantia"/>
                <w:w w:val="65"/>
                <w:sz w:val="14"/>
              </w:rPr>
              <w:t>Tendencia</w:t>
            </w:r>
          </w:p>
        </w:tc>
        <w:tc>
          <w:tcPr>
            <w:tcW w:w="484" w:type="dxa"/>
            <w:tcBorders>
              <w:top w:val="single" w:sz="4" w:space="0" w:color="000000"/>
              <w:left w:val="single" w:sz="2" w:space="0" w:color="000000"/>
              <w:bottom w:val="single" w:sz="4" w:space="0" w:color="000000"/>
              <w:right w:val="single" w:sz="2" w:space="0" w:color="000000"/>
            </w:tcBorders>
            <w:shd w:val="clear" w:color="auto" w:fill="D6E3BB"/>
          </w:tcPr>
          <w:p>
            <w:pPr>
              <w:pStyle w:val="TableParagraph"/>
              <w:jc w:val="left"/>
              <w:rPr>
                <w:b/>
                <w:sz w:val="14"/>
              </w:rPr>
            </w:pPr>
          </w:p>
          <w:p>
            <w:pPr>
              <w:pStyle w:val="TableParagraph"/>
              <w:spacing w:before="3"/>
              <w:jc w:val="left"/>
              <w:rPr>
                <w:b/>
                <w:sz w:val="19"/>
              </w:rPr>
            </w:pPr>
          </w:p>
          <w:p>
            <w:pPr>
              <w:pStyle w:val="TableParagraph"/>
              <w:ind w:left="14" w:right="20"/>
              <w:rPr>
                <w:rFonts w:ascii="Constantia"/>
                <w:sz w:val="14"/>
              </w:rPr>
            </w:pPr>
            <w:r>
              <w:rPr>
                <w:rFonts w:ascii="Constantia"/>
                <w:w w:val="65"/>
                <w:sz w:val="14"/>
              </w:rPr>
              <w:t>Constante</w:t>
            </w:r>
          </w:p>
        </w:tc>
        <w:tc>
          <w:tcPr>
            <w:tcW w:w="626" w:type="dxa"/>
            <w:tcBorders>
              <w:top w:val="single" w:sz="4" w:space="0" w:color="000000"/>
              <w:left w:val="single" w:sz="2" w:space="0" w:color="000000"/>
              <w:bottom w:val="single" w:sz="4" w:space="0" w:color="000000"/>
              <w:right w:val="single" w:sz="2" w:space="0" w:color="000000"/>
            </w:tcBorders>
          </w:tcPr>
          <w:p>
            <w:pPr>
              <w:pStyle w:val="TableParagraph"/>
              <w:spacing w:before="9"/>
              <w:jc w:val="left"/>
              <w:rPr>
                <w:b/>
                <w:sz w:val="16"/>
              </w:rPr>
            </w:pPr>
          </w:p>
          <w:p>
            <w:pPr>
              <w:pStyle w:val="TableParagraph"/>
              <w:spacing w:line="266" w:lineRule="auto"/>
              <w:ind w:left="17" w:right="23" w:firstLine="6"/>
              <w:rPr>
                <w:rFonts w:ascii="Constantia"/>
                <w:sz w:val="14"/>
              </w:rPr>
            </w:pPr>
            <w:r>
              <w:rPr>
                <w:rFonts w:ascii="Constantia"/>
                <w:w w:val="70"/>
                <w:sz w:val="14"/>
              </w:rPr>
              <w:t>Tendencia </w:t>
            </w:r>
            <w:r>
              <w:rPr>
                <w:rFonts w:ascii="Constantia"/>
                <w:w w:val="65"/>
                <w:sz w:val="14"/>
              </w:rPr>
              <w:t>deterministica </w:t>
            </w:r>
            <w:r>
              <w:rPr>
                <w:rFonts w:ascii="Constantia"/>
                <w:w w:val="75"/>
                <w:sz w:val="14"/>
              </w:rPr>
              <w:t>(a)</w:t>
            </w:r>
          </w:p>
        </w:tc>
        <w:tc>
          <w:tcPr>
            <w:tcW w:w="376" w:type="dxa"/>
            <w:tcBorders>
              <w:top w:val="single" w:sz="4" w:space="0" w:color="000000"/>
              <w:left w:val="single" w:sz="2" w:space="0" w:color="000000"/>
              <w:bottom w:val="single" w:sz="4" w:space="0" w:color="000000"/>
              <w:right w:val="single" w:sz="2" w:space="0" w:color="000000"/>
            </w:tcBorders>
          </w:tcPr>
          <w:p>
            <w:pPr>
              <w:pStyle w:val="TableParagraph"/>
              <w:spacing w:before="9"/>
              <w:jc w:val="left"/>
              <w:rPr>
                <w:b/>
                <w:sz w:val="16"/>
              </w:rPr>
            </w:pPr>
          </w:p>
          <w:p>
            <w:pPr>
              <w:pStyle w:val="TableParagraph"/>
              <w:spacing w:line="266" w:lineRule="auto"/>
              <w:ind w:left="51" w:right="51" w:firstLine="10"/>
              <w:rPr>
                <w:rFonts w:ascii="Constantia"/>
                <w:sz w:val="14"/>
              </w:rPr>
            </w:pPr>
            <w:r>
              <w:rPr>
                <w:rFonts w:ascii="Constantia"/>
                <w:w w:val="75"/>
                <w:sz w:val="14"/>
              </w:rPr>
              <w:t>Con </w:t>
            </w:r>
            <w:r>
              <w:rPr>
                <w:rFonts w:ascii="Constantia"/>
                <w:w w:val="65"/>
                <w:sz w:val="14"/>
              </w:rPr>
              <w:t>rumbo </w:t>
            </w:r>
            <w:r>
              <w:rPr>
                <w:rFonts w:ascii="Constantia"/>
                <w:w w:val="75"/>
                <w:sz w:val="14"/>
              </w:rPr>
              <w:t>(b)</w:t>
            </w:r>
          </w:p>
        </w:tc>
        <w:tc>
          <w:tcPr>
            <w:tcW w:w="365" w:type="dxa"/>
            <w:tcBorders>
              <w:top w:val="single" w:sz="4" w:space="0" w:color="000000"/>
              <w:left w:val="single" w:sz="2" w:space="0" w:color="000000"/>
              <w:bottom w:val="single" w:sz="4" w:space="0" w:color="000000"/>
              <w:right w:val="single" w:sz="2" w:space="0" w:color="000000"/>
            </w:tcBorders>
          </w:tcPr>
          <w:p>
            <w:pPr>
              <w:pStyle w:val="TableParagraph"/>
              <w:spacing w:before="9"/>
              <w:jc w:val="left"/>
              <w:rPr>
                <w:b/>
                <w:sz w:val="16"/>
              </w:rPr>
            </w:pPr>
          </w:p>
          <w:p>
            <w:pPr>
              <w:pStyle w:val="TableParagraph"/>
              <w:spacing w:line="266" w:lineRule="auto"/>
              <w:ind w:left="45" w:right="45" w:firstLine="9"/>
              <w:rPr>
                <w:rFonts w:ascii="Constantia"/>
                <w:sz w:val="14"/>
              </w:rPr>
            </w:pPr>
            <w:r>
              <w:rPr>
                <w:rFonts w:ascii="Constantia"/>
                <w:w w:val="75"/>
                <w:sz w:val="14"/>
              </w:rPr>
              <w:t>Sin </w:t>
            </w:r>
            <w:r>
              <w:rPr>
                <w:rFonts w:ascii="Constantia"/>
                <w:w w:val="65"/>
                <w:sz w:val="14"/>
              </w:rPr>
              <w:t>rumbo </w:t>
            </w:r>
            <w:r>
              <w:rPr>
                <w:rFonts w:ascii="Constantia"/>
                <w:w w:val="75"/>
                <w:sz w:val="14"/>
              </w:rPr>
              <w:t>(c)</w:t>
            </w:r>
          </w:p>
        </w:tc>
        <w:tc>
          <w:tcPr>
            <w:tcW w:w="376" w:type="dxa"/>
            <w:tcBorders>
              <w:top w:val="single" w:sz="4" w:space="0" w:color="000000"/>
              <w:left w:val="single" w:sz="2" w:space="0" w:color="000000"/>
              <w:bottom w:val="single" w:sz="4" w:space="0" w:color="000000"/>
              <w:right w:val="single" w:sz="2" w:space="0" w:color="000000"/>
            </w:tcBorders>
          </w:tcPr>
          <w:p>
            <w:pPr>
              <w:pStyle w:val="TableParagraph"/>
              <w:spacing w:before="9"/>
              <w:jc w:val="left"/>
              <w:rPr>
                <w:b/>
                <w:sz w:val="16"/>
              </w:rPr>
            </w:pPr>
          </w:p>
          <w:p>
            <w:pPr>
              <w:pStyle w:val="TableParagraph"/>
              <w:ind w:left="79"/>
              <w:jc w:val="left"/>
              <w:rPr>
                <w:rFonts w:ascii="Constantia"/>
                <w:sz w:val="14"/>
              </w:rPr>
            </w:pPr>
            <w:r>
              <w:rPr>
                <w:rFonts w:ascii="Constantia"/>
                <w:w w:val="70"/>
                <w:sz w:val="14"/>
              </w:rPr>
              <w:t>k (a),</w:t>
            </w:r>
          </w:p>
          <w:p>
            <w:pPr>
              <w:pStyle w:val="TableParagraph"/>
              <w:spacing w:line="266" w:lineRule="auto" w:before="19"/>
              <w:ind w:left="130" w:hanging="40"/>
              <w:jc w:val="left"/>
              <w:rPr>
                <w:rFonts w:ascii="Constantia"/>
                <w:sz w:val="14"/>
              </w:rPr>
            </w:pPr>
            <w:r>
              <w:rPr>
                <w:rFonts w:ascii="Constantia"/>
                <w:w w:val="70"/>
                <w:sz w:val="14"/>
              </w:rPr>
              <w:t>(b) y </w:t>
            </w:r>
            <w:r>
              <w:rPr>
                <w:rFonts w:ascii="Constantia"/>
                <w:w w:val="75"/>
                <w:sz w:val="14"/>
              </w:rPr>
              <w:t>(c)</w:t>
            </w:r>
          </w:p>
        </w:tc>
        <w:tc>
          <w:tcPr>
            <w:tcW w:w="455" w:type="dxa"/>
            <w:tcBorders>
              <w:top w:val="single" w:sz="4" w:space="0" w:color="000000"/>
              <w:left w:val="single" w:sz="2" w:space="0" w:color="000000"/>
              <w:bottom w:val="single" w:sz="4" w:space="0" w:color="000000"/>
              <w:right w:val="single" w:sz="2" w:space="0" w:color="000000"/>
            </w:tcBorders>
            <w:shd w:val="clear" w:color="auto" w:fill="D6E3BB"/>
          </w:tcPr>
          <w:p>
            <w:pPr>
              <w:pStyle w:val="TableParagraph"/>
              <w:jc w:val="left"/>
              <w:rPr>
                <w:b/>
                <w:sz w:val="14"/>
              </w:rPr>
            </w:pPr>
          </w:p>
          <w:p>
            <w:pPr>
              <w:pStyle w:val="TableParagraph"/>
              <w:spacing w:before="3"/>
              <w:jc w:val="left"/>
              <w:rPr>
                <w:b/>
                <w:sz w:val="19"/>
              </w:rPr>
            </w:pPr>
          </w:p>
          <w:p>
            <w:pPr>
              <w:pStyle w:val="TableParagraph"/>
              <w:rPr>
                <w:rFonts w:ascii="Constantia"/>
                <w:sz w:val="14"/>
              </w:rPr>
            </w:pPr>
            <w:r>
              <w:rPr>
                <w:rFonts w:ascii="Constantia"/>
                <w:w w:val="65"/>
                <w:sz w:val="14"/>
              </w:rPr>
              <w:t>Tendencia</w:t>
            </w:r>
          </w:p>
        </w:tc>
        <w:tc>
          <w:tcPr>
            <w:tcW w:w="456" w:type="dxa"/>
            <w:tcBorders>
              <w:top w:val="single" w:sz="4" w:space="0" w:color="000000"/>
              <w:left w:val="single" w:sz="2" w:space="0" w:color="000000"/>
              <w:bottom w:val="single" w:sz="4" w:space="0" w:color="000000"/>
              <w:right w:val="single" w:sz="2" w:space="0" w:color="000000"/>
            </w:tcBorders>
            <w:shd w:val="clear" w:color="auto" w:fill="D6E3BB"/>
          </w:tcPr>
          <w:p>
            <w:pPr>
              <w:pStyle w:val="TableParagraph"/>
              <w:jc w:val="left"/>
              <w:rPr>
                <w:b/>
                <w:sz w:val="14"/>
              </w:rPr>
            </w:pPr>
          </w:p>
          <w:p>
            <w:pPr>
              <w:pStyle w:val="TableParagraph"/>
              <w:spacing w:before="3"/>
              <w:jc w:val="left"/>
              <w:rPr>
                <w:b/>
                <w:sz w:val="19"/>
              </w:rPr>
            </w:pPr>
          </w:p>
          <w:p>
            <w:pPr>
              <w:pStyle w:val="TableParagraph"/>
              <w:ind w:left="3" w:right="3"/>
              <w:rPr>
                <w:rFonts w:ascii="Constantia"/>
                <w:sz w:val="14"/>
              </w:rPr>
            </w:pPr>
            <w:r>
              <w:rPr>
                <w:rFonts w:ascii="Constantia"/>
                <w:w w:val="65"/>
                <w:sz w:val="14"/>
              </w:rPr>
              <w:t>Constante</w:t>
            </w:r>
          </w:p>
        </w:tc>
        <w:tc>
          <w:tcPr>
            <w:tcW w:w="336" w:type="dxa"/>
            <w:tcBorders>
              <w:top w:val="single" w:sz="4" w:space="0" w:color="000000"/>
              <w:left w:val="single" w:sz="2" w:space="0" w:color="000000"/>
              <w:bottom w:val="single" w:sz="4" w:space="0" w:color="000000"/>
              <w:right w:val="single" w:sz="2" w:space="0" w:color="000000"/>
            </w:tcBorders>
          </w:tcPr>
          <w:p>
            <w:pPr>
              <w:pStyle w:val="TableParagraph"/>
              <w:jc w:val="left"/>
              <w:rPr>
                <w:b/>
                <w:sz w:val="16"/>
              </w:rPr>
            </w:pPr>
          </w:p>
          <w:p>
            <w:pPr>
              <w:pStyle w:val="TableParagraph"/>
              <w:spacing w:before="7"/>
              <w:jc w:val="left"/>
              <w:rPr>
                <w:b/>
                <w:sz w:val="15"/>
              </w:rPr>
            </w:pPr>
          </w:p>
          <w:p>
            <w:pPr>
              <w:pStyle w:val="TableParagraph"/>
              <w:ind w:left="51"/>
              <w:jc w:val="left"/>
              <w:rPr>
                <w:rFonts w:ascii="Constantia"/>
                <w:b/>
                <w:sz w:val="17"/>
              </w:rPr>
            </w:pPr>
            <w:r>
              <w:rPr>
                <w:rFonts w:ascii="Constantia"/>
                <w:b/>
                <w:w w:val="75"/>
                <w:sz w:val="17"/>
              </w:rPr>
              <w:t>DFA</w:t>
            </w:r>
          </w:p>
        </w:tc>
        <w:tc>
          <w:tcPr>
            <w:tcW w:w="342" w:type="dxa"/>
            <w:tcBorders>
              <w:top w:val="single" w:sz="4" w:space="0" w:color="000000"/>
              <w:left w:val="single" w:sz="2" w:space="0" w:color="000000"/>
              <w:bottom w:val="single" w:sz="4" w:space="0" w:color="000000"/>
              <w:right w:val="single" w:sz="2" w:space="0" w:color="000000"/>
            </w:tcBorders>
          </w:tcPr>
          <w:p>
            <w:pPr>
              <w:pStyle w:val="TableParagraph"/>
              <w:jc w:val="left"/>
              <w:rPr>
                <w:b/>
                <w:sz w:val="16"/>
              </w:rPr>
            </w:pPr>
          </w:p>
          <w:p>
            <w:pPr>
              <w:pStyle w:val="TableParagraph"/>
              <w:spacing w:before="7"/>
              <w:jc w:val="left"/>
              <w:rPr>
                <w:b/>
                <w:sz w:val="15"/>
              </w:rPr>
            </w:pPr>
          </w:p>
          <w:p>
            <w:pPr>
              <w:pStyle w:val="TableParagraph"/>
              <w:ind w:left="45"/>
              <w:jc w:val="left"/>
              <w:rPr>
                <w:rFonts w:ascii="Constantia"/>
                <w:b/>
                <w:sz w:val="17"/>
              </w:rPr>
            </w:pPr>
            <w:r>
              <w:rPr>
                <w:rFonts w:ascii="Constantia"/>
                <w:b/>
                <w:w w:val="70"/>
                <w:sz w:val="17"/>
              </w:rPr>
              <w:t>Ph-P</w:t>
            </w:r>
          </w:p>
        </w:tc>
        <w:tc>
          <w:tcPr>
            <w:tcW w:w="1361" w:type="dxa"/>
            <w:tcBorders>
              <w:top w:val="single" w:sz="4" w:space="0" w:color="000000"/>
              <w:left w:val="single" w:sz="2" w:space="0" w:color="000000"/>
              <w:bottom w:val="single" w:sz="4" w:space="0" w:color="000000"/>
              <w:right w:val="single" w:sz="2" w:space="0" w:color="000000"/>
            </w:tcBorders>
          </w:tcPr>
          <w:p>
            <w:pPr>
              <w:pStyle w:val="TableParagraph"/>
              <w:jc w:val="left"/>
              <w:rPr>
                <w:b/>
                <w:sz w:val="16"/>
              </w:rPr>
            </w:pPr>
          </w:p>
          <w:p>
            <w:pPr>
              <w:pStyle w:val="TableParagraph"/>
              <w:spacing w:before="7"/>
              <w:jc w:val="left"/>
              <w:rPr>
                <w:b/>
                <w:sz w:val="15"/>
              </w:rPr>
            </w:pPr>
          </w:p>
          <w:p>
            <w:pPr>
              <w:pStyle w:val="TableParagraph"/>
              <w:ind w:left="40" w:right="40"/>
              <w:rPr>
                <w:rFonts w:ascii="Constantia"/>
                <w:b/>
                <w:sz w:val="17"/>
              </w:rPr>
            </w:pPr>
            <w:r>
              <w:rPr>
                <w:rFonts w:ascii="Constantia"/>
                <w:b/>
                <w:w w:val="75"/>
                <w:sz w:val="17"/>
              </w:rPr>
              <w:t>KPSS</w:t>
            </w:r>
          </w:p>
        </w:tc>
      </w:tr>
      <w:tr>
        <w:trPr>
          <w:trHeight w:val="247" w:hRule="exact"/>
        </w:trPr>
        <w:tc>
          <w:tcPr>
            <w:tcW w:w="2095" w:type="dxa"/>
            <w:tcBorders>
              <w:top w:val="single" w:sz="4" w:space="0" w:color="000000"/>
              <w:left w:val="single" w:sz="2" w:space="0" w:color="000000"/>
              <w:right w:val="single" w:sz="2" w:space="0" w:color="000000"/>
            </w:tcBorders>
          </w:tcPr>
          <w:p>
            <w:pPr>
              <w:pStyle w:val="TableParagraph"/>
              <w:spacing w:before="10"/>
              <w:ind w:left="17" w:right="-15"/>
              <w:jc w:val="left"/>
              <w:rPr>
                <w:rFonts w:ascii="Constantia"/>
                <w:sz w:val="17"/>
              </w:rPr>
            </w:pPr>
            <w:r>
              <w:rPr>
                <w:rFonts w:ascii="Constantia"/>
                <w:w w:val="65"/>
                <w:sz w:val="17"/>
              </w:rPr>
              <w:t>Ln (Precio del gas natural)</w:t>
            </w:r>
          </w:p>
        </w:tc>
        <w:tc>
          <w:tcPr>
            <w:tcW w:w="655" w:type="dxa"/>
            <w:tcBorders>
              <w:top w:val="single" w:sz="4" w:space="0" w:color="000000"/>
              <w:left w:val="single" w:sz="2" w:space="0" w:color="000000"/>
              <w:right w:val="single" w:sz="2" w:space="0" w:color="000000"/>
            </w:tcBorders>
          </w:tcPr>
          <w:p>
            <w:pPr>
              <w:pStyle w:val="TableParagraph"/>
              <w:spacing w:before="10"/>
              <w:ind w:right="57"/>
              <w:jc w:val="right"/>
              <w:rPr>
                <w:rFonts w:ascii="Constantia"/>
                <w:sz w:val="17"/>
              </w:rPr>
            </w:pPr>
            <w:r>
              <w:rPr>
                <w:rFonts w:ascii="Constantia"/>
                <w:w w:val="65"/>
                <w:sz w:val="17"/>
              </w:rPr>
              <w:t>0.63</w:t>
            </w:r>
          </w:p>
        </w:tc>
        <w:tc>
          <w:tcPr>
            <w:tcW w:w="444" w:type="dxa"/>
            <w:tcBorders>
              <w:top w:val="single" w:sz="4" w:space="0" w:color="000000"/>
              <w:left w:val="single" w:sz="2" w:space="0" w:color="000000"/>
              <w:right w:val="single" w:sz="2" w:space="0" w:color="000000"/>
            </w:tcBorders>
          </w:tcPr>
          <w:p>
            <w:pPr>
              <w:pStyle w:val="TableParagraph"/>
              <w:spacing w:before="10"/>
              <w:ind w:right="55"/>
              <w:jc w:val="right"/>
              <w:rPr>
                <w:rFonts w:ascii="Constantia"/>
                <w:sz w:val="17"/>
              </w:rPr>
            </w:pPr>
            <w:r>
              <w:rPr>
                <w:rFonts w:ascii="Constantia"/>
                <w:w w:val="65"/>
                <w:sz w:val="17"/>
              </w:rPr>
              <w:t>0.21</w:t>
            </w:r>
          </w:p>
        </w:tc>
        <w:tc>
          <w:tcPr>
            <w:tcW w:w="393" w:type="dxa"/>
            <w:tcBorders>
              <w:top w:val="single" w:sz="4" w:space="0" w:color="000000"/>
              <w:left w:val="single" w:sz="2" w:space="0" w:color="000000"/>
              <w:right w:val="single" w:sz="2" w:space="0" w:color="000000"/>
            </w:tcBorders>
          </w:tcPr>
          <w:p>
            <w:pPr>
              <w:pStyle w:val="TableParagraph"/>
              <w:spacing w:before="10"/>
              <w:ind w:left="105" w:right="4"/>
              <w:rPr>
                <w:rFonts w:ascii="Constantia"/>
                <w:sz w:val="17"/>
              </w:rPr>
            </w:pPr>
            <w:r>
              <w:rPr>
                <w:rFonts w:ascii="Constantia"/>
                <w:w w:val="75"/>
                <w:sz w:val="17"/>
              </w:rPr>
              <w:t>n.a.</w:t>
            </w:r>
          </w:p>
        </w:tc>
        <w:tc>
          <w:tcPr>
            <w:tcW w:w="410" w:type="dxa"/>
            <w:tcBorders>
              <w:top w:val="single" w:sz="4" w:space="0" w:color="000000"/>
              <w:left w:val="single" w:sz="2" w:space="0" w:color="000000"/>
              <w:right w:val="single" w:sz="2" w:space="0" w:color="000000"/>
            </w:tcBorders>
          </w:tcPr>
          <w:p>
            <w:pPr>
              <w:pStyle w:val="TableParagraph"/>
              <w:spacing w:before="10"/>
              <w:ind w:left="176"/>
              <w:jc w:val="left"/>
              <w:rPr>
                <w:rFonts w:ascii="Constantia"/>
                <w:sz w:val="17"/>
              </w:rPr>
            </w:pPr>
            <w:r>
              <w:rPr>
                <w:rFonts w:ascii="Constantia"/>
                <w:w w:val="63"/>
                <w:sz w:val="17"/>
              </w:rPr>
              <w:t>2</w:t>
            </w:r>
          </w:p>
        </w:tc>
        <w:tc>
          <w:tcPr>
            <w:tcW w:w="456" w:type="dxa"/>
            <w:tcBorders>
              <w:top w:val="single" w:sz="4" w:space="0" w:color="000000"/>
              <w:left w:val="single" w:sz="2" w:space="0" w:color="000000"/>
              <w:right w:val="single" w:sz="2" w:space="0" w:color="000000"/>
            </w:tcBorders>
            <w:shd w:val="clear" w:color="auto" w:fill="D6E3BB"/>
          </w:tcPr>
          <w:p>
            <w:pPr>
              <w:pStyle w:val="TableParagraph"/>
              <w:spacing w:before="10"/>
              <w:ind w:left="5"/>
              <w:rPr>
                <w:rFonts w:ascii="Constantia"/>
                <w:sz w:val="17"/>
              </w:rPr>
            </w:pPr>
            <w:r>
              <w:rPr>
                <w:rFonts w:ascii="Constantia"/>
                <w:w w:val="75"/>
                <w:sz w:val="17"/>
              </w:rPr>
              <w:t>No</w:t>
            </w:r>
          </w:p>
        </w:tc>
        <w:tc>
          <w:tcPr>
            <w:tcW w:w="484" w:type="dxa"/>
            <w:tcBorders>
              <w:top w:val="single" w:sz="4" w:space="0" w:color="000000"/>
              <w:left w:val="single" w:sz="2" w:space="0" w:color="000000"/>
              <w:right w:val="single" w:sz="2" w:space="0" w:color="000000"/>
            </w:tcBorders>
            <w:shd w:val="clear" w:color="auto" w:fill="D6E3BB"/>
          </w:tcPr>
          <w:p>
            <w:pPr>
              <w:pStyle w:val="TableParagraph"/>
              <w:spacing w:before="10"/>
              <w:ind w:left="14" w:right="5"/>
              <w:rPr>
                <w:rFonts w:ascii="Constantia"/>
                <w:sz w:val="17"/>
              </w:rPr>
            </w:pPr>
            <w:r>
              <w:rPr>
                <w:rFonts w:ascii="Constantia"/>
                <w:w w:val="75"/>
                <w:sz w:val="17"/>
              </w:rPr>
              <w:t>Si</w:t>
            </w:r>
          </w:p>
        </w:tc>
        <w:tc>
          <w:tcPr>
            <w:tcW w:w="626" w:type="dxa"/>
            <w:tcBorders>
              <w:top w:val="single" w:sz="4" w:space="0" w:color="000000"/>
              <w:left w:val="single" w:sz="2" w:space="0" w:color="000000"/>
              <w:right w:val="single" w:sz="2" w:space="0" w:color="000000"/>
            </w:tcBorders>
          </w:tcPr>
          <w:p>
            <w:pPr>
              <w:pStyle w:val="TableParagraph"/>
              <w:spacing w:before="10"/>
              <w:ind w:right="53"/>
              <w:jc w:val="right"/>
              <w:rPr>
                <w:rFonts w:ascii="Constantia"/>
                <w:sz w:val="17"/>
              </w:rPr>
            </w:pPr>
            <w:r>
              <w:rPr>
                <w:rFonts w:ascii="Constantia"/>
                <w:w w:val="60"/>
                <w:sz w:val="17"/>
              </w:rPr>
              <w:t>0.00</w:t>
            </w:r>
          </w:p>
        </w:tc>
        <w:tc>
          <w:tcPr>
            <w:tcW w:w="376" w:type="dxa"/>
            <w:tcBorders>
              <w:top w:val="single" w:sz="4" w:space="0" w:color="000000"/>
              <w:left w:val="single" w:sz="2" w:space="0" w:color="000000"/>
              <w:right w:val="single" w:sz="2" w:space="0" w:color="000000"/>
            </w:tcBorders>
          </w:tcPr>
          <w:p>
            <w:pPr>
              <w:pStyle w:val="TableParagraph"/>
              <w:spacing w:before="10"/>
              <w:ind w:left="114"/>
              <w:jc w:val="left"/>
              <w:rPr>
                <w:rFonts w:ascii="Constantia"/>
                <w:sz w:val="17"/>
              </w:rPr>
            </w:pPr>
            <w:r>
              <w:rPr>
                <w:rFonts w:ascii="Constantia"/>
                <w:w w:val="70"/>
                <w:sz w:val="17"/>
              </w:rPr>
              <w:t>0.00</w:t>
            </w:r>
          </w:p>
        </w:tc>
        <w:tc>
          <w:tcPr>
            <w:tcW w:w="365" w:type="dxa"/>
            <w:tcBorders>
              <w:top w:val="single" w:sz="4" w:space="0" w:color="000000"/>
              <w:left w:val="single" w:sz="2" w:space="0" w:color="000000"/>
              <w:right w:val="single" w:sz="2" w:space="0" w:color="000000"/>
            </w:tcBorders>
          </w:tcPr>
          <w:p>
            <w:pPr>
              <w:pStyle w:val="TableParagraph"/>
              <w:spacing w:before="10"/>
              <w:ind w:left="76" w:right="3"/>
              <w:rPr>
                <w:rFonts w:ascii="Constantia"/>
                <w:sz w:val="17"/>
              </w:rPr>
            </w:pPr>
            <w:r>
              <w:rPr>
                <w:rFonts w:ascii="Constantia"/>
                <w:w w:val="75"/>
                <w:sz w:val="17"/>
              </w:rPr>
              <w:t>n.a.</w:t>
            </w:r>
          </w:p>
        </w:tc>
        <w:tc>
          <w:tcPr>
            <w:tcW w:w="376" w:type="dxa"/>
            <w:tcBorders>
              <w:top w:val="single" w:sz="4" w:space="0" w:color="000000"/>
              <w:left w:val="single" w:sz="2" w:space="0" w:color="000000"/>
              <w:right w:val="single" w:sz="2" w:space="0" w:color="000000"/>
            </w:tcBorders>
          </w:tcPr>
          <w:p>
            <w:pPr>
              <w:pStyle w:val="TableParagraph"/>
              <w:spacing w:before="10"/>
              <w:ind w:left="5"/>
              <w:rPr>
                <w:rFonts w:ascii="Constantia"/>
                <w:sz w:val="17"/>
              </w:rPr>
            </w:pPr>
            <w:r>
              <w:rPr>
                <w:rFonts w:ascii="Constantia"/>
                <w:w w:val="63"/>
                <w:sz w:val="17"/>
              </w:rPr>
              <w:t>1</w:t>
            </w:r>
          </w:p>
        </w:tc>
        <w:tc>
          <w:tcPr>
            <w:tcW w:w="455" w:type="dxa"/>
            <w:tcBorders>
              <w:top w:val="single" w:sz="4" w:space="0" w:color="000000"/>
              <w:left w:val="single" w:sz="2" w:space="0" w:color="000000"/>
              <w:right w:val="single" w:sz="2" w:space="0" w:color="000000"/>
            </w:tcBorders>
            <w:shd w:val="clear" w:color="auto" w:fill="D6E3BB"/>
          </w:tcPr>
          <w:p>
            <w:pPr>
              <w:pStyle w:val="TableParagraph"/>
              <w:spacing w:before="10"/>
              <w:ind w:left="5"/>
              <w:rPr>
                <w:rFonts w:ascii="Constantia"/>
                <w:sz w:val="17"/>
              </w:rPr>
            </w:pPr>
            <w:r>
              <w:rPr>
                <w:rFonts w:ascii="Constantia"/>
                <w:w w:val="75"/>
                <w:sz w:val="17"/>
              </w:rPr>
              <w:t>No</w:t>
            </w:r>
          </w:p>
        </w:tc>
        <w:tc>
          <w:tcPr>
            <w:tcW w:w="456" w:type="dxa"/>
            <w:tcBorders>
              <w:top w:val="single" w:sz="4" w:space="0" w:color="000000"/>
              <w:left w:val="single" w:sz="2" w:space="0" w:color="000000"/>
              <w:right w:val="single" w:sz="2" w:space="0" w:color="000000"/>
            </w:tcBorders>
            <w:shd w:val="clear" w:color="auto" w:fill="D6E3BB"/>
          </w:tcPr>
          <w:p>
            <w:pPr>
              <w:pStyle w:val="TableParagraph"/>
              <w:spacing w:before="10"/>
              <w:ind w:left="3"/>
              <w:rPr>
                <w:rFonts w:ascii="Constantia"/>
                <w:sz w:val="17"/>
              </w:rPr>
            </w:pPr>
            <w:r>
              <w:rPr>
                <w:rFonts w:ascii="Constantia"/>
                <w:w w:val="75"/>
                <w:sz w:val="17"/>
              </w:rPr>
              <w:t>Si</w:t>
            </w:r>
          </w:p>
        </w:tc>
        <w:tc>
          <w:tcPr>
            <w:tcW w:w="336" w:type="dxa"/>
            <w:tcBorders>
              <w:top w:val="single" w:sz="4" w:space="0" w:color="000000"/>
              <w:left w:val="single" w:sz="2" w:space="0" w:color="000000"/>
              <w:right w:val="single" w:sz="2" w:space="0" w:color="000000"/>
            </w:tcBorders>
          </w:tcPr>
          <w:p>
            <w:pPr>
              <w:pStyle w:val="TableParagraph"/>
              <w:spacing w:before="10"/>
              <w:ind w:left="85"/>
              <w:jc w:val="left"/>
              <w:rPr>
                <w:rFonts w:ascii="Constantia"/>
                <w:b/>
                <w:sz w:val="17"/>
              </w:rPr>
            </w:pPr>
            <w:r>
              <w:rPr>
                <w:rFonts w:ascii="Constantia"/>
                <w:b/>
                <w:w w:val="75"/>
                <w:sz w:val="17"/>
              </w:rPr>
              <w:t>I(1)</w:t>
            </w:r>
          </w:p>
        </w:tc>
        <w:tc>
          <w:tcPr>
            <w:tcW w:w="342" w:type="dxa"/>
            <w:tcBorders>
              <w:top w:val="single" w:sz="4" w:space="0" w:color="000000"/>
              <w:left w:val="single" w:sz="2" w:space="0" w:color="000000"/>
              <w:right w:val="single" w:sz="2" w:space="0" w:color="000000"/>
            </w:tcBorders>
          </w:tcPr>
          <w:p>
            <w:pPr>
              <w:pStyle w:val="TableParagraph"/>
              <w:spacing w:before="10"/>
              <w:ind w:left="91"/>
              <w:jc w:val="left"/>
              <w:rPr>
                <w:rFonts w:ascii="Constantia"/>
                <w:b/>
                <w:sz w:val="17"/>
              </w:rPr>
            </w:pPr>
            <w:r>
              <w:rPr>
                <w:rFonts w:ascii="Constantia"/>
                <w:b/>
                <w:w w:val="75"/>
                <w:sz w:val="17"/>
              </w:rPr>
              <w:t>I(1)</w:t>
            </w:r>
          </w:p>
        </w:tc>
        <w:tc>
          <w:tcPr>
            <w:tcW w:w="1361" w:type="dxa"/>
            <w:tcBorders>
              <w:top w:val="single" w:sz="4" w:space="0" w:color="000000"/>
              <w:left w:val="single" w:sz="2" w:space="0" w:color="000000"/>
              <w:right w:val="single" w:sz="2" w:space="0" w:color="000000"/>
            </w:tcBorders>
          </w:tcPr>
          <w:p>
            <w:pPr>
              <w:pStyle w:val="TableParagraph"/>
              <w:spacing w:before="39"/>
              <w:ind w:left="40" w:right="40"/>
              <w:rPr>
                <w:rFonts w:ascii="Constantia"/>
                <w:b/>
                <w:sz w:val="14"/>
              </w:rPr>
            </w:pPr>
            <w:r>
              <w:rPr>
                <w:rFonts w:ascii="Constantia"/>
                <w:b/>
                <w:w w:val="75"/>
                <w:sz w:val="14"/>
              </w:rPr>
              <w:t>I(1)</w:t>
            </w:r>
          </w:p>
        </w:tc>
      </w:tr>
      <w:tr>
        <w:trPr>
          <w:trHeight w:val="227" w:hRule="exact"/>
        </w:trPr>
        <w:tc>
          <w:tcPr>
            <w:tcW w:w="2095" w:type="dxa"/>
            <w:tcBorders>
              <w:left w:val="single" w:sz="2" w:space="0" w:color="000000"/>
              <w:right w:val="single" w:sz="2" w:space="0" w:color="000000"/>
            </w:tcBorders>
          </w:tcPr>
          <w:p>
            <w:pPr>
              <w:pStyle w:val="TableParagraph"/>
              <w:spacing w:line="202" w:lineRule="exact"/>
              <w:ind w:left="17" w:right="-15"/>
              <w:jc w:val="left"/>
              <w:rPr>
                <w:rFonts w:ascii="Constantia" w:hAnsi="Constantia"/>
                <w:sz w:val="17"/>
              </w:rPr>
            </w:pPr>
            <w:r>
              <w:rPr>
                <w:rFonts w:ascii="Constantia" w:hAnsi="Constantia"/>
                <w:w w:val="65"/>
                <w:sz w:val="17"/>
              </w:rPr>
              <w:t>Ln (Gasto de Capital/ Ingresos gasíferos)</w:t>
            </w:r>
          </w:p>
        </w:tc>
        <w:tc>
          <w:tcPr>
            <w:tcW w:w="655" w:type="dxa"/>
            <w:tcBorders>
              <w:left w:val="single" w:sz="2" w:space="0" w:color="000000"/>
              <w:right w:val="single" w:sz="2" w:space="0" w:color="000000"/>
            </w:tcBorders>
          </w:tcPr>
          <w:p>
            <w:pPr>
              <w:pStyle w:val="TableParagraph"/>
              <w:spacing w:line="202" w:lineRule="exact"/>
              <w:ind w:right="55"/>
              <w:jc w:val="right"/>
              <w:rPr>
                <w:rFonts w:ascii="Constantia"/>
                <w:sz w:val="17"/>
              </w:rPr>
            </w:pPr>
            <w:r>
              <w:rPr>
                <w:rFonts w:ascii="Constantia"/>
                <w:w w:val="60"/>
                <w:sz w:val="17"/>
              </w:rPr>
              <w:t>n.a.</w:t>
            </w:r>
          </w:p>
        </w:tc>
        <w:tc>
          <w:tcPr>
            <w:tcW w:w="444" w:type="dxa"/>
            <w:tcBorders>
              <w:left w:val="single" w:sz="2" w:space="0" w:color="000000"/>
              <w:right w:val="single" w:sz="2" w:space="0" w:color="000000"/>
            </w:tcBorders>
          </w:tcPr>
          <w:p>
            <w:pPr>
              <w:pStyle w:val="TableParagraph"/>
              <w:spacing w:line="202" w:lineRule="exact"/>
              <w:ind w:right="55"/>
              <w:jc w:val="right"/>
              <w:rPr>
                <w:rFonts w:ascii="Constantia"/>
                <w:sz w:val="17"/>
              </w:rPr>
            </w:pPr>
            <w:r>
              <w:rPr>
                <w:rFonts w:ascii="Constantia"/>
                <w:w w:val="65"/>
                <w:sz w:val="17"/>
              </w:rPr>
              <w:t>0.71</w:t>
            </w:r>
          </w:p>
        </w:tc>
        <w:tc>
          <w:tcPr>
            <w:tcW w:w="393" w:type="dxa"/>
            <w:tcBorders>
              <w:left w:val="single" w:sz="2" w:space="0" w:color="000000"/>
              <w:right w:val="single" w:sz="2" w:space="0" w:color="000000"/>
            </w:tcBorders>
          </w:tcPr>
          <w:p>
            <w:pPr>
              <w:pStyle w:val="TableParagraph"/>
              <w:spacing w:line="202" w:lineRule="exact"/>
              <w:ind w:left="105" w:right="4"/>
              <w:rPr>
                <w:rFonts w:ascii="Constantia"/>
                <w:sz w:val="17"/>
              </w:rPr>
            </w:pPr>
            <w:r>
              <w:rPr>
                <w:rFonts w:ascii="Constantia"/>
                <w:w w:val="75"/>
                <w:sz w:val="17"/>
              </w:rPr>
              <w:t>n.a.</w:t>
            </w:r>
          </w:p>
        </w:tc>
        <w:tc>
          <w:tcPr>
            <w:tcW w:w="410" w:type="dxa"/>
            <w:tcBorders>
              <w:left w:val="single" w:sz="2" w:space="0" w:color="000000"/>
              <w:right w:val="single" w:sz="2" w:space="0" w:color="000000"/>
            </w:tcBorders>
          </w:tcPr>
          <w:p>
            <w:pPr>
              <w:pStyle w:val="TableParagraph"/>
              <w:spacing w:line="202" w:lineRule="exact"/>
              <w:ind w:left="176"/>
              <w:jc w:val="left"/>
              <w:rPr>
                <w:rFonts w:ascii="Constantia"/>
                <w:sz w:val="17"/>
              </w:rPr>
            </w:pPr>
            <w:r>
              <w:rPr>
                <w:rFonts w:ascii="Constantia"/>
                <w:w w:val="63"/>
                <w:sz w:val="17"/>
              </w:rPr>
              <w:t>0</w:t>
            </w:r>
          </w:p>
        </w:tc>
        <w:tc>
          <w:tcPr>
            <w:tcW w:w="456" w:type="dxa"/>
            <w:tcBorders>
              <w:left w:val="single" w:sz="2" w:space="0" w:color="000000"/>
              <w:right w:val="single" w:sz="2" w:space="0" w:color="000000"/>
            </w:tcBorders>
            <w:shd w:val="clear" w:color="auto" w:fill="D6E3BB"/>
          </w:tcPr>
          <w:p>
            <w:pPr>
              <w:pStyle w:val="TableParagraph"/>
              <w:spacing w:line="202" w:lineRule="exact"/>
              <w:ind w:left="4"/>
              <w:rPr>
                <w:rFonts w:ascii="Constantia"/>
                <w:sz w:val="17"/>
              </w:rPr>
            </w:pPr>
            <w:r>
              <w:rPr>
                <w:rFonts w:ascii="Constantia"/>
                <w:w w:val="75"/>
                <w:sz w:val="17"/>
              </w:rPr>
              <w:t>n.a.</w:t>
            </w:r>
          </w:p>
        </w:tc>
        <w:tc>
          <w:tcPr>
            <w:tcW w:w="484" w:type="dxa"/>
            <w:tcBorders>
              <w:left w:val="single" w:sz="2" w:space="0" w:color="000000"/>
              <w:right w:val="single" w:sz="2" w:space="0" w:color="000000"/>
            </w:tcBorders>
            <w:shd w:val="clear" w:color="auto" w:fill="D6E3BB"/>
          </w:tcPr>
          <w:p>
            <w:pPr>
              <w:pStyle w:val="TableParagraph"/>
              <w:spacing w:line="202" w:lineRule="exact"/>
              <w:ind w:left="14" w:right="14"/>
              <w:rPr>
                <w:rFonts w:ascii="Constantia"/>
                <w:sz w:val="17"/>
              </w:rPr>
            </w:pPr>
            <w:r>
              <w:rPr>
                <w:rFonts w:ascii="Constantia"/>
                <w:w w:val="75"/>
                <w:sz w:val="17"/>
              </w:rPr>
              <w:t>No</w:t>
            </w:r>
          </w:p>
        </w:tc>
        <w:tc>
          <w:tcPr>
            <w:tcW w:w="626" w:type="dxa"/>
            <w:tcBorders>
              <w:left w:val="single" w:sz="2" w:space="0" w:color="000000"/>
              <w:right w:val="single" w:sz="2" w:space="0" w:color="000000"/>
            </w:tcBorders>
          </w:tcPr>
          <w:p>
            <w:pPr>
              <w:pStyle w:val="TableParagraph"/>
              <w:spacing w:line="202" w:lineRule="exact"/>
              <w:ind w:right="55"/>
              <w:jc w:val="right"/>
              <w:rPr>
                <w:rFonts w:ascii="Constantia"/>
                <w:sz w:val="17"/>
              </w:rPr>
            </w:pPr>
            <w:r>
              <w:rPr>
                <w:rFonts w:ascii="Constantia"/>
                <w:w w:val="60"/>
                <w:sz w:val="17"/>
              </w:rPr>
              <w:t>n.a.</w:t>
            </w:r>
          </w:p>
        </w:tc>
        <w:tc>
          <w:tcPr>
            <w:tcW w:w="376" w:type="dxa"/>
            <w:tcBorders>
              <w:left w:val="single" w:sz="2" w:space="0" w:color="000000"/>
              <w:right w:val="single" w:sz="2" w:space="0" w:color="000000"/>
            </w:tcBorders>
          </w:tcPr>
          <w:p>
            <w:pPr>
              <w:pStyle w:val="TableParagraph"/>
              <w:spacing w:line="202" w:lineRule="exact"/>
              <w:ind w:left="114"/>
              <w:jc w:val="left"/>
              <w:rPr>
                <w:rFonts w:ascii="Constantia"/>
                <w:sz w:val="17"/>
              </w:rPr>
            </w:pPr>
            <w:r>
              <w:rPr>
                <w:rFonts w:ascii="Constantia"/>
                <w:w w:val="70"/>
                <w:sz w:val="17"/>
              </w:rPr>
              <w:t>0.00</w:t>
            </w:r>
          </w:p>
        </w:tc>
        <w:tc>
          <w:tcPr>
            <w:tcW w:w="365" w:type="dxa"/>
            <w:tcBorders>
              <w:left w:val="single" w:sz="2" w:space="0" w:color="000000"/>
              <w:right w:val="single" w:sz="2" w:space="0" w:color="000000"/>
            </w:tcBorders>
          </w:tcPr>
          <w:p>
            <w:pPr>
              <w:pStyle w:val="TableParagraph"/>
              <w:spacing w:line="202" w:lineRule="exact"/>
              <w:ind w:left="76" w:right="3"/>
              <w:rPr>
                <w:rFonts w:ascii="Constantia"/>
                <w:sz w:val="17"/>
              </w:rPr>
            </w:pPr>
            <w:r>
              <w:rPr>
                <w:rFonts w:ascii="Constantia"/>
                <w:w w:val="75"/>
                <w:sz w:val="17"/>
              </w:rPr>
              <w:t>n.a.</w:t>
            </w:r>
          </w:p>
        </w:tc>
        <w:tc>
          <w:tcPr>
            <w:tcW w:w="376" w:type="dxa"/>
            <w:tcBorders>
              <w:left w:val="single" w:sz="2" w:space="0" w:color="000000"/>
              <w:right w:val="single" w:sz="2" w:space="0" w:color="000000"/>
            </w:tcBorders>
          </w:tcPr>
          <w:p>
            <w:pPr>
              <w:pStyle w:val="TableParagraph"/>
              <w:spacing w:line="202" w:lineRule="exact"/>
              <w:ind w:left="6"/>
              <w:rPr>
                <w:rFonts w:ascii="Constantia"/>
                <w:sz w:val="17"/>
              </w:rPr>
            </w:pPr>
            <w:r>
              <w:rPr>
                <w:rFonts w:ascii="Constantia"/>
                <w:w w:val="63"/>
                <w:sz w:val="17"/>
              </w:rPr>
              <w:t>0</w:t>
            </w:r>
          </w:p>
        </w:tc>
        <w:tc>
          <w:tcPr>
            <w:tcW w:w="455" w:type="dxa"/>
            <w:tcBorders>
              <w:left w:val="single" w:sz="2" w:space="0" w:color="000000"/>
              <w:right w:val="single" w:sz="2" w:space="0" w:color="000000"/>
            </w:tcBorders>
            <w:shd w:val="clear" w:color="auto" w:fill="D6E3BB"/>
          </w:tcPr>
          <w:p>
            <w:pPr>
              <w:pStyle w:val="TableParagraph"/>
              <w:spacing w:line="202" w:lineRule="exact"/>
              <w:ind w:left="4"/>
              <w:rPr>
                <w:rFonts w:ascii="Constantia"/>
                <w:sz w:val="17"/>
              </w:rPr>
            </w:pPr>
            <w:r>
              <w:rPr>
                <w:rFonts w:ascii="Constantia"/>
                <w:w w:val="75"/>
                <w:sz w:val="17"/>
              </w:rPr>
              <w:t>n.a.</w:t>
            </w:r>
          </w:p>
        </w:tc>
        <w:tc>
          <w:tcPr>
            <w:tcW w:w="456" w:type="dxa"/>
            <w:tcBorders>
              <w:left w:val="single" w:sz="2" w:space="0" w:color="000000"/>
              <w:right w:val="single" w:sz="2" w:space="0" w:color="000000"/>
            </w:tcBorders>
            <w:shd w:val="clear" w:color="auto" w:fill="D6E3BB"/>
          </w:tcPr>
          <w:p>
            <w:pPr>
              <w:pStyle w:val="TableParagraph"/>
              <w:spacing w:line="202" w:lineRule="exact"/>
              <w:ind w:left="3"/>
              <w:rPr>
                <w:rFonts w:ascii="Constantia"/>
                <w:sz w:val="17"/>
              </w:rPr>
            </w:pPr>
            <w:r>
              <w:rPr>
                <w:rFonts w:ascii="Constantia"/>
                <w:w w:val="75"/>
                <w:sz w:val="17"/>
              </w:rPr>
              <w:t>Si</w:t>
            </w:r>
          </w:p>
        </w:tc>
        <w:tc>
          <w:tcPr>
            <w:tcW w:w="336" w:type="dxa"/>
            <w:tcBorders>
              <w:left w:val="single" w:sz="2" w:space="0" w:color="000000"/>
              <w:right w:val="single" w:sz="2" w:space="0" w:color="000000"/>
            </w:tcBorders>
          </w:tcPr>
          <w:p>
            <w:pPr>
              <w:pStyle w:val="TableParagraph"/>
              <w:spacing w:line="202" w:lineRule="exact"/>
              <w:ind w:left="85"/>
              <w:jc w:val="left"/>
              <w:rPr>
                <w:rFonts w:ascii="Constantia"/>
                <w:b/>
                <w:sz w:val="17"/>
              </w:rPr>
            </w:pPr>
            <w:r>
              <w:rPr>
                <w:rFonts w:ascii="Constantia"/>
                <w:b/>
                <w:w w:val="75"/>
                <w:sz w:val="17"/>
              </w:rPr>
              <w:t>I(1)</w:t>
            </w:r>
          </w:p>
        </w:tc>
        <w:tc>
          <w:tcPr>
            <w:tcW w:w="342" w:type="dxa"/>
            <w:tcBorders>
              <w:left w:val="single" w:sz="2" w:space="0" w:color="000000"/>
              <w:right w:val="single" w:sz="2" w:space="0" w:color="000000"/>
            </w:tcBorders>
          </w:tcPr>
          <w:p>
            <w:pPr>
              <w:pStyle w:val="TableParagraph"/>
              <w:spacing w:line="202" w:lineRule="exact"/>
              <w:ind w:left="91"/>
              <w:jc w:val="left"/>
              <w:rPr>
                <w:rFonts w:ascii="Constantia"/>
                <w:b/>
                <w:sz w:val="17"/>
              </w:rPr>
            </w:pPr>
            <w:r>
              <w:rPr>
                <w:rFonts w:ascii="Constantia"/>
                <w:b/>
                <w:w w:val="75"/>
                <w:sz w:val="17"/>
              </w:rPr>
              <w:t>I(1)</w:t>
            </w:r>
          </w:p>
        </w:tc>
        <w:tc>
          <w:tcPr>
            <w:tcW w:w="1361" w:type="dxa"/>
            <w:tcBorders>
              <w:left w:val="single" w:sz="2" w:space="0" w:color="000000"/>
              <w:right w:val="single" w:sz="2" w:space="0" w:color="000000"/>
            </w:tcBorders>
          </w:tcPr>
          <w:p>
            <w:pPr>
              <w:pStyle w:val="TableParagraph"/>
              <w:spacing w:before="23"/>
              <w:ind w:left="40" w:right="40"/>
              <w:rPr>
                <w:rFonts w:ascii="Constantia"/>
                <w:b/>
                <w:sz w:val="14"/>
              </w:rPr>
            </w:pPr>
            <w:r>
              <w:rPr>
                <w:rFonts w:ascii="Constantia"/>
                <w:b/>
                <w:w w:val="75"/>
                <w:sz w:val="14"/>
              </w:rPr>
              <w:t>I(1)</w:t>
            </w:r>
          </w:p>
        </w:tc>
      </w:tr>
      <w:tr>
        <w:trPr>
          <w:trHeight w:val="226" w:hRule="exact"/>
        </w:trPr>
        <w:tc>
          <w:tcPr>
            <w:tcW w:w="2095" w:type="dxa"/>
            <w:tcBorders>
              <w:left w:val="single" w:sz="2" w:space="0" w:color="000000"/>
              <w:right w:val="single" w:sz="2" w:space="0" w:color="000000"/>
            </w:tcBorders>
          </w:tcPr>
          <w:p>
            <w:pPr>
              <w:pStyle w:val="TableParagraph"/>
              <w:spacing w:line="202" w:lineRule="exact"/>
              <w:ind w:left="17" w:right="-15"/>
              <w:jc w:val="left"/>
              <w:rPr>
                <w:rFonts w:ascii="Constantia" w:hAnsi="Constantia"/>
                <w:sz w:val="17"/>
              </w:rPr>
            </w:pPr>
            <w:r>
              <w:rPr>
                <w:rFonts w:ascii="Constantia" w:hAnsi="Constantia"/>
                <w:w w:val="65"/>
                <w:sz w:val="17"/>
              </w:rPr>
              <w:t>Ln (Gasto Corriente/ Ingresos no gasíferos)</w:t>
            </w:r>
          </w:p>
        </w:tc>
        <w:tc>
          <w:tcPr>
            <w:tcW w:w="655" w:type="dxa"/>
            <w:tcBorders>
              <w:left w:val="single" w:sz="2" w:space="0" w:color="000000"/>
              <w:right w:val="single" w:sz="2" w:space="0" w:color="000000"/>
            </w:tcBorders>
          </w:tcPr>
          <w:p>
            <w:pPr>
              <w:pStyle w:val="TableParagraph"/>
              <w:spacing w:line="202" w:lineRule="exact"/>
              <w:ind w:right="57"/>
              <w:jc w:val="right"/>
              <w:rPr>
                <w:rFonts w:ascii="Constantia"/>
                <w:sz w:val="17"/>
              </w:rPr>
            </w:pPr>
            <w:r>
              <w:rPr>
                <w:rFonts w:ascii="Constantia"/>
                <w:w w:val="60"/>
                <w:sz w:val="17"/>
              </w:rPr>
              <w:t>0.43</w:t>
            </w:r>
          </w:p>
        </w:tc>
        <w:tc>
          <w:tcPr>
            <w:tcW w:w="444" w:type="dxa"/>
            <w:tcBorders>
              <w:left w:val="single" w:sz="2" w:space="0" w:color="000000"/>
              <w:right w:val="single" w:sz="2" w:space="0" w:color="000000"/>
            </w:tcBorders>
          </w:tcPr>
          <w:p>
            <w:pPr>
              <w:pStyle w:val="TableParagraph"/>
              <w:spacing w:line="202" w:lineRule="exact"/>
              <w:ind w:right="53"/>
              <w:jc w:val="right"/>
              <w:rPr>
                <w:rFonts w:ascii="Constantia"/>
                <w:sz w:val="17"/>
              </w:rPr>
            </w:pPr>
            <w:r>
              <w:rPr>
                <w:rFonts w:ascii="Constantia"/>
                <w:w w:val="60"/>
                <w:sz w:val="17"/>
              </w:rPr>
              <w:t>0.50</w:t>
            </w:r>
          </w:p>
        </w:tc>
        <w:tc>
          <w:tcPr>
            <w:tcW w:w="393" w:type="dxa"/>
            <w:tcBorders>
              <w:left w:val="single" w:sz="2" w:space="0" w:color="000000"/>
              <w:right w:val="single" w:sz="2" w:space="0" w:color="000000"/>
            </w:tcBorders>
          </w:tcPr>
          <w:p>
            <w:pPr>
              <w:pStyle w:val="TableParagraph"/>
              <w:spacing w:line="202" w:lineRule="exact"/>
              <w:ind w:left="93" w:right="18"/>
              <w:rPr>
                <w:rFonts w:ascii="Constantia"/>
                <w:sz w:val="17"/>
              </w:rPr>
            </w:pPr>
            <w:r>
              <w:rPr>
                <w:rFonts w:ascii="Constantia"/>
                <w:w w:val="70"/>
                <w:sz w:val="17"/>
              </w:rPr>
              <w:t>0.09</w:t>
            </w:r>
          </w:p>
        </w:tc>
        <w:tc>
          <w:tcPr>
            <w:tcW w:w="410" w:type="dxa"/>
            <w:tcBorders>
              <w:left w:val="single" w:sz="2" w:space="0" w:color="000000"/>
              <w:right w:val="single" w:sz="2" w:space="0" w:color="000000"/>
            </w:tcBorders>
          </w:tcPr>
          <w:p>
            <w:pPr>
              <w:pStyle w:val="TableParagraph"/>
              <w:spacing w:line="202" w:lineRule="exact"/>
              <w:ind w:left="176"/>
              <w:jc w:val="left"/>
              <w:rPr>
                <w:rFonts w:ascii="Constantia"/>
                <w:sz w:val="17"/>
              </w:rPr>
            </w:pPr>
            <w:r>
              <w:rPr>
                <w:rFonts w:ascii="Constantia"/>
                <w:w w:val="63"/>
                <w:sz w:val="17"/>
              </w:rPr>
              <w:t>0</w:t>
            </w:r>
          </w:p>
        </w:tc>
        <w:tc>
          <w:tcPr>
            <w:tcW w:w="456" w:type="dxa"/>
            <w:tcBorders>
              <w:left w:val="single" w:sz="2" w:space="0" w:color="000000"/>
              <w:right w:val="single" w:sz="2" w:space="0" w:color="000000"/>
            </w:tcBorders>
            <w:shd w:val="clear" w:color="auto" w:fill="D6E3BB"/>
          </w:tcPr>
          <w:p>
            <w:pPr>
              <w:pStyle w:val="TableParagraph"/>
              <w:spacing w:line="202" w:lineRule="exact"/>
              <w:ind w:left="5"/>
              <w:rPr>
                <w:rFonts w:ascii="Constantia"/>
                <w:sz w:val="17"/>
              </w:rPr>
            </w:pPr>
            <w:r>
              <w:rPr>
                <w:rFonts w:ascii="Constantia"/>
                <w:w w:val="75"/>
                <w:sz w:val="17"/>
              </w:rPr>
              <w:t>No</w:t>
            </w:r>
          </w:p>
        </w:tc>
        <w:tc>
          <w:tcPr>
            <w:tcW w:w="484" w:type="dxa"/>
            <w:tcBorders>
              <w:left w:val="single" w:sz="2" w:space="0" w:color="000000"/>
              <w:right w:val="single" w:sz="2" w:space="0" w:color="000000"/>
            </w:tcBorders>
            <w:shd w:val="clear" w:color="auto" w:fill="D6E3BB"/>
          </w:tcPr>
          <w:p>
            <w:pPr>
              <w:pStyle w:val="TableParagraph"/>
              <w:spacing w:line="202" w:lineRule="exact"/>
              <w:ind w:left="14" w:right="14"/>
              <w:rPr>
                <w:rFonts w:ascii="Constantia"/>
                <w:sz w:val="17"/>
              </w:rPr>
            </w:pPr>
            <w:r>
              <w:rPr>
                <w:rFonts w:ascii="Constantia"/>
                <w:w w:val="75"/>
                <w:sz w:val="17"/>
              </w:rPr>
              <w:t>No</w:t>
            </w:r>
          </w:p>
        </w:tc>
        <w:tc>
          <w:tcPr>
            <w:tcW w:w="626" w:type="dxa"/>
            <w:tcBorders>
              <w:left w:val="single" w:sz="2" w:space="0" w:color="000000"/>
              <w:right w:val="single" w:sz="2" w:space="0" w:color="000000"/>
            </w:tcBorders>
          </w:tcPr>
          <w:p>
            <w:pPr>
              <w:pStyle w:val="TableParagraph"/>
              <w:spacing w:line="202" w:lineRule="exact"/>
              <w:ind w:right="53"/>
              <w:jc w:val="right"/>
              <w:rPr>
                <w:rFonts w:ascii="Constantia"/>
                <w:sz w:val="17"/>
              </w:rPr>
            </w:pPr>
            <w:r>
              <w:rPr>
                <w:rFonts w:ascii="Constantia"/>
                <w:w w:val="60"/>
                <w:sz w:val="17"/>
              </w:rPr>
              <w:t>0.00</w:t>
            </w:r>
          </w:p>
        </w:tc>
        <w:tc>
          <w:tcPr>
            <w:tcW w:w="376" w:type="dxa"/>
            <w:tcBorders>
              <w:left w:val="single" w:sz="2" w:space="0" w:color="000000"/>
              <w:right w:val="single" w:sz="2" w:space="0" w:color="000000"/>
            </w:tcBorders>
          </w:tcPr>
          <w:p>
            <w:pPr>
              <w:pStyle w:val="TableParagraph"/>
              <w:spacing w:line="202" w:lineRule="exact"/>
              <w:ind w:left="114"/>
              <w:jc w:val="left"/>
              <w:rPr>
                <w:rFonts w:ascii="Constantia"/>
                <w:sz w:val="17"/>
              </w:rPr>
            </w:pPr>
            <w:r>
              <w:rPr>
                <w:rFonts w:ascii="Constantia"/>
                <w:w w:val="70"/>
                <w:sz w:val="17"/>
              </w:rPr>
              <w:t>0.00</w:t>
            </w:r>
          </w:p>
        </w:tc>
        <w:tc>
          <w:tcPr>
            <w:tcW w:w="365" w:type="dxa"/>
            <w:tcBorders>
              <w:left w:val="single" w:sz="2" w:space="0" w:color="000000"/>
              <w:right w:val="single" w:sz="2" w:space="0" w:color="000000"/>
            </w:tcBorders>
          </w:tcPr>
          <w:p>
            <w:pPr>
              <w:pStyle w:val="TableParagraph"/>
              <w:spacing w:line="202" w:lineRule="exact"/>
              <w:ind w:left="68" w:right="22"/>
              <w:rPr>
                <w:rFonts w:ascii="Constantia"/>
                <w:sz w:val="17"/>
              </w:rPr>
            </w:pPr>
            <w:r>
              <w:rPr>
                <w:rFonts w:ascii="Constantia"/>
                <w:w w:val="70"/>
                <w:sz w:val="17"/>
              </w:rPr>
              <w:t>0.00</w:t>
            </w:r>
          </w:p>
        </w:tc>
        <w:tc>
          <w:tcPr>
            <w:tcW w:w="376" w:type="dxa"/>
            <w:tcBorders>
              <w:left w:val="single" w:sz="2" w:space="0" w:color="000000"/>
              <w:right w:val="single" w:sz="2" w:space="0" w:color="000000"/>
            </w:tcBorders>
          </w:tcPr>
          <w:p>
            <w:pPr>
              <w:pStyle w:val="TableParagraph"/>
              <w:spacing w:line="202" w:lineRule="exact"/>
              <w:ind w:left="6"/>
              <w:rPr>
                <w:rFonts w:ascii="Constantia"/>
                <w:sz w:val="17"/>
              </w:rPr>
            </w:pPr>
            <w:r>
              <w:rPr>
                <w:rFonts w:ascii="Constantia"/>
                <w:w w:val="63"/>
                <w:sz w:val="17"/>
              </w:rPr>
              <w:t>0</w:t>
            </w:r>
          </w:p>
        </w:tc>
        <w:tc>
          <w:tcPr>
            <w:tcW w:w="455" w:type="dxa"/>
            <w:tcBorders>
              <w:left w:val="single" w:sz="2" w:space="0" w:color="000000"/>
              <w:right w:val="single" w:sz="2" w:space="0" w:color="000000"/>
            </w:tcBorders>
            <w:shd w:val="clear" w:color="auto" w:fill="D6E3BB"/>
          </w:tcPr>
          <w:p>
            <w:pPr>
              <w:pStyle w:val="TableParagraph"/>
              <w:spacing w:line="202" w:lineRule="exact"/>
              <w:ind w:left="5"/>
              <w:rPr>
                <w:rFonts w:ascii="Constantia"/>
                <w:sz w:val="17"/>
              </w:rPr>
            </w:pPr>
            <w:r>
              <w:rPr>
                <w:rFonts w:ascii="Constantia"/>
                <w:w w:val="75"/>
                <w:sz w:val="17"/>
              </w:rPr>
              <w:t>No</w:t>
            </w:r>
          </w:p>
        </w:tc>
        <w:tc>
          <w:tcPr>
            <w:tcW w:w="456" w:type="dxa"/>
            <w:tcBorders>
              <w:left w:val="single" w:sz="2" w:space="0" w:color="000000"/>
              <w:right w:val="single" w:sz="2" w:space="0" w:color="000000"/>
            </w:tcBorders>
            <w:shd w:val="clear" w:color="auto" w:fill="D6E3BB"/>
          </w:tcPr>
          <w:p>
            <w:pPr>
              <w:pStyle w:val="TableParagraph"/>
              <w:spacing w:line="202" w:lineRule="exact"/>
              <w:ind w:left="8" w:right="3"/>
              <w:rPr>
                <w:rFonts w:ascii="Constantia"/>
                <w:sz w:val="17"/>
              </w:rPr>
            </w:pPr>
            <w:r>
              <w:rPr>
                <w:rFonts w:ascii="Constantia"/>
                <w:w w:val="75"/>
                <w:sz w:val="17"/>
              </w:rPr>
              <w:t>No</w:t>
            </w:r>
          </w:p>
        </w:tc>
        <w:tc>
          <w:tcPr>
            <w:tcW w:w="336" w:type="dxa"/>
            <w:tcBorders>
              <w:left w:val="single" w:sz="2" w:space="0" w:color="000000"/>
              <w:right w:val="single" w:sz="2" w:space="0" w:color="000000"/>
            </w:tcBorders>
          </w:tcPr>
          <w:p>
            <w:pPr>
              <w:pStyle w:val="TableParagraph"/>
              <w:spacing w:line="202" w:lineRule="exact"/>
              <w:ind w:left="85"/>
              <w:jc w:val="left"/>
              <w:rPr>
                <w:rFonts w:ascii="Constantia"/>
                <w:b/>
                <w:sz w:val="17"/>
              </w:rPr>
            </w:pPr>
            <w:r>
              <w:rPr>
                <w:rFonts w:ascii="Constantia"/>
                <w:b/>
                <w:w w:val="75"/>
                <w:sz w:val="17"/>
              </w:rPr>
              <w:t>I(1)</w:t>
            </w:r>
          </w:p>
        </w:tc>
        <w:tc>
          <w:tcPr>
            <w:tcW w:w="342" w:type="dxa"/>
            <w:tcBorders>
              <w:left w:val="single" w:sz="2" w:space="0" w:color="000000"/>
              <w:right w:val="single" w:sz="2" w:space="0" w:color="000000"/>
            </w:tcBorders>
          </w:tcPr>
          <w:p>
            <w:pPr>
              <w:pStyle w:val="TableParagraph"/>
              <w:spacing w:line="202" w:lineRule="exact"/>
              <w:ind w:left="91"/>
              <w:jc w:val="left"/>
              <w:rPr>
                <w:rFonts w:ascii="Constantia"/>
                <w:b/>
                <w:sz w:val="17"/>
              </w:rPr>
            </w:pPr>
            <w:r>
              <w:rPr>
                <w:rFonts w:ascii="Constantia"/>
                <w:b/>
                <w:w w:val="75"/>
                <w:sz w:val="17"/>
              </w:rPr>
              <w:t>I(1)</w:t>
            </w:r>
          </w:p>
        </w:tc>
        <w:tc>
          <w:tcPr>
            <w:tcW w:w="1361" w:type="dxa"/>
            <w:tcBorders>
              <w:left w:val="single" w:sz="2" w:space="0" w:color="000000"/>
              <w:right w:val="single" w:sz="2" w:space="0" w:color="000000"/>
            </w:tcBorders>
          </w:tcPr>
          <w:p>
            <w:pPr>
              <w:pStyle w:val="TableParagraph"/>
              <w:spacing w:before="23"/>
              <w:ind w:left="40" w:right="42"/>
              <w:rPr>
                <w:rFonts w:ascii="Constantia"/>
                <w:b/>
                <w:sz w:val="14"/>
              </w:rPr>
            </w:pPr>
            <w:r>
              <w:rPr>
                <w:rFonts w:ascii="Constantia"/>
                <w:b/>
                <w:w w:val="65"/>
                <w:sz w:val="14"/>
              </w:rPr>
              <w:t>I(0) entorno a una constante</w:t>
            </w:r>
          </w:p>
        </w:tc>
      </w:tr>
      <w:tr>
        <w:trPr>
          <w:trHeight w:val="227" w:hRule="exact"/>
        </w:trPr>
        <w:tc>
          <w:tcPr>
            <w:tcW w:w="2095" w:type="dxa"/>
            <w:tcBorders>
              <w:left w:val="single" w:sz="2" w:space="0" w:color="000000"/>
              <w:right w:val="single" w:sz="2" w:space="0" w:color="000000"/>
            </w:tcBorders>
          </w:tcPr>
          <w:p>
            <w:pPr>
              <w:pStyle w:val="TableParagraph"/>
              <w:spacing w:line="202" w:lineRule="exact"/>
              <w:ind w:left="17" w:right="-15"/>
              <w:jc w:val="left"/>
              <w:rPr>
                <w:rFonts w:ascii="Constantia" w:hAnsi="Constantia"/>
                <w:sz w:val="17"/>
              </w:rPr>
            </w:pPr>
            <w:r>
              <w:rPr>
                <w:rFonts w:ascii="Constantia" w:hAnsi="Constantia"/>
                <w:w w:val="65"/>
                <w:sz w:val="17"/>
              </w:rPr>
              <w:t>Balance primario no gasífero/ PIB</w:t>
            </w:r>
          </w:p>
        </w:tc>
        <w:tc>
          <w:tcPr>
            <w:tcW w:w="655" w:type="dxa"/>
            <w:tcBorders>
              <w:left w:val="single" w:sz="2" w:space="0" w:color="000000"/>
              <w:right w:val="single" w:sz="2" w:space="0" w:color="000000"/>
            </w:tcBorders>
          </w:tcPr>
          <w:p>
            <w:pPr>
              <w:pStyle w:val="TableParagraph"/>
              <w:spacing w:line="202" w:lineRule="exact"/>
              <w:ind w:right="54"/>
              <w:jc w:val="right"/>
              <w:rPr>
                <w:rFonts w:ascii="Constantia"/>
                <w:sz w:val="17"/>
              </w:rPr>
            </w:pPr>
            <w:r>
              <w:rPr>
                <w:rFonts w:ascii="Constantia"/>
                <w:w w:val="60"/>
                <w:sz w:val="17"/>
              </w:rPr>
              <w:t>0.64</w:t>
            </w:r>
          </w:p>
        </w:tc>
        <w:tc>
          <w:tcPr>
            <w:tcW w:w="444" w:type="dxa"/>
            <w:tcBorders>
              <w:left w:val="single" w:sz="2" w:space="0" w:color="000000"/>
              <w:right w:val="single" w:sz="2" w:space="0" w:color="000000"/>
            </w:tcBorders>
          </w:tcPr>
          <w:p>
            <w:pPr>
              <w:pStyle w:val="TableParagraph"/>
              <w:spacing w:line="202" w:lineRule="exact"/>
              <w:ind w:right="54"/>
              <w:jc w:val="right"/>
              <w:rPr>
                <w:rFonts w:ascii="Constantia"/>
                <w:sz w:val="17"/>
              </w:rPr>
            </w:pPr>
            <w:r>
              <w:rPr>
                <w:rFonts w:ascii="Constantia"/>
                <w:w w:val="60"/>
                <w:sz w:val="17"/>
              </w:rPr>
              <w:t>0.68</w:t>
            </w:r>
          </w:p>
        </w:tc>
        <w:tc>
          <w:tcPr>
            <w:tcW w:w="393" w:type="dxa"/>
            <w:tcBorders>
              <w:left w:val="single" w:sz="2" w:space="0" w:color="000000"/>
              <w:right w:val="single" w:sz="2" w:space="0" w:color="000000"/>
            </w:tcBorders>
          </w:tcPr>
          <w:p>
            <w:pPr>
              <w:pStyle w:val="TableParagraph"/>
              <w:spacing w:line="202" w:lineRule="exact"/>
              <w:ind w:left="105" w:right="4"/>
              <w:rPr>
                <w:rFonts w:ascii="Constantia"/>
                <w:sz w:val="17"/>
              </w:rPr>
            </w:pPr>
            <w:r>
              <w:rPr>
                <w:rFonts w:ascii="Constantia"/>
                <w:w w:val="75"/>
                <w:sz w:val="17"/>
              </w:rPr>
              <w:t>n.a.</w:t>
            </w:r>
          </w:p>
        </w:tc>
        <w:tc>
          <w:tcPr>
            <w:tcW w:w="410" w:type="dxa"/>
            <w:tcBorders>
              <w:left w:val="single" w:sz="2" w:space="0" w:color="000000"/>
              <w:right w:val="single" w:sz="2" w:space="0" w:color="000000"/>
            </w:tcBorders>
          </w:tcPr>
          <w:p>
            <w:pPr>
              <w:pStyle w:val="TableParagraph"/>
              <w:spacing w:line="202" w:lineRule="exact"/>
              <w:ind w:left="176"/>
              <w:jc w:val="left"/>
              <w:rPr>
                <w:rFonts w:ascii="Constantia"/>
                <w:sz w:val="17"/>
              </w:rPr>
            </w:pPr>
            <w:r>
              <w:rPr>
                <w:rFonts w:ascii="Constantia"/>
                <w:w w:val="63"/>
                <w:sz w:val="17"/>
              </w:rPr>
              <w:t>0</w:t>
            </w:r>
          </w:p>
        </w:tc>
        <w:tc>
          <w:tcPr>
            <w:tcW w:w="456" w:type="dxa"/>
            <w:tcBorders>
              <w:left w:val="single" w:sz="2" w:space="0" w:color="000000"/>
              <w:right w:val="single" w:sz="2" w:space="0" w:color="000000"/>
            </w:tcBorders>
            <w:shd w:val="clear" w:color="auto" w:fill="D6E3BB"/>
          </w:tcPr>
          <w:p>
            <w:pPr>
              <w:pStyle w:val="TableParagraph"/>
              <w:spacing w:line="202" w:lineRule="exact"/>
              <w:ind w:left="5"/>
              <w:rPr>
                <w:rFonts w:ascii="Constantia"/>
                <w:sz w:val="17"/>
              </w:rPr>
            </w:pPr>
            <w:r>
              <w:rPr>
                <w:rFonts w:ascii="Constantia"/>
                <w:w w:val="75"/>
                <w:sz w:val="17"/>
              </w:rPr>
              <w:t>No</w:t>
            </w:r>
          </w:p>
        </w:tc>
        <w:tc>
          <w:tcPr>
            <w:tcW w:w="484" w:type="dxa"/>
            <w:tcBorders>
              <w:left w:val="single" w:sz="2" w:space="0" w:color="000000"/>
              <w:right w:val="single" w:sz="2" w:space="0" w:color="000000"/>
            </w:tcBorders>
            <w:shd w:val="clear" w:color="auto" w:fill="D6E3BB"/>
          </w:tcPr>
          <w:p>
            <w:pPr>
              <w:pStyle w:val="TableParagraph"/>
              <w:spacing w:line="202" w:lineRule="exact"/>
              <w:ind w:left="14" w:right="14"/>
              <w:rPr>
                <w:rFonts w:ascii="Constantia"/>
                <w:sz w:val="17"/>
              </w:rPr>
            </w:pPr>
            <w:r>
              <w:rPr>
                <w:rFonts w:ascii="Constantia"/>
                <w:w w:val="75"/>
                <w:sz w:val="17"/>
              </w:rPr>
              <w:t>No</w:t>
            </w:r>
          </w:p>
        </w:tc>
        <w:tc>
          <w:tcPr>
            <w:tcW w:w="626" w:type="dxa"/>
            <w:tcBorders>
              <w:left w:val="single" w:sz="2" w:space="0" w:color="000000"/>
              <w:right w:val="single" w:sz="2" w:space="0" w:color="000000"/>
            </w:tcBorders>
          </w:tcPr>
          <w:p>
            <w:pPr>
              <w:pStyle w:val="TableParagraph"/>
              <w:spacing w:line="202" w:lineRule="exact"/>
              <w:ind w:right="53"/>
              <w:jc w:val="right"/>
              <w:rPr>
                <w:rFonts w:ascii="Constantia"/>
                <w:sz w:val="17"/>
              </w:rPr>
            </w:pPr>
            <w:r>
              <w:rPr>
                <w:rFonts w:ascii="Constantia"/>
                <w:w w:val="60"/>
                <w:sz w:val="17"/>
              </w:rPr>
              <w:t>0.00</w:t>
            </w:r>
          </w:p>
        </w:tc>
        <w:tc>
          <w:tcPr>
            <w:tcW w:w="376" w:type="dxa"/>
            <w:tcBorders>
              <w:left w:val="single" w:sz="2" w:space="0" w:color="000000"/>
              <w:right w:val="single" w:sz="2" w:space="0" w:color="000000"/>
            </w:tcBorders>
          </w:tcPr>
          <w:p>
            <w:pPr>
              <w:pStyle w:val="TableParagraph"/>
              <w:spacing w:line="202" w:lineRule="exact"/>
              <w:ind w:left="114"/>
              <w:jc w:val="left"/>
              <w:rPr>
                <w:rFonts w:ascii="Constantia"/>
                <w:sz w:val="17"/>
              </w:rPr>
            </w:pPr>
            <w:r>
              <w:rPr>
                <w:rFonts w:ascii="Constantia"/>
                <w:w w:val="70"/>
                <w:sz w:val="17"/>
              </w:rPr>
              <w:t>0.00</w:t>
            </w:r>
          </w:p>
        </w:tc>
        <w:tc>
          <w:tcPr>
            <w:tcW w:w="365" w:type="dxa"/>
            <w:tcBorders>
              <w:left w:val="single" w:sz="2" w:space="0" w:color="000000"/>
              <w:right w:val="single" w:sz="2" w:space="0" w:color="000000"/>
            </w:tcBorders>
          </w:tcPr>
          <w:p>
            <w:pPr>
              <w:pStyle w:val="TableParagraph"/>
              <w:spacing w:line="202" w:lineRule="exact"/>
              <w:ind w:left="76" w:right="3"/>
              <w:rPr>
                <w:rFonts w:ascii="Constantia"/>
                <w:sz w:val="17"/>
              </w:rPr>
            </w:pPr>
            <w:r>
              <w:rPr>
                <w:rFonts w:ascii="Constantia"/>
                <w:w w:val="75"/>
                <w:sz w:val="17"/>
              </w:rPr>
              <w:t>n.a.</w:t>
            </w:r>
          </w:p>
        </w:tc>
        <w:tc>
          <w:tcPr>
            <w:tcW w:w="376" w:type="dxa"/>
            <w:tcBorders>
              <w:left w:val="single" w:sz="2" w:space="0" w:color="000000"/>
              <w:right w:val="single" w:sz="2" w:space="0" w:color="000000"/>
            </w:tcBorders>
          </w:tcPr>
          <w:p>
            <w:pPr>
              <w:pStyle w:val="TableParagraph"/>
              <w:spacing w:line="202" w:lineRule="exact"/>
              <w:ind w:left="6"/>
              <w:rPr>
                <w:rFonts w:ascii="Constantia"/>
                <w:sz w:val="17"/>
              </w:rPr>
            </w:pPr>
            <w:r>
              <w:rPr>
                <w:rFonts w:ascii="Constantia"/>
                <w:w w:val="63"/>
                <w:sz w:val="17"/>
              </w:rPr>
              <w:t>0</w:t>
            </w:r>
          </w:p>
        </w:tc>
        <w:tc>
          <w:tcPr>
            <w:tcW w:w="455" w:type="dxa"/>
            <w:tcBorders>
              <w:left w:val="single" w:sz="2" w:space="0" w:color="000000"/>
              <w:right w:val="single" w:sz="2" w:space="0" w:color="000000"/>
            </w:tcBorders>
            <w:shd w:val="clear" w:color="auto" w:fill="D6E3BB"/>
          </w:tcPr>
          <w:p>
            <w:pPr>
              <w:pStyle w:val="TableParagraph"/>
              <w:spacing w:line="202" w:lineRule="exact"/>
              <w:ind w:left="5"/>
              <w:rPr>
                <w:rFonts w:ascii="Constantia"/>
                <w:sz w:val="17"/>
              </w:rPr>
            </w:pPr>
            <w:r>
              <w:rPr>
                <w:rFonts w:ascii="Constantia"/>
                <w:w w:val="75"/>
                <w:sz w:val="17"/>
              </w:rPr>
              <w:t>No</w:t>
            </w:r>
          </w:p>
        </w:tc>
        <w:tc>
          <w:tcPr>
            <w:tcW w:w="456" w:type="dxa"/>
            <w:tcBorders>
              <w:left w:val="single" w:sz="2" w:space="0" w:color="000000"/>
              <w:right w:val="single" w:sz="2" w:space="0" w:color="000000"/>
            </w:tcBorders>
            <w:shd w:val="clear" w:color="auto" w:fill="D6E3BB"/>
          </w:tcPr>
          <w:p>
            <w:pPr>
              <w:pStyle w:val="TableParagraph"/>
              <w:spacing w:line="202" w:lineRule="exact"/>
              <w:ind w:left="8" w:right="3"/>
              <w:rPr>
                <w:rFonts w:ascii="Constantia"/>
                <w:sz w:val="17"/>
              </w:rPr>
            </w:pPr>
            <w:r>
              <w:rPr>
                <w:rFonts w:ascii="Constantia"/>
                <w:w w:val="75"/>
                <w:sz w:val="17"/>
              </w:rPr>
              <w:t>No</w:t>
            </w:r>
          </w:p>
        </w:tc>
        <w:tc>
          <w:tcPr>
            <w:tcW w:w="336" w:type="dxa"/>
            <w:tcBorders>
              <w:left w:val="single" w:sz="2" w:space="0" w:color="000000"/>
              <w:right w:val="single" w:sz="2" w:space="0" w:color="000000"/>
            </w:tcBorders>
          </w:tcPr>
          <w:p>
            <w:pPr>
              <w:pStyle w:val="TableParagraph"/>
              <w:spacing w:line="202" w:lineRule="exact"/>
              <w:ind w:left="85"/>
              <w:jc w:val="left"/>
              <w:rPr>
                <w:rFonts w:ascii="Constantia"/>
                <w:b/>
                <w:sz w:val="17"/>
              </w:rPr>
            </w:pPr>
            <w:r>
              <w:rPr>
                <w:rFonts w:ascii="Constantia"/>
                <w:b/>
                <w:w w:val="75"/>
                <w:sz w:val="17"/>
              </w:rPr>
              <w:t>I(1)</w:t>
            </w:r>
          </w:p>
        </w:tc>
        <w:tc>
          <w:tcPr>
            <w:tcW w:w="342" w:type="dxa"/>
            <w:tcBorders>
              <w:left w:val="single" w:sz="2" w:space="0" w:color="000000"/>
              <w:right w:val="single" w:sz="2" w:space="0" w:color="000000"/>
            </w:tcBorders>
          </w:tcPr>
          <w:p>
            <w:pPr>
              <w:pStyle w:val="TableParagraph"/>
              <w:spacing w:line="202" w:lineRule="exact"/>
              <w:ind w:left="91"/>
              <w:jc w:val="left"/>
              <w:rPr>
                <w:rFonts w:ascii="Constantia"/>
                <w:b/>
                <w:sz w:val="17"/>
              </w:rPr>
            </w:pPr>
            <w:r>
              <w:rPr>
                <w:rFonts w:ascii="Constantia"/>
                <w:b/>
                <w:w w:val="75"/>
                <w:sz w:val="17"/>
              </w:rPr>
              <w:t>I(1)</w:t>
            </w:r>
          </w:p>
        </w:tc>
        <w:tc>
          <w:tcPr>
            <w:tcW w:w="1361" w:type="dxa"/>
            <w:tcBorders>
              <w:left w:val="single" w:sz="2" w:space="0" w:color="000000"/>
              <w:right w:val="single" w:sz="2" w:space="0" w:color="000000"/>
            </w:tcBorders>
          </w:tcPr>
          <w:p>
            <w:pPr>
              <w:pStyle w:val="TableParagraph"/>
              <w:spacing w:before="23"/>
              <w:ind w:left="40" w:right="42"/>
              <w:rPr>
                <w:rFonts w:ascii="Constantia"/>
                <w:b/>
                <w:sz w:val="14"/>
              </w:rPr>
            </w:pPr>
            <w:r>
              <w:rPr>
                <w:rFonts w:ascii="Constantia"/>
                <w:b/>
                <w:w w:val="65"/>
                <w:sz w:val="14"/>
              </w:rPr>
              <w:t>I(0) entorno a una constante</w:t>
            </w:r>
          </w:p>
        </w:tc>
      </w:tr>
      <w:tr>
        <w:trPr>
          <w:trHeight w:val="227" w:hRule="exact"/>
        </w:trPr>
        <w:tc>
          <w:tcPr>
            <w:tcW w:w="2095" w:type="dxa"/>
            <w:tcBorders>
              <w:left w:val="single" w:sz="2" w:space="0" w:color="000000"/>
              <w:right w:val="single" w:sz="2" w:space="0" w:color="000000"/>
            </w:tcBorders>
          </w:tcPr>
          <w:p>
            <w:pPr>
              <w:pStyle w:val="TableParagraph"/>
              <w:spacing w:line="202" w:lineRule="exact"/>
              <w:ind w:left="17" w:right="-15"/>
              <w:jc w:val="left"/>
              <w:rPr>
                <w:rFonts w:ascii="Constantia"/>
                <w:sz w:val="17"/>
              </w:rPr>
            </w:pPr>
            <w:r>
              <w:rPr>
                <w:rFonts w:ascii="Constantia"/>
                <w:w w:val="60"/>
                <w:sz w:val="17"/>
              </w:rPr>
              <w:t>Balance primario/ PIB</w:t>
            </w:r>
          </w:p>
        </w:tc>
        <w:tc>
          <w:tcPr>
            <w:tcW w:w="655" w:type="dxa"/>
            <w:tcBorders>
              <w:left w:val="single" w:sz="2" w:space="0" w:color="000000"/>
              <w:right w:val="single" w:sz="2" w:space="0" w:color="000000"/>
            </w:tcBorders>
          </w:tcPr>
          <w:p>
            <w:pPr>
              <w:pStyle w:val="TableParagraph"/>
              <w:spacing w:line="202" w:lineRule="exact"/>
              <w:ind w:right="55"/>
              <w:jc w:val="right"/>
              <w:rPr>
                <w:rFonts w:ascii="Constantia"/>
                <w:sz w:val="17"/>
              </w:rPr>
            </w:pPr>
            <w:r>
              <w:rPr>
                <w:rFonts w:ascii="Constantia"/>
                <w:w w:val="60"/>
                <w:sz w:val="17"/>
              </w:rPr>
              <w:t>0.58</w:t>
            </w:r>
          </w:p>
        </w:tc>
        <w:tc>
          <w:tcPr>
            <w:tcW w:w="444" w:type="dxa"/>
            <w:tcBorders>
              <w:left w:val="single" w:sz="2" w:space="0" w:color="000000"/>
              <w:right w:val="single" w:sz="2" w:space="0" w:color="000000"/>
            </w:tcBorders>
          </w:tcPr>
          <w:p>
            <w:pPr>
              <w:pStyle w:val="TableParagraph"/>
              <w:spacing w:line="202" w:lineRule="exact"/>
              <w:ind w:right="53"/>
              <w:jc w:val="right"/>
              <w:rPr>
                <w:rFonts w:ascii="Constantia"/>
                <w:sz w:val="17"/>
              </w:rPr>
            </w:pPr>
            <w:r>
              <w:rPr>
                <w:rFonts w:ascii="Constantia"/>
                <w:w w:val="65"/>
                <w:sz w:val="17"/>
              </w:rPr>
              <w:t>0.22</w:t>
            </w:r>
          </w:p>
        </w:tc>
        <w:tc>
          <w:tcPr>
            <w:tcW w:w="393" w:type="dxa"/>
            <w:tcBorders>
              <w:left w:val="single" w:sz="2" w:space="0" w:color="000000"/>
              <w:right w:val="single" w:sz="2" w:space="0" w:color="000000"/>
            </w:tcBorders>
          </w:tcPr>
          <w:p>
            <w:pPr>
              <w:pStyle w:val="TableParagraph"/>
              <w:spacing w:line="202" w:lineRule="exact"/>
              <w:ind w:left="105" w:right="19"/>
              <w:rPr>
                <w:rFonts w:ascii="Constantia"/>
                <w:sz w:val="17"/>
              </w:rPr>
            </w:pPr>
            <w:r>
              <w:rPr>
                <w:rFonts w:ascii="Constantia"/>
                <w:w w:val="75"/>
                <w:sz w:val="17"/>
              </w:rPr>
              <w:t>0.32</w:t>
            </w:r>
          </w:p>
        </w:tc>
        <w:tc>
          <w:tcPr>
            <w:tcW w:w="410" w:type="dxa"/>
            <w:tcBorders>
              <w:left w:val="single" w:sz="2" w:space="0" w:color="000000"/>
              <w:right w:val="single" w:sz="2" w:space="0" w:color="000000"/>
            </w:tcBorders>
          </w:tcPr>
          <w:p>
            <w:pPr>
              <w:pStyle w:val="TableParagraph"/>
              <w:spacing w:line="202" w:lineRule="exact"/>
              <w:ind w:left="176"/>
              <w:jc w:val="left"/>
              <w:rPr>
                <w:rFonts w:ascii="Constantia"/>
                <w:sz w:val="17"/>
              </w:rPr>
            </w:pPr>
            <w:r>
              <w:rPr>
                <w:rFonts w:ascii="Constantia"/>
                <w:w w:val="63"/>
                <w:sz w:val="17"/>
              </w:rPr>
              <w:t>0</w:t>
            </w:r>
          </w:p>
        </w:tc>
        <w:tc>
          <w:tcPr>
            <w:tcW w:w="456" w:type="dxa"/>
            <w:tcBorders>
              <w:left w:val="single" w:sz="2" w:space="0" w:color="000000"/>
              <w:right w:val="single" w:sz="2" w:space="0" w:color="000000"/>
            </w:tcBorders>
            <w:shd w:val="clear" w:color="auto" w:fill="D6E3BB"/>
          </w:tcPr>
          <w:p>
            <w:pPr>
              <w:pStyle w:val="TableParagraph"/>
              <w:spacing w:line="202" w:lineRule="exact"/>
              <w:ind w:left="5"/>
              <w:rPr>
                <w:rFonts w:ascii="Constantia"/>
                <w:sz w:val="17"/>
              </w:rPr>
            </w:pPr>
            <w:r>
              <w:rPr>
                <w:rFonts w:ascii="Constantia"/>
                <w:w w:val="75"/>
                <w:sz w:val="17"/>
              </w:rPr>
              <w:t>No</w:t>
            </w:r>
          </w:p>
        </w:tc>
        <w:tc>
          <w:tcPr>
            <w:tcW w:w="484" w:type="dxa"/>
            <w:tcBorders>
              <w:left w:val="single" w:sz="2" w:space="0" w:color="000000"/>
              <w:right w:val="single" w:sz="2" w:space="0" w:color="000000"/>
            </w:tcBorders>
            <w:shd w:val="clear" w:color="auto" w:fill="D6E3BB"/>
          </w:tcPr>
          <w:p>
            <w:pPr>
              <w:pStyle w:val="TableParagraph"/>
              <w:spacing w:line="202" w:lineRule="exact"/>
              <w:ind w:left="14" w:right="14"/>
              <w:rPr>
                <w:rFonts w:ascii="Constantia"/>
                <w:sz w:val="17"/>
              </w:rPr>
            </w:pPr>
            <w:r>
              <w:rPr>
                <w:rFonts w:ascii="Constantia"/>
                <w:w w:val="75"/>
                <w:sz w:val="17"/>
              </w:rPr>
              <w:t>No</w:t>
            </w:r>
          </w:p>
        </w:tc>
        <w:tc>
          <w:tcPr>
            <w:tcW w:w="626" w:type="dxa"/>
            <w:tcBorders>
              <w:left w:val="single" w:sz="2" w:space="0" w:color="000000"/>
              <w:right w:val="single" w:sz="2" w:space="0" w:color="000000"/>
            </w:tcBorders>
          </w:tcPr>
          <w:p>
            <w:pPr>
              <w:pStyle w:val="TableParagraph"/>
              <w:spacing w:line="202" w:lineRule="exact"/>
              <w:ind w:right="53"/>
              <w:jc w:val="right"/>
              <w:rPr>
                <w:rFonts w:ascii="Constantia"/>
                <w:sz w:val="17"/>
              </w:rPr>
            </w:pPr>
            <w:r>
              <w:rPr>
                <w:rFonts w:ascii="Constantia"/>
                <w:w w:val="60"/>
                <w:sz w:val="17"/>
              </w:rPr>
              <w:t>0.00</w:t>
            </w:r>
          </w:p>
        </w:tc>
        <w:tc>
          <w:tcPr>
            <w:tcW w:w="376" w:type="dxa"/>
            <w:tcBorders>
              <w:left w:val="single" w:sz="2" w:space="0" w:color="000000"/>
              <w:right w:val="single" w:sz="2" w:space="0" w:color="000000"/>
            </w:tcBorders>
          </w:tcPr>
          <w:p>
            <w:pPr>
              <w:pStyle w:val="TableParagraph"/>
              <w:spacing w:line="202" w:lineRule="exact"/>
              <w:ind w:left="114"/>
              <w:jc w:val="left"/>
              <w:rPr>
                <w:rFonts w:ascii="Constantia"/>
                <w:sz w:val="17"/>
              </w:rPr>
            </w:pPr>
            <w:r>
              <w:rPr>
                <w:rFonts w:ascii="Constantia"/>
                <w:w w:val="70"/>
                <w:sz w:val="17"/>
              </w:rPr>
              <w:t>0.00</w:t>
            </w:r>
          </w:p>
        </w:tc>
        <w:tc>
          <w:tcPr>
            <w:tcW w:w="365" w:type="dxa"/>
            <w:tcBorders>
              <w:left w:val="single" w:sz="2" w:space="0" w:color="000000"/>
              <w:right w:val="single" w:sz="2" w:space="0" w:color="000000"/>
            </w:tcBorders>
          </w:tcPr>
          <w:p>
            <w:pPr>
              <w:pStyle w:val="TableParagraph"/>
              <w:spacing w:line="202" w:lineRule="exact"/>
              <w:ind w:left="68" w:right="22"/>
              <w:rPr>
                <w:rFonts w:ascii="Constantia"/>
                <w:sz w:val="17"/>
              </w:rPr>
            </w:pPr>
            <w:r>
              <w:rPr>
                <w:rFonts w:ascii="Constantia"/>
                <w:w w:val="70"/>
                <w:sz w:val="17"/>
              </w:rPr>
              <w:t>0.00</w:t>
            </w:r>
          </w:p>
        </w:tc>
        <w:tc>
          <w:tcPr>
            <w:tcW w:w="376" w:type="dxa"/>
            <w:tcBorders>
              <w:left w:val="single" w:sz="2" w:space="0" w:color="000000"/>
              <w:right w:val="single" w:sz="2" w:space="0" w:color="000000"/>
            </w:tcBorders>
          </w:tcPr>
          <w:p>
            <w:pPr>
              <w:pStyle w:val="TableParagraph"/>
              <w:spacing w:line="202" w:lineRule="exact"/>
              <w:ind w:left="6"/>
              <w:rPr>
                <w:rFonts w:ascii="Constantia"/>
                <w:sz w:val="17"/>
              </w:rPr>
            </w:pPr>
            <w:r>
              <w:rPr>
                <w:rFonts w:ascii="Constantia"/>
                <w:w w:val="63"/>
                <w:sz w:val="17"/>
              </w:rPr>
              <w:t>0</w:t>
            </w:r>
          </w:p>
        </w:tc>
        <w:tc>
          <w:tcPr>
            <w:tcW w:w="455" w:type="dxa"/>
            <w:tcBorders>
              <w:left w:val="single" w:sz="2" w:space="0" w:color="000000"/>
              <w:right w:val="single" w:sz="2" w:space="0" w:color="000000"/>
            </w:tcBorders>
            <w:shd w:val="clear" w:color="auto" w:fill="D6E3BB"/>
          </w:tcPr>
          <w:p>
            <w:pPr>
              <w:pStyle w:val="TableParagraph"/>
              <w:spacing w:line="202" w:lineRule="exact"/>
              <w:ind w:left="5"/>
              <w:rPr>
                <w:rFonts w:ascii="Constantia"/>
                <w:sz w:val="17"/>
              </w:rPr>
            </w:pPr>
            <w:r>
              <w:rPr>
                <w:rFonts w:ascii="Constantia"/>
                <w:w w:val="75"/>
                <w:sz w:val="17"/>
              </w:rPr>
              <w:t>No</w:t>
            </w:r>
          </w:p>
        </w:tc>
        <w:tc>
          <w:tcPr>
            <w:tcW w:w="456" w:type="dxa"/>
            <w:tcBorders>
              <w:left w:val="single" w:sz="2" w:space="0" w:color="000000"/>
              <w:right w:val="single" w:sz="2" w:space="0" w:color="000000"/>
            </w:tcBorders>
            <w:shd w:val="clear" w:color="auto" w:fill="D6E3BB"/>
          </w:tcPr>
          <w:p>
            <w:pPr>
              <w:pStyle w:val="TableParagraph"/>
              <w:spacing w:line="202" w:lineRule="exact"/>
              <w:ind w:left="8" w:right="3"/>
              <w:rPr>
                <w:rFonts w:ascii="Constantia"/>
                <w:sz w:val="17"/>
              </w:rPr>
            </w:pPr>
            <w:r>
              <w:rPr>
                <w:rFonts w:ascii="Constantia"/>
                <w:w w:val="75"/>
                <w:sz w:val="17"/>
              </w:rPr>
              <w:t>No</w:t>
            </w:r>
          </w:p>
        </w:tc>
        <w:tc>
          <w:tcPr>
            <w:tcW w:w="336" w:type="dxa"/>
            <w:tcBorders>
              <w:left w:val="single" w:sz="2" w:space="0" w:color="000000"/>
              <w:right w:val="single" w:sz="2" w:space="0" w:color="000000"/>
            </w:tcBorders>
          </w:tcPr>
          <w:p>
            <w:pPr>
              <w:pStyle w:val="TableParagraph"/>
              <w:spacing w:line="202" w:lineRule="exact"/>
              <w:ind w:left="85"/>
              <w:jc w:val="left"/>
              <w:rPr>
                <w:rFonts w:ascii="Constantia"/>
                <w:b/>
                <w:sz w:val="17"/>
              </w:rPr>
            </w:pPr>
            <w:r>
              <w:rPr>
                <w:rFonts w:ascii="Constantia"/>
                <w:b/>
                <w:w w:val="75"/>
                <w:sz w:val="17"/>
              </w:rPr>
              <w:t>I(1)</w:t>
            </w:r>
          </w:p>
        </w:tc>
        <w:tc>
          <w:tcPr>
            <w:tcW w:w="342" w:type="dxa"/>
            <w:tcBorders>
              <w:left w:val="single" w:sz="2" w:space="0" w:color="000000"/>
              <w:right w:val="single" w:sz="2" w:space="0" w:color="000000"/>
            </w:tcBorders>
          </w:tcPr>
          <w:p>
            <w:pPr>
              <w:pStyle w:val="TableParagraph"/>
              <w:spacing w:line="202" w:lineRule="exact"/>
              <w:ind w:left="91"/>
              <w:jc w:val="left"/>
              <w:rPr>
                <w:rFonts w:ascii="Constantia"/>
                <w:b/>
                <w:sz w:val="17"/>
              </w:rPr>
            </w:pPr>
            <w:r>
              <w:rPr>
                <w:rFonts w:ascii="Constantia"/>
                <w:b/>
                <w:w w:val="75"/>
                <w:sz w:val="17"/>
              </w:rPr>
              <w:t>I(1)</w:t>
            </w:r>
          </w:p>
        </w:tc>
        <w:tc>
          <w:tcPr>
            <w:tcW w:w="1361" w:type="dxa"/>
            <w:tcBorders>
              <w:left w:val="single" w:sz="2" w:space="0" w:color="000000"/>
              <w:right w:val="single" w:sz="2" w:space="0" w:color="000000"/>
            </w:tcBorders>
          </w:tcPr>
          <w:p>
            <w:pPr>
              <w:pStyle w:val="TableParagraph"/>
              <w:spacing w:before="23"/>
              <w:ind w:left="40" w:right="40"/>
              <w:rPr>
                <w:rFonts w:ascii="Constantia"/>
                <w:b/>
                <w:sz w:val="14"/>
              </w:rPr>
            </w:pPr>
            <w:r>
              <w:rPr>
                <w:rFonts w:ascii="Constantia"/>
                <w:b/>
                <w:w w:val="75"/>
                <w:sz w:val="14"/>
              </w:rPr>
              <w:t>I(1)</w:t>
            </w:r>
          </w:p>
        </w:tc>
      </w:tr>
      <w:tr>
        <w:trPr>
          <w:trHeight w:val="226" w:hRule="exact"/>
        </w:trPr>
        <w:tc>
          <w:tcPr>
            <w:tcW w:w="2095" w:type="dxa"/>
            <w:tcBorders>
              <w:left w:val="single" w:sz="2" w:space="0" w:color="000000"/>
              <w:right w:val="single" w:sz="2" w:space="0" w:color="000000"/>
            </w:tcBorders>
          </w:tcPr>
          <w:p>
            <w:pPr>
              <w:pStyle w:val="TableParagraph"/>
              <w:spacing w:line="202" w:lineRule="exact"/>
              <w:ind w:left="17" w:right="-15"/>
              <w:jc w:val="left"/>
              <w:rPr>
                <w:rFonts w:ascii="Constantia" w:hAnsi="Constantia"/>
                <w:sz w:val="17"/>
              </w:rPr>
            </w:pPr>
            <w:r>
              <w:rPr>
                <w:rFonts w:ascii="Constantia" w:hAnsi="Constantia"/>
                <w:w w:val="65"/>
                <w:sz w:val="17"/>
              </w:rPr>
              <w:t>Balance global cícl. Ajustado/PIB</w:t>
            </w:r>
          </w:p>
        </w:tc>
        <w:tc>
          <w:tcPr>
            <w:tcW w:w="655" w:type="dxa"/>
            <w:tcBorders>
              <w:left w:val="single" w:sz="2" w:space="0" w:color="000000"/>
              <w:right w:val="single" w:sz="2" w:space="0" w:color="000000"/>
            </w:tcBorders>
          </w:tcPr>
          <w:p>
            <w:pPr>
              <w:pStyle w:val="TableParagraph"/>
              <w:spacing w:line="202" w:lineRule="exact"/>
              <w:ind w:right="55"/>
              <w:jc w:val="right"/>
              <w:rPr>
                <w:rFonts w:ascii="Constantia"/>
                <w:sz w:val="17"/>
              </w:rPr>
            </w:pPr>
            <w:r>
              <w:rPr>
                <w:rFonts w:ascii="Constantia"/>
                <w:w w:val="60"/>
                <w:sz w:val="17"/>
              </w:rPr>
              <w:t>n.a.</w:t>
            </w:r>
          </w:p>
        </w:tc>
        <w:tc>
          <w:tcPr>
            <w:tcW w:w="444" w:type="dxa"/>
            <w:tcBorders>
              <w:left w:val="single" w:sz="2" w:space="0" w:color="000000"/>
              <w:right w:val="single" w:sz="2" w:space="0" w:color="000000"/>
            </w:tcBorders>
          </w:tcPr>
          <w:p>
            <w:pPr>
              <w:pStyle w:val="TableParagraph"/>
              <w:spacing w:line="202" w:lineRule="exact"/>
              <w:ind w:right="52"/>
              <w:jc w:val="right"/>
              <w:rPr>
                <w:rFonts w:ascii="Constantia"/>
                <w:sz w:val="17"/>
              </w:rPr>
            </w:pPr>
            <w:r>
              <w:rPr>
                <w:rFonts w:ascii="Constantia"/>
                <w:w w:val="60"/>
                <w:sz w:val="17"/>
              </w:rPr>
              <w:t>0.29</w:t>
            </w:r>
          </w:p>
        </w:tc>
        <w:tc>
          <w:tcPr>
            <w:tcW w:w="393" w:type="dxa"/>
            <w:tcBorders>
              <w:left w:val="single" w:sz="2" w:space="0" w:color="000000"/>
              <w:right w:val="single" w:sz="2" w:space="0" w:color="000000"/>
            </w:tcBorders>
          </w:tcPr>
          <w:p>
            <w:pPr>
              <w:pStyle w:val="TableParagraph"/>
              <w:spacing w:line="202" w:lineRule="exact"/>
              <w:ind w:left="105" w:right="8"/>
              <w:rPr>
                <w:rFonts w:ascii="Constantia"/>
                <w:sz w:val="17"/>
              </w:rPr>
            </w:pPr>
            <w:r>
              <w:rPr>
                <w:rFonts w:ascii="Constantia"/>
                <w:w w:val="75"/>
                <w:sz w:val="17"/>
              </w:rPr>
              <w:t>0.10</w:t>
            </w:r>
          </w:p>
        </w:tc>
        <w:tc>
          <w:tcPr>
            <w:tcW w:w="410" w:type="dxa"/>
            <w:tcBorders>
              <w:left w:val="single" w:sz="2" w:space="0" w:color="000000"/>
              <w:right w:val="single" w:sz="2" w:space="0" w:color="000000"/>
            </w:tcBorders>
          </w:tcPr>
          <w:p>
            <w:pPr>
              <w:pStyle w:val="TableParagraph"/>
              <w:spacing w:line="202" w:lineRule="exact"/>
              <w:ind w:left="176"/>
              <w:jc w:val="left"/>
              <w:rPr>
                <w:rFonts w:ascii="Constantia"/>
                <w:sz w:val="17"/>
              </w:rPr>
            </w:pPr>
            <w:r>
              <w:rPr>
                <w:rFonts w:ascii="Constantia"/>
                <w:w w:val="63"/>
                <w:sz w:val="17"/>
              </w:rPr>
              <w:t>0</w:t>
            </w:r>
          </w:p>
        </w:tc>
        <w:tc>
          <w:tcPr>
            <w:tcW w:w="456" w:type="dxa"/>
            <w:tcBorders>
              <w:left w:val="single" w:sz="2" w:space="0" w:color="000000"/>
              <w:right w:val="single" w:sz="2" w:space="0" w:color="000000"/>
            </w:tcBorders>
            <w:shd w:val="clear" w:color="auto" w:fill="D6E3BB"/>
          </w:tcPr>
          <w:p>
            <w:pPr>
              <w:pStyle w:val="TableParagraph"/>
              <w:spacing w:line="202" w:lineRule="exact"/>
              <w:ind w:left="4"/>
              <w:rPr>
                <w:rFonts w:ascii="Constantia"/>
                <w:sz w:val="17"/>
              </w:rPr>
            </w:pPr>
            <w:r>
              <w:rPr>
                <w:rFonts w:ascii="Constantia"/>
                <w:w w:val="75"/>
                <w:sz w:val="17"/>
              </w:rPr>
              <w:t>n.a.</w:t>
            </w:r>
          </w:p>
        </w:tc>
        <w:tc>
          <w:tcPr>
            <w:tcW w:w="484" w:type="dxa"/>
            <w:tcBorders>
              <w:left w:val="single" w:sz="2" w:space="0" w:color="000000"/>
              <w:right w:val="single" w:sz="2" w:space="0" w:color="000000"/>
            </w:tcBorders>
            <w:shd w:val="clear" w:color="auto" w:fill="D6E3BB"/>
          </w:tcPr>
          <w:p>
            <w:pPr>
              <w:pStyle w:val="TableParagraph"/>
              <w:spacing w:line="202" w:lineRule="exact"/>
              <w:ind w:left="14" w:right="14"/>
              <w:rPr>
                <w:rFonts w:ascii="Constantia"/>
                <w:sz w:val="17"/>
              </w:rPr>
            </w:pPr>
            <w:r>
              <w:rPr>
                <w:rFonts w:ascii="Constantia"/>
                <w:w w:val="75"/>
                <w:sz w:val="17"/>
              </w:rPr>
              <w:t>No</w:t>
            </w:r>
          </w:p>
        </w:tc>
        <w:tc>
          <w:tcPr>
            <w:tcW w:w="626" w:type="dxa"/>
            <w:tcBorders>
              <w:left w:val="single" w:sz="2" w:space="0" w:color="000000"/>
              <w:right w:val="single" w:sz="2" w:space="0" w:color="000000"/>
            </w:tcBorders>
          </w:tcPr>
          <w:p>
            <w:pPr>
              <w:pStyle w:val="TableParagraph"/>
              <w:spacing w:line="202" w:lineRule="exact"/>
              <w:ind w:right="55"/>
              <w:jc w:val="right"/>
              <w:rPr>
                <w:rFonts w:ascii="Constantia"/>
                <w:sz w:val="17"/>
              </w:rPr>
            </w:pPr>
            <w:r>
              <w:rPr>
                <w:rFonts w:ascii="Constantia"/>
                <w:w w:val="60"/>
                <w:sz w:val="17"/>
              </w:rPr>
              <w:t>n.a.</w:t>
            </w:r>
          </w:p>
        </w:tc>
        <w:tc>
          <w:tcPr>
            <w:tcW w:w="376" w:type="dxa"/>
            <w:tcBorders>
              <w:left w:val="single" w:sz="2" w:space="0" w:color="000000"/>
              <w:right w:val="single" w:sz="2" w:space="0" w:color="000000"/>
            </w:tcBorders>
          </w:tcPr>
          <w:p>
            <w:pPr>
              <w:pStyle w:val="TableParagraph"/>
              <w:spacing w:line="202" w:lineRule="exact"/>
              <w:ind w:left="114"/>
              <w:jc w:val="left"/>
              <w:rPr>
                <w:rFonts w:ascii="Constantia"/>
                <w:sz w:val="17"/>
              </w:rPr>
            </w:pPr>
            <w:r>
              <w:rPr>
                <w:rFonts w:ascii="Constantia"/>
                <w:w w:val="70"/>
                <w:sz w:val="17"/>
              </w:rPr>
              <w:t>0.00</w:t>
            </w:r>
          </w:p>
        </w:tc>
        <w:tc>
          <w:tcPr>
            <w:tcW w:w="365" w:type="dxa"/>
            <w:tcBorders>
              <w:left w:val="single" w:sz="2" w:space="0" w:color="000000"/>
              <w:right w:val="single" w:sz="2" w:space="0" w:color="000000"/>
            </w:tcBorders>
          </w:tcPr>
          <w:p>
            <w:pPr>
              <w:pStyle w:val="TableParagraph"/>
              <w:spacing w:line="202" w:lineRule="exact"/>
              <w:ind w:left="68" w:right="22"/>
              <w:rPr>
                <w:rFonts w:ascii="Constantia"/>
                <w:sz w:val="17"/>
              </w:rPr>
            </w:pPr>
            <w:r>
              <w:rPr>
                <w:rFonts w:ascii="Constantia"/>
                <w:w w:val="70"/>
                <w:sz w:val="17"/>
              </w:rPr>
              <w:t>0.00</w:t>
            </w:r>
          </w:p>
        </w:tc>
        <w:tc>
          <w:tcPr>
            <w:tcW w:w="376" w:type="dxa"/>
            <w:tcBorders>
              <w:left w:val="single" w:sz="2" w:space="0" w:color="000000"/>
              <w:right w:val="single" w:sz="2" w:space="0" w:color="000000"/>
            </w:tcBorders>
          </w:tcPr>
          <w:p>
            <w:pPr>
              <w:pStyle w:val="TableParagraph"/>
              <w:spacing w:line="202" w:lineRule="exact"/>
              <w:ind w:left="6"/>
              <w:rPr>
                <w:rFonts w:ascii="Constantia"/>
                <w:sz w:val="17"/>
              </w:rPr>
            </w:pPr>
            <w:r>
              <w:rPr>
                <w:rFonts w:ascii="Constantia"/>
                <w:w w:val="63"/>
                <w:sz w:val="17"/>
              </w:rPr>
              <w:t>0</w:t>
            </w:r>
          </w:p>
        </w:tc>
        <w:tc>
          <w:tcPr>
            <w:tcW w:w="455" w:type="dxa"/>
            <w:tcBorders>
              <w:left w:val="single" w:sz="2" w:space="0" w:color="000000"/>
              <w:right w:val="single" w:sz="2" w:space="0" w:color="000000"/>
            </w:tcBorders>
            <w:shd w:val="clear" w:color="auto" w:fill="D6E3BB"/>
          </w:tcPr>
          <w:p>
            <w:pPr>
              <w:pStyle w:val="TableParagraph"/>
              <w:spacing w:line="202" w:lineRule="exact"/>
              <w:ind w:left="4"/>
              <w:rPr>
                <w:rFonts w:ascii="Constantia"/>
                <w:sz w:val="17"/>
              </w:rPr>
            </w:pPr>
            <w:r>
              <w:rPr>
                <w:rFonts w:ascii="Constantia"/>
                <w:w w:val="75"/>
                <w:sz w:val="17"/>
              </w:rPr>
              <w:t>n.a.</w:t>
            </w:r>
          </w:p>
        </w:tc>
        <w:tc>
          <w:tcPr>
            <w:tcW w:w="456" w:type="dxa"/>
            <w:tcBorders>
              <w:left w:val="single" w:sz="2" w:space="0" w:color="000000"/>
              <w:right w:val="single" w:sz="2" w:space="0" w:color="000000"/>
            </w:tcBorders>
            <w:shd w:val="clear" w:color="auto" w:fill="D6E3BB"/>
          </w:tcPr>
          <w:p>
            <w:pPr>
              <w:pStyle w:val="TableParagraph"/>
              <w:spacing w:line="202" w:lineRule="exact"/>
              <w:ind w:left="8" w:right="3"/>
              <w:rPr>
                <w:rFonts w:ascii="Constantia"/>
                <w:sz w:val="17"/>
              </w:rPr>
            </w:pPr>
            <w:r>
              <w:rPr>
                <w:rFonts w:ascii="Constantia"/>
                <w:w w:val="75"/>
                <w:sz w:val="17"/>
              </w:rPr>
              <w:t>No</w:t>
            </w:r>
          </w:p>
        </w:tc>
        <w:tc>
          <w:tcPr>
            <w:tcW w:w="336" w:type="dxa"/>
            <w:tcBorders>
              <w:left w:val="single" w:sz="2" w:space="0" w:color="000000"/>
              <w:right w:val="single" w:sz="2" w:space="0" w:color="000000"/>
            </w:tcBorders>
          </w:tcPr>
          <w:p>
            <w:pPr>
              <w:pStyle w:val="TableParagraph"/>
              <w:spacing w:line="202" w:lineRule="exact"/>
              <w:ind w:left="85"/>
              <w:jc w:val="left"/>
              <w:rPr>
                <w:rFonts w:ascii="Constantia"/>
                <w:b/>
                <w:sz w:val="17"/>
              </w:rPr>
            </w:pPr>
            <w:r>
              <w:rPr>
                <w:rFonts w:ascii="Constantia"/>
                <w:b/>
                <w:w w:val="75"/>
                <w:sz w:val="17"/>
              </w:rPr>
              <w:t>I(1)</w:t>
            </w:r>
          </w:p>
        </w:tc>
        <w:tc>
          <w:tcPr>
            <w:tcW w:w="342" w:type="dxa"/>
            <w:tcBorders>
              <w:left w:val="single" w:sz="2" w:space="0" w:color="000000"/>
              <w:right w:val="single" w:sz="2" w:space="0" w:color="000000"/>
            </w:tcBorders>
          </w:tcPr>
          <w:p>
            <w:pPr>
              <w:pStyle w:val="TableParagraph"/>
              <w:spacing w:line="202" w:lineRule="exact"/>
              <w:ind w:left="91"/>
              <w:jc w:val="left"/>
              <w:rPr>
                <w:rFonts w:ascii="Constantia"/>
                <w:b/>
                <w:sz w:val="17"/>
              </w:rPr>
            </w:pPr>
            <w:r>
              <w:rPr>
                <w:rFonts w:ascii="Constantia"/>
                <w:b/>
                <w:w w:val="75"/>
                <w:sz w:val="17"/>
              </w:rPr>
              <w:t>I(1)</w:t>
            </w:r>
          </w:p>
        </w:tc>
        <w:tc>
          <w:tcPr>
            <w:tcW w:w="1361" w:type="dxa"/>
            <w:tcBorders>
              <w:left w:val="single" w:sz="2" w:space="0" w:color="000000"/>
              <w:right w:val="single" w:sz="2" w:space="0" w:color="000000"/>
            </w:tcBorders>
          </w:tcPr>
          <w:p>
            <w:pPr>
              <w:pStyle w:val="TableParagraph"/>
              <w:spacing w:before="23"/>
              <w:ind w:left="40" w:right="42"/>
              <w:rPr>
                <w:rFonts w:ascii="Constantia"/>
                <w:b/>
                <w:sz w:val="14"/>
              </w:rPr>
            </w:pPr>
            <w:r>
              <w:rPr>
                <w:rFonts w:ascii="Constantia"/>
                <w:b/>
                <w:w w:val="65"/>
                <w:sz w:val="14"/>
              </w:rPr>
              <w:t>I(0) entorno a una constante</w:t>
            </w:r>
          </w:p>
        </w:tc>
      </w:tr>
      <w:tr>
        <w:trPr>
          <w:trHeight w:val="226" w:hRule="exact"/>
        </w:trPr>
        <w:tc>
          <w:tcPr>
            <w:tcW w:w="2095" w:type="dxa"/>
            <w:tcBorders>
              <w:left w:val="single" w:sz="2" w:space="0" w:color="000000"/>
              <w:right w:val="single" w:sz="2" w:space="0" w:color="000000"/>
            </w:tcBorders>
          </w:tcPr>
          <w:p>
            <w:pPr>
              <w:pStyle w:val="TableParagraph"/>
              <w:spacing w:line="202" w:lineRule="exact"/>
              <w:ind w:left="17" w:right="-15"/>
              <w:jc w:val="left"/>
              <w:rPr>
                <w:rFonts w:ascii="Constantia"/>
                <w:sz w:val="17"/>
              </w:rPr>
            </w:pPr>
            <w:r>
              <w:rPr>
                <w:rFonts w:ascii="Constantia"/>
                <w:w w:val="60"/>
                <w:sz w:val="17"/>
              </w:rPr>
              <w:t>Balance  global/PIB</w:t>
            </w:r>
          </w:p>
        </w:tc>
        <w:tc>
          <w:tcPr>
            <w:tcW w:w="655" w:type="dxa"/>
            <w:tcBorders>
              <w:left w:val="single" w:sz="2" w:space="0" w:color="000000"/>
              <w:right w:val="single" w:sz="2" w:space="0" w:color="000000"/>
            </w:tcBorders>
          </w:tcPr>
          <w:p>
            <w:pPr>
              <w:pStyle w:val="TableParagraph"/>
              <w:spacing w:line="202" w:lineRule="exact"/>
              <w:ind w:right="54"/>
              <w:jc w:val="right"/>
              <w:rPr>
                <w:rFonts w:ascii="Constantia"/>
                <w:sz w:val="17"/>
              </w:rPr>
            </w:pPr>
            <w:r>
              <w:rPr>
                <w:rFonts w:ascii="Constantia"/>
                <w:w w:val="60"/>
                <w:sz w:val="17"/>
              </w:rPr>
              <w:t>0.64</w:t>
            </w:r>
          </w:p>
        </w:tc>
        <w:tc>
          <w:tcPr>
            <w:tcW w:w="444" w:type="dxa"/>
            <w:tcBorders>
              <w:left w:val="single" w:sz="2" w:space="0" w:color="000000"/>
              <w:right w:val="single" w:sz="2" w:space="0" w:color="000000"/>
            </w:tcBorders>
          </w:tcPr>
          <w:p>
            <w:pPr>
              <w:pStyle w:val="TableParagraph"/>
              <w:spacing w:line="202" w:lineRule="exact"/>
              <w:ind w:right="53"/>
              <w:jc w:val="right"/>
              <w:rPr>
                <w:rFonts w:ascii="Constantia"/>
                <w:sz w:val="17"/>
              </w:rPr>
            </w:pPr>
            <w:r>
              <w:rPr>
                <w:rFonts w:ascii="Constantia"/>
                <w:w w:val="65"/>
                <w:sz w:val="17"/>
              </w:rPr>
              <w:t>0.28</w:t>
            </w:r>
          </w:p>
        </w:tc>
        <w:tc>
          <w:tcPr>
            <w:tcW w:w="393" w:type="dxa"/>
            <w:tcBorders>
              <w:left w:val="single" w:sz="2" w:space="0" w:color="000000"/>
              <w:right w:val="single" w:sz="2" w:space="0" w:color="000000"/>
            </w:tcBorders>
          </w:tcPr>
          <w:p>
            <w:pPr>
              <w:pStyle w:val="TableParagraph"/>
              <w:spacing w:line="202" w:lineRule="exact"/>
              <w:ind w:left="105" w:right="7"/>
              <w:rPr>
                <w:rFonts w:ascii="Constantia"/>
                <w:sz w:val="17"/>
              </w:rPr>
            </w:pPr>
            <w:r>
              <w:rPr>
                <w:rFonts w:ascii="Constantia"/>
                <w:w w:val="75"/>
                <w:sz w:val="17"/>
              </w:rPr>
              <w:t>0.19</w:t>
            </w:r>
          </w:p>
        </w:tc>
        <w:tc>
          <w:tcPr>
            <w:tcW w:w="410" w:type="dxa"/>
            <w:tcBorders>
              <w:left w:val="single" w:sz="2" w:space="0" w:color="000000"/>
              <w:right w:val="single" w:sz="2" w:space="0" w:color="000000"/>
            </w:tcBorders>
          </w:tcPr>
          <w:p>
            <w:pPr>
              <w:pStyle w:val="TableParagraph"/>
              <w:spacing w:line="202" w:lineRule="exact"/>
              <w:ind w:left="176"/>
              <w:jc w:val="left"/>
              <w:rPr>
                <w:rFonts w:ascii="Constantia"/>
                <w:sz w:val="17"/>
              </w:rPr>
            </w:pPr>
            <w:r>
              <w:rPr>
                <w:rFonts w:ascii="Constantia"/>
                <w:w w:val="63"/>
                <w:sz w:val="17"/>
              </w:rPr>
              <w:t>0</w:t>
            </w:r>
          </w:p>
        </w:tc>
        <w:tc>
          <w:tcPr>
            <w:tcW w:w="456" w:type="dxa"/>
            <w:tcBorders>
              <w:left w:val="single" w:sz="2" w:space="0" w:color="000000"/>
              <w:right w:val="single" w:sz="2" w:space="0" w:color="000000"/>
            </w:tcBorders>
            <w:shd w:val="clear" w:color="auto" w:fill="D6E3BB"/>
          </w:tcPr>
          <w:p>
            <w:pPr>
              <w:pStyle w:val="TableParagraph"/>
              <w:spacing w:line="202" w:lineRule="exact"/>
              <w:ind w:left="5"/>
              <w:rPr>
                <w:rFonts w:ascii="Constantia"/>
                <w:sz w:val="17"/>
              </w:rPr>
            </w:pPr>
            <w:r>
              <w:rPr>
                <w:rFonts w:ascii="Constantia"/>
                <w:w w:val="75"/>
                <w:sz w:val="17"/>
              </w:rPr>
              <w:t>No</w:t>
            </w:r>
          </w:p>
        </w:tc>
        <w:tc>
          <w:tcPr>
            <w:tcW w:w="484" w:type="dxa"/>
            <w:tcBorders>
              <w:left w:val="single" w:sz="2" w:space="0" w:color="000000"/>
              <w:right w:val="single" w:sz="2" w:space="0" w:color="000000"/>
            </w:tcBorders>
            <w:shd w:val="clear" w:color="auto" w:fill="D6E3BB"/>
          </w:tcPr>
          <w:p>
            <w:pPr>
              <w:pStyle w:val="TableParagraph"/>
              <w:spacing w:line="202" w:lineRule="exact"/>
              <w:ind w:left="14" w:right="14"/>
              <w:rPr>
                <w:rFonts w:ascii="Constantia"/>
                <w:sz w:val="17"/>
              </w:rPr>
            </w:pPr>
            <w:r>
              <w:rPr>
                <w:rFonts w:ascii="Constantia"/>
                <w:w w:val="75"/>
                <w:sz w:val="17"/>
              </w:rPr>
              <w:t>No</w:t>
            </w:r>
          </w:p>
        </w:tc>
        <w:tc>
          <w:tcPr>
            <w:tcW w:w="626" w:type="dxa"/>
            <w:tcBorders>
              <w:left w:val="single" w:sz="2" w:space="0" w:color="000000"/>
              <w:right w:val="single" w:sz="2" w:space="0" w:color="000000"/>
            </w:tcBorders>
          </w:tcPr>
          <w:p>
            <w:pPr>
              <w:pStyle w:val="TableParagraph"/>
              <w:spacing w:line="202" w:lineRule="exact"/>
              <w:ind w:right="53"/>
              <w:jc w:val="right"/>
              <w:rPr>
                <w:rFonts w:ascii="Constantia"/>
                <w:sz w:val="17"/>
              </w:rPr>
            </w:pPr>
            <w:r>
              <w:rPr>
                <w:rFonts w:ascii="Constantia"/>
                <w:w w:val="60"/>
                <w:sz w:val="17"/>
              </w:rPr>
              <w:t>0.00</w:t>
            </w:r>
          </w:p>
        </w:tc>
        <w:tc>
          <w:tcPr>
            <w:tcW w:w="376" w:type="dxa"/>
            <w:tcBorders>
              <w:left w:val="single" w:sz="2" w:space="0" w:color="000000"/>
              <w:right w:val="single" w:sz="2" w:space="0" w:color="000000"/>
            </w:tcBorders>
          </w:tcPr>
          <w:p>
            <w:pPr>
              <w:pStyle w:val="TableParagraph"/>
              <w:spacing w:line="202" w:lineRule="exact"/>
              <w:ind w:left="114"/>
              <w:jc w:val="left"/>
              <w:rPr>
                <w:rFonts w:ascii="Constantia"/>
                <w:sz w:val="17"/>
              </w:rPr>
            </w:pPr>
            <w:r>
              <w:rPr>
                <w:rFonts w:ascii="Constantia"/>
                <w:w w:val="70"/>
                <w:sz w:val="17"/>
              </w:rPr>
              <w:t>0.00</w:t>
            </w:r>
          </w:p>
        </w:tc>
        <w:tc>
          <w:tcPr>
            <w:tcW w:w="365" w:type="dxa"/>
            <w:tcBorders>
              <w:left w:val="single" w:sz="2" w:space="0" w:color="000000"/>
              <w:right w:val="single" w:sz="2" w:space="0" w:color="000000"/>
            </w:tcBorders>
          </w:tcPr>
          <w:p>
            <w:pPr>
              <w:pStyle w:val="TableParagraph"/>
              <w:spacing w:line="202" w:lineRule="exact"/>
              <w:ind w:left="68" w:right="22"/>
              <w:rPr>
                <w:rFonts w:ascii="Constantia"/>
                <w:sz w:val="17"/>
              </w:rPr>
            </w:pPr>
            <w:r>
              <w:rPr>
                <w:rFonts w:ascii="Constantia"/>
                <w:w w:val="70"/>
                <w:sz w:val="17"/>
              </w:rPr>
              <w:t>0.00</w:t>
            </w:r>
          </w:p>
        </w:tc>
        <w:tc>
          <w:tcPr>
            <w:tcW w:w="376" w:type="dxa"/>
            <w:tcBorders>
              <w:left w:val="single" w:sz="2" w:space="0" w:color="000000"/>
              <w:right w:val="single" w:sz="2" w:space="0" w:color="000000"/>
            </w:tcBorders>
          </w:tcPr>
          <w:p>
            <w:pPr>
              <w:pStyle w:val="TableParagraph"/>
              <w:spacing w:line="202" w:lineRule="exact"/>
              <w:ind w:left="6"/>
              <w:rPr>
                <w:rFonts w:ascii="Constantia"/>
                <w:sz w:val="17"/>
              </w:rPr>
            </w:pPr>
            <w:r>
              <w:rPr>
                <w:rFonts w:ascii="Constantia"/>
                <w:w w:val="63"/>
                <w:sz w:val="17"/>
              </w:rPr>
              <w:t>0</w:t>
            </w:r>
          </w:p>
        </w:tc>
        <w:tc>
          <w:tcPr>
            <w:tcW w:w="455" w:type="dxa"/>
            <w:tcBorders>
              <w:left w:val="single" w:sz="2" w:space="0" w:color="000000"/>
              <w:right w:val="single" w:sz="2" w:space="0" w:color="000000"/>
            </w:tcBorders>
            <w:shd w:val="clear" w:color="auto" w:fill="D6E3BB"/>
          </w:tcPr>
          <w:p>
            <w:pPr>
              <w:pStyle w:val="TableParagraph"/>
              <w:spacing w:line="202" w:lineRule="exact"/>
              <w:ind w:left="5"/>
              <w:rPr>
                <w:rFonts w:ascii="Constantia"/>
                <w:sz w:val="17"/>
              </w:rPr>
            </w:pPr>
            <w:r>
              <w:rPr>
                <w:rFonts w:ascii="Constantia"/>
                <w:w w:val="75"/>
                <w:sz w:val="17"/>
              </w:rPr>
              <w:t>No</w:t>
            </w:r>
          </w:p>
        </w:tc>
        <w:tc>
          <w:tcPr>
            <w:tcW w:w="456" w:type="dxa"/>
            <w:tcBorders>
              <w:left w:val="single" w:sz="2" w:space="0" w:color="000000"/>
              <w:right w:val="single" w:sz="2" w:space="0" w:color="000000"/>
            </w:tcBorders>
            <w:shd w:val="clear" w:color="auto" w:fill="D6E3BB"/>
          </w:tcPr>
          <w:p>
            <w:pPr>
              <w:pStyle w:val="TableParagraph"/>
              <w:spacing w:line="202" w:lineRule="exact"/>
              <w:ind w:left="8" w:right="3"/>
              <w:rPr>
                <w:rFonts w:ascii="Constantia"/>
                <w:sz w:val="17"/>
              </w:rPr>
            </w:pPr>
            <w:r>
              <w:rPr>
                <w:rFonts w:ascii="Constantia"/>
                <w:w w:val="75"/>
                <w:sz w:val="17"/>
              </w:rPr>
              <w:t>No</w:t>
            </w:r>
          </w:p>
        </w:tc>
        <w:tc>
          <w:tcPr>
            <w:tcW w:w="336" w:type="dxa"/>
            <w:tcBorders>
              <w:left w:val="single" w:sz="2" w:space="0" w:color="000000"/>
              <w:right w:val="single" w:sz="2" w:space="0" w:color="000000"/>
            </w:tcBorders>
          </w:tcPr>
          <w:p>
            <w:pPr>
              <w:pStyle w:val="TableParagraph"/>
              <w:spacing w:line="202" w:lineRule="exact"/>
              <w:ind w:left="85"/>
              <w:jc w:val="left"/>
              <w:rPr>
                <w:rFonts w:ascii="Constantia"/>
                <w:b/>
                <w:sz w:val="17"/>
              </w:rPr>
            </w:pPr>
            <w:r>
              <w:rPr>
                <w:rFonts w:ascii="Constantia"/>
                <w:b/>
                <w:w w:val="75"/>
                <w:sz w:val="17"/>
              </w:rPr>
              <w:t>I(1)</w:t>
            </w:r>
          </w:p>
        </w:tc>
        <w:tc>
          <w:tcPr>
            <w:tcW w:w="342" w:type="dxa"/>
            <w:tcBorders>
              <w:left w:val="single" w:sz="2" w:space="0" w:color="000000"/>
              <w:right w:val="single" w:sz="2" w:space="0" w:color="000000"/>
            </w:tcBorders>
          </w:tcPr>
          <w:p>
            <w:pPr>
              <w:pStyle w:val="TableParagraph"/>
              <w:spacing w:line="202" w:lineRule="exact"/>
              <w:ind w:left="91"/>
              <w:jc w:val="left"/>
              <w:rPr>
                <w:rFonts w:ascii="Constantia"/>
                <w:b/>
                <w:sz w:val="17"/>
              </w:rPr>
            </w:pPr>
            <w:r>
              <w:rPr>
                <w:rFonts w:ascii="Constantia"/>
                <w:b/>
                <w:w w:val="75"/>
                <w:sz w:val="17"/>
              </w:rPr>
              <w:t>I(1)</w:t>
            </w:r>
          </w:p>
        </w:tc>
        <w:tc>
          <w:tcPr>
            <w:tcW w:w="1361" w:type="dxa"/>
            <w:tcBorders>
              <w:left w:val="single" w:sz="2" w:space="0" w:color="000000"/>
              <w:right w:val="single" w:sz="2" w:space="0" w:color="000000"/>
            </w:tcBorders>
          </w:tcPr>
          <w:p>
            <w:pPr>
              <w:pStyle w:val="TableParagraph"/>
              <w:spacing w:before="23"/>
              <w:ind w:left="40" w:right="40"/>
              <w:rPr>
                <w:rFonts w:ascii="Constantia"/>
                <w:b/>
                <w:sz w:val="14"/>
              </w:rPr>
            </w:pPr>
            <w:r>
              <w:rPr>
                <w:rFonts w:ascii="Constantia"/>
                <w:b/>
                <w:w w:val="75"/>
                <w:sz w:val="14"/>
              </w:rPr>
              <w:t>I(1)</w:t>
            </w:r>
          </w:p>
        </w:tc>
      </w:tr>
      <w:tr>
        <w:trPr>
          <w:trHeight w:val="207" w:hRule="exact"/>
        </w:trPr>
        <w:tc>
          <w:tcPr>
            <w:tcW w:w="2095" w:type="dxa"/>
            <w:tcBorders>
              <w:left w:val="single" w:sz="2" w:space="0" w:color="000000"/>
              <w:bottom w:val="single" w:sz="4" w:space="0" w:color="000000"/>
              <w:right w:val="single" w:sz="2" w:space="0" w:color="000000"/>
            </w:tcBorders>
          </w:tcPr>
          <w:p>
            <w:pPr>
              <w:pStyle w:val="TableParagraph"/>
              <w:spacing w:line="202" w:lineRule="exact"/>
              <w:ind w:left="17" w:right="-15"/>
              <w:jc w:val="left"/>
              <w:rPr>
                <w:rFonts w:ascii="Constantia" w:hAnsi="Constantia"/>
                <w:sz w:val="17"/>
              </w:rPr>
            </w:pPr>
            <w:r>
              <w:rPr>
                <w:rFonts w:ascii="Constantia" w:hAnsi="Constantia"/>
                <w:w w:val="65"/>
                <w:sz w:val="17"/>
              </w:rPr>
              <w:t>Ln (Deuda pública/ PIB)</w:t>
            </w:r>
          </w:p>
        </w:tc>
        <w:tc>
          <w:tcPr>
            <w:tcW w:w="655" w:type="dxa"/>
            <w:tcBorders>
              <w:left w:val="single" w:sz="2" w:space="0" w:color="000000"/>
              <w:bottom w:val="single" w:sz="4" w:space="0" w:color="000000"/>
              <w:right w:val="single" w:sz="2" w:space="0" w:color="000000"/>
            </w:tcBorders>
          </w:tcPr>
          <w:p>
            <w:pPr>
              <w:pStyle w:val="TableParagraph"/>
              <w:spacing w:line="202" w:lineRule="exact"/>
              <w:ind w:right="55"/>
              <w:jc w:val="right"/>
              <w:rPr>
                <w:rFonts w:ascii="Constantia"/>
                <w:sz w:val="17"/>
              </w:rPr>
            </w:pPr>
            <w:r>
              <w:rPr>
                <w:rFonts w:ascii="Constantia"/>
                <w:w w:val="65"/>
                <w:sz w:val="17"/>
              </w:rPr>
              <w:t>0.28</w:t>
            </w:r>
          </w:p>
        </w:tc>
        <w:tc>
          <w:tcPr>
            <w:tcW w:w="444" w:type="dxa"/>
            <w:tcBorders>
              <w:left w:val="single" w:sz="2" w:space="0" w:color="000000"/>
              <w:bottom w:val="single" w:sz="4" w:space="0" w:color="000000"/>
              <w:right w:val="single" w:sz="2" w:space="0" w:color="000000"/>
            </w:tcBorders>
          </w:tcPr>
          <w:p>
            <w:pPr>
              <w:pStyle w:val="TableParagraph"/>
              <w:spacing w:line="202" w:lineRule="exact"/>
              <w:ind w:right="54"/>
              <w:jc w:val="right"/>
              <w:rPr>
                <w:rFonts w:ascii="Constantia"/>
                <w:sz w:val="17"/>
              </w:rPr>
            </w:pPr>
            <w:r>
              <w:rPr>
                <w:rFonts w:ascii="Constantia"/>
                <w:w w:val="65"/>
                <w:sz w:val="17"/>
              </w:rPr>
              <w:t>0.85</w:t>
            </w:r>
          </w:p>
        </w:tc>
        <w:tc>
          <w:tcPr>
            <w:tcW w:w="393" w:type="dxa"/>
            <w:tcBorders>
              <w:left w:val="single" w:sz="2" w:space="0" w:color="000000"/>
              <w:bottom w:val="single" w:sz="4" w:space="0" w:color="000000"/>
              <w:right w:val="single" w:sz="2" w:space="0" w:color="000000"/>
            </w:tcBorders>
          </w:tcPr>
          <w:p>
            <w:pPr>
              <w:pStyle w:val="TableParagraph"/>
              <w:spacing w:line="202" w:lineRule="exact"/>
              <w:ind w:left="105" w:right="4"/>
              <w:rPr>
                <w:rFonts w:ascii="Constantia"/>
                <w:sz w:val="17"/>
              </w:rPr>
            </w:pPr>
            <w:r>
              <w:rPr>
                <w:rFonts w:ascii="Constantia"/>
                <w:w w:val="75"/>
                <w:sz w:val="17"/>
              </w:rPr>
              <w:t>n.a.</w:t>
            </w:r>
          </w:p>
        </w:tc>
        <w:tc>
          <w:tcPr>
            <w:tcW w:w="410" w:type="dxa"/>
            <w:tcBorders>
              <w:left w:val="single" w:sz="2" w:space="0" w:color="000000"/>
              <w:bottom w:val="single" w:sz="4" w:space="0" w:color="000000"/>
              <w:right w:val="single" w:sz="2" w:space="0" w:color="000000"/>
            </w:tcBorders>
          </w:tcPr>
          <w:p>
            <w:pPr>
              <w:pStyle w:val="TableParagraph"/>
              <w:spacing w:line="202" w:lineRule="exact"/>
              <w:ind w:left="176"/>
              <w:jc w:val="left"/>
              <w:rPr>
                <w:rFonts w:ascii="Constantia"/>
                <w:sz w:val="17"/>
              </w:rPr>
            </w:pPr>
            <w:r>
              <w:rPr>
                <w:rFonts w:ascii="Constantia"/>
                <w:w w:val="63"/>
                <w:sz w:val="17"/>
              </w:rPr>
              <w:t>0</w:t>
            </w:r>
          </w:p>
        </w:tc>
        <w:tc>
          <w:tcPr>
            <w:tcW w:w="456" w:type="dxa"/>
            <w:tcBorders>
              <w:left w:val="single" w:sz="2" w:space="0" w:color="000000"/>
              <w:bottom w:val="single" w:sz="4" w:space="0" w:color="000000"/>
              <w:right w:val="single" w:sz="2" w:space="0" w:color="000000"/>
            </w:tcBorders>
            <w:shd w:val="clear" w:color="auto" w:fill="D6E3BB"/>
          </w:tcPr>
          <w:p>
            <w:pPr>
              <w:pStyle w:val="TableParagraph"/>
              <w:spacing w:line="202" w:lineRule="exact"/>
              <w:ind w:left="3"/>
              <w:rPr>
                <w:rFonts w:ascii="Constantia"/>
                <w:sz w:val="17"/>
              </w:rPr>
            </w:pPr>
            <w:r>
              <w:rPr>
                <w:rFonts w:ascii="Constantia"/>
                <w:w w:val="75"/>
                <w:sz w:val="17"/>
              </w:rPr>
              <w:t>Si</w:t>
            </w:r>
          </w:p>
        </w:tc>
        <w:tc>
          <w:tcPr>
            <w:tcW w:w="484" w:type="dxa"/>
            <w:tcBorders>
              <w:left w:val="single" w:sz="2" w:space="0" w:color="000000"/>
              <w:bottom w:val="single" w:sz="4" w:space="0" w:color="000000"/>
              <w:right w:val="single" w:sz="2" w:space="0" w:color="000000"/>
            </w:tcBorders>
            <w:shd w:val="clear" w:color="auto" w:fill="D6E3BB"/>
          </w:tcPr>
          <w:p>
            <w:pPr>
              <w:pStyle w:val="TableParagraph"/>
              <w:spacing w:line="202" w:lineRule="exact"/>
              <w:ind w:left="14" w:right="14"/>
              <w:rPr>
                <w:rFonts w:ascii="Constantia"/>
                <w:sz w:val="17"/>
              </w:rPr>
            </w:pPr>
            <w:r>
              <w:rPr>
                <w:rFonts w:ascii="Constantia"/>
                <w:w w:val="75"/>
                <w:sz w:val="17"/>
              </w:rPr>
              <w:t>No</w:t>
            </w:r>
          </w:p>
        </w:tc>
        <w:tc>
          <w:tcPr>
            <w:tcW w:w="626" w:type="dxa"/>
            <w:tcBorders>
              <w:left w:val="single" w:sz="2" w:space="0" w:color="000000"/>
              <w:bottom w:val="single" w:sz="4" w:space="0" w:color="000000"/>
              <w:right w:val="single" w:sz="2" w:space="0" w:color="000000"/>
            </w:tcBorders>
          </w:tcPr>
          <w:p>
            <w:pPr>
              <w:pStyle w:val="TableParagraph"/>
              <w:spacing w:line="202" w:lineRule="exact"/>
              <w:ind w:right="53"/>
              <w:jc w:val="right"/>
              <w:rPr>
                <w:rFonts w:ascii="Constantia"/>
                <w:sz w:val="17"/>
              </w:rPr>
            </w:pPr>
            <w:r>
              <w:rPr>
                <w:rFonts w:ascii="Constantia"/>
                <w:w w:val="60"/>
                <w:sz w:val="17"/>
              </w:rPr>
              <w:t>0.00</w:t>
            </w:r>
          </w:p>
        </w:tc>
        <w:tc>
          <w:tcPr>
            <w:tcW w:w="376" w:type="dxa"/>
            <w:tcBorders>
              <w:left w:val="single" w:sz="2" w:space="0" w:color="000000"/>
              <w:bottom w:val="single" w:sz="4" w:space="0" w:color="000000"/>
              <w:right w:val="single" w:sz="2" w:space="0" w:color="000000"/>
            </w:tcBorders>
          </w:tcPr>
          <w:p>
            <w:pPr>
              <w:pStyle w:val="TableParagraph"/>
              <w:spacing w:line="202" w:lineRule="exact"/>
              <w:ind w:left="114"/>
              <w:jc w:val="left"/>
              <w:rPr>
                <w:rFonts w:ascii="Constantia"/>
                <w:sz w:val="17"/>
              </w:rPr>
            </w:pPr>
            <w:r>
              <w:rPr>
                <w:rFonts w:ascii="Constantia"/>
                <w:w w:val="70"/>
                <w:sz w:val="17"/>
              </w:rPr>
              <w:t>0.00</w:t>
            </w:r>
          </w:p>
        </w:tc>
        <w:tc>
          <w:tcPr>
            <w:tcW w:w="365" w:type="dxa"/>
            <w:tcBorders>
              <w:left w:val="single" w:sz="2" w:space="0" w:color="000000"/>
              <w:bottom w:val="single" w:sz="4" w:space="0" w:color="000000"/>
              <w:right w:val="single" w:sz="2" w:space="0" w:color="000000"/>
            </w:tcBorders>
          </w:tcPr>
          <w:p>
            <w:pPr>
              <w:pStyle w:val="TableParagraph"/>
              <w:spacing w:line="202" w:lineRule="exact"/>
              <w:ind w:left="76" w:right="3"/>
              <w:rPr>
                <w:rFonts w:ascii="Constantia"/>
                <w:sz w:val="17"/>
              </w:rPr>
            </w:pPr>
            <w:r>
              <w:rPr>
                <w:rFonts w:ascii="Constantia"/>
                <w:w w:val="75"/>
                <w:sz w:val="17"/>
              </w:rPr>
              <w:t>n.a.</w:t>
            </w:r>
          </w:p>
        </w:tc>
        <w:tc>
          <w:tcPr>
            <w:tcW w:w="376" w:type="dxa"/>
            <w:tcBorders>
              <w:left w:val="single" w:sz="2" w:space="0" w:color="000000"/>
              <w:bottom w:val="single" w:sz="4" w:space="0" w:color="000000"/>
              <w:right w:val="single" w:sz="2" w:space="0" w:color="000000"/>
            </w:tcBorders>
          </w:tcPr>
          <w:p>
            <w:pPr>
              <w:pStyle w:val="TableParagraph"/>
              <w:spacing w:line="202" w:lineRule="exact"/>
              <w:ind w:left="6"/>
              <w:rPr>
                <w:rFonts w:ascii="Constantia"/>
                <w:sz w:val="17"/>
              </w:rPr>
            </w:pPr>
            <w:r>
              <w:rPr>
                <w:rFonts w:ascii="Constantia"/>
                <w:w w:val="63"/>
                <w:sz w:val="17"/>
              </w:rPr>
              <w:t>0</w:t>
            </w:r>
          </w:p>
        </w:tc>
        <w:tc>
          <w:tcPr>
            <w:tcW w:w="455" w:type="dxa"/>
            <w:tcBorders>
              <w:left w:val="single" w:sz="2" w:space="0" w:color="000000"/>
              <w:bottom w:val="single" w:sz="4" w:space="0" w:color="000000"/>
              <w:right w:val="single" w:sz="2" w:space="0" w:color="000000"/>
            </w:tcBorders>
            <w:shd w:val="clear" w:color="auto" w:fill="D6E3BB"/>
          </w:tcPr>
          <w:p>
            <w:pPr>
              <w:pStyle w:val="TableParagraph"/>
              <w:spacing w:line="202" w:lineRule="exact"/>
              <w:ind w:left="5"/>
              <w:rPr>
                <w:rFonts w:ascii="Constantia"/>
                <w:sz w:val="17"/>
              </w:rPr>
            </w:pPr>
            <w:r>
              <w:rPr>
                <w:rFonts w:ascii="Constantia"/>
                <w:w w:val="75"/>
                <w:sz w:val="17"/>
              </w:rPr>
              <w:t>No</w:t>
            </w:r>
          </w:p>
        </w:tc>
        <w:tc>
          <w:tcPr>
            <w:tcW w:w="456" w:type="dxa"/>
            <w:tcBorders>
              <w:left w:val="single" w:sz="2" w:space="0" w:color="000000"/>
              <w:bottom w:val="single" w:sz="4" w:space="0" w:color="000000"/>
              <w:right w:val="single" w:sz="2" w:space="0" w:color="000000"/>
            </w:tcBorders>
            <w:shd w:val="clear" w:color="auto" w:fill="D6E3BB"/>
          </w:tcPr>
          <w:p>
            <w:pPr>
              <w:pStyle w:val="TableParagraph"/>
              <w:spacing w:line="202" w:lineRule="exact"/>
              <w:ind w:left="8" w:right="3"/>
              <w:rPr>
                <w:rFonts w:ascii="Constantia"/>
                <w:sz w:val="17"/>
              </w:rPr>
            </w:pPr>
            <w:r>
              <w:rPr>
                <w:rFonts w:ascii="Constantia"/>
                <w:w w:val="75"/>
                <w:sz w:val="17"/>
              </w:rPr>
              <w:t>No</w:t>
            </w:r>
          </w:p>
        </w:tc>
        <w:tc>
          <w:tcPr>
            <w:tcW w:w="336" w:type="dxa"/>
            <w:tcBorders>
              <w:left w:val="single" w:sz="2" w:space="0" w:color="000000"/>
              <w:bottom w:val="single" w:sz="4" w:space="0" w:color="000000"/>
              <w:right w:val="single" w:sz="2" w:space="0" w:color="000000"/>
            </w:tcBorders>
          </w:tcPr>
          <w:p>
            <w:pPr>
              <w:pStyle w:val="TableParagraph"/>
              <w:spacing w:line="202" w:lineRule="exact"/>
              <w:ind w:left="85"/>
              <w:jc w:val="left"/>
              <w:rPr>
                <w:rFonts w:ascii="Constantia"/>
                <w:b/>
                <w:sz w:val="17"/>
              </w:rPr>
            </w:pPr>
            <w:r>
              <w:rPr>
                <w:rFonts w:ascii="Constantia"/>
                <w:b/>
                <w:w w:val="75"/>
                <w:sz w:val="17"/>
              </w:rPr>
              <w:t>I(1)</w:t>
            </w:r>
          </w:p>
        </w:tc>
        <w:tc>
          <w:tcPr>
            <w:tcW w:w="342" w:type="dxa"/>
            <w:tcBorders>
              <w:left w:val="single" w:sz="2" w:space="0" w:color="000000"/>
              <w:bottom w:val="single" w:sz="4" w:space="0" w:color="000000"/>
              <w:right w:val="single" w:sz="2" w:space="0" w:color="000000"/>
            </w:tcBorders>
          </w:tcPr>
          <w:p>
            <w:pPr>
              <w:pStyle w:val="TableParagraph"/>
              <w:spacing w:line="202" w:lineRule="exact"/>
              <w:ind w:left="91"/>
              <w:jc w:val="left"/>
              <w:rPr>
                <w:rFonts w:ascii="Constantia"/>
                <w:b/>
                <w:sz w:val="17"/>
              </w:rPr>
            </w:pPr>
            <w:r>
              <w:rPr>
                <w:rFonts w:ascii="Constantia"/>
                <w:b/>
                <w:w w:val="75"/>
                <w:sz w:val="17"/>
              </w:rPr>
              <w:t>I(1)</w:t>
            </w:r>
          </w:p>
        </w:tc>
        <w:tc>
          <w:tcPr>
            <w:tcW w:w="1361" w:type="dxa"/>
            <w:tcBorders>
              <w:left w:val="single" w:sz="2" w:space="0" w:color="000000"/>
              <w:bottom w:val="single" w:sz="4" w:space="0" w:color="000000"/>
              <w:right w:val="single" w:sz="2" w:space="0" w:color="000000"/>
            </w:tcBorders>
          </w:tcPr>
          <w:p>
            <w:pPr>
              <w:pStyle w:val="TableParagraph"/>
              <w:spacing w:before="23"/>
              <w:ind w:left="40" w:right="40"/>
              <w:rPr>
                <w:rFonts w:ascii="Constantia"/>
                <w:b/>
                <w:sz w:val="14"/>
              </w:rPr>
            </w:pPr>
            <w:r>
              <w:rPr>
                <w:rFonts w:ascii="Constantia"/>
                <w:b/>
                <w:w w:val="75"/>
                <w:sz w:val="14"/>
              </w:rPr>
              <w:t>I(1)</w:t>
            </w:r>
          </w:p>
        </w:tc>
      </w:tr>
      <w:tr>
        <w:trPr>
          <w:trHeight w:val="226" w:hRule="exact"/>
        </w:trPr>
        <w:tc>
          <w:tcPr>
            <w:tcW w:w="9628" w:type="dxa"/>
            <w:gridSpan w:val="16"/>
            <w:tcBorders>
              <w:top w:val="single" w:sz="4" w:space="0" w:color="000000"/>
              <w:left w:val="single" w:sz="2" w:space="0" w:color="000000"/>
              <w:bottom w:val="single" w:sz="4" w:space="0" w:color="000000"/>
              <w:right w:val="single" w:sz="2" w:space="0" w:color="000000"/>
            </w:tcBorders>
          </w:tcPr>
          <w:p>
            <w:pPr>
              <w:pStyle w:val="TableParagraph"/>
              <w:spacing w:before="10"/>
              <w:ind w:left="4112" w:right="4112"/>
              <w:rPr>
                <w:rFonts w:ascii="Constantia"/>
                <w:b/>
                <w:sz w:val="17"/>
              </w:rPr>
            </w:pPr>
            <w:r>
              <w:rPr>
                <w:rFonts w:ascii="Constantia"/>
                <w:b/>
                <w:w w:val="65"/>
                <w:sz w:val="17"/>
              </w:rPr>
              <w:t>Otras variables de control</w:t>
            </w:r>
          </w:p>
        </w:tc>
      </w:tr>
      <w:tr>
        <w:trPr>
          <w:trHeight w:val="247" w:hRule="exact"/>
        </w:trPr>
        <w:tc>
          <w:tcPr>
            <w:tcW w:w="2095" w:type="dxa"/>
            <w:tcBorders>
              <w:top w:val="single" w:sz="4" w:space="0" w:color="000000"/>
              <w:left w:val="single" w:sz="2" w:space="0" w:color="000000"/>
              <w:right w:val="single" w:sz="2" w:space="0" w:color="000000"/>
            </w:tcBorders>
          </w:tcPr>
          <w:p>
            <w:pPr>
              <w:pStyle w:val="TableParagraph"/>
              <w:spacing w:before="10"/>
              <w:ind w:left="17" w:right="-15"/>
              <w:jc w:val="left"/>
              <w:rPr>
                <w:rFonts w:ascii="Constantia"/>
                <w:sz w:val="17"/>
              </w:rPr>
            </w:pPr>
            <w:r>
              <w:rPr>
                <w:rFonts w:ascii="Constantia"/>
                <w:w w:val="65"/>
                <w:sz w:val="17"/>
              </w:rPr>
              <w:t>Brecha del producto</w:t>
            </w:r>
          </w:p>
        </w:tc>
        <w:tc>
          <w:tcPr>
            <w:tcW w:w="655" w:type="dxa"/>
            <w:tcBorders>
              <w:top w:val="single" w:sz="4" w:space="0" w:color="000000"/>
              <w:left w:val="single" w:sz="2" w:space="0" w:color="000000"/>
              <w:right w:val="single" w:sz="2" w:space="0" w:color="000000"/>
            </w:tcBorders>
          </w:tcPr>
          <w:p>
            <w:pPr>
              <w:pStyle w:val="TableParagraph"/>
              <w:spacing w:before="39"/>
              <w:ind w:right="49"/>
              <w:jc w:val="right"/>
              <w:rPr>
                <w:rFonts w:ascii="Constantia"/>
                <w:sz w:val="14"/>
              </w:rPr>
            </w:pPr>
            <w:r>
              <w:rPr>
                <w:rFonts w:ascii="Constantia"/>
                <w:w w:val="65"/>
                <w:sz w:val="14"/>
              </w:rPr>
              <w:t>n.a.</w:t>
            </w:r>
          </w:p>
        </w:tc>
        <w:tc>
          <w:tcPr>
            <w:tcW w:w="444" w:type="dxa"/>
            <w:tcBorders>
              <w:top w:val="single" w:sz="4" w:space="0" w:color="000000"/>
              <w:left w:val="single" w:sz="2" w:space="0" w:color="000000"/>
              <w:right w:val="single" w:sz="2" w:space="0" w:color="000000"/>
            </w:tcBorders>
          </w:tcPr>
          <w:p>
            <w:pPr>
              <w:pStyle w:val="TableParagraph"/>
              <w:spacing w:before="39"/>
              <w:ind w:right="51"/>
              <w:jc w:val="right"/>
              <w:rPr>
                <w:rFonts w:ascii="Constantia"/>
                <w:sz w:val="14"/>
              </w:rPr>
            </w:pPr>
            <w:r>
              <w:rPr>
                <w:rFonts w:ascii="Constantia"/>
                <w:w w:val="65"/>
                <w:sz w:val="14"/>
              </w:rPr>
              <w:t>0.05</w:t>
            </w:r>
          </w:p>
        </w:tc>
        <w:tc>
          <w:tcPr>
            <w:tcW w:w="393" w:type="dxa"/>
            <w:tcBorders>
              <w:top w:val="single" w:sz="4" w:space="0" w:color="000000"/>
              <w:left w:val="single" w:sz="2" w:space="0" w:color="000000"/>
              <w:right w:val="single" w:sz="2" w:space="0" w:color="000000"/>
            </w:tcBorders>
          </w:tcPr>
          <w:p>
            <w:pPr>
              <w:pStyle w:val="TableParagraph"/>
              <w:spacing w:before="39"/>
              <w:ind w:left="105"/>
              <w:rPr>
                <w:rFonts w:ascii="Constantia"/>
                <w:sz w:val="14"/>
              </w:rPr>
            </w:pPr>
            <w:r>
              <w:rPr>
                <w:rFonts w:ascii="Constantia"/>
                <w:w w:val="75"/>
                <w:sz w:val="14"/>
              </w:rPr>
              <w:t>0.00</w:t>
            </w:r>
          </w:p>
        </w:tc>
        <w:tc>
          <w:tcPr>
            <w:tcW w:w="410" w:type="dxa"/>
            <w:tcBorders>
              <w:top w:val="single" w:sz="4" w:space="0" w:color="000000"/>
              <w:left w:val="single" w:sz="2" w:space="0" w:color="000000"/>
              <w:right w:val="single" w:sz="2" w:space="0" w:color="000000"/>
            </w:tcBorders>
          </w:tcPr>
          <w:p>
            <w:pPr>
              <w:pStyle w:val="TableParagraph"/>
              <w:spacing w:before="39"/>
              <w:ind w:left="176"/>
              <w:jc w:val="left"/>
              <w:rPr>
                <w:rFonts w:ascii="Constantia"/>
                <w:sz w:val="14"/>
              </w:rPr>
            </w:pPr>
            <w:r>
              <w:rPr>
                <w:rFonts w:ascii="Constantia"/>
                <w:w w:val="65"/>
                <w:sz w:val="14"/>
              </w:rPr>
              <w:t>0</w:t>
            </w:r>
          </w:p>
        </w:tc>
        <w:tc>
          <w:tcPr>
            <w:tcW w:w="456" w:type="dxa"/>
            <w:tcBorders>
              <w:top w:val="single" w:sz="4" w:space="0" w:color="000000"/>
              <w:left w:val="single" w:sz="2" w:space="0" w:color="000000"/>
              <w:right w:val="single" w:sz="2" w:space="0" w:color="000000"/>
            </w:tcBorders>
            <w:shd w:val="clear" w:color="auto" w:fill="D6E3BB"/>
          </w:tcPr>
          <w:p>
            <w:pPr>
              <w:pStyle w:val="TableParagraph"/>
              <w:spacing w:before="39"/>
              <w:rPr>
                <w:rFonts w:ascii="Constantia"/>
                <w:sz w:val="14"/>
              </w:rPr>
            </w:pPr>
            <w:r>
              <w:rPr>
                <w:rFonts w:ascii="Constantia"/>
                <w:w w:val="75"/>
                <w:sz w:val="14"/>
              </w:rPr>
              <w:t>n.a.</w:t>
            </w:r>
          </w:p>
        </w:tc>
        <w:tc>
          <w:tcPr>
            <w:tcW w:w="484" w:type="dxa"/>
            <w:tcBorders>
              <w:top w:val="single" w:sz="4" w:space="0" w:color="000000"/>
              <w:left w:val="single" w:sz="2" w:space="0" w:color="000000"/>
              <w:right w:val="single" w:sz="2" w:space="0" w:color="000000"/>
            </w:tcBorders>
            <w:shd w:val="clear" w:color="auto" w:fill="D6E3BB"/>
          </w:tcPr>
          <w:p>
            <w:pPr>
              <w:pStyle w:val="TableParagraph"/>
              <w:spacing w:before="39"/>
              <w:ind w:left="14" w:right="11"/>
              <w:rPr>
                <w:rFonts w:ascii="Constantia"/>
                <w:sz w:val="14"/>
              </w:rPr>
            </w:pPr>
            <w:r>
              <w:rPr>
                <w:rFonts w:ascii="Constantia"/>
                <w:w w:val="75"/>
                <w:sz w:val="14"/>
              </w:rPr>
              <w:t>No</w:t>
            </w:r>
          </w:p>
        </w:tc>
        <w:tc>
          <w:tcPr>
            <w:tcW w:w="626" w:type="dxa"/>
            <w:tcBorders>
              <w:top w:val="single" w:sz="4" w:space="0" w:color="000000"/>
              <w:left w:val="single" w:sz="2" w:space="0" w:color="000000"/>
              <w:right w:val="single" w:sz="2" w:space="0" w:color="000000"/>
            </w:tcBorders>
          </w:tcPr>
          <w:p>
            <w:pPr>
              <w:pStyle w:val="TableParagraph"/>
              <w:spacing w:before="39"/>
              <w:ind w:right="14"/>
              <w:jc w:val="right"/>
              <w:rPr>
                <w:rFonts w:ascii="Constantia"/>
                <w:sz w:val="14"/>
              </w:rPr>
            </w:pPr>
            <w:r>
              <w:rPr>
                <w:rFonts w:ascii="Constantia"/>
                <w:w w:val="65"/>
                <w:sz w:val="14"/>
              </w:rPr>
              <w:t>n.a.</w:t>
            </w:r>
          </w:p>
        </w:tc>
        <w:tc>
          <w:tcPr>
            <w:tcW w:w="376" w:type="dxa"/>
            <w:tcBorders>
              <w:top w:val="single" w:sz="4" w:space="0" w:color="000000"/>
              <w:left w:val="single" w:sz="2" w:space="0" w:color="000000"/>
              <w:right w:val="single" w:sz="2" w:space="0" w:color="000000"/>
            </w:tcBorders>
          </w:tcPr>
          <w:p>
            <w:pPr>
              <w:pStyle w:val="TableParagraph"/>
              <w:spacing w:before="39"/>
              <w:ind w:left="125"/>
              <w:jc w:val="left"/>
              <w:rPr>
                <w:rFonts w:ascii="Constantia"/>
                <w:sz w:val="14"/>
              </w:rPr>
            </w:pPr>
            <w:r>
              <w:rPr>
                <w:rFonts w:ascii="Constantia"/>
                <w:w w:val="75"/>
                <w:sz w:val="14"/>
              </w:rPr>
              <w:t>n.a</w:t>
            </w:r>
          </w:p>
        </w:tc>
        <w:tc>
          <w:tcPr>
            <w:tcW w:w="365" w:type="dxa"/>
            <w:tcBorders>
              <w:top w:val="single" w:sz="4" w:space="0" w:color="000000"/>
              <w:left w:val="single" w:sz="2" w:space="0" w:color="000000"/>
              <w:right w:val="single" w:sz="2" w:space="0" w:color="000000"/>
            </w:tcBorders>
          </w:tcPr>
          <w:p>
            <w:pPr>
              <w:pStyle w:val="TableParagraph"/>
              <w:spacing w:before="39"/>
              <w:ind w:left="22" w:right="22"/>
              <w:rPr>
                <w:rFonts w:ascii="Constantia"/>
                <w:sz w:val="14"/>
              </w:rPr>
            </w:pPr>
            <w:r>
              <w:rPr>
                <w:rFonts w:ascii="Constantia"/>
                <w:w w:val="75"/>
                <w:sz w:val="14"/>
              </w:rPr>
              <w:t>n.a.</w:t>
            </w:r>
          </w:p>
        </w:tc>
        <w:tc>
          <w:tcPr>
            <w:tcW w:w="376" w:type="dxa"/>
            <w:tcBorders>
              <w:top w:val="single" w:sz="4" w:space="0" w:color="000000"/>
              <w:left w:val="single" w:sz="2" w:space="0" w:color="000000"/>
              <w:right w:val="single" w:sz="2" w:space="0" w:color="000000"/>
            </w:tcBorders>
          </w:tcPr>
          <w:p>
            <w:pPr>
              <w:pStyle w:val="TableParagraph"/>
              <w:spacing w:before="39"/>
              <w:ind w:left="95" w:right="95"/>
              <w:rPr>
                <w:rFonts w:ascii="Constantia"/>
                <w:sz w:val="14"/>
              </w:rPr>
            </w:pPr>
            <w:r>
              <w:rPr>
                <w:rFonts w:ascii="Constantia"/>
                <w:w w:val="75"/>
                <w:sz w:val="14"/>
              </w:rPr>
              <w:t>n.a</w:t>
            </w:r>
          </w:p>
        </w:tc>
        <w:tc>
          <w:tcPr>
            <w:tcW w:w="455" w:type="dxa"/>
            <w:tcBorders>
              <w:top w:val="single" w:sz="4" w:space="0" w:color="000000"/>
              <w:left w:val="single" w:sz="2" w:space="0" w:color="000000"/>
              <w:right w:val="single" w:sz="2" w:space="0" w:color="000000"/>
            </w:tcBorders>
            <w:shd w:val="clear" w:color="auto" w:fill="D6E3BB"/>
          </w:tcPr>
          <w:p>
            <w:pPr>
              <w:pStyle w:val="TableParagraph"/>
              <w:spacing w:before="39"/>
              <w:rPr>
                <w:rFonts w:ascii="Constantia"/>
                <w:sz w:val="14"/>
              </w:rPr>
            </w:pPr>
            <w:r>
              <w:rPr>
                <w:rFonts w:ascii="Constantia"/>
                <w:w w:val="75"/>
                <w:sz w:val="14"/>
              </w:rPr>
              <w:t>n.a.</w:t>
            </w:r>
          </w:p>
        </w:tc>
        <w:tc>
          <w:tcPr>
            <w:tcW w:w="456" w:type="dxa"/>
            <w:tcBorders>
              <w:top w:val="single" w:sz="4" w:space="0" w:color="000000"/>
              <w:left w:val="single" w:sz="2" w:space="0" w:color="000000"/>
              <w:right w:val="single" w:sz="2" w:space="0" w:color="000000"/>
            </w:tcBorders>
            <w:shd w:val="clear" w:color="auto" w:fill="D6E3BB"/>
          </w:tcPr>
          <w:p>
            <w:pPr>
              <w:pStyle w:val="TableParagraph"/>
              <w:spacing w:before="39"/>
              <w:ind w:left="3" w:right="3"/>
              <w:rPr>
                <w:rFonts w:ascii="Constantia"/>
                <w:sz w:val="14"/>
              </w:rPr>
            </w:pPr>
            <w:r>
              <w:rPr>
                <w:rFonts w:ascii="Constantia"/>
                <w:w w:val="75"/>
                <w:sz w:val="14"/>
              </w:rPr>
              <w:t>n.a.</w:t>
            </w:r>
          </w:p>
        </w:tc>
        <w:tc>
          <w:tcPr>
            <w:tcW w:w="336" w:type="dxa"/>
            <w:tcBorders>
              <w:top w:val="single" w:sz="4" w:space="0" w:color="000000"/>
              <w:left w:val="single" w:sz="2" w:space="0" w:color="000000"/>
              <w:right w:val="single" w:sz="2" w:space="0" w:color="000000"/>
            </w:tcBorders>
          </w:tcPr>
          <w:p>
            <w:pPr>
              <w:pStyle w:val="TableParagraph"/>
              <w:spacing w:before="10"/>
              <w:ind w:left="73"/>
              <w:jc w:val="left"/>
              <w:rPr>
                <w:rFonts w:ascii="Constantia"/>
                <w:b/>
                <w:sz w:val="17"/>
              </w:rPr>
            </w:pPr>
            <w:r>
              <w:rPr>
                <w:rFonts w:ascii="Constantia"/>
                <w:b/>
                <w:w w:val="75"/>
                <w:sz w:val="17"/>
              </w:rPr>
              <w:t>I(0)</w:t>
            </w:r>
          </w:p>
        </w:tc>
        <w:tc>
          <w:tcPr>
            <w:tcW w:w="342" w:type="dxa"/>
            <w:tcBorders>
              <w:top w:val="single" w:sz="4" w:space="0" w:color="000000"/>
              <w:left w:val="single" w:sz="2" w:space="0" w:color="000000"/>
              <w:right w:val="single" w:sz="2" w:space="0" w:color="000000"/>
            </w:tcBorders>
          </w:tcPr>
          <w:p>
            <w:pPr>
              <w:pStyle w:val="TableParagraph"/>
              <w:spacing w:before="10"/>
              <w:ind w:left="79"/>
              <w:jc w:val="left"/>
              <w:rPr>
                <w:rFonts w:ascii="Constantia"/>
                <w:b/>
                <w:sz w:val="17"/>
              </w:rPr>
            </w:pPr>
            <w:r>
              <w:rPr>
                <w:rFonts w:ascii="Constantia"/>
                <w:b/>
                <w:w w:val="75"/>
                <w:sz w:val="17"/>
              </w:rPr>
              <w:t>I(0)</w:t>
            </w:r>
          </w:p>
        </w:tc>
        <w:tc>
          <w:tcPr>
            <w:tcW w:w="1361" w:type="dxa"/>
            <w:tcBorders>
              <w:top w:val="single" w:sz="4" w:space="0" w:color="000000"/>
              <w:left w:val="single" w:sz="2" w:space="0" w:color="000000"/>
              <w:right w:val="single" w:sz="2" w:space="0" w:color="000000"/>
            </w:tcBorders>
          </w:tcPr>
          <w:p>
            <w:pPr>
              <w:pStyle w:val="TableParagraph"/>
              <w:spacing w:before="39"/>
              <w:ind w:left="40" w:right="42"/>
              <w:rPr>
                <w:rFonts w:ascii="Constantia"/>
                <w:b/>
                <w:sz w:val="14"/>
              </w:rPr>
            </w:pPr>
            <w:r>
              <w:rPr>
                <w:rFonts w:ascii="Constantia"/>
                <w:b/>
                <w:w w:val="65"/>
                <w:sz w:val="14"/>
              </w:rPr>
              <w:t>I(0) entorno a una constante</w:t>
            </w:r>
          </w:p>
        </w:tc>
      </w:tr>
      <w:tr>
        <w:trPr>
          <w:trHeight w:val="227" w:hRule="exact"/>
        </w:trPr>
        <w:tc>
          <w:tcPr>
            <w:tcW w:w="2095" w:type="dxa"/>
            <w:tcBorders>
              <w:left w:val="single" w:sz="2" w:space="0" w:color="000000"/>
              <w:right w:val="single" w:sz="2" w:space="0" w:color="000000"/>
            </w:tcBorders>
          </w:tcPr>
          <w:p>
            <w:pPr>
              <w:pStyle w:val="TableParagraph"/>
              <w:spacing w:line="202" w:lineRule="exact"/>
              <w:ind w:left="17" w:right="-15"/>
              <w:jc w:val="left"/>
              <w:rPr>
                <w:rFonts w:ascii="Constantia" w:hAnsi="Constantia"/>
                <w:sz w:val="17"/>
              </w:rPr>
            </w:pPr>
            <w:r>
              <w:rPr>
                <w:rFonts w:ascii="Constantia" w:hAnsi="Constantia"/>
                <w:w w:val="65"/>
                <w:sz w:val="17"/>
              </w:rPr>
              <w:t>Costo real de la deuda pública</w:t>
            </w:r>
          </w:p>
        </w:tc>
        <w:tc>
          <w:tcPr>
            <w:tcW w:w="655" w:type="dxa"/>
            <w:tcBorders>
              <w:left w:val="single" w:sz="2" w:space="0" w:color="000000"/>
              <w:right w:val="single" w:sz="2" w:space="0" w:color="000000"/>
            </w:tcBorders>
          </w:tcPr>
          <w:p>
            <w:pPr>
              <w:pStyle w:val="TableParagraph"/>
              <w:spacing w:before="23"/>
              <w:ind w:right="49"/>
              <w:jc w:val="right"/>
              <w:rPr>
                <w:rFonts w:ascii="Constantia"/>
                <w:sz w:val="14"/>
              </w:rPr>
            </w:pPr>
            <w:r>
              <w:rPr>
                <w:rFonts w:ascii="Constantia"/>
                <w:w w:val="65"/>
                <w:sz w:val="14"/>
              </w:rPr>
              <w:t>n.a.</w:t>
            </w:r>
          </w:p>
        </w:tc>
        <w:tc>
          <w:tcPr>
            <w:tcW w:w="444" w:type="dxa"/>
            <w:tcBorders>
              <w:left w:val="single" w:sz="2" w:space="0" w:color="000000"/>
              <w:right w:val="single" w:sz="2" w:space="0" w:color="000000"/>
            </w:tcBorders>
          </w:tcPr>
          <w:p>
            <w:pPr>
              <w:pStyle w:val="TableParagraph"/>
              <w:spacing w:before="23"/>
              <w:ind w:right="48"/>
              <w:jc w:val="right"/>
              <w:rPr>
                <w:rFonts w:ascii="Constantia"/>
                <w:sz w:val="14"/>
              </w:rPr>
            </w:pPr>
            <w:r>
              <w:rPr>
                <w:rFonts w:ascii="Constantia"/>
                <w:w w:val="65"/>
                <w:sz w:val="14"/>
              </w:rPr>
              <w:t>n.a.</w:t>
            </w:r>
          </w:p>
        </w:tc>
        <w:tc>
          <w:tcPr>
            <w:tcW w:w="393" w:type="dxa"/>
            <w:tcBorders>
              <w:left w:val="single" w:sz="2" w:space="0" w:color="000000"/>
              <w:right w:val="single" w:sz="2" w:space="0" w:color="000000"/>
            </w:tcBorders>
          </w:tcPr>
          <w:p>
            <w:pPr>
              <w:pStyle w:val="TableParagraph"/>
              <w:spacing w:before="23"/>
              <w:ind w:left="131" w:right="19"/>
              <w:rPr>
                <w:rFonts w:ascii="Constantia"/>
                <w:sz w:val="14"/>
              </w:rPr>
            </w:pPr>
            <w:r>
              <w:rPr>
                <w:rFonts w:ascii="Constantia"/>
                <w:w w:val="75"/>
                <w:sz w:val="14"/>
              </w:rPr>
              <w:t>0.62</w:t>
            </w:r>
          </w:p>
        </w:tc>
        <w:tc>
          <w:tcPr>
            <w:tcW w:w="410" w:type="dxa"/>
            <w:tcBorders>
              <w:left w:val="single" w:sz="2" w:space="0" w:color="000000"/>
              <w:right w:val="single" w:sz="2" w:space="0" w:color="000000"/>
            </w:tcBorders>
          </w:tcPr>
          <w:p>
            <w:pPr>
              <w:pStyle w:val="TableParagraph"/>
              <w:spacing w:before="23"/>
              <w:ind w:left="176"/>
              <w:jc w:val="left"/>
              <w:rPr>
                <w:rFonts w:ascii="Constantia"/>
                <w:sz w:val="14"/>
              </w:rPr>
            </w:pPr>
            <w:r>
              <w:rPr>
                <w:rFonts w:ascii="Constantia"/>
                <w:w w:val="65"/>
                <w:sz w:val="14"/>
              </w:rPr>
              <w:t>0</w:t>
            </w:r>
          </w:p>
        </w:tc>
        <w:tc>
          <w:tcPr>
            <w:tcW w:w="456" w:type="dxa"/>
            <w:tcBorders>
              <w:left w:val="single" w:sz="2" w:space="0" w:color="000000"/>
              <w:right w:val="single" w:sz="2" w:space="0" w:color="000000"/>
            </w:tcBorders>
            <w:shd w:val="clear" w:color="auto" w:fill="D6E3BB"/>
          </w:tcPr>
          <w:p>
            <w:pPr>
              <w:pStyle w:val="TableParagraph"/>
              <w:spacing w:before="23"/>
              <w:rPr>
                <w:rFonts w:ascii="Constantia"/>
                <w:sz w:val="14"/>
              </w:rPr>
            </w:pPr>
            <w:r>
              <w:rPr>
                <w:rFonts w:ascii="Constantia"/>
                <w:w w:val="75"/>
                <w:sz w:val="14"/>
              </w:rPr>
              <w:t>n.a.</w:t>
            </w:r>
          </w:p>
        </w:tc>
        <w:tc>
          <w:tcPr>
            <w:tcW w:w="484" w:type="dxa"/>
            <w:tcBorders>
              <w:left w:val="single" w:sz="2" w:space="0" w:color="000000"/>
              <w:right w:val="single" w:sz="2" w:space="0" w:color="000000"/>
            </w:tcBorders>
            <w:shd w:val="clear" w:color="auto" w:fill="D6E3BB"/>
          </w:tcPr>
          <w:p>
            <w:pPr>
              <w:pStyle w:val="TableParagraph"/>
              <w:spacing w:before="23"/>
              <w:ind w:left="14" w:right="9"/>
              <w:rPr>
                <w:rFonts w:ascii="Constantia"/>
                <w:sz w:val="14"/>
              </w:rPr>
            </w:pPr>
            <w:r>
              <w:rPr>
                <w:rFonts w:ascii="Constantia"/>
                <w:w w:val="75"/>
                <w:sz w:val="14"/>
              </w:rPr>
              <w:t>n.a.</w:t>
            </w:r>
          </w:p>
        </w:tc>
        <w:tc>
          <w:tcPr>
            <w:tcW w:w="626" w:type="dxa"/>
            <w:tcBorders>
              <w:left w:val="single" w:sz="2" w:space="0" w:color="000000"/>
              <w:right w:val="single" w:sz="2" w:space="0" w:color="000000"/>
            </w:tcBorders>
          </w:tcPr>
          <w:p>
            <w:pPr>
              <w:pStyle w:val="TableParagraph"/>
              <w:spacing w:before="23"/>
              <w:ind w:right="14"/>
              <w:jc w:val="right"/>
              <w:rPr>
                <w:rFonts w:ascii="Constantia"/>
                <w:sz w:val="14"/>
              </w:rPr>
            </w:pPr>
            <w:r>
              <w:rPr>
                <w:rFonts w:ascii="Constantia"/>
                <w:w w:val="65"/>
                <w:sz w:val="14"/>
              </w:rPr>
              <w:t>n.a.</w:t>
            </w:r>
          </w:p>
        </w:tc>
        <w:tc>
          <w:tcPr>
            <w:tcW w:w="376" w:type="dxa"/>
            <w:tcBorders>
              <w:left w:val="single" w:sz="2" w:space="0" w:color="000000"/>
              <w:right w:val="single" w:sz="2" w:space="0" w:color="000000"/>
            </w:tcBorders>
          </w:tcPr>
          <w:p>
            <w:pPr>
              <w:pStyle w:val="TableParagraph"/>
              <w:spacing w:before="23"/>
              <w:ind w:left="114"/>
              <w:jc w:val="left"/>
              <w:rPr>
                <w:rFonts w:ascii="Constantia"/>
                <w:sz w:val="14"/>
              </w:rPr>
            </w:pPr>
            <w:r>
              <w:rPr>
                <w:rFonts w:ascii="Constantia"/>
                <w:w w:val="75"/>
                <w:sz w:val="14"/>
              </w:rPr>
              <w:t>n.a.</w:t>
            </w:r>
          </w:p>
        </w:tc>
        <w:tc>
          <w:tcPr>
            <w:tcW w:w="365" w:type="dxa"/>
            <w:tcBorders>
              <w:left w:val="single" w:sz="2" w:space="0" w:color="000000"/>
              <w:right w:val="single" w:sz="2" w:space="0" w:color="000000"/>
            </w:tcBorders>
          </w:tcPr>
          <w:p>
            <w:pPr>
              <w:pStyle w:val="TableParagraph"/>
              <w:spacing w:before="23"/>
              <w:ind w:left="99" w:right="22"/>
              <w:rPr>
                <w:rFonts w:ascii="Constantia"/>
                <w:sz w:val="14"/>
              </w:rPr>
            </w:pPr>
            <w:r>
              <w:rPr>
                <w:rFonts w:ascii="Constantia"/>
                <w:w w:val="75"/>
                <w:sz w:val="14"/>
              </w:rPr>
              <w:t>0.00</w:t>
            </w:r>
          </w:p>
        </w:tc>
        <w:tc>
          <w:tcPr>
            <w:tcW w:w="376" w:type="dxa"/>
            <w:tcBorders>
              <w:left w:val="single" w:sz="2" w:space="0" w:color="000000"/>
              <w:right w:val="single" w:sz="2" w:space="0" w:color="000000"/>
            </w:tcBorders>
          </w:tcPr>
          <w:p>
            <w:pPr>
              <w:pStyle w:val="TableParagraph"/>
              <w:spacing w:before="23"/>
              <w:rPr>
                <w:rFonts w:ascii="Constantia"/>
                <w:sz w:val="14"/>
              </w:rPr>
            </w:pPr>
            <w:r>
              <w:rPr>
                <w:rFonts w:ascii="Constantia"/>
                <w:w w:val="65"/>
                <w:sz w:val="14"/>
              </w:rPr>
              <w:t>0</w:t>
            </w:r>
          </w:p>
        </w:tc>
        <w:tc>
          <w:tcPr>
            <w:tcW w:w="455" w:type="dxa"/>
            <w:tcBorders>
              <w:left w:val="single" w:sz="2" w:space="0" w:color="000000"/>
              <w:right w:val="single" w:sz="2" w:space="0" w:color="000000"/>
            </w:tcBorders>
            <w:shd w:val="clear" w:color="auto" w:fill="D6E3BB"/>
          </w:tcPr>
          <w:p>
            <w:pPr>
              <w:pStyle w:val="TableParagraph"/>
              <w:spacing w:before="23"/>
              <w:rPr>
                <w:rFonts w:ascii="Constantia"/>
                <w:sz w:val="14"/>
              </w:rPr>
            </w:pPr>
            <w:r>
              <w:rPr>
                <w:rFonts w:ascii="Constantia"/>
                <w:w w:val="75"/>
                <w:sz w:val="14"/>
              </w:rPr>
              <w:t>n.a.</w:t>
            </w:r>
          </w:p>
        </w:tc>
        <w:tc>
          <w:tcPr>
            <w:tcW w:w="456" w:type="dxa"/>
            <w:tcBorders>
              <w:left w:val="single" w:sz="2" w:space="0" w:color="000000"/>
              <w:right w:val="single" w:sz="2" w:space="0" w:color="000000"/>
            </w:tcBorders>
            <w:shd w:val="clear" w:color="auto" w:fill="D6E3BB"/>
          </w:tcPr>
          <w:p>
            <w:pPr>
              <w:pStyle w:val="TableParagraph"/>
              <w:spacing w:before="23"/>
              <w:ind w:left="3" w:right="3"/>
              <w:rPr>
                <w:rFonts w:ascii="Constantia"/>
                <w:sz w:val="14"/>
              </w:rPr>
            </w:pPr>
            <w:r>
              <w:rPr>
                <w:rFonts w:ascii="Constantia"/>
                <w:w w:val="75"/>
                <w:sz w:val="14"/>
              </w:rPr>
              <w:t>n.a.</w:t>
            </w:r>
          </w:p>
        </w:tc>
        <w:tc>
          <w:tcPr>
            <w:tcW w:w="336" w:type="dxa"/>
            <w:tcBorders>
              <w:left w:val="single" w:sz="2" w:space="0" w:color="000000"/>
              <w:right w:val="single" w:sz="2" w:space="0" w:color="000000"/>
            </w:tcBorders>
          </w:tcPr>
          <w:p>
            <w:pPr>
              <w:pStyle w:val="TableParagraph"/>
              <w:spacing w:line="202" w:lineRule="exact"/>
              <w:ind w:left="85"/>
              <w:jc w:val="left"/>
              <w:rPr>
                <w:rFonts w:ascii="Constantia"/>
                <w:b/>
                <w:sz w:val="17"/>
              </w:rPr>
            </w:pPr>
            <w:r>
              <w:rPr>
                <w:rFonts w:ascii="Constantia"/>
                <w:b/>
                <w:w w:val="75"/>
                <w:sz w:val="17"/>
              </w:rPr>
              <w:t>I(1)</w:t>
            </w:r>
          </w:p>
        </w:tc>
        <w:tc>
          <w:tcPr>
            <w:tcW w:w="342" w:type="dxa"/>
            <w:tcBorders>
              <w:left w:val="single" w:sz="2" w:space="0" w:color="000000"/>
              <w:right w:val="single" w:sz="2" w:space="0" w:color="000000"/>
            </w:tcBorders>
          </w:tcPr>
          <w:p>
            <w:pPr>
              <w:pStyle w:val="TableParagraph"/>
              <w:spacing w:line="202" w:lineRule="exact"/>
              <w:ind w:left="91"/>
              <w:jc w:val="left"/>
              <w:rPr>
                <w:rFonts w:ascii="Constantia"/>
                <w:b/>
                <w:sz w:val="17"/>
              </w:rPr>
            </w:pPr>
            <w:r>
              <w:rPr>
                <w:rFonts w:ascii="Constantia"/>
                <w:b/>
                <w:w w:val="75"/>
                <w:sz w:val="17"/>
              </w:rPr>
              <w:t>I(1)</w:t>
            </w:r>
          </w:p>
        </w:tc>
        <w:tc>
          <w:tcPr>
            <w:tcW w:w="1361" w:type="dxa"/>
            <w:tcBorders>
              <w:left w:val="single" w:sz="2" w:space="0" w:color="000000"/>
              <w:right w:val="single" w:sz="2" w:space="0" w:color="000000"/>
            </w:tcBorders>
          </w:tcPr>
          <w:p>
            <w:pPr>
              <w:pStyle w:val="TableParagraph"/>
              <w:spacing w:before="23"/>
              <w:ind w:left="40" w:right="42"/>
              <w:rPr>
                <w:rFonts w:ascii="Constantia"/>
                <w:b/>
                <w:sz w:val="14"/>
              </w:rPr>
            </w:pPr>
            <w:r>
              <w:rPr>
                <w:rFonts w:ascii="Constantia"/>
                <w:b/>
                <w:w w:val="65"/>
                <w:sz w:val="14"/>
              </w:rPr>
              <w:t>I(0) entorno a una constante</w:t>
            </w:r>
          </w:p>
        </w:tc>
      </w:tr>
      <w:tr>
        <w:trPr>
          <w:trHeight w:val="206" w:hRule="exact"/>
        </w:trPr>
        <w:tc>
          <w:tcPr>
            <w:tcW w:w="2095" w:type="dxa"/>
            <w:tcBorders>
              <w:left w:val="single" w:sz="2" w:space="0" w:color="000000"/>
              <w:bottom w:val="single" w:sz="4" w:space="0" w:color="000000"/>
              <w:right w:val="single" w:sz="2" w:space="0" w:color="000000"/>
            </w:tcBorders>
          </w:tcPr>
          <w:p>
            <w:pPr>
              <w:pStyle w:val="TableParagraph"/>
              <w:spacing w:line="202" w:lineRule="exact"/>
              <w:ind w:left="17" w:right="-15"/>
              <w:jc w:val="left"/>
              <w:rPr>
                <w:rFonts w:ascii="Constantia" w:hAnsi="Constantia"/>
                <w:sz w:val="17"/>
              </w:rPr>
            </w:pPr>
            <w:r>
              <w:rPr>
                <w:rFonts w:ascii="Constantia" w:hAnsi="Constantia"/>
                <w:w w:val="65"/>
                <w:sz w:val="17"/>
              </w:rPr>
              <w:t>Ln (Producción de gas natural)</w:t>
            </w:r>
          </w:p>
        </w:tc>
        <w:tc>
          <w:tcPr>
            <w:tcW w:w="655" w:type="dxa"/>
            <w:tcBorders>
              <w:left w:val="single" w:sz="2" w:space="0" w:color="000000"/>
              <w:bottom w:val="single" w:sz="4" w:space="0" w:color="000000"/>
              <w:right w:val="single" w:sz="2" w:space="0" w:color="000000"/>
            </w:tcBorders>
          </w:tcPr>
          <w:p>
            <w:pPr>
              <w:pStyle w:val="TableParagraph"/>
              <w:spacing w:before="23"/>
              <w:ind w:right="51"/>
              <w:jc w:val="right"/>
              <w:rPr>
                <w:rFonts w:ascii="Constantia"/>
                <w:sz w:val="14"/>
              </w:rPr>
            </w:pPr>
            <w:r>
              <w:rPr>
                <w:rFonts w:ascii="Constantia"/>
                <w:w w:val="65"/>
                <w:sz w:val="14"/>
              </w:rPr>
              <w:t>0.50</w:t>
            </w:r>
          </w:p>
        </w:tc>
        <w:tc>
          <w:tcPr>
            <w:tcW w:w="444" w:type="dxa"/>
            <w:tcBorders>
              <w:left w:val="single" w:sz="2" w:space="0" w:color="000000"/>
              <w:bottom w:val="single" w:sz="4" w:space="0" w:color="000000"/>
              <w:right w:val="single" w:sz="2" w:space="0" w:color="000000"/>
            </w:tcBorders>
          </w:tcPr>
          <w:p>
            <w:pPr>
              <w:pStyle w:val="TableParagraph"/>
              <w:spacing w:before="23"/>
              <w:ind w:right="51"/>
              <w:jc w:val="right"/>
              <w:rPr>
                <w:rFonts w:ascii="Constantia"/>
                <w:sz w:val="14"/>
              </w:rPr>
            </w:pPr>
            <w:r>
              <w:rPr>
                <w:rFonts w:ascii="Constantia"/>
                <w:w w:val="65"/>
                <w:sz w:val="14"/>
              </w:rPr>
              <w:t>0.46</w:t>
            </w:r>
          </w:p>
        </w:tc>
        <w:tc>
          <w:tcPr>
            <w:tcW w:w="393" w:type="dxa"/>
            <w:tcBorders>
              <w:left w:val="single" w:sz="2" w:space="0" w:color="000000"/>
              <w:bottom w:val="single" w:sz="4" w:space="0" w:color="000000"/>
              <w:right w:val="single" w:sz="2" w:space="0" w:color="000000"/>
            </w:tcBorders>
          </w:tcPr>
          <w:p>
            <w:pPr>
              <w:pStyle w:val="TableParagraph"/>
              <w:spacing w:before="23"/>
              <w:ind w:left="24" w:right="19"/>
              <w:rPr>
                <w:rFonts w:ascii="Constantia"/>
                <w:sz w:val="14"/>
              </w:rPr>
            </w:pPr>
            <w:r>
              <w:rPr>
                <w:rFonts w:ascii="Constantia"/>
                <w:w w:val="75"/>
                <w:sz w:val="14"/>
              </w:rPr>
              <w:t>n.a.</w:t>
            </w:r>
          </w:p>
        </w:tc>
        <w:tc>
          <w:tcPr>
            <w:tcW w:w="410" w:type="dxa"/>
            <w:tcBorders>
              <w:left w:val="single" w:sz="2" w:space="0" w:color="000000"/>
              <w:bottom w:val="single" w:sz="4" w:space="0" w:color="000000"/>
              <w:right w:val="single" w:sz="2" w:space="0" w:color="000000"/>
            </w:tcBorders>
          </w:tcPr>
          <w:p>
            <w:pPr>
              <w:pStyle w:val="TableParagraph"/>
              <w:spacing w:before="23"/>
              <w:ind w:left="176"/>
              <w:jc w:val="left"/>
              <w:rPr>
                <w:rFonts w:ascii="Constantia"/>
                <w:sz w:val="14"/>
              </w:rPr>
            </w:pPr>
            <w:r>
              <w:rPr>
                <w:rFonts w:ascii="Constantia"/>
                <w:w w:val="65"/>
                <w:sz w:val="14"/>
              </w:rPr>
              <w:t>0</w:t>
            </w:r>
          </w:p>
        </w:tc>
        <w:tc>
          <w:tcPr>
            <w:tcW w:w="456" w:type="dxa"/>
            <w:tcBorders>
              <w:left w:val="single" w:sz="2" w:space="0" w:color="000000"/>
              <w:bottom w:val="single" w:sz="4" w:space="0" w:color="000000"/>
              <w:right w:val="single" w:sz="2" w:space="0" w:color="000000"/>
            </w:tcBorders>
            <w:shd w:val="clear" w:color="auto" w:fill="D6E3BB"/>
          </w:tcPr>
          <w:p>
            <w:pPr>
              <w:pStyle w:val="TableParagraph"/>
              <w:spacing w:before="23"/>
              <w:ind w:right="1"/>
              <w:rPr>
                <w:rFonts w:ascii="Constantia"/>
                <w:sz w:val="14"/>
              </w:rPr>
            </w:pPr>
            <w:r>
              <w:rPr>
                <w:rFonts w:ascii="Constantia"/>
                <w:w w:val="75"/>
                <w:sz w:val="14"/>
              </w:rPr>
              <w:t>No</w:t>
            </w:r>
          </w:p>
        </w:tc>
        <w:tc>
          <w:tcPr>
            <w:tcW w:w="484" w:type="dxa"/>
            <w:tcBorders>
              <w:left w:val="single" w:sz="2" w:space="0" w:color="000000"/>
              <w:bottom w:val="single" w:sz="4" w:space="0" w:color="000000"/>
              <w:right w:val="single" w:sz="2" w:space="0" w:color="000000"/>
            </w:tcBorders>
            <w:shd w:val="clear" w:color="auto" w:fill="D6E3BB"/>
          </w:tcPr>
          <w:p>
            <w:pPr>
              <w:pStyle w:val="TableParagraph"/>
              <w:spacing w:before="23"/>
              <w:ind w:left="14" w:right="13"/>
              <w:rPr>
                <w:rFonts w:ascii="Constantia"/>
                <w:sz w:val="14"/>
              </w:rPr>
            </w:pPr>
            <w:r>
              <w:rPr>
                <w:rFonts w:ascii="Constantia"/>
                <w:w w:val="75"/>
                <w:sz w:val="14"/>
              </w:rPr>
              <w:t>Si</w:t>
            </w:r>
          </w:p>
        </w:tc>
        <w:tc>
          <w:tcPr>
            <w:tcW w:w="626" w:type="dxa"/>
            <w:tcBorders>
              <w:left w:val="single" w:sz="2" w:space="0" w:color="000000"/>
              <w:bottom w:val="single" w:sz="4" w:space="0" w:color="000000"/>
              <w:right w:val="single" w:sz="2" w:space="0" w:color="000000"/>
            </w:tcBorders>
          </w:tcPr>
          <w:p>
            <w:pPr>
              <w:pStyle w:val="TableParagraph"/>
              <w:spacing w:before="23"/>
              <w:ind w:right="51"/>
              <w:jc w:val="right"/>
              <w:rPr>
                <w:rFonts w:ascii="Constantia"/>
                <w:sz w:val="14"/>
              </w:rPr>
            </w:pPr>
            <w:r>
              <w:rPr>
                <w:rFonts w:ascii="Constantia"/>
                <w:w w:val="65"/>
                <w:sz w:val="14"/>
              </w:rPr>
              <w:t>0.00</w:t>
            </w:r>
          </w:p>
        </w:tc>
        <w:tc>
          <w:tcPr>
            <w:tcW w:w="376" w:type="dxa"/>
            <w:tcBorders>
              <w:left w:val="single" w:sz="2" w:space="0" w:color="000000"/>
              <w:bottom w:val="single" w:sz="4" w:space="0" w:color="000000"/>
              <w:right w:val="single" w:sz="2" w:space="0" w:color="000000"/>
            </w:tcBorders>
          </w:tcPr>
          <w:p>
            <w:pPr>
              <w:pStyle w:val="TableParagraph"/>
              <w:spacing w:before="23"/>
              <w:ind w:left="142"/>
              <w:jc w:val="left"/>
              <w:rPr>
                <w:rFonts w:ascii="Constantia"/>
                <w:sz w:val="14"/>
              </w:rPr>
            </w:pPr>
            <w:r>
              <w:rPr>
                <w:rFonts w:ascii="Constantia"/>
                <w:w w:val="75"/>
                <w:sz w:val="14"/>
              </w:rPr>
              <w:t>0.00</w:t>
            </w:r>
          </w:p>
        </w:tc>
        <w:tc>
          <w:tcPr>
            <w:tcW w:w="365" w:type="dxa"/>
            <w:tcBorders>
              <w:left w:val="single" w:sz="2" w:space="0" w:color="000000"/>
              <w:bottom w:val="single" w:sz="4" w:space="0" w:color="000000"/>
              <w:right w:val="single" w:sz="2" w:space="0" w:color="000000"/>
            </w:tcBorders>
          </w:tcPr>
          <w:p>
            <w:pPr>
              <w:pStyle w:val="TableParagraph"/>
              <w:spacing w:before="23"/>
              <w:ind w:left="22" w:right="22"/>
              <w:rPr>
                <w:rFonts w:ascii="Constantia"/>
                <w:sz w:val="14"/>
              </w:rPr>
            </w:pPr>
            <w:r>
              <w:rPr>
                <w:rFonts w:ascii="Constantia"/>
                <w:w w:val="75"/>
                <w:sz w:val="14"/>
              </w:rPr>
              <w:t>n.a.</w:t>
            </w:r>
          </w:p>
        </w:tc>
        <w:tc>
          <w:tcPr>
            <w:tcW w:w="376" w:type="dxa"/>
            <w:tcBorders>
              <w:left w:val="single" w:sz="2" w:space="0" w:color="000000"/>
              <w:bottom w:val="single" w:sz="4" w:space="0" w:color="000000"/>
              <w:right w:val="single" w:sz="2" w:space="0" w:color="000000"/>
            </w:tcBorders>
          </w:tcPr>
          <w:p>
            <w:pPr>
              <w:pStyle w:val="TableParagraph"/>
              <w:spacing w:before="23"/>
              <w:rPr>
                <w:rFonts w:ascii="Constantia"/>
                <w:sz w:val="14"/>
              </w:rPr>
            </w:pPr>
            <w:r>
              <w:rPr>
                <w:rFonts w:ascii="Constantia"/>
                <w:w w:val="65"/>
                <w:sz w:val="14"/>
              </w:rPr>
              <w:t>0</w:t>
            </w:r>
          </w:p>
        </w:tc>
        <w:tc>
          <w:tcPr>
            <w:tcW w:w="455" w:type="dxa"/>
            <w:tcBorders>
              <w:left w:val="single" w:sz="2" w:space="0" w:color="000000"/>
              <w:bottom w:val="single" w:sz="4" w:space="0" w:color="000000"/>
              <w:right w:val="single" w:sz="2" w:space="0" w:color="000000"/>
            </w:tcBorders>
            <w:shd w:val="clear" w:color="auto" w:fill="D6E3BB"/>
          </w:tcPr>
          <w:p>
            <w:pPr>
              <w:pStyle w:val="TableParagraph"/>
              <w:spacing w:before="23"/>
              <w:rPr>
                <w:rFonts w:ascii="Constantia"/>
                <w:sz w:val="14"/>
              </w:rPr>
            </w:pPr>
            <w:r>
              <w:rPr>
                <w:rFonts w:ascii="Constantia"/>
                <w:w w:val="75"/>
                <w:sz w:val="14"/>
              </w:rPr>
              <w:t>No</w:t>
            </w:r>
          </w:p>
        </w:tc>
        <w:tc>
          <w:tcPr>
            <w:tcW w:w="456" w:type="dxa"/>
            <w:tcBorders>
              <w:left w:val="single" w:sz="2" w:space="0" w:color="000000"/>
              <w:bottom w:val="single" w:sz="4" w:space="0" w:color="000000"/>
              <w:right w:val="single" w:sz="2" w:space="0" w:color="000000"/>
            </w:tcBorders>
            <w:shd w:val="clear" w:color="auto" w:fill="D6E3BB"/>
          </w:tcPr>
          <w:p>
            <w:pPr>
              <w:pStyle w:val="TableParagraph"/>
              <w:spacing w:before="23"/>
              <w:ind w:left="2" w:right="3"/>
              <w:rPr>
                <w:rFonts w:ascii="Constantia"/>
                <w:sz w:val="14"/>
              </w:rPr>
            </w:pPr>
            <w:r>
              <w:rPr>
                <w:rFonts w:ascii="Constantia"/>
                <w:w w:val="75"/>
                <w:sz w:val="14"/>
              </w:rPr>
              <w:t>Si</w:t>
            </w:r>
          </w:p>
        </w:tc>
        <w:tc>
          <w:tcPr>
            <w:tcW w:w="336" w:type="dxa"/>
            <w:tcBorders>
              <w:left w:val="single" w:sz="2" w:space="0" w:color="000000"/>
              <w:bottom w:val="single" w:sz="4" w:space="0" w:color="000000"/>
              <w:right w:val="single" w:sz="2" w:space="0" w:color="000000"/>
            </w:tcBorders>
          </w:tcPr>
          <w:p>
            <w:pPr>
              <w:pStyle w:val="TableParagraph"/>
              <w:spacing w:line="202" w:lineRule="exact"/>
              <w:ind w:left="85"/>
              <w:jc w:val="left"/>
              <w:rPr>
                <w:rFonts w:ascii="Constantia"/>
                <w:b/>
                <w:sz w:val="17"/>
              </w:rPr>
            </w:pPr>
            <w:r>
              <w:rPr>
                <w:rFonts w:ascii="Constantia"/>
                <w:b/>
                <w:w w:val="75"/>
                <w:sz w:val="17"/>
              </w:rPr>
              <w:t>I(1)</w:t>
            </w:r>
          </w:p>
        </w:tc>
        <w:tc>
          <w:tcPr>
            <w:tcW w:w="342" w:type="dxa"/>
            <w:tcBorders>
              <w:left w:val="single" w:sz="2" w:space="0" w:color="000000"/>
              <w:bottom w:val="single" w:sz="4" w:space="0" w:color="000000"/>
              <w:right w:val="single" w:sz="2" w:space="0" w:color="000000"/>
            </w:tcBorders>
          </w:tcPr>
          <w:p>
            <w:pPr>
              <w:pStyle w:val="TableParagraph"/>
              <w:spacing w:line="202" w:lineRule="exact"/>
              <w:ind w:left="91"/>
              <w:jc w:val="left"/>
              <w:rPr>
                <w:rFonts w:ascii="Constantia"/>
                <w:b/>
                <w:sz w:val="17"/>
              </w:rPr>
            </w:pPr>
            <w:r>
              <w:rPr>
                <w:rFonts w:ascii="Constantia"/>
                <w:b/>
                <w:w w:val="75"/>
                <w:sz w:val="17"/>
              </w:rPr>
              <w:t>I(1)</w:t>
            </w:r>
          </w:p>
        </w:tc>
        <w:tc>
          <w:tcPr>
            <w:tcW w:w="1361" w:type="dxa"/>
            <w:tcBorders>
              <w:left w:val="single" w:sz="2" w:space="0" w:color="000000"/>
              <w:bottom w:val="single" w:sz="4" w:space="0" w:color="000000"/>
              <w:right w:val="single" w:sz="2" w:space="0" w:color="000000"/>
            </w:tcBorders>
          </w:tcPr>
          <w:p>
            <w:pPr>
              <w:pStyle w:val="TableParagraph"/>
              <w:spacing w:line="202" w:lineRule="exact"/>
              <w:ind w:left="40" w:right="39"/>
              <w:rPr>
                <w:rFonts w:ascii="Constantia"/>
                <w:b/>
                <w:sz w:val="17"/>
              </w:rPr>
            </w:pPr>
            <w:r>
              <w:rPr>
                <w:rFonts w:ascii="Constantia"/>
                <w:b/>
                <w:w w:val="75"/>
                <w:sz w:val="17"/>
              </w:rPr>
              <w:t>I(1)</w:t>
            </w:r>
          </w:p>
        </w:tc>
      </w:tr>
    </w:tbl>
    <w:p>
      <w:pPr>
        <w:pStyle w:val="BodyText"/>
        <w:spacing w:line="20" w:lineRule="exact"/>
        <w:ind w:left="9865"/>
        <w:rPr>
          <w:sz w:val="2"/>
        </w:rPr>
      </w:pPr>
      <w:r>
        <w:rPr>
          <w:sz w:val="2"/>
        </w:rPr>
        <w:pict>
          <v:group style="width:.5pt;height:.5pt;mso-position-horizontal-relative:char;mso-position-vertical-relative:line" coordorigin="0,0" coordsize="10,10">
            <v:line style="position:absolute" from="5,5" to="5,5" stroked="true" strokeweight=".452354pt" strokecolor="#d0d6e4"/>
          </v:group>
        </w:pict>
      </w:r>
      <w:r>
        <w:rPr>
          <w:sz w:val="2"/>
        </w:rPr>
      </w:r>
    </w:p>
    <w:p>
      <w:pPr>
        <w:spacing w:before="0" w:after="18"/>
        <w:ind w:left="153" w:right="1186" w:firstLine="0"/>
        <w:jc w:val="left"/>
        <w:rPr>
          <w:sz w:val="17"/>
        </w:rPr>
      </w:pPr>
      <w:r>
        <w:rPr/>
        <w:pict>
          <v:line style="position:absolute;mso-position-horizontal-relative:page;mso-position-vertical-relative:paragraph;z-index:18256" from="573.511780pt,-23.56333pt" to="573.511780pt,-23.56333pt" stroked="true" strokeweight=".452354pt" strokecolor="#d0d6e4">
            <w10:wrap type="none"/>
          </v:line>
        </w:pict>
      </w:r>
      <w:r>
        <w:rPr/>
        <w:pict>
          <v:line style="position:absolute;mso-position-horizontal-relative:page;mso-position-vertical-relative:paragraph;z-index:18280" from="573.511780pt,-12.224332pt" to="573.511780pt,-12.224332pt" stroked="true" strokeweight=".452354pt" strokecolor="#d0d6e4">
            <w10:wrap type="none"/>
          </v:line>
        </w:pict>
      </w:r>
      <w:r>
        <w:rPr>
          <w:w w:val="65"/>
          <w:sz w:val="17"/>
        </w:rPr>
        <w:t>Se emplearon un número máximo de nueve rezagos con el criterio de minización de Schwarz para DFA. Se utilizó el criterio de Newey-West para Ph-P y KPSS.</w:t>
      </w:r>
    </w:p>
    <w:tbl>
      <w:tblPr>
        <w:tblW w:w="0" w:type="auto"/>
        <w:jc w:val="left"/>
        <w:tblInd w:w="131" w:type="dxa"/>
        <w:tblBorders>
          <w:top w:val="single" w:sz="2" w:space="0" w:color="D0D6E4"/>
          <w:left w:val="single" w:sz="2" w:space="0" w:color="D0D6E4"/>
          <w:bottom w:val="single" w:sz="2" w:space="0" w:color="D0D6E4"/>
          <w:right w:val="single" w:sz="2" w:space="0" w:color="D0D6E4"/>
          <w:insideH w:val="single" w:sz="2" w:space="0" w:color="D0D6E4"/>
          <w:insideV w:val="single" w:sz="2" w:space="0" w:color="D0D6E4"/>
        </w:tblBorders>
        <w:tblLayout w:type="fixed"/>
        <w:tblCellMar>
          <w:top w:w="0" w:type="dxa"/>
          <w:left w:w="0" w:type="dxa"/>
          <w:bottom w:w="0" w:type="dxa"/>
          <w:right w:w="0" w:type="dxa"/>
        </w:tblCellMar>
        <w:tblLook w:val="01E0"/>
      </w:tblPr>
      <w:tblGrid>
        <w:gridCol w:w="5939"/>
        <w:gridCol w:w="365"/>
        <w:gridCol w:w="376"/>
        <w:gridCol w:w="455"/>
        <w:gridCol w:w="456"/>
        <w:gridCol w:w="336"/>
        <w:gridCol w:w="342"/>
        <w:gridCol w:w="1361"/>
        <w:gridCol w:w="102"/>
      </w:tblGrid>
      <w:tr>
        <w:trPr>
          <w:trHeight w:val="222" w:hRule="exact"/>
        </w:trPr>
        <w:tc>
          <w:tcPr>
            <w:tcW w:w="9731" w:type="dxa"/>
            <w:gridSpan w:val="9"/>
            <w:tcBorders>
              <w:top w:val="nil"/>
              <w:left w:val="nil"/>
              <w:bottom w:val="nil"/>
            </w:tcBorders>
          </w:tcPr>
          <w:p>
            <w:pPr>
              <w:pStyle w:val="TableParagraph"/>
              <w:spacing w:before="13"/>
              <w:ind w:left="19"/>
              <w:jc w:val="left"/>
              <w:rPr>
                <w:sz w:val="17"/>
              </w:rPr>
            </w:pPr>
            <w:r>
              <w:rPr>
                <w:w w:val="65"/>
                <w:sz w:val="17"/>
              </w:rPr>
              <w:t>n.a.: no aplica.</w:t>
            </w:r>
          </w:p>
        </w:tc>
      </w:tr>
      <w:tr>
        <w:trPr>
          <w:trHeight w:val="190" w:hRule="exact"/>
        </w:trPr>
        <w:tc>
          <w:tcPr>
            <w:tcW w:w="5939" w:type="dxa"/>
            <w:tcBorders>
              <w:top w:val="nil"/>
              <w:bottom w:val="single" w:sz="4" w:space="0" w:color="D0D6E4"/>
            </w:tcBorders>
          </w:tcPr>
          <w:p>
            <w:pPr>
              <w:pStyle w:val="TableParagraph"/>
              <w:spacing w:before="16"/>
              <w:ind w:left="11"/>
              <w:jc w:val="left"/>
              <w:rPr>
                <w:rFonts w:ascii="Calibri" w:hAnsi="Calibri"/>
                <w:sz w:val="14"/>
              </w:rPr>
            </w:pPr>
            <w:r>
              <w:rPr>
                <w:rFonts w:ascii="Calibri" w:hAnsi="Calibri"/>
                <w:w w:val="65"/>
                <w:sz w:val="14"/>
              </w:rPr>
              <w:t>Se emplearon un número máximo de nueve rezagos con el criterio de minización de Schwarz para DFA. Se utilizó el criterio de Newey-West para Ph-P y KPSS.</w:t>
            </w:r>
          </w:p>
        </w:tc>
        <w:tc>
          <w:tcPr>
            <w:tcW w:w="365" w:type="dxa"/>
            <w:tcBorders>
              <w:top w:val="nil"/>
              <w:bottom w:val="single" w:sz="4" w:space="0" w:color="D0D6E4"/>
            </w:tcBorders>
          </w:tcPr>
          <w:p>
            <w:pPr/>
          </w:p>
        </w:tc>
        <w:tc>
          <w:tcPr>
            <w:tcW w:w="376" w:type="dxa"/>
            <w:tcBorders>
              <w:top w:val="nil"/>
              <w:bottom w:val="single" w:sz="4" w:space="0" w:color="D0D6E4"/>
            </w:tcBorders>
          </w:tcPr>
          <w:p>
            <w:pPr/>
          </w:p>
        </w:tc>
        <w:tc>
          <w:tcPr>
            <w:tcW w:w="455" w:type="dxa"/>
            <w:tcBorders>
              <w:top w:val="nil"/>
              <w:bottom w:val="single" w:sz="4" w:space="0" w:color="D0D6E4"/>
            </w:tcBorders>
          </w:tcPr>
          <w:p>
            <w:pPr/>
          </w:p>
        </w:tc>
        <w:tc>
          <w:tcPr>
            <w:tcW w:w="456" w:type="dxa"/>
            <w:tcBorders>
              <w:top w:val="nil"/>
              <w:bottom w:val="single" w:sz="4" w:space="0" w:color="D0D6E4"/>
            </w:tcBorders>
          </w:tcPr>
          <w:p>
            <w:pPr/>
          </w:p>
        </w:tc>
        <w:tc>
          <w:tcPr>
            <w:tcW w:w="336" w:type="dxa"/>
            <w:tcBorders>
              <w:top w:val="nil"/>
              <w:bottom w:val="single" w:sz="4" w:space="0" w:color="D0D6E4"/>
            </w:tcBorders>
          </w:tcPr>
          <w:p>
            <w:pPr/>
          </w:p>
        </w:tc>
        <w:tc>
          <w:tcPr>
            <w:tcW w:w="342" w:type="dxa"/>
            <w:tcBorders>
              <w:top w:val="nil"/>
              <w:bottom w:val="single" w:sz="4" w:space="0" w:color="D0D6E4"/>
            </w:tcBorders>
          </w:tcPr>
          <w:p>
            <w:pPr/>
          </w:p>
        </w:tc>
        <w:tc>
          <w:tcPr>
            <w:tcW w:w="1361" w:type="dxa"/>
            <w:tcBorders>
              <w:top w:val="nil"/>
              <w:bottom w:val="single" w:sz="4" w:space="0" w:color="D0D6E4"/>
            </w:tcBorders>
          </w:tcPr>
          <w:p>
            <w:pPr/>
          </w:p>
        </w:tc>
        <w:tc>
          <w:tcPr>
            <w:tcW w:w="102" w:type="dxa"/>
            <w:tcBorders>
              <w:top w:val="single" w:sz="4" w:space="0" w:color="D0D6E4"/>
              <w:bottom w:val="single" w:sz="4" w:space="0" w:color="D0D6E4"/>
            </w:tcBorders>
          </w:tcPr>
          <w:p>
            <w:pPr/>
          </w:p>
        </w:tc>
      </w:tr>
    </w:tbl>
    <w:p>
      <w:pPr>
        <w:pStyle w:val="BodyText"/>
        <w:spacing w:before="7"/>
        <w:rPr>
          <w:sz w:val="10"/>
        </w:rPr>
      </w:pPr>
    </w:p>
    <w:p>
      <w:pPr>
        <w:spacing w:before="80"/>
        <w:ind w:left="102" w:right="1035" w:firstLine="0"/>
        <w:jc w:val="both"/>
        <w:rPr>
          <w:sz w:val="16"/>
        </w:rPr>
      </w:pPr>
      <w:r>
        <w:rPr>
          <w:sz w:val="16"/>
        </w:rPr>
        <w:t>Los valores indican la probabilidad de no  rechazar la hipótesis nula de raíz unitaria (Ho), es decir, que la variable sea </w:t>
      </w:r>
      <w:r>
        <w:rPr>
          <w:i/>
          <w:sz w:val="16"/>
        </w:rPr>
        <w:t>no estacionaria</w:t>
      </w:r>
      <w:r>
        <w:rPr>
          <w:sz w:val="16"/>
        </w:rPr>
        <w:t>.  Por consecuencia, si p &lt;.05, se rechaza la hipótesis nula, caso contrario no se rechaza Ho (p &gt; 0.05), estas hipótesis son aplicables para DFA y Ph-P.. Para la prueba de KPSS, se evalúa la hipótesis nula que la variable es</w:t>
      </w:r>
      <w:r>
        <w:rPr>
          <w:spacing w:val="-6"/>
          <w:sz w:val="16"/>
        </w:rPr>
        <w:t> </w:t>
      </w:r>
      <w:r>
        <w:rPr>
          <w:sz w:val="16"/>
        </w:rPr>
        <w:t>estacionaria.</w:t>
      </w:r>
    </w:p>
    <w:p>
      <w:pPr>
        <w:spacing w:after="0"/>
        <w:jc w:val="both"/>
        <w:rPr>
          <w:sz w:val="16"/>
        </w:rPr>
        <w:sectPr>
          <w:pgSz w:w="12250" w:h="15850"/>
          <w:pgMar w:header="0" w:footer="977" w:top="1360" w:bottom="1220" w:left="1600" w:right="660"/>
        </w:sectPr>
      </w:pPr>
    </w:p>
    <w:p>
      <w:pPr>
        <w:pStyle w:val="Heading4"/>
        <w:spacing w:before="53"/>
        <w:ind w:left="102" w:right="1021" w:firstLine="0"/>
      </w:pPr>
      <w:bookmarkStart w:name="_bookmark182" w:id="247"/>
      <w:bookmarkEnd w:id="247"/>
      <w:r>
        <w:rPr>
          <w:b w:val="0"/>
        </w:rPr>
      </w:r>
      <w:r>
        <w:rPr/>
        <w:t>Anexo 4.2: Causalidad en el sentido de Granger  [corto plazo]</w:t>
      </w:r>
    </w:p>
    <w:p>
      <w:pPr>
        <w:pStyle w:val="BodyText"/>
        <w:spacing w:before="7"/>
        <w:rPr>
          <w:b/>
          <w:sz w:val="20"/>
        </w:rPr>
      </w:pPr>
    </w:p>
    <w:p>
      <w:pPr>
        <w:pStyle w:val="BodyText"/>
        <w:spacing w:line="360" w:lineRule="auto"/>
        <w:ind w:left="102" w:right="248"/>
      </w:pPr>
      <w:r>
        <w:rPr/>
        <w:pict>
          <v:line style="position:absolute;mso-position-horizontal-relative:page;mso-position-vertical-relative:paragraph;z-index:-553816" from="528.305603pt,54.090595pt" to="528.305603pt,134.294739pt" stroked="true" strokeweight=".450083pt" strokecolor="#ffffff">
            <w10:wrap type="none"/>
          </v:line>
        </w:pict>
      </w:r>
      <w:r>
        <w:rPr/>
        <w:t>Anexo 4.2 A: Ho: Las variables explicativas (en diferencia) no causan Granger al Balance primario no gasífero (en diferencia)</w:t>
      </w:r>
    </w:p>
    <w:p>
      <w:pPr>
        <w:pStyle w:val="BodyText"/>
        <w:spacing w:before="7"/>
        <w:rPr>
          <w:sz w:val="22"/>
        </w:rPr>
      </w:pPr>
    </w:p>
    <w:tbl>
      <w:tblPr>
        <w:tblW w:w="0" w:type="auto"/>
        <w:jc w:val="left"/>
        <w:tblInd w:w="14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12"/>
        <w:gridCol w:w="1134"/>
        <w:gridCol w:w="966"/>
        <w:gridCol w:w="1269"/>
        <w:gridCol w:w="1641"/>
        <w:gridCol w:w="1571"/>
        <w:gridCol w:w="1533"/>
      </w:tblGrid>
      <w:tr>
        <w:trPr>
          <w:trHeight w:val="455" w:hRule="exact"/>
        </w:trPr>
        <w:tc>
          <w:tcPr>
            <w:tcW w:w="712" w:type="dxa"/>
            <w:tcBorders>
              <w:bottom w:val="double" w:sz="4" w:space="0" w:color="000000"/>
            </w:tcBorders>
          </w:tcPr>
          <w:p>
            <w:pPr>
              <w:pStyle w:val="TableParagraph"/>
              <w:spacing w:before="120"/>
              <w:ind w:left="36" w:right="40"/>
              <w:rPr>
                <w:b/>
                <w:sz w:val="17"/>
              </w:rPr>
            </w:pPr>
            <w:r>
              <w:rPr>
                <w:b/>
                <w:sz w:val="17"/>
              </w:rPr>
              <w:t>Rezagos</w:t>
            </w:r>
          </w:p>
        </w:tc>
        <w:tc>
          <w:tcPr>
            <w:tcW w:w="1134" w:type="dxa"/>
            <w:tcBorders>
              <w:bottom w:val="double" w:sz="4" w:space="0" w:color="000000"/>
            </w:tcBorders>
            <w:shd w:val="clear" w:color="auto" w:fill="DBEDF3"/>
          </w:tcPr>
          <w:p>
            <w:pPr>
              <w:pStyle w:val="TableParagraph"/>
              <w:spacing w:before="9"/>
              <w:ind w:left="117" w:right="16"/>
              <w:rPr>
                <w:rFonts w:ascii="Calibri" w:hAnsi="Calibri"/>
                <w:b/>
                <w:sz w:val="17"/>
              </w:rPr>
            </w:pPr>
            <w:r>
              <w:rPr>
                <w:b/>
                <w:sz w:val="17"/>
              </w:rPr>
              <w:t>a) </w:t>
            </w:r>
            <w:r>
              <w:rPr>
                <w:rFonts w:ascii="Calibri" w:hAnsi="Calibri"/>
                <w:b/>
                <w:sz w:val="17"/>
              </w:rPr>
              <w:t>∆</w:t>
            </w:r>
            <w:r>
              <w:rPr>
                <w:b/>
                <w:sz w:val="17"/>
              </w:rPr>
              <w:t>Pg </w:t>
            </w:r>
            <w:r>
              <w:rPr>
                <w:b/>
                <w:spacing w:val="38"/>
                <w:sz w:val="17"/>
              </w:rPr>
              <w:t> </w:t>
            </w:r>
            <w:r>
              <w:rPr>
                <w:b/>
                <w:spacing w:val="-12"/>
                <w:position w:val="-3"/>
                <w:sz w:val="17"/>
              </w:rPr>
              <w:drawing>
                <wp:inline distT="0" distB="0" distL="0" distR="0">
                  <wp:extent cx="150655" cy="113919"/>
                  <wp:effectExtent l="0" t="0" r="0" b="0"/>
                  <wp:docPr id="89" name="image321.png" descr=""/>
                  <wp:cNvGraphicFramePr>
                    <a:graphicFrameLocks noChangeAspect="1"/>
                  </wp:cNvGraphicFramePr>
                  <a:graphic>
                    <a:graphicData uri="http://schemas.openxmlformats.org/drawingml/2006/picture">
                      <pic:pic>
                        <pic:nvPicPr>
                          <pic:cNvPr id="90" name="image321.png"/>
                          <pic:cNvPicPr/>
                        </pic:nvPicPr>
                        <pic:blipFill>
                          <a:blip r:embed="rId347" cstate="print"/>
                          <a:stretch>
                            <a:fillRect/>
                          </a:stretch>
                        </pic:blipFill>
                        <pic:spPr>
                          <a:xfrm>
                            <a:off x="0" y="0"/>
                            <a:ext cx="150655" cy="113919"/>
                          </a:xfrm>
                          <a:prstGeom prst="rect">
                            <a:avLst/>
                          </a:prstGeom>
                        </pic:spPr>
                      </pic:pic>
                    </a:graphicData>
                  </a:graphic>
                </wp:inline>
              </w:drawing>
            </w:r>
            <w:r>
              <w:rPr>
                <w:b/>
                <w:spacing w:val="-12"/>
                <w:position w:val="-3"/>
                <w:sz w:val="17"/>
              </w:rPr>
            </w:r>
            <w:r>
              <w:rPr>
                <w:spacing w:val="-12"/>
                <w:sz w:val="17"/>
              </w:rPr>
              <w:t> </w:t>
            </w:r>
            <w:r>
              <w:rPr>
                <w:rFonts w:ascii="Calibri" w:hAnsi="Calibri"/>
                <w:b/>
                <w:sz w:val="17"/>
              </w:rPr>
              <w:t>∆</w:t>
            </w:r>
          </w:p>
          <w:p>
            <w:pPr>
              <w:pStyle w:val="TableParagraph"/>
              <w:spacing w:before="21"/>
              <w:ind w:left="23" w:right="16"/>
              <w:rPr>
                <w:sz w:val="17"/>
              </w:rPr>
            </w:pPr>
            <w:r>
              <w:rPr>
                <w:sz w:val="17"/>
              </w:rPr>
              <w:t>Est. "F"</w:t>
            </w:r>
          </w:p>
        </w:tc>
        <w:tc>
          <w:tcPr>
            <w:tcW w:w="966" w:type="dxa"/>
            <w:tcBorders>
              <w:bottom w:val="double" w:sz="4" w:space="0" w:color="000000"/>
            </w:tcBorders>
            <w:shd w:val="clear" w:color="auto" w:fill="DBEDF3"/>
          </w:tcPr>
          <w:p>
            <w:pPr>
              <w:pStyle w:val="TableParagraph"/>
              <w:spacing w:before="12"/>
              <w:ind w:right="100"/>
              <w:rPr>
                <w:b/>
                <w:sz w:val="17"/>
              </w:rPr>
            </w:pPr>
            <w:r>
              <w:rPr>
                <w:b/>
                <w:sz w:val="17"/>
              </w:rPr>
              <w:t>BPNG/ PIB</w:t>
            </w:r>
          </w:p>
          <w:p>
            <w:pPr>
              <w:pStyle w:val="TableParagraph"/>
              <w:spacing w:before="29"/>
              <w:ind w:right="8"/>
              <w:rPr>
                <w:sz w:val="17"/>
              </w:rPr>
            </w:pPr>
            <w:r>
              <w:rPr>
                <w:sz w:val="17"/>
              </w:rPr>
              <w:t>Prob.</w:t>
            </w:r>
          </w:p>
        </w:tc>
        <w:tc>
          <w:tcPr>
            <w:tcW w:w="1269" w:type="dxa"/>
            <w:tcBorders>
              <w:bottom w:val="double" w:sz="4" w:space="0" w:color="000000"/>
            </w:tcBorders>
          </w:tcPr>
          <w:p>
            <w:pPr>
              <w:pStyle w:val="TableParagraph"/>
              <w:spacing w:before="9"/>
              <w:ind w:left="27" w:right="-30"/>
              <w:jc w:val="left"/>
              <w:rPr>
                <w:b/>
                <w:sz w:val="17"/>
              </w:rPr>
            </w:pPr>
            <w:r>
              <w:rPr>
                <w:b/>
                <w:spacing w:val="-3"/>
                <w:sz w:val="17"/>
              </w:rPr>
              <w:t>b) </w:t>
            </w:r>
            <w:r>
              <w:rPr>
                <w:rFonts w:ascii="Calibri" w:hAnsi="Calibri"/>
                <w:b/>
                <w:sz w:val="17"/>
              </w:rPr>
              <w:t>∆</w:t>
            </w:r>
            <w:r>
              <w:rPr>
                <w:b/>
                <w:sz w:val="17"/>
              </w:rPr>
              <w:t>Asign. Ing.</w:t>
            </w:r>
            <w:r>
              <w:rPr>
                <w:b/>
                <w:spacing w:val="5"/>
                <w:sz w:val="17"/>
              </w:rPr>
              <w:t> </w:t>
            </w:r>
            <w:r>
              <w:rPr>
                <w:b/>
                <w:sz w:val="17"/>
              </w:rPr>
              <w:t>G</w:t>
            </w:r>
          </w:p>
          <w:p>
            <w:pPr>
              <w:pStyle w:val="TableParagraph"/>
              <w:spacing w:before="21"/>
              <w:ind w:left="225" w:right="-30"/>
              <w:jc w:val="left"/>
              <w:rPr>
                <w:sz w:val="17"/>
              </w:rPr>
            </w:pPr>
            <w:r>
              <w:rPr>
                <w:sz w:val="17"/>
              </w:rPr>
              <w:t>Est. "F"</w:t>
            </w:r>
          </w:p>
        </w:tc>
        <w:tc>
          <w:tcPr>
            <w:tcW w:w="1641" w:type="dxa"/>
            <w:tcBorders>
              <w:bottom w:val="double" w:sz="4" w:space="0" w:color="000000"/>
            </w:tcBorders>
          </w:tcPr>
          <w:p>
            <w:pPr>
              <w:pStyle w:val="TableParagraph"/>
              <w:spacing w:before="9"/>
              <w:ind w:left="17"/>
              <w:jc w:val="left"/>
              <w:rPr>
                <w:b/>
                <w:sz w:val="17"/>
              </w:rPr>
            </w:pPr>
            <w:r>
              <w:rPr>
                <w:b/>
                <w:spacing w:val="3"/>
                <w:w w:val="101"/>
                <w:sz w:val="17"/>
              </w:rPr>
              <w:t>a</w:t>
            </w:r>
            <w:r>
              <w:rPr>
                <w:b/>
                <w:spacing w:val="5"/>
                <w:w w:val="101"/>
                <w:sz w:val="17"/>
              </w:rPr>
              <w:t>s</w:t>
            </w:r>
            <w:r>
              <w:rPr>
                <w:b/>
                <w:spacing w:val="-3"/>
                <w:w w:val="101"/>
                <w:sz w:val="17"/>
              </w:rPr>
              <w:t>í</w:t>
            </w:r>
            <w:r>
              <w:rPr>
                <w:b/>
                <w:spacing w:val="-4"/>
                <w:w w:val="101"/>
                <w:sz w:val="17"/>
              </w:rPr>
              <w:t>f</w:t>
            </w:r>
            <w:r>
              <w:rPr>
                <w:b/>
                <w:spacing w:val="8"/>
                <w:w w:val="101"/>
                <w:sz w:val="17"/>
              </w:rPr>
              <w:t>.</w:t>
            </w:r>
            <w:r>
              <w:rPr>
                <w:b/>
                <w:spacing w:val="8"/>
                <w:w w:val="101"/>
                <w:position w:val="-3"/>
                <w:sz w:val="17"/>
              </w:rPr>
              <w:drawing>
                <wp:inline distT="0" distB="0" distL="0" distR="0">
                  <wp:extent cx="151551" cy="98012"/>
                  <wp:effectExtent l="0" t="0" r="0" b="0"/>
                  <wp:docPr id="91" name="image322.png" descr=""/>
                  <wp:cNvGraphicFramePr>
                    <a:graphicFrameLocks noChangeAspect="1"/>
                  </wp:cNvGraphicFramePr>
                  <a:graphic>
                    <a:graphicData uri="http://schemas.openxmlformats.org/drawingml/2006/picture">
                      <pic:pic>
                        <pic:nvPicPr>
                          <pic:cNvPr id="92" name="image322.png"/>
                          <pic:cNvPicPr/>
                        </pic:nvPicPr>
                        <pic:blipFill>
                          <a:blip r:embed="rId348" cstate="print"/>
                          <a:stretch>
                            <a:fillRect/>
                          </a:stretch>
                        </pic:blipFill>
                        <pic:spPr>
                          <a:xfrm>
                            <a:off x="0" y="0"/>
                            <a:ext cx="151551" cy="98012"/>
                          </a:xfrm>
                          <a:prstGeom prst="rect">
                            <a:avLst/>
                          </a:prstGeom>
                        </pic:spPr>
                      </pic:pic>
                    </a:graphicData>
                  </a:graphic>
                </wp:inline>
              </w:drawing>
            </w:r>
            <w:r>
              <w:rPr>
                <w:b/>
                <w:spacing w:val="8"/>
                <w:w w:val="101"/>
                <w:position w:val="-3"/>
                <w:sz w:val="17"/>
              </w:rPr>
            </w:r>
            <w:r>
              <w:rPr>
                <w:spacing w:val="8"/>
                <w:w w:val="101"/>
                <w:sz w:val="17"/>
              </w:rPr>
              <w:t>  </w:t>
            </w:r>
            <w:r>
              <w:rPr>
                <w:rFonts w:ascii="Calibri" w:hAnsi="Calibri"/>
                <w:b/>
                <w:sz w:val="17"/>
              </w:rPr>
              <w:t>∆</w:t>
            </w:r>
            <w:r>
              <w:rPr>
                <w:b/>
                <w:sz w:val="17"/>
              </w:rPr>
              <w:t>BPNP/</w:t>
            </w:r>
            <w:r>
              <w:rPr>
                <w:b/>
                <w:spacing w:val="12"/>
                <w:sz w:val="17"/>
              </w:rPr>
              <w:t> </w:t>
            </w:r>
            <w:r>
              <w:rPr>
                <w:b/>
                <w:sz w:val="17"/>
              </w:rPr>
              <w:t>PIB</w:t>
            </w:r>
          </w:p>
          <w:p>
            <w:pPr>
              <w:pStyle w:val="TableParagraph"/>
              <w:spacing w:before="21"/>
              <w:ind w:left="497"/>
              <w:jc w:val="left"/>
              <w:rPr>
                <w:sz w:val="17"/>
              </w:rPr>
            </w:pPr>
            <w:r>
              <w:rPr>
                <w:sz w:val="17"/>
              </w:rPr>
              <w:t>Prob.</w:t>
            </w:r>
          </w:p>
        </w:tc>
        <w:tc>
          <w:tcPr>
            <w:tcW w:w="3104" w:type="dxa"/>
            <w:gridSpan w:val="2"/>
            <w:tcBorders>
              <w:bottom w:val="double" w:sz="4" w:space="0" w:color="000000"/>
            </w:tcBorders>
            <w:shd w:val="clear" w:color="auto" w:fill="DBEDF3"/>
          </w:tcPr>
          <w:p>
            <w:pPr>
              <w:pStyle w:val="TableParagraph"/>
              <w:spacing w:before="9"/>
              <w:ind w:right="27"/>
              <w:rPr>
                <w:b/>
                <w:sz w:val="17"/>
              </w:rPr>
            </w:pPr>
            <w:r>
              <w:rPr>
                <w:b/>
                <w:sz w:val="17"/>
              </w:rPr>
              <w:t>) </w:t>
            </w:r>
            <w:r>
              <w:rPr>
                <w:rFonts w:ascii="Calibri" w:hAnsi="Calibri"/>
                <w:b/>
                <w:sz w:val="17"/>
              </w:rPr>
              <w:t>∆</w:t>
            </w:r>
            <w:r>
              <w:rPr>
                <w:b/>
                <w:sz w:val="17"/>
              </w:rPr>
              <w:t>Asign. Ing. No Gasíf.   </w:t>
            </w:r>
            <w:r>
              <w:rPr>
                <w:b/>
                <w:spacing w:val="-20"/>
                <w:position w:val="-4"/>
                <w:sz w:val="17"/>
              </w:rPr>
              <w:drawing>
                <wp:inline distT="0" distB="0" distL="0" distR="0">
                  <wp:extent cx="151337" cy="123825"/>
                  <wp:effectExtent l="0" t="0" r="0" b="0"/>
                  <wp:docPr id="93" name="image323.png" descr=""/>
                  <wp:cNvGraphicFramePr>
                    <a:graphicFrameLocks noChangeAspect="1"/>
                  </wp:cNvGraphicFramePr>
                  <a:graphic>
                    <a:graphicData uri="http://schemas.openxmlformats.org/drawingml/2006/picture">
                      <pic:pic>
                        <pic:nvPicPr>
                          <pic:cNvPr id="94" name="image323.png"/>
                          <pic:cNvPicPr/>
                        </pic:nvPicPr>
                        <pic:blipFill>
                          <a:blip r:embed="rId349" cstate="print"/>
                          <a:stretch>
                            <a:fillRect/>
                          </a:stretch>
                        </pic:blipFill>
                        <pic:spPr>
                          <a:xfrm>
                            <a:off x="0" y="0"/>
                            <a:ext cx="151337" cy="123825"/>
                          </a:xfrm>
                          <a:prstGeom prst="rect">
                            <a:avLst/>
                          </a:prstGeom>
                        </pic:spPr>
                      </pic:pic>
                    </a:graphicData>
                  </a:graphic>
                </wp:inline>
              </w:drawing>
            </w:r>
            <w:r>
              <w:rPr>
                <w:b/>
                <w:spacing w:val="-20"/>
                <w:position w:val="-4"/>
                <w:sz w:val="17"/>
              </w:rPr>
            </w:r>
            <w:r>
              <w:rPr>
                <w:spacing w:val="-20"/>
                <w:sz w:val="17"/>
              </w:rPr>
              <w:t>  </w:t>
            </w:r>
            <w:r>
              <w:rPr>
                <w:rFonts w:ascii="Calibri" w:hAnsi="Calibri"/>
                <w:b/>
                <w:sz w:val="17"/>
              </w:rPr>
              <w:t>∆</w:t>
            </w:r>
            <w:r>
              <w:rPr>
                <w:b/>
                <w:sz w:val="17"/>
              </w:rPr>
              <w:t>BPNG/</w:t>
            </w:r>
            <w:r>
              <w:rPr>
                <w:b/>
                <w:spacing w:val="11"/>
                <w:sz w:val="17"/>
              </w:rPr>
              <w:t> </w:t>
            </w:r>
            <w:r>
              <w:rPr>
                <w:b/>
                <w:sz w:val="17"/>
              </w:rPr>
              <w:t>PI</w:t>
            </w:r>
          </w:p>
          <w:p>
            <w:pPr>
              <w:pStyle w:val="TableParagraph"/>
              <w:tabs>
                <w:tab w:pos="1639" w:val="left" w:leader="none"/>
              </w:tabs>
              <w:spacing w:before="18"/>
              <w:ind w:right="131"/>
              <w:rPr>
                <w:sz w:val="17"/>
              </w:rPr>
            </w:pPr>
            <w:r>
              <w:rPr>
                <w:sz w:val="17"/>
              </w:rPr>
              <w:t>Est.</w:t>
            </w:r>
            <w:r>
              <w:rPr>
                <w:spacing w:val="5"/>
                <w:sz w:val="17"/>
              </w:rPr>
              <w:t> </w:t>
            </w:r>
            <w:r>
              <w:rPr>
                <w:sz w:val="17"/>
              </w:rPr>
              <w:t>"F"</w:t>
              <w:tab/>
              <w:t>Prob.</w:t>
            </w:r>
          </w:p>
        </w:tc>
      </w:tr>
      <w:tr>
        <w:trPr>
          <w:trHeight w:val="245" w:hRule="exact"/>
        </w:trPr>
        <w:tc>
          <w:tcPr>
            <w:tcW w:w="712" w:type="dxa"/>
            <w:tcBorders>
              <w:top w:val="double" w:sz="4" w:space="0" w:color="000000"/>
            </w:tcBorders>
          </w:tcPr>
          <w:p>
            <w:pPr>
              <w:pStyle w:val="TableParagraph"/>
              <w:spacing w:before="12"/>
              <w:ind w:left="4"/>
              <w:rPr>
                <w:sz w:val="17"/>
              </w:rPr>
            </w:pPr>
            <w:r>
              <w:rPr>
                <w:w w:val="101"/>
                <w:sz w:val="17"/>
              </w:rPr>
              <w:t>1</w:t>
            </w:r>
          </w:p>
        </w:tc>
        <w:tc>
          <w:tcPr>
            <w:tcW w:w="1134" w:type="dxa"/>
            <w:tcBorders>
              <w:top w:val="double" w:sz="4" w:space="0" w:color="000000"/>
            </w:tcBorders>
            <w:shd w:val="clear" w:color="auto" w:fill="DBEDF3"/>
          </w:tcPr>
          <w:p>
            <w:pPr>
              <w:pStyle w:val="TableParagraph"/>
              <w:spacing w:before="12"/>
              <w:ind w:left="22" w:right="16"/>
              <w:rPr>
                <w:sz w:val="17"/>
              </w:rPr>
            </w:pPr>
            <w:r>
              <w:rPr>
                <w:sz w:val="17"/>
              </w:rPr>
              <w:t>0.43</w:t>
            </w:r>
          </w:p>
        </w:tc>
        <w:tc>
          <w:tcPr>
            <w:tcW w:w="966" w:type="dxa"/>
            <w:tcBorders>
              <w:top w:val="double" w:sz="4" w:space="0" w:color="000000"/>
            </w:tcBorders>
            <w:shd w:val="clear" w:color="auto" w:fill="DBEDF3"/>
          </w:tcPr>
          <w:p>
            <w:pPr>
              <w:pStyle w:val="TableParagraph"/>
              <w:spacing w:before="12"/>
              <w:ind w:right="1"/>
              <w:rPr>
                <w:sz w:val="17"/>
              </w:rPr>
            </w:pPr>
            <w:r>
              <w:rPr>
                <w:sz w:val="17"/>
              </w:rPr>
              <w:t>0.52</w:t>
            </w:r>
          </w:p>
        </w:tc>
        <w:tc>
          <w:tcPr>
            <w:tcW w:w="1269" w:type="dxa"/>
            <w:tcBorders>
              <w:top w:val="double" w:sz="4" w:space="0" w:color="000000"/>
            </w:tcBorders>
          </w:tcPr>
          <w:p>
            <w:pPr>
              <w:pStyle w:val="TableParagraph"/>
              <w:spacing w:before="12"/>
              <w:ind w:left="351" w:right="-30"/>
              <w:jc w:val="left"/>
              <w:rPr>
                <w:sz w:val="17"/>
              </w:rPr>
            </w:pPr>
            <w:r>
              <w:rPr>
                <w:sz w:val="17"/>
              </w:rPr>
              <w:t>1.80</w:t>
            </w:r>
          </w:p>
        </w:tc>
        <w:tc>
          <w:tcPr>
            <w:tcW w:w="1641" w:type="dxa"/>
            <w:tcBorders>
              <w:top w:val="double" w:sz="4" w:space="0" w:color="000000"/>
            </w:tcBorders>
          </w:tcPr>
          <w:p>
            <w:pPr>
              <w:pStyle w:val="TableParagraph"/>
              <w:spacing w:before="12"/>
              <w:ind w:left="542"/>
              <w:jc w:val="left"/>
              <w:rPr>
                <w:sz w:val="17"/>
              </w:rPr>
            </w:pPr>
            <w:r>
              <w:rPr>
                <w:sz w:val="17"/>
              </w:rPr>
              <w:t>0.19</w:t>
            </w:r>
          </w:p>
        </w:tc>
        <w:tc>
          <w:tcPr>
            <w:tcW w:w="1571" w:type="dxa"/>
            <w:tcBorders>
              <w:top w:val="double" w:sz="4" w:space="0" w:color="000000"/>
            </w:tcBorders>
            <w:shd w:val="clear" w:color="auto" w:fill="DBEDF3"/>
          </w:tcPr>
          <w:p>
            <w:pPr>
              <w:pStyle w:val="TableParagraph"/>
              <w:spacing w:before="12"/>
              <w:ind w:left="591" w:right="641"/>
              <w:rPr>
                <w:sz w:val="17"/>
              </w:rPr>
            </w:pPr>
            <w:r>
              <w:rPr>
                <w:sz w:val="17"/>
              </w:rPr>
              <w:t>0.63</w:t>
            </w:r>
          </w:p>
        </w:tc>
        <w:tc>
          <w:tcPr>
            <w:tcW w:w="1533" w:type="dxa"/>
            <w:tcBorders>
              <w:top w:val="double" w:sz="4" w:space="0" w:color="000000"/>
            </w:tcBorders>
            <w:shd w:val="clear" w:color="auto" w:fill="DBEDF3"/>
          </w:tcPr>
          <w:p>
            <w:pPr>
              <w:pStyle w:val="TableParagraph"/>
              <w:spacing w:before="12"/>
              <w:ind w:left="591"/>
              <w:jc w:val="left"/>
              <w:rPr>
                <w:sz w:val="17"/>
              </w:rPr>
            </w:pPr>
            <w:r>
              <w:rPr>
                <w:sz w:val="17"/>
              </w:rPr>
              <w:t>0.43</w:t>
            </w:r>
          </w:p>
        </w:tc>
      </w:tr>
      <w:tr>
        <w:trPr>
          <w:trHeight w:val="225" w:hRule="exact"/>
        </w:trPr>
        <w:tc>
          <w:tcPr>
            <w:tcW w:w="712" w:type="dxa"/>
          </w:tcPr>
          <w:p>
            <w:pPr>
              <w:pStyle w:val="TableParagraph"/>
              <w:spacing w:before="6"/>
              <w:ind w:left="4"/>
              <w:rPr>
                <w:sz w:val="17"/>
              </w:rPr>
            </w:pPr>
            <w:r>
              <w:rPr>
                <w:w w:val="101"/>
                <w:sz w:val="17"/>
              </w:rPr>
              <w:t>2</w:t>
            </w:r>
          </w:p>
        </w:tc>
        <w:tc>
          <w:tcPr>
            <w:tcW w:w="1134" w:type="dxa"/>
            <w:shd w:val="clear" w:color="auto" w:fill="DBEDF3"/>
          </w:tcPr>
          <w:p>
            <w:pPr>
              <w:pStyle w:val="TableParagraph"/>
              <w:spacing w:before="6"/>
              <w:ind w:left="22" w:right="16"/>
              <w:rPr>
                <w:sz w:val="17"/>
              </w:rPr>
            </w:pPr>
            <w:r>
              <w:rPr>
                <w:sz w:val="17"/>
              </w:rPr>
              <w:t>0.11</w:t>
            </w:r>
          </w:p>
        </w:tc>
        <w:tc>
          <w:tcPr>
            <w:tcW w:w="966" w:type="dxa"/>
            <w:shd w:val="clear" w:color="auto" w:fill="DBEDF3"/>
          </w:tcPr>
          <w:p>
            <w:pPr>
              <w:pStyle w:val="TableParagraph"/>
              <w:spacing w:before="6"/>
              <w:ind w:right="1"/>
              <w:rPr>
                <w:sz w:val="17"/>
              </w:rPr>
            </w:pPr>
            <w:r>
              <w:rPr>
                <w:sz w:val="17"/>
              </w:rPr>
              <w:t>0.90</w:t>
            </w:r>
          </w:p>
        </w:tc>
        <w:tc>
          <w:tcPr>
            <w:tcW w:w="1269" w:type="dxa"/>
          </w:tcPr>
          <w:p>
            <w:pPr>
              <w:pStyle w:val="TableParagraph"/>
              <w:spacing w:before="6"/>
              <w:ind w:left="351" w:right="-30"/>
              <w:jc w:val="left"/>
              <w:rPr>
                <w:sz w:val="17"/>
              </w:rPr>
            </w:pPr>
            <w:r>
              <w:rPr>
                <w:sz w:val="17"/>
              </w:rPr>
              <w:t>1.19</w:t>
            </w:r>
          </w:p>
        </w:tc>
        <w:tc>
          <w:tcPr>
            <w:tcW w:w="1641" w:type="dxa"/>
          </w:tcPr>
          <w:p>
            <w:pPr>
              <w:pStyle w:val="TableParagraph"/>
              <w:spacing w:before="6"/>
              <w:ind w:left="542"/>
              <w:jc w:val="left"/>
              <w:rPr>
                <w:sz w:val="17"/>
              </w:rPr>
            </w:pPr>
            <w:r>
              <w:rPr>
                <w:sz w:val="17"/>
              </w:rPr>
              <w:t>0.32</w:t>
            </w:r>
          </w:p>
        </w:tc>
        <w:tc>
          <w:tcPr>
            <w:tcW w:w="1571" w:type="dxa"/>
            <w:shd w:val="clear" w:color="auto" w:fill="DBEDF3"/>
          </w:tcPr>
          <w:p>
            <w:pPr>
              <w:pStyle w:val="TableParagraph"/>
              <w:spacing w:before="6"/>
              <w:ind w:left="591" w:right="641"/>
              <w:rPr>
                <w:sz w:val="17"/>
              </w:rPr>
            </w:pPr>
            <w:r>
              <w:rPr>
                <w:sz w:val="17"/>
              </w:rPr>
              <w:t>0.24</w:t>
            </w:r>
          </w:p>
        </w:tc>
        <w:tc>
          <w:tcPr>
            <w:tcW w:w="1533" w:type="dxa"/>
            <w:shd w:val="clear" w:color="auto" w:fill="DBEDF3"/>
          </w:tcPr>
          <w:p>
            <w:pPr>
              <w:pStyle w:val="TableParagraph"/>
              <w:spacing w:before="6"/>
              <w:ind w:left="591"/>
              <w:jc w:val="left"/>
              <w:rPr>
                <w:sz w:val="17"/>
              </w:rPr>
            </w:pPr>
            <w:r>
              <w:rPr>
                <w:sz w:val="17"/>
              </w:rPr>
              <w:t>0.79</w:t>
            </w:r>
          </w:p>
        </w:tc>
      </w:tr>
      <w:tr>
        <w:trPr>
          <w:trHeight w:val="225" w:hRule="exact"/>
        </w:trPr>
        <w:tc>
          <w:tcPr>
            <w:tcW w:w="712" w:type="dxa"/>
          </w:tcPr>
          <w:p>
            <w:pPr>
              <w:pStyle w:val="TableParagraph"/>
              <w:spacing w:before="6"/>
              <w:ind w:left="4"/>
              <w:rPr>
                <w:sz w:val="17"/>
              </w:rPr>
            </w:pPr>
            <w:r>
              <w:rPr>
                <w:w w:val="101"/>
                <w:sz w:val="17"/>
              </w:rPr>
              <w:t>3</w:t>
            </w:r>
          </w:p>
        </w:tc>
        <w:tc>
          <w:tcPr>
            <w:tcW w:w="1134" w:type="dxa"/>
            <w:shd w:val="clear" w:color="auto" w:fill="DBEDF3"/>
          </w:tcPr>
          <w:p>
            <w:pPr>
              <w:pStyle w:val="TableParagraph"/>
              <w:spacing w:before="6"/>
              <w:ind w:left="22" w:right="16"/>
              <w:rPr>
                <w:sz w:val="17"/>
              </w:rPr>
            </w:pPr>
            <w:r>
              <w:rPr>
                <w:sz w:val="17"/>
              </w:rPr>
              <w:t>0.49</w:t>
            </w:r>
          </w:p>
        </w:tc>
        <w:tc>
          <w:tcPr>
            <w:tcW w:w="966" w:type="dxa"/>
            <w:shd w:val="clear" w:color="auto" w:fill="DBEDF3"/>
          </w:tcPr>
          <w:p>
            <w:pPr>
              <w:pStyle w:val="TableParagraph"/>
              <w:spacing w:before="6"/>
              <w:ind w:right="1"/>
              <w:rPr>
                <w:sz w:val="17"/>
              </w:rPr>
            </w:pPr>
            <w:r>
              <w:rPr>
                <w:sz w:val="17"/>
              </w:rPr>
              <w:t>0.69</w:t>
            </w:r>
          </w:p>
        </w:tc>
        <w:tc>
          <w:tcPr>
            <w:tcW w:w="1269" w:type="dxa"/>
          </w:tcPr>
          <w:p>
            <w:pPr>
              <w:pStyle w:val="TableParagraph"/>
              <w:spacing w:before="6"/>
              <w:ind w:left="351" w:right="-30"/>
              <w:jc w:val="left"/>
              <w:rPr>
                <w:sz w:val="17"/>
              </w:rPr>
            </w:pPr>
            <w:r>
              <w:rPr>
                <w:sz w:val="17"/>
              </w:rPr>
              <w:t>1.51</w:t>
            </w:r>
          </w:p>
        </w:tc>
        <w:tc>
          <w:tcPr>
            <w:tcW w:w="1641" w:type="dxa"/>
          </w:tcPr>
          <w:p>
            <w:pPr>
              <w:pStyle w:val="TableParagraph"/>
              <w:spacing w:before="6"/>
              <w:ind w:left="542"/>
              <w:jc w:val="left"/>
              <w:rPr>
                <w:sz w:val="17"/>
              </w:rPr>
            </w:pPr>
            <w:r>
              <w:rPr>
                <w:sz w:val="17"/>
              </w:rPr>
              <w:t>0.23</w:t>
            </w:r>
          </w:p>
        </w:tc>
        <w:tc>
          <w:tcPr>
            <w:tcW w:w="1571" w:type="dxa"/>
            <w:shd w:val="clear" w:color="auto" w:fill="DBEDF3"/>
          </w:tcPr>
          <w:p>
            <w:pPr>
              <w:pStyle w:val="TableParagraph"/>
              <w:spacing w:before="6"/>
              <w:ind w:left="591" w:right="641"/>
              <w:rPr>
                <w:sz w:val="17"/>
              </w:rPr>
            </w:pPr>
            <w:r>
              <w:rPr>
                <w:sz w:val="17"/>
              </w:rPr>
              <w:t>1.04</w:t>
            </w:r>
          </w:p>
        </w:tc>
        <w:tc>
          <w:tcPr>
            <w:tcW w:w="1533" w:type="dxa"/>
            <w:shd w:val="clear" w:color="auto" w:fill="DBEDF3"/>
          </w:tcPr>
          <w:p>
            <w:pPr>
              <w:pStyle w:val="TableParagraph"/>
              <w:spacing w:before="6"/>
              <w:ind w:left="591"/>
              <w:jc w:val="left"/>
              <w:rPr>
                <w:sz w:val="17"/>
              </w:rPr>
            </w:pPr>
            <w:r>
              <w:rPr>
                <w:sz w:val="17"/>
              </w:rPr>
              <w:t>0.39</w:t>
            </w:r>
          </w:p>
        </w:tc>
      </w:tr>
      <w:tr>
        <w:trPr>
          <w:trHeight w:val="225" w:hRule="exact"/>
        </w:trPr>
        <w:tc>
          <w:tcPr>
            <w:tcW w:w="712" w:type="dxa"/>
          </w:tcPr>
          <w:p>
            <w:pPr>
              <w:pStyle w:val="TableParagraph"/>
              <w:spacing w:before="6"/>
              <w:ind w:left="4"/>
              <w:rPr>
                <w:sz w:val="17"/>
              </w:rPr>
            </w:pPr>
            <w:r>
              <w:rPr>
                <w:w w:val="101"/>
                <w:sz w:val="17"/>
              </w:rPr>
              <w:t>4</w:t>
            </w:r>
          </w:p>
        </w:tc>
        <w:tc>
          <w:tcPr>
            <w:tcW w:w="1134" w:type="dxa"/>
            <w:shd w:val="clear" w:color="auto" w:fill="DBEDF3"/>
          </w:tcPr>
          <w:p>
            <w:pPr>
              <w:pStyle w:val="TableParagraph"/>
              <w:spacing w:before="6"/>
              <w:ind w:left="22" w:right="16"/>
              <w:rPr>
                <w:sz w:val="17"/>
              </w:rPr>
            </w:pPr>
            <w:r>
              <w:rPr>
                <w:sz w:val="17"/>
              </w:rPr>
              <w:t>0.61</w:t>
            </w:r>
          </w:p>
        </w:tc>
        <w:tc>
          <w:tcPr>
            <w:tcW w:w="966" w:type="dxa"/>
            <w:shd w:val="clear" w:color="auto" w:fill="DBEDF3"/>
          </w:tcPr>
          <w:p>
            <w:pPr>
              <w:pStyle w:val="TableParagraph"/>
              <w:spacing w:before="6"/>
              <w:ind w:right="1"/>
              <w:rPr>
                <w:sz w:val="17"/>
              </w:rPr>
            </w:pPr>
            <w:r>
              <w:rPr>
                <w:sz w:val="17"/>
              </w:rPr>
              <w:t>0.66</w:t>
            </w:r>
          </w:p>
        </w:tc>
        <w:tc>
          <w:tcPr>
            <w:tcW w:w="1269" w:type="dxa"/>
          </w:tcPr>
          <w:p>
            <w:pPr>
              <w:pStyle w:val="TableParagraph"/>
              <w:spacing w:before="6"/>
              <w:ind w:left="351" w:right="-30"/>
              <w:jc w:val="left"/>
              <w:rPr>
                <w:sz w:val="17"/>
              </w:rPr>
            </w:pPr>
            <w:r>
              <w:rPr>
                <w:sz w:val="17"/>
              </w:rPr>
              <w:t>0.92</w:t>
            </w:r>
          </w:p>
        </w:tc>
        <w:tc>
          <w:tcPr>
            <w:tcW w:w="1641" w:type="dxa"/>
          </w:tcPr>
          <w:p>
            <w:pPr>
              <w:pStyle w:val="TableParagraph"/>
              <w:spacing w:before="6"/>
              <w:ind w:left="542"/>
              <w:jc w:val="left"/>
              <w:rPr>
                <w:sz w:val="17"/>
              </w:rPr>
            </w:pPr>
            <w:r>
              <w:rPr>
                <w:sz w:val="17"/>
              </w:rPr>
              <w:t>0.47</w:t>
            </w:r>
          </w:p>
        </w:tc>
        <w:tc>
          <w:tcPr>
            <w:tcW w:w="1571" w:type="dxa"/>
            <w:shd w:val="clear" w:color="auto" w:fill="DBEDF3"/>
          </w:tcPr>
          <w:p>
            <w:pPr>
              <w:pStyle w:val="TableParagraph"/>
              <w:spacing w:before="6"/>
              <w:ind w:left="591" w:right="641"/>
              <w:rPr>
                <w:sz w:val="17"/>
              </w:rPr>
            </w:pPr>
            <w:r>
              <w:rPr>
                <w:sz w:val="17"/>
              </w:rPr>
              <w:t>0.55</w:t>
            </w:r>
          </w:p>
        </w:tc>
        <w:tc>
          <w:tcPr>
            <w:tcW w:w="1533" w:type="dxa"/>
            <w:shd w:val="clear" w:color="auto" w:fill="DBEDF3"/>
          </w:tcPr>
          <w:p>
            <w:pPr>
              <w:pStyle w:val="TableParagraph"/>
              <w:spacing w:before="6"/>
              <w:ind w:left="591"/>
              <w:jc w:val="left"/>
              <w:rPr>
                <w:sz w:val="17"/>
              </w:rPr>
            </w:pPr>
            <w:r>
              <w:rPr>
                <w:sz w:val="17"/>
              </w:rPr>
              <w:t>0.70</w:t>
            </w:r>
          </w:p>
        </w:tc>
      </w:tr>
      <w:tr>
        <w:trPr>
          <w:trHeight w:val="228" w:hRule="exact"/>
        </w:trPr>
        <w:tc>
          <w:tcPr>
            <w:tcW w:w="712" w:type="dxa"/>
            <w:tcBorders>
              <w:bottom w:val="single" w:sz="32" w:space="0" w:color="FFFFFF"/>
            </w:tcBorders>
          </w:tcPr>
          <w:p>
            <w:pPr>
              <w:pStyle w:val="TableParagraph"/>
              <w:spacing w:before="6"/>
              <w:ind w:left="4"/>
              <w:rPr>
                <w:sz w:val="17"/>
              </w:rPr>
            </w:pPr>
            <w:r>
              <w:rPr>
                <w:w w:val="101"/>
                <w:sz w:val="17"/>
              </w:rPr>
              <w:t>5</w:t>
            </w:r>
          </w:p>
        </w:tc>
        <w:tc>
          <w:tcPr>
            <w:tcW w:w="1134" w:type="dxa"/>
            <w:tcBorders>
              <w:bottom w:val="single" w:sz="32" w:space="0" w:color="FFFFFF"/>
            </w:tcBorders>
            <w:shd w:val="clear" w:color="auto" w:fill="DBEDF3"/>
          </w:tcPr>
          <w:p>
            <w:pPr>
              <w:pStyle w:val="TableParagraph"/>
              <w:spacing w:before="6"/>
              <w:ind w:left="22" w:right="16"/>
              <w:rPr>
                <w:sz w:val="17"/>
              </w:rPr>
            </w:pPr>
            <w:r>
              <w:rPr>
                <w:sz w:val="17"/>
              </w:rPr>
              <w:t>5.84</w:t>
            </w:r>
          </w:p>
        </w:tc>
        <w:tc>
          <w:tcPr>
            <w:tcW w:w="966" w:type="dxa"/>
            <w:tcBorders>
              <w:bottom w:val="single" w:sz="32" w:space="0" w:color="FFFFFF"/>
            </w:tcBorders>
            <w:shd w:val="clear" w:color="auto" w:fill="DBEDF3"/>
          </w:tcPr>
          <w:p>
            <w:pPr>
              <w:pStyle w:val="TableParagraph"/>
              <w:spacing w:before="6"/>
              <w:ind w:right="1"/>
              <w:rPr>
                <w:sz w:val="17"/>
              </w:rPr>
            </w:pPr>
            <w:r>
              <w:rPr>
                <w:sz w:val="17"/>
              </w:rPr>
              <w:t>0.00</w:t>
            </w:r>
          </w:p>
        </w:tc>
        <w:tc>
          <w:tcPr>
            <w:tcW w:w="1269" w:type="dxa"/>
            <w:tcBorders>
              <w:bottom w:val="single" w:sz="32" w:space="0" w:color="FFFFFF"/>
            </w:tcBorders>
          </w:tcPr>
          <w:p>
            <w:pPr>
              <w:pStyle w:val="TableParagraph"/>
              <w:spacing w:before="6"/>
              <w:ind w:left="351" w:right="-30"/>
              <w:jc w:val="left"/>
              <w:rPr>
                <w:sz w:val="17"/>
              </w:rPr>
            </w:pPr>
            <w:r>
              <w:rPr>
                <w:sz w:val="17"/>
              </w:rPr>
              <w:t>0.96</w:t>
            </w:r>
          </w:p>
        </w:tc>
        <w:tc>
          <w:tcPr>
            <w:tcW w:w="1641" w:type="dxa"/>
            <w:tcBorders>
              <w:bottom w:val="single" w:sz="32" w:space="0" w:color="FFFFFF"/>
            </w:tcBorders>
          </w:tcPr>
          <w:p>
            <w:pPr>
              <w:pStyle w:val="TableParagraph"/>
              <w:spacing w:before="6"/>
              <w:ind w:left="542"/>
              <w:jc w:val="left"/>
              <w:rPr>
                <w:sz w:val="17"/>
              </w:rPr>
            </w:pPr>
            <w:r>
              <w:rPr>
                <w:sz w:val="17"/>
              </w:rPr>
              <w:t>0.46</w:t>
            </w:r>
          </w:p>
        </w:tc>
        <w:tc>
          <w:tcPr>
            <w:tcW w:w="1571" w:type="dxa"/>
            <w:tcBorders>
              <w:bottom w:val="single" w:sz="32" w:space="0" w:color="FFFFFF"/>
            </w:tcBorders>
            <w:shd w:val="clear" w:color="auto" w:fill="DBEDF3"/>
          </w:tcPr>
          <w:p>
            <w:pPr>
              <w:pStyle w:val="TableParagraph"/>
              <w:spacing w:before="6"/>
              <w:ind w:left="591" w:right="641"/>
              <w:rPr>
                <w:sz w:val="17"/>
              </w:rPr>
            </w:pPr>
            <w:r>
              <w:rPr>
                <w:sz w:val="17"/>
              </w:rPr>
              <w:t>0.44</w:t>
            </w:r>
          </w:p>
        </w:tc>
        <w:tc>
          <w:tcPr>
            <w:tcW w:w="1533" w:type="dxa"/>
            <w:tcBorders>
              <w:bottom w:val="single" w:sz="32" w:space="0" w:color="FFFFFF"/>
            </w:tcBorders>
            <w:shd w:val="clear" w:color="auto" w:fill="DBEDF3"/>
          </w:tcPr>
          <w:p>
            <w:pPr>
              <w:pStyle w:val="TableParagraph"/>
              <w:spacing w:before="6"/>
              <w:ind w:left="591"/>
              <w:jc w:val="left"/>
              <w:rPr>
                <w:sz w:val="17"/>
              </w:rPr>
            </w:pPr>
            <w:r>
              <w:rPr>
                <w:sz w:val="17"/>
              </w:rPr>
              <w:t>0.82</w:t>
            </w:r>
          </w:p>
        </w:tc>
      </w:tr>
    </w:tbl>
    <w:p>
      <w:pPr>
        <w:spacing w:before="34"/>
        <w:ind w:left="102" w:right="1021" w:firstLine="0"/>
        <w:jc w:val="left"/>
        <w:rPr>
          <w:sz w:val="20"/>
        </w:rPr>
      </w:pPr>
      <w:r>
        <w:rPr>
          <w:sz w:val="20"/>
        </w:rPr>
        <w:t>Pg corresponde a los precios del gas natural</w:t>
      </w:r>
      <w:r>
        <w:rPr>
          <w:sz w:val="24"/>
        </w:rPr>
        <w:t>; </w:t>
      </w:r>
      <w:r>
        <w:rPr>
          <w:sz w:val="20"/>
        </w:rPr>
        <w:t>Asign. De Ing. Gasíf. es la razón Gasto de capital/ Ing. Fisc. Gasíferos</w:t>
      </w:r>
      <w:r>
        <w:rPr>
          <w:sz w:val="24"/>
        </w:rPr>
        <w:t>; </w:t>
      </w:r>
      <w:r>
        <w:rPr>
          <w:sz w:val="20"/>
        </w:rPr>
        <w:t>Asign. De Ing. Fisc. No Gasíf., es la razón  Gasto corriente/ Ing. Fisc. No Gasíferos</w:t>
      </w:r>
    </w:p>
    <w:p>
      <w:pPr>
        <w:spacing w:before="1"/>
        <w:ind w:left="102" w:right="1021" w:firstLine="0"/>
        <w:jc w:val="left"/>
        <w:rPr>
          <w:sz w:val="20"/>
        </w:rPr>
      </w:pPr>
      <w:r>
        <w:rPr>
          <w:sz w:val="20"/>
        </w:rPr>
        <w:t>BPNG corresponde al Balance primario no gasífero en términos del PIB.</w:t>
      </w:r>
    </w:p>
    <w:p>
      <w:pPr>
        <w:pStyle w:val="BodyText"/>
        <w:rPr>
          <w:sz w:val="20"/>
        </w:rPr>
      </w:pPr>
    </w:p>
    <w:p>
      <w:pPr>
        <w:pStyle w:val="BodyText"/>
        <w:rPr>
          <w:sz w:val="25"/>
        </w:rPr>
      </w:pPr>
    </w:p>
    <w:p>
      <w:pPr>
        <w:pStyle w:val="BodyText"/>
        <w:spacing w:line="360" w:lineRule="auto"/>
        <w:ind w:left="102" w:right="248"/>
      </w:pPr>
      <w:r>
        <w:rPr/>
        <w:t>Anexo 4.2 B: Ho: Las variables explicativas (en diferencia) no causan Granger al Balance primario (en diferencia)</w:t>
      </w:r>
    </w:p>
    <w:p>
      <w:pPr>
        <w:pStyle w:val="BodyText"/>
        <w:spacing w:before="6" w:after="1"/>
        <w:rPr>
          <w:sz w:val="22"/>
        </w:rPr>
      </w:pPr>
    </w:p>
    <w:tbl>
      <w:tblPr>
        <w:tblW w:w="0" w:type="auto"/>
        <w:jc w:val="left"/>
        <w:tblInd w:w="14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12"/>
        <w:gridCol w:w="1134"/>
        <w:gridCol w:w="966"/>
        <w:gridCol w:w="1269"/>
        <w:gridCol w:w="1641"/>
        <w:gridCol w:w="1571"/>
        <w:gridCol w:w="1538"/>
      </w:tblGrid>
      <w:tr>
        <w:trPr>
          <w:trHeight w:val="455" w:hRule="exact"/>
        </w:trPr>
        <w:tc>
          <w:tcPr>
            <w:tcW w:w="712" w:type="dxa"/>
            <w:tcBorders>
              <w:bottom w:val="double" w:sz="4" w:space="0" w:color="000000"/>
            </w:tcBorders>
          </w:tcPr>
          <w:p>
            <w:pPr>
              <w:pStyle w:val="TableParagraph"/>
              <w:spacing w:before="121"/>
              <w:ind w:left="36" w:right="40"/>
              <w:rPr>
                <w:b/>
                <w:sz w:val="17"/>
              </w:rPr>
            </w:pPr>
            <w:r>
              <w:rPr>
                <w:b/>
                <w:sz w:val="17"/>
              </w:rPr>
              <w:t>Rezagos</w:t>
            </w:r>
          </w:p>
        </w:tc>
        <w:tc>
          <w:tcPr>
            <w:tcW w:w="1134" w:type="dxa"/>
            <w:tcBorders>
              <w:bottom w:val="double" w:sz="4" w:space="0" w:color="000000"/>
            </w:tcBorders>
            <w:shd w:val="clear" w:color="auto" w:fill="DBEDF3"/>
          </w:tcPr>
          <w:p>
            <w:pPr>
              <w:pStyle w:val="TableParagraph"/>
              <w:spacing w:before="9"/>
              <w:ind w:left="117" w:right="150"/>
              <w:rPr>
                <w:b/>
                <w:sz w:val="17"/>
              </w:rPr>
            </w:pPr>
            <w:r>
              <w:rPr>
                <w:b/>
                <w:sz w:val="17"/>
              </w:rPr>
              <w:t>a) </w:t>
            </w:r>
            <w:r>
              <w:rPr>
                <w:rFonts w:ascii="Calibri" w:hAnsi="Calibri"/>
                <w:b/>
                <w:sz w:val="17"/>
              </w:rPr>
              <w:t>∆</w:t>
            </w:r>
            <w:r>
              <w:rPr>
                <w:b/>
                <w:sz w:val="17"/>
              </w:rPr>
              <w:t>Pg  </w:t>
            </w:r>
            <w:r>
              <w:rPr>
                <w:b/>
                <w:spacing w:val="10"/>
                <w:position w:val="-3"/>
                <w:sz w:val="17"/>
              </w:rPr>
              <w:drawing>
                <wp:inline distT="0" distB="0" distL="0" distR="0">
                  <wp:extent cx="151073" cy="114300"/>
                  <wp:effectExtent l="0" t="0" r="0" b="0"/>
                  <wp:docPr id="95" name="image324.png" descr=""/>
                  <wp:cNvGraphicFramePr>
                    <a:graphicFrameLocks noChangeAspect="1"/>
                  </wp:cNvGraphicFramePr>
                  <a:graphic>
                    <a:graphicData uri="http://schemas.openxmlformats.org/drawingml/2006/picture">
                      <pic:pic>
                        <pic:nvPicPr>
                          <pic:cNvPr id="96" name="image324.png"/>
                          <pic:cNvPicPr/>
                        </pic:nvPicPr>
                        <pic:blipFill>
                          <a:blip r:embed="rId350" cstate="print"/>
                          <a:stretch>
                            <a:fillRect/>
                          </a:stretch>
                        </pic:blipFill>
                        <pic:spPr>
                          <a:xfrm>
                            <a:off x="0" y="0"/>
                            <a:ext cx="151073" cy="114300"/>
                          </a:xfrm>
                          <a:prstGeom prst="rect">
                            <a:avLst/>
                          </a:prstGeom>
                        </pic:spPr>
                      </pic:pic>
                    </a:graphicData>
                  </a:graphic>
                </wp:inline>
              </w:drawing>
            </w:r>
            <w:r>
              <w:rPr>
                <w:b/>
                <w:spacing w:val="10"/>
                <w:position w:val="-3"/>
                <w:sz w:val="17"/>
              </w:rPr>
            </w:r>
          </w:p>
          <w:p>
            <w:pPr>
              <w:pStyle w:val="TableParagraph"/>
              <w:spacing w:before="21"/>
              <w:ind w:left="23" w:right="16"/>
              <w:rPr>
                <w:sz w:val="17"/>
              </w:rPr>
            </w:pPr>
            <w:r>
              <w:rPr>
                <w:sz w:val="17"/>
              </w:rPr>
              <w:t>Est. "F"</w:t>
            </w:r>
          </w:p>
        </w:tc>
        <w:tc>
          <w:tcPr>
            <w:tcW w:w="966" w:type="dxa"/>
            <w:tcBorders>
              <w:bottom w:val="double" w:sz="4" w:space="0" w:color="000000"/>
            </w:tcBorders>
            <w:shd w:val="clear" w:color="auto" w:fill="DBEDF3"/>
          </w:tcPr>
          <w:p>
            <w:pPr>
              <w:pStyle w:val="TableParagraph"/>
              <w:spacing w:before="9"/>
              <w:ind w:right="63"/>
              <w:rPr>
                <w:b/>
                <w:sz w:val="17"/>
              </w:rPr>
            </w:pPr>
            <w:r>
              <w:rPr>
                <w:rFonts w:ascii="Calibri" w:hAnsi="Calibri"/>
                <w:b/>
                <w:sz w:val="17"/>
              </w:rPr>
              <w:t>∆</w:t>
            </w:r>
            <w:r>
              <w:rPr>
                <w:b/>
                <w:sz w:val="17"/>
              </w:rPr>
              <w:t>BP/ PIB</w:t>
            </w:r>
          </w:p>
          <w:p>
            <w:pPr>
              <w:pStyle w:val="TableParagraph"/>
              <w:spacing w:before="21"/>
              <w:ind w:right="8"/>
              <w:rPr>
                <w:sz w:val="17"/>
              </w:rPr>
            </w:pPr>
            <w:r>
              <w:rPr>
                <w:sz w:val="17"/>
              </w:rPr>
              <w:t>Prob.</w:t>
            </w:r>
          </w:p>
        </w:tc>
        <w:tc>
          <w:tcPr>
            <w:tcW w:w="2910" w:type="dxa"/>
            <w:gridSpan w:val="2"/>
            <w:tcBorders>
              <w:bottom w:val="double" w:sz="4" w:space="0" w:color="000000"/>
            </w:tcBorders>
          </w:tcPr>
          <w:p>
            <w:pPr>
              <w:pStyle w:val="TableParagraph"/>
              <w:spacing w:before="9"/>
              <w:ind w:left="54"/>
              <w:jc w:val="left"/>
              <w:rPr>
                <w:b/>
                <w:sz w:val="17"/>
              </w:rPr>
            </w:pPr>
            <w:r>
              <w:rPr>
                <w:b/>
                <w:spacing w:val="-3"/>
                <w:sz w:val="17"/>
              </w:rPr>
              <w:t>b) </w:t>
            </w:r>
            <w:r>
              <w:rPr>
                <w:rFonts w:ascii="Calibri" w:hAnsi="Calibri"/>
                <w:b/>
                <w:sz w:val="17"/>
              </w:rPr>
              <w:t>∆</w:t>
            </w:r>
            <w:r>
              <w:rPr>
                <w:b/>
                <w:sz w:val="17"/>
              </w:rPr>
              <w:t>Asign. Ing. Gasíf.    </w:t>
            </w:r>
            <w:r>
              <w:rPr>
                <w:b/>
                <w:spacing w:val="-18"/>
                <w:sz w:val="17"/>
              </w:rPr>
              <w:drawing>
                <wp:inline distT="0" distB="0" distL="0" distR="0">
                  <wp:extent cx="150145" cy="98012"/>
                  <wp:effectExtent l="0" t="0" r="0" b="0"/>
                  <wp:docPr id="97" name="image325.png" descr=""/>
                  <wp:cNvGraphicFramePr>
                    <a:graphicFrameLocks noChangeAspect="1"/>
                  </wp:cNvGraphicFramePr>
                  <a:graphic>
                    <a:graphicData uri="http://schemas.openxmlformats.org/drawingml/2006/picture">
                      <pic:pic>
                        <pic:nvPicPr>
                          <pic:cNvPr id="98" name="image325.png"/>
                          <pic:cNvPicPr/>
                        </pic:nvPicPr>
                        <pic:blipFill>
                          <a:blip r:embed="rId351" cstate="print"/>
                          <a:stretch>
                            <a:fillRect/>
                          </a:stretch>
                        </pic:blipFill>
                        <pic:spPr>
                          <a:xfrm>
                            <a:off x="0" y="0"/>
                            <a:ext cx="150145" cy="98012"/>
                          </a:xfrm>
                          <a:prstGeom prst="rect">
                            <a:avLst/>
                          </a:prstGeom>
                        </pic:spPr>
                      </pic:pic>
                    </a:graphicData>
                  </a:graphic>
                </wp:inline>
              </w:drawing>
            </w:r>
            <w:r>
              <w:rPr>
                <w:b/>
                <w:spacing w:val="-18"/>
                <w:sz w:val="17"/>
              </w:rPr>
            </w:r>
            <w:r>
              <w:rPr>
                <w:spacing w:val="-18"/>
                <w:sz w:val="17"/>
              </w:rPr>
              <w:t>   </w:t>
            </w:r>
            <w:r>
              <w:rPr>
                <w:rFonts w:ascii="Calibri" w:hAnsi="Calibri"/>
                <w:b/>
                <w:sz w:val="17"/>
              </w:rPr>
              <w:t>∆</w:t>
            </w:r>
            <w:r>
              <w:rPr>
                <w:b/>
                <w:sz w:val="17"/>
              </w:rPr>
              <w:t>BP/ PIB</w:t>
            </w:r>
          </w:p>
          <w:p>
            <w:pPr>
              <w:pStyle w:val="TableParagraph"/>
              <w:tabs>
                <w:tab w:pos="1766" w:val="left" w:leader="none"/>
              </w:tabs>
              <w:spacing w:before="21"/>
              <w:ind w:left="225"/>
              <w:jc w:val="left"/>
              <w:rPr>
                <w:sz w:val="17"/>
              </w:rPr>
            </w:pPr>
            <w:r>
              <w:rPr>
                <w:sz w:val="17"/>
              </w:rPr>
              <w:t>Est.</w:t>
            </w:r>
            <w:r>
              <w:rPr>
                <w:spacing w:val="5"/>
                <w:sz w:val="17"/>
              </w:rPr>
              <w:t> </w:t>
            </w:r>
            <w:r>
              <w:rPr>
                <w:sz w:val="17"/>
              </w:rPr>
              <w:t>"F"</w:t>
              <w:tab/>
              <w:t>Prob.</w:t>
            </w:r>
          </w:p>
        </w:tc>
        <w:tc>
          <w:tcPr>
            <w:tcW w:w="3109" w:type="dxa"/>
            <w:gridSpan w:val="2"/>
            <w:tcBorders>
              <w:bottom w:val="double" w:sz="4" w:space="0" w:color="000000"/>
              <w:right w:val="single" w:sz="4" w:space="0" w:color="FFFFFF"/>
            </w:tcBorders>
            <w:shd w:val="clear" w:color="auto" w:fill="DBEDF3"/>
          </w:tcPr>
          <w:p>
            <w:pPr>
              <w:pStyle w:val="TableParagraph"/>
              <w:spacing w:before="9"/>
              <w:ind w:left="44" w:right="34"/>
              <w:rPr>
                <w:b/>
                <w:sz w:val="17"/>
              </w:rPr>
            </w:pPr>
            <w:r>
              <w:rPr>
                <w:b/>
                <w:sz w:val="17"/>
              </w:rPr>
              <w:t>c) </w:t>
            </w:r>
            <w:r>
              <w:rPr>
                <w:rFonts w:ascii="Calibri" w:hAnsi="Calibri"/>
                <w:b/>
                <w:sz w:val="17"/>
              </w:rPr>
              <w:t>∆</w:t>
            </w:r>
            <w:r>
              <w:rPr>
                <w:b/>
                <w:sz w:val="17"/>
              </w:rPr>
              <w:t>Asign. Ing. No Gasíf.   </w:t>
            </w:r>
            <w:r>
              <w:rPr>
                <w:b/>
                <w:spacing w:val="-2"/>
                <w:position w:val="-4"/>
                <w:sz w:val="17"/>
              </w:rPr>
              <w:drawing>
                <wp:inline distT="0" distB="0" distL="0" distR="0">
                  <wp:extent cx="151499" cy="123825"/>
                  <wp:effectExtent l="0" t="0" r="0" b="0"/>
                  <wp:docPr id="99" name="image326.png" descr=""/>
                  <wp:cNvGraphicFramePr>
                    <a:graphicFrameLocks noChangeAspect="1"/>
                  </wp:cNvGraphicFramePr>
                  <a:graphic>
                    <a:graphicData uri="http://schemas.openxmlformats.org/drawingml/2006/picture">
                      <pic:pic>
                        <pic:nvPicPr>
                          <pic:cNvPr id="100" name="image326.png"/>
                          <pic:cNvPicPr/>
                        </pic:nvPicPr>
                        <pic:blipFill>
                          <a:blip r:embed="rId352" cstate="print"/>
                          <a:stretch>
                            <a:fillRect/>
                          </a:stretch>
                        </pic:blipFill>
                        <pic:spPr>
                          <a:xfrm>
                            <a:off x="0" y="0"/>
                            <a:ext cx="151499" cy="123825"/>
                          </a:xfrm>
                          <a:prstGeom prst="rect">
                            <a:avLst/>
                          </a:prstGeom>
                        </pic:spPr>
                      </pic:pic>
                    </a:graphicData>
                  </a:graphic>
                </wp:inline>
              </w:drawing>
            </w:r>
            <w:r>
              <w:rPr>
                <w:b/>
                <w:spacing w:val="-2"/>
                <w:position w:val="-4"/>
                <w:sz w:val="17"/>
              </w:rPr>
            </w:r>
            <w:r>
              <w:rPr>
                <w:spacing w:val="-2"/>
                <w:sz w:val="17"/>
              </w:rPr>
              <w:t>   </w:t>
            </w:r>
            <w:r>
              <w:rPr>
                <w:rFonts w:ascii="Calibri" w:hAnsi="Calibri"/>
                <w:b/>
                <w:sz w:val="17"/>
              </w:rPr>
              <w:t>∆</w:t>
            </w:r>
            <w:r>
              <w:rPr>
                <w:b/>
                <w:sz w:val="17"/>
              </w:rPr>
              <w:t>BP/</w:t>
            </w:r>
            <w:r>
              <w:rPr>
                <w:b/>
                <w:spacing w:val="26"/>
                <w:sz w:val="17"/>
              </w:rPr>
              <w:t> </w:t>
            </w:r>
            <w:r>
              <w:rPr>
                <w:b/>
                <w:sz w:val="17"/>
              </w:rPr>
              <w:t>PIB</w:t>
            </w:r>
          </w:p>
          <w:p>
            <w:pPr>
              <w:pStyle w:val="TableParagraph"/>
              <w:tabs>
                <w:tab w:pos="1639" w:val="left" w:leader="none"/>
              </w:tabs>
              <w:spacing w:before="18"/>
              <w:ind w:right="131"/>
              <w:rPr>
                <w:sz w:val="17"/>
              </w:rPr>
            </w:pPr>
            <w:r>
              <w:rPr>
                <w:sz w:val="17"/>
              </w:rPr>
              <w:t>Est.</w:t>
            </w:r>
            <w:r>
              <w:rPr>
                <w:spacing w:val="5"/>
                <w:sz w:val="17"/>
              </w:rPr>
              <w:t> </w:t>
            </w:r>
            <w:r>
              <w:rPr>
                <w:sz w:val="17"/>
              </w:rPr>
              <w:t>"F"</w:t>
              <w:tab/>
              <w:t>Prob.</w:t>
            </w:r>
          </w:p>
        </w:tc>
      </w:tr>
      <w:tr>
        <w:trPr>
          <w:trHeight w:val="245" w:hRule="exact"/>
        </w:trPr>
        <w:tc>
          <w:tcPr>
            <w:tcW w:w="712" w:type="dxa"/>
            <w:tcBorders>
              <w:top w:val="double" w:sz="4" w:space="0" w:color="000000"/>
            </w:tcBorders>
          </w:tcPr>
          <w:p>
            <w:pPr>
              <w:pStyle w:val="TableParagraph"/>
              <w:spacing w:before="12"/>
              <w:ind w:left="4"/>
              <w:rPr>
                <w:sz w:val="17"/>
              </w:rPr>
            </w:pPr>
            <w:r>
              <w:rPr>
                <w:w w:val="101"/>
                <w:sz w:val="17"/>
              </w:rPr>
              <w:t>1</w:t>
            </w:r>
          </w:p>
        </w:tc>
        <w:tc>
          <w:tcPr>
            <w:tcW w:w="1134" w:type="dxa"/>
            <w:tcBorders>
              <w:top w:val="double" w:sz="4" w:space="0" w:color="000000"/>
            </w:tcBorders>
            <w:shd w:val="clear" w:color="auto" w:fill="DBEDF3"/>
          </w:tcPr>
          <w:p>
            <w:pPr>
              <w:pStyle w:val="TableParagraph"/>
              <w:spacing w:before="12"/>
              <w:ind w:left="22" w:right="16"/>
              <w:rPr>
                <w:sz w:val="17"/>
              </w:rPr>
            </w:pPr>
            <w:r>
              <w:rPr>
                <w:sz w:val="17"/>
              </w:rPr>
              <w:t>2.40</w:t>
            </w:r>
          </w:p>
        </w:tc>
        <w:tc>
          <w:tcPr>
            <w:tcW w:w="966" w:type="dxa"/>
            <w:tcBorders>
              <w:top w:val="double" w:sz="4" w:space="0" w:color="000000"/>
            </w:tcBorders>
            <w:shd w:val="clear" w:color="auto" w:fill="DBEDF3"/>
          </w:tcPr>
          <w:p>
            <w:pPr>
              <w:pStyle w:val="TableParagraph"/>
              <w:spacing w:before="12"/>
              <w:ind w:right="1"/>
              <w:rPr>
                <w:sz w:val="17"/>
              </w:rPr>
            </w:pPr>
            <w:r>
              <w:rPr>
                <w:sz w:val="17"/>
              </w:rPr>
              <w:t>0.13</w:t>
            </w:r>
          </w:p>
        </w:tc>
        <w:tc>
          <w:tcPr>
            <w:tcW w:w="1269" w:type="dxa"/>
            <w:tcBorders>
              <w:top w:val="double" w:sz="4" w:space="0" w:color="000000"/>
            </w:tcBorders>
          </w:tcPr>
          <w:p>
            <w:pPr>
              <w:pStyle w:val="TableParagraph"/>
              <w:spacing w:before="12"/>
              <w:ind w:left="351" w:right="-30"/>
              <w:jc w:val="left"/>
              <w:rPr>
                <w:sz w:val="17"/>
              </w:rPr>
            </w:pPr>
            <w:r>
              <w:rPr>
                <w:sz w:val="17"/>
              </w:rPr>
              <w:t>0.10</w:t>
            </w:r>
          </w:p>
        </w:tc>
        <w:tc>
          <w:tcPr>
            <w:tcW w:w="1641" w:type="dxa"/>
            <w:tcBorders>
              <w:top w:val="double" w:sz="4" w:space="0" w:color="000000"/>
            </w:tcBorders>
          </w:tcPr>
          <w:p>
            <w:pPr>
              <w:pStyle w:val="TableParagraph"/>
              <w:spacing w:before="12"/>
              <w:ind w:left="542"/>
              <w:jc w:val="left"/>
              <w:rPr>
                <w:sz w:val="17"/>
              </w:rPr>
            </w:pPr>
            <w:r>
              <w:rPr>
                <w:sz w:val="17"/>
              </w:rPr>
              <w:t>0.75</w:t>
            </w:r>
          </w:p>
        </w:tc>
        <w:tc>
          <w:tcPr>
            <w:tcW w:w="1571" w:type="dxa"/>
            <w:tcBorders>
              <w:top w:val="double" w:sz="4" w:space="0" w:color="000000"/>
            </w:tcBorders>
            <w:shd w:val="clear" w:color="auto" w:fill="DBEDF3"/>
          </w:tcPr>
          <w:p>
            <w:pPr>
              <w:pStyle w:val="TableParagraph"/>
              <w:spacing w:before="12"/>
              <w:ind w:left="591" w:right="641"/>
              <w:rPr>
                <w:sz w:val="17"/>
              </w:rPr>
            </w:pPr>
            <w:r>
              <w:rPr>
                <w:sz w:val="17"/>
              </w:rPr>
              <w:t>0.70</w:t>
            </w:r>
          </w:p>
        </w:tc>
        <w:tc>
          <w:tcPr>
            <w:tcW w:w="1538" w:type="dxa"/>
            <w:tcBorders>
              <w:top w:val="double" w:sz="4" w:space="0" w:color="000000"/>
              <w:right w:val="single" w:sz="4" w:space="0" w:color="FFFFFF"/>
            </w:tcBorders>
            <w:shd w:val="clear" w:color="auto" w:fill="DBEDF3"/>
          </w:tcPr>
          <w:p>
            <w:pPr>
              <w:pStyle w:val="TableParagraph"/>
              <w:spacing w:before="12"/>
              <w:ind w:left="591"/>
              <w:jc w:val="left"/>
              <w:rPr>
                <w:sz w:val="17"/>
              </w:rPr>
            </w:pPr>
            <w:r>
              <w:rPr>
                <w:sz w:val="17"/>
              </w:rPr>
              <w:t>0.41</w:t>
            </w:r>
          </w:p>
        </w:tc>
      </w:tr>
      <w:tr>
        <w:trPr>
          <w:trHeight w:val="225" w:hRule="exact"/>
        </w:trPr>
        <w:tc>
          <w:tcPr>
            <w:tcW w:w="712" w:type="dxa"/>
          </w:tcPr>
          <w:p>
            <w:pPr>
              <w:pStyle w:val="TableParagraph"/>
              <w:spacing w:before="6"/>
              <w:ind w:left="4"/>
              <w:rPr>
                <w:sz w:val="17"/>
              </w:rPr>
            </w:pPr>
            <w:r>
              <w:rPr>
                <w:w w:val="101"/>
                <w:sz w:val="17"/>
              </w:rPr>
              <w:t>2</w:t>
            </w:r>
          </w:p>
        </w:tc>
        <w:tc>
          <w:tcPr>
            <w:tcW w:w="1134" w:type="dxa"/>
            <w:shd w:val="clear" w:color="auto" w:fill="DBEDF3"/>
          </w:tcPr>
          <w:p>
            <w:pPr>
              <w:pStyle w:val="TableParagraph"/>
              <w:spacing w:before="6"/>
              <w:ind w:left="22" w:right="16"/>
              <w:rPr>
                <w:sz w:val="17"/>
              </w:rPr>
            </w:pPr>
            <w:r>
              <w:rPr>
                <w:sz w:val="17"/>
              </w:rPr>
              <w:t>2.40</w:t>
            </w:r>
          </w:p>
        </w:tc>
        <w:tc>
          <w:tcPr>
            <w:tcW w:w="966" w:type="dxa"/>
            <w:shd w:val="clear" w:color="auto" w:fill="DBEDF3"/>
          </w:tcPr>
          <w:p>
            <w:pPr>
              <w:pStyle w:val="TableParagraph"/>
              <w:spacing w:before="6"/>
              <w:ind w:right="1"/>
              <w:rPr>
                <w:sz w:val="17"/>
              </w:rPr>
            </w:pPr>
            <w:r>
              <w:rPr>
                <w:sz w:val="17"/>
              </w:rPr>
              <w:t>0.11</w:t>
            </w:r>
          </w:p>
        </w:tc>
        <w:tc>
          <w:tcPr>
            <w:tcW w:w="1269" w:type="dxa"/>
          </w:tcPr>
          <w:p>
            <w:pPr>
              <w:pStyle w:val="TableParagraph"/>
              <w:spacing w:before="6"/>
              <w:ind w:left="351" w:right="-30"/>
              <w:jc w:val="left"/>
              <w:rPr>
                <w:sz w:val="17"/>
              </w:rPr>
            </w:pPr>
            <w:r>
              <w:rPr>
                <w:sz w:val="17"/>
              </w:rPr>
              <w:t>0.05</w:t>
            </w:r>
          </w:p>
        </w:tc>
        <w:tc>
          <w:tcPr>
            <w:tcW w:w="1641" w:type="dxa"/>
          </w:tcPr>
          <w:p>
            <w:pPr>
              <w:pStyle w:val="TableParagraph"/>
              <w:spacing w:before="6"/>
              <w:ind w:left="542"/>
              <w:jc w:val="left"/>
              <w:rPr>
                <w:sz w:val="17"/>
              </w:rPr>
            </w:pPr>
            <w:r>
              <w:rPr>
                <w:sz w:val="17"/>
              </w:rPr>
              <w:t>0.96</w:t>
            </w:r>
          </w:p>
        </w:tc>
        <w:tc>
          <w:tcPr>
            <w:tcW w:w="1571" w:type="dxa"/>
            <w:shd w:val="clear" w:color="auto" w:fill="DBEDF3"/>
          </w:tcPr>
          <w:p>
            <w:pPr>
              <w:pStyle w:val="TableParagraph"/>
              <w:spacing w:before="6"/>
              <w:ind w:left="591" w:right="641"/>
              <w:rPr>
                <w:sz w:val="17"/>
              </w:rPr>
            </w:pPr>
            <w:r>
              <w:rPr>
                <w:sz w:val="17"/>
              </w:rPr>
              <w:t>0.41</w:t>
            </w:r>
          </w:p>
        </w:tc>
        <w:tc>
          <w:tcPr>
            <w:tcW w:w="1538" w:type="dxa"/>
            <w:tcBorders>
              <w:right w:val="single" w:sz="4" w:space="0" w:color="FFFFFF"/>
            </w:tcBorders>
            <w:shd w:val="clear" w:color="auto" w:fill="DBEDF3"/>
          </w:tcPr>
          <w:p>
            <w:pPr>
              <w:pStyle w:val="TableParagraph"/>
              <w:spacing w:before="6"/>
              <w:ind w:left="591"/>
              <w:jc w:val="left"/>
              <w:rPr>
                <w:sz w:val="17"/>
              </w:rPr>
            </w:pPr>
            <w:r>
              <w:rPr>
                <w:sz w:val="17"/>
              </w:rPr>
              <w:t>0.67</w:t>
            </w:r>
          </w:p>
        </w:tc>
      </w:tr>
      <w:tr>
        <w:trPr>
          <w:trHeight w:val="225" w:hRule="exact"/>
        </w:trPr>
        <w:tc>
          <w:tcPr>
            <w:tcW w:w="712" w:type="dxa"/>
          </w:tcPr>
          <w:p>
            <w:pPr>
              <w:pStyle w:val="TableParagraph"/>
              <w:spacing w:before="6"/>
              <w:ind w:left="4"/>
              <w:rPr>
                <w:sz w:val="17"/>
              </w:rPr>
            </w:pPr>
            <w:r>
              <w:rPr>
                <w:w w:val="101"/>
                <w:sz w:val="17"/>
              </w:rPr>
              <w:t>3</w:t>
            </w:r>
          </w:p>
        </w:tc>
        <w:tc>
          <w:tcPr>
            <w:tcW w:w="1134" w:type="dxa"/>
            <w:shd w:val="clear" w:color="auto" w:fill="DBEDF3"/>
          </w:tcPr>
          <w:p>
            <w:pPr>
              <w:pStyle w:val="TableParagraph"/>
              <w:spacing w:before="6"/>
              <w:ind w:left="22" w:right="16"/>
              <w:rPr>
                <w:sz w:val="17"/>
              </w:rPr>
            </w:pPr>
            <w:r>
              <w:rPr>
                <w:sz w:val="17"/>
              </w:rPr>
              <w:t>2.17</w:t>
            </w:r>
          </w:p>
        </w:tc>
        <w:tc>
          <w:tcPr>
            <w:tcW w:w="966" w:type="dxa"/>
            <w:shd w:val="clear" w:color="auto" w:fill="DBEDF3"/>
          </w:tcPr>
          <w:p>
            <w:pPr>
              <w:pStyle w:val="TableParagraph"/>
              <w:spacing w:before="6"/>
              <w:ind w:right="1"/>
              <w:rPr>
                <w:sz w:val="17"/>
              </w:rPr>
            </w:pPr>
            <w:r>
              <w:rPr>
                <w:sz w:val="17"/>
              </w:rPr>
              <w:t>0.11</w:t>
            </w:r>
          </w:p>
        </w:tc>
        <w:tc>
          <w:tcPr>
            <w:tcW w:w="1269" w:type="dxa"/>
          </w:tcPr>
          <w:p>
            <w:pPr>
              <w:pStyle w:val="TableParagraph"/>
              <w:spacing w:before="6"/>
              <w:ind w:left="351" w:right="-30"/>
              <w:jc w:val="left"/>
              <w:rPr>
                <w:sz w:val="17"/>
              </w:rPr>
            </w:pPr>
            <w:r>
              <w:rPr>
                <w:sz w:val="17"/>
              </w:rPr>
              <w:t>0.83</w:t>
            </w:r>
          </w:p>
        </w:tc>
        <w:tc>
          <w:tcPr>
            <w:tcW w:w="1641" w:type="dxa"/>
          </w:tcPr>
          <w:p>
            <w:pPr>
              <w:pStyle w:val="TableParagraph"/>
              <w:spacing w:before="6"/>
              <w:ind w:left="542"/>
              <w:jc w:val="left"/>
              <w:rPr>
                <w:sz w:val="17"/>
              </w:rPr>
            </w:pPr>
            <w:r>
              <w:rPr>
                <w:sz w:val="17"/>
              </w:rPr>
              <w:t>0.49</w:t>
            </w:r>
          </w:p>
        </w:tc>
        <w:tc>
          <w:tcPr>
            <w:tcW w:w="1571" w:type="dxa"/>
            <w:shd w:val="clear" w:color="auto" w:fill="DBEDF3"/>
          </w:tcPr>
          <w:p>
            <w:pPr>
              <w:pStyle w:val="TableParagraph"/>
              <w:spacing w:before="6"/>
              <w:ind w:left="591" w:right="641"/>
              <w:rPr>
                <w:sz w:val="17"/>
              </w:rPr>
            </w:pPr>
            <w:r>
              <w:rPr>
                <w:sz w:val="17"/>
              </w:rPr>
              <w:t>0.60</w:t>
            </w:r>
          </w:p>
        </w:tc>
        <w:tc>
          <w:tcPr>
            <w:tcW w:w="1538" w:type="dxa"/>
            <w:tcBorders>
              <w:right w:val="single" w:sz="4" w:space="0" w:color="FFFFFF"/>
            </w:tcBorders>
            <w:shd w:val="clear" w:color="auto" w:fill="DBEDF3"/>
          </w:tcPr>
          <w:p>
            <w:pPr>
              <w:pStyle w:val="TableParagraph"/>
              <w:spacing w:before="6"/>
              <w:ind w:left="591"/>
              <w:jc w:val="left"/>
              <w:rPr>
                <w:sz w:val="17"/>
              </w:rPr>
            </w:pPr>
            <w:r>
              <w:rPr>
                <w:sz w:val="17"/>
              </w:rPr>
              <w:t>0.62</w:t>
            </w:r>
          </w:p>
        </w:tc>
      </w:tr>
      <w:tr>
        <w:trPr>
          <w:trHeight w:val="225" w:hRule="exact"/>
        </w:trPr>
        <w:tc>
          <w:tcPr>
            <w:tcW w:w="712" w:type="dxa"/>
          </w:tcPr>
          <w:p>
            <w:pPr>
              <w:pStyle w:val="TableParagraph"/>
              <w:spacing w:before="6"/>
              <w:ind w:left="4"/>
              <w:rPr>
                <w:sz w:val="17"/>
              </w:rPr>
            </w:pPr>
            <w:r>
              <w:rPr>
                <w:w w:val="101"/>
                <w:sz w:val="17"/>
              </w:rPr>
              <w:t>4</w:t>
            </w:r>
          </w:p>
        </w:tc>
        <w:tc>
          <w:tcPr>
            <w:tcW w:w="1134" w:type="dxa"/>
            <w:shd w:val="clear" w:color="auto" w:fill="DBEDF3"/>
          </w:tcPr>
          <w:p>
            <w:pPr>
              <w:pStyle w:val="TableParagraph"/>
              <w:spacing w:before="6"/>
              <w:ind w:left="22" w:right="16"/>
              <w:rPr>
                <w:sz w:val="17"/>
              </w:rPr>
            </w:pPr>
            <w:r>
              <w:rPr>
                <w:sz w:val="17"/>
              </w:rPr>
              <w:t>2.21</w:t>
            </w:r>
          </w:p>
        </w:tc>
        <w:tc>
          <w:tcPr>
            <w:tcW w:w="966" w:type="dxa"/>
            <w:shd w:val="clear" w:color="auto" w:fill="DBEDF3"/>
          </w:tcPr>
          <w:p>
            <w:pPr>
              <w:pStyle w:val="TableParagraph"/>
              <w:spacing w:before="6"/>
              <w:ind w:right="1"/>
              <w:rPr>
                <w:sz w:val="17"/>
              </w:rPr>
            </w:pPr>
            <w:r>
              <w:rPr>
                <w:sz w:val="17"/>
              </w:rPr>
              <w:t>0.10</w:t>
            </w:r>
          </w:p>
        </w:tc>
        <w:tc>
          <w:tcPr>
            <w:tcW w:w="1269" w:type="dxa"/>
          </w:tcPr>
          <w:p>
            <w:pPr>
              <w:pStyle w:val="TableParagraph"/>
              <w:spacing w:before="6"/>
              <w:ind w:left="351" w:right="-30"/>
              <w:jc w:val="left"/>
              <w:rPr>
                <w:sz w:val="17"/>
              </w:rPr>
            </w:pPr>
            <w:r>
              <w:rPr>
                <w:sz w:val="17"/>
              </w:rPr>
              <w:t>0.99</w:t>
            </w:r>
          </w:p>
        </w:tc>
        <w:tc>
          <w:tcPr>
            <w:tcW w:w="1641" w:type="dxa"/>
          </w:tcPr>
          <w:p>
            <w:pPr>
              <w:pStyle w:val="TableParagraph"/>
              <w:spacing w:before="6"/>
              <w:ind w:left="542"/>
              <w:jc w:val="left"/>
              <w:rPr>
                <w:sz w:val="17"/>
              </w:rPr>
            </w:pPr>
            <w:r>
              <w:rPr>
                <w:sz w:val="17"/>
              </w:rPr>
              <w:t>0.43</w:t>
            </w:r>
          </w:p>
        </w:tc>
        <w:tc>
          <w:tcPr>
            <w:tcW w:w="1571" w:type="dxa"/>
            <w:shd w:val="clear" w:color="auto" w:fill="DBEDF3"/>
          </w:tcPr>
          <w:p>
            <w:pPr>
              <w:pStyle w:val="TableParagraph"/>
              <w:spacing w:before="6"/>
              <w:ind w:left="591" w:right="641"/>
              <w:rPr>
                <w:sz w:val="17"/>
              </w:rPr>
            </w:pPr>
            <w:r>
              <w:rPr>
                <w:sz w:val="17"/>
              </w:rPr>
              <w:t>0.34</w:t>
            </w:r>
          </w:p>
        </w:tc>
        <w:tc>
          <w:tcPr>
            <w:tcW w:w="1538" w:type="dxa"/>
            <w:tcBorders>
              <w:right w:val="single" w:sz="4" w:space="0" w:color="FFFFFF"/>
            </w:tcBorders>
            <w:shd w:val="clear" w:color="auto" w:fill="DBEDF3"/>
          </w:tcPr>
          <w:p>
            <w:pPr>
              <w:pStyle w:val="TableParagraph"/>
              <w:spacing w:before="6"/>
              <w:ind w:left="591"/>
              <w:jc w:val="left"/>
              <w:rPr>
                <w:sz w:val="17"/>
              </w:rPr>
            </w:pPr>
            <w:r>
              <w:rPr>
                <w:sz w:val="17"/>
              </w:rPr>
              <w:t>0.85</w:t>
            </w:r>
          </w:p>
        </w:tc>
      </w:tr>
      <w:tr>
        <w:trPr>
          <w:trHeight w:val="228" w:hRule="exact"/>
        </w:trPr>
        <w:tc>
          <w:tcPr>
            <w:tcW w:w="712" w:type="dxa"/>
            <w:tcBorders>
              <w:bottom w:val="double" w:sz="4" w:space="0" w:color="000000"/>
            </w:tcBorders>
          </w:tcPr>
          <w:p>
            <w:pPr>
              <w:pStyle w:val="TableParagraph"/>
              <w:spacing w:before="6"/>
              <w:ind w:left="4"/>
              <w:rPr>
                <w:sz w:val="17"/>
              </w:rPr>
            </w:pPr>
            <w:r>
              <w:rPr>
                <w:w w:val="101"/>
                <w:sz w:val="17"/>
              </w:rPr>
              <w:t>5</w:t>
            </w:r>
          </w:p>
        </w:tc>
        <w:tc>
          <w:tcPr>
            <w:tcW w:w="1134" w:type="dxa"/>
            <w:shd w:val="clear" w:color="auto" w:fill="DBEDF3"/>
          </w:tcPr>
          <w:p>
            <w:pPr>
              <w:pStyle w:val="TableParagraph"/>
              <w:spacing w:before="6"/>
              <w:ind w:left="22" w:right="16"/>
              <w:rPr>
                <w:sz w:val="17"/>
              </w:rPr>
            </w:pPr>
            <w:r>
              <w:rPr>
                <w:sz w:val="17"/>
              </w:rPr>
              <w:t>4.39</w:t>
            </w:r>
          </w:p>
        </w:tc>
        <w:tc>
          <w:tcPr>
            <w:tcW w:w="966" w:type="dxa"/>
            <w:shd w:val="clear" w:color="auto" w:fill="DBEDF3"/>
          </w:tcPr>
          <w:p>
            <w:pPr>
              <w:pStyle w:val="TableParagraph"/>
              <w:spacing w:before="6"/>
              <w:ind w:right="1"/>
              <w:rPr>
                <w:sz w:val="17"/>
              </w:rPr>
            </w:pPr>
            <w:r>
              <w:rPr>
                <w:sz w:val="17"/>
              </w:rPr>
              <w:t>0.01</w:t>
            </w:r>
          </w:p>
        </w:tc>
        <w:tc>
          <w:tcPr>
            <w:tcW w:w="1269" w:type="dxa"/>
            <w:tcBorders>
              <w:bottom w:val="double" w:sz="4" w:space="0" w:color="000000"/>
            </w:tcBorders>
          </w:tcPr>
          <w:p>
            <w:pPr>
              <w:pStyle w:val="TableParagraph"/>
              <w:spacing w:before="6"/>
              <w:ind w:left="351" w:right="-30"/>
              <w:jc w:val="left"/>
              <w:rPr>
                <w:sz w:val="17"/>
              </w:rPr>
            </w:pPr>
            <w:r>
              <w:rPr>
                <w:sz w:val="17"/>
              </w:rPr>
              <w:t>0.93</w:t>
            </w:r>
          </w:p>
        </w:tc>
        <w:tc>
          <w:tcPr>
            <w:tcW w:w="1641" w:type="dxa"/>
            <w:tcBorders>
              <w:bottom w:val="double" w:sz="4" w:space="0" w:color="000000"/>
            </w:tcBorders>
          </w:tcPr>
          <w:p>
            <w:pPr>
              <w:pStyle w:val="TableParagraph"/>
              <w:spacing w:before="6"/>
              <w:ind w:left="542"/>
              <w:jc w:val="left"/>
              <w:rPr>
                <w:sz w:val="17"/>
              </w:rPr>
            </w:pPr>
            <w:r>
              <w:rPr>
                <w:sz w:val="17"/>
              </w:rPr>
              <w:t>0.48</w:t>
            </w:r>
          </w:p>
        </w:tc>
        <w:tc>
          <w:tcPr>
            <w:tcW w:w="1571" w:type="dxa"/>
            <w:shd w:val="clear" w:color="auto" w:fill="DBEDF3"/>
          </w:tcPr>
          <w:p>
            <w:pPr>
              <w:pStyle w:val="TableParagraph"/>
              <w:spacing w:before="6"/>
              <w:ind w:left="591" w:right="641"/>
              <w:rPr>
                <w:sz w:val="17"/>
              </w:rPr>
            </w:pPr>
            <w:r>
              <w:rPr>
                <w:sz w:val="17"/>
              </w:rPr>
              <w:t>0.37</w:t>
            </w:r>
          </w:p>
        </w:tc>
        <w:tc>
          <w:tcPr>
            <w:tcW w:w="1538" w:type="dxa"/>
            <w:tcBorders>
              <w:right w:val="single" w:sz="4" w:space="0" w:color="FFFFFF"/>
            </w:tcBorders>
            <w:shd w:val="clear" w:color="auto" w:fill="DBEDF3"/>
          </w:tcPr>
          <w:p>
            <w:pPr>
              <w:pStyle w:val="TableParagraph"/>
              <w:spacing w:before="6"/>
              <w:ind w:left="591"/>
              <w:jc w:val="left"/>
              <w:rPr>
                <w:sz w:val="17"/>
              </w:rPr>
            </w:pPr>
            <w:r>
              <w:rPr>
                <w:sz w:val="17"/>
              </w:rPr>
              <w:t>0.87</w:t>
            </w:r>
          </w:p>
        </w:tc>
      </w:tr>
    </w:tbl>
    <w:p>
      <w:pPr>
        <w:spacing w:before="135"/>
        <w:ind w:left="102" w:right="1021" w:firstLine="0"/>
        <w:jc w:val="left"/>
        <w:rPr>
          <w:sz w:val="20"/>
        </w:rPr>
      </w:pPr>
      <w:r>
        <w:rPr>
          <w:sz w:val="20"/>
        </w:rPr>
        <w:t>BP corresponde al Balance primario en términos del PIB.</w:t>
      </w:r>
    </w:p>
    <w:p>
      <w:pPr>
        <w:pStyle w:val="BodyText"/>
        <w:rPr>
          <w:sz w:val="20"/>
        </w:rPr>
      </w:pPr>
    </w:p>
    <w:p>
      <w:pPr>
        <w:pStyle w:val="BodyText"/>
        <w:rPr>
          <w:sz w:val="25"/>
        </w:rPr>
      </w:pPr>
    </w:p>
    <w:p>
      <w:pPr>
        <w:pStyle w:val="BodyText"/>
        <w:spacing w:line="360" w:lineRule="auto"/>
        <w:ind w:left="102" w:right="258"/>
      </w:pPr>
      <w:r>
        <w:rPr/>
        <w:pict>
          <v:line style="position:absolute;mso-position-horizontal-relative:page;mso-position-vertical-relative:paragraph;z-index:-553792" from="555.452271pt,45.212818pt" to="555.452271pt,148.897951pt" stroked="true" strokeweight=".283072pt" strokecolor="#ffffff">
            <w10:wrap type="none"/>
          </v:line>
        </w:pict>
      </w:r>
      <w:r>
        <w:rPr/>
        <w:t>Anexo 4.2 C: Ho: Las variables explicativas (en diferencia) no causan Granger a la deuda pública (en diferencia)</w:t>
      </w:r>
    </w:p>
    <w:p>
      <w:pPr>
        <w:pStyle w:val="BodyText"/>
        <w:spacing w:before="11"/>
        <w:rPr>
          <w:sz w:val="6"/>
        </w:rPr>
      </w:pPr>
    </w:p>
    <w:tbl>
      <w:tblPr>
        <w:tblW w:w="0" w:type="auto"/>
        <w:jc w:val="left"/>
        <w:tblInd w:w="13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7"/>
        <w:gridCol w:w="713"/>
        <w:gridCol w:w="607"/>
        <w:gridCol w:w="798"/>
        <w:gridCol w:w="1032"/>
        <w:gridCol w:w="988"/>
        <w:gridCol w:w="967"/>
        <w:gridCol w:w="852"/>
        <w:gridCol w:w="848"/>
        <w:gridCol w:w="1090"/>
        <w:gridCol w:w="1032"/>
      </w:tblGrid>
      <w:tr>
        <w:trPr>
          <w:trHeight w:val="588" w:hRule="exact"/>
        </w:trPr>
        <w:tc>
          <w:tcPr>
            <w:tcW w:w="447" w:type="dxa"/>
            <w:tcBorders>
              <w:bottom w:val="double" w:sz="5" w:space="0" w:color="000000"/>
            </w:tcBorders>
          </w:tcPr>
          <w:p>
            <w:pPr>
              <w:pStyle w:val="TableParagraph"/>
              <w:spacing w:before="155"/>
              <w:ind w:left="10" w:right="11"/>
              <w:rPr>
                <w:b/>
                <w:sz w:val="22"/>
              </w:rPr>
            </w:pPr>
            <w:r>
              <w:rPr>
                <w:b/>
                <w:w w:val="50"/>
                <w:sz w:val="22"/>
              </w:rPr>
              <w:t>Rezagos</w:t>
            </w:r>
          </w:p>
        </w:tc>
        <w:tc>
          <w:tcPr>
            <w:tcW w:w="713" w:type="dxa"/>
            <w:tcBorders>
              <w:bottom w:val="double" w:sz="5" w:space="0" w:color="000000"/>
            </w:tcBorders>
            <w:shd w:val="clear" w:color="auto" w:fill="DBEDF3"/>
          </w:tcPr>
          <w:p>
            <w:pPr>
              <w:pStyle w:val="TableParagraph"/>
              <w:spacing w:before="11"/>
              <w:ind w:left="170"/>
              <w:jc w:val="left"/>
              <w:rPr>
                <w:b/>
                <w:sz w:val="22"/>
              </w:rPr>
            </w:pPr>
            <w:r>
              <w:rPr>
                <w:b/>
                <w:w w:val="50"/>
                <w:sz w:val="22"/>
              </w:rPr>
              <w:t>a)</w:t>
            </w:r>
            <w:r>
              <w:rPr>
                <w:b/>
                <w:spacing w:val="-5"/>
                <w:w w:val="50"/>
                <w:sz w:val="22"/>
              </w:rPr>
              <w:t> </w:t>
            </w:r>
            <w:r>
              <w:rPr>
                <w:rFonts w:ascii="Calibri" w:hAnsi="Calibri"/>
                <w:b/>
                <w:w w:val="50"/>
                <w:sz w:val="22"/>
              </w:rPr>
              <w:t>∆</w:t>
            </w:r>
            <w:r>
              <w:rPr>
                <w:b/>
                <w:w w:val="50"/>
                <w:sz w:val="22"/>
              </w:rPr>
              <w:t>Pg  </w:t>
            </w:r>
            <w:r>
              <w:rPr>
                <w:b/>
                <w:spacing w:val="-11"/>
                <w:position w:val="-2"/>
                <w:sz w:val="22"/>
              </w:rPr>
              <w:drawing>
                <wp:inline distT="0" distB="0" distL="0" distR="0">
                  <wp:extent cx="95903" cy="147637"/>
                  <wp:effectExtent l="0" t="0" r="0" b="0"/>
                  <wp:docPr id="101" name="image327.png" descr=""/>
                  <wp:cNvGraphicFramePr>
                    <a:graphicFrameLocks noChangeAspect="1"/>
                  </wp:cNvGraphicFramePr>
                  <a:graphic>
                    <a:graphicData uri="http://schemas.openxmlformats.org/drawingml/2006/picture">
                      <pic:pic>
                        <pic:nvPicPr>
                          <pic:cNvPr id="102" name="image327.png"/>
                          <pic:cNvPicPr/>
                        </pic:nvPicPr>
                        <pic:blipFill>
                          <a:blip r:embed="rId353" cstate="print"/>
                          <a:stretch>
                            <a:fillRect/>
                          </a:stretch>
                        </pic:blipFill>
                        <pic:spPr>
                          <a:xfrm>
                            <a:off x="0" y="0"/>
                            <a:ext cx="95903" cy="147637"/>
                          </a:xfrm>
                          <a:prstGeom prst="rect">
                            <a:avLst/>
                          </a:prstGeom>
                        </pic:spPr>
                      </pic:pic>
                    </a:graphicData>
                  </a:graphic>
                </wp:inline>
              </w:drawing>
            </w:r>
            <w:r>
              <w:rPr>
                <w:b/>
                <w:spacing w:val="-11"/>
                <w:position w:val="-2"/>
                <w:sz w:val="22"/>
              </w:rPr>
            </w:r>
          </w:p>
          <w:p>
            <w:pPr>
              <w:pStyle w:val="TableParagraph"/>
              <w:spacing w:before="26"/>
              <w:ind w:left="187"/>
              <w:jc w:val="left"/>
              <w:rPr>
                <w:sz w:val="22"/>
              </w:rPr>
            </w:pPr>
            <w:r>
              <w:rPr>
                <w:w w:val="50"/>
                <w:sz w:val="22"/>
              </w:rPr>
              <w:t>Est. "F"</w:t>
            </w:r>
          </w:p>
        </w:tc>
        <w:tc>
          <w:tcPr>
            <w:tcW w:w="607" w:type="dxa"/>
            <w:tcBorders>
              <w:bottom w:val="double" w:sz="5" w:space="0" w:color="000000"/>
            </w:tcBorders>
            <w:shd w:val="clear" w:color="auto" w:fill="DBEDF3"/>
          </w:tcPr>
          <w:p>
            <w:pPr>
              <w:pStyle w:val="TableParagraph"/>
              <w:spacing w:before="11"/>
              <w:ind w:left="-11" w:right="170"/>
              <w:rPr>
                <w:b/>
                <w:sz w:val="22"/>
              </w:rPr>
            </w:pPr>
            <w:r>
              <w:rPr>
                <w:rFonts w:ascii="Calibri" w:hAnsi="Calibri"/>
                <w:b/>
                <w:w w:val="50"/>
                <w:sz w:val="22"/>
              </w:rPr>
              <w:t>∆</w:t>
            </w:r>
            <w:r>
              <w:rPr>
                <w:b/>
                <w:w w:val="50"/>
                <w:sz w:val="22"/>
              </w:rPr>
              <w:t>DP/</w:t>
            </w:r>
            <w:r>
              <w:rPr>
                <w:b/>
                <w:spacing w:val="-10"/>
                <w:w w:val="50"/>
                <w:sz w:val="22"/>
              </w:rPr>
              <w:t> </w:t>
            </w:r>
            <w:r>
              <w:rPr>
                <w:b/>
                <w:w w:val="50"/>
                <w:sz w:val="22"/>
              </w:rPr>
              <w:t>PIB</w:t>
            </w:r>
          </w:p>
          <w:p>
            <w:pPr>
              <w:pStyle w:val="TableParagraph"/>
              <w:spacing w:before="26"/>
              <w:ind w:left="140" w:right="144"/>
              <w:rPr>
                <w:sz w:val="22"/>
              </w:rPr>
            </w:pPr>
            <w:r>
              <w:rPr>
                <w:w w:val="60"/>
                <w:sz w:val="22"/>
              </w:rPr>
              <w:t>Prob.</w:t>
            </w:r>
          </w:p>
        </w:tc>
        <w:tc>
          <w:tcPr>
            <w:tcW w:w="798" w:type="dxa"/>
            <w:tcBorders>
              <w:bottom w:val="double" w:sz="5" w:space="0" w:color="000000"/>
            </w:tcBorders>
          </w:tcPr>
          <w:p>
            <w:pPr>
              <w:pStyle w:val="TableParagraph"/>
              <w:spacing w:before="11"/>
              <w:ind w:left="73"/>
              <w:jc w:val="left"/>
              <w:rPr>
                <w:b/>
                <w:sz w:val="22"/>
              </w:rPr>
            </w:pPr>
            <w:r>
              <w:rPr>
                <w:b/>
                <w:w w:val="50"/>
                <w:sz w:val="22"/>
              </w:rPr>
              <w:t>b) </w:t>
            </w:r>
            <w:r>
              <w:rPr>
                <w:rFonts w:ascii="Calibri" w:hAnsi="Calibri"/>
                <w:b/>
                <w:w w:val="50"/>
                <w:sz w:val="22"/>
              </w:rPr>
              <w:t>∆</w:t>
            </w:r>
            <w:r>
              <w:rPr>
                <w:b/>
                <w:w w:val="50"/>
                <w:sz w:val="22"/>
              </w:rPr>
              <w:t>Asign. Ing.</w:t>
            </w:r>
          </w:p>
          <w:p>
            <w:pPr>
              <w:pStyle w:val="TableParagraph"/>
              <w:spacing w:before="26"/>
              <w:ind w:left="141"/>
              <w:jc w:val="left"/>
              <w:rPr>
                <w:sz w:val="22"/>
              </w:rPr>
            </w:pPr>
            <w:r>
              <w:rPr>
                <w:w w:val="50"/>
                <w:sz w:val="22"/>
              </w:rPr>
              <w:t>Est. "F"</w:t>
            </w:r>
          </w:p>
        </w:tc>
        <w:tc>
          <w:tcPr>
            <w:tcW w:w="1032" w:type="dxa"/>
            <w:tcBorders>
              <w:bottom w:val="double" w:sz="5" w:space="0" w:color="000000"/>
            </w:tcBorders>
          </w:tcPr>
          <w:p>
            <w:pPr>
              <w:pStyle w:val="TableParagraph"/>
              <w:spacing w:before="11"/>
              <w:ind w:left="4" w:right="89"/>
              <w:rPr>
                <w:b/>
                <w:sz w:val="22"/>
              </w:rPr>
            </w:pPr>
            <w:r>
              <w:rPr>
                <w:b/>
                <w:w w:val="45"/>
                <w:sz w:val="22"/>
              </w:rPr>
              <w:t>Gasíf.  </w:t>
            </w:r>
            <w:r>
              <w:rPr>
                <w:b/>
                <w:spacing w:val="-23"/>
                <w:position w:val="-1"/>
                <w:sz w:val="22"/>
              </w:rPr>
              <w:drawing>
                <wp:inline distT="0" distB="0" distL="0" distR="0">
                  <wp:extent cx="96038" cy="126301"/>
                  <wp:effectExtent l="0" t="0" r="0" b="0"/>
                  <wp:docPr id="103" name="image328.png" descr=""/>
                  <wp:cNvGraphicFramePr>
                    <a:graphicFrameLocks noChangeAspect="1"/>
                  </wp:cNvGraphicFramePr>
                  <a:graphic>
                    <a:graphicData uri="http://schemas.openxmlformats.org/drawingml/2006/picture">
                      <pic:pic>
                        <pic:nvPicPr>
                          <pic:cNvPr id="104" name="image328.png"/>
                          <pic:cNvPicPr/>
                        </pic:nvPicPr>
                        <pic:blipFill>
                          <a:blip r:embed="rId354" cstate="print"/>
                          <a:stretch>
                            <a:fillRect/>
                          </a:stretch>
                        </pic:blipFill>
                        <pic:spPr>
                          <a:xfrm>
                            <a:off x="0" y="0"/>
                            <a:ext cx="96038" cy="126301"/>
                          </a:xfrm>
                          <a:prstGeom prst="rect">
                            <a:avLst/>
                          </a:prstGeom>
                        </pic:spPr>
                      </pic:pic>
                    </a:graphicData>
                  </a:graphic>
                </wp:inline>
              </w:drawing>
            </w:r>
            <w:r>
              <w:rPr>
                <w:b/>
                <w:spacing w:val="-23"/>
                <w:position w:val="-1"/>
                <w:sz w:val="22"/>
              </w:rPr>
            </w:r>
            <w:r>
              <w:rPr>
                <w:rFonts w:ascii="Calibri" w:hAnsi="Calibri"/>
                <w:b/>
                <w:w w:val="50"/>
                <w:sz w:val="22"/>
              </w:rPr>
              <w:t>∆</w:t>
            </w:r>
            <w:r>
              <w:rPr>
                <w:b/>
                <w:w w:val="50"/>
                <w:sz w:val="22"/>
              </w:rPr>
              <w:t>DP/</w:t>
            </w:r>
            <w:r>
              <w:rPr>
                <w:b/>
                <w:spacing w:val="-5"/>
                <w:w w:val="50"/>
                <w:sz w:val="22"/>
              </w:rPr>
              <w:t> </w:t>
            </w:r>
            <w:r>
              <w:rPr>
                <w:b/>
                <w:w w:val="50"/>
                <w:sz w:val="22"/>
              </w:rPr>
              <w:t>PIB</w:t>
            </w:r>
          </w:p>
          <w:p>
            <w:pPr>
              <w:pStyle w:val="TableParagraph"/>
              <w:spacing w:before="26"/>
              <w:ind w:left="4" w:right="172"/>
              <w:rPr>
                <w:sz w:val="22"/>
              </w:rPr>
            </w:pPr>
            <w:r>
              <w:rPr>
                <w:w w:val="60"/>
                <w:sz w:val="22"/>
              </w:rPr>
              <w:t>Prob.</w:t>
            </w:r>
          </w:p>
        </w:tc>
        <w:tc>
          <w:tcPr>
            <w:tcW w:w="988" w:type="dxa"/>
            <w:tcBorders>
              <w:bottom w:val="double" w:sz="5" w:space="0" w:color="000000"/>
            </w:tcBorders>
            <w:shd w:val="clear" w:color="auto" w:fill="DBEDF3"/>
          </w:tcPr>
          <w:p>
            <w:pPr>
              <w:pStyle w:val="TableParagraph"/>
              <w:spacing w:before="11"/>
              <w:ind w:right="13"/>
              <w:rPr>
                <w:b/>
                <w:sz w:val="22"/>
              </w:rPr>
            </w:pPr>
            <w:r>
              <w:rPr>
                <w:b/>
                <w:w w:val="50"/>
                <w:sz w:val="22"/>
              </w:rPr>
              <w:t>c) </w:t>
            </w:r>
            <w:r>
              <w:rPr>
                <w:rFonts w:ascii="Calibri" w:hAnsi="Calibri"/>
                <w:b/>
                <w:w w:val="50"/>
                <w:sz w:val="22"/>
              </w:rPr>
              <w:t>∆</w:t>
            </w:r>
            <w:r>
              <w:rPr>
                <w:b/>
                <w:w w:val="50"/>
                <w:sz w:val="22"/>
              </w:rPr>
              <w:t>Asign. Ing. No G</w:t>
            </w:r>
          </w:p>
          <w:p>
            <w:pPr>
              <w:pStyle w:val="TableParagraph"/>
              <w:spacing w:before="26"/>
              <w:ind w:right="41"/>
              <w:rPr>
                <w:sz w:val="22"/>
              </w:rPr>
            </w:pPr>
            <w:r>
              <w:rPr>
                <w:w w:val="50"/>
                <w:sz w:val="22"/>
              </w:rPr>
              <w:t>Est. "F"</w:t>
            </w:r>
          </w:p>
        </w:tc>
        <w:tc>
          <w:tcPr>
            <w:tcW w:w="967" w:type="dxa"/>
            <w:tcBorders>
              <w:bottom w:val="double" w:sz="5" w:space="0" w:color="000000"/>
            </w:tcBorders>
            <w:shd w:val="clear" w:color="auto" w:fill="DBEDF3"/>
          </w:tcPr>
          <w:p>
            <w:pPr>
              <w:pStyle w:val="TableParagraph"/>
              <w:spacing w:before="11"/>
              <w:ind w:left="93" w:right="130"/>
              <w:rPr>
                <w:b/>
                <w:sz w:val="22"/>
              </w:rPr>
            </w:pPr>
            <w:r>
              <w:rPr>
                <w:b/>
                <w:spacing w:val="2"/>
                <w:w w:val="49"/>
                <w:sz w:val="22"/>
              </w:rPr>
              <w:t>a</w:t>
            </w:r>
            <w:r>
              <w:rPr>
                <w:b/>
                <w:spacing w:val="3"/>
                <w:w w:val="49"/>
                <w:sz w:val="22"/>
              </w:rPr>
              <w:t>s</w:t>
            </w:r>
            <w:r>
              <w:rPr>
                <w:b/>
                <w:spacing w:val="-2"/>
                <w:w w:val="49"/>
                <w:sz w:val="22"/>
              </w:rPr>
              <w:t>í</w:t>
            </w:r>
            <w:r>
              <w:rPr>
                <w:b/>
                <w:spacing w:val="-3"/>
                <w:w w:val="49"/>
                <w:sz w:val="22"/>
              </w:rPr>
              <w:t>f</w:t>
            </w:r>
            <w:r>
              <w:rPr>
                <w:b/>
                <w:spacing w:val="15"/>
                <w:w w:val="49"/>
                <w:sz w:val="22"/>
              </w:rPr>
              <w:t>.</w:t>
            </w:r>
            <w:r>
              <w:rPr>
                <w:b/>
                <w:spacing w:val="15"/>
                <w:w w:val="49"/>
                <w:position w:val="-5"/>
                <w:sz w:val="22"/>
              </w:rPr>
              <w:drawing>
                <wp:inline distT="0" distB="0" distL="0" distR="0">
                  <wp:extent cx="94337" cy="157162"/>
                  <wp:effectExtent l="0" t="0" r="0" b="0"/>
                  <wp:docPr id="105" name="image329.png" descr=""/>
                  <wp:cNvGraphicFramePr>
                    <a:graphicFrameLocks noChangeAspect="1"/>
                  </wp:cNvGraphicFramePr>
                  <a:graphic>
                    <a:graphicData uri="http://schemas.openxmlformats.org/drawingml/2006/picture">
                      <pic:pic>
                        <pic:nvPicPr>
                          <pic:cNvPr id="106" name="image329.png"/>
                          <pic:cNvPicPr/>
                        </pic:nvPicPr>
                        <pic:blipFill>
                          <a:blip r:embed="rId355" cstate="print"/>
                          <a:stretch>
                            <a:fillRect/>
                          </a:stretch>
                        </pic:blipFill>
                        <pic:spPr>
                          <a:xfrm>
                            <a:off x="0" y="0"/>
                            <a:ext cx="94337" cy="157162"/>
                          </a:xfrm>
                          <a:prstGeom prst="rect">
                            <a:avLst/>
                          </a:prstGeom>
                        </pic:spPr>
                      </pic:pic>
                    </a:graphicData>
                  </a:graphic>
                </wp:inline>
              </w:drawing>
            </w:r>
            <w:r>
              <w:rPr>
                <w:b/>
                <w:spacing w:val="15"/>
                <w:w w:val="49"/>
                <w:position w:val="-5"/>
                <w:sz w:val="22"/>
              </w:rPr>
            </w:r>
            <w:r>
              <w:rPr>
                <w:spacing w:val="15"/>
                <w:w w:val="49"/>
                <w:sz w:val="22"/>
              </w:rPr>
              <w:t>  </w:t>
            </w:r>
            <w:r>
              <w:rPr>
                <w:rFonts w:ascii="Calibri" w:hAnsi="Calibri"/>
                <w:b/>
                <w:w w:val="50"/>
                <w:sz w:val="22"/>
              </w:rPr>
              <w:t>∆ </w:t>
            </w:r>
            <w:r>
              <w:rPr>
                <w:b/>
                <w:w w:val="50"/>
                <w:sz w:val="22"/>
              </w:rPr>
              <w:t>DP/</w:t>
            </w:r>
            <w:r>
              <w:rPr>
                <w:b/>
                <w:spacing w:val="-6"/>
                <w:w w:val="50"/>
                <w:sz w:val="22"/>
              </w:rPr>
              <w:t> </w:t>
            </w:r>
            <w:r>
              <w:rPr>
                <w:b/>
                <w:w w:val="50"/>
                <w:sz w:val="22"/>
              </w:rPr>
              <w:t>PIB</w:t>
            </w:r>
          </w:p>
          <w:p>
            <w:pPr>
              <w:pStyle w:val="TableParagraph"/>
              <w:spacing w:before="26"/>
              <w:ind w:left="89" w:right="130"/>
              <w:rPr>
                <w:sz w:val="22"/>
              </w:rPr>
            </w:pPr>
            <w:r>
              <w:rPr>
                <w:w w:val="60"/>
                <w:sz w:val="22"/>
              </w:rPr>
              <w:t>Prob.</w:t>
            </w:r>
          </w:p>
        </w:tc>
        <w:tc>
          <w:tcPr>
            <w:tcW w:w="852" w:type="dxa"/>
            <w:tcBorders>
              <w:bottom w:val="double" w:sz="5" w:space="0" w:color="000000"/>
            </w:tcBorders>
          </w:tcPr>
          <w:p>
            <w:pPr>
              <w:pStyle w:val="TableParagraph"/>
              <w:spacing w:before="11"/>
              <w:ind w:left="35" w:right="88"/>
              <w:rPr>
                <w:b/>
                <w:sz w:val="22"/>
              </w:rPr>
            </w:pPr>
            <w:r>
              <w:rPr>
                <w:b/>
                <w:w w:val="45"/>
                <w:sz w:val="22"/>
              </w:rPr>
              <w:t>d)   </w:t>
            </w:r>
            <w:r>
              <w:rPr>
                <w:rFonts w:ascii="Calibri" w:hAnsi="Calibri"/>
                <w:b/>
                <w:w w:val="45"/>
                <w:sz w:val="22"/>
              </w:rPr>
              <w:t>∆</w:t>
            </w:r>
            <w:r>
              <w:rPr>
                <w:b/>
                <w:w w:val="45"/>
                <w:sz w:val="22"/>
              </w:rPr>
              <w:t>BPNG/PIB</w:t>
            </w:r>
          </w:p>
          <w:p>
            <w:pPr>
              <w:pStyle w:val="TableParagraph"/>
              <w:spacing w:before="26"/>
              <w:ind w:left="35" w:right="87"/>
              <w:rPr>
                <w:sz w:val="22"/>
              </w:rPr>
            </w:pPr>
            <w:r>
              <w:rPr>
                <w:w w:val="50"/>
                <w:sz w:val="22"/>
              </w:rPr>
              <w:t>Est. "F"</w:t>
            </w:r>
          </w:p>
        </w:tc>
        <w:tc>
          <w:tcPr>
            <w:tcW w:w="848" w:type="dxa"/>
            <w:tcBorders>
              <w:bottom w:val="double" w:sz="5" w:space="0" w:color="000000"/>
            </w:tcBorders>
          </w:tcPr>
          <w:p>
            <w:pPr>
              <w:pStyle w:val="TableParagraph"/>
              <w:spacing w:before="11"/>
              <w:ind w:left="68" w:right="68"/>
              <w:rPr>
                <w:b/>
                <w:sz w:val="22"/>
              </w:rPr>
            </w:pPr>
            <w:r>
              <w:rPr>
                <w:position w:val="-4"/>
              </w:rPr>
              <w:drawing>
                <wp:inline distT="0" distB="0" distL="0" distR="0">
                  <wp:extent cx="96038" cy="126301"/>
                  <wp:effectExtent l="0" t="0" r="0" b="0"/>
                  <wp:docPr id="107" name="image330.png" descr=""/>
                  <wp:cNvGraphicFramePr>
                    <a:graphicFrameLocks noChangeAspect="1"/>
                  </wp:cNvGraphicFramePr>
                  <a:graphic>
                    <a:graphicData uri="http://schemas.openxmlformats.org/drawingml/2006/picture">
                      <pic:pic>
                        <pic:nvPicPr>
                          <pic:cNvPr id="108" name="image330.png"/>
                          <pic:cNvPicPr/>
                        </pic:nvPicPr>
                        <pic:blipFill>
                          <a:blip r:embed="rId356" cstate="print"/>
                          <a:stretch>
                            <a:fillRect/>
                          </a:stretch>
                        </pic:blipFill>
                        <pic:spPr>
                          <a:xfrm>
                            <a:off x="0" y="0"/>
                            <a:ext cx="96038" cy="126301"/>
                          </a:xfrm>
                          <a:prstGeom prst="rect">
                            <a:avLst/>
                          </a:prstGeom>
                        </pic:spPr>
                      </pic:pic>
                    </a:graphicData>
                  </a:graphic>
                </wp:inline>
              </w:drawing>
            </w:r>
            <w:r>
              <w:rPr>
                <w:position w:val="-4"/>
              </w:rPr>
            </w:r>
            <w:r>
              <w:rPr>
                <w:sz w:val="20"/>
              </w:rPr>
              <w:t> </w:t>
            </w:r>
            <w:r>
              <w:rPr>
                <w:rFonts w:ascii="Calibri" w:hAnsi="Calibri"/>
                <w:b/>
                <w:w w:val="50"/>
                <w:sz w:val="22"/>
              </w:rPr>
              <w:t>∆ </w:t>
            </w:r>
            <w:r>
              <w:rPr>
                <w:b/>
                <w:w w:val="50"/>
                <w:sz w:val="22"/>
              </w:rPr>
              <w:t>DP/</w:t>
            </w:r>
            <w:r>
              <w:rPr>
                <w:b/>
                <w:spacing w:val="-6"/>
                <w:w w:val="50"/>
                <w:sz w:val="22"/>
              </w:rPr>
              <w:t> </w:t>
            </w:r>
            <w:r>
              <w:rPr>
                <w:b/>
                <w:w w:val="50"/>
                <w:sz w:val="22"/>
              </w:rPr>
              <w:t>PIB</w:t>
            </w:r>
          </w:p>
          <w:p>
            <w:pPr>
              <w:pStyle w:val="TableParagraph"/>
              <w:spacing w:before="26"/>
              <w:ind w:left="22" w:right="68"/>
              <w:rPr>
                <w:sz w:val="22"/>
              </w:rPr>
            </w:pPr>
            <w:r>
              <w:rPr>
                <w:w w:val="60"/>
                <w:sz w:val="22"/>
              </w:rPr>
              <w:t>Prob.</w:t>
            </w:r>
          </w:p>
        </w:tc>
        <w:tc>
          <w:tcPr>
            <w:tcW w:w="1090" w:type="dxa"/>
            <w:tcBorders>
              <w:bottom w:val="double" w:sz="5" w:space="0" w:color="000000"/>
            </w:tcBorders>
            <w:shd w:val="clear" w:color="auto" w:fill="DBEDF3"/>
          </w:tcPr>
          <w:p>
            <w:pPr>
              <w:pStyle w:val="TableParagraph"/>
              <w:spacing w:before="11"/>
              <w:ind w:left="322"/>
              <w:jc w:val="left"/>
              <w:rPr>
                <w:b/>
                <w:sz w:val="22"/>
              </w:rPr>
            </w:pPr>
            <w:r>
              <w:rPr>
                <w:b/>
                <w:w w:val="50"/>
                <w:sz w:val="22"/>
              </w:rPr>
              <w:t>e) </w:t>
            </w:r>
            <w:r>
              <w:rPr>
                <w:rFonts w:ascii="Calibri" w:hAnsi="Calibri"/>
                <w:b/>
                <w:w w:val="50"/>
                <w:sz w:val="22"/>
              </w:rPr>
              <w:t>∆</w:t>
            </w:r>
            <w:r>
              <w:rPr>
                <w:b/>
                <w:w w:val="50"/>
                <w:sz w:val="22"/>
              </w:rPr>
              <w:t>BP/PIB</w:t>
            </w:r>
          </w:p>
          <w:p>
            <w:pPr>
              <w:pStyle w:val="TableParagraph"/>
              <w:spacing w:before="26"/>
              <w:ind w:left="362"/>
              <w:jc w:val="left"/>
              <w:rPr>
                <w:sz w:val="22"/>
              </w:rPr>
            </w:pPr>
            <w:r>
              <w:rPr>
                <w:w w:val="50"/>
                <w:sz w:val="22"/>
              </w:rPr>
              <w:t>Est. "F"</w:t>
            </w:r>
          </w:p>
        </w:tc>
        <w:tc>
          <w:tcPr>
            <w:tcW w:w="1032" w:type="dxa"/>
            <w:tcBorders>
              <w:bottom w:val="double" w:sz="5" w:space="0" w:color="000000"/>
            </w:tcBorders>
            <w:shd w:val="clear" w:color="auto" w:fill="DBEDF3"/>
          </w:tcPr>
          <w:p>
            <w:pPr>
              <w:pStyle w:val="TableParagraph"/>
              <w:spacing w:before="11"/>
              <w:ind w:left="73"/>
              <w:jc w:val="left"/>
              <w:rPr>
                <w:b/>
                <w:sz w:val="22"/>
              </w:rPr>
            </w:pPr>
            <w:r>
              <w:rPr>
                <w:position w:val="-4"/>
              </w:rPr>
              <w:drawing>
                <wp:inline distT="0" distB="0" distL="0" distR="0">
                  <wp:extent cx="96038" cy="126301"/>
                  <wp:effectExtent l="0" t="0" r="0" b="0"/>
                  <wp:docPr id="109" name="image331.png" descr=""/>
                  <wp:cNvGraphicFramePr>
                    <a:graphicFrameLocks noChangeAspect="1"/>
                  </wp:cNvGraphicFramePr>
                  <a:graphic>
                    <a:graphicData uri="http://schemas.openxmlformats.org/drawingml/2006/picture">
                      <pic:pic>
                        <pic:nvPicPr>
                          <pic:cNvPr id="110" name="image331.png"/>
                          <pic:cNvPicPr/>
                        </pic:nvPicPr>
                        <pic:blipFill>
                          <a:blip r:embed="rId357" cstate="print"/>
                          <a:stretch>
                            <a:fillRect/>
                          </a:stretch>
                        </pic:blipFill>
                        <pic:spPr>
                          <a:xfrm>
                            <a:off x="0" y="0"/>
                            <a:ext cx="96038" cy="126301"/>
                          </a:xfrm>
                          <a:prstGeom prst="rect">
                            <a:avLst/>
                          </a:prstGeom>
                        </pic:spPr>
                      </pic:pic>
                    </a:graphicData>
                  </a:graphic>
                </wp:inline>
              </w:drawing>
            </w:r>
            <w:r>
              <w:rPr>
                <w:position w:val="-4"/>
              </w:rPr>
            </w:r>
            <w:r>
              <w:rPr>
                <w:rFonts w:ascii="Calibri" w:hAnsi="Calibri"/>
                <w:b/>
                <w:w w:val="50"/>
                <w:sz w:val="22"/>
              </w:rPr>
              <w:t>∆</w:t>
            </w:r>
            <w:r>
              <w:rPr>
                <w:b/>
                <w:w w:val="50"/>
                <w:sz w:val="22"/>
              </w:rPr>
              <w:t>DP/</w:t>
            </w:r>
            <w:r>
              <w:rPr>
                <w:b/>
                <w:spacing w:val="-10"/>
                <w:w w:val="50"/>
                <w:sz w:val="22"/>
              </w:rPr>
              <w:t> </w:t>
            </w:r>
            <w:r>
              <w:rPr>
                <w:b/>
                <w:w w:val="50"/>
                <w:sz w:val="22"/>
              </w:rPr>
              <w:t>PIB</w:t>
            </w:r>
          </w:p>
          <w:p>
            <w:pPr>
              <w:pStyle w:val="TableParagraph"/>
              <w:spacing w:before="26"/>
              <w:ind w:left="341" w:right="368"/>
              <w:rPr>
                <w:sz w:val="22"/>
              </w:rPr>
            </w:pPr>
            <w:r>
              <w:rPr>
                <w:w w:val="60"/>
                <w:sz w:val="22"/>
              </w:rPr>
              <w:t>Prob.</w:t>
            </w:r>
          </w:p>
        </w:tc>
      </w:tr>
      <w:tr>
        <w:trPr>
          <w:trHeight w:val="317" w:hRule="exact"/>
        </w:trPr>
        <w:tc>
          <w:tcPr>
            <w:tcW w:w="447" w:type="dxa"/>
            <w:tcBorders>
              <w:top w:val="double" w:sz="5" w:space="0" w:color="000000"/>
            </w:tcBorders>
          </w:tcPr>
          <w:p>
            <w:pPr>
              <w:pStyle w:val="TableParagraph"/>
              <w:spacing w:before="16"/>
              <w:ind w:left="3"/>
              <w:rPr>
                <w:sz w:val="22"/>
              </w:rPr>
            </w:pPr>
            <w:r>
              <w:rPr>
                <w:w w:val="49"/>
                <w:sz w:val="22"/>
              </w:rPr>
              <w:t>1</w:t>
            </w:r>
          </w:p>
        </w:tc>
        <w:tc>
          <w:tcPr>
            <w:tcW w:w="713" w:type="dxa"/>
            <w:tcBorders>
              <w:top w:val="double" w:sz="5" w:space="0" w:color="000000"/>
            </w:tcBorders>
            <w:shd w:val="clear" w:color="auto" w:fill="DBEDF3"/>
          </w:tcPr>
          <w:p>
            <w:pPr>
              <w:pStyle w:val="TableParagraph"/>
              <w:spacing w:before="16"/>
              <w:ind w:right="260"/>
              <w:jc w:val="right"/>
              <w:rPr>
                <w:sz w:val="22"/>
              </w:rPr>
            </w:pPr>
            <w:r>
              <w:rPr>
                <w:w w:val="45"/>
                <w:sz w:val="22"/>
              </w:rPr>
              <w:t>1.22</w:t>
            </w:r>
          </w:p>
        </w:tc>
        <w:tc>
          <w:tcPr>
            <w:tcW w:w="607" w:type="dxa"/>
            <w:tcBorders>
              <w:top w:val="double" w:sz="5" w:space="0" w:color="000000"/>
            </w:tcBorders>
            <w:shd w:val="clear" w:color="auto" w:fill="DBEDF3"/>
          </w:tcPr>
          <w:p>
            <w:pPr>
              <w:pStyle w:val="TableParagraph"/>
              <w:spacing w:before="16"/>
              <w:ind w:left="140" w:right="140"/>
              <w:rPr>
                <w:sz w:val="22"/>
              </w:rPr>
            </w:pPr>
            <w:r>
              <w:rPr>
                <w:w w:val="60"/>
                <w:sz w:val="22"/>
              </w:rPr>
              <w:t>0.28</w:t>
            </w:r>
          </w:p>
        </w:tc>
        <w:tc>
          <w:tcPr>
            <w:tcW w:w="798" w:type="dxa"/>
            <w:tcBorders>
              <w:top w:val="double" w:sz="5" w:space="0" w:color="000000"/>
            </w:tcBorders>
          </w:tcPr>
          <w:p>
            <w:pPr>
              <w:pStyle w:val="TableParagraph"/>
              <w:spacing w:before="16"/>
              <w:ind w:left="220"/>
              <w:jc w:val="left"/>
              <w:rPr>
                <w:sz w:val="22"/>
              </w:rPr>
            </w:pPr>
            <w:r>
              <w:rPr>
                <w:w w:val="60"/>
                <w:sz w:val="22"/>
              </w:rPr>
              <w:t>2.41</w:t>
            </w:r>
          </w:p>
        </w:tc>
        <w:tc>
          <w:tcPr>
            <w:tcW w:w="1032" w:type="dxa"/>
            <w:tcBorders>
              <w:top w:val="double" w:sz="5" w:space="0" w:color="000000"/>
            </w:tcBorders>
          </w:tcPr>
          <w:p>
            <w:pPr>
              <w:pStyle w:val="TableParagraph"/>
              <w:spacing w:before="16"/>
              <w:ind w:left="340"/>
              <w:jc w:val="left"/>
              <w:rPr>
                <w:sz w:val="22"/>
              </w:rPr>
            </w:pPr>
            <w:r>
              <w:rPr>
                <w:w w:val="60"/>
                <w:sz w:val="22"/>
              </w:rPr>
              <w:t>0.13</w:t>
            </w:r>
          </w:p>
        </w:tc>
        <w:tc>
          <w:tcPr>
            <w:tcW w:w="988" w:type="dxa"/>
            <w:tcBorders>
              <w:top w:val="double" w:sz="5" w:space="0" w:color="000000"/>
            </w:tcBorders>
            <w:shd w:val="clear" w:color="auto" w:fill="DBEDF3"/>
          </w:tcPr>
          <w:p>
            <w:pPr>
              <w:pStyle w:val="TableParagraph"/>
              <w:spacing w:before="16"/>
              <w:ind w:left="385"/>
              <w:jc w:val="left"/>
              <w:rPr>
                <w:sz w:val="22"/>
              </w:rPr>
            </w:pPr>
            <w:r>
              <w:rPr>
                <w:w w:val="60"/>
                <w:sz w:val="22"/>
              </w:rPr>
              <w:t>2.34</w:t>
            </w:r>
          </w:p>
        </w:tc>
        <w:tc>
          <w:tcPr>
            <w:tcW w:w="967" w:type="dxa"/>
            <w:tcBorders>
              <w:top w:val="double" w:sz="5" w:space="0" w:color="000000"/>
            </w:tcBorders>
            <w:shd w:val="clear" w:color="auto" w:fill="DBEDF3"/>
          </w:tcPr>
          <w:p>
            <w:pPr>
              <w:pStyle w:val="TableParagraph"/>
              <w:spacing w:before="16"/>
              <w:ind w:left="93" w:right="129"/>
              <w:rPr>
                <w:sz w:val="22"/>
              </w:rPr>
            </w:pPr>
            <w:r>
              <w:rPr>
                <w:w w:val="60"/>
                <w:sz w:val="22"/>
              </w:rPr>
              <w:t>0.14</w:t>
            </w:r>
          </w:p>
        </w:tc>
        <w:tc>
          <w:tcPr>
            <w:tcW w:w="852" w:type="dxa"/>
            <w:tcBorders>
              <w:top w:val="double" w:sz="5" w:space="0" w:color="000000"/>
            </w:tcBorders>
          </w:tcPr>
          <w:p>
            <w:pPr>
              <w:pStyle w:val="TableParagraph"/>
              <w:spacing w:before="16"/>
              <w:ind w:left="311"/>
              <w:jc w:val="left"/>
              <w:rPr>
                <w:sz w:val="22"/>
              </w:rPr>
            </w:pPr>
            <w:r>
              <w:rPr>
                <w:w w:val="60"/>
                <w:sz w:val="22"/>
              </w:rPr>
              <w:t>0.87</w:t>
            </w:r>
          </w:p>
        </w:tc>
        <w:tc>
          <w:tcPr>
            <w:tcW w:w="848" w:type="dxa"/>
            <w:tcBorders>
              <w:top w:val="double" w:sz="5" w:space="0" w:color="000000"/>
            </w:tcBorders>
          </w:tcPr>
          <w:p>
            <w:pPr>
              <w:pStyle w:val="TableParagraph"/>
              <w:spacing w:before="16"/>
              <w:ind w:left="26" w:right="68"/>
              <w:rPr>
                <w:sz w:val="22"/>
              </w:rPr>
            </w:pPr>
            <w:r>
              <w:rPr>
                <w:w w:val="60"/>
                <w:sz w:val="22"/>
              </w:rPr>
              <w:t>0.36</w:t>
            </w:r>
          </w:p>
        </w:tc>
        <w:tc>
          <w:tcPr>
            <w:tcW w:w="1090" w:type="dxa"/>
            <w:tcBorders>
              <w:top w:val="double" w:sz="5" w:space="0" w:color="000000"/>
            </w:tcBorders>
            <w:shd w:val="clear" w:color="auto" w:fill="DBEDF3"/>
          </w:tcPr>
          <w:p>
            <w:pPr>
              <w:pStyle w:val="TableParagraph"/>
              <w:spacing w:before="16"/>
              <w:ind w:left="399" w:right="418"/>
              <w:rPr>
                <w:sz w:val="22"/>
              </w:rPr>
            </w:pPr>
            <w:r>
              <w:rPr>
                <w:w w:val="60"/>
                <w:sz w:val="22"/>
              </w:rPr>
              <w:t>0.83</w:t>
            </w:r>
          </w:p>
        </w:tc>
        <w:tc>
          <w:tcPr>
            <w:tcW w:w="1032" w:type="dxa"/>
            <w:tcBorders>
              <w:top w:val="double" w:sz="5" w:space="0" w:color="000000"/>
            </w:tcBorders>
            <w:shd w:val="clear" w:color="auto" w:fill="DBEDF3"/>
          </w:tcPr>
          <w:p>
            <w:pPr>
              <w:pStyle w:val="TableParagraph"/>
              <w:spacing w:before="16"/>
              <w:ind w:left="411"/>
              <w:jc w:val="left"/>
              <w:rPr>
                <w:sz w:val="22"/>
              </w:rPr>
            </w:pPr>
            <w:r>
              <w:rPr>
                <w:w w:val="60"/>
                <w:sz w:val="22"/>
              </w:rPr>
              <w:t>0.37</w:t>
            </w:r>
          </w:p>
        </w:tc>
      </w:tr>
      <w:tr>
        <w:trPr>
          <w:trHeight w:val="291" w:hRule="exact"/>
        </w:trPr>
        <w:tc>
          <w:tcPr>
            <w:tcW w:w="447" w:type="dxa"/>
          </w:tcPr>
          <w:p>
            <w:pPr>
              <w:pStyle w:val="TableParagraph"/>
              <w:spacing w:before="7"/>
              <w:ind w:left="3"/>
              <w:rPr>
                <w:sz w:val="22"/>
              </w:rPr>
            </w:pPr>
            <w:r>
              <w:rPr>
                <w:w w:val="49"/>
                <w:sz w:val="22"/>
              </w:rPr>
              <w:t>2</w:t>
            </w:r>
          </w:p>
        </w:tc>
        <w:tc>
          <w:tcPr>
            <w:tcW w:w="713" w:type="dxa"/>
            <w:shd w:val="clear" w:color="auto" w:fill="DBEDF3"/>
          </w:tcPr>
          <w:p>
            <w:pPr>
              <w:pStyle w:val="TableParagraph"/>
              <w:spacing w:before="7"/>
              <w:ind w:right="260"/>
              <w:jc w:val="right"/>
              <w:rPr>
                <w:sz w:val="22"/>
              </w:rPr>
            </w:pPr>
            <w:r>
              <w:rPr>
                <w:w w:val="45"/>
                <w:sz w:val="22"/>
              </w:rPr>
              <w:t>2.95</w:t>
            </w:r>
          </w:p>
        </w:tc>
        <w:tc>
          <w:tcPr>
            <w:tcW w:w="607" w:type="dxa"/>
            <w:shd w:val="clear" w:color="auto" w:fill="DBEDF3"/>
          </w:tcPr>
          <w:p>
            <w:pPr>
              <w:pStyle w:val="TableParagraph"/>
              <w:spacing w:before="7"/>
              <w:ind w:left="140" w:right="140"/>
              <w:rPr>
                <w:sz w:val="22"/>
              </w:rPr>
            </w:pPr>
            <w:r>
              <w:rPr>
                <w:w w:val="60"/>
                <w:sz w:val="22"/>
              </w:rPr>
              <w:t>0.07</w:t>
            </w:r>
          </w:p>
        </w:tc>
        <w:tc>
          <w:tcPr>
            <w:tcW w:w="798" w:type="dxa"/>
          </w:tcPr>
          <w:p>
            <w:pPr>
              <w:pStyle w:val="TableParagraph"/>
              <w:spacing w:before="7"/>
              <w:ind w:left="220"/>
              <w:jc w:val="left"/>
              <w:rPr>
                <w:sz w:val="22"/>
              </w:rPr>
            </w:pPr>
            <w:r>
              <w:rPr>
                <w:w w:val="60"/>
                <w:sz w:val="22"/>
              </w:rPr>
              <w:t>3.91</w:t>
            </w:r>
          </w:p>
        </w:tc>
        <w:tc>
          <w:tcPr>
            <w:tcW w:w="1032" w:type="dxa"/>
          </w:tcPr>
          <w:p>
            <w:pPr>
              <w:pStyle w:val="TableParagraph"/>
              <w:spacing w:before="7"/>
              <w:ind w:left="340"/>
              <w:jc w:val="left"/>
              <w:rPr>
                <w:sz w:val="22"/>
              </w:rPr>
            </w:pPr>
            <w:r>
              <w:rPr>
                <w:w w:val="60"/>
                <w:sz w:val="22"/>
              </w:rPr>
              <w:t>0.03</w:t>
            </w:r>
          </w:p>
        </w:tc>
        <w:tc>
          <w:tcPr>
            <w:tcW w:w="988" w:type="dxa"/>
            <w:shd w:val="clear" w:color="auto" w:fill="DBEDF3"/>
          </w:tcPr>
          <w:p>
            <w:pPr>
              <w:pStyle w:val="TableParagraph"/>
              <w:spacing w:before="7"/>
              <w:ind w:left="385"/>
              <w:jc w:val="left"/>
              <w:rPr>
                <w:sz w:val="22"/>
              </w:rPr>
            </w:pPr>
            <w:r>
              <w:rPr>
                <w:w w:val="60"/>
                <w:sz w:val="22"/>
              </w:rPr>
              <w:t>1.38</w:t>
            </w:r>
          </w:p>
        </w:tc>
        <w:tc>
          <w:tcPr>
            <w:tcW w:w="967" w:type="dxa"/>
            <w:shd w:val="clear" w:color="auto" w:fill="DBEDF3"/>
          </w:tcPr>
          <w:p>
            <w:pPr>
              <w:pStyle w:val="TableParagraph"/>
              <w:spacing w:before="7"/>
              <w:ind w:left="93" w:right="129"/>
              <w:rPr>
                <w:sz w:val="22"/>
              </w:rPr>
            </w:pPr>
            <w:r>
              <w:rPr>
                <w:w w:val="60"/>
                <w:sz w:val="22"/>
              </w:rPr>
              <w:t>0.27</w:t>
            </w:r>
          </w:p>
        </w:tc>
        <w:tc>
          <w:tcPr>
            <w:tcW w:w="852" w:type="dxa"/>
          </w:tcPr>
          <w:p>
            <w:pPr>
              <w:pStyle w:val="TableParagraph"/>
              <w:spacing w:before="7"/>
              <w:ind w:left="311"/>
              <w:jc w:val="left"/>
              <w:rPr>
                <w:sz w:val="22"/>
              </w:rPr>
            </w:pPr>
            <w:r>
              <w:rPr>
                <w:w w:val="60"/>
                <w:sz w:val="22"/>
              </w:rPr>
              <w:t>0.44</w:t>
            </w:r>
          </w:p>
        </w:tc>
        <w:tc>
          <w:tcPr>
            <w:tcW w:w="848" w:type="dxa"/>
          </w:tcPr>
          <w:p>
            <w:pPr>
              <w:pStyle w:val="TableParagraph"/>
              <w:spacing w:before="7"/>
              <w:ind w:left="26" w:right="68"/>
              <w:rPr>
                <w:sz w:val="22"/>
              </w:rPr>
            </w:pPr>
            <w:r>
              <w:rPr>
                <w:w w:val="60"/>
                <w:sz w:val="22"/>
              </w:rPr>
              <w:t>0.65</w:t>
            </w:r>
          </w:p>
        </w:tc>
        <w:tc>
          <w:tcPr>
            <w:tcW w:w="1090" w:type="dxa"/>
            <w:shd w:val="clear" w:color="auto" w:fill="DBEDF3"/>
          </w:tcPr>
          <w:p>
            <w:pPr>
              <w:pStyle w:val="TableParagraph"/>
              <w:spacing w:before="7"/>
              <w:ind w:left="399" w:right="418"/>
              <w:rPr>
                <w:sz w:val="22"/>
              </w:rPr>
            </w:pPr>
            <w:r>
              <w:rPr>
                <w:w w:val="60"/>
                <w:sz w:val="22"/>
              </w:rPr>
              <w:t>1.00</w:t>
            </w:r>
          </w:p>
        </w:tc>
        <w:tc>
          <w:tcPr>
            <w:tcW w:w="1032" w:type="dxa"/>
            <w:shd w:val="clear" w:color="auto" w:fill="DBEDF3"/>
          </w:tcPr>
          <w:p>
            <w:pPr>
              <w:pStyle w:val="TableParagraph"/>
              <w:spacing w:before="7"/>
              <w:ind w:left="411"/>
              <w:jc w:val="left"/>
              <w:rPr>
                <w:sz w:val="22"/>
              </w:rPr>
            </w:pPr>
            <w:r>
              <w:rPr>
                <w:w w:val="60"/>
                <w:sz w:val="22"/>
              </w:rPr>
              <w:t>0.38</w:t>
            </w:r>
          </w:p>
        </w:tc>
      </w:tr>
      <w:tr>
        <w:trPr>
          <w:trHeight w:val="291" w:hRule="exact"/>
        </w:trPr>
        <w:tc>
          <w:tcPr>
            <w:tcW w:w="447" w:type="dxa"/>
          </w:tcPr>
          <w:p>
            <w:pPr>
              <w:pStyle w:val="TableParagraph"/>
              <w:spacing w:before="7"/>
              <w:ind w:left="3"/>
              <w:rPr>
                <w:sz w:val="22"/>
              </w:rPr>
            </w:pPr>
            <w:r>
              <w:rPr>
                <w:w w:val="49"/>
                <w:sz w:val="22"/>
              </w:rPr>
              <w:t>3</w:t>
            </w:r>
          </w:p>
        </w:tc>
        <w:tc>
          <w:tcPr>
            <w:tcW w:w="713" w:type="dxa"/>
            <w:shd w:val="clear" w:color="auto" w:fill="DBEDF3"/>
          </w:tcPr>
          <w:p>
            <w:pPr>
              <w:pStyle w:val="TableParagraph"/>
              <w:spacing w:before="7"/>
              <w:ind w:right="260"/>
              <w:jc w:val="right"/>
              <w:rPr>
                <w:sz w:val="22"/>
              </w:rPr>
            </w:pPr>
            <w:r>
              <w:rPr>
                <w:w w:val="45"/>
                <w:sz w:val="22"/>
              </w:rPr>
              <w:t>2.77</w:t>
            </w:r>
          </w:p>
        </w:tc>
        <w:tc>
          <w:tcPr>
            <w:tcW w:w="607" w:type="dxa"/>
            <w:shd w:val="clear" w:color="auto" w:fill="DBEDF3"/>
          </w:tcPr>
          <w:p>
            <w:pPr>
              <w:pStyle w:val="TableParagraph"/>
              <w:spacing w:before="7"/>
              <w:ind w:left="140" w:right="140"/>
              <w:rPr>
                <w:sz w:val="22"/>
              </w:rPr>
            </w:pPr>
            <w:r>
              <w:rPr>
                <w:w w:val="60"/>
                <w:sz w:val="22"/>
              </w:rPr>
              <w:t>0.06</w:t>
            </w:r>
          </w:p>
        </w:tc>
        <w:tc>
          <w:tcPr>
            <w:tcW w:w="798" w:type="dxa"/>
          </w:tcPr>
          <w:p>
            <w:pPr>
              <w:pStyle w:val="TableParagraph"/>
              <w:spacing w:before="7"/>
              <w:ind w:left="220"/>
              <w:jc w:val="left"/>
              <w:rPr>
                <w:sz w:val="22"/>
              </w:rPr>
            </w:pPr>
            <w:r>
              <w:rPr>
                <w:w w:val="60"/>
                <w:sz w:val="22"/>
              </w:rPr>
              <w:t>2.60</w:t>
            </w:r>
          </w:p>
        </w:tc>
        <w:tc>
          <w:tcPr>
            <w:tcW w:w="1032" w:type="dxa"/>
          </w:tcPr>
          <w:p>
            <w:pPr>
              <w:pStyle w:val="TableParagraph"/>
              <w:spacing w:before="7"/>
              <w:ind w:left="340"/>
              <w:jc w:val="left"/>
              <w:rPr>
                <w:sz w:val="22"/>
              </w:rPr>
            </w:pPr>
            <w:r>
              <w:rPr>
                <w:w w:val="60"/>
                <w:sz w:val="22"/>
              </w:rPr>
              <w:t>0.07</w:t>
            </w:r>
          </w:p>
        </w:tc>
        <w:tc>
          <w:tcPr>
            <w:tcW w:w="988" w:type="dxa"/>
            <w:shd w:val="clear" w:color="auto" w:fill="DBEDF3"/>
          </w:tcPr>
          <w:p>
            <w:pPr>
              <w:pStyle w:val="TableParagraph"/>
              <w:spacing w:before="7"/>
              <w:ind w:left="385"/>
              <w:jc w:val="left"/>
              <w:rPr>
                <w:sz w:val="22"/>
              </w:rPr>
            </w:pPr>
            <w:r>
              <w:rPr>
                <w:w w:val="60"/>
                <w:sz w:val="22"/>
              </w:rPr>
              <w:t>1.03</w:t>
            </w:r>
          </w:p>
        </w:tc>
        <w:tc>
          <w:tcPr>
            <w:tcW w:w="967" w:type="dxa"/>
            <w:shd w:val="clear" w:color="auto" w:fill="DBEDF3"/>
          </w:tcPr>
          <w:p>
            <w:pPr>
              <w:pStyle w:val="TableParagraph"/>
              <w:spacing w:before="7"/>
              <w:ind w:left="93" w:right="129"/>
              <w:rPr>
                <w:sz w:val="22"/>
              </w:rPr>
            </w:pPr>
            <w:r>
              <w:rPr>
                <w:w w:val="60"/>
                <w:sz w:val="22"/>
              </w:rPr>
              <w:t>0.39</w:t>
            </w:r>
          </w:p>
        </w:tc>
        <w:tc>
          <w:tcPr>
            <w:tcW w:w="852" w:type="dxa"/>
          </w:tcPr>
          <w:p>
            <w:pPr>
              <w:pStyle w:val="TableParagraph"/>
              <w:spacing w:before="7"/>
              <w:ind w:left="311"/>
              <w:jc w:val="left"/>
              <w:rPr>
                <w:sz w:val="22"/>
              </w:rPr>
            </w:pPr>
            <w:r>
              <w:rPr>
                <w:w w:val="60"/>
                <w:sz w:val="22"/>
              </w:rPr>
              <w:t>0.78</w:t>
            </w:r>
          </w:p>
        </w:tc>
        <w:tc>
          <w:tcPr>
            <w:tcW w:w="848" w:type="dxa"/>
          </w:tcPr>
          <w:p>
            <w:pPr>
              <w:pStyle w:val="TableParagraph"/>
              <w:spacing w:before="7"/>
              <w:ind w:left="26" w:right="68"/>
              <w:rPr>
                <w:sz w:val="22"/>
              </w:rPr>
            </w:pPr>
            <w:r>
              <w:rPr>
                <w:w w:val="60"/>
                <w:sz w:val="22"/>
              </w:rPr>
              <w:t>0.51</w:t>
            </w:r>
          </w:p>
        </w:tc>
        <w:tc>
          <w:tcPr>
            <w:tcW w:w="1090" w:type="dxa"/>
            <w:shd w:val="clear" w:color="auto" w:fill="DBEDF3"/>
          </w:tcPr>
          <w:p>
            <w:pPr>
              <w:pStyle w:val="TableParagraph"/>
              <w:spacing w:before="7"/>
              <w:ind w:left="399" w:right="418"/>
              <w:rPr>
                <w:sz w:val="22"/>
              </w:rPr>
            </w:pPr>
            <w:r>
              <w:rPr>
                <w:w w:val="60"/>
                <w:sz w:val="22"/>
              </w:rPr>
              <w:t>0.76</w:t>
            </w:r>
          </w:p>
        </w:tc>
        <w:tc>
          <w:tcPr>
            <w:tcW w:w="1032" w:type="dxa"/>
            <w:shd w:val="clear" w:color="auto" w:fill="DBEDF3"/>
          </w:tcPr>
          <w:p>
            <w:pPr>
              <w:pStyle w:val="TableParagraph"/>
              <w:spacing w:before="7"/>
              <w:ind w:left="411"/>
              <w:jc w:val="left"/>
              <w:rPr>
                <w:sz w:val="22"/>
              </w:rPr>
            </w:pPr>
            <w:r>
              <w:rPr>
                <w:w w:val="60"/>
                <w:sz w:val="22"/>
              </w:rPr>
              <w:t>0.52</w:t>
            </w:r>
          </w:p>
        </w:tc>
      </w:tr>
      <w:tr>
        <w:trPr>
          <w:trHeight w:val="291" w:hRule="exact"/>
        </w:trPr>
        <w:tc>
          <w:tcPr>
            <w:tcW w:w="447" w:type="dxa"/>
          </w:tcPr>
          <w:p>
            <w:pPr>
              <w:pStyle w:val="TableParagraph"/>
              <w:spacing w:before="7"/>
              <w:ind w:left="3"/>
              <w:rPr>
                <w:sz w:val="22"/>
              </w:rPr>
            </w:pPr>
            <w:r>
              <w:rPr>
                <w:w w:val="49"/>
                <w:sz w:val="22"/>
              </w:rPr>
              <w:t>4</w:t>
            </w:r>
          </w:p>
        </w:tc>
        <w:tc>
          <w:tcPr>
            <w:tcW w:w="713" w:type="dxa"/>
            <w:shd w:val="clear" w:color="auto" w:fill="DBEDF3"/>
          </w:tcPr>
          <w:p>
            <w:pPr>
              <w:pStyle w:val="TableParagraph"/>
              <w:spacing w:before="7"/>
              <w:ind w:right="260"/>
              <w:jc w:val="right"/>
              <w:rPr>
                <w:sz w:val="22"/>
              </w:rPr>
            </w:pPr>
            <w:r>
              <w:rPr>
                <w:w w:val="45"/>
                <w:sz w:val="22"/>
              </w:rPr>
              <w:t>1.20</w:t>
            </w:r>
          </w:p>
        </w:tc>
        <w:tc>
          <w:tcPr>
            <w:tcW w:w="607" w:type="dxa"/>
            <w:shd w:val="clear" w:color="auto" w:fill="DBEDF3"/>
          </w:tcPr>
          <w:p>
            <w:pPr>
              <w:pStyle w:val="TableParagraph"/>
              <w:spacing w:before="7"/>
              <w:ind w:left="140" w:right="140"/>
              <w:rPr>
                <w:sz w:val="22"/>
              </w:rPr>
            </w:pPr>
            <w:r>
              <w:rPr>
                <w:w w:val="60"/>
                <w:sz w:val="22"/>
              </w:rPr>
              <w:t>0.33</w:t>
            </w:r>
          </w:p>
        </w:tc>
        <w:tc>
          <w:tcPr>
            <w:tcW w:w="798" w:type="dxa"/>
          </w:tcPr>
          <w:p>
            <w:pPr>
              <w:pStyle w:val="TableParagraph"/>
              <w:spacing w:before="7"/>
              <w:ind w:left="220"/>
              <w:jc w:val="left"/>
              <w:rPr>
                <w:sz w:val="22"/>
              </w:rPr>
            </w:pPr>
            <w:r>
              <w:rPr>
                <w:w w:val="60"/>
                <w:sz w:val="22"/>
              </w:rPr>
              <w:t>3.11</w:t>
            </w:r>
          </w:p>
        </w:tc>
        <w:tc>
          <w:tcPr>
            <w:tcW w:w="1032" w:type="dxa"/>
          </w:tcPr>
          <w:p>
            <w:pPr>
              <w:pStyle w:val="TableParagraph"/>
              <w:spacing w:before="7"/>
              <w:ind w:left="340"/>
              <w:jc w:val="left"/>
              <w:rPr>
                <w:sz w:val="22"/>
              </w:rPr>
            </w:pPr>
            <w:r>
              <w:rPr>
                <w:w w:val="60"/>
                <w:sz w:val="22"/>
              </w:rPr>
              <w:t>0.03</w:t>
            </w:r>
          </w:p>
        </w:tc>
        <w:tc>
          <w:tcPr>
            <w:tcW w:w="988" w:type="dxa"/>
            <w:shd w:val="clear" w:color="auto" w:fill="DBEDF3"/>
          </w:tcPr>
          <w:p>
            <w:pPr>
              <w:pStyle w:val="TableParagraph"/>
              <w:spacing w:before="7"/>
              <w:ind w:left="385"/>
              <w:jc w:val="left"/>
              <w:rPr>
                <w:sz w:val="22"/>
              </w:rPr>
            </w:pPr>
            <w:r>
              <w:rPr>
                <w:w w:val="60"/>
                <w:sz w:val="22"/>
              </w:rPr>
              <w:t>0.89</w:t>
            </w:r>
          </w:p>
        </w:tc>
        <w:tc>
          <w:tcPr>
            <w:tcW w:w="967" w:type="dxa"/>
            <w:shd w:val="clear" w:color="auto" w:fill="DBEDF3"/>
          </w:tcPr>
          <w:p>
            <w:pPr>
              <w:pStyle w:val="TableParagraph"/>
              <w:spacing w:before="7"/>
              <w:ind w:left="93" w:right="129"/>
              <w:rPr>
                <w:sz w:val="22"/>
              </w:rPr>
            </w:pPr>
            <w:r>
              <w:rPr>
                <w:w w:val="60"/>
                <w:sz w:val="22"/>
              </w:rPr>
              <w:t>0.48</w:t>
            </w:r>
          </w:p>
        </w:tc>
        <w:tc>
          <w:tcPr>
            <w:tcW w:w="852" w:type="dxa"/>
          </w:tcPr>
          <w:p>
            <w:pPr>
              <w:pStyle w:val="TableParagraph"/>
              <w:spacing w:before="7"/>
              <w:ind w:left="311"/>
              <w:jc w:val="left"/>
              <w:rPr>
                <w:sz w:val="22"/>
              </w:rPr>
            </w:pPr>
            <w:r>
              <w:rPr>
                <w:w w:val="60"/>
                <w:sz w:val="22"/>
              </w:rPr>
              <w:t>0.30</w:t>
            </w:r>
          </w:p>
        </w:tc>
        <w:tc>
          <w:tcPr>
            <w:tcW w:w="848" w:type="dxa"/>
          </w:tcPr>
          <w:p>
            <w:pPr>
              <w:pStyle w:val="TableParagraph"/>
              <w:spacing w:before="7"/>
              <w:ind w:left="26" w:right="68"/>
              <w:rPr>
                <w:sz w:val="22"/>
              </w:rPr>
            </w:pPr>
            <w:r>
              <w:rPr>
                <w:w w:val="60"/>
                <w:sz w:val="22"/>
              </w:rPr>
              <w:t>0.88</w:t>
            </w:r>
          </w:p>
        </w:tc>
        <w:tc>
          <w:tcPr>
            <w:tcW w:w="1090" w:type="dxa"/>
            <w:shd w:val="clear" w:color="auto" w:fill="DBEDF3"/>
          </w:tcPr>
          <w:p>
            <w:pPr>
              <w:pStyle w:val="TableParagraph"/>
              <w:spacing w:before="7"/>
              <w:ind w:left="399" w:right="418"/>
              <w:rPr>
                <w:sz w:val="22"/>
              </w:rPr>
            </w:pPr>
            <w:r>
              <w:rPr>
                <w:w w:val="60"/>
                <w:sz w:val="22"/>
              </w:rPr>
              <w:t>0.77</w:t>
            </w:r>
          </w:p>
        </w:tc>
        <w:tc>
          <w:tcPr>
            <w:tcW w:w="1032" w:type="dxa"/>
            <w:shd w:val="clear" w:color="auto" w:fill="DBEDF3"/>
          </w:tcPr>
          <w:p>
            <w:pPr>
              <w:pStyle w:val="TableParagraph"/>
              <w:spacing w:before="7"/>
              <w:ind w:left="411"/>
              <w:jc w:val="left"/>
              <w:rPr>
                <w:sz w:val="22"/>
              </w:rPr>
            </w:pPr>
            <w:r>
              <w:rPr>
                <w:w w:val="60"/>
                <w:sz w:val="22"/>
              </w:rPr>
              <w:t>0.56</w:t>
            </w:r>
          </w:p>
        </w:tc>
      </w:tr>
      <w:tr>
        <w:trPr>
          <w:trHeight w:val="295" w:hRule="exact"/>
        </w:trPr>
        <w:tc>
          <w:tcPr>
            <w:tcW w:w="447" w:type="dxa"/>
            <w:tcBorders>
              <w:bottom w:val="double" w:sz="5" w:space="0" w:color="000000"/>
            </w:tcBorders>
          </w:tcPr>
          <w:p>
            <w:pPr>
              <w:pStyle w:val="TableParagraph"/>
              <w:spacing w:before="7"/>
              <w:ind w:left="3"/>
              <w:rPr>
                <w:sz w:val="22"/>
              </w:rPr>
            </w:pPr>
            <w:r>
              <w:rPr>
                <w:w w:val="49"/>
                <w:sz w:val="22"/>
              </w:rPr>
              <w:t>5</w:t>
            </w:r>
          </w:p>
        </w:tc>
        <w:tc>
          <w:tcPr>
            <w:tcW w:w="713" w:type="dxa"/>
            <w:shd w:val="clear" w:color="auto" w:fill="DBEDF3"/>
          </w:tcPr>
          <w:p>
            <w:pPr>
              <w:pStyle w:val="TableParagraph"/>
              <w:spacing w:before="7"/>
              <w:ind w:right="260"/>
              <w:jc w:val="right"/>
              <w:rPr>
                <w:sz w:val="22"/>
              </w:rPr>
            </w:pPr>
            <w:r>
              <w:rPr>
                <w:w w:val="45"/>
                <w:sz w:val="22"/>
              </w:rPr>
              <w:t>0.80</w:t>
            </w:r>
          </w:p>
        </w:tc>
        <w:tc>
          <w:tcPr>
            <w:tcW w:w="607" w:type="dxa"/>
            <w:shd w:val="clear" w:color="auto" w:fill="DBEDF3"/>
          </w:tcPr>
          <w:p>
            <w:pPr>
              <w:pStyle w:val="TableParagraph"/>
              <w:spacing w:before="7"/>
              <w:ind w:left="140" w:right="140"/>
              <w:rPr>
                <w:sz w:val="22"/>
              </w:rPr>
            </w:pPr>
            <w:r>
              <w:rPr>
                <w:w w:val="60"/>
                <w:sz w:val="22"/>
              </w:rPr>
              <w:t>0.56</w:t>
            </w:r>
          </w:p>
        </w:tc>
        <w:tc>
          <w:tcPr>
            <w:tcW w:w="798" w:type="dxa"/>
            <w:tcBorders>
              <w:bottom w:val="double" w:sz="5" w:space="0" w:color="000000"/>
            </w:tcBorders>
          </w:tcPr>
          <w:p>
            <w:pPr>
              <w:pStyle w:val="TableParagraph"/>
              <w:spacing w:before="7"/>
              <w:ind w:left="220"/>
              <w:jc w:val="left"/>
              <w:rPr>
                <w:sz w:val="22"/>
              </w:rPr>
            </w:pPr>
            <w:r>
              <w:rPr>
                <w:w w:val="60"/>
                <w:sz w:val="22"/>
              </w:rPr>
              <w:t>1.35</w:t>
            </w:r>
          </w:p>
        </w:tc>
        <w:tc>
          <w:tcPr>
            <w:tcW w:w="1032" w:type="dxa"/>
            <w:tcBorders>
              <w:bottom w:val="double" w:sz="5" w:space="0" w:color="000000"/>
            </w:tcBorders>
          </w:tcPr>
          <w:p>
            <w:pPr>
              <w:pStyle w:val="TableParagraph"/>
              <w:spacing w:before="7"/>
              <w:ind w:left="340"/>
              <w:jc w:val="left"/>
              <w:rPr>
                <w:sz w:val="22"/>
              </w:rPr>
            </w:pPr>
            <w:r>
              <w:rPr>
                <w:w w:val="60"/>
                <w:sz w:val="22"/>
              </w:rPr>
              <w:t>0.28</w:t>
            </w:r>
          </w:p>
        </w:tc>
        <w:tc>
          <w:tcPr>
            <w:tcW w:w="988" w:type="dxa"/>
            <w:shd w:val="clear" w:color="auto" w:fill="DBEDF3"/>
          </w:tcPr>
          <w:p>
            <w:pPr>
              <w:pStyle w:val="TableParagraph"/>
              <w:spacing w:before="7"/>
              <w:ind w:left="385"/>
              <w:jc w:val="left"/>
              <w:rPr>
                <w:sz w:val="22"/>
              </w:rPr>
            </w:pPr>
            <w:r>
              <w:rPr>
                <w:w w:val="60"/>
                <w:sz w:val="22"/>
              </w:rPr>
              <w:t>0.76</w:t>
            </w:r>
          </w:p>
        </w:tc>
        <w:tc>
          <w:tcPr>
            <w:tcW w:w="967" w:type="dxa"/>
            <w:shd w:val="clear" w:color="auto" w:fill="DBEDF3"/>
          </w:tcPr>
          <w:p>
            <w:pPr>
              <w:pStyle w:val="TableParagraph"/>
              <w:spacing w:before="7"/>
              <w:ind w:left="93" w:right="129"/>
              <w:rPr>
                <w:sz w:val="22"/>
              </w:rPr>
            </w:pPr>
            <w:r>
              <w:rPr>
                <w:w w:val="60"/>
                <w:sz w:val="22"/>
              </w:rPr>
              <w:t>0.59</w:t>
            </w:r>
          </w:p>
        </w:tc>
        <w:tc>
          <w:tcPr>
            <w:tcW w:w="852" w:type="dxa"/>
            <w:tcBorders>
              <w:bottom w:val="double" w:sz="5" w:space="0" w:color="000000"/>
            </w:tcBorders>
          </w:tcPr>
          <w:p>
            <w:pPr>
              <w:pStyle w:val="TableParagraph"/>
              <w:spacing w:before="7"/>
              <w:ind w:left="311"/>
              <w:jc w:val="left"/>
              <w:rPr>
                <w:sz w:val="22"/>
              </w:rPr>
            </w:pPr>
            <w:r>
              <w:rPr>
                <w:w w:val="60"/>
                <w:sz w:val="22"/>
              </w:rPr>
              <w:t>0.46</w:t>
            </w:r>
          </w:p>
        </w:tc>
        <w:tc>
          <w:tcPr>
            <w:tcW w:w="848" w:type="dxa"/>
            <w:tcBorders>
              <w:bottom w:val="double" w:sz="5" w:space="0" w:color="000000"/>
            </w:tcBorders>
          </w:tcPr>
          <w:p>
            <w:pPr>
              <w:pStyle w:val="TableParagraph"/>
              <w:spacing w:before="7"/>
              <w:ind w:left="26" w:right="68"/>
              <w:rPr>
                <w:sz w:val="22"/>
              </w:rPr>
            </w:pPr>
            <w:r>
              <w:rPr>
                <w:w w:val="60"/>
                <w:sz w:val="22"/>
              </w:rPr>
              <w:t>0.80</w:t>
            </w:r>
          </w:p>
        </w:tc>
        <w:tc>
          <w:tcPr>
            <w:tcW w:w="1090" w:type="dxa"/>
            <w:shd w:val="clear" w:color="auto" w:fill="DBEDF3"/>
          </w:tcPr>
          <w:p>
            <w:pPr>
              <w:pStyle w:val="TableParagraph"/>
              <w:spacing w:before="7"/>
              <w:ind w:left="399" w:right="418"/>
              <w:rPr>
                <w:sz w:val="22"/>
              </w:rPr>
            </w:pPr>
            <w:r>
              <w:rPr>
                <w:w w:val="60"/>
                <w:sz w:val="22"/>
              </w:rPr>
              <w:t>0.84</w:t>
            </w:r>
          </w:p>
        </w:tc>
        <w:tc>
          <w:tcPr>
            <w:tcW w:w="1032" w:type="dxa"/>
            <w:shd w:val="clear" w:color="auto" w:fill="DBEDF3"/>
          </w:tcPr>
          <w:p>
            <w:pPr>
              <w:pStyle w:val="TableParagraph"/>
              <w:spacing w:before="7"/>
              <w:ind w:left="411"/>
              <w:jc w:val="left"/>
              <w:rPr>
                <w:sz w:val="22"/>
              </w:rPr>
            </w:pPr>
            <w:r>
              <w:rPr>
                <w:w w:val="60"/>
                <w:sz w:val="22"/>
              </w:rPr>
              <w:t>0.54</w:t>
            </w:r>
          </w:p>
        </w:tc>
      </w:tr>
    </w:tbl>
    <w:p>
      <w:pPr>
        <w:pStyle w:val="BodyText"/>
        <w:spacing w:before="6"/>
        <w:rPr>
          <w:sz w:val="31"/>
        </w:rPr>
      </w:pPr>
    </w:p>
    <w:p>
      <w:pPr>
        <w:spacing w:before="1"/>
        <w:ind w:left="102" w:right="1021" w:firstLine="0"/>
        <w:jc w:val="left"/>
        <w:rPr>
          <w:sz w:val="20"/>
        </w:rPr>
      </w:pPr>
      <w:r>
        <w:rPr>
          <w:sz w:val="20"/>
        </w:rPr>
        <w:t>DP corresponde a la Deuda Pública en términos del PIB.</w:t>
      </w:r>
    </w:p>
    <w:p>
      <w:pPr>
        <w:spacing w:after="0"/>
        <w:jc w:val="left"/>
        <w:rPr>
          <w:sz w:val="20"/>
        </w:rPr>
        <w:sectPr>
          <w:pgSz w:w="12250" w:h="15850"/>
          <w:pgMar w:header="0" w:footer="977" w:top="1360" w:bottom="1220" w:left="1600" w:right="1000"/>
        </w:sectPr>
      </w:pPr>
    </w:p>
    <w:p>
      <w:pPr>
        <w:pStyle w:val="Heading4"/>
        <w:spacing w:before="53"/>
        <w:ind w:left="102" w:right="549" w:firstLine="0"/>
      </w:pPr>
      <w:bookmarkStart w:name="_bookmark183" w:id="248"/>
      <w:bookmarkEnd w:id="248"/>
      <w:r>
        <w:rPr>
          <w:b w:val="0"/>
        </w:rPr>
      </w:r>
      <w:r>
        <w:rPr/>
        <w:t>Anexo 4.3: Causalidad en el sentido de Granger  [largo plazo]</w:t>
      </w:r>
    </w:p>
    <w:p>
      <w:pPr>
        <w:pStyle w:val="BodyText"/>
        <w:spacing w:before="7"/>
        <w:rPr>
          <w:b/>
          <w:sz w:val="20"/>
        </w:rPr>
      </w:pPr>
    </w:p>
    <w:p>
      <w:pPr>
        <w:pStyle w:val="BodyText"/>
        <w:spacing w:line="360" w:lineRule="auto"/>
        <w:ind w:left="102" w:right="549"/>
      </w:pPr>
      <w:r>
        <w:rPr/>
        <w:drawing>
          <wp:anchor distT="0" distB="0" distL="0" distR="0" allowOverlap="1" layoutInCell="1" locked="0" behindDoc="0" simplePos="0" relativeHeight="18352">
            <wp:simplePos x="0" y="0"/>
            <wp:positionH relativeFrom="page">
              <wp:posOffset>1999693</wp:posOffset>
            </wp:positionH>
            <wp:positionV relativeFrom="paragraph">
              <wp:posOffset>593515</wp:posOffset>
            </wp:positionV>
            <wp:extent cx="150892" cy="113919"/>
            <wp:effectExtent l="0" t="0" r="0" b="0"/>
            <wp:wrapTopAndBottom/>
            <wp:docPr id="111" name="image332.png" descr=""/>
            <wp:cNvGraphicFramePr>
              <a:graphicFrameLocks noChangeAspect="1"/>
            </wp:cNvGraphicFramePr>
            <a:graphic>
              <a:graphicData uri="http://schemas.openxmlformats.org/drawingml/2006/picture">
                <pic:pic>
                  <pic:nvPicPr>
                    <pic:cNvPr id="112" name="image332.png"/>
                    <pic:cNvPicPr/>
                  </pic:nvPicPr>
                  <pic:blipFill>
                    <a:blip r:embed="rId358" cstate="print"/>
                    <a:stretch>
                      <a:fillRect/>
                    </a:stretch>
                  </pic:blipFill>
                  <pic:spPr>
                    <a:xfrm>
                      <a:off x="0" y="0"/>
                      <a:ext cx="150892" cy="113919"/>
                    </a:xfrm>
                    <a:prstGeom prst="rect">
                      <a:avLst/>
                    </a:prstGeom>
                  </pic:spPr>
                </pic:pic>
              </a:graphicData>
            </a:graphic>
          </wp:anchor>
        </w:drawing>
      </w:r>
      <w:r>
        <w:rPr/>
        <w:drawing>
          <wp:anchor distT="0" distB="0" distL="0" distR="0" allowOverlap="1" layoutInCell="1" locked="0" behindDoc="0" simplePos="0" relativeHeight="18376">
            <wp:simplePos x="0" y="0"/>
            <wp:positionH relativeFrom="page">
              <wp:posOffset>3904637</wp:posOffset>
            </wp:positionH>
            <wp:positionV relativeFrom="paragraph">
              <wp:posOffset>611316</wp:posOffset>
            </wp:positionV>
            <wp:extent cx="151789" cy="98012"/>
            <wp:effectExtent l="0" t="0" r="0" b="0"/>
            <wp:wrapTopAndBottom/>
            <wp:docPr id="113" name="image333.png" descr=""/>
            <wp:cNvGraphicFramePr>
              <a:graphicFrameLocks noChangeAspect="1"/>
            </wp:cNvGraphicFramePr>
            <a:graphic>
              <a:graphicData uri="http://schemas.openxmlformats.org/drawingml/2006/picture">
                <pic:pic>
                  <pic:nvPicPr>
                    <pic:cNvPr id="114" name="image333.png"/>
                    <pic:cNvPicPr/>
                  </pic:nvPicPr>
                  <pic:blipFill>
                    <a:blip r:embed="rId359" cstate="print"/>
                    <a:stretch>
                      <a:fillRect/>
                    </a:stretch>
                  </pic:blipFill>
                  <pic:spPr>
                    <a:xfrm>
                      <a:off x="0" y="0"/>
                      <a:ext cx="151789" cy="98012"/>
                    </a:xfrm>
                    <a:prstGeom prst="rect">
                      <a:avLst/>
                    </a:prstGeom>
                  </pic:spPr>
                </pic:pic>
              </a:graphicData>
            </a:graphic>
          </wp:anchor>
        </w:drawing>
      </w:r>
      <w:r>
        <w:rPr/>
        <w:drawing>
          <wp:anchor distT="0" distB="0" distL="0" distR="0" allowOverlap="1" layoutInCell="1" locked="0" behindDoc="0" simplePos="0" relativeHeight="18400">
            <wp:simplePos x="0" y="0"/>
            <wp:positionH relativeFrom="page">
              <wp:posOffset>5918392</wp:posOffset>
            </wp:positionH>
            <wp:positionV relativeFrom="paragraph">
              <wp:posOffset>588212</wp:posOffset>
            </wp:positionV>
            <wp:extent cx="151576" cy="123825"/>
            <wp:effectExtent l="0" t="0" r="0" b="0"/>
            <wp:wrapTopAndBottom/>
            <wp:docPr id="115" name="image334.png" descr=""/>
            <wp:cNvGraphicFramePr>
              <a:graphicFrameLocks noChangeAspect="1"/>
            </wp:cNvGraphicFramePr>
            <a:graphic>
              <a:graphicData uri="http://schemas.openxmlformats.org/drawingml/2006/picture">
                <pic:pic>
                  <pic:nvPicPr>
                    <pic:cNvPr id="116" name="image334.png"/>
                    <pic:cNvPicPr/>
                  </pic:nvPicPr>
                  <pic:blipFill>
                    <a:blip r:embed="rId360" cstate="print"/>
                    <a:stretch>
                      <a:fillRect/>
                    </a:stretch>
                  </pic:blipFill>
                  <pic:spPr>
                    <a:xfrm>
                      <a:off x="0" y="0"/>
                      <a:ext cx="151576" cy="123825"/>
                    </a:xfrm>
                    <a:prstGeom prst="rect">
                      <a:avLst/>
                    </a:prstGeom>
                  </pic:spPr>
                </pic:pic>
              </a:graphicData>
            </a:graphic>
          </wp:anchor>
        </w:drawing>
      </w:r>
      <w:r>
        <w:rPr/>
        <w:pict>
          <v:line style="position:absolute;mso-position-horizontal-relative:page;mso-position-vertical-relative:paragraph;z-index:18424" from="528.212036pt,45.09108pt" to="528.212036pt,125.150417pt" stroked="true" strokeweight=".449968pt" strokecolor="#ffffff">
            <w10:wrap type="none"/>
          </v:line>
        </w:pict>
      </w:r>
      <w:r>
        <w:rPr/>
        <w:pict>
          <v:shape style="position:absolute;margin-left:86.999985pt;margin-top:45.09108pt;width:443.25pt;height:84.1pt;mso-position-horizontal-relative:page;mso-position-vertical-relative:paragraph;z-index:1849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12"/>
                    <w:gridCol w:w="1134"/>
                    <w:gridCol w:w="966"/>
                    <w:gridCol w:w="1269"/>
                    <w:gridCol w:w="1641"/>
                    <w:gridCol w:w="1571"/>
                    <w:gridCol w:w="1533"/>
                  </w:tblGrid>
                  <w:tr>
                    <w:trPr>
                      <w:trHeight w:val="454" w:hRule="exact"/>
                    </w:trPr>
                    <w:tc>
                      <w:tcPr>
                        <w:tcW w:w="712" w:type="dxa"/>
                        <w:tcBorders>
                          <w:bottom w:val="double" w:sz="4" w:space="0" w:color="000000"/>
                        </w:tcBorders>
                      </w:tcPr>
                      <w:p>
                        <w:pPr>
                          <w:pStyle w:val="TableParagraph"/>
                          <w:spacing w:before="120"/>
                          <w:ind w:left="36" w:right="40"/>
                          <w:rPr>
                            <w:b/>
                            <w:sz w:val="17"/>
                          </w:rPr>
                        </w:pPr>
                        <w:r>
                          <w:rPr>
                            <w:b/>
                            <w:sz w:val="17"/>
                          </w:rPr>
                          <w:t>Rezagos</w:t>
                        </w:r>
                      </w:p>
                    </w:tc>
                    <w:tc>
                      <w:tcPr>
                        <w:tcW w:w="2099" w:type="dxa"/>
                        <w:gridSpan w:val="2"/>
                        <w:tcBorders>
                          <w:bottom w:val="double" w:sz="4" w:space="0" w:color="000000"/>
                        </w:tcBorders>
                        <w:shd w:val="clear" w:color="auto" w:fill="DBEDF3"/>
                      </w:tcPr>
                      <w:p>
                        <w:pPr>
                          <w:pStyle w:val="TableParagraph"/>
                          <w:tabs>
                            <w:tab w:pos="881" w:val="left" w:leader="none"/>
                          </w:tabs>
                          <w:spacing w:before="12"/>
                          <w:ind w:left="1"/>
                          <w:rPr>
                            <w:b/>
                            <w:sz w:val="17"/>
                          </w:rPr>
                        </w:pPr>
                        <w:r>
                          <w:rPr>
                            <w:b/>
                            <w:sz w:val="17"/>
                          </w:rPr>
                          <w:t>a)</w:t>
                        </w:r>
                        <w:r>
                          <w:rPr>
                            <w:b/>
                            <w:spacing w:val="1"/>
                            <w:sz w:val="17"/>
                          </w:rPr>
                          <w:t> </w:t>
                        </w:r>
                        <w:r>
                          <w:rPr>
                            <w:b/>
                            <w:sz w:val="17"/>
                          </w:rPr>
                          <w:t>Pg</w:t>
                          <w:tab/>
                          <w:t>BPNG/</w:t>
                        </w:r>
                        <w:r>
                          <w:rPr>
                            <w:b/>
                            <w:spacing w:val="11"/>
                            <w:sz w:val="17"/>
                          </w:rPr>
                          <w:t> </w:t>
                        </w:r>
                        <w:r>
                          <w:rPr>
                            <w:b/>
                            <w:sz w:val="17"/>
                          </w:rPr>
                          <w:t>PIB</w:t>
                        </w:r>
                      </w:p>
                      <w:p>
                        <w:pPr>
                          <w:pStyle w:val="TableParagraph"/>
                          <w:tabs>
                            <w:tab w:pos="1126" w:val="left" w:leader="none"/>
                          </w:tabs>
                          <w:spacing w:before="29"/>
                          <w:rPr>
                            <w:sz w:val="17"/>
                          </w:rPr>
                        </w:pPr>
                        <w:r>
                          <w:rPr>
                            <w:sz w:val="17"/>
                          </w:rPr>
                          <w:t>Est.</w:t>
                        </w:r>
                        <w:r>
                          <w:rPr>
                            <w:spacing w:val="5"/>
                            <w:sz w:val="17"/>
                          </w:rPr>
                          <w:t> </w:t>
                        </w:r>
                        <w:r>
                          <w:rPr>
                            <w:sz w:val="17"/>
                          </w:rPr>
                          <w:t>"F"</w:t>
                          <w:tab/>
                          <w:t>Prob.</w:t>
                        </w:r>
                      </w:p>
                    </w:tc>
                    <w:tc>
                      <w:tcPr>
                        <w:tcW w:w="2910" w:type="dxa"/>
                        <w:gridSpan w:val="2"/>
                        <w:tcBorders>
                          <w:bottom w:val="double" w:sz="4" w:space="0" w:color="000000"/>
                        </w:tcBorders>
                      </w:tcPr>
                      <w:p>
                        <w:pPr>
                          <w:pStyle w:val="TableParagraph"/>
                          <w:tabs>
                            <w:tab w:pos="1977" w:val="left" w:leader="none"/>
                          </w:tabs>
                          <w:spacing w:before="12"/>
                          <w:ind w:left="62"/>
                          <w:jc w:val="left"/>
                          <w:rPr>
                            <w:b/>
                            <w:sz w:val="17"/>
                          </w:rPr>
                        </w:pPr>
                        <w:r>
                          <w:rPr>
                            <w:b/>
                            <w:spacing w:val="-3"/>
                            <w:sz w:val="17"/>
                          </w:rPr>
                          <w:t>b) </w:t>
                        </w:r>
                        <w:r>
                          <w:rPr>
                            <w:b/>
                            <w:sz w:val="17"/>
                          </w:rPr>
                          <w:t>Asign.</w:t>
                        </w:r>
                        <w:r>
                          <w:rPr>
                            <w:b/>
                            <w:spacing w:val="6"/>
                            <w:sz w:val="17"/>
                          </w:rPr>
                          <w:t> </w:t>
                        </w:r>
                        <w:r>
                          <w:rPr>
                            <w:b/>
                            <w:sz w:val="17"/>
                          </w:rPr>
                          <w:t>Ing.</w:t>
                        </w:r>
                        <w:r>
                          <w:rPr>
                            <w:b/>
                            <w:spacing w:val="4"/>
                            <w:sz w:val="17"/>
                          </w:rPr>
                          <w:t> </w:t>
                        </w:r>
                        <w:r>
                          <w:rPr>
                            <w:b/>
                            <w:sz w:val="17"/>
                          </w:rPr>
                          <w:t>Gasíf.</w:t>
                          <w:tab/>
                          <w:t>BPNG/</w:t>
                        </w:r>
                        <w:r>
                          <w:rPr>
                            <w:b/>
                            <w:spacing w:val="11"/>
                            <w:sz w:val="17"/>
                          </w:rPr>
                          <w:t> </w:t>
                        </w:r>
                        <w:r>
                          <w:rPr>
                            <w:b/>
                            <w:sz w:val="17"/>
                          </w:rPr>
                          <w:t>PIB</w:t>
                        </w:r>
                      </w:p>
                      <w:p>
                        <w:pPr>
                          <w:pStyle w:val="TableParagraph"/>
                          <w:tabs>
                            <w:tab w:pos="1765" w:val="left" w:leader="none"/>
                          </w:tabs>
                          <w:spacing w:before="29"/>
                          <w:ind w:left="224"/>
                          <w:jc w:val="left"/>
                          <w:rPr>
                            <w:sz w:val="17"/>
                          </w:rPr>
                        </w:pPr>
                        <w:r>
                          <w:rPr>
                            <w:sz w:val="17"/>
                          </w:rPr>
                          <w:t>Est.</w:t>
                        </w:r>
                        <w:r>
                          <w:rPr>
                            <w:spacing w:val="5"/>
                            <w:sz w:val="17"/>
                          </w:rPr>
                          <w:t> </w:t>
                        </w:r>
                        <w:r>
                          <w:rPr>
                            <w:sz w:val="17"/>
                          </w:rPr>
                          <w:t>"F"</w:t>
                          <w:tab/>
                          <w:t>Prob.</w:t>
                        </w:r>
                      </w:p>
                    </w:tc>
                    <w:tc>
                      <w:tcPr>
                        <w:tcW w:w="3104" w:type="dxa"/>
                        <w:gridSpan w:val="2"/>
                        <w:tcBorders>
                          <w:bottom w:val="double" w:sz="4" w:space="0" w:color="000000"/>
                        </w:tcBorders>
                        <w:shd w:val="clear" w:color="auto" w:fill="DBEDF3"/>
                      </w:tcPr>
                      <w:p>
                        <w:pPr>
                          <w:pStyle w:val="TableParagraph"/>
                          <w:tabs>
                            <w:tab w:pos="2165" w:val="left" w:leader="none"/>
                          </w:tabs>
                          <w:spacing w:before="12"/>
                          <w:ind w:right="3"/>
                          <w:rPr>
                            <w:b/>
                            <w:sz w:val="17"/>
                          </w:rPr>
                        </w:pPr>
                        <w:r>
                          <w:rPr>
                            <w:b/>
                            <w:sz w:val="17"/>
                          </w:rPr>
                          <w:t>c) Asign. Ing.</w:t>
                        </w:r>
                        <w:r>
                          <w:rPr>
                            <w:b/>
                            <w:spacing w:val="10"/>
                            <w:sz w:val="17"/>
                          </w:rPr>
                          <w:t> </w:t>
                        </w:r>
                        <w:r>
                          <w:rPr>
                            <w:b/>
                            <w:sz w:val="17"/>
                          </w:rPr>
                          <w:t>No</w:t>
                        </w:r>
                        <w:r>
                          <w:rPr>
                            <w:b/>
                            <w:spacing w:val="7"/>
                            <w:sz w:val="17"/>
                          </w:rPr>
                          <w:t> </w:t>
                        </w:r>
                        <w:r>
                          <w:rPr>
                            <w:b/>
                            <w:sz w:val="17"/>
                          </w:rPr>
                          <w:t>Gasíf.</w:t>
                          <w:tab/>
                          <w:t>BPNG/</w:t>
                        </w:r>
                        <w:r>
                          <w:rPr>
                            <w:b/>
                            <w:spacing w:val="11"/>
                            <w:sz w:val="17"/>
                          </w:rPr>
                          <w:t> </w:t>
                        </w:r>
                        <w:r>
                          <w:rPr>
                            <w:b/>
                            <w:sz w:val="17"/>
                          </w:rPr>
                          <w:t>PIB</w:t>
                        </w:r>
                      </w:p>
                      <w:p>
                        <w:pPr>
                          <w:pStyle w:val="TableParagraph"/>
                          <w:tabs>
                            <w:tab w:pos="1639" w:val="left" w:leader="none"/>
                          </w:tabs>
                          <w:spacing w:before="29"/>
                          <w:ind w:right="131"/>
                          <w:rPr>
                            <w:sz w:val="17"/>
                          </w:rPr>
                        </w:pPr>
                        <w:r>
                          <w:rPr>
                            <w:sz w:val="17"/>
                          </w:rPr>
                          <w:t>Est.</w:t>
                        </w:r>
                        <w:r>
                          <w:rPr>
                            <w:spacing w:val="5"/>
                            <w:sz w:val="17"/>
                          </w:rPr>
                          <w:t> </w:t>
                        </w:r>
                        <w:r>
                          <w:rPr>
                            <w:sz w:val="17"/>
                          </w:rPr>
                          <w:t>"F"</w:t>
                          <w:tab/>
                          <w:t>Prob.</w:t>
                        </w:r>
                      </w:p>
                    </w:tc>
                  </w:tr>
                  <w:tr>
                    <w:trPr>
                      <w:trHeight w:val="245" w:hRule="exact"/>
                    </w:trPr>
                    <w:tc>
                      <w:tcPr>
                        <w:tcW w:w="712" w:type="dxa"/>
                        <w:tcBorders>
                          <w:top w:val="double" w:sz="4" w:space="0" w:color="000000"/>
                        </w:tcBorders>
                      </w:tcPr>
                      <w:p>
                        <w:pPr>
                          <w:pStyle w:val="TableParagraph"/>
                          <w:spacing w:before="12"/>
                          <w:ind w:left="4"/>
                          <w:rPr>
                            <w:sz w:val="17"/>
                          </w:rPr>
                        </w:pPr>
                        <w:r>
                          <w:rPr>
                            <w:w w:val="101"/>
                            <w:sz w:val="17"/>
                          </w:rPr>
                          <w:t>1</w:t>
                        </w:r>
                      </w:p>
                    </w:tc>
                    <w:tc>
                      <w:tcPr>
                        <w:tcW w:w="1134" w:type="dxa"/>
                        <w:tcBorders>
                          <w:top w:val="double" w:sz="4" w:space="0" w:color="000000"/>
                        </w:tcBorders>
                        <w:shd w:val="clear" w:color="auto" w:fill="DBEDF3"/>
                      </w:tcPr>
                      <w:p>
                        <w:pPr>
                          <w:pStyle w:val="TableParagraph"/>
                          <w:spacing w:before="12"/>
                          <w:ind w:left="401" w:right="395"/>
                          <w:rPr>
                            <w:sz w:val="17"/>
                          </w:rPr>
                        </w:pPr>
                        <w:r>
                          <w:rPr>
                            <w:sz w:val="17"/>
                          </w:rPr>
                          <w:t>3.58</w:t>
                        </w:r>
                      </w:p>
                    </w:tc>
                    <w:tc>
                      <w:tcPr>
                        <w:tcW w:w="966" w:type="dxa"/>
                        <w:tcBorders>
                          <w:top w:val="double" w:sz="4" w:space="0" w:color="000000"/>
                        </w:tcBorders>
                        <w:shd w:val="clear" w:color="auto" w:fill="DBEDF3"/>
                      </w:tcPr>
                      <w:p>
                        <w:pPr>
                          <w:pStyle w:val="TableParagraph"/>
                          <w:spacing w:before="12"/>
                          <w:ind w:left="313" w:right="314"/>
                          <w:rPr>
                            <w:sz w:val="17"/>
                          </w:rPr>
                        </w:pPr>
                        <w:r>
                          <w:rPr>
                            <w:sz w:val="17"/>
                          </w:rPr>
                          <w:t>0.07</w:t>
                        </w:r>
                      </w:p>
                    </w:tc>
                    <w:tc>
                      <w:tcPr>
                        <w:tcW w:w="1269" w:type="dxa"/>
                        <w:tcBorders>
                          <w:top w:val="double" w:sz="4" w:space="0" w:color="000000"/>
                        </w:tcBorders>
                      </w:tcPr>
                      <w:p>
                        <w:pPr>
                          <w:pStyle w:val="TableParagraph"/>
                          <w:spacing w:before="12"/>
                          <w:ind w:left="351"/>
                          <w:jc w:val="left"/>
                          <w:rPr>
                            <w:sz w:val="17"/>
                          </w:rPr>
                        </w:pPr>
                        <w:r>
                          <w:rPr>
                            <w:sz w:val="17"/>
                          </w:rPr>
                          <w:t>9.90</w:t>
                        </w:r>
                      </w:p>
                    </w:tc>
                    <w:tc>
                      <w:tcPr>
                        <w:tcW w:w="1641" w:type="dxa"/>
                        <w:tcBorders>
                          <w:top w:val="double" w:sz="4" w:space="0" w:color="000000"/>
                        </w:tcBorders>
                      </w:tcPr>
                      <w:p>
                        <w:pPr>
                          <w:pStyle w:val="TableParagraph"/>
                          <w:spacing w:before="12"/>
                          <w:ind w:left="542"/>
                          <w:jc w:val="left"/>
                          <w:rPr>
                            <w:sz w:val="17"/>
                          </w:rPr>
                        </w:pPr>
                        <w:r>
                          <w:rPr>
                            <w:sz w:val="17"/>
                          </w:rPr>
                          <w:t>0.00</w:t>
                        </w:r>
                      </w:p>
                    </w:tc>
                    <w:tc>
                      <w:tcPr>
                        <w:tcW w:w="1571" w:type="dxa"/>
                        <w:tcBorders>
                          <w:top w:val="double" w:sz="4" w:space="0" w:color="000000"/>
                        </w:tcBorders>
                        <w:shd w:val="clear" w:color="auto" w:fill="DBEDF3"/>
                      </w:tcPr>
                      <w:p>
                        <w:pPr>
                          <w:pStyle w:val="TableParagraph"/>
                          <w:spacing w:before="12"/>
                          <w:ind w:left="591" w:right="641"/>
                          <w:rPr>
                            <w:sz w:val="17"/>
                          </w:rPr>
                        </w:pPr>
                        <w:r>
                          <w:rPr>
                            <w:sz w:val="17"/>
                          </w:rPr>
                          <w:t>0.91</w:t>
                        </w:r>
                      </w:p>
                    </w:tc>
                    <w:tc>
                      <w:tcPr>
                        <w:tcW w:w="1533" w:type="dxa"/>
                        <w:tcBorders>
                          <w:top w:val="double" w:sz="4" w:space="0" w:color="000000"/>
                        </w:tcBorders>
                        <w:shd w:val="clear" w:color="auto" w:fill="DBEDF3"/>
                      </w:tcPr>
                      <w:p>
                        <w:pPr>
                          <w:pStyle w:val="TableParagraph"/>
                          <w:spacing w:before="12"/>
                          <w:ind w:left="591"/>
                          <w:jc w:val="left"/>
                          <w:rPr>
                            <w:sz w:val="17"/>
                          </w:rPr>
                        </w:pPr>
                        <w:r>
                          <w:rPr>
                            <w:sz w:val="17"/>
                          </w:rPr>
                          <w:t>0.35</w:t>
                        </w:r>
                      </w:p>
                    </w:tc>
                  </w:tr>
                  <w:tr>
                    <w:trPr>
                      <w:trHeight w:val="225" w:hRule="exact"/>
                    </w:trPr>
                    <w:tc>
                      <w:tcPr>
                        <w:tcW w:w="712" w:type="dxa"/>
                      </w:tcPr>
                      <w:p>
                        <w:pPr>
                          <w:pStyle w:val="TableParagraph"/>
                          <w:spacing w:before="5"/>
                          <w:ind w:left="4"/>
                          <w:rPr>
                            <w:sz w:val="17"/>
                          </w:rPr>
                        </w:pPr>
                        <w:r>
                          <w:rPr>
                            <w:w w:val="101"/>
                            <w:sz w:val="17"/>
                          </w:rPr>
                          <w:t>2</w:t>
                        </w:r>
                      </w:p>
                    </w:tc>
                    <w:tc>
                      <w:tcPr>
                        <w:tcW w:w="1134" w:type="dxa"/>
                        <w:shd w:val="clear" w:color="auto" w:fill="DBEDF3"/>
                      </w:tcPr>
                      <w:p>
                        <w:pPr>
                          <w:pStyle w:val="TableParagraph"/>
                          <w:spacing w:before="5"/>
                          <w:ind w:left="401" w:right="395"/>
                          <w:rPr>
                            <w:sz w:val="17"/>
                          </w:rPr>
                        </w:pPr>
                        <w:r>
                          <w:rPr>
                            <w:sz w:val="17"/>
                          </w:rPr>
                          <w:t>3.79</w:t>
                        </w:r>
                      </w:p>
                    </w:tc>
                    <w:tc>
                      <w:tcPr>
                        <w:tcW w:w="966" w:type="dxa"/>
                        <w:shd w:val="clear" w:color="auto" w:fill="DBEDF3"/>
                      </w:tcPr>
                      <w:p>
                        <w:pPr>
                          <w:pStyle w:val="TableParagraph"/>
                          <w:spacing w:before="5"/>
                          <w:ind w:left="313" w:right="314"/>
                          <w:rPr>
                            <w:sz w:val="17"/>
                          </w:rPr>
                        </w:pPr>
                        <w:r>
                          <w:rPr>
                            <w:sz w:val="17"/>
                          </w:rPr>
                          <w:t>0.03</w:t>
                        </w:r>
                      </w:p>
                    </w:tc>
                    <w:tc>
                      <w:tcPr>
                        <w:tcW w:w="1269" w:type="dxa"/>
                      </w:tcPr>
                      <w:p>
                        <w:pPr>
                          <w:pStyle w:val="TableParagraph"/>
                          <w:spacing w:before="5"/>
                          <w:ind w:left="351"/>
                          <w:jc w:val="left"/>
                          <w:rPr>
                            <w:sz w:val="17"/>
                          </w:rPr>
                        </w:pPr>
                        <w:r>
                          <w:rPr>
                            <w:sz w:val="17"/>
                          </w:rPr>
                          <w:t>4.71</w:t>
                        </w:r>
                      </w:p>
                    </w:tc>
                    <w:tc>
                      <w:tcPr>
                        <w:tcW w:w="1641" w:type="dxa"/>
                      </w:tcPr>
                      <w:p>
                        <w:pPr>
                          <w:pStyle w:val="TableParagraph"/>
                          <w:spacing w:before="5"/>
                          <w:ind w:left="542"/>
                          <w:jc w:val="left"/>
                          <w:rPr>
                            <w:sz w:val="17"/>
                          </w:rPr>
                        </w:pPr>
                        <w:r>
                          <w:rPr>
                            <w:sz w:val="17"/>
                          </w:rPr>
                          <w:t>0.02</w:t>
                        </w:r>
                      </w:p>
                    </w:tc>
                    <w:tc>
                      <w:tcPr>
                        <w:tcW w:w="1571" w:type="dxa"/>
                        <w:shd w:val="clear" w:color="auto" w:fill="DBEDF3"/>
                      </w:tcPr>
                      <w:p>
                        <w:pPr>
                          <w:pStyle w:val="TableParagraph"/>
                          <w:spacing w:before="5"/>
                          <w:ind w:left="591" w:right="641"/>
                          <w:rPr>
                            <w:sz w:val="17"/>
                          </w:rPr>
                        </w:pPr>
                        <w:r>
                          <w:rPr>
                            <w:sz w:val="17"/>
                          </w:rPr>
                          <w:t>1.89</w:t>
                        </w:r>
                      </w:p>
                    </w:tc>
                    <w:tc>
                      <w:tcPr>
                        <w:tcW w:w="1533" w:type="dxa"/>
                        <w:shd w:val="clear" w:color="auto" w:fill="DBEDF3"/>
                      </w:tcPr>
                      <w:p>
                        <w:pPr>
                          <w:pStyle w:val="TableParagraph"/>
                          <w:spacing w:before="5"/>
                          <w:ind w:left="591"/>
                          <w:jc w:val="left"/>
                          <w:rPr>
                            <w:sz w:val="17"/>
                          </w:rPr>
                        </w:pPr>
                        <w:r>
                          <w:rPr>
                            <w:sz w:val="17"/>
                          </w:rPr>
                          <w:t>0.17</w:t>
                        </w:r>
                      </w:p>
                    </w:tc>
                  </w:tr>
                  <w:tr>
                    <w:trPr>
                      <w:trHeight w:val="225" w:hRule="exact"/>
                    </w:trPr>
                    <w:tc>
                      <w:tcPr>
                        <w:tcW w:w="712" w:type="dxa"/>
                      </w:tcPr>
                      <w:p>
                        <w:pPr>
                          <w:pStyle w:val="TableParagraph"/>
                          <w:spacing w:before="5"/>
                          <w:ind w:left="4"/>
                          <w:rPr>
                            <w:sz w:val="17"/>
                          </w:rPr>
                        </w:pPr>
                        <w:r>
                          <w:rPr>
                            <w:w w:val="101"/>
                            <w:sz w:val="17"/>
                          </w:rPr>
                          <w:t>3</w:t>
                        </w:r>
                      </w:p>
                    </w:tc>
                    <w:tc>
                      <w:tcPr>
                        <w:tcW w:w="1134" w:type="dxa"/>
                        <w:shd w:val="clear" w:color="auto" w:fill="DBEDF3"/>
                      </w:tcPr>
                      <w:p>
                        <w:pPr>
                          <w:pStyle w:val="TableParagraph"/>
                          <w:spacing w:before="5"/>
                          <w:ind w:left="401" w:right="395"/>
                          <w:rPr>
                            <w:sz w:val="17"/>
                          </w:rPr>
                        </w:pPr>
                        <w:r>
                          <w:rPr>
                            <w:sz w:val="17"/>
                          </w:rPr>
                          <w:t>3.40</w:t>
                        </w:r>
                      </w:p>
                    </w:tc>
                    <w:tc>
                      <w:tcPr>
                        <w:tcW w:w="966" w:type="dxa"/>
                        <w:shd w:val="clear" w:color="auto" w:fill="DBEDF3"/>
                      </w:tcPr>
                      <w:p>
                        <w:pPr>
                          <w:pStyle w:val="TableParagraph"/>
                          <w:spacing w:before="5"/>
                          <w:ind w:left="313" w:right="314"/>
                          <w:rPr>
                            <w:sz w:val="17"/>
                          </w:rPr>
                        </w:pPr>
                        <w:r>
                          <w:rPr>
                            <w:sz w:val="17"/>
                          </w:rPr>
                          <w:t>0.03</w:t>
                        </w:r>
                      </w:p>
                    </w:tc>
                    <w:tc>
                      <w:tcPr>
                        <w:tcW w:w="1269" w:type="dxa"/>
                      </w:tcPr>
                      <w:p>
                        <w:pPr>
                          <w:pStyle w:val="TableParagraph"/>
                          <w:spacing w:before="5"/>
                          <w:ind w:left="351"/>
                          <w:jc w:val="left"/>
                          <w:rPr>
                            <w:sz w:val="17"/>
                          </w:rPr>
                        </w:pPr>
                        <w:r>
                          <w:rPr>
                            <w:sz w:val="17"/>
                          </w:rPr>
                          <w:t>3.52</w:t>
                        </w:r>
                      </w:p>
                    </w:tc>
                    <w:tc>
                      <w:tcPr>
                        <w:tcW w:w="1641" w:type="dxa"/>
                      </w:tcPr>
                      <w:p>
                        <w:pPr>
                          <w:pStyle w:val="TableParagraph"/>
                          <w:spacing w:before="5"/>
                          <w:ind w:left="542"/>
                          <w:jc w:val="left"/>
                          <w:rPr>
                            <w:sz w:val="17"/>
                          </w:rPr>
                        </w:pPr>
                        <w:r>
                          <w:rPr>
                            <w:sz w:val="17"/>
                          </w:rPr>
                          <w:t>0.03</w:t>
                        </w:r>
                      </w:p>
                    </w:tc>
                    <w:tc>
                      <w:tcPr>
                        <w:tcW w:w="1571" w:type="dxa"/>
                        <w:shd w:val="clear" w:color="auto" w:fill="DBEDF3"/>
                      </w:tcPr>
                      <w:p>
                        <w:pPr>
                          <w:pStyle w:val="TableParagraph"/>
                          <w:spacing w:before="5"/>
                          <w:ind w:left="591" w:right="641"/>
                          <w:rPr>
                            <w:sz w:val="17"/>
                          </w:rPr>
                        </w:pPr>
                        <w:r>
                          <w:rPr>
                            <w:sz w:val="17"/>
                          </w:rPr>
                          <w:t>1.06</w:t>
                        </w:r>
                      </w:p>
                    </w:tc>
                    <w:tc>
                      <w:tcPr>
                        <w:tcW w:w="1533" w:type="dxa"/>
                        <w:shd w:val="clear" w:color="auto" w:fill="DBEDF3"/>
                      </w:tcPr>
                      <w:p>
                        <w:pPr>
                          <w:pStyle w:val="TableParagraph"/>
                          <w:spacing w:before="5"/>
                          <w:ind w:left="591"/>
                          <w:jc w:val="left"/>
                          <w:rPr>
                            <w:sz w:val="17"/>
                          </w:rPr>
                        </w:pPr>
                        <w:r>
                          <w:rPr>
                            <w:sz w:val="17"/>
                          </w:rPr>
                          <w:t>0.38</w:t>
                        </w:r>
                      </w:p>
                    </w:tc>
                  </w:tr>
                  <w:tr>
                    <w:trPr>
                      <w:trHeight w:val="225" w:hRule="exact"/>
                    </w:trPr>
                    <w:tc>
                      <w:tcPr>
                        <w:tcW w:w="712" w:type="dxa"/>
                      </w:tcPr>
                      <w:p>
                        <w:pPr>
                          <w:pStyle w:val="TableParagraph"/>
                          <w:spacing w:before="5"/>
                          <w:ind w:left="4"/>
                          <w:rPr>
                            <w:sz w:val="17"/>
                          </w:rPr>
                        </w:pPr>
                        <w:r>
                          <w:rPr>
                            <w:w w:val="101"/>
                            <w:sz w:val="17"/>
                          </w:rPr>
                          <w:t>4</w:t>
                        </w:r>
                      </w:p>
                    </w:tc>
                    <w:tc>
                      <w:tcPr>
                        <w:tcW w:w="1134" w:type="dxa"/>
                        <w:shd w:val="clear" w:color="auto" w:fill="DBEDF3"/>
                      </w:tcPr>
                      <w:p>
                        <w:pPr>
                          <w:pStyle w:val="TableParagraph"/>
                          <w:spacing w:before="5"/>
                          <w:ind w:left="401" w:right="395"/>
                          <w:rPr>
                            <w:sz w:val="17"/>
                          </w:rPr>
                        </w:pPr>
                        <w:r>
                          <w:rPr>
                            <w:sz w:val="17"/>
                          </w:rPr>
                          <w:t>4.27</w:t>
                        </w:r>
                      </w:p>
                    </w:tc>
                    <w:tc>
                      <w:tcPr>
                        <w:tcW w:w="966" w:type="dxa"/>
                        <w:shd w:val="clear" w:color="auto" w:fill="DBEDF3"/>
                      </w:tcPr>
                      <w:p>
                        <w:pPr>
                          <w:pStyle w:val="TableParagraph"/>
                          <w:spacing w:before="5"/>
                          <w:ind w:left="313" w:right="314"/>
                          <w:rPr>
                            <w:sz w:val="17"/>
                          </w:rPr>
                        </w:pPr>
                        <w:r>
                          <w:rPr>
                            <w:sz w:val="17"/>
                          </w:rPr>
                          <w:t>0.01</w:t>
                        </w:r>
                      </w:p>
                    </w:tc>
                    <w:tc>
                      <w:tcPr>
                        <w:tcW w:w="1269" w:type="dxa"/>
                      </w:tcPr>
                      <w:p>
                        <w:pPr>
                          <w:pStyle w:val="TableParagraph"/>
                          <w:spacing w:before="5"/>
                          <w:ind w:left="351"/>
                          <w:jc w:val="left"/>
                          <w:rPr>
                            <w:sz w:val="17"/>
                          </w:rPr>
                        </w:pPr>
                        <w:r>
                          <w:rPr>
                            <w:sz w:val="17"/>
                          </w:rPr>
                          <w:t>2.27</w:t>
                        </w:r>
                      </w:p>
                    </w:tc>
                    <w:tc>
                      <w:tcPr>
                        <w:tcW w:w="1641" w:type="dxa"/>
                      </w:tcPr>
                      <w:p>
                        <w:pPr>
                          <w:pStyle w:val="TableParagraph"/>
                          <w:spacing w:before="5"/>
                          <w:ind w:left="542"/>
                          <w:jc w:val="left"/>
                          <w:rPr>
                            <w:sz w:val="17"/>
                          </w:rPr>
                        </w:pPr>
                        <w:r>
                          <w:rPr>
                            <w:sz w:val="17"/>
                          </w:rPr>
                          <w:t>0.09</w:t>
                        </w:r>
                      </w:p>
                    </w:tc>
                    <w:tc>
                      <w:tcPr>
                        <w:tcW w:w="1571" w:type="dxa"/>
                        <w:shd w:val="clear" w:color="auto" w:fill="DBEDF3"/>
                      </w:tcPr>
                      <w:p>
                        <w:pPr>
                          <w:pStyle w:val="TableParagraph"/>
                          <w:spacing w:before="5"/>
                          <w:ind w:left="591" w:right="641"/>
                          <w:rPr>
                            <w:sz w:val="17"/>
                          </w:rPr>
                        </w:pPr>
                        <w:r>
                          <w:rPr>
                            <w:sz w:val="17"/>
                          </w:rPr>
                          <w:t>1.54</w:t>
                        </w:r>
                      </w:p>
                    </w:tc>
                    <w:tc>
                      <w:tcPr>
                        <w:tcW w:w="1533" w:type="dxa"/>
                        <w:shd w:val="clear" w:color="auto" w:fill="DBEDF3"/>
                      </w:tcPr>
                      <w:p>
                        <w:pPr>
                          <w:pStyle w:val="TableParagraph"/>
                          <w:spacing w:before="5"/>
                          <w:ind w:left="591"/>
                          <w:jc w:val="left"/>
                          <w:rPr>
                            <w:sz w:val="17"/>
                          </w:rPr>
                        </w:pPr>
                        <w:r>
                          <w:rPr>
                            <w:sz w:val="17"/>
                          </w:rPr>
                          <w:t>0.22</w:t>
                        </w:r>
                      </w:p>
                    </w:tc>
                  </w:tr>
                  <w:tr>
                    <w:trPr>
                      <w:trHeight w:val="227" w:hRule="exact"/>
                    </w:trPr>
                    <w:tc>
                      <w:tcPr>
                        <w:tcW w:w="712" w:type="dxa"/>
                        <w:tcBorders>
                          <w:bottom w:val="single" w:sz="32" w:space="0" w:color="FFFFFF"/>
                        </w:tcBorders>
                      </w:tcPr>
                      <w:p>
                        <w:pPr>
                          <w:pStyle w:val="TableParagraph"/>
                          <w:spacing w:before="5"/>
                          <w:ind w:left="4"/>
                          <w:rPr>
                            <w:sz w:val="17"/>
                          </w:rPr>
                        </w:pPr>
                        <w:r>
                          <w:rPr>
                            <w:w w:val="101"/>
                            <w:sz w:val="17"/>
                          </w:rPr>
                          <w:t>5</w:t>
                        </w:r>
                      </w:p>
                    </w:tc>
                    <w:tc>
                      <w:tcPr>
                        <w:tcW w:w="1134" w:type="dxa"/>
                        <w:tcBorders>
                          <w:bottom w:val="single" w:sz="32" w:space="0" w:color="FFFFFF"/>
                        </w:tcBorders>
                        <w:shd w:val="clear" w:color="auto" w:fill="DBEDF3"/>
                      </w:tcPr>
                      <w:p>
                        <w:pPr>
                          <w:pStyle w:val="TableParagraph"/>
                          <w:spacing w:before="5"/>
                          <w:ind w:left="401" w:right="395"/>
                          <w:rPr>
                            <w:sz w:val="17"/>
                          </w:rPr>
                        </w:pPr>
                        <w:r>
                          <w:rPr>
                            <w:sz w:val="17"/>
                          </w:rPr>
                          <w:t>2.33</w:t>
                        </w:r>
                      </w:p>
                    </w:tc>
                    <w:tc>
                      <w:tcPr>
                        <w:tcW w:w="966" w:type="dxa"/>
                        <w:tcBorders>
                          <w:bottom w:val="single" w:sz="32" w:space="0" w:color="FFFFFF"/>
                        </w:tcBorders>
                        <w:shd w:val="clear" w:color="auto" w:fill="DBEDF3"/>
                      </w:tcPr>
                      <w:p>
                        <w:pPr>
                          <w:pStyle w:val="TableParagraph"/>
                          <w:spacing w:before="5"/>
                          <w:ind w:left="313" w:right="314"/>
                          <w:rPr>
                            <w:sz w:val="17"/>
                          </w:rPr>
                        </w:pPr>
                        <w:r>
                          <w:rPr>
                            <w:sz w:val="17"/>
                          </w:rPr>
                          <w:t>0.07</w:t>
                        </w:r>
                      </w:p>
                    </w:tc>
                    <w:tc>
                      <w:tcPr>
                        <w:tcW w:w="1269" w:type="dxa"/>
                        <w:tcBorders>
                          <w:bottom w:val="single" w:sz="32" w:space="0" w:color="FFFFFF"/>
                        </w:tcBorders>
                      </w:tcPr>
                      <w:p>
                        <w:pPr>
                          <w:pStyle w:val="TableParagraph"/>
                          <w:spacing w:before="5"/>
                          <w:ind w:left="351"/>
                          <w:jc w:val="left"/>
                          <w:rPr>
                            <w:sz w:val="17"/>
                          </w:rPr>
                        </w:pPr>
                        <w:r>
                          <w:rPr>
                            <w:sz w:val="17"/>
                          </w:rPr>
                          <w:t>2.70</w:t>
                        </w:r>
                      </w:p>
                    </w:tc>
                    <w:tc>
                      <w:tcPr>
                        <w:tcW w:w="1641" w:type="dxa"/>
                        <w:tcBorders>
                          <w:bottom w:val="single" w:sz="32" w:space="0" w:color="FFFFFF"/>
                        </w:tcBorders>
                      </w:tcPr>
                      <w:p>
                        <w:pPr>
                          <w:pStyle w:val="TableParagraph"/>
                          <w:spacing w:before="5"/>
                          <w:ind w:left="542"/>
                          <w:jc w:val="left"/>
                          <w:rPr>
                            <w:sz w:val="17"/>
                          </w:rPr>
                        </w:pPr>
                        <w:r>
                          <w:rPr>
                            <w:sz w:val="17"/>
                          </w:rPr>
                          <w:t>0.05</w:t>
                        </w:r>
                      </w:p>
                    </w:tc>
                    <w:tc>
                      <w:tcPr>
                        <w:tcW w:w="1571" w:type="dxa"/>
                        <w:tcBorders>
                          <w:bottom w:val="single" w:sz="32" w:space="0" w:color="FFFFFF"/>
                        </w:tcBorders>
                        <w:shd w:val="clear" w:color="auto" w:fill="DBEDF3"/>
                      </w:tcPr>
                      <w:p>
                        <w:pPr>
                          <w:pStyle w:val="TableParagraph"/>
                          <w:spacing w:before="5"/>
                          <w:ind w:left="591" w:right="641"/>
                          <w:rPr>
                            <w:sz w:val="17"/>
                          </w:rPr>
                        </w:pPr>
                        <w:r>
                          <w:rPr>
                            <w:sz w:val="17"/>
                          </w:rPr>
                          <w:t>0.55</w:t>
                        </w:r>
                      </w:p>
                    </w:tc>
                    <w:tc>
                      <w:tcPr>
                        <w:tcW w:w="1533" w:type="dxa"/>
                        <w:tcBorders>
                          <w:bottom w:val="single" w:sz="32" w:space="0" w:color="FFFFFF"/>
                        </w:tcBorders>
                        <w:shd w:val="clear" w:color="auto" w:fill="DBEDF3"/>
                      </w:tcPr>
                      <w:p>
                        <w:pPr>
                          <w:pStyle w:val="TableParagraph"/>
                          <w:spacing w:before="5"/>
                          <w:ind w:left="591"/>
                          <w:jc w:val="left"/>
                          <w:rPr>
                            <w:sz w:val="17"/>
                          </w:rPr>
                        </w:pPr>
                        <w:r>
                          <w:rPr>
                            <w:sz w:val="17"/>
                          </w:rPr>
                          <w:t>0.73</w:t>
                        </w:r>
                      </w:p>
                    </w:tc>
                  </w:tr>
                </w:tbl>
                <w:p>
                  <w:pPr>
                    <w:pStyle w:val="BodyText"/>
                  </w:pPr>
                </w:p>
              </w:txbxContent>
            </v:textbox>
            <w10:wrap type="none"/>
          </v:shape>
        </w:pict>
      </w:r>
      <w:r>
        <w:rPr/>
        <w:t>Anexo 4.3 A: Ho: Las variables explicativas (en niveles) no causan Granger al Balance primario no gasífero (en nivel)</w:t>
      </w:r>
    </w:p>
    <w:p>
      <w:pPr>
        <w:pStyle w:val="BodyText"/>
      </w:pPr>
    </w:p>
    <w:p>
      <w:pPr>
        <w:pStyle w:val="BodyText"/>
      </w:pPr>
    </w:p>
    <w:p>
      <w:pPr>
        <w:pStyle w:val="BodyText"/>
      </w:pPr>
    </w:p>
    <w:p>
      <w:pPr>
        <w:pStyle w:val="BodyText"/>
      </w:pPr>
    </w:p>
    <w:p>
      <w:pPr>
        <w:pStyle w:val="BodyText"/>
        <w:spacing w:before="5"/>
        <w:rPr>
          <w:sz w:val="26"/>
        </w:rPr>
      </w:pPr>
    </w:p>
    <w:p>
      <w:pPr>
        <w:spacing w:before="1"/>
        <w:ind w:left="102" w:right="549" w:firstLine="0"/>
        <w:jc w:val="left"/>
        <w:rPr>
          <w:sz w:val="20"/>
        </w:rPr>
      </w:pPr>
      <w:r>
        <w:rPr>
          <w:sz w:val="20"/>
        </w:rPr>
        <w:t>Pg corresponde a los precios del gas natural</w:t>
      </w:r>
      <w:r>
        <w:rPr>
          <w:sz w:val="24"/>
        </w:rPr>
        <w:t>; </w:t>
      </w:r>
      <w:r>
        <w:rPr>
          <w:sz w:val="20"/>
        </w:rPr>
        <w:t>Asign. De Ing. Gasíf. Petroleros es la razón Gasto de capital/  Ing. Fisc. Gasíferos</w:t>
      </w:r>
      <w:r>
        <w:rPr>
          <w:sz w:val="24"/>
        </w:rPr>
        <w:t>; </w:t>
      </w:r>
      <w:r>
        <w:rPr>
          <w:sz w:val="20"/>
        </w:rPr>
        <w:t>Asign. De Ing. Fisc. No Gasíf., es la razón  Gasto corriente/ Ing. Fisc. No Gasíferos BPNG corresponde al Balance primario no gasífero en términos del</w:t>
      </w:r>
      <w:r>
        <w:rPr>
          <w:spacing w:val="-13"/>
          <w:sz w:val="20"/>
        </w:rPr>
        <w:t> </w:t>
      </w:r>
      <w:r>
        <w:rPr>
          <w:sz w:val="20"/>
        </w:rPr>
        <w:t>PIB.</w:t>
      </w:r>
    </w:p>
    <w:p>
      <w:pPr>
        <w:pStyle w:val="BodyText"/>
        <w:rPr>
          <w:sz w:val="20"/>
        </w:rPr>
      </w:pPr>
    </w:p>
    <w:p>
      <w:pPr>
        <w:pStyle w:val="BodyText"/>
        <w:rPr>
          <w:sz w:val="25"/>
        </w:rPr>
      </w:pPr>
    </w:p>
    <w:p>
      <w:pPr>
        <w:pStyle w:val="BodyText"/>
        <w:spacing w:line="360" w:lineRule="auto"/>
        <w:ind w:left="102" w:right="549"/>
      </w:pPr>
      <w:r>
        <w:rPr/>
        <w:pict>
          <v:line style="position:absolute;mso-position-horizontal-relative:page;mso-position-vertical-relative:paragraph;z-index:-553672" from="528.312805pt,45.0392pt" to="528.312805pt,125.418404pt" stroked="true" strokeweight=".450083pt" strokecolor="#ffffff">
            <w10:wrap type="none"/>
          </v:line>
        </w:pict>
      </w:r>
      <w:r>
        <w:rPr/>
        <w:t>Anexo 4.3 B: Ho: Las variables explicativas (en niveles) no causan Granger al Balance primario (en nivel)</w:t>
      </w:r>
    </w:p>
    <w:p>
      <w:pPr>
        <w:pStyle w:val="BodyText"/>
        <w:spacing w:before="10"/>
        <w:rPr>
          <w:sz w:val="6"/>
        </w:rPr>
      </w:pPr>
    </w:p>
    <w:tbl>
      <w:tblPr>
        <w:tblW w:w="0" w:type="auto"/>
        <w:jc w:val="left"/>
        <w:tblInd w:w="14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12"/>
        <w:gridCol w:w="1134"/>
        <w:gridCol w:w="966"/>
        <w:gridCol w:w="1269"/>
        <w:gridCol w:w="1641"/>
        <w:gridCol w:w="1571"/>
        <w:gridCol w:w="1533"/>
      </w:tblGrid>
      <w:tr>
        <w:trPr>
          <w:trHeight w:val="456" w:hRule="exact"/>
        </w:trPr>
        <w:tc>
          <w:tcPr>
            <w:tcW w:w="712" w:type="dxa"/>
            <w:tcBorders>
              <w:bottom w:val="double" w:sz="4" w:space="0" w:color="000000"/>
            </w:tcBorders>
          </w:tcPr>
          <w:p>
            <w:pPr>
              <w:pStyle w:val="TableParagraph"/>
              <w:spacing w:before="121"/>
              <w:ind w:left="36" w:right="40"/>
              <w:rPr>
                <w:b/>
                <w:sz w:val="17"/>
              </w:rPr>
            </w:pPr>
            <w:r>
              <w:rPr>
                <w:b/>
                <w:sz w:val="17"/>
              </w:rPr>
              <w:t>Rezagos</w:t>
            </w:r>
          </w:p>
        </w:tc>
        <w:tc>
          <w:tcPr>
            <w:tcW w:w="1134" w:type="dxa"/>
            <w:tcBorders>
              <w:bottom w:val="double" w:sz="4" w:space="0" w:color="000000"/>
            </w:tcBorders>
            <w:shd w:val="clear" w:color="auto" w:fill="DBEDF3"/>
          </w:tcPr>
          <w:p>
            <w:pPr>
              <w:pStyle w:val="TableParagraph"/>
              <w:spacing w:before="13"/>
              <w:ind w:left="216"/>
              <w:jc w:val="left"/>
              <w:rPr>
                <w:b/>
                <w:sz w:val="17"/>
              </w:rPr>
            </w:pPr>
            <w:r>
              <w:rPr>
                <w:b/>
                <w:sz w:val="17"/>
              </w:rPr>
              <w:t>a) Pg   </w:t>
            </w:r>
            <w:r>
              <w:rPr>
                <w:b/>
                <w:spacing w:val="13"/>
                <w:position w:val="-3"/>
                <w:sz w:val="17"/>
              </w:rPr>
              <w:drawing>
                <wp:inline distT="0" distB="0" distL="0" distR="0">
                  <wp:extent cx="150808" cy="114300"/>
                  <wp:effectExtent l="0" t="0" r="0" b="0"/>
                  <wp:docPr id="117" name="image335.png" descr=""/>
                  <wp:cNvGraphicFramePr>
                    <a:graphicFrameLocks noChangeAspect="1"/>
                  </wp:cNvGraphicFramePr>
                  <a:graphic>
                    <a:graphicData uri="http://schemas.openxmlformats.org/drawingml/2006/picture">
                      <pic:pic>
                        <pic:nvPicPr>
                          <pic:cNvPr id="118" name="image335.png"/>
                          <pic:cNvPicPr/>
                        </pic:nvPicPr>
                        <pic:blipFill>
                          <a:blip r:embed="rId361" cstate="print"/>
                          <a:stretch>
                            <a:fillRect/>
                          </a:stretch>
                        </pic:blipFill>
                        <pic:spPr>
                          <a:xfrm>
                            <a:off x="0" y="0"/>
                            <a:ext cx="150808" cy="114300"/>
                          </a:xfrm>
                          <a:prstGeom prst="rect">
                            <a:avLst/>
                          </a:prstGeom>
                        </pic:spPr>
                      </pic:pic>
                    </a:graphicData>
                  </a:graphic>
                </wp:inline>
              </w:drawing>
            </w:r>
            <w:r>
              <w:rPr>
                <w:b/>
                <w:spacing w:val="13"/>
                <w:position w:val="-3"/>
                <w:sz w:val="17"/>
              </w:rPr>
            </w:r>
          </w:p>
          <w:p>
            <w:pPr>
              <w:pStyle w:val="TableParagraph"/>
              <w:spacing w:before="25"/>
              <w:ind w:left="297"/>
              <w:jc w:val="left"/>
              <w:rPr>
                <w:sz w:val="17"/>
              </w:rPr>
            </w:pPr>
            <w:r>
              <w:rPr>
                <w:sz w:val="17"/>
              </w:rPr>
              <w:t>Est. "F"</w:t>
            </w:r>
          </w:p>
        </w:tc>
        <w:tc>
          <w:tcPr>
            <w:tcW w:w="966" w:type="dxa"/>
            <w:tcBorders>
              <w:bottom w:val="double" w:sz="4" w:space="0" w:color="000000"/>
            </w:tcBorders>
            <w:shd w:val="clear" w:color="auto" w:fill="DBEDF3"/>
          </w:tcPr>
          <w:p>
            <w:pPr>
              <w:pStyle w:val="TableParagraph"/>
              <w:spacing w:before="13"/>
              <w:ind w:right="78"/>
              <w:rPr>
                <w:b/>
                <w:sz w:val="17"/>
              </w:rPr>
            </w:pPr>
            <w:r>
              <w:rPr>
                <w:b/>
                <w:sz w:val="17"/>
              </w:rPr>
              <w:t>BP/ PIB</w:t>
            </w:r>
          </w:p>
          <w:p>
            <w:pPr>
              <w:pStyle w:val="TableParagraph"/>
              <w:spacing w:before="30"/>
              <w:ind w:right="8"/>
              <w:rPr>
                <w:sz w:val="17"/>
              </w:rPr>
            </w:pPr>
            <w:r>
              <w:rPr>
                <w:sz w:val="17"/>
              </w:rPr>
              <w:t>Prob.</w:t>
            </w:r>
          </w:p>
        </w:tc>
        <w:tc>
          <w:tcPr>
            <w:tcW w:w="1269" w:type="dxa"/>
            <w:tcBorders>
              <w:bottom w:val="double" w:sz="4" w:space="0" w:color="000000"/>
            </w:tcBorders>
          </w:tcPr>
          <w:p>
            <w:pPr>
              <w:pStyle w:val="TableParagraph"/>
              <w:spacing w:before="13"/>
              <w:ind w:left="126" w:right="-31"/>
              <w:jc w:val="left"/>
              <w:rPr>
                <w:b/>
                <w:sz w:val="17"/>
              </w:rPr>
            </w:pPr>
            <w:r>
              <w:rPr>
                <w:b/>
                <w:spacing w:val="-3"/>
                <w:sz w:val="17"/>
              </w:rPr>
              <w:t>b) </w:t>
            </w:r>
            <w:r>
              <w:rPr>
                <w:b/>
                <w:sz w:val="17"/>
              </w:rPr>
              <w:t>Asign. Ing.</w:t>
            </w:r>
            <w:r>
              <w:rPr>
                <w:b/>
                <w:spacing w:val="5"/>
                <w:sz w:val="17"/>
              </w:rPr>
              <w:t> </w:t>
            </w:r>
            <w:r>
              <w:rPr>
                <w:b/>
                <w:sz w:val="17"/>
              </w:rPr>
              <w:t>G</w:t>
            </w:r>
          </w:p>
          <w:p>
            <w:pPr>
              <w:pStyle w:val="TableParagraph"/>
              <w:spacing w:before="30"/>
              <w:ind w:left="225" w:right="-31"/>
              <w:jc w:val="left"/>
              <w:rPr>
                <w:sz w:val="17"/>
              </w:rPr>
            </w:pPr>
            <w:r>
              <w:rPr>
                <w:sz w:val="17"/>
              </w:rPr>
              <w:t>Est. "F"</w:t>
            </w:r>
          </w:p>
        </w:tc>
        <w:tc>
          <w:tcPr>
            <w:tcW w:w="1641" w:type="dxa"/>
            <w:tcBorders>
              <w:bottom w:val="double" w:sz="4" w:space="0" w:color="000000"/>
            </w:tcBorders>
          </w:tcPr>
          <w:p>
            <w:pPr>
              <w:pStyle w:val="TableParagraph"/>
              <w:spacing w:before="13"/>
              <w:ind w:left="7" w:right="123"/>
              <w:rPr>
                <w:b/>
                <w:sz w:val="17"/>
              </w:rPr>
            </w:pPr>
            <w:r>
              <w:rPr>
                <w:b/>
                <w:sz w:val="17"/>
              </w:rPr>
              <w:t>asíf.    </w:t>
            </w:r>
            <w:r>
              <w:rPr>
                <w:b/>
                <w:spacing w:val="9"/>
                <w:sz w:val="17"/>
              </w:rPr>
              <w:drawing>
                <wp:inline distT="0" distB="0" distL="0" distR="0">
                  <wp:extent cx="151483" cy="99060"/>
                  <wp:effectExtent l="0" t="0" r="0" b="0"/>
                  <wp:docPr id="119" name="image336.png" descr=""/>
                  <wp:cNvGraphicFramePr>
                    <a:graphicFrameLocks noChangeAspect="1"/>
                  </wp:cNvGraphicFramePr>
                  <a:graphic>
                    <a:graphicData uri="http://schemas.openxmlformats.org/drawingml/2006/picture">
                      <pic:pic>
                        <pic:nvPicPr>
                          <pic:cNvPr id="120" name="image336.png"/>
                          <pic:cNvPicPr/>
                        </pic:nvPicPr>
                        <pic:blipFill>
                          <a:blip r:embed="rId362" cstate="print"/>
                          <a:stretch>
                            <a:fillRect/>
                          </a:stretch>
                        </pic:blipFill>
                        <pic:spPr>
                          <a:xfrm>
                            <a:off x="0" y="0"/>
                            <a:ext cx="151483" cy="99060"/>
                          </a:xfrm>
                          <a:prstGeom prst="rect">
                            <a:avLst/>
                          </a:prstGeom>
                        </pic:spPr>
                      </pic:pic>
                    </a:graphicData>
                  </a:graphic>
                </wp:inline>
              </w:drawing>
            </w:r>
            <w:r>
              <w:rPr>
                <w:b/>
                <w:spacing w:val="9"/>
                <w:sz w:val="17"/>
              </w:rPr>
            </w:r>
            <w:r>
              <w:rPr>
                <w:spacing w:val="9"/>
                <w:sz w:val="17"/>
              </w:rPr>
              <w:t>   </w:t>
            </w:r>
            <w:r>
              <w:rPr>
                <w:b/>
                <w:sz w:val="17"/>
              </w:rPr>
              <w:t>BP/</w:t>
            </w:r>
            <w:r>
              <w:rPr>
                <w:b/>
                <w:spacing w:val="20"/>
                <w:sz w:val="17"/>
              </w:rPr>
              <w:t> </w:t>
            </w:r>
            <w:r>
              <w:rPr>
                <w:b/>
                <w:sz w:val="17"/>
              </w:rPr>
              <w:t>PIB</w:t>
            </w:r>
          </w:p>
          <w:p>
            <w:pPr>
              <w:pStyle w:val="TableParagraph"/>
              <w:spacing w:before="29"/>
              <w:ind w:left="7" w:right="276"/>
              <w:rPr>
                <w:sz w:val="17"/>
              </w:rPr>
            </w:pPr>
            <w:r>
              <w:rPr>
                <w:sz w:val="17"/>
              </w:rPr>
              <w:t>Prob.</w:t>
            </w:r>
          </w:p>
        </w:tc>
        <w:tc>
          <w:tcPr>
            <w:tcW w:w="1571" w:type="dxa"/>
            <w:tcBorders>
              <w:bottom w:val="double" w:sz="4" w:space="0" w:color="000000"/>
            </w:tcBorders>
            <w:shd w:val="clear" w:color="auto" w:fill="DBEDF3"/>
          </w:tcPr>
          <w:p>
            <w:pPr>
              <w:pStyle w:val="TableParagraph"/>
              <w:spacing w:before="13"/>
              <w:ind w:left="99" w:right="-27"/>
              <w:rPr>
                <w:b/>
                <w:sz w:val="17"/>
              </w:rPr>
            </w:pPr>
            <w:r>
              <w:rPr>
                <w:b/>
                <w:sz w:val="17"/>
              </w:rPr>
              <w:t>c) Asign. Ing. No</w:t>
            </w:r>
            <w:r>
              <w:rPr>
                <w:b/>
                <w:spacing w:val="17"/>
                <w:sz w:val="17"/>
              </w:rPr>
              <w:t> </w:t>
            </w:r>
            <w:r>
              <w:rPr>
                <w:b/>
                <w:sz w:val="17"/>
              </w:rPr>
              <w:t>Ga</w:t>
            </w:r>
          </w:p>
          <w:p>
            <w:pPr>
              <w:pStyle w:val="TableParagraph"/>
              <w:spacing w:before="30"/>
              <w:ind w:left="99" w:right="166"/>
              <w:rPr>
                <w:sz w:val="17"/>
              </w:rPr>
            </w:pPr>
            <w:r>
              <w:rPr>
                <w:sz w:val="17"/>
              </w:rPr>
              <w:t>Est. "F"</w:t>
            </w:r>
          </w:p>
        </w:tc>
        <w:tc>
          <w:tcPr>
            <w:tcW w:w="1533" w:type="dxa"/>
            <w:tcBorders>
              <w:bottom w:val="double" w:sz="4" w:space="0" w:color="000000"/>
            </w:tcBorders>
            <w:shd w:val="clear" w:color="auto" w:fill="DBEDF3"/>
          </w:tcPr>
          <w:p>
            <w:pPr>
              <w:pStyle w:val="TableParagraph"/>
              <w:spacing w:before="13"/>
              <w:ind w:left="59" w:right="130"/>
              <w:rPr>
                <w:b/>
                <w:sz w:val="17"/>
              </w:rPr>
            </w:pPr>
            <w:r>
              <w:rPr>
                <w:b/>
                <w:spacing w:val="-1"/>
                <w:sz w:val="17"/>
              </w:rPr>
              <w:t>síf.    </w:t>
            </w:r>
            <w:r>
              <w:rPr>
                <w:b/>
                <w:spacing w:val="-17"/>
                <w:position w:val="-4"/>
                <w:sz w:val="17"/>
              </w:rPr>
              <w:drawing>
                <wp:inline distT="0" distB="0" distL="0" distR="0">
                  <wp:extent cx="151140" cy="123825"/>
                  <wp:effectExtent l="0" t="0" r="0" b="0"/>
                  <wp:docPr id="121" name="image337.png" descr=""/>
                  <wp:cNvGraphicFramePr>
                    <a:graphicFrameLocks noChangeAspect="1"/>
                  </wp:cNvGraphicFramePr>
                  <a:graphic>
                    <a:graphicData uri="http://schemas.openxmlformats.org/drawingml/2006/picture">
                      <pic:pic>
                        <pic:nvPicPr>
                          <pic:cNvPr id="122" name="image337.png"/>
                          <pic:cNvPicPr/>
                        </pic:nvPicPr>
                        <pic:blipFill>
                          <a:blip r:embed="rId363" cstate="print"/>
                          <a:stretch>
                            <a:fillRect/>
                          </a:stretch>
                        </pic:blipFill>
                        <pic:spPr>
                          <a:xfrm>
                            <a:off x="0" y="0"/>
                            <a:ext cx="151140" cy="123825"/>
                          </a:xfrm>
                          <a:prstGeom prst="rect">
                            <a:avLst/>
                          </a:prstGeom>
                        </pic:spPr>
                      </pic:pic>
                    </a:graphicData>
                  </a:graphic>
                </wp:inline>
              </w:drawing>
            </w:r>
            <w:r>
              <w:rPr>
                <w:b/>
                <w:spacing w:val="-17"/>
                <w:position w:val="-4"/>
                <w:sz w:val="17"/>
              </w:rPr>
            </w:r>
            <w:r>
              <w:rPr>
                <w:spacing w:val="-17"/>
                <w:sz w:val="17"/>
              </w:rPr>
              <w:t>    </w:t>
            </w:r>
            <w:r>
              <w:rPr>
                <w:b/>
                <w:sz w:val="17"/>
              </w:rPr>
              <w:t>BP/</w:t>
            </w:r>
            <w:r>
              <w:rPr>
                <w:b/>
                <w:spacing w:val="-2"/>
                <w:sz w:val="17"/>
              </w:rPr>
              <w:t> </w:t>
            </w:r>
            <w:r>
              <w:rPr>
                <w:b/>
                <w:sz w:val="17"/>
              </w:rPr>
              <w:t>PIB</w:t>
            </w:r>
          </w:p>
          <w:p>
            <w:pPr>
              <w:pStyle w:val="TableParagraph"/>
              <w:spacing w:before="19"/>
              <w:ind w:left="59" w:right="121"/>
              <w:rPr>
                <w:sz w:val="17"/>
              </w:rPr>
            </w:pPr>
            <w:r>
              <w:rPr>
                <w:sz w:val="17"/>
              </w:rPr>
              <w:t>Prob.</w:t>
            </w:r>
          </w:p>
        </w:tc>
      </w:tr>
      <w:tr>
        <w:trPr>
          <w:trHeight w:val="246" w:hRule="exact"/>
        </w:trPr>
        <w:tc>
          <w:tcPr>
            <w:tcW w:w="712" w:type="dxa"/>
            <w:tcBorders>
              <w:top w:val="double" w:sz="4" w:space="0" w:color="000000"/>
            </w:tcBorders>
          </w:tcPr>
          <w:p>
            <w:pPr>
              <w:pStyle w:val="TableParagraph"/>
              <w:spacing w:before="13"/>
              <w:ind w:left="4"/>
              <w:rPr>
                <w:sz w:val="17"/>
              </w:rPr>
            </w:pPr>
            <w:r>
              <w:rPr>
                <w:w w:val="101"/>
                <w:sz w:val="17"/>
              </w:rPr>
              <w:t>1</w:t>
            </w:r>
          </w:p>
        </w:tc>
        <w:tc>
          <w:tcPr>
            <w:tcW w:w="1134" w:type="dxa"/>
            <w:tcBorders>
              <w:top w:val="double" w:sz="4" w:space="0" w:color="000000"/>
            </w:tcBorders>
            <w:shd w:val="clear" w:color="auto" w:fill="DBEDF3"/>
          </w:tcPr>
          <w:p>
            <w:pPr>
              <w:pStyle w:val="TableParagraph"/>
              <w:spacing w:before="13"/>
              <w:ind w:left="401" w:right="395"/>
              <w:rPr>
                <w:sz w:val="17"/>
              </w:rPr>
            </w:pPr>
            <w:r>
              <w:rPr>
                <w:sz w:val="17"/>
              </w:rPr>
              <w:t>1.34</w:t>
            </w:r>
          </w:p>
        </w:tc>
        <w:tc>
          <w:tcPr>
            <w:tcW w:w="966" w:type="dxa"/>
            <w:tcBorders>
              <w:top w:val="double" w:sz="4" w:space="0" w:color="000000"/>
            </w:tcBorders>
            <w:shd w:val="clear" w:color="auto" w:fill="DBEDF3"/>
          </w:tcPr>
          <w:p>
            <w:pPr>
              <w:pStyle w:val="TableParagraph"/>
              <w:spacing w:before="13"/>
              <w:ind w:right="1"/>
              <w:rPr>
                <w:sz w:val="17"/>
              </w:rPr>
            </w:pPr>
            <w:r>
              <w:rPr>
                <w:sz w:val="17"/>
              </w:rPr>
              <w:t>0.25</w:t>
            </w:r>
          </w:p>
        </w:tc>
        <w:tc>
          <w:tcPr>
            <w:tcW w:w="1269" w:type="dxa"/>
            <w:tcBorders>
              <w:top w:val="double" w:sz="4" w:space="0" w:color="000000"/>
            </w:tcBorders>
          </w:tcPr>
          <w:p>
            <w:pPr>
              <w:pStyle w:val="TableParagraph"/>
              <w:spacing w:before="13"/>
              <w:ind w:left="351" w:right="-31"/>
              <w:jc w:val="left"/>
              <w:rPr>
                <w:sz w:val="17"/>
              </w:rPr>
            </w:pPr>
            <w:r>
              <w:rPr>
                <w:sz w:val="17"/>
              </w:rPr>
              <w:t>0.16</w:t>
            </w:r>
          </w:p>
        </w:tc>
        <w:tc>
          <w:tcPr>
            <w:tcW w:w="1641" w:type="dxa"/>
            <w:tcBorders>
              <w:top w:val="double" w:sz="4" w:space="0" w:color="000000"/>
            </w:tcBorders>
          </w:tcPr>
          <w:p>
            <w:pPr>
              <w:pStyle w:val="TableParagraph"/>
              <w:spacing w:before="13"/>
              <w:ind w:left="542"/>
              <w:jc w:val="left"/>
              <w:rPr>
                <w:sz w:val="17"/>
              </w:rPr>
            </w:pPr>
            <w:r>
              <w:rPr>
                <w:sz w:val="17"/>
              </w:rPr>
              <w:t>0.69</w:t>
            </w:r>
          </w:p>
        </w:tc>
        <w:tc>
          <w:tcPr>
            <w:tcW w:w="1571" w:type="dxa"/>
            <w:tcBorders>
              <w:top w:val="double" w:sz="4" w:space="0" w:color="000000"/>
            </w:tcBorders>
            <w:shd w:val="clear" w:color="auto" w:fill="DBEDF3"/>
          </w:tcPr>
          <w:p>
            <w:pPr>
              <w:pStyle w:val="TableParagraph"/>
              <w:spacing w:before="13"/>
              <w:ind w:left="99" w:right="149"/>
              <w:rPr>
                <w:sz w:val="17"/>
              </w:rPr>
            </w:pPr>
            <w:r>
              <w:rPr>
                <w:sz w:val="17"/>
              </w:rPr>
              <w:t>0.87</w:t>
            </w:r>
          </w:p>
        </w:tc>
        <w:tc>
          <w:tcPr>
            <w:tcW w:w="1533" w:type="dxa"/>
            <w:tcBorders>
              <w:top w:val="double" w:sz="4" w:space="0" w:color="000000"/>
            </w:tcBorders>
            <w:shd w:val="clear" w:color="auto" w:fill="DBEDF3"/>
          </w:tcPr>
          <w:p>
            <w:pPr>
              <w:pStyle w:val="TableParagraph"/>
              <w:spacing w:before="13"/>
              <w:ind w:left="591"/>
              <w:jc w:val="left"/>
              <w:rPr>
                <w:sz w:val="17"/>
              </w:rPr>
            </w:pPr>
            <w:r>
              <w:rPr>
                <w:sz w:val="17"/>
              </w:rPr>
              <w:t>0.36</w:t>
            </w:r>
          </w:p>
        </w:tc>
      </w:tr>
      <w:tr>
        <w:trPr>
          <w:trHeight w:val="226" w:hRule="exact"/>
        </w:trPr>
        <w:tc>
          <w:tcPr>
            <w:tcW w:w="712" w:type="dxa"/>
          </w:tcPr>
          <w:p>
            <w:pPr>
              <w:pStyle w:val="TableParagraph"/>
              <w:spacing w:before="6"/>
              <w:ind w:left="4"/>
              <w:rPr>
                <w:sz w:val="17"/>
              </w:rPr>
            </w:pPr>
            <w:r>
              <w:rPr>
                <w:w w:val="101"/>
                <w:sz w:val="17"/>
              </w:rPr>
              <w:t>2</w:t>
            </w:r>
          </w:p>
        </w:tc>
        <w:tc>
          <w:tcPr>
            <w:tcW w:w="1134" w:type="dxa"/>
            <w:shd w:val="clear" w:color="auto" w:fill="DBEDF3"/>
          </w:tcPr>
          <w:p>
            <w:pPr>
              <w:pStyle w:val="TableParagraph"/>
              <w:spacing w:before="6"/>
              <w:ind w:left="401" w:right="395"/>
              <w:rPr>
                <w:sz w:val="17"/>
              </w:rPr>
            </w:pPr>
            <w:r>
              <w:rPr>
                <w:sz w:val="17"/>
              </w:rPr>
              <w:t>1.29</w:t>
            </w:r>
          </w:p>
        </w:tc>
        <w:tc>
          <w:tcPr>
            <w:tcW w:w="966" w:type="dxa"/>
            <w:shd w:val="clear" w:color="auto" w:fill="DBEDF3"/>
          </w:tcPr>
          <w:p>
            <w:pPr>
              <w:pStyle w:val="TableParagraph"/>
              <w:spacing w:before="6"/>
              <w:ind w:right="1"/>
              <w:rPr>
                <w:sz w:val="17"/>
              </w:rPr>
            </w:pPr>
            <w:r>
              <w:rPr>
                <w:sz w:val="17"/>
              </w:rPr>
              <w:t>0.29</w:t>
            </w:r>
          </w:p>
        </w:tc>
        <w:tc>
          <w:tcPr>
            <w:tcW w:w="1269" w:type="dxa"/>
          </w:tcPr>
          <w:p>
            <w:pPr>
              <w:pStyle w:val="TableParagraph"/>
              <w:spacing w:before="6"/>
              <w:ind w:left="351" w:right="-31"/>
              <w:jc w:val="left"/>
              <w:rPr>
                <w:sz w:val="17"/>
              </w:rPr>
            </w:pPr>
            <w:r>
              <w:rPr>
                <w:sz w:val="17"/>
              </w:rPr>
              <w:t>0.68</w:t>
            </w:r>
          </w:p>
        </w:tc>
        <w:tc>
          <w:tcPr>
            <w:tcW w:w="1641" w:type="dxa"/>
          </w:tcPr>
          <w:p>
            <w:pPr>
              <w:pStyle w:val="TableParagraph"/>
              <w:spacing w:before="6"/>
              <w:ind w:left="542"/>
              <w:jc w:val="left"/>
              <w:rPr>
                <w:sz w:val="17"/>
              </w:rPr>
            </w:pPr>
            <w:r>
              <w:rPr>
                <w:sz w:val="17"/>
              </w:rPr>
              <w:t>0.51</w:t>
            </w:r>
          </w:p>
        </w:tc>
        <w:tc>
          <w:tcPr>
            <w:tcW w:w="1571" w:type="dxa"/>
            <w:shd w:val="clear" w:color="auto" w:fill="DBEDF3"/>
          </w:tcPr>
          <w:p>
            <w:pPr>
              <w:pStyle w:val="TableParagraph"/>
              <w:spacing w:before="6"/>
              <w:ind w:left="99" w:right="149"/>
              <w:rPr>
                <w:sz w:val="17"/>
              </w:rPr>
            </w:pPr>
            <w:r>
              <w:rPr>
                <w:sz w:val="17"/>
              </w:rPr>
              <w:t>0.88</w:t>
            </w:r>
          </w:p>
        </w:tc>
        <w:tc>
          <w:tcPr>
            <w:tcW w:w="1533" w:type="dxa"/>
            <w:shd w:val="clear" w:color="auto" w:fill="DBEDF3"/>
          </w:tcPr>
          <w:p>
            <w:pPr>
              <w:pStyle w:val="TableParagraph"/>
              <w:spacing w:before="6"/>
              <w:ind w:left="591"/>
              <w:jc w:val="left"/>
              <w:rPr>
                <w:sz w:val="17"/>
              </w:rPr>
            </w:pPr>
            <w:r>
              <w:rPr>
                <w:sz w:val="17"/>
              </w:rPr>
              <w:t>0.42</w:t>
            </w:r>
          </w:p>
        </w:tc>
      </w:tr>
      <w:tr>
        <w:trPr>
          <w:trHeight w:val="226" w:hRule="exact"/>
        </w:trPr>
        <w:tc>
          <w:tcPr>
            <w:tcW w:w="712" w:type="dxa"/>
          </w:tcPr>
          <w:p>
            <w:pPr>
              <w:pStyle w:val="TableParagraph"/>
              <w:spacing w:before="6"/>
              <w:ind w:left="4"/>
              <w:rPr>
                <w:sz w:val="17"/>
              </w:rPr>
            </w:pPr>
            <w:r>
              <w:rPr>
                <w:w w:val="101"/>
                <w:sz w:val="17"/>
              </w:rPr>
              <w:t>3</w:t>
            </w:r>
          </w:p>
        </w:tc>
        <w:tc>
          <w:tcPr>
            <w:tcW w:w="1134" w:type="dxa"/>
            <w:shd w:val="clear" w:color="auto" w:fill="DBEDF3"/>
          </w:tcPr>
          <w:p>
            <w:pPr>
              <w:pStyle w:val="TableParagraph"/>
              <w:spacing w:before="6"/>
              <w:ind w:left="401" w:right="395"/>
              <w:rPr>
                <w:sz w:val="17"/>
              </w:rPr>
            </w:pPr>
            <w:r>
              <w:rPr>
                <w:sz w:val="17"/>
              </w:rPr>
              <w:t>2.12</w:t>
            </w:r>
          </w:p>
        </w:tc>
        <w:tc>
          <w:tcPr>
            <w:tcW w:w="966" w:type="dxa"/>
            <w:shd w:val="clear" w:color="auto" w:fill="DBEDF3"/>
          </w:tcPr>
          <w:p>
            <w:pPr>
              <w:pStyle w:val="TableParagraph"/>
              <w:spacing w:before="6"/>
              <w:ind w:right="1"/>
              <w:rPr>
                <w:sz w:val="17"/>
              </w:rPr>
            </w:pPr>
            <w:r>
              <w:rPr>
                <w:sz w:val="17"/>
              </w:rPr>
              <w:t>0.12</w:t>
            </w:r>
          </w:p>
        </w:tc>
        <w:tc>
          <w:tcPr>
            <w:tcW w:w="1269" w:type="dxa"/>
          </w:tcPr>
          <w:p>
            <w:pPr>
              <w:pStyle w:val="TableParagraph"/>
              <w:spacing w:before="6"/>
              <w:ind w:left="351" w:right="-31"/>
              <w:jc w:val="left"/>
              <w:rPr>
                <w:sz w:val="17"/>
              </w:rPr>
            </w:pPr>
            <w:r>
              <w:rPr>
                <w:sz w:val="17"/>
              </w:rPr>
              <w:t>0.62</w:t>
            </w:r>
          </w:p>
        </w:tc>
        <w:tc>
          <w:tcPr>
            <w:tcW w:w="1641" w:type="dxa"/>
          </w:tcPr>
          <w:p>
            <w:pPr>
              <w:pStyle w:val="TableParagraph"/>
              <w:spacing w:before="6"/>
              <w:ind w:left="542"/>
              <w:jc w:val="left"/>
              <w:rPr>
                <w:sz w:val="17"/>
              </w:rPr>
            </w:pPr>
            <w:r>
              <w:rPr>
                <w:sz w:val="17"/>
              </w:rPr>
              <w:t>0.61</w:t>
            </w:r>
          </w:p>
        </w:tc>
        <w:tc>
          <w:tcPr>
            <w:tcW w:w="1571" w:type="dxa"/>
            <w:shd w:val="clear" w:color="auto" w:fill="DBEDF3"/>
          </w:tcPr>
          <w:p>
            <w:pPr>
              <w:pStyle w:val="TableParagraph"/>
              <w:spacing w:before="6"/>
              <w:ind w:left="99" w:right="149"/>
              <w:rPr>
                <w:sz w:val="17"/>
              </w:rPr>
            </w:pPr>
            <w:r>
              <w:rPr>
                <w:sz w:val="17"/>
              </w:rPr>
              <w:t>0.26</w:t>
            </w:r>
          </w:p>
        </w:tc>
        <w:tc>
          <w:tcPr>
            <w:tcW w:w="1533" w:type="dxa"/>
            <w:shd w:val="clear" w:color="auto" w:fill="DBEDF3"/>
          </w:tcPr>
          <w:p>
            <w:pPr>
              <w:pStyle w:val="TableParagraph"/>
              <w:spacing w:before="6"/>
              <w:ind w:left="591"/>
              <w:jc w:val="left"/>
              <w:rPr>
                <w:sz w:val="17"/>
              </w:rPr>
            </w:pPr>
            <w:r>
              <w:rPr>
                <w:sz w:val="17"/>
              </w:rPr>
              <w:t>0.85</w:t>
            </w:r>
          </w:p>
        </w:tc>
      </w:tr>
      <w:tr>
        <w:trPr>
          <w:trHeight w:val="226" w:hRule="exact"/>
        </w:trPr>
        <w:tc>
          <w:tcPr>
            <w:tcW w:w="712" w:type="dxa"/>
          </w:tcPr>
          <w:p>
            <w:pPr>
              <w:pStyle w:val="TableParagraph"/>
              <w:spacing w:before="6"/>
              <w:ind w:left="4"/>
              <w:rPr>
                <w:sz w:val="17"/>
              </w:rPr>
            </w:pPr>
            <w:r>
              <w:rPr>
                <w:w w:val="101"/>
                <w:sz w:val="17"/>
              </w:rPr>
              <w:t>4</w:t>
            </w:r>
          </w:p>
        </w:tc>
        <w:tc>
          <w:tcPr>
            <w:tcW w:w="1134" w:type="dxa"/>
            <w:shd w:val="clear" w:color="auto" w:fill="DBEDF3"/>
          </w:tcPr>
          <w:p>
            <w:pPr>
              <w:pStyle w:val="TableParagraph"/>
              <w:spacing w:before="6"/>
              <w:ind w:left="401" w:right="395"/>
              <w:rPr>
                <w:sz w:val="17"/>
              </w:rPr>
            </w:pPr>
            <w:r>
              <w:rPr>
                <w:sz w:val="17"/>
              </w:rPr>
              <w:t>2.27</w:t>
            </w:r>
          </w:p>
        </w:tc>
        <w:tc>
          <w:tcPr>
            <w:tcW w:w="966" w:type="dxa"/>
            <w:shd w:val="clear" w:color="auto" w:fill="DBEDF3"/>
          </w:tcPr>
          <w:p>
            <w:pPr>
              <w:pStyle w:val="TableParagraph"/>
              <w:spacing w:before="6"/>
              <w:ind w:right="1"/>
              <w:rPr>
                <w:sz w:val="17"/>
              </w:rPr>
            </w:pPr>
            <w:r>
              <w:rPr>
                <w:sz w:val="17"/>
              </w:rPr>
              <w:t>0.09</w:t>
            </w:r>
          </w:p>
        </w:tc>
        <w:tc>
          <w:tcPr>
            <w:tcW w:w="1269" w:type="dxa"/>
          </w:tcPr>
          <w:p>
            <w:pPr>
              <w:pStyle w:val="TableParagraph"/>
              <w:spacing w:before="6"/>
              <w:ind w:left="351" w:right="-31"/>
              <w:jc w:val="left"/>
              <w:rPr>
                <w:sz w:val="17"/>
              </w:rPr>
            </w:pPr>
            <w:r>
              <w:rPr>
                <w:sz w:val="17"/>
              </w:rPr>
              <w:t>0.59</w:t>
            </w:r>
          </w:p>
        </w:tc>
        <w:tc>
          <w:tcPr>
            <w:tcW w:w="1641" w:type="dxa"/>
          </w:tcPr>
          <w:p>
            <w:pPr>
              <w:pStyle w:val="TableParagraph"/>
              <w:spacing w:before="6"/>
              <w:ind w:left="542"/>
              <w:jc w:val="left"/>
              <w:rPr>
                <w:sz w:val="17"/>
              </w:rPr>
            </w:pPr>
            <w:r>
              <w:rPr>
                <w:sz w:val="17"/>
              </w:rPr>
              <w:t>0.67</w:t>
            </w:r>
          </w:p>
        </w:tc>
        <w:tc>
          <w:tcPr>
            <w:tcW w:w="1571" w:type="dxa"/>
            <w:shd w:val="clear" w:color="auto" w:fill="DBEDF3"/>
          </w:tcPr>
          <w:p>
            <w:pPr>
              <w:pStyle w:val="TableParagraph"/>
              <w:spacing w:before="6"/>
              <w:ind w:left="99" w:right="149"/>
              <w:rPr>
                <w:sz w:val="17"/>
              </w:rPr>
            </w:pPr>
            <w:r>
              <w:rPr>
                <w:sz w:val="17"/>
              </w:rPr>
              <w:t>0.29</w:t>
            </w:r>
          </w:p>
        </w:tc>
        <w:tc>
          <w:tcPr>
            <w:tcW w:w="1533" w:type="dxa"/>
            <w:shd w:val="clear" w:color="auto" w:fill="DBEDF3"/>
          </w:tcPr>
          <w:p>
            <w:pPr>
              <w:pStyle w:val="TableParagraph"/>
              <w:spacing w:before="6"/>
              <w:ind w:left="591"/>
              <w:jc w:val="left"/>
              <w:rPr>
                <w:sz w:val="17"/>
              </w:rPr>
            </w:pPr>
            <w:r>
              <w:rPr>
                <w:sz w:val="17"/>
              </w:rPr>
              <w:t>0.88</w:t>
            </w:r>
          </w:p>
        </w:tc>
      </w:tr>
      <w:tr>
        <w:trPr>
          <w:trHeight w:val="228" w:hRule="exact"/>
        </w:trPr>
        <w:tc>
          <w:tcPr>
            <w:tcW w:w="712" w:type="dxa"/>
            <w:tcBorders>
              <w:bottom w:val="double" w:sz="4" w:space="0" w:color="000000"/>
            </w:tcBorders>
          </w:tcPr>
          <w:p>
            <w:pPr>
              <w:pStyle w:val="TableParagraph"/>
              <w:spacing w:before="6"/>
              <w:ind w:left="4"/>
              <w:rPr>
                <w:sz w:val="17"/>
              </w:rPr>
            </w:pPr>
            <w:r>
              <w:rPr>
                <w:w w:val="101"/>
                <w:sz w:val="17"/>
              </w:rPr>
              <w:t>5</w:t>
            </w:r>
          </w:p>
        </w:tc>
        <w:tc>
          <w:tcPr>
            <w:tcW w:w="1134" w:type="dxa"/>
            <w:shd w:val="clear" w:color="auto" w:fill="DBEDF3"/>
          </w:tcPr>
          <w:p>
            <w:pPr>
              <w:pStyle w:val="TableParagraph"/>
              <w:spacing w:before="6"/>
              <w:ind w:left="401" w:right="395"/>
              <w:rPr>
                <w:sz w:val="17"/>
              </w:rPr>
            </w:pPr>
            <w:r>
              <w:rPr>
                <w:sz w:val="17"/>
              </w:rPr>
              <w:t>0.37</w:t>
            </w:r>
          </w:p>
        </w:tc>
        <w:tc>
          <w:tcPr>
            <w:tcW w:w="966" w:type="dxa"/>
            <w:shd w:val="clear" w:color="auto" w:fill="DBEDF3"/>
          </w:tcPr>
          <w:p>
            <w:pPr>
              <w:pStyle w:val="TableParagraph"/>
              <w:spacing w:before="6"/>
              <w:ind w:right="1"/>
              <w:rPr>
                <w:sz w:val="17"/>
              </w:rPr>
            </w:pPr>
            <w:r>
              <w:rPr>
                <w:sz w:val="17"/>
              </w:rPr>
              <w:t>0.87</w:t>
            </w:r>
          </w:p>
        </w:tc>
        <w:tc>
          <w:tcPr>
            <w:tcW w:w="1269" w:type="dxa"/>
            <w:tcBorders>
              <w:bottom w:val="double" w:sz="4" w:space="0" w:color="000000"/>
            </w:tcBorders>
          </w:tcPr>
          <w:p>
            <w:pPr>
              <w:pStyle w:val="TableParagraph"/>
              <w:spacing w:before="6"/>
              <w:ind w:left="351" w:right="-31"/>
              <w:jc w:val="left"/>
              <w:rPr>
                <w:sz w:val="17"/>
              </w:rPr>
            </w:pPr>
            <w:r>
              <w:rPr>
                <w:sz w:val="17"/>
              </w:rPr>
              <w:t>1.74</w:t>
            </w:r>
          </w:p>
        </w:tc>
        <w:tc>
          <w:tcPr>
            <w:tcW w:w="1641" w:type="dxa"/>
            <w:tcBorders>
              <w:bottom w:val="double" w:sz="4" w:space="0" w:color="000000"/>
            </w:tcBorders>
          </w:tcPr>
          <w:p>
            <w:pPr>
              <w:pStyle w:val="TableParagraph"/>
              <w:spacing w:before="6"/>
              <w:ind w:left="542"/>
              <w:jc w:val="left"/>
              <w:rPr>
                <w:sz w:val="17"/>
              </w:rPr>
            </w:pPr>
            <w:r>
              <w:rPr>
                <w:sz w:val="17"/>
              </w:rPr>
              <w:t>0.16</w:t>
            </w:r>
          </w:p>
        </w:tc>
        <w:tc>
          <w:tcPr>
            <w:tcW w:w="1571" w:type="dxa"/>
            <w:shd w:val="clear" w:color="auto" w:fill="DBEDF3"/>
          </w:tcPr>
          <w:p>
            <w:pPr>
              <w:pStyle w:val="TableParagraph"/>
              <w:spacing w:before="6"/>
              <w:ind w:left="99" w:right="149"/>
              <w:rPr>
                <w:sz w:val="17"/>
              </w:rPr>
            </w:pPr>
            <w:r>
              <w:rPr>
                <w:sz w:val="17"/>
              </w:rPr>
              <w:t>0.30</w:t>
            </w:r>
          </w:p>
        </w:tc>
        <w:tc>
          <w:tcPr>
            <w:tcW w:w="1533" w:type="dxa"/>
            <w:shd w:val="clear" w:color="auto" w:fill="DBEDF3"/>
          </w:tcPr>
          <w:p>
            <w:pPr>
              <w:pStyle w:val="TableParagraph"/>
              <w:spacing w:before="6"/>
              <w:ind w:left="591"/>
              <w:jc w:val="left"/>
              <w:rPr>
                <w:sz w:val="17"/>
              </w:rPr>
            </w:pPr>
            <w:r>
              <w:rPr>
                <w:sz w:val="17"/>
              </w:rPr>
              <w:t>0.91</w:t>
            </w:r>
          </w:p>
        </w:tc>
      </w:tr>
    </w:tbl>
    <w:p>
      <w:pPr>
        <w:spacing w:before="48"/>
        <w:ind w:left="102" w:right="549" w:firstLine="0"/>
        <w:jc w:val="left"/>
        <w:rPr>
          <w:sz w:val="20"/>
        </w:rPr>
      </w:pPr>
      <w:r>
        <w:rPr>
          <w:sz w:val="20"/>
        </w:rPr>
        <w:t>BP corresponde al Balance primario en términos del PIB.</w:t>
      </w:r>
    </w:p>
    <w:p>
      <w:pPr>
        <w:pStyle w:val="BodyText"/>
        <w:rPr>
          <w:sz w:val="20"/>
        </w:rPr>
      </w:pPr>
    </w:p>
    <w:p>
      <w:pPr>
        <w:pStyle w:val="BodyText"/>
        <w:rPr>
          <w:sz w:val="25"/>
        </w:rPr>
      </w:pPr>
    </w:p>
    <w:p>
      <w:pPr>
        <w:pStyle w:val="BodyText"/>
        <w:spacing w:line="360" w:lineRule="auto"/>
        <w:ind w:left="102" w:right="549"/>
      </w:pPr>
      <w:r>
        <w:rPr/>
        <w:pict>
          <v:line style="position:absolute;mso-position-horizontal-relative:page;mso-position-vertical-relative:paragraph;z-index:-553648" from="546.642090pt,45.20208pt" to="546.642090pt,152.118942pt" stroked="true" strokeweight=".277736pt" strokecolor="#ffffff">
            <w10:wrap type="none"/>
          </v:line>
        </w:pict>
      </w:r>
      <w:r>
        <w:rPr/>
        <w:t>Anexo 4.3 C: Ho: Las variables explicativas (en niveles) no causan Granger a la deuda pública (en nivel)</w:t>
      </w:r>
    </w:p>
    <w:p>
      <w:pPr>
        <w:pStyle w:val="BodyText"/>
        <w:spacing w:before="1"/>
        <w:rPr>
          <w:sz w:val="7"/>
        </w:rPr>
      </w:pPr>
    </w:p>
    <w:tbl>
      <w:tblPr>
        <w:tblW w:w="0" w:type="auto"/>
        <w:jc w:val="left"/>
        <w:tblInd w:w="13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39"/>
        <w:gridCol w:w="700"/>
        <w:gridCol w:w="596"/>
        <w:gridCol w:w="783"/>
        <w:gridCol w:w="1012"/>
        <w:gridCol w:w="969"/>
        <w:gridCol w:w="949"/>
        <w:gridCol w:w="836"/>
        <w:gridCol w:w="832"/>
        <w:gridCol w:w="1069"/>
        <w:gridCol w:w="1013"/>
      </w:tblGrid>
      <w:tr>
        <w:trPr>
          <w:trHeight w:val="607" w:hRule="exact"/>
        </w:trPr>
        <w:tc>
          <w:tcPr>
            <w:tcW w:w="439" w:type="dxa"/>
            <w:tcBorders>
              <w:bottom w:val="double" w:sz="5" w:space="0" w:color="000000"/>
            </w:tcBorders>
          </w:tcPr>
          <w:p>
            <w:pPr>
              <w:pStyle w:val="TableParagraph"/>
              <w:spacing w:before="157"/>
              <w:ind w:left="17" w:right="18"/>
              <w:rPr>
                <w:b/>
                <w:sz w:val="23"/>
              </w:rPr>
            </w:pPr>
            <w:r>
              <w:rPr>
                <w:b/>
                <w:w w:val="45"/>
                <w:sz w:val="23"/>
              </w:rPr>
              <w:t>Rezagos</w:t>
            </w:r>
          </w:p>
        </w:tc>
        <w:tc>
          <w:tcPr>
            <w:tcW w:w="700" w:type="dxa"/>
            <w:tcBorders>
              <w:bottom w:val="double" w:sz="5" w:space="0" w:color="000000"/>
            </w:tcBorders>
            <w:shd w:val="clear" w:color="auto" w:fill="DBEDF3"/>
          </w:tcPr>
          <w:p>
            <w:pPr>
              <w:pStyle w:val="TableParagraph"/>
              <w:spacing w:before="13"/>
              <w:ind w:left="189"/>
              <w:jc w:val="left"/>
              <w:rPr>
                <w:b/>
                <w:sz w:val="23"/>
              </w:rPr>
            </w:pPr>
            <w:r>
              <w:rPr>
                <w:b/>
                <w:w w:val="45"/>
                <w:sz w:val="23"/>
              </w:rPr>
              <w:t>a) </w:t>
            </w:r>
            <w:r>
              <w:rPr>
                <w:b/>
                <w:spacing w:val="4"/>
                <w:w w:val="46"/>
                <w:position w:val="-5"/>
                <w:sz w:val="23"/>
              </w:rPr>
              <w:drawing>
                <wp:inline distT="0" distB="0" distL="0" distR="0">
                  <wp:extent cx="94270" cy="152400"/>
                  <wp:effectExtent l="0" t="0" r="0" b="0"/>
                  <wp:docPr id="123" name="image338.png" descr=""/>
                  <wp:cNvGraphicFramePr>
                    <a:graphicFrameLocks noChangeAspect="1"/>
                  </wp:cNvGraphicFramePr>
                  <a:graphic>
                    <a:graphicData uri="http://schemas.openxmlformats.org/drawingml/2006/picture">
                      <pic:pic>
                        <pic:nvPicPr>
                          <pic:cNvPr id="124" name="image338.png"/>
                          <pic:cNvPicPr/>
                        </pic:nvPicPr>
                        <pic:blipFill>
                          <a:blip r:embed="rId364" cstate="print"/>
                          <a:stretch>
                            <a:fillRect/>
                          </a:stretch>
                        </pic:blipFill>
                        <pic:spPr>
                          <a:xfrm>
                            <a:off x="0" y="0"/>
                            <a:ext cx="94270" cy="152400"/>
                          </a:xfrm>
                          <a:prstGeom prst="rect">
                            <a:avLst/>
                          </a:prstGeom>
                        </pic:spPr>
                      </pic:pic>
                    </a:graphicData>
                  </a:graphic>
                </wp:inline>
              </w:drawing>
            </w:r>
            <w:r>
              <w:rPr>
                <w:b/>
                <w:spacing w:val="4"/>
                <w:w w:val="46"/>
                <w:position w:val="-5"/>
                <w:sz w:val="23"/>
              </w:rPr>
            </w:r>
          </w:p>
          <w:p>
            <w:pPr>
              <w:pStyle w:val="TableParagraph"/>
              <w:spacing w:before="29"/>
              <w:ind w:left="183"/>
              <w:jc w:val="left"/>
              <w:rPr>
                <w:sz w:val="23"/>
              </w:rPr>
            </w:pPr>
            <w:r>
              <w:rPr>
                <w:w w:val="45"/>
                <w:sz w:val="23"/>
              </w:rPr>
              <w:t>Est. "F"</w:t>
            </w:r>
          </w:p>
        </w:tc>
        <w:tc>
          <w:tcPr>
            <w:tcW w:w="596" w:type="dxa"/>
            <w:tcBorders>
              <w:bottom w:val="double" w:sz="5" w:space="0" w:color="000000"/>
            </w:tcBorders>
            <w:shd w:val="clear" w:color="auto" w:fill="DBEDF3"/>
          </w:tcPr>
          <w:p>
            <w:pPr>
              <w:pStyle w:val="TableParagraph"/>
              <w:spacing w:before="13"/>
              <w:ind w:left="19" w:right="171"/>
              <w:rPr>
                <w:b/>
                <w:sz w:val="23"/>
              </w:rPr>
            </w:pPr>
            <w:r>
              <w:rPr>
                <w:b/>
                <w:w w:val="45"/>
                <w:sz w:val="23"/>
              </w:rPr>
              <w:t>DP/ PIB</w:t>
            </w:r>
          </w:p>
          <w:p>
            <w:pPr>
              <w:pStyle w:val="TableParagraph"/>
              <w:spacing w:before="36"/>
              <w:ind w:left="19" w:right="23"/>
              <w:rPr>
                <w:sz w:val="23"/>
              </w:rPr>
            </w:pPr>
            <w:r>
              <w:rPr>
                <w:w w:val="55"/>
                <w:sz w:val="23"/>
              </w:rPr>
              <w:t>Prob.</w:t>
            </w:r>
          </w:p>
        </w:tc>
        <w:tc>
          <w:tcPr>
            <w:tcW w:w="783" w:type="dxa"/>
            <w:tcBorders>
              <w:bottom w:val="double" w:sz="5" w:space="0" w:color="000000"/>
            </w:tcBorders>
          </w:tcPr>
          <w:p>
            <w:pPr>
              <w:pStyle w:val="TableParagraph"/>
              <w:spacing w:before="13"/>
              <w:ind w:left="133"/>
              <w:jc w:val="left"/>
              <w:rPr>
                <w:b/>
                <w:sz w:val="23"/>
              </w:rPr>
            </w:pPr>
            <w:r>
              <w:rPr>
                <w:b/>
                <w:w w:val="45"/>
                <w:sz w:val="23"/>
              </w:rPr>
              <w:t>b) Asign. Ing.</w:t>
            </w:r>
          </w:p>
          <w:p>
            <w:pPr>
              <w:pStyle w:val="TableParagraph"/>
              <w:spacing w:before="36"/>
              <w:ind w:left="138"/>
              <w:jc w:val="left"/>
              <w:rPr>
                <w:sz w:val="23"/>
              </w:rPr>
            </w:pPr>
            <w:r>
              <w:rPr>
                <w:w w:val="45"/>
                <w:sz w:val="23"/>
              </w:rPr>
              <w:t>Est. "F"</w:t>
            </w:r>
          </w:p>
        </w:tc>
        <w:tc>
          <w:tcPr>
            <w:tcW w:w="1012" w:type="dxa"/>
            <w:tcBorders>
              <w:bottom w:val="double" w:sz="5" w:space="0" w:color="000000"/>
            </w:tcBorders>
          </w:tcPr>
          <w:p>
            <w:pPr>
              <w:pStyle w:val="TableParagraph"/>
              <w:spacing w:before="13"/>
              <w:ind w:left="2" w:right="149"/>
              <w:rPr>
                <w:b/>
                <w:sz w:val="23"/>
              </w:rPr>
            </w:pPr>
            <w:r>
              <w:rPr>
                <w:b/>
                <w:w w:val="45"/>
                <w:position w:val="2"/>
                <w:sz w:val="23"/>
              </w:rPr>
              <w:t>Gasíf.  </w:t>
            </w:r>
            <w:r>
              <w:rPr>
                <w:b/>
                <w:spacing w:val="-26"/>
                <w:sz w:val="23"/>
              </w:rPr>
              <w:drawing>
                <wp:inline distT="0" distB="0" distL="0" distR="0">
                  <wp:extent cx="92698" cy="128015"/>
                  <wp:effectExtent l="0" t="0" r="0" b="0"/>
                  <wp:docPr id="125" name="image339.png" descr=""/>
                  <wp:cNvGraphicFramePr>
                    <a:graphicFrameLocks noChangeAspect="1"/>
                  </wp:cNvGraphicFramePr>
                  <a:graphic>
                    <a:graphicData uri="http://schemas.openxmlformats.org/drawingml/2006/picture">
                      <pic:pic>
                        <pic:nvPicPr>
                          <pic:cNvPr id="126" name="image339.png"/>
                          <pic:cNvPicPr/>
                        </pic:nvPicPr>
                        <pic:blipFill>
                          <a:blip r:embed="rId365" cstate="print"/>
                          <a:stretch>
                            <a:fillRect/>
                          </a:stretch>
                        </pic:blipFill>
                        <pic:spPr>
                          <a:xfrm>
                            <a:off x="0" y="0"/>
                            <a:ext cx="92698" cy="128015"/>
                          </a:xfrm>
                          <a:prstGeom prst="rect">
                            <a:avLst/>
                          </a:prstGeom>
                        </pic:spPr>
                      </pic:pic>
                    </a:graphicData>
                  </a:graphic>
                </wp:inline>
              </w:drawing>
            </w:r>
            <w:r>
              <w:rPr>
                <w:b/>
                <w:spacing w:val="-26"/>
                <w:sz w:val="23"/>
              </w:rPr>
            </w:r>
            <w:r>
              <w:rPr>
                <w:b/>
                <w:w w:val="45"/>
                <w:position w:val="2"/>
                <w:sz w:val="23"/>
              </w:rPr>
              <w:t>DP/</w:t>
            </w:r>
            <w:r>
              <w:rPr>
                <w:b/>
                <w:spacing w:val="-5"/>
                <w:w w:val="45"/>
                <w:position w:val="2"/>
                <w:sz w:val="23"/>
              </w:rPr>
              <w:t> </w:t>
            </w:r>
            <w:r>
              <w:rPr>
                <w:b/>
                <w:w w:val="45"/>
                <w:position w:val="2"/>
                <w:sz w:val="23"/>
              </w:rPr>
              <w:t>PIB</w:t>
            </w:r>
          </w:p>
          <w:p>
            <w:pPr>
              <w:pStyle w:val="TableParagraph"/>
              <w:spacing w:before="36"/>
              <w:ind w:left="2" w:right="167"/>
              <w:rPr>
                <w:sz w:val="23"/>
              </w:rPr>
            </w:pPr>
            <w:r>
              <w:rPr>
                <w:w w:val="55"/>
                <w:sz w:val="23"/>
              </w:rPr>
              <w:t>Prob.</w:t>
            </w:r>
          </w:p>
        </w:tc>
        <w:tc>
          <w:tcPr>
            <w:tcW w:w="969" w:type="dxa"/>
            <w:tcBorders>
              <w:bottom w:val="double" w:sz="5" w:space="0" w:color="000000"/>
            </w:tcBorders>
            <w:shd w:val="clear" w:color="auto" w:fill="DBEDF3"/>
          </w:tcPr>
          <w:p>
            <w:pPr>
              <w:pStyle w:val="TableParagraph"/>
              <w:spacing w:before="13"/>
              <w:ind w:left="56" w:right="10"/>
              <w:rPr>
                <w:b/>
                <w:sz w:val="23"/>
              </w:rPr>
            </w:pPr>
            <w:r>
              <w:rPr>
                <w:b/>
                <w:w w:val="50"/>
                <w:sz w:val="23"/>
              </w:rPr>
              <w:t>c)</w:t>
            </w:r>
            <w:r>
              <w:rPr>
                <w:b/>
                <w:spacing w:val="-20"/>
                <w:w w:val="50"/>
                <w:sz w:val="23"/>
              </w:rPr>
              <w:t> </w:t>
            </w:r>
            <w:r>
              <w:rPr>
                <w:b/>
                <w:w w:val="50"/>
                <w:sz w:val="23"/>
              </w:rPr>
              <w:t>Asign.</w:t>
            </w:r>
            <w:r>
              <w:rPr>
                <w:b/>
                <w:spacing w:val="-19"/>
                <w:w w:val="50"/>
                <w:sz w:val="23"/>
              </w:rPr>
              <w:t> </w:t>
            </w:r>
            <w:r>
              <w:rPr>
                <w:b/>
                <w:w w:val="50"/>
                <w:sz w:val="23"/>
              </w:rPr>
              <w:t>Ing.</w:t>
            </w:r>
            <w:r>
              <w:rPr>
                <w:b/>
                <w:spacing w:val="-19"/>
                <w:w w:val="50"/>
                <w:sz w:val="23"/>
              </w:rPr>
              <w:t> </w:t>
            </w:r>
            <w:r>
              <w:rPr>
                <w:b/>
                <w:w w:val="50"/>
                <w:sz w:val="23"/>
              </w:rPr>
              <w:t>No</w:t>
            </w:r>
            <w:r>
              <w:rPr>
                <w:b/>
                <w:spacing w:val="-19"/>
                <w:w w:val="50"/>
                <w:sz w:val="23"/>
              </w:rPr>
              <w:t> </w:t>
            </w:r>
            <w:r>
              <w:rPr>
                <w:b/>
                <w:w w:val="50"/>
                <w:sz w:val="23"/>
              </w:rPr>
              <w:t>G</w:t>
            </w:r>
          </w:p>
          <w:p>
            <w:pPr>
              <w:pStyle w:val="TableParagraph"/>
              <w:spacing w:before="36"/>
              <w:ind w:left="56" w:right="96"/>
              <w:rPr>
                <w:sz w:val="23"/>
              </w:rPr>
            </w:pPr>
            <w:r>
              <w:rPr>
                <w:w w:val="45"/>
                <w:sz w:val="23"/>
              </w:rPr>
              <w:t>Est. "F"</w:t>
            </w:r>
          </w:p>
        </w:tc>
        <w:tc>
          <w:tcPr>
            <w:tcW w:w="949" w:type="dxa"/>
            <w:tcBorders>
              <w:bottom w:val="double" w:sz="5" w:space="0" w:color="000000"/>
            </w:tcBorders>
            <w:shd w:val="clear" w:color="auto" w:fill="DBEDF3"/>
          </w:tcPr>
          <w:p>
            <w:pPr>
              <w:pStyle w:val="TableParagraph"/>
              <w:spacing w:before="13"/>
              <w:ind w:left="102" w:right="203"/>
              <w:rPr>
                <w:b/>
                <w:sz w:val="23"/>
              </w:rPr>
            </w:pPr>
            <w:r>
              <w:rPr>
                <w:b/>
                <w:spacing w:val="2"/>
                <w:w w:val="46"/>
                <w:sz w:val="23"/>
              </w:rPr>
              <w:t>a</w:t>
            </w:r>
            <w:r>
              <w:rPr>
                <w:b/>
                <w:spacing w:val="3"/>
                <w:w w:val="46"/>
                <w:sz w:val="23"/>
              </w:rPr>
              <w:t>s</w:t>
            </w:r>
            <w:r>
              <w:rPr>
                <w:b/>
                <w:spacing w:val="-2"/>
                <w:w w:val="46"/>
                <w:sz w:val="23"/>
              </w:rPr>
              <w:t>íf</w:t>
            </w:r>
            <w:r>
              <w:rPr>
                <w:b/>
                <w:spacing w:val="15"/>
                <w:w w:val="46"/>
                <w:sz w:val="23"/>
              </w:rPr>
              <w:t>.</w:t>
            </w:r>
            <w:r>
              <w:rPr>
                <w:b/>
                <w:spacing w:val="15"/>
                <w:w w:val="46"/>
                <w:position w:val="-5"/>
                <w:sz w:val="23"/>
              </w:rPr>
              <w:drawing>
                <wp:inline distT="0" distB="0" distL="0" distR="0">
                  <wp:extent cx="92553" cy="161925"/>
                  <wp:effectExtent l="0" t="0" r="0" b="0"/>
                  <wp:docPr id="127" name="image340.png" descr=""/>
                  <wp:cNvGraphicFramePr>
                    <a:graphicFrameLocks noChangeAspect="1"/>
                  </wp:cNvGraphicFramePr>
                  <a:graphic>
                    <a:graphicData uri="http://schemas.openxmlformats.org/drawingml/2006/picture">
                      <pic:pic>
                        <pic:nvPicPr>
                          <pic:cNvPr id="128" name="image340.png"/>
                          <pic:cNvPicPr/>
                        </pic:nvPicPr>
                        <pic:blipFill>
                          <a:blip r:embed="rId366" cstate="print"/>
                          <a:stretch>
                            <a:fillRect/>
                          </a:stretch>
                        </pic:blipFill>
                        <pic:spPr>
                          <a:xfrm>
                            <a:off x="0" y="0"/>
                            <a:ext cx="92553" cy="161925"/>
                          </a:xfrm>
                          <a:prstGeom prst="rect">
                            <a:avLst/>
                          </a:prstGeom>
                        </pic:spPr>
                      </pic:pic>
                    </a:graphicData>
                  </a:graphic>
                </wp:inline>
              </w:drawing>
            </w:r>
            <w:r>
              <w:rPr>
                <w:b/>
                <w:spacing w:val="15"/>
                <w:w w:val="46"/>
                <w:position w:val="-5"/>
                <w:sz w:val="23"/>
              </w:rPr>
            </w:r>
            <w:r>
              <w:rPr>
                <w:spacing w:val="15"/>
                <w:w w:val="46"/>
                <w:sz w:val="23"/>
              </w:rPr>
              <w:t>  </w:t>
            </w:r>
            <w:r>
              <w:rPr>
                <w:b/>
                <w:w w:val="45"/>
                <w:sz w:val="23"/>
              </w:rPr>
              <w:t>DP/</w:t>
            </w:r>
            <w:r>
              <w:rPr>
                <w:b/>
                <w:spacing w:val="8"/>
                <w:w w:val="45"/>
                <w:sz w:val="23"/>
              </w:rPr>
              <w:t> </w:t>
            </w:r>
            <w:r>
              <w:rPr>
                <w:b/>
                <w:w w:val="45"/>
                <w:sz w:val="23"/>
              </w:rPr>
              <w:t>PIB</w:t>
            </w:r>
          </w:p>
          <w:p>
            <w:pPr>
              <w:pStyle w:val="TableParagraph"/>
              <w:spacing w:before="25"/>
              <w:ind w:left="102" w:right="142"/>
              <w:rPr>
                <w:sz w:val="23"/>
              </w:rPr>
            </w:pPr>
            <w:r>
              <w:rPr>
                <w:w w:val="55"/>
                <w:sz w:val="23"/>
              </w:rPr>
              <w:t>Prob.</w:t>
            </w:r>
          </w:p>
        </w:tc>
        <w:tc>
          <w:tcPr>
            <w:tcW w:w="836" w:type="dxa"/>
            <w:tcBorders>
              <w:bottom w:val="double" w:sz="5" w:space="0" w:color="000000"/>
            </w:tcBorders>
          </w:tcPr>
          <w:p>
            <w:pPr>
              <w:pStyle w:val="TableParagraph"/>
              <w:spacing w:before="13"/>
              <w:ind w:left="71" w:right="117"/>
              <w:rPr>
                <w:b/>
                <w:sz w:val="23"/>
              </w:rPr>
            </w:pPr>
            <w:r>
              <w:rPr>
                <w:b/>
                <w:w w:val="45"/>
                <w:sz w:val="23"/>
              </w:rPr>
              <w:t>d) BPNG/PIB</w:t>
            </w:r>
          </w:p>
          <w:p>
            <w:pPr>
              <w:pStyle w:val="TableParagraph"/>
              <w:spacing w:before="36"/>
              <w:ind w:left="66" w:right="117"/>
              <w:rPr>
                <w:sz w:val="23"/>
              </w:rPr>
            </w:pPr>
            <w:r>
              <w:rPr>
                <w:w w:val="45"/>
                <w:sz w:val="23"/>
              </w:rPr>
              <w:t>Est. "F"</w:t>
            </w:r>
          </w:p>
        </w:tc>
        <w:tc>
          <w:tcPr>
            <w:tcW w:w="832" w:type="dxa"/>
            <w:tcBorders>
              <w:bottom w:val="double" w:sz="5" w:space="0" w:color="000000"/>
            </w:tcBorders>
          </w:tcPr>
          <w:p>
            <w:pPr>
              <w:pStyle w:val="TableParagraph"/>
              <w:spacing w:before="13"/>
              <w:ind w:left="68" w:right="104"/>
              <w:rPr>
                <w:b/>
                <w:sz w:val="23"/>
              </w:rPr>
            </w:pPr>
            <w:r>
              <w:rPr>
                <w:position w:val="-3"/>
              </w:rPr>
              <w:drawing>
                <wp:inline distT="0" distB="0" distL="0" distR="0">
                  <wp:extent cx="93112" cy="128587"/>
                  <wp:effectExtent l="0" t="0" r="0" b="0"/>
                  <wp:docPr id="129" name="image341.png" descr=""/>
                  <wp:cNvGraphicFramePr>
                    <a:graphicFrameLocks noChangeAspect="1"/>
                  </wp:cNvGraphicFramePr>
                  <a:graphic>
                    <a:graphicData uri="http://schemas.openxmlformats.org/drawingml/2006/picture">
                      <pic:pic>
                        <pic:nvPicPr>
                          <pic:cNvPr id="130" name="image341.png"/>
                          <pic:cNvPicPr/>
                        </pic:nvPicPr>
                        <pic:blipFill>
                          <a:blip r:embed="rId367" cstate="print"/>
                          <a:stretch>
                            <a:fillRect/>
                          </a:stretch>
                        </pic:blipFill>
                        <pic:spPr>
                          <a:xfrm>
                            <a:off x="0" y="0"/>
                            <a:ext cx="93112" cy="128587"/>
                          </a:xfrm>
                          <a:prstGeom prst="rect">
                            <a:avLst/>
                          </a:prstGeom>
                        </pic:spPr>
                      </pic:pic>
                    </a:graphicData>
                  </a:graphic>
                </wp:inline>
              </w:drawing>
            </w:r>
            <w:r>
              <w:rPr>
                <w:position w:val="-3"/>
              </w:rPr>
            </w:r>
            <w:r>
              <w:rPr>
                <w:sz w:val="20"/>
              </w:rPr>
              <w:t>  </w:t>
            </w:r>
            <w:r>
              <w:rPr>
                <w:b/>
                <w:w w:val="45"/>
                <w:sz w:val="23"/>
              </w:rPr>
              <w:t>DP/</w:t>
            </w:r>
            <w:r>
              <w:rPr>
                <w:b/>
                <w:spacing w:val="8"/>
                <w:w w:val="45"/>
                <w:sz w:val="23"/>
              </w:rPr>
              <w:t> </w:t>
            </w:r>
            <w:r>
              <w:rPr>
                <w:b/>
                <w:w w:val="45"/>
                <w:sz w:val="23"/>
              </w:rPr>
              <w:t>PIB</w:t>
            </w:r>
          </w:p>
          <w:p>
            <w:pPr>
              <w:pStyle w:val="TableParagraph"/>
              <w:spacing w:before="36"/>
              <w:ind w:left="57" w:right="104"/>
              <w:rPr>
                <w:sz w:val="23"/>
              </w:rPr>
            </w:pPr>
            <w:r>
              <w:rPr>
                <w:w w:val="55"/>
                <w:sz w:val="23"/>
              </w:rPr>
              <w:t>Prob.</w:t>
            </w:r>
          </w:p>
        </w:tc>
        <w:tc>
          <w:tcPr>
            <w:tcW w:w="1069" w:type="dxa"/>
            <w:tcBorders>
              <w:bottom w:val="double" w:sz="5" w:space="0" w:color="000000"/>
            </w:tcBorders>
            <w:shd w:val="clear" w:color="auto" w:fill="DBEDF3"/>
          </w:tcPr>
          <w:p>
            <w:pPr>
              <w:pStyle w:val="TableParagraph"/>
              <w:spacing w:before="13"/>
              <w:ind w:left="377"/>
              <w:jc w:val="left"/>
              <w:rPr>
                <w:b/>
                <w:sz w:val="23"/>
              </w:rPr>
            </w:pPr>
            <w:r>
              <w:rPr>
                <w:b/>
                <w:w w:val="45"/>
                <w:sz w:val="23"/>
              </w:rPr>
              <w:t>e) BP/PIB</w:t>
            </w:r>
          </w:p>
          <w:p>
            <w:pPr>
              <w:pStyle w:val="TableParagraph"/>
              <w:spacing w:before="36"/>
              <w:ind w:left="355"/>
              <w:jc w:val="left"/>
              <w:rPr>
                <w:sz w:val="23"/>
              </w:rPr>
            </w:pPr>
            <w:r>
              <w:rPr>
                <w:w w:val="45"/>
                <w:sz w:val="23"/>
              </w:rPr>
              <w:t>Est. "F"</w:t>
            </w:r>
          </w:p>
        </w:tc>
        <w:tc>
          <w:tcPr>
            <w:tcW w:w="1013" w:type="dxa"/>
            <w:tcBorders>
              <w:bottom w:val="double" w:sz="5" w:space="0" w:color="000000"/>
            </w:tcBorders>
            <w:shd w:val="clear" w:color="auto" w:fill="DBEDF3"/>
          </w:tcPr>
          <w:p>
            <w:pPr>
              <w:pStyle w:val="TableParagraph"/>
              <w:spacing w:before="13"/>
              <w:ind w:left="72"/>
              <w:jc w:val="left"/>
              <w:rPr>
                <w:b/>
                <w:sz w:val="23"/>
              </w:rPr>
            </w:pPr>
            <w:r>
              <w:rPr>
                <w:position w:val="-3"/>
              </w:rPr>
              <w:drawing>
                <wp:inline distT="0" distB="0" distL="0" distR="0">
                  <wp:extent cx="93112" cy="128587"/>
                  <wp:effectExtent l="0" t="0" r="0" b="0"/>
                  <wp:docPr id="131" name="image342.png" descr=""/>
                  <wp:cNvGraphicFramePr>
                    <a:graphicFrameLocks noChangeAspect="1"/>
                  </wp:cNvGraphicFramePr>
                  <a:graphic>
                    <a:graphicData uri="http://schemas.openxmlformats.org/drawingml/2006/picture">
                      <pic:pic>
                        <pic:nvPicPr>
                          <pic:cNvPr id="132" name="image342.png"/>
                          <pic:cNvPicPr/>
                        </pic:nvPicPr>
                        <pic:blipFill>
                          <a:blip r:embed="rId368" cstate="print"/>
                          <a:stretch>
                            <a:fillRect/>
                          </a:stretch>
                        </pic:blipFill>
                        <pic:spPr>
                          <a:xfrm>
                            <a:off x="0" y="0"/>
                            <a:ext cx="93112" cy="128587"/>
                          </a:xfrm>
                          <a:prstGeom prst="rect">
                            <a:avLst/>
                          </a:prstGeom>
                        </pic:spPr>
                      </pic:pic>
                    </a:graphicData>
                  </a:graphic>
                </wp:inline>
              </w:drawing>
            </w:r>
            <w:r>
              <w:rPr>
                <w:position w:val="-3"/>
              </w:rPr>
            </w:r>
            <w:r>
              <w:rPr>
                <w:b/>
                <w:w w:val="45"/>
                <w:sz w:val="23"/>
              </w:rPr>
              <w:t>DP/</w:t>
            </w:r>
            <w:r>
              <w:rPr>
                <w:b/>
                <w:spacing w:val="8"/>
                <w:w w:val="45"/>
                <w:sz w:val="23"/>
              </w:rPr>
              <w:t> </w:t>
            </w:r>
            <w:r>
              <w:rPr>
                <w:b/>
                <w:w w:val="45"/>
                <w:sz w:val="23"/>
              </w:rPr>
              <w:t>PIB</w:t>
            </w:r>
          </w:p>
          <w:p>
            <w:pPr>
              <w:pStyle w:val="TableParagraph"/>
              <w:spacing w:before="36"/>
              <w:ind w:left="337" w:right="363"/>
              <w:rPr>
                <w:sz w:val="23"/>
              </w:rPr>
            </w:pPr>
            <w:r>
              <w:rPr>
                <w:w w:val="55"/>
                <w:sz w:val="23"/>
              </w:rPr>
              <w:t>Prob.</w:t>
            </w:r>
          </w:p>
        </w:tc>
      </w:tr>
      <w:tr>
        <w:trPr>
          <w:trHeight w:val="327" w:hRule="exact"/>
        </w:trPr>
        <w:tc>
          <w:tcPr>
            <w:tcW w:w="439" w:type="dxa"/>
            <w:tcBorders>
              <w:top w:val="double" w:sz="5" w:space="0" w:color="000000"/>
            </w:tcBorders>
          </w:tcPr>
          <w:p>
            <w:pPr>
              <w:pStyle w:val="TableParagraph"/>
              <w:spacing w:before="14"/>
              <w:ind w:left="17" w:right="9"/>
              <w:rPr>
                <w:sz w:val="23"/>
              </w:rPr>
            </w:pPr>
            <w:r>
              <w:rPr>
                <w:w w:val="55"/>
                <w:sz w:val="23"/>
              </w:rPr>
              <w:t>1.00</w:t>
            </w:r>
          </w:p>
        </w:tc>
        <w:tc>
          <w:tcPr>
            <w:tcW w:w="700" w:type="dxa"/>
            <w:tcBorders>
              <w:top w:val="double" w:sz="5" w:space="0" w:color="000000"/>
            </w:tcBorders>
            <w:shd w:val="clear" w:color="auto" w:fill="DBEDF3"/>
          </w:tcPr>
          <w:p>
            <w:pPr>
              <w:pStyle w:val="TableParagraph"/>
              <w:spacing w:before="14"/>
              <w:ind w:left="220" w:right="217"/>
              <w:rPr>
                <w:sz w:val="23"/>
              </w:rPr>
            </w:pPr>
            <w:r>
              <w:rPr>
                <w:w w:val="55"/>
                <w:sz w:val="23"/>
              </w:rPr>
              <w:t>8.68</w:t>
            </w:r>
          </w:p>
        </w:tc>
        <w:tc>
          <w:tcPr>
            <w:tcW w:w="596" w:type="dxa"/>
            <w:tcBorders>
              <w:top w:val="double" w:sz="5" w:space="0" w:color="000000"/>
            </w:tcBorders>
            <w:shd w:val="clear" w:color="auto" w:fill="DBEDF3"/>
          </w:tcPr>
          <w:p>
            <w:pPr>
              <w:pStyle w:val="TableParagraph"/>
              <w:spacing w:before="14"/>
              <w:ind w:right="206"/>
              <w:jc w:val="right"/>
              <w:rPr>
                <w:sz w:val="23"/>
              </w:rPr>
            </w:pPr>
            <w:r>
              <w:rPr>
                <w:w w:val="45"/>
                <w:sz w:val="23"/>
              </w:rPr>
              <w:t>0.01</w:t>
            </w:r>
          </w:p>
        </w:tc>
        <w:tc>
          <w:tcPr>
            <w:tcW w:w="783" w:type="dxa"/>
            <w:tcBorders>
              <w:top w:val="double" w:sz="5" w:space="0" w:color="000000"/>
            </w:tcBorders>
          </w:tcPr>
          <w:p>
            <w:pPr>
              <w:pStyle w:val="TableParagraph"/>
              <w:spacing w:before="14"/>
              <w:ind w:left="216"/>
              <w:jc w:val="left"/>
              <w:rPr>
                <w:sz w:val="23"/>
              </w:rPr>
            </w:pPr>
            <w:r>
              <w:rPr>
                <w:w w:val="55"/>
                <w:sz w:val="23"/>
              </w:rPr>
              <w:t>9.33</w:t>
            </w:r>
          </w:p>
        </w:tc>
        <w:tc>
          <w:tcPr>
            <w:tcW w:w="1012" w:type="dxa"/>
            <w:tcBorders>
              <w:top w:val="double" w:sz="5" w:space="0" w:color="000000"/>
            </w:tcBorders>
          </w:tcPr>
          <w:p>
            <w:pPr>
              <w:pStyle w:val="TableParagraph"/>
              <w:spacing w:before="14"/>
              <w:ind w:left="334"/>
              <w:jc w:val="left"/>
              <w:rPr>
                <w:sz w:val="23"/>
              </w:rPr>
            </w:pPr>
            <w:r>
              <w:rPr>
                <w:w w:val="55"/>
                <w:sz w:val="23"/>
              </w:rPr>
              <w:t>0.00</w:t>
            </w:r>
          </w:p>
        </w:tc>
        <w:tc>
          <w:tcPr>
            <w:tcW w:w="969" w:type="dxa"/>
            <w:tcBorders>
              <w:top w:val="double" w:sz="5" w:space="0" w:color="000000"/>
            </w:tcBorders>
            <w:shd w:val="clear" w:color="auto" w:fill="DBEDF3"/>
          </w:tcPr>
          <w:p>
            <w:pPr>
              <w:pStyle w:val="TableParagraph"/>
              <w:spacing w:before="14"/>
              <w:ind w:left="56" w:right="86"/>
              <w:rPr>
                <w:sz w:val="23"/>
              </w:rPr>
            </w:pPr>
            <w:r>
              <w:rPr>
                <w:w w:val="55"/>
                <w:sz w:val="23"/>
              </w:rPr>
              <w:t>0.31</w:t>
            </w:r>
          </w:p>
        </w:tc>
        <w:tc>
          <w:tcPr>
            <w:tcW w:w="949" w:type="dxa"/>
            <w:tcBorders>
              <w:top w:val="double" w:sz="5" w:space="0" w:color="000000"/>
            </w:tcBorders>
            <w:shd w:val="clear" w:color="auto" w:fill="DBEDF3"/>
          </w:tcPr>
          <w:p>
            <w:pPr>
              <w:pStyle w:val="TableParagraph"/>
              <w:spacing w:before="14"/>
              <w:ind w:left="102" w:right="137"/>
              <w:rPr>
                <w:sz w:val="23"/>
              </w:rPr>
            </w:pPr>
            <w:r>
              <w:rPr>
                <w:w w:val="55"/>
                <w:sz w:val="23"/>
              </w:rPr>
              <w:t>0.58</w:t>
            </w:r>
          </w:p>
        </w:tc>
        <w:tc>
          <w:tcPr>
            <w:tcW w:w="836" w:type="dxa"/>
            <w:tcBorders>
              <w:top w:val="double" w:sz="5" w:space="0" w:color="000000"/>
            </w:tcBorders>
          </w:tcPr>
          <w:p>
            <w:pPr>
              <w:pStyle w:val="TableParagraph"/>
              <w:spacing w:before="14"/>
              <w:ind w:left="71" w:right="112"/>
              <w:rPr>
                <w:sz w:val="23"/>
              </w:rPr>
            </w:pPr>
            <w:r>
              <w:rPr>
                <w:w w:val="55"/>
                <w:sz w:val="23"/>
              </w:rPr>
              <w:t>0.01</w:t>
            </w:r>
          </w:p>
        </w:tc>
        <w:tc>
          <w:tcPr>
            <w:tcW w:w="832" w:type="dxa"/>
            <w:tcBorders>
              <w:top w:val="double" w:sz="5" w:space="0" w:color="000000"/>
            </w:tcBorders>
          </w:tcPr>
          <w:p>
            <w:pPr>
              <w:pStyle w:val="TableParagraph"/>
              <w:spacing w:before="14"/>
              <w:ind w:left="303"/>
              <w:jc w:val="left"/>
              <w:rPr>
                <w:sz w:val="23"/>
              </w:rPr>
            </w:pPr>
            <w:r>
              <w:rPr>
                <w:w w:val="55"/>
                <w:sz w:val="23"/>
              </w:rPr>
              <w:t>0.92</w:t>
            </w:r>
          </w:p>
        </w:tc>
        <w:tc>
          <w:tcPr>
            <w:tcW w:w="1069" w:type="dxa"/>
            <w:tcBorders>
              <w:top w:val="double" w:sz="5" w:space="0" w:color="000000"/>
            </w:tcBorders>
            <w:shd w:val="clear" w:color="auto" w:fill="DBEDF3"/>
          </w:tcPr>
          <w:p>
            <w:pPr>
              <w:pStyle w:val="TableParagraph"/>
              <w:spacing w:before="14"/>
              <w:ind w:left="411"/>
              <w:jc w:val="left"/>
              <w:rPr>
                <w:sz w:val="23"/>
              </w:rPr>
            </w:pPr>
            <w:r>
              <w:rPr>
                <w:w w:val="55"/>
                <w:sz w:val="23"/>
              </w:rPr>
              <w:t>10.21</w:t>
            </w:r>
          </w:p>
        </w:tc>
        <w:tc>
          <w:tcPr>
            <w:tcW w:w="1013" w:type="dxa"/>
            <w:tcBorders>
              <w:top w:val="double" w:sz="5" w:space="0" w:color="000000"/>
            </w:tcBorders>
            <w:shd w:val="clear" w:color="auto" w:fill="DBEDF3"/>
          </w:tcPr>
          <w:p>
            <w:pPr>
              <w:pStyle w:val="TableParagraph"/>
              <w:spacing w:before="14"/>
              <w:ind w:left="403"/>
              <w:jc w:val="left"/>
              <w:rPr>
                <w:sz w:val="23"/>
              </w:rPr>
            </w:pPr>
            <w:r>
              <w:rPr>
                <w:w w:val="55"/>
                <w:sz w:val="23"/>
              </w:rPr>
              <w:t>0.00</w:t>
            </w:r>
          </w:p>
        </w:tc>
      </w:tr>
      <w:tr>
        <w:trPr>
          <w:trHeight w:val="300" w:hRule="exact"/>
        </w:trPr>
        <w:tc>
          <w:tcPr>
            <w:tcW w:w="439" w:type="dxa"/>
          </w:tcPr>
          <w:p>
            <w:pPr>
              <w:pStyle w:val="TableParagraph"/>
              <w:spacing w:before="5"/>
              <w:ind w:left="17" w:right="9"/>
              <w:rPr>
                <w:sz w:val="23"/>
              </w:rPr>
            </w:pPr>
            <w:r>
              <w:rPr>
                <w:w w:val="55"/>
                <w:sz w:val="23"/>
              </w:rPr>
              <w:t>2.00</w:t>
            </w:r>
          </w:p>
        </w:tc>
        <w:tc>
          <w:tcPr>
            <w:tcW w:w="700" w:type="dxa"/>
            <w:shd w:val="clear" w:color="auto" w:fill="DBEDF3"/>
          </w:tcPr>
          <w:p>
            <w:pPr>
              <w:pStyle w:val="TableParagraph"/>
              <w:spacing w:before="5"/>
              <w:ind w:left="220" w:right="217"/>
              <w:rPr>
                <w:sz w:val="23"/>
              </w:rPr>
            </w:pPr>
            <w:r>
              <w:rPr>
                <w:w w:val="55"/>
                <w:sz w:val="23"/>
              </w:rPr>
              <w:t>3.33</w:t>
            </w:r>
          </w:p>
        </w:tc>
        <w:tc>
          <w:tcPr>
            <w:tcW w:w="596" w:type="dxa"/>
            <w:shd w:val="clear" w:color="auto" w:fill="DBEDF3"/>
          </w:tcPr>
          <w:p>
            <w:pPr>
              <w:pStyle w:val="TableParagraph"/>
              <w:spacing w:before="5"/>
              <w:ind w:right="206"/>
              <w:jc w:val="right"/>
              <w:rPr>
                <w:sz w:val="23"/>
              </w:rPr>
            </w:pPr>
            <w:r>
              <w:rPr>
                <w:w w:val="45"/>
                <w:sz w:val="23"/>
              </w:rPr>
              <w:t>0.05</w:t>
            </w:r>
          </w:p>
        </w:tc>
        <w:tc>
          <w:tcPr>
            <w:tcW w:w="783" w:type="dxa"/>
          </w:tcPr>
          <w:p>
            <w:pPr>
              <w:pStyle w:val="TableParagraph"/>
              <w:spacing w:before="5"/>
              <w:ind w:left="216"/>
              <w:jc w:val="left"/>
              <w:rPr>
                <w:sz w:val="23"/>
              </w:rPr>
            </w:pPr>
            <w:r>
              <w:rPr>
                <w:w w:val="55"/>
                <w:sz w:val="23"/>
              </w:rPr>
              <w:t>5.11</w:t>
            </w:r>
          </w:p>
        </w:tc>
        <w:tc>
          <w:tcPr>
            <w:tcW w:w="1012" w:type="dxa"/>
          </w:tcPr>
          <w:p>
            <w:pPr>
              <w:pStyle w:val="TableParagraph"/>
              <w:spacing w:before="5"/>
              <w:ind w:left="334"/>
              <w:jc w:val="left"/>
              <w:rPr>
                <w:sz w:val="23"/>
              </w:rPr>
            </w:pPr>
            <w:r>
              <w:rPr>
                <w:w w:val="55"/>
                <w:sz w:val="23"/>
              </w:rPr>
              <w:t>0.01</w:t>
            </w:r>
          </w:p>
        </w:tc>
        <w:tc>
          <w:tcPr>
            <w:tcW w:w="969" w:type="dxa"/>
            <w:shd w:val="clear" w:color="auto" w:fill="DBEDF3"/>
          </w:tcPr>
          <w:p>
            <w:pPr>
              <w:pStyle w:val="TableParagraph"/>
              <w:spacing w:before="5"/>
              <w:ind w:left="56" w:right="86"/>
              <w:rPr>
                <w:sz w:val="23"/>
              </w:rPr>
            </w:pPr>
            <w:r>
              <w:rPr>
                <w:w w:val="55"/>
                <w:sz w:val="23"/>
              </w:rPr>
              <w:t>2.75</w:t>
            </w:r>
          </w:p>
        </w:tc>
        <w:tc>
          <w:tcPr>
            <w:tcW w:w="949" w:type="dxa"/>
            <w:shd w:val="clear" w:color="auto" w:fill="DBEDF3"/>
          </w:tcPr>
          <w:p>
            <w:pPr>
              <w:pStyle w:val="TableParagraph"/>
              <w:spacing w:before="5"/>
              <w:ind w:left="102" w:right="137"/>
              <w:rPr>
                <w:sz w:val="23"/>
              </w:rPr>
            </w:pPr>
            <w:r>
              <w:rPr>
                <w:w w:val="55"/>
                <w:sz w:val="23"/>
              </w:rPr>
              <w:t>0.08</w:t>
            </w:r>
          </w:p>
        </w:tc>
        <w:tc>
          <w:tcPr>
            <w:tcW w:w="836" w:type="dxa"/>
          </w:tcPr>
          <w:p>
            <w:pPr>
              <w:pStyle w:val="TableParagraph"/>
              <w:spacing w:before="5"/>
              <w:ind w:left="71" w:right="112"/>
              <w:rPr>
                <w:sz w:val="23"/>
              </w:rPr>
            </w:pPr>
            <w:r>
              <w:rPr>
                <w:w w:val="55"/>
                <w:sz w:val="23"/>
              </w:rPr>
              <w:t>1.49</w:t>
            </w:r>
          </w:p>
        </w:tc>
        <w:tc>
          <w:tcPr>
            <w:tcW w:w="832" w:type="dxa"/>
          </w:tcPr>
          <w:p>
            <w:pPr>
              <w:pStyle w:val="TableParagraph"/>
              <w:spacing w:before="5"/>
              <w:ind w:left="303"/>
              <w:jc w:val="left"/>
              <w:rPr>
                <w:sz w:val="23"/>
              </w:rPr>
            </w:pPr>
            <w:r>
              <w:rPr>
                <w:w w:val="55"/>
                <w:sz w:val="23"/>
              </w:rPr>
              <w:t>0.24</w:t>
            </w:r>
          </w:p>
        </w:tc>
        <w:tc>
          <w:tcPr>
            <w:tcW w:w="1069" w:type="dxa"/>
            <w:shd w:val="clear" w:color="auto" w:fill="DBEDF3"/>
          </w:tcPr>
          <w:p>
            <w:pPr>
              <w:pStyle w:val="TableParagraph"/>
              <w:spacing w:before="5"/>
              <w:ind w:left="433"/>
              <w:jc w:val="left"/>
              <w:rPr>
                <w:sz w:val="23"/>
              </w:rPr>
            </w:pPr>
            <w:r>
              <w:rPr>
                <w:w w:val="55"/>
                <w:sz w:val="23"/>
              </w:rPr>
              <w:t>7.69</w:t>
            </w:r>
          </w:p>
        </w:tc>
        <w:tc>
          <w:tcPr>
            <w:tcW w:w="1013" w:type="dxa"/>
            <w:shd w:val="clear" w:color="auto" w:fill="DBEDF3"/>
          </w:tcPr>
          <w:p>
            <w:pPr>
              <w:pStyle w:val="TableParagraph"/>
              <w:spacing w:before="5"/>
              <w:ind w:left="403"/>
              <w:jc w:val="left"/>
              <w:rPr>
                <w:sz w:val="23"/>
              </w:rPr>
            </w:pPr>
            <w:r>
              <w:rPr>
                <w:w w:val="55"/>
                <w:sz w:val="23"/>
              </w:rPr>
              <w:t>0.00</w:t>
            </w:r>
          </w:p>
        </w:tc>
      </w:tr>
      <w:tr>
        <w:trPr>
          <w:trHeight w:val="300" w:hRule="exact"/>
        </w:trPr>
        <w:tc>
          <w:tcPr>
            <w:tcW w:w="439" w:type="dxa"/>
          </w:tcPr>
          <w:p>
            <w:pPr>
              <w:pStyle w:val="TableParagraph"/>
              <w:spacing w:before="4"/>
              <w:ind w:left="17" w:right="9"/>
              <w:rPr>
                <w:sz w:val="23"/>
              </w:rPr>
            </w:pPr>
            <w:r>
              <w:rPr>
                <w:w w:val="55"/>
                <w:sz w:val="23"/>
              </w:rPr>
              <w:t>3.00</w:t>
            </w:r>
          </w:p>
        </w:tc>
        <w:tc>
          <w:tcPr>
            <w:tcW w:w="700" w:type="dxa"/>
            <w:shd w:val="clear" w:color="auto" w:fill="DBEDF3"/>
          </w:tcPr>
          <w:p>
            <w:pPr>
              <w:pStyle w:val="TableParagraph"/>
              <w:spacing w:before="4"/>
              <w:ind w:left="220" w:right="217"/>
              <w:rPr>
                <w:sz w:val="23"/>
              </w:rPr>
            </w:pPr>
            <w:r>
              <w:rPr>
                <w:w w:val="55"/>
                <w:sz w:val="23"/>
              </w:rPr>
              <w:t>5.61</w:t>
            </w:r>
          </w:p>
        </w:tc>
        <w:tc>
          <w:tcPr>
            <w:tcW w:w="596" w:type="dxa"/>
            <w:shd w:val="clear" w:color="auto" w:fill="DBEDF3"/>
          </w:tcPr>
          <w:p>
            <w:pPr>
              <w:pStyle w:val="TableParagraph"/>
              <w:spacing w:before="4"/>
              <w:ind w:right="206"/>
              <w:jc w:val="right"/>
              <w:rPr>
                <w:sz w:val="23"/>
              </w:rPr>
            </w:pPr>
            <w:r>
              <w:rPr>
                <w:w w:val="45"/>
                <w:sz w:val="23"/>
              </w:rPr>
              <w:t>0.00</w:t>
            </w:r>
          </w:p>
        </w:tc>
        <w:tc>
          <w:tcPr>
            <w:tcW w:w="783" w:type="dxa"/>
          </w:tcPr>
          <w:p>
            <w:pPr>
              <w:pStyle w:val="TableParagraph"/>
              <w:spacing w:before="4"/>
              <w:ind w:left="216"/>
              <w:jc w:val="left"/>
              <w:rPr>
                <w:sz w:val="23"/>
              </w:rPr>
            </w:pPr>
            <w:r>
              <w:rPr>
                <w:w w:val="55"/>
                <w:sz w:val="23"/>
              </w:rPr>
              <w:t>3.89</w:t>
            </w:r>
          </w:p>
        </w:tc>
        <w:tc>
          <w:tcPr>
            <w:tcW w:w="1012" w:type="dxa"/>
          </w:tcPr>
          <w:p>
            <w:pPr>
              <w:pStyle w:val="TableParagraph"/>
              <w:spacing w:before="4"/>
              <w:ind w:left="334"/>
              <w:jc w:val="left"/>
              <w:rPr>
                <w:sz w:val="23"/>
              </w:rPr>
            </w:pPr>
            <w:r>
              <w:rPr>
                <w:w w:val="55"/>
                <w:sz w:val="23"/>
              </w:rPr>
              <w:t>0.02</w:t>
            </w:r>
          </w:p>
        </w:tc>
        <w:tc>
          <w:tcPr>
            <w:tcW w:w="969" w:type="dxa"/>
            <w:shd w:val="clear" w:color="auto" w:fill="DBEDF3"/>
          </w:tcPr>
          <w:p>
            <w:pPr>
              <w:pStyle w:val="TableParagraph"/>
              <w:spacing w:before="4"/>
              <w:ind w:left="56" w:right="86"/>
              <w:rPr>
                <w:sz w:val="23"/>
              </w:rPr>
            </w:pPr>
            <w:r>
              <w:rPr>
                <w:w w:val="55"/>
                <w:sz w:val="23"/>
              </w:rPr>
              <w:t>2.20</w:t>
            </w:r>
          </w:p>
        </w:tc>
        <w:tc>
          <w:tcPr>
            <w:tcW w:w="949" w:type="dxa"/>
            <w:shd w:val="clear" w:color="auto" w:fill="DBEDF3"/>
          </w:tcPr>
          <w:p>
            <w:pPr>
              <w:pStyle w:val="TableParagraph"/>
              <w:spacing w:before="4"/>
              <w:ind w:left="102" w:right="137"/>
              <w:rPr>
                <w:sz w:val="23"/>
              </w:rPr>
            </w:pPr>
            <w:r>
              <w:rPr>
                <w:w w:val="55"/>
                <w:sz w:val="23"/>
              </w:rPr>
              <w:t>0.11</w:t>
            </w:r>
          </w:p>
        </w:tc>
        <w:tc>
          <w:tcPr>
            <w:tcW w:w="836" w:type="dxa"/>
          </w:tcPr>
          <w:p>
            <w:pPr>
              <w:pStyle w:val="TableParagraph"/>
              <w:spacing w:before="4"/>
              <w:ind w:left="71" w:right="112"/>
              <w:rPr>
                <w:sz w:val="23"/>
              </w:rPr>
            </w:pPr>
            <w:r>
              <w:rPr>
                <w:w w:val="55"/>
                <w:sz w:val="23"/>
              </w:rPr>
              <w:t>0.82</w:t>
            </w:r>
          </w:p>
        </w:tc>
        <w:tc>
          <w:tcPr>
            <w:tcW w:w="832" w:type="dxa"/>
          </w:tcPr>
          <w:p>
            <w:pPr>
              <w:pStyle w:val="TableParagraph"/>
              <w:spacing w:before="4"/>
              <w:ind w:left="303"/>
              <w:jc w:val="left"/>
              <w:rPr>
                <w:sz w:val="23"/>
              </w:rPr>
            </w:pPr>
            <w:r>
              <w:rPr>
                <w:w w:val="55"/>
                <w:sz w:val="23"/>
              </w:rPr>
              <w:t>0.50</w:t>
            </w:r>
          </w:p>
        </w:tc>
        <w:tc>
          <w:tcPr>
            <w:tcW w:w="1069" w:type="dxa"/>
            <w:shd w:val="clear" w:color="auto" w:fill="DBEDF3"/>
          </w:tcPr>
          <w:p>
            <w:pPr>
              <w:pStyle w:val="TableParagraph"/>
              <w:spacing w:before="4"/>
              <w:ind w:left="433"/>
              <w:jc w:val="left"/>
              <w:rPr>
                <w:sz w:val="23"/>
              </w:rPr>
            </w:pPr>
            <w:r>
              <w:rPr>
                <w:w w:val="55"/>
                <w:sz w:val="23"/>
              </w:rPr>
              <w:t>4.68</w:t>
            </w:r>
          </w:p>
        </w:tc>
        <w:tc>
          <w:tcPr>
            <w:tcW w:w="1013" w:type="dxa"/>
            <w:shd w:val="clear" w:color="auto" w:fill="DBEDF3"/>
          </w:tcPr>
          <w:p>
            <w:pPr>
              <w:pStyle w:val="TableParagraph"/>
              <w:spacing w:before="4"/>
              <w:ind w:left="403"/>
              <w:jc w:val="left"/>
              <w:rPr>
                <w:sz w:val="23"/>
              </w:rPr>
            </w:pPr>
            <w:r>
              <w:rPr>
                <w:w w:val="55"/>
                <w:sz w:val="23"/>
              </w:rPr>
              <w:t>0.01</w:t>
            </w:r>
          </w:p>
        </w:tc>
      </w:tr>
      <w:tr>
        <w:trPr>
          <w:trHeight w:val="300" w:hRule="exact"/>
        </w:trPr>
        <w:tc>
          <w:tcPr>
            <w:tcW w:w="439" w:type="dxa"/>
          </w:tcPr>
          <w:p>
            <w:pPr>
              <w:pStyle w:val="TableParagraph"/>
              <w:spacing w:before="5"/>
              <w:ind w:left="17" w:right="9"/>
              <w:rPr>
                <w:sz w:val="23"/>
              </w:rPr>
            </w:pPr>
            <w:r>
              <w:rPr>
                <w:w w:val="55"/>
                <w:sz w:val="23"/>
              </w:rPr>
              <w:t>4.00</w:t>
            </w:r>
          </w:p>
        </w:tc>
        <w:tc>
          <w:tcPr>
            <w:tcW w:w="700" w:type="dxa"/>
            <w:shd w:val="clear" w:color="auto" w:fill="DBEDF3"/>
          </w:tcPr>
          <w:p>
            <w:pPr>
              <w:pStyle w:val="TableParagraph"/>
              <w:spacing w:before="5"/>
              <w:ind w:left="220" w:right="217"/>
              <w:rPr>
                <w:sz w:val="23"/>
              </w:rPr>
            </w:pPr>
            <w:r>
              <w:rPr>
                <w:w w:val="55"/>
                <w:sz w:val="23"/>
              </w:rPr>
              <w:t>2.55</w:t>
            </w:r>
          </w:p>
        </w:tc>
        <w:tc>
          <w:tcPr>
            <w:tcW w:w="596" w:type="dxa"/>
            <w:shd w:val="clear" w:color="auto" w:fill="DBEDF3"/>
          </w:tcPr>
          <w:p>
            <w:pPr>
              <w:pStyle w:val="TableParagraph"/>
              <w:spacing w:before="5"/>
              <w:ind w:right="206"/>
              <w:jc w:val="right"/>
              <w:rPr>
                <w:sz w:val="23"/>
              </w:rPr>
            </w:pPr>
            <w:r>
              <w:rPr>
                <w:w w:val="45"/>
                <w:sz w:val="23"/>
              </w:rPr>
              <w:t>0.06</w:t>
            </w:r>
          </w:p>
        </w:tc>
        <w:tc>
          <w:tcPr>
            <w:tcW w:w="783" w:type="dxa"/>
          </w:tcPr>
          <w:p>
            <w:pPr>
              <w:pStyle w:val="TableParagraph"/>
              <w:spacing w:before="5"/>
              <w:ind w:left="216"/>
              <w:jc w:val="left"/>
              <w:rPr>
                <w:sz w:val="23"/>
              </w:rPr>
            </w:pPr>
            <w:r>
              <w:rPr>
                <w:w w:val="55"/>
                <w:sz w:val="23"/>
              </w:rPr>
              <w:t>5.52</w:t>
            </w:r>
          </w:p>
        </w:tc>
        <w:tc>
          <w:tcPr>
            <w:tcW w:w="1012" w:type="dxa"/>
          </w:tcPr>
          <w:p>
            <w:pPr>
              <w:pStyle w:val="TableParagraph"/>
              <w:spacing w:before="5"/>
              <w:ind w:left="334"/>
              <w:jc w:val="left"/>
              <w:rPr>
                <w:sz w:val="23"/>
              </w:rPr>
            </w:pPr>
            <w:r>
              <w:rPr>
                <w:w w:val="55"/>
                <w:sz w:val="23"/>
              </w:rPr>
              <w:t>0.00</w:t>
            </w:r>
          </w:p>
        </w:tc>
        <w:tc>
          <w:tcPr>
            <w:tcW w:w="969" w:type="dxa"/>
            <w:shd w:val="clear" w:color="auto" w:fill="DBEDF3"/>
          </w:tcPr>
          <w:p>
            <w:pPr>
              <w:pStyle w:val="TableParagraph"/>
              <w:spacing w:before="5"/>
              <w:ind w:left="56" w:right="86"/>
              <w:rPr>
                <w:sz w:val="23"/>
              </w:rPr>
            </w:pPr>
            <w:r>
              <w:rPr>
                <w:w w:val="55"/>
                <w:sz w:val="23"/>
              </w:rPr>
              <w:t>1.28</w:t>
            </w:r>
          </w:p>
        </w:tc>
        <w:tc>
          <w:tcPr>
            <w:tcW w:w="949" w:type="dxa"/>
            <w:shd w:val="clear" w:color="auto" w:fill="DBEDF3"/>
          </w:tcPr>
          <w:p>
            <w:pPr>
              <w:pStyle w:val="TableParagraph"/>
              <w:spacing w:before="5"/>
              <w:ind w:left="102" w:right="137"/>
              <w:rPr>
                <w:sz w:val="23"/>
              </w:rPr>
            </w:pPr>
            <w:r>
              <w:rPr>
                <w:w w:val="55"/>
                <w:sz w:val="23"/>
              </w:rPr>
              <w:t>0.30</w:t>
            </w:r>
          </w:p>
        </w:tc>
        <w:tc>
          <w:tcPr>
            <w:tcW w:w="836" w:type="dxa"/>
          </w:tcPr>
          <w:p>
            <w:pPr>
              <w:pStyle w:val="TableParagraph"/>
              <w:spacing w:before="5"/>
              <w:ind w:left="71" w:right="112"/>
              <w:rPr>
                <w:sz w:val="23"/>
              </w:rPr>
            </w:pPr>
            <w:r>
              <w:rPr>
                <w:w w:val="55"/>
                <w:sz w:val="23"/>
              </w:rPr>
              <w:t>1.08</w:t>
            </w:r>
          </w:p>
        </w:tc>
        <w:tc>
          <w:tcPr>
            <w:tcW w:w="832" w:type="dxa"/>
          </w:tcPr>
          <w:p>
            <w:pPr>
              <w:pStyle w:val="TableParagraph"/>
              <w:spacing w:before="5"/>
              <w:ind w:left="303"/>
              <w:jc w:val="left"/>
              <w:rPr>
                <w:sz w:val="23"/>
              </w:rPr>
            </w:pPr>
            <w:r>
              <w:rPr>
                <w:w w:val="55"/>
                <w:sz w:val="23"/>
              </w:rPr>
              <w:t>0.39</w:t>
            </w:r>
          </w:p>
        </w:tc>
        <w:tc>
          <w:tcPr>
            <w:tcW w:w="1069" w:type="dxa"/>
            <w:shd w:val="clear" w:color="auto" w:fill="DBEDF3"/>
          </w:tcPr>
          <w:p>
            <w:pPr>
              <w:pStyle w:val="TableParagraph"/>
              <w:spacing w:before="5"/>
              <w:ind w:left="433"/>
              <w:jc w:val="left"/>
              <w:rPr>
                <w:sz w:val="23"/>
              </w:rPr>
            </w:pPr>
            <w:r>
              <w:rPr>
                <w:w w:val="55"/>
                <w:sz w:val="23"/>
              </w:rPr>
              <w:t>1.60</w:t>
            </w:r>
          </w:p>
        </w:tc>
        <w:tc>
          <w:tcPr>
            <w:tcW w:w="1013" w:type="dxa"/>
            <w:shd w:val="clear" w:color="auto" w:fill="DBEDF3"/>
          </w:tcPr>
          <w:p>
            <w:pPr>
              <w:pStyle w:val="TableParagraph"/>
              <w:spacing w:before="5"/>
              <w:ind w:left="403"/>
              <w:jc w:val="left"/>
              <w:rPr>
                <w:sz w:val="23"/>
              </w:rPr>
            </w:pPr>
            <w:r>
              <w:rPr>
                <w:w w:val="55"/>
                <w:sz w:val="23"/>
              </w:rPr>
              <w:t>0.20</w:t>
            </w:r>
          </w:p>
        </w:tc>
      </w:tr>
      <w:tr>
        <w:trPr>
          <w:trHeight w:val="304" w:hRule="exact"/>
        </w:trPr>
        <w:tc>
          <w:tcPr>
            <w:tcW w:w="439" w:type="dxa"/>
            <w:tcBorders>
              <w:bottom w:val="double" w:sz="5" w:space="0" w:color="000000"/>
            </w:tcBorders>
          </w:tcPr>
          <w:p>
            <w:pPr>
              <w:pStyle w:val="TableParagraph"/>
              <w:spacing w:before="5"/>
              <w:ind w:left="17" w:right="9"/>
              <w:rPr>
                <w:sz w:val="23"/>
              </w:rPr>
            </w:pPr>
            <w:r>
              <w:rPr>
                <w:w w:val="55"/>
                <w:sz w:val="23"/>
              </w:rPr>
              <w:t>5.00</w:t>
            </w:r>
          </w:p>
        </w:tc>
        <w:tc>
          <w:tcPr>
            <w:tcW w:w="700" w:type="dxa"/>
            <w:shd w:val="clear" w:color="auto" w:fill="DBEDF3"/>
          </w:tcPr>
          <w:p>
            <w:pPr>
              <w:pStyle w:val="TableParagraph"/>
              <w:spacing w:before="5"/>
              <w:ind w:left="220" w:right="217"/>
              <w:rPr>
                <w:sz w:val="23"/>
              </w:rPr>
            </w:pPr>
            <w:r>
              <w:rPr>
                <w:w w:val="55"/>
                <w:sz w:val="23"/>
              </w:rPr>
              <w:t>4.10</w:t>
            </w:r>
          </w:p>
        </w:tc>
        <w:tc>
          <w:tcPr>
            <w:tcW w:w="596" w:type="dxa"/>
            <w:shd w:val="clear" w:color="auto" w:fill="DBEDF3"/>
          </w:tcPr>
          <w:p>
            <w:pPr>
              <w:pStyle w:val="TableParagraph"/>
              <w:spacing w:before="5"/>
              <w:ind w:right="206"/>
              <w:jc w:val="right"/>
              <w:rPr>
                <w:sz w:val="23"/>
              </w:rPr>
            </w:pPr>
            <w:r>
              <w:rPr>
                <w:w w:val="45"/>
                <w:sz w:val="23"/>
              </w:rPr>
              <w:t>0.01</w:t>
            </w:r>
          </w:p>
        </w:tc>
        <w:tc>
          <w:tcPr>
            <w:tcW w:w="783" w:type="dxa"/>
            <w:tcBorders>
              <w:bottom w:val="double" w:sz="5" w:space="0" w:color="000000"/>
            </w:tcBorders>
          </w:tcPr>
          <w:p>
            <w:pPr>
              <w:pStyle w:val="TableParagraph"/>
              <w:spacing w:before="5"/>
              <w:ind w:left="216"/>
              <w:jc w:val="left"/>
              <w:rPr>
                <w:sz w:val="23"/>
              </w:rPr>
            </w:pPr>
            <w:r>
              <w:rPr>
                <w:w w:val="55"/>
                <w:sz w:val="23"/>
              </w:rPr>
              <w:t>5.52</w:t>
            </w:r>
          </w:p>
        </w:tc>
        <w:tc>
          <w:tcPr>
            <w:tcW w:w="1012" w:type="dxa"/>
            <w:tcBorders>
              <w:bottom w:val="double" w:sz="5" w:space="0" w:color="000000"/>
            </w:tcBorders>
          </w:tcPr>
          <w:p>
            <w:pPr>
              <w:pStyle w:val="TableParagraph"/>
              <w:spacing w:before="5"/>
              <w:ind w:left="334"/>
              <w:jc w:val="left"/>
              <w:rPr>
                <w:sz w:val="23"/>
              </w:rPr>
            </w:pPr>
            <w:r>
              <w:rPr>
                <w:w w:val="55"/>
                <w:sz w:val="23"/>
              </w:rPr>
              <w:t>0.00</w:t>
            </w:r>
          </w:p>
        </w:tc>
        <w:tc>
          <w:tcPr>
            <w:tcW w:w="969" w:type="dxa"/>
            <w:shd w:val="clear" w:color="auto" w:fill="DBEDF3"/>
          </w:tcPr>
          <w:p>
            <w:pPr>
              <w:pStyle w:val="TableParagraph"/>
              <w:spacing w:before="5"/>
              <w:ind w:left="56" w:right="86"/>
              <w:rPr>
                <w:sz w:val="23"/>
              </w:rPr>
            </w:pPr>
            <w:r>
              <w:rPr>
                <w:w w:val="55"/>
                <w:sz w:val="23"/>
              </w:rPr>
              <w:t>1.77</w:t>
            </w:r>
          </w:p>
        </w:tc>
        <w:tc>
          <w:tcPr>
            <w:tcW w:w="949" w:type="dxa"/>
            <w:shd w:val="clear" w:color="auto" w:fill="DBEDF3"/>
          </w:tcPr>
          <w:p>
            <w:pPr>
              <w:pStyle w:val="TableParagraph"/>
              <w:spacing w:before="5"/>
              <w:ind w:left="102" w:right="137"/>
              <w:rPr>
                <w:sz w:val="23"/>
              </w:rPr>
            </w:pPr>
            <w:r>
              <w:rPr>
                <w:w w:val="55"/>
                <w:sz w:val="23"/>
              </w:rPr>
              <w:t>0.16</w:t>
            </w:r>
          </w:p>
        </w:tc>
        <w:tc>
          <w:tcPr>
            <w:tcW w:w="836" w:type="dxa"/>
            <w:tcBorders>
              <w:bottom w:val="double" w:sz="5" w:space="0" w:color="000000"/>
            </w:tcBorders>
          </w:tcPr>
          <w:p>
            <w:pPr>
              <w:pStyle w:val="TableParagraph"/>
              <w:spacing w:before="5"/>
              <w:ind w:left="71" w:right="112"/>
              <w:rPr>
                <w:sz w:val="23"/>
              </w:rPr>
            </w:pPr>
            <w:r>
              <w:rPr>
                <w:w w:val="55"/>
                <w:sz w:val="23"/>
              </w:rPr>
              <w:t>0.46</w:t>
            </w:r>
          </w:p>
        </w:tc>
        <w:tc>
          <w:tcPr>
            <w:tcW w:w="832" w:type="dxa"/>
            <w:tcBorders>
              <w:bottom w:val="double" w:sz="5" w:space="0" w:color="000000"/>
            </w:tcBorders>
          </w:tcPr>
          <w:p>
            <w:pPr>
              <w:pStyle w:val="TableParagraph"/>
              <w:spacing w:before="5"/>
              <w:ind w:left="303"/>
              <w:jc w:val="left"/>
              <w:rPr>
                <w:sz w:val="23"/>
              </w:rPr>
            </w:pPr>
            <w:r>
              <w:rPr>
                <w:w w:val="55"/>
                <w:sz w:val="23"/>
              </w:rPr>
              <w:t>0.80</w:t>
            </w:r>
          </w:p>
        </w:tc>
        <w:tc>
          <w:tcPr>
            <w:tcW w:w="1069" w:type="dxa"/>
            <w:shd w:val="clear" w:color="auto" w:fill="DBEDF3"/>
          </w:tcPr>
          <w:p>
            <w:pPr>
              <w:pStyle w:val="TableParagraph"/>
              <w:spacing w:before="5"/>
              <w:ind w:left="433"/>
              <w:jc w:val="left"/>
              <w:rPr>
                <w:sz w:val="23"/>
              </w:rPr>
            </w:pPr>
            <w:r>
              <w:rPr>
                <w:w w:val="55"/>
                <w:sz w:val="23"/>
              </w:rPr>
              <w:t>2.11</w:t>
            </w:r>
          </w:p>
        </w:tc>
        <w:tc>
          <w:tcPr>
            <w:tcW w:w="1013" w:type="dxa"/>
            <w:shd w:val="clear" w:color="auto" w:fill="DBEDF3"/>
          </w:tcPr>
          <w:p>
            <w:pPr>
              <w:pStyle w:val="TableParagraph"/>
              <w:spacing w:before="5"/>
              <w:ind w:left="403"/>
              <w:jc w:val="left"/>
              <w:rPr>
                <w:sz w:val="23"/>
              </w:rPr>
            </w:pPr>
            <w:r>
              <w:rPr>
                <w:w w:val="55"/>
                <w:sz w:val="23"/>
              </w:rPr>
              <w:t>0.10</w:t>
            </w:r>
          </w:p>
        </w:tc>
      </w:tr>
    </w:tbl>
    <w:p>
      <w:pPr>
        <w:spacing w:before="92"/>
        <w:ind w:left="102" w:right="549" w:firstLine="0"/>
        <w:jc w:val="left"/>
        <w:rPr>
          <w:sz w:val="20"/>
        </w:rPr>
      </w:pPr>
      <w:r>
        <w:rPr>
          <w:sz w:val="20"/>
        </w:rPr>
        <w:t>DP corresponde a la Deuda Pública en términos del PIB.</w:t>
      </w:r>
    </w:p>
    <w:p>
      <w:pPr>
        <w:spacing w:after="0"/>
        <w:jc w:val="left"/>
        <w:rPr>
          <w:sz w:val="20"/>
        </w:rPr>
        <w:sectPr>
          <w:pgSz w:w="12250" w:h="15850"/>
          <w:pgMar w:header="0" w:footer="977" w:top="1360" w:bottom="1220" w:left="1600" w:right="1180"/>
        </w:sectPr>
      </w:pPr>
    </w:p>
    <w:p>
      <w:pPr>
        <w:pStyle w:val="Heading4"/>
        <w:spacing w:before="53"/>
        <w:ind w:left="102" w:firstLine="0"/>
      </w:pPr>
      <w:bookmarkStart w:name="_bookmark184" w:id="249"/>
      <w:bookmarkEnd w:id="249"/>
      <w:r>
        <w:rPr>
          <w:b w:val="0"/>
        </w:rPr>
      </w:r>
      <w:r>
        <w:rPr/>
        <w:t>Anexo 4.4: Selección del rezago óptimo para el modelo VAR sin restricciones económicas</w:t>
      </w:r>
    </w:p>
    <w:p>
      <w:pPr>
        <w:pStyle w:val="BodyText"/>
        <w:spacing w:before="7"/>
        <w:rPr>
          <w:b/>
          <w:sz w:val="20"/>
        </w:rPr>
      </w:pPr>
    </w:p>
    <w:p>
      <w:pPr>
        <w:pStyle w:val="BodyText"/>
        <w:spacing w:line="360" w:lineRule="auto"/>
        <w:ind w:left="102" w:right="107"/>
      </w:pPr>
      <w:r>
        <w:rPr/>
        <w:t>Anexo 4.4 A: Selección del tamaño del rezago para modelo A (SVAR en función del balance primario no gasífero)</w:t>
      </w:r>
    </w:p>
    <w:p>
      <w:pPr>
        <w:spacing w:after="0" w:line="360" w:lineRule="auto"/>
        <w:sectPr>
          <w:pgSz w:w="12250" w:h="15850"/>
          <w:pgMar w:header="0" w:footer="977" w:top="1360" w:bottom="1220" w:left="1600" w:right="1600"/>
        </w:sectPr>
      </w:pPr>
    </w:p>
    <w:p>
      <w:pPr>
        <w:spacing w:before="89"/>
        <w:ind w:left="167" w:right="0" w:firstLine="0"/>
        <w:jc w:val="left"/>
        <w:rPr>
          <w:sz w:val="16"/>
        </w:rPr>
      </w:pPr>
      <w:r>
        <w:rPr>
          <w:spacing w:val="-8"/>
          <w:w w:val="120"/>
          <w:sz w:val="16"/>
        </w:rPr>
        <w:t>Tamaño óptimo </w:t>
      </w:r>
      <w:r>
        <w:rPr>
          <w:w w:val="120"/>
          <w:sz w:val="16"/>
        </w:rPr>
        <w:t>del</w:t>
      </w:r>
    </w:p>
    <w:p>
      <w:pPr>
        <w:pStyle w:val="BodyText"/>
        <w:spacing w:before="2"/>
        <w:rPr>
          <w:sz w:val="17"/>
        </w:rPr>
      </w:pPr>
      <w:r>
        <w:rPr/>
        <w:br w:type="column"/>
      </w:r>
      <w:r>
        <w:rPr>
          <w:sz w:val="17"/>
        </w:rPr>
      </w:r>
    </w:p>
    <w:p>
      <w:pPr>
        <w:tabs>
          <w:tab w:pos="1221" w:val="left" w:leader="none"/>
          <w:tab w:pos="2142" w:val="left" w:leader="none"/>
          <w:tab w:pos="3112" w:val="left" w:leader="none"/>
          <w:tab w:pos="4118" w:val="left" w:leader="none"/>
          <w:tab w:pos="5075" w:val="left" w:leader="none"/>
        </w:tabs>
        <w:spacing w:before="0"/>
        <w:ind w:left="167" w:right="0" w:firstLine="0"/>
        <w:jc w:val="left"/>
        <w:rPr>
          <w:sz w:val="16"/>
        </w:rPr>
      </w:pPr>
      <w:r>
        <w:rPr/>
        <w:pict>
          <v:shape style="position:absolute;margin-left:87.154961pt;margin-top:6.041352pt;width:364.8pt;height:63.4pt;mso-position-horizontal-relative:page;mso-position-vertical-relative:paragraph;z-index:1852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06"/>
                    <w:gridCol w:w="1127"/>
                    <w:gridCol w:w="891"/>
                    <w:gridCol w:w="1036"/>
                    <w:gridCol w:w="1002"/>
                    <w:gridCol w:w="969"/>
                    <w:gridCol w:w="865"/>
                  </w:tblGrid>
                  <w:tr>
                    <w:trPr>
                      <w:trHeight w:val="182" w:hRule="exact"/>
                    </w:trPr>
                    <w:tc>
                      <w:tcPr>
                        <w:tcW w:w="1406" w:type="dxa"/>
                        <w:tcBorders>
                          <w:bottom w:val="double" w:sz="4" w:space="0" w:color="000000"/>
                        </w:tcBorders>
                      </w:tcPr>
                      <w:p>
                        <w:pPr>
                          <w:pStyle w:val="TableParagraph"/>
                          <w:spacing w:line="162" w:lineRule="exact"/>
                          <w:ind w:left="463" w:right="391"/>
                          <w:rPr>
                            <w:sz w:val="16"/>
                          </w:rPr>
                        </w:pPr>
                        <w:r>
                          <w:rPr>
                            <w:w w:val="120"/>
                            <w:sz w:val="16"/>
                          </w:rPr>
                          <w:t>rezago</w:t>
                        </w:r>
                      </w:p>
                    </w:tc>
                    <w:tc>
                      <w:tcPr>
                        <w:tcW w:w="5890" w:type="dxa"/>
                        <w:gridSpan w:val="6"/>
                        <w:tcBorders>
                          <w:bottom w:val="double" w:sz="4" w:space="0" w:color="000000"/>
                        </w:tcBorders>
                      </w:tcPr>
                      <w:p>
                        <w:pPr/>
                      </w:p>
                    </w:tc>
                  </w:tr>
                  <w:tr>
                    <w:trPr>
                      <w:trHeight w:val="228" w:hRule="exact"/>
                    </w:trPr>
                    <w:tc>
                      <w:tcPr>
                        <w:tcW w:w="1406" w:type="dxa"/>
                        <w:tcBorders>
                          <w:top w:val="double" w:sz="4" w:space="0" w:color="000000"/>
                        </w:tcBorders>
                      </w:tcPr>
                      <w:p>
                        <w:pPr>
                          <w:pStyle w:val="TableParagraph"/>
                          <w:spacing w:before="8"/>
                          <w:ind w:left="73"/>
                          <w:rPr>
                            <w:sz w:val="16"/>
                          </w:rPr>
                        </w:pPr>
                        <w:r>
                          <w:rPr>
                            <w:w w:val="121"/>
                            <w:sz w:val="16"/>
                          </w:rPr>
                          <w:t>0</w:t>
                        </w:r>
                      </w:p>
                    </w:tc>
                    <w:tc>
                      <w:tcPr>
                        <w:tcW w:w="1127" w:type="dxa"/>
                        <w:tcBorders>
                          <w:top w:val="double" w:sz="4" w:space="0" w:color="000000"/>
                        </w:tcBorders>
                      </w:tcPr>
                      <w:p>
                        <w:pPr>
                          <w:pStyle w:val="TableParagraph"/>
                          <w:spacing w:before="8"/>
                          <w:ind w:right="167"/>
                          <w:jc w:val="right"/>
                          <w:rPr>
                            <w:sz w:val="16"/>
                          </w:rPr>
                        </w:pPr>
                        <w:r>
                          <w:rPr>
                            <w:w w:val="120"/>
                            <w:sz w:val="16"/>
                          </w:rPr>
                          <w:t>239.66</w:t>
                        </w:r>
                      </w:p>
                    </w:tc>
                    <w:tc>
                      <w:tcPr>
                        <w:tcW w:w="891" w:type="dxa"/>
                        <w:tcBorders>
                          <w:top w:val="double" w:sz="4" w:space="0" w:color="000000"/>
                        </w:tcBorders>
                      </w:tcPr>
                      <w:p>
                        <w:pPr>
                          <w:pStyle w:val="TableParagraph"/>
                          <w:spacing w:before="8"/>
                          <w:ind w:right="130"/>
                          <w:jc w:val="right"/>
                          <w:rPr>
                            <w:sz w:val="16"/>
                          </w:rPr>
                        </w:pPr>
                        <w:r>
                          <w:rPr>
                            <w:w w:val="120"/>
                            <w:sz w:val="16"/>
                          </w:rPr>
                          <w:t>NA</w:t>
                        </w:r>
                      </w:p>
                    </w:tc>
                    <w:tc>
                      <w:tcPr>
                        <w:tcW w:w="1036" w:type="dxa"/>
                        <w:tcBorders>
                          <w:top w:val="double" w:sz="4" w:space="0" w:color="000000"/>
                        </w:tcBorders>
                      </w:tcPr>
                      <w:p>
                        <w:pPr>
                          <w:pStyle w:val="TableParagraph"/>
                          <w:spacing w:before="8"/>
                          <w:ind w:right="155"/>
                          <w:jc w:val="right"/>
                          <w:rPr>
                            <w:sz w:val="16"/>
                          </w:rPr>
                        </w:pPr>
                        <w:r>
                          <w:rPr>
                            <w:w w:val="120"/>
                            <w:sz w:val="16"/>
                          </w:rPr>
                          <w:t>0.00</w:t>
                        </w:r>
                      </w:p>
                    </w:tc>
                    <w:tc>
                      <w:tcPr>
                        <w:tcW w:w="1002" w:type="dxa"/>
                        <w:tcBorders>
                          <w:top w:val="double" w:sz="4" w:space="0" w:color="000000"/>
                        </w:tcBorders>
                      </w:tcPr>
                      <w:p>
                        <w:pPr>
                          <w:pStyle w:val="TableParagraph"/>
                          <w:spacing w:before="8"/>
                          <w:ind w:right="123"/>
                          <w:jc w:val="right"/>
                          <w:rPr>
                            <w:sz w:val="16"/>
                          </w:rPr>
                        </w:pPr>
                        <w:r>
                          <w:rPr>
                            <w:w w:val="120"/>
                            <w:sz w:val="16"/>
                          </w:rPr>
                          <w:t>(13.85)</w:t>
                        </w:r>
                      </w:p>
                    </w:tc>
                    <w:tc>
                      <w:tcPr>
                        <w:tcW w:w="969" w:type="dxa"/>
                        <w:tcBorders>
                          <w:top w:val="double" w:sz="4" w:space="0" w:color="000000"/>
                        </w:tcBorders>
                      </w:tcPr>
                      <w:p>
                        <w:pPr>
                          <w:pStyle w:val="TableParagraph"/>
                          <w:spacing w:before="8"/>
                          <w:ind w:right="123"/>
                          <w:jc w:val="right"/>
                          <w:rPr>
                            <w:sz w:val="16"/>
                          </w:rPr>
                        </w:pPr>
                        <w:r>
                          <w:rPr>
                            <w:w w:val="120"/>
                            <w:sz w:val="16"/>
                          </w:rPr>
                          <w:t>(12.69)</w:t>
                        </w:r>
                      </w:p>
                    </w:tc>
                    <w:tc>
                      <w:tcPr>
                        <w:tcW w:w="865" w:type="dxa"/>
                        <w:tcBorders>
                          <w:top w:val="double" w:sz="4" w:space="0" w:color="000000"/>
                        </w:tcBorders>
                      </w:tcPr>
                      <w:p>
                        <w:pPr>
                          <w:pStyle w:val="TableParagraph"/>
                          <w:spacing w:before="8"/>
                          <w:ind w:right="18"/>
                          <w:jc w:val="right"/>
                          <w:rPr>
                            <w:sz w:val="16"/>
                          </w:rPr>
                        </w:pPr>
                        <w:r>
                          <w:rPr>
                            <w:w w:val="120"/>
                            <w:sz w:val="16"/>
                          </w:rPr>
                          <w:t>(13.47)</w:t>
                        </w:r>
                      </w:p>
                    </w:tc>
                  </w:tr>
                  <w:tr>
                    <w:trPr>
                      <w:trHeight w:val="207" w:hRule="exact"/>
                    </w:trPr>
                    <w:tc>
                      <w:tcPr>
                        <w:tcW w:w="1406" w:type="dxa"/>
                      </w:tcPr>
                      <w:p>
                        <w:pPr>
                          <w:pStyle w:val="TableParagraph"/>
                          <w:spacing w:before="2"/>
                          <w:ind w:left="73"/>
                          <w:rPr>
                            <w:sz w:val="16"/>
                          </w:rPr>
                        </w:pPr>
                        <w:r>
                          <w:rPr>
                            <w:w w:val="121"/>
                            <w:sz w:val="16"/>
                          </w:rPr>
                          <w:t>1</w:t>
                        </w:r>
                      </w:p>
                    </w:tc>
                    <w:tc>
                      <w:tcPr>
                        <w:tcW w:w="1127" w:type="dxa"/>
                      </w:tcPr>
                      <w:p>
                        <w:pPr>
                          <w:pStyle w:val="TableParagraph"/>
                          <w:spacing w:before="2"/>
                          <w:ind w:right="167"/>
                          <w:jc w:val="right"/>
                          <w:rPr>
                            <w:sz w:val="16"/>
                          </w:rPr>
                        </w:pPr>
                        <w:r>
                          <w:rPr>
                            <w:w w:val="120"/>
                            <w:sz w:val="16"/>
                          </w:rPr>
                          <w:t>269.11</w:t>
                        </w:r>
                      </w:p>
                    </w:tc>
                    <w:tc>
                      <w:tcPr>
                        <w:tcW w:w="891" w:type="dxa"/>
                      </w:tcPr>
                      <w:p>
                        <w:pPr>
                          <w:pStyle w:val="TableParagraph"/>
                          <w:spacing w:before="2"/>
                          <w:ind w:right="89"/>
                          <w:jc w:val="right"/>
                          <w:rPr>
                            <w:sz w:val="16"/>
                          </w:rPr>
                        </w:pPr>
                        <w:r>
                          <w:rPr>
                            <w:w w:val="120"/>
                            <w:sz w:val="16"/>
                          </w:rPr>
                          <w:t>39.91</w:t>
                        </w:r>
                      </w:p>
                    </w:tc>
                    <w:tc>
                      <w:tcPr>
                        <w:tcW w:w="1036" w:type="dxa"/>
                      </w:tcPr>
                      <w:p>
                        <w:pPr>
                          <w:pStyle w:val="TableParagraph"/>
                          <w:spacing w:before="2"/>
                          <w:ind w:right="155"/>
                          <w:jc w:val="right"/>
                          <w:rPr>
                            <w:sz w:val="16"/>
                          </w:rPr>
                        </w:pPr>
                        <w:r>
                          <w:rPr>
                            <w:w w:val="120"/>
                            <w:sz w:val="16"/>
                          </w:rPr>
                          <w:t>0.00</w:t>
                        </w:r>
                      </w:p>
                    </w:tc>
                    <w:tc>
                      <w:tcPr>
                        <w:tcW w:w="1002" w:type="dxa"/>
                      </w:tcPr>
                      <w:p>
                        <w:pPr>
                          <w:pStyle w:val="TableParagraph"/>
                          <w:spacing w:before="2"/>
                          <w:ind w:right="123"/>
                          <w:jc w:val="right"/>
                          <w:rPr>
                            <w:sz w:val="16"/>
                          </w:rPr>
                        </w:pPr>
                        <w:r>
                          <w:rPr>
                            <w:w w:val="120"/>
                            <w:sz w:val="16"/>
                          </w:rPr>
                          <w:t>(14.14)</w:t>
                        </w:r>
                      </w:p>
                    </w:tc>
                    <w:tc>
                      <w:tcPr>
                        <w:tcW w:w="969" w:type="dxa"/>
                      </w:tcPr>
                      <w:p>
                        <w:pPr>
                          <w:pStyle w:val="TableParagraph"/>
                          <w:spacing w:before="2"/>
                          <w:ind w:right="123"/>
                          <w:jc w:val="right"/>
                          <w:rPr>
                            <w:sz w:val="16"/>
                          </w:rPr>
                        </w:pPr>
                        <w:r>
                          <w:rPr>
                            <w:w w:val="120"/>
                            <w:sz w:val="16"/>
                          </w:rPr>
                          <w:t>(11.82)</w:t>
                        </w:r>
                      </w:p>
                    </w:tc>
                    <w:tc>
                      <w:tcPr>
                        <w:tcW w:w="865" w:type="dxa"/>
                      </w:tcPr>
                      <w:p>
                        <w:pPr>
                          <w:pStyle w:val="TableParagraph"/>
                          <w:spacing w:before="2"/>
                          <w:ind w:right="18"/>
                          <w:jc w:val="right"/>
                          <w:rPr>
                            <w:sz w:val="16"/>
                          </w:rPr>
                        </w:pPr>
                        <w:r>
                          <w:rPr>
                            <w:w w:val="120"/>
                            <w:sz w:val="16"/>
                          </w:rPr>
                          <w:t>(13.38)</w:t>
                        </w:r>
                      </w:p>
                    </w:tc>
                  </w:tr>
                  <w:tr>
                    <w:trPr>
                      <w:trHeight w:val="207" w:hRule="exact"/>
                    </w:trPr>
                    <w:tc>
                      <w:tcPr>
                        <w:tcW w:w="1406" w:type="dxa"/>
                      </w:tcPr>
                      <w:p>
                        <w:pPr>
                          <w:pStyle w:val="TableParagraph"/>
                          <w:spacing w:before="2"/>
                          <w:ind w:left="73"/>
                          <w:rPr>
                            <w:sz w:val="16"/>
                          </w:rPr>
                        </w:pPr>
                        <w:r>
                          <w:rPr>
                            <w:w w:val="121"/>
                            <w:sz w:val="16"/>
                          </w:rPr>
                          <w:t>2</w:t>
                        </w:r>
                      </w:p>
                    </w:tc>
                    <w:tc>
                      <w:tcPr>
                        <w:tcW w:w="1127" w:type="dxa"/>
                      </w:tcPr>
                      <w:p>
                        <w:pPr>
                          <w:pStyle w:val="TableParagraph"/>
                          <w:spacing w:before="2"/>
                          <w:ind w:right="167"/>
                          <w:jc w:val="right"/>
                          <w:rPr>
                            <w:sz w:val="16"/>
                          </w:rPr>
                        </w:pPr>
                        <w:r>
                          <w:rPr>
                            <w:w w:val="120"/>
                            <w:sz w:val="16"/>
                          </w:rPr>
                          <w:t>304.17</w:t>
                        </w:r>
                      </w:p>
                    </w:tc>
                    <w:tc>
                      <w:tcPr>
                        <w:tcW w:w="891" w:type="dxa"/>
                      </w:tcPr>
                      <w:p>
                        <w:pPr>
                          <w:pStyle w:val="TableParagraph"/>
                          <w:spacing w:before="2"/>
                          <w:ind w:right="89"/>
                          <w:jc w:val="right"/>
                          <w:rPr>
                            <w:sz w:val="16"/>
                          </w:rPr>
                        </w:pPr>
                        <w:r>
                          <w:rPr>
                            <w:w w:val="120"/>
                            <w:sz w:val="16"/>
                          </w:rPr>
                          <w:t>36.18</w:t>
                        </w:r>
                      </w:p>
                    </w:tc>
                    <w:tc>
                      <w:tcPr>
                        <w:tcW w:w="1036" w:type="dxa"/>
                      </w:tcPr>
                      <w:p>
                        <w:pPr>
                          <w:pStyle w:val="TableParagraph"/>
                          <w:spacing w:before="2"/>
                          <w:ind w:right="155"/>
                          <w:jc w:val="right"/>
                          <w:rPr>
                            <w:sz w:val="16"/>
                          </w:rPr>
                        </w:pPr>
                        <w:r>
                          <w:rPr>
                            <w:w w:val="120"/>
                            <w:sz w:val="16"/>
                          </w:rPr>
                          <w:t>0.00</w:t>
                        </w:r>
                      </w:p>
                    </w:tc>
                    <w:tc>
                      <w:tcPr>
                        <w:tcW w:w="1002" w:type="dxa"/>
                      </w:tcPr>
                      <w:p>
                        <w:pPr>
                          <w:pStyle w:val="TableParagraph"/>
                          <w:spacing w:before="2"/>
                          <w:ind w:right="123"/>
                          <w:jc w:val="right"/>
                          <w:rPr>
                            <w:sz w:val="16"/>
                          </w:rPr>
                        </w:pPr>
                        <w:r>
                          <w:rPr>
                            <w:w w:val="120"/>
                            <w:sz w:val="16"/>
                          </w:rPr>
                          <w:t>(14.78)</w:t>
                        </w:r>
                      </w:p>
                    </w:tc>
                    <w:tc>
                      <w:tcPr>
                        <w:tcW w:w="969" w:type="dxa"/>
                      </w:tcPr>
                      <w:p>
                        <w:pPr>
                          <w:pStyle w:val="TableParagraph"/>
                          <w:spacing w:before="2"/>
                          <w:ind w:right="123"/>
                          <w:jc w:val="right"/>
                          <w:rPr>
                            <w:sz w:val="16"/>
                          </w:rPr>
                        </w:pPr>
                        <w:r>
                          <w:rPr>
                            <w:w w:val="120"/>
                            <w:sz w:val="16"/>
                          </w:rPr>
                          <w:t>(11.32)</w:t>
                        </w:r>
                      </w:p>
                    </w:tc>
                    <w:tc>
                      <w:tcPr>
                        <w:tcW w:w="865" w:type="dxa"/>
                      </w:tcPr>
                      <w:p>
                        <w:pPr>
                          <w:pStyle w:val="TableParagraph"/>
                          <w:spacing w:before="2"/>
                          <w:ind w:right="18"/>
                          <w:jc w:val="right"/>
                          <w:rPr>
                            <w:sz w:val="16"/>
                          </w:rPr>
                        </w:pPr>
                        <w:r>
                          <w:rPr>
                            <w:w w:val="120"/>
                            <w:sz w:val="16"/>
                          </w:rPr>
                          <w:t>(13.65)</w:t>
                        </w:r>
                      </w:p>
                    </w:tc>
                  </w:tr>
                  <w:tr>
                    <w:trPr>
                      <w:trHeight w:val="207" w:hRule="exact"/>
                    </w:trPr>
                    <w:tc>
                      <w:tcPr>
                        <w:tcW w:w="1406" w:type="dxa"/>
                      </w:tcPr>
                      <w:p>
                        <w:pPr>
                          <w:pStyle w:val="TableParagraph"/>
                          <w:spacing w:before="2"/>
                          <w:ind w:left="73"/>
                          <w:rPr>
                            <w:sz w:val="16"/>
                          </w:rPr>
                        </w:pPr>
                        <w:r>
                          <w:rPr>
                            <w:w w:val="121"/>
                            <w:sz w:val="16"/>
                          </w:rPr>
                          <w:t>3</w:t>
                        </w:r>
                      </w:p>
                    </w:tc>
                    <w:tc>
                      <w:tcPr>
                        <w:tcW w:w="1127" w:type="dxa"/>
                      </w:tcPr>
                      <w:p>
                        <w:pPr>
                          <w:pStyle w:val="TableParagraph"/>
                          <w:spacing w:before="2"/>
                          <w:ind w:right="167"/>
                          <w:jc w:val="right"/>
                          <w:rPr>
                            <w:sz w:val="16"/>
                          </w:rPr>
                        </w:pPr>
                        <w:r>
                          <w:rPr>
                            <w:w w:val="120"/>
                            <w:sz w:val="16"/>
                          </w:rPr>
                          <w:t>342.57</w:t>
                        </w:r>
                      </w:p>
                    </w:tc>
                    <w:tc>
                      <w:tcPr>
                        <w:tcW w:w="891" w:type="dxa"/>
                      </w:tcPr>
                      <w:p>
                        <w:pPr>
                          <w:pStyle w:val="TableParagraph"/>
                          <w:spacing w:before="2"/>
                          <w:ind w:right="89"/>
                          <w:jc w:val="right"/>
                          <w:rPr>
                            <w:sz w:val="16"/>
                          </w:rPr>
                        </w:pPr>
                        <w:r>
                          <w:rPr>
                            <w:w w:val="120"/>
                            <w:sz w:val="16"/>
                          </w:rPr>
                          <w:t>27.25</w:t>
                        </w:r>
                      </w:p>
                    </w:tc>
                    <w:tc>
                      <w:tcPr>
                        <w:tcW w:w="1036" w:type="dxa"/>
                      </w:tcPr>
                      <w:p>
                        <w:pPr>
                          <w:pStyle w:val="TableParagraph"/>
                          <w:spacing w:before="2"/>
                          <w:ind w:right="155"/>
                          <w:jc w:val="right"/>
                          <w:rPr>
                            <w:sz w:val="16"/>
                          </w:rPr>
                        </w:pPr>
                        <w:r>
                          <w:rPr>
                            <w:w w:val="120"/>
                            <w:sz w:val="16"/>
                          </w:rPr>
                          <w:t>0.00</w:t>
                        </w:r>
                      </w:p>
                    </w:tc>
                    <w:tc>
                      <w:tcPr>
                        <w:tcW w:w="1002" w:type="dxa"/>
                      </w:tcPr>
                      <w:p>
                        <w:pPr>
                          <w:pStyle w:val="TableParagraph"/>
                          <w:spacing w:before="2"/>
                          <w:ind w:right="123"/>
                          <w:jc w:val="right"/>
                          <w:rPr>
                            <w:sz w:val="16"/>
                          </w:rPr>
                        </w:pPr>
                        <w:r>
                          <w:rPr>
                            <w:w w:val="120"/>
                            <w:sz w:val="16"/>
                          </w:rPr>
                          <w:t>(15.65)</w:t>
                        </w:r>
                      </w:p>
                    </w:tc>
                    <w:tc>
                      <w:tcPr>
                        <w:tcW w:w="969" w:type="dxa"/>
                      </w:tcPr>
                      <w:p>
                        <w:pPr>
                          <w:pStyle w:val="TableParagraph"/>
                          <w:spacing w:before="2"/>
                          <w:ind w:right="123"/>
                          <w:jc w:val="right"/>
                          <w:rPr>
                            <w:sz w:val="16"/>
                          </w:rPr>
                        </w:pPr>
                        <w:r>
                          <w:rPr>
                            <w:w w:val="120"/>
                            <w:sz w:val="16"/>
                          </w:rPr>
                          <w:t>(11.02)</w:t>
                        </w:r>
                      </w:p>
                    </w:tc>
                    <w:tc>
                      <w:tcPr>
                        <w:tcW w:w="865" w:type="dxa"/>
                      </w:tcPr>
                      <w:p>
                        <w:pPr>
                          <w:pStyle w:val="TableParagraph"/>
                          <w:spacing w:before="2"/>
                          <w:ind w:right="18"/>
                          <w:jc w:val="right"/>
                          <w:rPr>
                            <w:sz w:val="16"/>
                          </w:rPr>
                        </w:pPr>
                        <w:r>
                          <w:rPr>
                            <w:w w:val="120"/>
                            <w:sz w:val="16"/>
                          </w:rPr>
                          <w:t>(14.14)</w:t>
                        </w:r>
                      </w:p>
                    </w:tc>
                  </w:tr>
                  <w:tr>
                    <w:trPr>
                      <w:trHeight w:val="206" w:hRule="exact"/>
                    </w:trPr>
                    <w:tc>
                      <w:tcPr>
                        <w:tcW w:w="1406" w:type="dxa"/>
                        <w:tcBorders>
                          <w:bottom w:val="double" w:sz="4" w:space="0" w:color="000000"/>
                        </w:tcBorders>
                      </w:tcPr>
                      <w:p>
                        <w:pPr>
                          <w:pStyle w:val="TableParagraph"/>
                          <w:spacing w:before="2"/>
                          <w:ind w:left="73"/>
                          <w:rPr>
                            <w:sz w:val="16"/>
                          </w:rPr>
                        </w:pPr>
                        <w:r>
                          <w:rPr>
                            <w:w w:val="121"/>
                            <w:sz w:val="16"/>
                          </w:rPr>
                          <w:t>4</w:t>
                        </w:r>
                      </w:p>
                    </w:tc>
                    <w:tc>
                      <w:tcPr>
                        <w:tcW w:w="1127" w:type="dxa"/>
                        <w:tcBorders>
                          <w:bottom w:val="double" w:sz="4" w:space="0" w:color="000000"/>
                        </w:tcBorders>
                      </w:tcPr>
                      <w:p>
                        <w:pPr>
                          <w:pStyle w:val="TableParagraph"/>
                          <w:spacing w:before="2"/>
                          <w:ind w:right="167"/>
                          <w:jc w:val="right"/>
                          <w:rPr>
                            <w:sz w:val="16"/>
                          </w:rPr>
                        </w:pPr>
                        <w:r>
                          <w:rPr>
                            <w:w w:val="120"/>
                            <w:sz w:val="16"/>
                          </w:rPr>
                          <w:t>443.86</w:t>
                        </w:r>
                      </w:p>
                    </w:tc>
                    <w:tc>
                      <w:tcPr>
                        <w:tcW w:w="891" w:type="dxa"/>
                        <w:tcBorders>
                          <w:bottom w:val="double" w:sz="4" w:space="0" w:color="000000"/>
                        </w:tcBorders>
                      </w:tcPr>
                      <w:p>
                        <w:pPr>
                          <w:pStyle w:val="TableParagraph"/>
                          <w:spacing w:before="2"/>
                          <w:ind w:right="89"/>
                          <w:jc w:val="right"/>
                          <w:rPr>
                            <w:sz w:val="16"/>
                          </w:rPr>
                        </w:pPr>
                        <w:r>
                          <w:rPr>
                            <w:w w:val="120"/>
                            <w:sz w:val="16"/>
                          </w:rPr>
                          <w:t>39.210*</w:t>
                        </w:r>
                      </w:p>
                    </w:tc>
                    <w:tc>
                      <w:tcPr>
                        <w:tcW w:w="1036" w:type="dxa"/>
                        <w:tcBorders>
                          <w:bottom w:val="double" w:sz="4" w:space="0" w:color="000000"/>
                        </w:tcBorders>
                      </w:tcPr>
                      <w:p>
                        <w:pPr>
                          <w:pStyle w:val="TableParagraph"/>
                          <w:spacing w:before="2"/>
                          <w:ind w:right="156"/>
                          <w:jc w:val="right"/>
                          <w:rPr>
                            <w:sz w:val="16"/>
                          </w:rPr>
                        </w:pPr>
                        <w:r>
                          <w:rPr>
                            <w:w w:val="120"/>
                            <w:sz w:val="16"/>
                          </w:rPr>
                          <w:t>1.78e-14*</w:t>
                        </w:r>
                      </w:p>
                    </w:tc>
                    <w:tc>
                      <w:tcPr>
                        <w:tcW w:w="1002" w:type="dxa"/>
                        <w:tcBorders>
                          <w:bottom w:val="double" w:sz="4" w:space="0" w:color="000000"/>
                        </w:tcBorders>
                      </w:tcPr>
                      <w:p>
                        <w:pPr>
                          <w:pStyle w:val="TableParagraph"/>
                          <w:spacing w:before="2"/>
                          <w:ind w:right="188"/>
                          <w:jc w:val="right"/>
                          <w:rPr>
                            <w:sz w:val="16"/>
                          </w:rPr>
                        </w:pPr>
                        <w:r>
                          <w:rPr>
                            <w:w w:val="120"/>
                            <w:sz w:val="16"/>
                          </w:rPr>
                          <w:t>(20.57)*</w:t>
                        </w:r>
                      </w:p>
                    </w:tc>
                    <w:tc>
                      <w:tcPr>
                        <w:tcW w:w="969" w:type="dxa"/>
                        <w:tcBorders>
                          <w:bottom w:val="double" w:sz="4" w:space="0" w:color="000000"/>
                        </w:tcBorders>
                      </w:tcPr>
                      <w:p>
                        <w:pPr>
                          <w:pStyle w:val="TableParagraph"/>
                          <w:spacing w:before="2"/>
                          <w:ind w:left="125"/>
                          <w:jc w:val="left"/>
                          <w:rPr>
                            <w:sz w:val="16"/>
                          </w:rPr>
                        </w:pPr>
                        <w:r>
                          <w:rPr>
                            <w:w w:val="120"/>
                            <w:sz w:val="16"/>
                          </w:rPr>
                          <w:t>(14.78)*</w:t>
                        </w:r>
                      </w:p>
                    </w:tc>
                    <w:tc>
                      <w:tcPr>
                        <w:tcW w:w="865" w:type="dxa"/>
                        <w:tcBorders>
                          <w:bottom w:val="double" w:sz="4" w:space="0" w:color="000000"/>
                        </w:tcBorders>
                      </w:tcPr>
                      <w:p>
                        <w:pPr>
                          <w:pStyle w:val="TableParagraph"/>
                          <w:spacing w:before="2"/>
                          <w:ind w:left="125"/>
                          <w:jc w:val="left"/>
                          <w:rPr>
                            <w:sz w:val="16"/>
                          </w:rPr>
                        </w:pPr>
                        <w:r>
                          <w:rPr>
                            <w:w w:val="120"/>
                            <w:sz w:val="16"/>
                          </w:rPr>
                          <w:t>(18.68)*</w:t>
                        </w:r>
                      </w:p>
                    </w:tc>
                  </w:tr>
                </w:tbl>
                <w:p>
                  <w:pPr>
                    <w:pStyle w:val="BodyText"/>
                  </w:pPr>
                </w:p>
              </w:txbxContent>
            </v:textbox>
            <w10:wrap type="none"/>
          </v:shape>
        </w:pict>
      </w:r>
      <w:r>
        <w:rPr>
          <w:spacing w:val="-6"/>
          <w:w w:val="120"/>
          <w:sz w:val="16"/>
        </w:rPr>
        <w:t>LogL</w:t>
        <w:tab/>
      </w:r>
      <w:r>
        <w:rPr>
          <w:spacing w:val="-5"/>
          <w:w w:val="120"/>
          <w:sz w:val="16"/>
        </w:rPr>
        <w:t>LR</w:t>
        <w:tab/>
      </w:r>
      <w:r>
        <w:rPr>
          <w:w w:val="120"/>
          <w:sz w:val="16"/>
        </w:rPr>
        <w:t>FPE</w:t>
        <w:tab/>
      </w:r>
      <w:r>
        <w:rPr>
          <w:spacing w:val="-4"/>
          <w:w w:val="120"/>
          <w:sz w:val="16"/>
        </w:rPr>
        <w:t>AIC</w:t>
        <w:tab/>
      </w:r>
      <w:r>
        <w:rPr>
          <w:w w:val="120"/>
          <w:sz w:val="16"/>
        </w:rPr>
        <w:t>SC</w:t>
        <w:tab/>
      </w:r>
      <w:r>
        <w:rPr>
          <w:spacing w:val="-7"/>
          <w:w w:val="120"/>
          <w:sz w:val="16"/>
        </w:rPr>
        <w:t>HQ</w:t>
      </w:r>
    </w:p>
    <w:p>
      <w:pPr>
        <w:spacing w:after="0"/>
        <w:jc w:val="left"/>
        <w:rPr>
          <w:sz w:val="16"/>
        </w:rPr>
        <w:sectPr>
          <w:type w:val="continuous"/>
          <w:pgSz w:w="12250" w:h="15850"/>
          <w:pgMar w:top="1500" w:bottom="280" w:left="1600" w:right="1600"/>
          <w:cols w:num="2" w:equalWidth="0">
            <w:col w:w="1602" w:space="143"/>
            <w:col w:w="7305"/>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7"/>
        </w:rPr>
      </w:pPr>
    </w:p>
    <w:p>
      <w:pPr>
        <w:spacing w:line="271" w:lineRule="auto" w:before="78"/>
        <w:ind w:left="215" w:right="2101" w:firstLine="0"/>
        <w:jc w:val="left"/>
        <w:rPr>
          <w:sz w:val="16"/>
        </w:rPr>
      </w:pPr>
      <w:r>
        <w:rPr>
          <w:spacing w:val="-6"/>
          <w:w w:val="120"/>
          <w:sz w:val="16"/>
        </w:rPr>
        <w:t>*Indica </w:t>
      </w:r>
      <w:r>
        <w:rPr>
          <w:w w:val="120"/>
          <w:sz w:val="16"/>
        </w:rPr>
        <w:t>el </w:t>
      </w:r>
      <w:r>
        <w:rPr>
          <w:spacing w:val="-6"/>
          <w:w w:val="120"/>
          <w:sz w:val="16"/>
        </w:rPr>
        <w:t>rezago </w:t>
      </w:r>
      <w:r>
        <w:rPr>
          <w:spacing w:val="-8"/>
          <w:w w:val="120"/>
          <w:sz w:val="16"/>
        </w:rPr>
        <w:t>óptimo </w:t>
      </w:r>
      <w:r>
        <w:rPr>
          <w:w w:val="120"/>
          <w:sz w:val="16"/>
        </w:rPr>
        <w:t>de </w:t>
      </w:r>
      <w:r>
        <w:rPr>
          <w:spacing w:val="-6"/>
          <w:w w:val="120"/>
          <w:sz w:val="16"/>
        </w:rPr>
        <w:t>selección </w:t>
      </w:r>
      <w:r>
        <w:rPr>
          <w:w w:val="120"/>
          <w:sz w:val="16"/>
        </w:rPr>
        <w:t>de </w:t>
      </w:r>
      <w:r>
        <w:rPr>
          <w:spacing w:val="-4"/>
          <w:w w:val="120"/>
          <w:sz w:val="16"/>
        </w:rPr>
        <w:t>acuerdo </w:t>
      </w:r>
      <w:r>
        <w:rPr>
          <w:w w:val="120"/>
          <w:sz w:val="16"/>
        </w:rPr>
        <w:t>a </w:t>
      </w:r>
      <w:r>
        <w:rPr>
          <w:spacing w:val="-6"/>
          <w:w w:val="120"/>
          <w:sz w:val="16"/>
        </w:rPr>
        <w:t>los </w:t>
      </w:r>
      <w:r>
        <w:rPr>
          <w:spacing w:val="-8"/>
          <w:w w:val="120"/>
          <w:sz w:val="16"/>
        </w:rPr>
        <w:t>distintos </w:t>
      </w:r>
      <w:r>
        <w:rPr>
          <w:spacing w:val="-7"/>
          <w:w w:val="120"/>
          <w:sz w:val="16"/>
        </w:rPr>
        <w:t>criterios </w:t>
      </w:r>
      <w:r>
        <w:rPr>
          <w:w w:val="120"/>
          <w:sz w:val="16"/>
        </w:rPr>
        <w:t>de </w:t>
      </w:r>
      <w:r>
        <w:rPr>
          <w:spacing w:val="-9"/>
          <w:w w:val="120"/>
          <w:sz w:val="16"/>
        </w:rPr>
        <w:t>información:    </w:t>
      </w:r>
      <w:r>
        <w:rPr>
          <w:spacing w:val="-7"/>
          <w:w w:val="120"/>
          <w:sz w:val="16"/>
        </w:rPr>
        <w:t>LR: </w:t>
      </w:r>
      <w:r>
        <w:rPr>
          <w:spacing w:val="-8"/>
          <w:w w:val="120"/>
          <w:sz w:val="16"/>
        </w:rPr>
        <w:t>modificado </w:t>
      </w:r>
      <w:r>
        <w:rPr>
          <w:spacing w:val="-6"/>
          <w:w w:val="120"/>
          <w:sz w:val="16"/>
        </w:rPr>
        <w:t>secuencia, </w:t>
      </w:r>
      <w:r>
        <w:rPr>
          <w:spacing w:val="-4"/>
          <w:w w:val="120"/>
          <w:sz w:val="16"/>
        </w:rPr>
        <w:t>prueba </w:t>
      </w:r>
      <w:r>
        <w:rPr>
          <w:spacing w:val="-6"/>
          <w:w w:val="120"/>
          <w:sz w:val="16"/>
        </w:rPr>
        <w:t>estadística LR </w:t>
      </w:r>
      <w:r>
        <w:rPr>
          <w:w w:val="120"/>
          <w:sz w:val="16"/>
        </w:rPr>
        <w:t>al 5% (cada </w:t>
      </w:r>
      <w:r>
        <w:rPr>
          <w:spacing w:val="-4"/>
          <w:w w:val="120"/>
          <w:sz w:val="16"/>
        </w:rPr>
        <w:t>prueba </w:t>
      </w:r>
      <w:r>
        <w:rPr>
          <w:w w:val="120"/>
          <w:sz w:val="16"/>
        </w:rPr>
        <w:t>al 5% de </w:t>
      </w:r>
      <w:r>
        <w:rPr>
          <w:spacing w:val="-10"/>
          <w:w w:val="120"/>
          <w:sz w:val="16"/>
        </w:rPr>
        <w:t>significancia) </w:t>
      </w:r>
      <w:r>
        <w:rPr>
          <w:spacing w:val="-3"/>
          <w:w w:val="120"/>
          <w:sz w:val="16"/>
        </w:rPr>
        <w:t>FPE: </w:t>
      </w:r>
      <w:r>
        <w:rPr>
          <w:spacing w:val="-5"/>
          <w:w w:val="120"/>
          <w:sz w:val="16"/>
        </w:rPr>
        <w:t>Error </w:t>
      </w:r>
      <w:r>
        <w:rPr>
          <w:spacing w:val="-4"/>
          <w:w w:val="120"/>
          <w:sz w:val="16"/>
        </w:rPr>
        <w:t>predictor</w:t>
      </w:r>
      <w:r>
        <w:rPr>
          <w:spacing w:val="9"/>
          <w:w w:val="120"/>
          <w:sz w:val="16"/>
        </w:rPr>
        <w:t> </w:t>
      </w:r>
      <w:r>
        <w:rPr>
          <w:spacing w:val="-10"/>
          <w:w w:val="120"/>
          <w:sz w:val="16"/>
        </w:rPr>
        <w:t>final</w:t>
      </w:r>
    </w:p>
    <w:p>
      <w:pPr>
        <w:spacing w:line="271" w:lineRule="auto" w:before="0"/>
        <w:ind w:left="215" w:right="5706" w:firstLine="0"/>
        <w:jc w:val="left"/>
        <w:rPr>
          <w:sz w:val="16"/>
        </w:rPr>
      </w:pPr>
      <w:r>
        <w:rPr>
          <w:spacing w:val="-3"/>
          <w:w w:val="120"/>
          <w:sz w:val="16"/>
        </w:rPr>
        <w:t>AIC: </w:t>
      </w:r>
      <w:r>
        <w:rPr>
          <w:spacing w:val="-7"/>
          <w:w w:val="120"/>
          <w:sz w:val="16"/>
        </w:rPr>
        <w:t>Criterio </w:t>
      </w:r>
      <w:r>
        <w:rPr>
          <w:w w:val="120"/>
          <w:sz w:val="16"/>
        </w:rPr>
        <w:t>de </w:t>
      </w:r>
      <w:r>
        <w:rPr>
          <w:spacing w:val="-9"/>
          <w:w w:val="120"/>
          <w:sz w:val="16"/>
        </w:rPr>
        <w:t>información </w:t>
      </w:r>
      <w:r>
        <w:rPr>
          <w:w w:val="120"/>
          <w:sz w:val="16"/>
        </w:rPr>
        <w:t>de </w:t>
      </w:r>
      <w:r>
        <w:rPr>
          <w:spacing w:val="-5"/>
          <w:w w:val="120"/>
          <w:sz w:val="16"/>
        </w:rPr>
        <w:t>Akaike </w:t>
      </w:r>
      <w:r>
        <w:rPr>
          <w:w w:val="120"/>
          <w:sz w:val="16"/>
        </w:rPr>
        <w:t>SC: </w:t>
      </w:r>
      <w:r>
        <w:rPr>
          <w:spacing w:val="-7"/>
          <w:w w:val="120"/>
          <w:sz w:val="16"/>
        </w:rPr>
        <w:t>Criterio </w:t>
      </w:r>
      <w:r>
        <w:rPr>
          <w:w w:val="120"/>
          <w:sz w:val="16"/>
        </w:rPr>
        <w:t>de </w:t>
      </w:r>
      <w:r>
        <w:rPr>
          <w:spacing w:val="-9"/>
          <w:w w:val="120"/>
          <w:sz w:val="16"/>
        </w:rPr>
        <w:t>información </w:t>
      </w:r>
      <w:r>
        <w:rPr>
          <w:w w:val="120"/>
          <w:sz w:val="16"/>
        </w:rPr>
        <w:t>de </w:t>
      </w:r>
      <w:r>
        <w:rPr>
          <w:spacing w:val="-5"/>
          <w:w w:val="120"/>
          <w:sz w:val="16"/>
        </w:rPr>
        <w:t>Schwarz</w:t>
      </w:r>
    </w:p>
    <w:p>
      <w:pPr>
        <w:spacing w:before="0"/>
        <w:ind w:left="215" w:right="0" w:firstLine="0"/>
        <w:jc w:val="left"/>
        <w:rPr>
          <w:sz w:val="16"/>
        </w:rPr>
      </w:pPr>
      <w:r>
        <w:rPr>
          <w:w w:val="120"/>
          <w:sz w:val="16"/>
        </w:rPr>
        <w:t>HQ:  Criterio de información de Hannan-Quinn</w:t>
      </w:r>
    </w:p>
    <w:p>
      <w:pPr>
        <w:pStyle w:val="BodyText"/>
        <w:rPr>
          <w:sz w:val="20"/>
        </w:rPr>
      </w:pPr>
    </w:p>
    <w:p>
      <w:pPr>
        <w:pStyle w:val="BodyText"/>
        <w:rPr>
          <w:sz w:val="20"/>
        </w:rPr>
      </w:pPr>
    </w:p>
    <w:p>
      <w:pPr>
        <w:pStyle w:val="BodyText"/>
        <w:spacing w:before="10"/>
        <w:rPr>
          <w:sz w:val="23"/>
        </w:rPr>
      </w:pPr>
    </w:p>
    <w:p>
      <w:pPr>
        <w:pStyle w:val="BodyText"/>
        <w:spacing w:line="360" w:lineRule="auto" w:before="69"/>
        <w:ind w:left="102" w:right="107"/>
      </w:pPr>
      <w:r>
        <w:rPr/>
        <w:t>Anexo 4.4 B: Selección del tamaño del rezago para modelo B (SVAR en función del balance primario)</w:t>
      </w:r>
    </w:p>
    <w:p>
      <w:pPr>
        <w:spacing w:after="0" w:line="360" w:lineRule="auto"/>
        <w:sectPr>
          <w:type w:val="continuous"/>
          <w:pgSz w:w="12250" w:h="15850"/>
          <w:pgMar w:top="1500" w:bottom="280" w:left="1600" w:right="1600"/>
        </w:sectPr>
      </w:pPr>
    </w:p>
    <w:p>
      <w:pPr>
        <w:spacing w:before="101"/>
        <w:ind w:left="166" w:right="0" w:firstLine="0"/>
        <w:jc w:val="left"/>
        <w:rPr>
          <w:sz w:val="19"/>
        </w:rPr>
      </w:pPr>
      <w:r>
        <w:rPr>
          <w:spacing w:val="-8"/>
          <w:sz w:val="19"/>
        </w:rPr>
        <w:t>Tamaño óptimo </w:t>
      </w:r>
      <w:r>
        <w:rPr>
          <w:sz w:val="19"/>
        </w:rPr>
        <w:t>del</w:t>
      </w:r>
    </w:p>
    <w:p>
      <w:pPr>
        <w:pStyle w:val="BodyText"/>
        <w:spacing w:before="5"/>
        <w:rPr>
          <w:sz w:val="20"/>
        </w:rPr>
      </w:pPr>
      <w:r>
        <w:rPr/>
        <w:br w:type="column"/>
      </w:r>
      <w:r>
        <w:rPr>
          <w:sz w:val="20"/>
        </w:rPr>
      </w:r>
    </w:p>
    <w:p>
      <w:pPr>
        <w:tabs>
          <w:tab w:pos="1194" w:val="left" w:leader="none"/>
          <w:tab w:pos="2093" w:val="left" w:leader="none"/>
          <w:tab w:pos="3039" w:val="left" w:leader="none"/>
          <w:tab w:pos="4020" w:val="left" w:leader="none"/>
          <w:tab w:pos="4954" w:val="left" w:leader="none"/>
        </w:tabs>
        <w:spacing w:before="0"/>
        <w:ind w:left="166" w:right="0" w:firstLine="0"/>
        <w:jc w:val="left"/>
        <w:rPr>
          <w:sz w:val="19"/>
        </w:rPr>
      </w:pPr>
      <w:r>
        <w:rPr/>
        <w:pict>
          <v:shape style="position:absolute;margin-left:87.140091pt;margin-top:7.109004pt;width:355.85pt;height:78.7pt;mso-position-horizontal-relative:page;mso-position-vertical-relative:paragraph;z-index:1854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71"/>
                    <w:gridCol w:w="1146"/>
                    <w:gridCol w:w="822"/>
                    <w:gridCol w:w="1035"/>
                    <w:gridCol w:w="977"/>
                    <w:gridCol w:w="946"/>
                    <w:gridCol w:w="820"/>
                  </w:tblGrid>
                  <w:tr>
                    <w:trPr>
                      <w:trHeight w:val="225" w:hRule="exact"/>
                    </w:trPr>
                    <w:tc>
                      <w:tcPr>
                        <w:tcW w:w="1371" w:type="dxa"/>
                        <w:tcBorders>
                          <w:bottom w:val="double" w:sz="5" w:space="0" w:color="000000"/>
                        </w:tcBorders>
                      </w:tcPr>
                      <w:p>
                        <w:pPr>
                          <w:pStyle w:val="TableParagraph"/>
                          <w:spacing w:line="199" w:lineRule="exact"/>
                          <w:ind w:left="447" w:right="377"/>
                          <w:rPr>
                            <w:sz w:val="19"/>
                          </w:rPr>
                        </w:pPr>
                        <w:r>
                          <w:rPr>
                            <w:sz w:val="19"/>
                          </w:rPr>
                          <w:t>rezago</w:t>
                        </w:r>
                      </w:p>
                    </w:tc>
                    <w:tc>
                      <w:tcPr>
                        <w:tcW w:w="5745" w:type="dxa"/>
                        <w:gridSpan w:val="6"/>
                        <w:tcBorders>
                          <w:bottom w:val="double" w:sz="5" w:space="0" w:color="000000"/>
                        </w:tcBorders>
                      </w:tcPr>
                      <w:p>
                        <w:pPr/>
                      </w:p>
                    </w:tc>
                  </w:tr>
                  <w:tr>
                    <w:trPr>
                      <w:trHeight w:val="283" w:hRule="exact"/>
                    </w:trPr>
                    <w:tc>
                      <w:tcPr>
                        <w:tcW w:w="1371" w:type="dxa"/>
                        <w:tcBorders>
                          <w:top w:val="double" w:sz="5" w:space="0" w:color="000000"/>
                        </w:tcBorders>
                      </w:tcPr>
                      <w:p>
                        <w:pPr>
                          <w:pStyle w:val="TableParagraph"/>
                          <w:spacing w:before="19"/>
                          <w:ind w:left="71"/>
                          <w:rPr>
                            <w:sz w:val="19"/>
                          </w:rPr>
                        </w:pPr>
                        <w:r>
                          <w:rPr>
                            <w:w w:val="100"/>
                            <w:sz w:val="19"/>
                          </w:rPr>
                          <w:t>0</w:t>
                        </w:r>
                      </w:p>
                    </w:tc>
                    <w:tc>
                      <w:tcPr>
                        <w:tcW w:w="1146" w:type="dxa"/>
                        <w:tcBorders>
                          <w:top w:val="double" w:sz="5" w:space="0" w:color="000000"/>
                        </w:tcBorders>
                      </w:tcPr>
                      <w:p>
                        <w:pPr>
                          <w:pStyle w:val="TableParagraph"/>
                          <w:spacing w:before="19"/>
                          <w:ind w:right="210"/>
                          <w:jc w:val="right"/>
                          <w:rPr>
                            <w:sz w:val="19"/>
                          </w:rPr>
                        </w:pPr>
                        <w:r>
                          <w:rPr>
                            <w:sz w:val="19"/>
                          </w:rPr>
                          <w:t>235.44</w:t>
                        </w:r>
                      </w:p>
                    </w:tc>
                    <w:tc>
                      <w:tcPr>
                        <w:tcW w:w="822" w:type="dxa"/>
                        <w:tcBorders>
                          <w:top w:val="double" w:sz="5" w:space="0" w:color="000000"/>
                        </w:tcBorders>
                      </w:tcPr>
                      <w:p>
                        <w:pPr>
                          <w:pStyle w:val="TableParagraph"/>
                          <w:spacing w:before="19"/>
                          <w:ind w:right="126"/>
                          <w:jc w:val="right"/>
                          <w:rPr>
                            <w:sz w:val="19"/>
                          </w:rPr>
                        </w:pPr>
                        <w:r>
                          <w:rPr>
                            <w:sz w:val="19"/>
                          </w:rPr>
                          <w:t>NA</w:t>
                        </w:r>
                      </w:p>
                    </w:tc>
                    <w:tc>
                      <w:tcPr>
                        <w:tcW w:w="1035" w:type="dxa"/>
                        <w:tcBorders>
                          <w:top w:val="double" w:sz="5" w:space="0" w:color="000000"/>
                        </w:tcBorders>
                      </w:tcPr>
                      <w:p>
                        <w:pPr>
                          <w:pStyle w:val="TableParagraph"/>
                          <w:spacing w:before="19"/>
                          <w:ind w:right="175"/>
                          <w:jc w:val="right"/>
                          <w:rPr>
                            <w:sz w:val="19"/>
                          </w:rPr>
                        </w:pPr>
                        <w:r>
                          <w:rPr>
                            <w:sz w:val="19"/>
                          </w:rPr>
                          <w:t>0.00</w:t>
                        </w:r>
                      </w:p>
                    </w:tc>
                    <w:tc>
                      <w:tcPr>
                        <w:tcW w:w="977" w:type="dxa"/>
                        <w:tcBorders>
                          <w:top w:val="double" w:sz="5" w:space="0" w:color="000000"/>
                        </w:tcBorders>
                      </w:tcPr>
                      <w:p>
                        <w:pPr>
                          <w:pStyle w:val="TableParagraph"/>
                          <w:spacing w:before="19"/>
                          <w:ind w:right="144"/>
                          <w:jc w:val="right"/>
                          <w:rPr>
                            <w:sz w:val="19"/>
                          </w:rPr>
                        </w:pPr>
                        <w:r>
                          <w:rPr>
                            <w:sz w:val="19"/>
                          </w:rPr>
                          <w:t>(13.58)</w:t>
                        </w:r>
                      </w:p>
                    </w:tc>
                    <w:tc>
                      <w:tcPr>
                        <w:tcW w:w="946" w:type="dxa"/>
                        <w:tcBorders>
                          <w:top w:val="double" w:sz="5" w:space="0" w:color="000000"/>
                        </w:tcBorders>
                      </w:tcPr>
                      <w:p>
                        <w:pPr>
                          <w:pStyle w:val="TableParagraph"/>
                          <w:spacing w:before="19"/>
                          <w:ind w:right="144"/>
                          <w:jc w:val="right"/>
                          <w:rPr>
                            <w:sz w:val="19"/>
                          </w:rPr>
                        </w:pPr>
                        <w:r>
                          <w:rPr>
                            <w:sz w:val="19"/>
                          </w:rPr>
                          <w:t>(12.42)</w:t>
                        </w:r>
                      </w:p>
                    </w:tc>
                    <w:tc>
                      <w:tcPr>
                        <w:tcW w:w="820" w:type="dxa"/>
                        <w:tcBorders>
                          <w:top w:val="double" w:sz="5" w:space="0" w:color="000000"/>
                        </w:tcBorders>
                      </w:tcPr>
                      <w:p>
                        <w:pPr>
                          <w:pStyle w:val="TableParagraph"/>
                          <w:spacing w:before="19"/>
                          <w:ind w:right="18"/>
                          <w:jc w:val="right"/>
                          <w:rPr>
                            <w:sz w:val="19"/>
                          </w:rPr>
                        </w:pPr>
                        <w:r>
                          <w:rPr>
                            <w:sz w:val="19"/>
                          </w:rPr>
                          <w:t>(13.20)</w:t>
                        </w:r>
                      </w:p>
                    </w:tc>
                  </w:tr>
                  <w:tr>
                    <w:trPr>
                      <w:trHeight w:val="258" w:hRule="exact"/>
                    </w:trPr>
                    <w:tc>
                      <w:tcPr>
                        <w:tcW w:w="1371" w:type="dxa"/>
                      </w:tcPr>
                      <w:p>
                        <w:pPr>
                          <w:pStyle w:val="TableParagraph"/>
                          <w:spacing w:before="11"/>
                          <w:ind w:left="71"/>
                          <w:rPr>
                            <w:sz w:val="19"/>
                          </w:rPr>
                        </w:pPr>
                        <w:r>
                          <w:rPr>
                            <w:w w:val="100"/>
                            <w:sz w:val="19"/>
                          </w:rPr>
                          <w:t>1</w:t>
                        </w:r>
                      </w:p>
                    </w:tc>
                    <w:tc>
                      <w:tcPr>
                        <w:tcW w:w="1146" w:type="dxa"/>
                      </w:tcPr>
                      <w:p>
                        <w:pPr>
                          <w:pStyle w:val="TableParagraph"/>
                          <w:spacing w:before="11"/>
                          <w:ind w:right="210"/>
                          <w:jc w:val="right"/>
                          <w:rPr>
                            <w:sz w:val="19"/>
                          </w:rPr>
                        </w:pPr>
                        <w:r>
                          <w:rPr>
                            <w:sz w:val="19"/>
                          </w:rPr>
                          <w:t>266.62</w:t>
                        </w:r>
                      </w:p>
                    </w:tc>
                    <w:tc>
                      <w:tcPr>
                        <w:tcW w:w="822" w:type="dxa"/>
                      </w:tcPr>
                      <w:p>
                        <w:pPr>
                          <w:pStyle w:val="TableParagraph"/>
                          <w:spacing w:before="11"/>
                          <w:ind w:right="86"/>
                          <w:jc w:val="right"/>
                          <w:rPr>
                            <w:sz w:val="19"/>
                          </w:rPr>
                        </w:pPr>
                        <w:r>
                          <w:rPr>
                            <w:sz w:val="19"/>
                          </w:rPr>
                          <w:t>42.24</w:t>
                        </w:r>
                      </w:p>
                    </w:tc>
                    <w:tc>
                      <w:tcPr>
                        <w:tcW w:w="1035" w:type="dxa"/>
                      </w:tcPr>
                      <w:p>
                        <w:pPr>
                          <w:pStyle w:val="TableParagraph"/>
                          <w:spacing w:before="11"/>
                          <w:ind w:right="175"/>
                          <w:jc w:val="right"/>
                          <w:rPr>
                            <w:sz w:val="19"/>
                          </w:rPr>
                        </w:pPr>
                        <w:r>
                          <w:rPr>
                            <w:sz w:val="19"/>
                          </w:rPr>
                          <w:t>0.00</w:t>
                        </w:r>
                      </w:p>
                    </w:tc>
                    <w:tc>
                      <w:tcPr>
                        <w:tcW w:w="977" w:type="dxa"/>
                      </w:tcPr>
                      <w:p>
                        <w:pPr>
                          <w:pStyle w:val="TableParagraph"/>
                          <w:spacing w:before="11"/>
                          <w:ind w:right="144"/>
                          <w:jc w:val="right"/>
                          <w:rPr>
                            <w:sz w:val="19"/>
                          </w:rPr>
                        </w:pPr>
                        <w:r>
                          <w:rPr>
                            <w:sz w:val="19"/>
                          </w:rPr>
                          <w:t>(13.98)</w:t>
                        </w:r>
                      </w:p>
                    </w:tc>
                    <w:tc>
                      <w:tcPr>
                        <w:tcW w:w="946" w:type="dxa"/>
                      </w:tcPr>
                      <w:p>
                        <w:pPr>
                          <w:pStyle w:val="TableParagraph"/>
                          <w:spacing w:before="11"/>
                          <w:ind w:right="144"/>
                          <w:jc w:val="right"/>
                          <w:rPr>
                            <w:sz w:val="19"/>
                          </w:rPr>
                        </w:pPr>
                        <w:r>
                          <w:rPr>
                            <w:sz w:val="19"/>
                          </w:rPr>
                          <w:t>(11.66)</w:t>
                        </w:r>
                      </w:p>
                    </w:tc>
                    <w:tc>
                      <w:tcPr>
                        <w:tcW w:w="820" w:type="dxa"/>
                      </w:tcPr>
                      <w:p>
                        <w:pPr>
                          <w:pStyle w:val="TableParagraph"/>
                          <w:spacing w:before="11"/>
                          <w:ind w:right="18"/>
                          <w:jc w:val="right"/>
                          <w:rPr>
                            <w:sz w:val="19"/>
                          </w:rPr>
                        </w:pPr>
                        <w:r>
                          <w:rPr>
                            <w:sz w:val="19"/>
                          </w:rPr>
                          <w:t>(13.22)</w:t>
                        </w:r>
                      </w:p>
                    </w:tc>
                  </w:tr>
                  <w:tr>
                    <w:trPr>
                      <w:trHeight w:val="258" w:hRule="exact"/>
                    </w:trPr>
                    <w:tc>
                      <w:tcPr>
                        <w:tcW w:w="1371" w:type="dxa"/>
                      </w:tcPr>
                      <w:p>
                        <w:pPr>
                          <w:pStyle w:val="TableParagraph"/>
                          <w:spacing w:before="11"/>
                          <w:ind w:left="71"/>
                          <w:rPr>
                            <w:sz w:val="19"/>
                          </w:rPr>
                        </w:pPr>
                        <w:r>
                          <w:rPr>
                            <w:w w:val="100"/>
                            <w:sz w:val="19"/>
                          </w:rPr>
                          <w:t>2</w:t>
                        </w:r>
                      </w:p>
                    </w:tc>
                    <w:tc>
                      <w:tcPr>
                        <w:tcW w:w="1146" w:type="dxa"/>
                      </w:tcPr>
                      <w:p>
                        <w:pPr>
                          <w:pStyle w:val="TableParagraph"/>
                          <w:spacing w:before="11"/>
                          <w:ind w:right="210"/>
                          <w:jc w:val="right"/>
                          <w:rPr>
                            <w:sz w:val="19"/>
                          </w:rPr>
                        </w:pPr>
                        <w:r>
                          <w:rPr>
                            <w:sz w:val="19"/>
                          </w:rPr>
                          <w:t>295.51</w:t>
                        </w:r>
                      </w:p>
                    </w:tc>
                    <w:tc>
                      <w:tcPr>
                        <w:tcW w:w="822" w:type="dxa"/>
                      </w:tcPr>
                      <w:p>
                        <w:pPr>
                          <w:pStyle w:val="TableParagraph"/>
                          <w:spacing w:before="11"/>
                          <w:ind w:right="86"/>
                          <w:jc w:val="right"/>
                          <w:rPr>
                            <w:sz w:val="19"/>
                          </w:rPr>
                        </w:pPr>
                        <w:r>
                          <w:rPr>
                            <w:sz w:val="19"/>
                          </w:rPr>
                          <w:t>29.82</w:t>
                        </w:r>
                      </w:p>
                    </w:tc>
                    <w:tc>
                      <w:tcPr>
                        <w:tcW w:w="1035" w:type="dxa"/>
                      </w:tcPr>
                      <w:p>
                        <w:pPr>
                          <w:pStyle w:val="TableParagraph"/>
                          <w:spacing w:before="11"/>
                          <w:ind w:right="175"/>
                          <w:jc w:val="right"/>
                          <w:rPr>
                            <w:sz w:val="19"/>
                          </w:rPr>
                        </w:pPr>
                        <w:r>
                          <w:rPr>
                            <w:sz w:val="19"/>
                          </w:rPr>
                          <w:t>0.00</w:t>
                        </w:r>
                      </w:p>
                    </w:tc>
                    <w:tc>
                      <w:tcPr>
                        <w:tcW w:w="977" w:type="dxa"/>
                      </w:tcPr>
                      <w:p>
                        <w:pPr>
                          <w:pStyle w:val="TableParagraph"/>
                          <w:spacing w:before="11"/>
                          <w:ind w:right="144"/>
                          <w:jc w:val="right"/>
                          <w:rPr>
                            <w:sz w:val="19"/>
                          </w:rPr>
                        </w:pPr>
                        <w:r>
                          <w:rPr>
                            <w:sz w:val="19"/>
                          </w:rPr>
                          <w:t>(14.23)</w:t>
                        </w:r>
                      </w:p>
                    </w:tc>
                    <w:tc>
                      <w:tcPr>
                        <w:tcW w:w="946" w:type="dxa"/>
                      </w:tcPr>
                      <w:p>
                        <w:pPr>
                          <w:pStyle w:val="TableParagraph"/>
                          <w:spacing w:before="11"/>
                          <w:ind w:right="144"/>
                          <w:jc w:val="right"/>
                          <w:rPr>
                            <w:sz w:val="19"/>
                          </w:rPr>
                        </w:pPr>
                        <w:r>
                          <w:rPr>
                            <w:sz w:val="19"/>
                          </w:rPr>
                          <w:t>(10.76)</w:t>
                        </w:r>
                      </w:p>
                    </w:tc>
                    <w:tc>
                      <w:tcPr>
                        <w:tcW w:w="820" w:type="dxa"/>
                      </w:tcPr>
                      <w:p>
                        <w:pPr>
                          <w:pStyle w:val="TableParagraph"/>
                          <w:spacing w:before="11"/>
                          <w:ind w:right="18"/>
                          <w:jc w:val="right"/>
                          <w:rPr>
                            <w:sz w:val="19"/>
                          </w:rPr>
                        </w:pPr>
                        <w:r>
                          <w:rPr>
                            <w:sz w:val="19"/>
                          </w:rPr>
                          <w:t>(13.10)</w:t>
                        </w:r>
                      </w:p>
                    </w:tc>
                  </w:tr>
                  <w:tr>
                    <w:trPr>
                      <w:trHeight w:val="258" w:hRule="exact"/>
                    </w:trPr>
                    <w:tc>
                      <w:tcPr>
                        <w:tcW w:w="1371" w:type="dxa"/>
                      </w:tcPr>
                      <w:p>
                        <w:pPr>
                          <w:pStyle w:val="TableParagraph"/>
                          <w:spacing w:before="11"/>
                          <w:ind w:left="71"/>
                          <w:rPr>
                            <w:sz w:val="19"/>
                          </w:rPr>
                        </w:pPr>
                        <w:r>
                          <w:rPr>
                            <w:w w:val="100"/>
                            <w:sz w:val="19"/>
                          </w:rPr>
                          <w:t>3</w:t>
                        </w:r>
                      </w:p>
                    </w:tc>
                    <w:tc>
                      <w:tcPr>
                        <w:tcW w:w="1146" w:type="dxa"/>
                      </w:tcPr>
                      <w:p>
                        <w:pPr>
                          <w:pStyle w:val="TableParagraph"/>
                          <w:spacing w:before="11"/>
                          <w:ind w:right="210"/>
                          <w:jc w:val="right"/>
                          <w:rPr>
                            <w:sz w:val="19"/>
                          </w:rPr>
                        </w:pPr>
                        <w:r>
                          <w:rPr>
                            <w:sz w:val="19"/>
                          </w:rPr>
                          <w:t>358.41</w:t>
                        </w:r>
                      </w:p>
                    </w:tc>
                    <w:tc>
                      <w:tcPr>
                        <w:tcW w:w="822" w:type="dxa"/>
                      </w:tcPr>
                      <w:p>
                        <w:pPr>
                          <w:pStyle w:val="TableParagraph"/>
                          <w:spacing w:before="11"/>
                          <w:ind w:right="87"/>
                          <w:jc w:val="right"/>
                          <w:rPr>
                            <w:sz w:val="19"/>
                          </w:rPr>
                        </w:pPr>
                        <w:r>
                          <w:rPr>
                            <w:sz w:val="19"/>
                          </w:rPr>
                          <w:t>44.63*</w:t>
                        </w:r>
                      </w:p>
                    </w:tc>
                    <w:tc>
                      <w:tcPr>
                        <w:tcW w:w="1035" w:type="dxa"/>
                      </w:tcPr>
                      <w:p>
                        <w:pPr>
                          <w:pStyle w:val="TableParagraph"/>
                          <w:spacing w:before="11"/>
                          <w:ind w:right="175"/>
                          <w:jc w:val="right"/>
                          <w:rPr>
                            <w:sz w:val="19"/>
                          </w:rPr>
                        </w:pPr>
                        <w:r>
                          <w:rPr>
                            <w:sz w:val="19"/>
                          </w:rPr>
                          <w:t>0.00</w:t>
                        </w:r>
                      </w:p>
                    </w:tc>
                    <w:tc>
                      <w:tcPr>
                        <w:tcW w:w="977" w:type="dxa"/>
                      </w:tcPr>
                      <w:p>
                        <w:pPr>
                          <w:pStyle w:val="TableParagraph"/>
                          <w:spacing w:before="11"/>
                          <w:ind w:right="144"/>
                          <w:jc w:val="right"/>
                          <w:rPr>
                            <w:sz w:val="19"/>
                          </w:rPr>
                        </w:pPr>
                        <w:r>
                          <w:rPr>
                            <w:sz w:val="19"/>
                          </w:rPr>
                          <w:t>(16.67)</w:t>
                        </w:r>
                      </w:p>
                    </w:tc>
                    <w:tc>
                      <w:tcPr>
                        <w:tcW w:w="946" w:type="dxa"/>
                      </w:tcPr>
                      <w:p>
                        <w:pPr>
                          <w:pStyle w:val="TableParagraph"/>
                          <w:spacing w:before="11"/>
                          <w:ind w:right="144"/>
                          <w:jc w:val="right"/>
                          <w:rPr>
                            <w:sz w:val="19"/>
                          </w:rPr>
                        </w:pPr>
                        <w:r>
                          <w:rPr>
                            <w:sz w:val="19"/>
                          </w:rPr>
                          <w:t>(12.05)</w:t>
                        </w:r>
                      </w:p>
                    </w:tc>
                    <w:tc>
                      <w:tcPr>
                        <w:tcW w:w="820" w:type="dxa"/>
                      </w:tcPr>
                      <w:p>
                        <w:pPr>
                          <w:pStyle w:val="TableParagraph"/>
                          <w:spacing w:before="11"/>
                          <w:ind w:right="18"/>
                          <w:jc w:val="right"/>
                          <w:rPr>
                            <w:sz w:val="19"/>
                          </w:rPr>
                        </w:pPr>
                        <w:r>
                          <w:rPr>
                            <w:sz w:val="19"/>
                          </w:rPr>
                          <w:t>(15.16)</w:t>
                        </w:r>
                      </w:p>
                    </w:tc>
                  </w:tr>
                  <w:tr>
                    <w:trPr>
                      <w:trHeight w:val="256" w:hRule="exact"/>
                    </w:trPr>
                    <w:tc>
                      <w:tcPr>
                        <w:tcW w:w="1371" w:type="dxa"/>
                        <w:tcBorders>
                          <w:bottom w:val="double" w:sz="5" w:space="0" w:color="000000"/>
                        </w:tcBorders>
                      </w:tcPr>
                      <w:p>
                        <w:pPr>
                          <w:pStyle w:val="TableParagraph"/>
                          <w:spacing w:before="11"/>
                          <w:ind w:left="71"/>
                          <w:rPr>
                            <w:sz w:val="19"/>
                          </w:rPr>
                        </w:pPr>
                        <w:r>
                          <w:rPr>
                            <w:w w:val="100"/>
                            <w:sz w:val="19"/>
                          </w:rPr>
                          <w:t>4</w:t>
                        </w:r>
                      </w:p>
                    </w:tc>
                    <w:tc>
                      <w:tcPr>
                        <w:tcW w:w="1146" w:type="dxa"/>
                        <w:tcBorders>
                          <w:bottom w:val="double" w:sz="5" w:space="0" w:color="000000"/>
                        </w:tcBorders>
                      </w:tcPr>
                      <w:p>
                        <w:pPr>
                          <w:pStyle w:val="TableParagraph"/>
                          <w:spacing w:before="11"/>
                          <w:ind w:right="210"/>
                          <w:jc w:val="right"/>
                          <w:rPr>
                            <w:sz w:val="19"/>
                          </w:rPr>
                        </w:pPr>
                        <w:r>
                          <w:rPr>
                            <w:sz w:val="19"/>
                          </w:rPr>
                          <w:t>421.91</w:t>
                        </w:r>
                      </w:p>
                    </w:tc>
                    <w:tc>
                      <w:tcPr>
                        <w:tcW w:w="822" w:type="dxa"/>
                        <w:tcBorders>
                          <w:bottom w:val="double" w:sz="5" w:space="0" w:color="000000"/>
                        </w:tcBorders>
                      </w:tcPr>
                      <w:p>
                        <w:pPr>
                          <w:pStyle w:val="TableParagraph"/>
                          <w:spacing w:before="11"/>
                          <w:ind w:right="86"/>
                          <w:jc w:val="right"/>
                          <w:rPr>
                            <w:sz w:val="19"/>
                          </w:rPr>
                        </w:pPr>
                        <w:r>
                          <w:rPr>
                            <w:sz w:val="19"/>
                          </w:rPr>
                          <w:t>24.58</w:t>
                        </w:r>
                      </w:p>
                    </w:tc>
                    <w:tc>
                      <w:tcPr>
                        <w:tcW w:w="1035" w:type="dxa"/>
                        <w:tcBorders>
                          <w:bottom w:val="double" w:sz="5" w:space="0" w:color="000000"/>
                        </w:tcBorders>
                      </w:tcPr>
                      <w:p>
                        <w:pPr>
                          <w:pStyle w:val="TableParagraph"/>
                          <w:spacing w:before="11"/>
                          <w:ind w:right="176"/>
                          <w:jc w:val="right"/>
                          <w:rPr>
                            <w:sz w:val="19"/>
                          </w:rPr>
                        </w:pPr>
                        <w:r>
                          <w:rPr>
                            <w:sz w:val="19"/>
                          </w:rPr>
                          <w:t>7.35e-14*</w:t>
                        </w:r>
                      </w:p>
                    </w:tc>
                    <w:tc>
                      <w:tcPr>
                        <w:tcW w:w="977" w:type="dxa"/>
                        <w:tcBorders>
                          <w:bottom w:val="double" w:sz="5" w:space="0" w:color="000000"/>
                        </w:tcBorders>
                      </w:tcPr>
                      <w:p>
                        <w:pPr>
                          <w:pStyle w:val="TableParagraph"/>
                          <w:spacing w:before="11"/>
                          <w:ind w:right="207"/>
                          <w:jc w:val="right"/>
                          <w:rPr>
                            <w:sz w:val="19"/>
                          </w:rPr>
                        </w:pPr>
                        <w:r>
                          <w:rPr>
                            <w:sz w:val="19"/>
                          </w:rPr>
                          <w:t>-19.15*</w:t>
                        </w:r>
                      </w:p>
                    </w:tc>
                    <w:tc>
                      <w:tcPr>
                        <w:tcW w:w="946" w:type="dxa"/>
                        <w:tcBorders>
                          <w:bottom w:val="double" w:sz="5" w:space="0" w:color="000000"/>
                        </w:tcBorders>
                      </w:tcPr>
                      <w:p>
                        <w:pPr>
                          <w:pStyle w:val="TableParagraph"/>
                          <w:spacing w:before="11"/>
                          <w:ind w:left="146"/>
                          <w:jc w:val="left"/>
                          <w:rPr>
                            <w:sz w:val="19"/>
                          </w:rPr>
                        </w:pPr>
                        <w:r>
                          <w:rPr>
                            <w:sz w:val="19"/>
                          </w:rPr>
                          <w:t>-13.37*</w:t>
                        </w:r>
                      </w:p>
                    </w:tc>
                    <w:tc>
                      <w:tcPr>
                        <w:tcW w:w="820" w:type="dxa"/>
                        <w:tcBorders>
                          <w:bottom w:val="double" w:sz="5" w:space="0" w:color="000000"/>
                        </w:tcBorders>
                      </w:tcPr>
                      <w:p>
                        <w:pPr>
                          <w:pStyle w:val="TableParagraph"/>
                          <w:spacing w:before="11"/>
                          <w:ind w:right="81"/>
                          <w:jc w:val="right"/>
                          <w:rPr>
                            <w:sz w:val="19"/>
                          </w:rPr>
                        </w:pPr>
                        <w:r>
                          <w:rPr>
                            <w:sz w:val="19"/>
                          </w:rPr>
                          <w:t>-17.27*</w:t>
                        </w:r>
                      </w:p>
                    </w:tc>
                  </w:tr>
                </w:tbl>
                <w:p>
                  <w:pPr>
                    <w:pStyle w:val="BodyText"/>
                  </w:pPr>
                </w:p>
              </w:txbxContent>
            </v:textbox>
            <w10:wrap type="none"/>
          </v:shape>
        </w:pict>
      </w:r>
      <w:r>
        <w:rPr>
          <w:spacing w:val="-6"/>
          <w:sz w:val="19"/>
        </w:rPr>
        <w:t>LogL</w:t>
        <w:tab/>
      </w:r>
      <w:r>
        <w:rPr>
          <w:spacing w:val="-5"/>
          <w:sz w:val="19"/>
        </w:rPr>
        <w:t>LR</w:t>
        <w:tab/>
      </w:r>
      <w:r>
        <w:rPr>
          <w:sz w:val="19"/>
        </w:rPr>
        <w:t>FPE</w:t>
        <w:tab/>
      </w:r>
      <w:r>
        <w:rPr>
          <w:spacing w:val="-5"/>
          <w:sz w:val="19"/>
        </w:rPr>
        <w:t>AIC</w:t>
        <w:tab/>
      </w:r>
      <w:r>
        <w:rPr>
          <w:sz w:val="19"/>
        </w:rPr>
        <w:t>SC</w:t>
        <w:tab/>
      </w:r>
      <w:r>
        <w:rPr>
          <w:spacing w:val="-7"/>
          <w:sz w:val="19"/>
        </w:rPr>
        <w:t>HQ</w:t>
      </w:r>
    </w:p>
    <w:p>
      <w:pPr>
        <w:spacing w:after="0"/>
        <w:jc w:val="left"/>
        <w:rPr>
          <w:sz w:val="19"/>
        </w:rPr>
        <w:sectPr>
          <w:type w:val="continuous"/>
          <w:pgSz w:w="12250" w:h="15850"/>
          <w:pgMar w:top="1500" w:bottom="280" w:left="1600" w:right="1600"/>
          <w:cols w:num="2" w:equalWidth="0">
            <w:col w:w="1566" w:space="137"/>
            <w:col w:w="7347"/>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8"/>
        </w:rPr>
      </w:pPr>
    </w:p>
    <w:p>
      <w:pPr>
        <w:pStyle w:val="BodyText"/>
        <w:spacing w:line="360" w:lineRule="auto" w:before="69"/>
        <w:ind w:left="102" w:right="107"/>
      </w:pPr>
      <w:r>
        <w:rPr/>
        <w:t>Anexo 4.4 C: Selección del tamaño del rezago para modelo C (SVAR en función del balance global cíclicamente ajustado)</w:t>
      </w:r>
    </w:p>
    <w:p>
      <w:pPr>
        <w:spacing w:after="0" w:line="360" w:lineRule="auto"/>
        <w:sectPr>
          <w:type w:val="continuous"/>
          <w:pgSz w:w="12250" w:h="15850"/>
          <w:pgMar w:top="1500" w:bottom="280" w:left="1600" w:right="1600"/>
        </w:sectPr>
      </w:pPr>
    </w:p>
    <w:p>
      <w:pPr>
        <w:spacing w:before="100"/>
        <w:ind w:left="171" w:right="-9" w:firstLine="0"/>
        <w:jc w:val="left"/>
        <w:rPr>
          <w:sz w:val="19"/>
        </w:rPr>
      </w:pPr>
      <w:r>
        <w:rPr>
          <w:spacing w:val="-9"/>
          <w:w w:val="115"/>
          <w:sz w:val="19"/>
        </w:rPr>
        <w:t>Tamaño óptimo </w:t>
      </w:r>
      <w:r>
        <w:rPr>
          <w:w w:val="115"/>
          <w:sz w:val="19"/>
        </w:rPr>
        <w:t>del</w:t>
      </w:r>
    </w:p>
    <w:p>
      <w:pPr>
        <w:pStyle w:val="BodyText"/>
        <w:spacing w:before="5"/>
        <w:rPr>
          <w:sz w:val="20"/>
        </w:rPr>
      </w:pPr>
      <w:r>
        <w:rPr/>
        <w:br w:type="column"/>
      </w:r>
      <w:r>
        <w:rPr>
          <w:sz w:val="20"/>
        </w:rPr>
      </w:r>
    </w:p>
    <w:p>
      <w:pPr>
        <w:tabs>
          <w:tab w:pos="1344" w:val="left" w:leader="none"/>
          <w:tab w:pos="2369" w:val="left" w:leader="none"/>
          <w:tab w:pos="3448" w:val="left" w:leader="none"/>
          <w:tab w:pos="4567" w:val="left" w:leader="none"/>
          <w:tab w:pos="5633" w:val="left" w:leader="none"/>
        </w:tabs>
        <w:spacing w:before="0"/>
        <w:ind w:left="171" w:right="0" w:firstLine="0"/>
        <w:jc w:val="left"/>
        <w:rPr>
          <w:sz w:val="19"/>
        </w:rPr>
      </w:pPr>
      <w:r>
        <w:rPr/>
        <w:pict>
          <v:shape style="position:absolute;margin-left:87.223145pt;margin-top:7.117832pt;width:405.95pt;height:78.45pt;mso-position-horizontal-relative:page;mso-position-vertical-relative:paragraph;z-index:1856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64"/>
                    <w:gridCol w:w="1308"/>
                    <w:gridCol w:w="937"/>
                    <w:gridCol w:w="1180"/>
                    <w:gridCol w:w="1115"/>
                    <w:gridCol w:w="1079"/>
                    <w:gridCol w:w="935"/>
                  </w:tblGrid>
                  <w:tr>
                    <w:trPr>
                      <w:trHeight w:val="225" w:hRule="exact"/>
                    </w:trPr>
                    <w:tc>
                      <w:tcPr>
                        <w:tcW w:w="1564" w:type="dxa"/>
                        <w:tcBorders>
                          <w:bottom w:val="double" w:sz="5" w:space="0" w:color="000000"/>
                        </w:tcBorders>
                      </w:tcPr>
                      <w:p>
                        <w:pPr>
                          <w:pStyle w:val="TableParagraph"/>
                          <w:spacing w:line="198" w:lineRule="exact"/>
                          <w:ind w:left="511" w:right="431"/>
                          <w:rPr>
                            <w:sz w:val="19"/>
                          </w:rPr>
                        </w:pPr>
                        <w:r>
                          <w:rPr>
                            <w:w w:val="115"/>
                            <w:sz w:val="19"/>
                          </w:rPr>
                          <w:t>rezago</w:t>
                        </w:r>
                      </w:p>
                    </w:tc>
                    <w:tc>
                      <w:tcPr>
                        <w:tcW w:w="6554" w:type="dxa"/>
                        <w:gridSpan w:val="6"/>
                        <w:tcBorders>
                          <w:bottom w:val="double" w:sz="5" w:space="0" w:color="000000"/>
                        </w:tcBorders>
                      </w:tcPr>
                      <w:p>
                        <w:pPr/>
                      </w:p>
                    </w:tc>
                  </w:tr>
                  <w:tr>
                    <w:trPr>
                      <w:trHeight w:val="283" w:hRule="exact"/>
                    </w:trPr>
                    <w:tc>
                      <w:tcPr>
                        <w:tcW w:w="1564" w:type="dxa"/>
                        <w:tcBorders>
                          <w:top w:val="double" w:sz="5" w:space="0" w:color="000000"/>
                        </w:tcBorders>
                      </w:tcPr>
                      <w:p>
                        <w:pPr>
                          <w:pStyle w:val="TableParagraph"/>
                          <w:spacing w:before="18"/>
                          <w:ind w:left="81"/>
                          <w:rPr>
                            <w:sz w:val="19"/>
                          </w:rPr>
                        </w:pPr>
                        <w:r>
                          <w:rPr>
                            <w:w w:val="114"/>
                            <w:sz w:val="19"/>
                          </w:rPr>
                          <w:t>0</w:t>
                        </w:r>
                      </w:p>
                    </w:tc>
                    <w:tc>
                      <w:tcPr>
                        <w:tcW w:w="1308" w:type="dxa"/>
                        <w:tcBorders>
                          <w:top w:val="double" w:sz="5" w:space="0" w:color="000000"/>
                        </w:tcBorders>
                      </w:tcPr>
                      <w:p>
                        <w:pPr>
                          <w:pStyle w:val="TableParagraph"/>
                          <w:spacing w:before="18"/>
                          <w:ind w:right="240"/>
                          <w:jc w:val="right"/>
                          <w:rPr>
                            <w:sz w:val="19"/>
                          </w:rPr>
                        </w:pPr>
                        <w:r>
                          <w:rPr>
                            <w:w w:val="110"/>
                            <w:sz w:val="19"/>
                          </w:rPr>
                          <w:t>227.01</w:t>
                        </w:r>
                      </w:p>
                    </w:tc>
                    <w:tc>
                      <w:tcPr>
                        <w:tcW w:w="937" w:type="dxa"/>
                        <w:tcBorders>
                          <w:top w:val="double" w:sz="5" w:space="0" w:color="000000"/>
                        </w:tcBorders>
                      </w:tcPr>
                      <w:p>
                        <w:pPr>
                          <w:pStyle w:val="TableParagraph"/>
                          <w:spacing w:before="18"/>
                          <w:ind w:right="144"/>
                          <w:jc w:val="right"/>
                          <w:rPr>
                            <w:sz w:val="19"/>
                          </w:rPr>
                        </w:pPr>
                        <w:r>
                          <w:rPr>
                            <w:w w:val="110"/>
                            <w:sz w:val="19"/>
                          </w:rPr>
                          <w:t>NA</w:t>
                        </w:r>
                      </w:p>
                    </w:tc>
                    <w:tc>
                      <w:tcPr>
                        <w:tcW w:w="1180" w:type="dxa"/>
                        <w:tcBorders>
                          <w:top w:val="double" w:sz="5" w:space="0" w:color="000000"/>
                        </w:tcBorders>
                      </w:tcPr>
                      <w:p>
                        <w:pPr>
                          <w:pStyle w:val="TableParagraph"/>
                          <w:spacing w:before="18"/>
                          <w:ind w:right="200"/>
                          <w:jc w:val="right"/>
                          <w:rPr>
                            <w:sz w:val="19"/>
                          </w:rPr>
                        </w:pPr>
                        <w:r>
                          <w:rPr>
                            <w:w w:val="110"/>
                            <w:sz w:val="19"/>
                          </w:rPr>
                          <w:t>0.00</w:t>
                        </w:r>
                      </w:p>
                    </w:tc>
                    <w:tc>
                      <w:tcPr>
                        <w:tcW w:w="1115" w:type="dxa"/>
                        <w:tcBorders>
                          <w:top w:val="double" w:sz="5" w:space="0" w:color="000000"/>
                        </w:tcBorders>
                      </w:tcPr>
                      <w:p>
                        <w:pPr>
                          <w:pStyle w:val="TableParagraph"/>
                          <w:spacing w:before="18"/>
                          <w:ind w:right="164"/>
                          <w:jc w:val="right"/>
                          <w:rPr>
                            <w:sz w:val="19"/>
                          </w:rPr>
                        </w:pPr>
                        <w:r>
                          <w:rPr>
                            <w:w w:val="110"/>
                            <w:sz w:val="19"/>
                          </w:rPr>
                          <w:t>(13.03)</w:t>
                        </w:r>
                      </w:p>
                    </w:tc>
                    <w:tc>
                      <w:tcPr>
                        <w:tcW w:w="1079" w:type="dxa"/>
                        <w:tcBorders>
                          <w:top w:val="double" w:sz="5" w:space="0" w:color="000000"/>
                        </w:tcBorders>
                      </w:tcPr>
                      <w:p>
                        <w:pPr>
                          <w:pStyle w:val="TableParagraph"/>
                          <w:spacing w:before="18"/>
                          <w:ind w:left="166"/>
                          <w:jc w:val="left"/>
                          <w:rPr>
                            <w:sz w:val="19"/>
                          </w:rPr>
                        </w:pPr>
                        <w:r>
                          <w:rPr>
                            <w:w w:val="115"/>
                            <w:sz w:val="19"/>
                          </w:rPr>
                          <w:t>-11.87*</w:t>
                        </w:r>
                      </w:p>
                    </w:tc>
                    <w:tc>
                      <w:tcPr>
                        <w:tcW w:w="935" w:type="dxa"/>
                        <w:tcBorders>
                          <w:top w:val="double" w:sz="5" w:space="0" w:color="000000"/>
                        </w:tcBorders>
                      </w:tcPr>
                      <w:p>
                        <w:pPr>
                          <w:pStyle w:val="TableParagraph"/>
                          <w:spacing w:before="18"/>
                          <w:ind w:right="20"/>
                          <w:jc w:val="right"/>
                          <w:rPr>
                            <w:sz w:val="19"/>
                          </w:rPr>
                        </w:pPr>
                        <w:r>
                          <w:rPr>
                            <w:w w:val="110"/>
                            <w:sz w:val="19"/>
                          </w:rPr>
                          <w:t>(12.66)</w:t>
                        </w:r>
                      </w:p>
                    </w:tc>
                  </w:tr>
                  <w:tr>
                    <w:trPr>
                      <w:trHeight w:val="257" w:hRule="exact"/>
                    </w:trPr>
                    <w:tc>
                      <w:tcPr>
                        <w:tcW w:w="1564" w:type="dxa"/>
                      </w:tcPr>
                      <w:p>
                        <w:pPr>
                          <w:pStyle w:val="TableParagraph"/>
                          <w:spacing w:before="10"/>
                          <w:ind w:left="81"/>
                          <w:rPr>
                            <w:sz w:val="19"/>
                          </w:rPr>
                        </w:pPr>
                        <w:r>
                          <w:rPr>
                            <w:w w:val="114"/>
                            <w:sz w:val="19"/>
                          </w:rPr>
                          <w:t>1</w:t>
                        </w:r>
                      </w:p>
                    </w:tc>
                    <w:tc>
                      <w:tcPr>
                        <w:tcW w:w="1308" w:type="dxa"/>
                      </w:tcPr>
                      <w:p>
                        <w:pPr>
                          <w:pStyle w:val="TableParagraph"/>
                          <w:spacing w:before="10"/>
                          <w:ind w:right="240"/>
                          <w:jc w:val="right"/>
                          <w:rPr>
                            <w:sz w:val="19"/>
                          </w:rPr>
                        </w:pPr>
                        <w:r>
                          <w:rPr>
                            <w:w w:val="110"/>
                            <w:sz w:val="19"/>
                          </w:rPr>
                          <w:t>260.08</w:t>
                        </w:r>
                      </w:p>
                    </w:tc>
                    <w:tc>
                      <w:tcPr>
                        <w:tcW w:w="937" w:type="dxa"/>
                      </w:tcPr>
                      <w:p>
                        <w:pPr>
                          <w:pStyle w:val="TableParagraph"/>
                          <w:spacing w:before="10"/>
                          <w:ind w:right="99"/>
                          <w:jc w:val="right"/>
                          <w:rPr>
                            <w:sz w:val="19"/>
                          </w:rPr>
                        </w:pPr>
                        <w:r>
                          <w:rPr>
                            <w:w w:val="110"/>
                            <w:sz w:val="19"/>
                          </w:rPr>
                          <w:t>44.80*</w:t>
                        </w:r>
                      </w:p>
                    </w:tc>
                    <w:tc>
                      <w:tcPr>
                        <w:tcW w:w="1180" w:type="dxa"/>
                      </w:tcPr>
                      <w:p>
                        <w:pPr>
                          <w:pStyle w:val="TableParagraph"/>
                          <w:spacing w:before="10"/>
                          <w:ind w:right="201"/>
                          <w:jc w:val="right"/>
                          <w:rPr>
                            <w:sz w:val="19"/>
                          </w:rPr>
                        </w:pPr>
                        <w:r>
                          <w:rPr>
                            <w:w w:val="115"/>
                            <w:sz w:val="19"/>
                          </w:rPr>
                          <w:t>1.01e-12*</w:t>
                        </w:r>
                      </w:p>
                    </w:tc>
                    <w:tc>
                      <w:tcPr>
                        <w:tcW w:w="1115" w:type="dxa"/>
                      </w:tcPr>
                      <w:p>
                        <w:pPr>
                          <w:pStyle w:val="TableParagraph"/>
                          <w:spacing w:before="10"/>
                          <w:ind w:right="164"/>
                          <w:jc w:val="right"/>
                          <w:rPr>
                            <w:sz w:val="19"/>
                          </w:rPr>
                        </w:pPr>
                        <w:r>
                          <w:rPr>
                            <w:w w:val="110"/>
                            <w:sz w:val="19"/>
                          </w:rPr>
                          <w:t>(13.55)</w:t>
                        </w:r>
                      </w:p>
                    </w:tc>
                    <w:tc>
                      <w:tcPr>
                        <w:tcW w:w="1079" w:type="dxa"/>
                      </w:tcPr>
                      <w:p>
                        <w:pPr>
                          <w:pStyle w:val="TableParagraph"/>
                          <w:spacing w:before="10"/>
                          <w:ind w:right="164"/>
                          <w:jc w:val="right"/>
                          <w:rPr>
                            <w:sz w:val="19"/>
                          </w:rPr>
                        </w:pPr>
                        <w:r>
                          <w:rPr>
                            <w:w w:val="110"/>
                            <w:sz w:val="19"/>
                          </w:rPr>
                          <w:t>(11.24)</w:t>
                        </w:r>
                      </w:p>
                    </w:tc>
                    <w:tc>
                      <w:tcPr>
                        <w:tcW w:w="935" w:type="dxa"/>
                      </w:tcPr>
                      <w:p>
                        <w:pPr>
                          <w:pStyle w:val="TableParagraph"/>
                          <w:spacing w:before="10"/>
                          <w:ind w:right="20"/>
                          <w:jc w:val="right"/>
                          <w:rPr>
                            <w:sz w:val="19"/>
                          </w:rPr>
                        </w:pPr>
                        <w:r>
                          <w:rPr>
                            <w:w w:val="110"/>
                            <w:sz w:val="19"/>
                          </w:rPr>
                          <w:t>(12.80)</w:t>
                        </w:r>
                      </w:p>
                    </w:tc>
                  </w:tr>
                  <w:tr>
                    <w:trPr>
                      <w:trHeight w:val="257" w:hRule="exact"/>
                    </w:trPr>
                    <w:tc>
                      <w:tcPr>
                        <w:tcW w:w="1564" w:type="dxa"/>
                      </w:tcPr>
                      <w:p>
                        <w:pPr>
                          <w:pStyle w:val="TableParagraph"/>
                          <w:spacing w:before="10"/>
                          <w:ind w:left="81"/>
                          <w:rPr>
                            <w:sz w:val="19"/>
                          </w:rPr>
                        </w:pPr>
                        <w:r>
                          <w:rPr>
                            <w:w w:val="114"/>
                            <w:sz w:val="19"/>
                          </w:rPr>
                          <w:t>2</w:t>
                        </w:r>
                      </w:p>
                    </w:tc>
                    <w:tc>
                      <w:tcPr>
                        <w:tcW w:w="1308" w:type="dxa"/>
                      </w:tcPr>
                      <w:p>
                        <w:pPr>
                          <w:pStyle w:val="TableParagraph"/>
                          <w:spacing w:before="10"/>
                          <w:ind w:right="240"/>
                          <w:jc w:val="right"/>
                          <w:rPr>
                            <w:sz w:val="19"/>
                          </w:rPr>
                        </w:pPr>
                        <w:r>
                          <w:rPr>
                            <w:w w:val="110"/>
                            <w:sz w:val="19"/>
                          </w:rPr>
                          <w:t>280.73</w:t>
                        </w:r>
                      </w:p>
                    </w:tc>
                    <w:tc>
                      <w:tcPr>
                        <w:tcW w:w="937" w:type="dxa"/>
                      </w:tcPr>
                      <w:p>
                        <w:pPr>
                          <w:pStyle w:val="TableParagraph"/>
                          <w:spacing w:before="10"/>
                          <w:ind w:right="99"/>
                          <w:jc w:val="right"/>
                          <w:rPr>
                            <w:sz w:val="19"/>
                          </w:rPr>
                        </w:pPr>
                        <w:r>
                          <w:rPr>
                            <w:w w:val="110"/>
                            <w:sz w:val="19"/>
                          </w:rPr>
                          <w:t>21.31</w:t>
                        </w:r>
                      </w:p>
                    </w:tc>
                    <w:tc>
                      <w:tcPr>
                        <w:tcW w:w="1180" w:type="dxa"/>
                      </w:tcPr>
                      <w:p>
                        <w:pPr>
                          <w:pStyle w:val="TableParagraph"/>
                          <w:spacing w:before="10"/>
                          <w:ind w:right="200"/>
                          <w:jc w:val="right"/>
                          <w:rPr>
                            <w:sz w:val="19"/>
                          </w:rPr>
                        </w:pPr>
                        <w:r>
                          <w:rPr>
                            <w:w w:val="110"/>
                            <w:sz w:val="19"/>
                          </w:rPr>
                          <w:t>0.00</w:t>
                        </w:r>
                      </w:p>
                    </w:tc>
                    <w:tc>
                      <w:tcPr>
                        <w:tcW w:w="1115" w:type="dxa"/>
                      </w:tcPr>
                      <w:p>
                        <w:pPr>
                          <w:pStyle w:val="TableParagraph"/>
                          <w:spacing w:before="10"/>
                          <w:ind w:right="164"/>
                          <w:jc w:val="right"/>
                          <w:rPr>
                            <w:sz w:val="19"/>
                          </w:rPr>
                        </w:pPr>
                        <w:r>
                          <w:rPr>
                            <w:w w:val="110"/>
                            <w:sz w:val="19"/>
                          </w:rPr>
                          <w:t>(13.27)</w:t>
                        </w:r>
                      </w:p>
                    </w:tc>
                    <w:tc>
                      <w:tcPr>
                        <w:tcW w:w="1079" w:type="dxa"/>
                      </w:tcPr>
                      <w:p>
                        <w:pPr>
                          <w:pStyle w:val="TableParagraph"/>
                          <w:spacing w:before="10"/>
                          <w:ind w:right="164"/>
                          <w:jc w:val="right"/>
                          <w:rPr>
                            <w:sz w:val="19"/>
                          </w:rPr>
                        </w:pPr>
                        <w:r>
                          <w:rPr>
                            <w:w w:val="110"/>
                            <w:sz w:val="19"/>
                          </w:rPr>
                          <w:t>(9.80)</w:t>
                        </w:r>
                      </w:p>
                    </w:tc>
                    <w:tc>
                      <w:tcPr>
                        <w:tcW w:w="935" w:type="dxa"/>
                      </w:tcPr>
                      <w:p>
                        <w:pPr>
                          <w:pStyle w:val="TableParagraph"/>
                          <w:spacing w:before="10"/>
                          <w:ind w:right="20"/>
                          <w:jc w:val="right"/>
                          <w:rPr>
                            <w:sz w:val="19"/>
                          </w:rPr>
                        </w:pPr>
                        <w:r>
                          <w:rPr>
                            <w:w w:val="110"/>
                            <w:sz w:val="19"/>
                          </w:rPr>
                          <w:t>(12.14)</w:t>
                        </w:r>
                      </w:p>
                    </w:tc>
                  </w:tr>
                  <w:tr>
                    <w:trPr>
                      <w:trHeight w:val="257" w:hRule="exact"/>
                    </w:trPr>
                    <w:tc>
                      <w:tcPr>
                        <w:tcW w:w="1564" w:type="dxa"/>
                      </w:tcPr>
                      <w:p>
                        <w:pPr>
                          <w:pStyle w:val="TableParagraph"/>
                          <w:spacing w:before="10"/>
                          <w:ind w:left="81"/>
                          <w:rPr>
                            <w:sz w:val="19"/>
                          </w:rPr>
                        </w:pPr>
                        <w:r>
                          <w:rPr>
                            <w:w w:val="114"/>
                            <w:sz w:val="19"/>
                          </w:rPr>
                          <w:t>3</w:t>
                        </w:r>
                      </w:p>
                    </w:tc>
                    <w:tc>
                      <w:tcPr>
                        <w:tcW w:w="1308" w:type="dxa"/>
                      </w:tcPr>
                      <w:p>
                        <w:pPr>
                          <w:pStyle w:val="TableParagraph"/>
                          <w:spacing w:before="10"/>
                          <w:ind w:right="240"/>
                          <w:jc w:val="right"/>
                          <w:rPr>
                            <w:sz w:val="19"/>
                          </w:rPr>
                        </w:pPr>
                        <w:r>
                          <w:rPr>
                            <w:w w:val="110"/>
                            <w:sz w:val="19"/>
                          </w:rPr>
                          <w:t>319.94</w:t>
                        </w:r>
                      </w:p>
                    </w:tc>
                    <w:tc>
                      <w:tcPr>
                        <w:tcW w:w="937" w:type="dxa"/>
                      </w:tcPr>
                      <w:p>
                        <w:pPr>
                          <w:pStyle w:val="TableParagraph"/>
                          <w:spacing w:before="10"/>
                          <w:ind w:right="99"/>
                          <w:jc w:val="right"/>
                          <w:rPr>
                            <w:sz w:val="19"/>
                          </w:rPr>
                        </w:pPr>
                        <w:r>
                          <w:rPr>
                            <w:w w:val="110"/>
                            <w:sz w:val="19"/>
                          </w:rPr>
                          <w:t>27.83</w:t>
                        </w:r>
                      </w:p>
                    </w:tc>
                    <w:tc>
                      <w:tcPr>
                        <w:tcW w:w="1180" w:type="dxa"/>
                      </w:tcPr>
                      <w:p>
                        <w:pPr>
                          <w:pStyle w:val="TableParagraph"/>
                          <w:spacing w:before="10"/>
                          <w:ind w:right="200"/>
                          <w:jc w:val="right"/>
                          <w:rPr>
                            <w:sz w:val="19"/>
                          </w:rPr>
                        </w:pPr>
                        <w:r>
                          <w:rPr>
                            <w:w w:val="110"/>
                            <w:sz w:val="19"/>
                          </w:rPr>
                          <w:t>0.00</w:t>
                        </w:r>
                      </w:p>
                    </w:tc>
                    <w:tc>
                      <w:tcPr>
                        <w:tcW w:w="1115" w:type="dxa"/>
                      </w:tcPr>
                      <w:p>
                        <w:pPr>
                          <w:pStyle w:val="TableParagraph"/>
                          <w:spacing w:before="10"/>
                          <w:ind w:right="164"/>
                          <w:jc w:val="right"/>
                          <w:rPr>
                            <w:sz w:val="19"/>
                          </w:rPr>
                        </w:pPr>
                        <w:r>
                          <w:rPr>
                            <w:w w:val="110"/>
                            <w:sz w:val="19"/>
                          </w:rPr>
                          <w:t>(14.19)</w:t>
                        </w:r>
                      </w:p>
                    </w:tc>
                    <w:tc>
                      <w:tcPr>
                        <w:tcW w:w="1079" w:type="dxa"/>
                      </w:tcPr>
                      <w:p>
                        <w:pPr>
                          <w:pStyle w:val="TableParagraph"/>
                          <w:spacing w:before="10"/>
                          <w:ind w:right="164"/>
                          <w:jc w:val="right"/>
                          <w:rPr>
                            <w:sz w:val="19"/>
                          </w:rPr>
                        </w:pPr>
                        <w:r>
                          <w:rPr>
                            <w:w w:val="110"/>
                            <w:sz w:val="19"/>
                          </w:rPr>
                          <w:t>(9.56)</w:t>
                        </w:r>
                      </w:p>
                    </w:tc>
                    <w:tc>
                      <w:tcPr>
                        <w:tcW w:w="935" w:type="dxa"/>
                      </w:tcPr>
                      <w:p>
                        <w:pPr>
                          <w:pStyle w:val="TableParagraph"/>
                          <w:spacing w:before="10"/>
                          <w:ind w:right="20"/>
                          <w:jc w:val="right"/>
                          <w:rPr>
                            <w:sz w:val="19"/>
                          </w:rPr>
                        </w:pPr>
                        <w:r>
                          <w:rPr>
                            <w:w w:val="110"/>
                            <w:sz w:val="19"/>
                          </w:rPr>
                          <w:t>(12.68)</w:t>
                        </w:r>
                      </w:p>
                    </w:tc>
                  </w:tr>
                  <w:tr>
                    <w:trPr>
                      <w:trHeight w:val="255" w:hRule="exact"/>
                    </w:trPr>
                    <w:tc>
                      <w:tcPr>
                        <w:tcW w:w="1564" w:type="dxa"/>
                        <w:tcBorders>
                          <w:bottom w:val="double" w:sz="5" w:space="0" w:color="000000"/>
                        </w:tcBorders>
                      </w:tcPr>
                      <w:p>
                        <w:pPr>
                          <w:pStyle w:val="TableParagraph"/>
                          <w:spacing w:before="10"/>
                          <w:ind w:left="81"/>
                          <w:rPr>
                            <w:sz w:val="19"/>
                          </w:rPr>
                        </w:pPr>
                        <w:r>
                          <w:rPr>
                            <w:w w:val="114"/>
                            <w:sz w:val="19"/>
                          </w:rPr>
                          <w:t>4</w:t>
                        </w:r>
                      </w:p>
                    </w:tc>
                    <w:tc>
                      <w:tcPr>
                        <w:tcW w:w="1308" w:type="dxa"/>
                        <w:tcBorders>
                          <w:bottom w:val="double" w:sz="5" w:space="0" w:color="000000"/>
                        </w:tcBorders>
                      </w:tcPr>
                      <w:p>
                        <w:pPr>
                          <w:pStyle w:val="TableParagraph"/>
                          <w:spacing w:before="10"/>
                          <w:ind w:right="240"/>
                          <w:jc w:val="right"/>
                          <w:rPr>
                            <w:sz w:val="19"/>
                          </w:rPr>
                        </w:pPr>
                        <w:r>
                          <w:rPr>
                            <w:w w:val="110"/>
                            <w:sz w:val="19"/>
                          </w:rPr>
                          <w:t>380.30</w:t>
                        </w:r>
                      </w:p>
                    </w:tc>
                    <w:tc>
                      <w:tcPr>
                        <w:tcW w:w="937" w:type="dxa"/>
                        <w:tcBorders>
                          <w:bottom w:val="double" w:sz="5" w:space="0" w:color="000000"/>
                        </w:tcBorders>
                      </w:tcPr>
                      <w:p>
                        <w:pPr>
                          <w:pStyle w:val="TableParagraph"/>
                          <w:spacing w:before="10"/>
                          <w:ind w:right="99"/>
                          <w:jc w:val="right"/>
                          <w:rPr>
                            <w:sz w:val="19"/>
                          </w:rPr>
                        </w:pPr>
                        <w:r>
                          <w:rPr>
                            <w:w w:val="110"/>
                            <w:sz w:val="19"/>
                          </w:rPr>
                          <w:t>23.37</w:t>
                        </w:r>
                      </w:p>
                    </w:tc>
                    <w:tc>
                      <w:tcPr>
                        <w:tcW w:w="1180" w:type="dxa"/>
                        <w:tcBorders>
                          <w:bottom w:val="double" w:sz="5" w:space="0" w:color="000000"/>
                        </w:tcBorders>
                      </w:tcPr>
                      <w:p>
                        <w:pPr>
                          <w:pStyle w:val="TableParagraph"/>
                          <w:spacing w:before="10"/>
                          <w:ind w:right="200"/>
                          <w:jc w:val="right"/>
                          <w:rPr>
                            <w:sz w:val="19"/>
                          </w:rPr>
                        </w:pPr>
                        <w:r>
                          <w:rPr>
                            <w:w w:val="110"/>
                            <w:sz w:val="19"/>
                          </w:rPr>
                          <w:t>0.00</w:t>
                        </w:r>
                      </w:p>
                    </w:tc>
                    <w:tc>
                      <w:tcPr>
                        <w:tcW w:w="1115" w:type="dxa"/>
                        <w:tcBorders>
                          <w:bottom w:val="double" w:sz="5" w:space="0" w:color="000000"/>
                        </w:tcBorders>
                      </w:tcPr>
                      <w:p>
                        <w:pPr>
                          <w:pStyle w:val="TableParagraph"/>
                          <w:spacing w:before="10"/>
                          <w:ind w:left="202"/>
                          <w:jc w:val="left"/>
                          <w:rPr>
                            <w:sz w:val="19"/>
                          </w:rPr>
                        </w:pPr>
                        <w:r>
                          <w:rPr>
                            <w:w w:val="115"/>
                            <w:sz w:val="19"/>
                          </w:rPr>
                          <w:t>-16.47*</w:t>
                        </w:r>
                      </w:p>
                    </w:tc>
                    <w:tc>
                      <w:tcPr>
                        <w:tcW w:w="1079" w:type="dxa"/>
                        <w:tcBorders>
                          <w:bottom w:val="double" w:sz="5" w:space="0" w:color="000000"/>
                        </w:tcBorders>
                      </w:tcPr>
                      <w:p>
                        <w:pPr>
                          <w:pStyle w:val="TableParagraph"/>
                          <w:spacing w:before="10"/>
                          <w:ind w:right="164"/>
                          <w:jc w:val="right"/>
                          <w:rPr>
                            <w:sz w:val="19"/>
                          </w:rPr>
                        </w:pPr>
                        <w:r>
                          <w:rPr>
                            <w:w w:val="110"/>
                            <w:sz w:val="19"/>
                          </w:rPr>
                          <w:t>(10.69)</w:t>
                        </w:r>
                      </w:p>
                    </w:tc>
                    <w:tc>
                      <w:tcPr>
                        <w:tcW w:w="935" w:type="dxa"/>
                        <w:tcBorders>
                          <w:bottom w:val="double" w:sz="5" w:space="0" w:color="000000"/>
                        </w:tcBorders>
                      </w:tcPr>
                      <w:p>
                        <w:pPr>
                          <w:pStyle w:val="TableParagraph"/>
                          <w:spacing w:before="10"/>
                          <w:ind w:right="93"/>
                          <w:jc w:val="right"/>
                          <w:rPr>
                            <w:sz w:val="19"/>
                          </w:rPr>
                        </w:pPr>
                        <w:r>
                          <w:rPr>
                            <w:w w:val="110"/>
                            <w:sz w:val="19"/>
                          </w:rPr>
                          <w:t>-14.58*</w:t>
                        </w:r>
                      </w:p>
                    </w:tc>
                  </w:tr>
                </w:tbl>
                <w:p>
                  <w:pPr>
                    <w:pStyle w:val="BodyText"/>
                  </w:pPr>
                </w:p>
              </w:txbxContent>
            </v:textbox>
            <w10:wrap type="none"/>
          </v:shape>
        </w:pict>
      </w:r>
      <w:r>
        <w:rPr>
          <w:spacing w:val="-7"/>
          <w:w w:val="115"/>
          <w:sz w:val="19"/>
        </w:rPr>
        <w:t>LogL</w:t>
        <w:tab/>
      </w:r>
      <w:r>
        <w:rPr>
          <w:spacing w:val="-6"/>
          <w:w w:val="115"/>
          <w:sz w:val="19"/>
        </w:rPr>
        <w:t>LR</w:t>
        <w:tab/>
      </w:r>
      <w:r>
        <w:rPr>
          <w:w w:val="115"/>
          <w:sz w:val="19"/>
        </w:rPr>
        <w:t>FPE</w:t>
        <w:tab/>
      </w:r>
      <w:r>
        <w:rPr>
          <w:spacing w:val="-5"/>
          <w:w w:val="115"/>
          <w:sz w:val="19"/>
        </w:rPr>
        <w:t>AIC</w:t>
        <w:tab/>
      </w:r>
      <w:r>
        <w:rPr>
          <w:w w:val="115"/>
          <w:sz w:val="19"/>
        </w:rPr>
        <w:t>SC</w:t>
        <w:tab/>
      </w:r>
      <w:r>
        <w:rPr>
          <w:spacing w:val="-8"/>
          <w:w w:val="115"/>
          <w:sz w:val="19"/>
        </w:rPr>
        <w:t>HQ</w:t>
      </w:r>
    </w:p>
    <w:p>
      <w:pPr>
        <w:spacing w:after="0"/>
        <w:jc w:val="left"/>
        <w:rPr>
          <w:sz w:val="19"/>
        </w:rPr>
        <w:sectPr>
          <w:type w:val="continuous"/>
          <w:pgSz w:w="12250" w:h="15850"/>
          <w:pgMar w:top="1500" w:bottom="280" w:left="1600" w:right="1600"/>
          <w:cols w:num="2" w:equalWidth="0">
            <w:col w:w="1768" w:space="174"/>
            <w:col w:w="7108"/>
          </w:cols>
        </w:sectPr>
      </w:pPr>
    </w:p>
    <w:p>
      <w:pPr>
        <w:pStyle w:val="BodyText"/>
        <w:spacing w:line="360" w:lineRule="auto" w:before="50"/>
        <w:ind w:left="102" w:right="851"/>
      </w:pPr>
      <w:r>
        <w:rPr/>
        <w:t>Anexo 4.4 D: Selección del tamaño del rezago para modelo D (SVAR en función del balance global)</w:t>
      </w:r>
    </w:p>
    <w:p>
      <w:pPr>
        <w:pStyle w:val="BodyText"/>
        <w:spacing w:before="8"/>
        <w:rPr>
          <w:sz w:val="26"/>
        </w:rPr>
      </w:pPr>
    </w:p>
    <w:p>
      <w:pPr>
        <w:spacing w:after="0"/>
        <w:rPr>
          <w:sz w:val="26"/>
        </w:rPr>
        <w:sectPr>
          <w:pgSz w:w="12250" w:h="15850"/>
          <w:pgMar w:header="0" w:footer="977" w:top="1360" w:bottom="1220" w:left="1600" w:right="820"/>
        </w:sectPr>
      </w:pPr>
    </w:p>
    <w:p>
      <w:pPr>
        <w:spacing w:before="74"/>
        <w:ind w:left="174" w:right="-4" w:firstLine="0"/>
        <w:jc w:val="left"/>
        <w:rPr>
          <w:sz w:val="23"/>
        </w:rPr>
      </w:pPr>
      <w:r>
        <w:rPr>
          <w:spacing w:val="-10"/>
          <w:sz w:val="23"/>
        </w:rPr>
        <w:t>Tamaño  </w:t>
      </w:r>
      <w:r>
        <w:rPr>
          <w:spacing w:val="-9"/>
          <w:sz w:val="23"/>
        </w:rPr>
        <w:t>óptimo </w:t>
      </w:r>
      <w:r>
        <w:rPr>
          <w:sz w:val="23"/>
        </w:rPr>
        <w:t>del</w:t>
      </w:r>
    </w:p>
    <w:p>
      <w:pPr>
        <w:pStyle w:val="BodyText"/>
        <w:spacing w:before="5"/>
        <w:rPr>
          <w:sz w:val="20"/>
        </w:rPr>
      </w:pPr>
      <w:r>
        <w:rPr/>
        <w:br w:type="column"/>
      </w:r>
      <w:r>
        <w:rPr>
          <w:sz w:val="20"/>
        </w:rPr>
      </w:r>
    </w:p>
    <w:p>
      <w:pPr>
        <w:tabs>
          <w:tab w:pos="1447" w:val="left" w:leader="none"/>
          <w:tab w:pos="2559" w:val="left" w:leader="none"/>
          <w:tab w:pos="3729" w:val="left" w:leader="none"/>
          <w:tab w:pos="4943" w:val="left" w:leader="none"/>
          <w:tab w:pos="6099" w:val="left" w:leader="none"/>
        </w:tabs>
        <w:spacing w:before="0"/>
        <w:ind w:left="174" w:right="0" w:firstLine="0"/>
        <w:jc w:val="left"/>
        <w:rPr>
          <w:sz w:val="23"/>
        </w:rPr>
      </w:pPr>
      <w:r>
        <w:rPr/>
        <w:pict>
          <v:shape style="position:absolute;margin-left:87.280174pt;margin-top:8.634759pt;width:440.3pt;height:93.9pt;mso-position-horizontal-relative:page;mso-position-vertical-relative:paragraph;z-index:1859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97"/>
                    <w:gridCol w:w="1419"/>
                    <w:gridCol w:w="1017"/>
                    <w:gridCol w:w="1280"/>
                    <w:gridCol w:w="1209"/>
                    <w:gridCol w:w="1170"/>
                    <w:gridCol w:w="1014"/>
                  </w:tblGrid>
                  <w:tr>
                    <w:trPr>
                      <w:trHeight w:val="269" w:hRule="exact"/>
                    </w:trPr>
                    <w:tc>
                      <w:tcPr>
                        <w:tcW w:w="1697" w:type="dxa"/>
                        <w:tcBorders>
                          <w:bottom w:val="double" w:sz="6" w:space="0" w:color="000000"/>
                        </w:tcBorders>
                      </w:tcPr>
                      <w:p>
                        <w:pPr>
                          <w:pStyle w:val="TableParagraph"/>
                          <w:spacing w:line="238" w:lineRule="exact"/>
                          <w:ind w:left="565" w:right="478"/>
                          <w:rPr>
                            <w:sz w:val="23"/>
                          </w:rPr>
                        </w:pPr>
                        <w:r>
                          <w:rPr>
                            <w:sz w:val="23"/>
                          </w:rPr>
                          <w:t>rezago</w:t>
                        </w:r>
                      </w:p>
                    </w:tc>
                    <w:tc>
                      <w:tcPr>
                        <w:tcW w:w="7109" w:type="dxa"/>
                        <w:gridSpan w:val="6"/>
                        <w:tcBorders>
                          <w:bottom w:val="double" w:sz="6" w:space="0" w:color="000000"/>
                        </w:tcBorders>
                      </w:tcPr>
                      <w:p>
                        <w:pPr/>
                      </w:p>
                    </w:tc>
                  </w:tr>
                  <w:tr>
                    <w:trPr>
                      <w:trHeight w:val="338" w:hRule="exact"/>
                    </w:trPr>
                    <w:tc>
                      <w:tcPr>
                        <w:tcW w:w="1697" w:type="dxa"/>
                        <w:tcBorders>
                          <w:top w:val="double" w:sz="6" w:space="0" w:color="000000"/>
                        </w:tcBorders>
                      </w:tcPr>
                      <w:p>
                        <w:pPr>
                          <w:pStyle w:val="TableParagraph"/>
                          <w:spacing w:before="19"/>
                          <w:ind w:left="88"/>
                          <w:rPr>
                            <w:sz w:val="23"/>
                          </w:rPr>
                        </w:pPr>
                        <w:r>
                          <w:rPr>
                            <w:w w:val="102"/>
                            <w:sz w:val="23"/>
                          </w:rPr>
                          <w:t>0</w:t>
                        </w:r>
                      </w:p>
                    </w:tc>
                    <w:tc>
                      <w:tcPr>
                        <w:tcW w:w="1419" w:type="dxa"/>
                        <w:tcBorders>
                          <w:top w:val="double" w:sz="6" w:space="0" w:color="000000"/>
                        </w:tcBorders>
                      </w:tcPr>
                      <w:p>
                        <w:pPr>
                          <w:pStyle w:val="TableParagraph"/>
                          <w:spacing w:before="19"/>
                          <w:ind w:right="261"/>
                          <w:jc w:val="right"/>
                          <w:rPr>
                            <w:sz w:val="23"/>
                          </w:rPr>
                        </w:pPr>
                        <w:r>
                          <w:rPr>
                            <w:sz w:val="23"/>
                          </w:rPr>
                          <w:t>229.69</w:t>
                        </w:r>
                      </w:p>
                    </w:tc>
                    <w:tc>
                      <w:tcPr>
                        <w:tcW w:w="1017" w:type="dxa"/>
                        <w:tcBorders>
                          <w:top w:val="double" w:sz="6" w:space="0" w:color="000000"/>
                        </w:tcBorders>
                      </w:tcPr>
                      <w:p>
                        <w:pPr>
                          <w:pStyle w:val="TableParagraph"/>
                          <w:spacing w:before="19"/>
                          <w:ind w:right="156"/>
                          <w:jc w:val="right"/>
                          <w:rPr>
                            <w:sz w:val="23"/>
                          </w:rPr>
                        </w:pPr>
                        <w:r>
                          <w:rPr>
                            <w:sz w:val="23"/>
                          </w:rPr>
                          <w:t>NA</w:t>
                        </w:r>
                      </w:p>
                    </w:tc>
                    <w:tc>
                      <w:tcPr>
                        <w:tcW w:w="1280" w:type="dxa"/>
                        <w:tcBorders>
                          <w:top w:val="double" w:sz="6" w:space="0" w:color="000000"/>
                        </w:tcBorders>
                      </w:tcPr>
                      <w:p>
                        <w:pPr>
                          <w:pStyle w:val="TableParagraph"/>
                          <w:spacing w:before="19"/>
                          <w:ind w:right="217"/>
                          <w:jc w:val="right"/>
                          <w:rPr>
                            <w:sz w:val="23"/>
                          </w:rPr>
                        </w:pPr>
                        <w:r>
                          <w:rPr>
                            <w:sz w:val="23"/>
                          </w:rPr>
                          <w:t>0.00</w:t>
                        </w:r>
                      </w:p>
                    </w:tc>
                    <w:tc>
                      <w:tcPr>
                        <w:tcW w:w="1209" w:type="dxa"/>
                        <w:tcBorders>
                          <w:top w:val="double" w:sz="6" w:space="0" w:color="000000"/>
                        </w:tcBorders>
                      </w:tcPr>
                      <w:p>
                        <w:pPr>
                          <w:pStyle w:val="TableParagraph"/>
                          <w:spacing w:before="19"/>
                          <w:ind w:right="178"/>
                          <w:jc w:val="right"/>
                          <w:rPr>
                            <w:sz w:val="23"/>
                          </w:rPr>
                        </w:pPr>
                        <w:r>
                          <w:rPr>
                            <w:sz w:val="23"/>
                          </w:rPr>
                          <w:t>(13.21)</w:t>
                        </w:r>
                      </w:p>
                    </w:tc>
                    <w:tc>
                      <w:tcPr>
                        <w:tcW w:w="1170" w:type="dxa"/>
                        <w:tcBorders>
                          <w:top w:val="double" w:sz="6" w:space="0" w:color="000000"/>
                        </w:tcBorders>
                      </w:tcPr>
                      <w:p>
                        <w:pPr>
                          <w:pStyle w:val="TableParagraph"/>
                          <w:spacing w:before="19"/>
                          <w:ind w:left="180"/>
                          <w:jc w:val="left"/>
                          <w:rPr>
                            <w:sz w:val="23"/>
                          </w:rPr>
                        </w:pPr>
                        <w:r>
                          <w:rPr>
                            <w:sz w:val="23"/>
                          </w:rPr>
                          <w:t>-12.04*</w:t>
                        </w:r>
                      </w:p>
                    </w:tc>
                    <w:tc>
                      <w:tcPr>
                        <w:tcW w:w="1014" w:type="dxa"/>
                        <w:tcBorders>
                          <w:top w:val="double" w:sz="6" w:space="0" w:color="000000"/>
                        </w:tcBorders>
                      </w:tcPr>
                      <w:p>
                        <w:pPr>
                          <w:pStyle w:val="TableParagraph"/>
                          <w:spacing w:before="19"/>
                          <w:ind w:right="22"/>
                          <w:jc w:val="right"/>
                          <w:rPr>
                            <w:sz w:val="23"/>
                          </w:rPr>
                        </w:pPr>
                        <w:r>
                          <w:rPr>
                            <w:sz w:val="23"/>
                          </w:rPr>
                          <w:t>(12.83)</w:t>
                        </w:r>
                      </w:p>
                    </w:tc>
                  </w:tr>
                  <w:tr>
                    <w:trPr>
                      <w:trHeight w:val="307" w:hRule="exact"/>
                    </w:trPr>
                    <w:tc>
                      <w:tcPr>
                        <w:tcW w:w="1697" w:type="dxa"/>
                      </w:tcPr>
                      <w:p>
                        <w:pPr>
                          <w:pStyle w:val="TableParagraph"/>
                          <w:spacing w:before="10"/>
                          <w:ind w:left="88"/>
                          <w:rPr>
                            <w:sz w:val="23"/>
                          </w:rPr>
                        </w:pPr>
                        <w:r>
                          <w:rPr>
                            <w:w w:val="102"/>
                            <w:sz w:val="23"/>
                          </w:rPr>
                          <w:t>1</w:t>
                        </w:r>
                      </w:p>
                    </w:tc>
                    <w:tc>
                      <w:tcPr>
                        <w:tcW w:w="1419" w:type="dxa"/>
                      </w:tcPr>
                      <w:p>
                        <w:pPr>
                          <w:pStyle w:val="TableParagraph"/>
                          <w:spacing w:before="10"/>
                          <w:ind w:right="261"/>
                          <w:jc w:val="right"/>
                          <w:rPr>
                            <w:sz w:val="23"/>
                          </w:rPr>
                        </w:pPr>
                        <w:r>
                          <w:rPr>
                            <w:sz w:val="23"/>
                          </w:rPr>
                          <w:t>259.09</w:t>
                        </w:r>
                      </w:p>
                    </w:tc>
                    <w:tc>
                      <w:tcPr>
                        <w:tcW w:w="1017" w:type="dxa"/>
                      </w:tcPr>
                      <w:p>
                        <w:pPr>
                          <w:pStyle w:val="TableParagraph"/>
                          <w:spacing w:before="10"/>
                          <w:ind w:right="108"/>
                          <w:jc w:val="right"/>
                          <w:rPr>
                            <w:sz w:val="23"/>
                          </w:rPr>
                        </w:pPr>
                        <w:r>
                          <w:rPr>
                            <w:sz w:val="23"/>
                          </w:rPr>
                          <w:t>39.83*</w:t>
                        </w:r>
                      </w:p>
                    </w:tc>
                    <w:tc>
                      <w:tcPr>
                        <w:tcW w:w="1280" w:type="dxa"/>
                      </w:tcPr>
                      <w:p>
                        <w:pPr>
                          <w:pStyle w:val="TableParagraph"/>
                          <w:spacing w:before="10"/>
                          <w:ind w:right="217"/>
                          <w:jc w:val="right"/>
                          <w:rPr>
                            <w:sz w:val="23"/>
                          </w:rPr>
                        </w:pPr>
                        <w:r>
                          <w:rPr>
                            <w:sz w:val="23"/>
                          </w:rPr>
                          <w:t>0.00</w:t>
                        </w:r>
                      </w:p>
                    </w:tc>
                    <w:tc>
                      <w:tcPr>
                        <w:tcW w:w="1209" w:type="dxa"/>
                      </w:tcPr>
                      <w:p>
                        <w:pPr>
                          <w:pStyle w:val="TableParagraph"/>
                          <w:spacing w:before="10"/>
                          <w:ind w:right="178"/>
                          <w:jc w:val="right"/>
                          <w:rPr>
                            <w:sz w:val="23"/>
                          </w:rPr>
                        </w:pPr>
                        <w:r>
                          <w:rPr>
                            <w:sz w:val="23"/>
                          </w:rPr>
                          <w:t>(13.49)</w:t>
                        </w:r>
                      </w:p>
                    </w:tc>
                    <w:tc>
                      <w:tcPr>
                        <w:tcW w:w="1170" w:type="dxa"/>
                      </w:tcPr>
                      <w:p>
                        <w:pPr>
                          <w:pStyle w:val="TableParagraph"/>
                          <w:spacing w:before="10"/>
                          <w:ind w:right="178"/>
                          <w:jc w:val="right"/>
                          <w:rPr>
                            <w:sz w:val="23"/>
                          </w:rPr>
                        </w:pPr>
                        <w:r>
                          <w:rPr>
                            <w:sz w:val="23"/>
                          </w:rPr>
                          <w:t>(11.18)</w:t>
                        </w:r>
                      </w:p>
                    </w:tc>
                    <w:tc>
                      <w:tcPr>
                        <w:tcW w:w="1014" w:type="dxa"/>
                      </w:tcPr>
                      <w:p>
                        <w:pPr>
                          <w:pStyle w:val="TableParagraph"/>
                          <w:spacing w:before="10"/>
                          <w:ind w:right="22"/>
                          <w:jc w:val="right"/>
                          <w:rPr>
                            <w:sz w:val="23"/>
                          </w:rPr>
                        </w:pPr>
                        <w:r>
                          <w:rPr>
                            <w:sz w:val="23"/>
                          </w:rPr>
                          <w:t>(12.74)</w:t>
                        </w:r>
                      </w:p>
                    </w:tc>
                  </w:tr>
                  <w:tr>
                    <w:trPr>
                      <w:trHeight w:val="307" w:hRule="exact"/>
                    </w:trPr>
                    <w:tc>
                      <w:tcPr>
                        <w:tcW w:w="1697" w:type="dxa"/>
                      </w:tcPr>
                      <w:p>
                        <w:pPr>
                          <w:pStyle w:val="TableParagraph"/>
                          <w:spacing w:before="10"/>
                          <w:ind w:left="88"/>
                          <w:rPr>
                            <w:sz w:val="23"/>
                          </w:rPr>
                        </w:pPr>
                        <w:r>
                          <w:rPr>
                            <w:w w:val="102"/>
                            <w:sz w:val="23"/>
                          </w:rPr>
                          <w:t>2</w:t>
                        </w:r>
                      </w:p>
                    </w:tc>
                    <w:tc>
                      <w:tcPr>
                        <w:tcW w:w="1419" w:type="dxa"/>
                      </w:tcPr>
                      <w:p>
                        <w:pPr>
                          <w:pStyle w:val="TableParagraph"/>
                          <w:spacing w:before="10"/>
                          <w:ind w:right="261"/>
                          <w:jc w:val="right"/>
                          <w:rPr>
                            <w:sz w:val="23"/>
                          </w:rPr>
                        </w:pPr>
                        <w:r>
                          <w:rPr>
                            <w:sz w:val="23"/>
                          </w:rPr>
                          <w:t>283.75</w:t>
                        </w:r>
                      </w:p>
                    </w:tc>
                    <w:tc>
                      <w:tcPr>
                        <w:tcW w:w="1017" w:type="dxa"/>
                      </w:tcPr>
                      <w:p>
                        <w:pPr>
                          <w:pStyle w:val="TableParagraph"/>
                          <w:spacing w:before="10"/>
                          <w:ind w:right="107"/>
                          <w:jc w:val="right"/>
                          <w:rPr>
                            <w:sz w:val="23"/>
                          </w:rPr>
                        </w:pPr>
                        <w:r>
                          <w:rPr>
                            <w:sz w:val="23"/>
                          </w:rPr>
                          <w:t>25.46</w:t>
                        </w:r>
                      </w:p>
                    </w:tc>
                    <w:tc>
                      <w:tcPr>
                        <w:tcW w:w="1280" w:type="dxa"/>
                      </w:tcPr>
                      <w:p>
                        <w:pPr>
                          <w:pStyle w:val="TableParagraph"/>
                          <w:spacing w:before="10"/>
                          <w:ind w:right="217"/>
                          <w:jc w:val="right"/>
                          <w:rPr>
                            <w:sz w:val="23"/>
                          </w:rPr>
                        </w:pPr>
                        <w:r>
                          <w:rPr>
                            <w:sz w:val="23"/>
                          </w:rPr>
                          <w:t>0.00</w:t>
                        </w:r>
                      </w:p>
                    </w:tc>
                    <w:tc>
                      <w:tcPr>
                        <w:tcW w:w="1209" w:type="dxa"/>
                      </w:tcPr>
                      <w:p>
                        <w:pPr>
                          <w:pStyle w:val="TableParagraph"/>
                          <w:spacing w:before="10"/>
                          <w:ind w:right="178"/>
                          <w:jc w:val="right"/>
                          <w:rPr>
                            <w:sz w:val="23"/>
                          </w:rPr>
                        </w:pPr>
                        <w:r>
                          <w:rPr>
                            <w:sz w:val="23"/>
                          </w:rPr>
                          <w:t>(13.47)</w:t>
                        </w:r>
                      </w:p>
                    </w:tc>
                    <w:tc>
                      <w:tcPr>
                        <w:tcW w:w="1170" w:type="dxa"/>
                      </w:tcPr>
                      <w:p>
                        <w:pPr>
                          <w:pStyle w:val="TableParagraph"/>
                          <w:spacing w:before="10"/>
                          <w:ind w:right="178"/>
                          <w:jc w:val="right"/>
                          <w:rPr>
                            <w:sz w:val="23"/>
                          </w:rPr>
                        </w:pPr>
                        <w:r>
                          <w:rPr>
                            <w:sz w:val="23"/>
                          </w:rPr>
                          <w:t>(10.00)</w:t>
                        </w:r>
                      </w:p>
                    </w:tc>
                    <w:tc>
                      <w:tcPr>
                        <w:tcW w:w="1014" w:type="dxa"/>
                      </w:tcPr>
                      <w:p>
                        <w:pPr>
                          <w:pStyle w:val="TableParagraph"/>
                          <w:spacing w:before="10"/>
                          <w:ind w:right="22"/>
                          <w:jc w:val="right"/>
                          <w:rPr>
                            <w:sz w:val="23"/>
                          </w:rPr>
                        </w:pPr>
                        <w:r>
                          <w:rPr>
                            <w:sz w:val="23"/>
                          </w:rPr>
                          <w:t>(12.34)</w:t>
                        </w:r>
                      </w:p>
                    </w:tc>
                  </w:tr>
                  <w:tr>
                    <w:trPr>
                      <w:trHeight w:val="307" w:hRule="exact"/>
                    </w:trPr>
                    <w:tc>
                      <w:tcPr>
                        <w:tcW w:w="1697" w:type="dxa"/>
                      </w:tcPr>
                      <w:p>
                        <w:pPr>
                          <w:pStyle w:val="TableParagraph"/>
                          <w:spacing w:before="10"/>
                          <w:ind w:left="88"/>
                          <w:rPr>
                            <w:sz w:val="23"/>
                          </w:rPr>
                        </w:pPr>
                        <w:r>
                          <w:rPr>
                            <w:w w:val="102"/>
                            <w:sz w:val="23"/>
                          </w:rPr>
                          <w:t>3</w:t>
                        </w:r>
                      </w:p>
                    </w:tc>
                    <w:tc>
                      <w:tcPr>
                        <w:tcW w:w="1419" w:type="dxa"/>
                      </w:tcPr>
                      <w:p>
                        <w:pPr>
                          <w:pStyle w:val="TableParagraph"/>
                          <w:spacing w:before="10"/>
                          <w:ind w:right="261"/>
                          <w:jc w:val="right"/>
                          <w:rPr>
                            <w:sz w:val="23"/>
                          </w:rPr>
                        </w:pPr>
                        <w:r>
                          <w:rPr>
                            <w:sz w:val="23"/>
                          </w:rPr>
                          <w:t>335.63</w:t>
                        </w:r>
                      </w:p>
                    </w:tc>
                    <w:tc>
                      <w:tcPr>
                        <w:tcW w:w="1017" w:type="dxa"/>
                      </w:tcPr>
                      <w:p>
                        <w:pPr>
                          <w:pStyle w:val="TableParagraph"/>
                          <w:spacing w:before="10"/>
                          <w:ind w:right="107"/>
                          <w:jc w:val="right"/>
                          <w:rPr>
                            <w:sz w:val="23"/>
                          </w:rPr>
                        </w:pPr>
                        <w:r>
                          <w:rPr>
                            <w:sz w:val="23"/>
                          </w:rPr>
                          <w:t>36.82</w:t>
                        </w:r>
                      </w:p>
                    </w:tc>
                    <w:tc>
                      <w:tcPr>
                        <w:tcW w:w="1280" w:type="dxa"/>
                      </w:tcPr>
                      <w:p>
                        <w:pPr>
                          <w:pStyle w:val="TableParagraph"/>
                          <w:spacing w:before="10"/>
                          <w:ind w:right="218"/>
                          <w:jc w:val="right"/>
                          <w:rPr>
                            <w:sz w:val="23"/>
                          </w:rPr>
                        </w:pPr>
                        <w:r>
                          <w:rPr>
                            <w:sz w:val="23"/>
                          </w:rPr>
                          <w:t>5.81e-13*</w:t>
                        </w:r>
                      </w:p>
                    </w:tc>
                    <w:tc>
                      <w:tcPr>
                        <w:tcW w:w="1209" w:type="dxa"/>
                      </w:tcPr>
                      <w:p>
                        <w:pPr>
                          <w:pStyle w:val="TableParagraph"/>
                          <w:spacing w:before="10"/>
                          <w:ind w:right="178"/>
                          <w:jc w:val="right"/>
                          <w:rPr>
                            <w:sz w:val="23"/>
                          </w:rPr>
                        </w:pPr>
                        <w:r>
                          <w:rPr>
                            <w:sz w:val="23"/>
                          </w:rPr>
                          <w:t>(15.20)</w:t>
                        </w:r>
                      </w:p>
                    </w:tc>
                    <w:tc>
                      <w:tcPr>
                        <w:tcW w:w="1170" w:type="dxa"/>
                      </w:tcPr>
                      <w:p>
                        <w:pPr>
                          <w:pStyle w:val="TableParagraph"/>
                          <w:spacing w:before="10"/>
                          <w:ind w:right="178"/>
                          <w:jc w:val="right"/>
                          <w:rPr>
                            <w:sz w:val="23"/>
                          </w:rPr>
                        </w:pPr>
                        <w:r>
                          <w:rPr>
                            <w:sz w:val="23"/>
                          </w:rPr>
                          <w:t>(10.58)</w:t>
                        </w:r>
                      </w:p>
                    </w:tc>
                    <w:tc>
                      <w:tcPr>
                        <w:tcW w:w="1014" w:type="dxa"/>
                      </w:tcPr>
                      <w:p>
                        <w:pPr>
                          <w:pStyle w:val="TableParagraph"/>
                          <w:spacing w:before="10"/>
                          <w:ind w:right="22"/>
                          <w:jc w:val="right"/>
                          <w:rPr>
                            <w:sz w:val="23"/>
                          </w:rPr>
                        </w:pPr>
                        <w:r>
                          <w:rPr>
                            <w:sz w:val="23"/>
                          </w:rPr>
                          <w:t>(13.69)</w:t>
                        </w:r>
                      </w:p>
                    </w:tc>
                  </w:tr>
                  <w:tr>
                    <w:trPr>
                      <w:trHeight w:val="305" w:hRule="exact"/>
                    </w:trPr>
                    <w:tc>
                      <w:tcPr>
                        <w:tcW w:w="1697" w:type="dxa"/>
                        <w:tcBorders>
                          <w:bottom w:val="double" w:sz="6" w:space="0" w:color="000000"/>
                        </w:tcBorders>
                      </w:tcPr>
                      <w:p>
                        <w:pPr>
                          <w:pStyle w:val="TableParagraph"/>
                          <w:spacing w:before="10"/>
                          <w:ind w:left="88"/>
                          <w:rPr>
                            <w:sz w:val="23"/>
                          </w:rPr>
                        </w:pPr>
                        <w:r>
                          <w:rPr>
                            <w:w w:val="102"/>
                            <w:sz w:val="23"/>
                          </w:rPr>
                          <w:t>4</w:t>
                        </w:r>
                      </w:p>
                    </w:tc>
                    <w:tc>
                      <w:tcPr>
                        <w:tcW w:w="1419" w:type="dxa"/>
                        <w:tcBorders>
                          <w:bottom w:val="double" w:sz="6" w:space="0" w:color="000000"/>
                        </w:tcBorders>
                      </w:tcPr>
                      <w:p>
                        <w:pPr>
                          <w:pStyle w:val="TableParagraph"/>
                          <w:spacing w:before="10"/>
                          <w:ind w:right="261"/>
                          <w:jc w:val="right"/>
                          <w:rPr>
                            <w:sz w:val="23"/>
                          </w:rPr>
                        </w:pPr>
                        <w:r>
                          <w:rPr>
                            <w:sz w:val="23"/>
                          </w:rPr>
                          <w:t>374.64</w:t>
                        </w:r>
                      </w:p>
                    </w:tc>
                    <w:tc>
                      <w:tcPr>
                        <w:tcW w:w="1017" w:type="dxa"/>
                        <w:tcBorders>
                          <w:bottom w:val="double" w:sz="6" w:space="0" w:color="000000"/>
                        </w:tcBorders>
                      </w:tcPr>
                      <w:p>
                        <w:pPr>
                          <w:pStyle w:val="TableParagraph"/>
                          <w:spacing w:before="10"/>
                          <w:ind w:right="107"/>
                          <w:jc w:val="right"/>
                          <w:rPr>
                            <w:sz w:val="23"/>
                          </w:rPr>
                        </w:pPr>
                        <w:r>
                          <w:rPr>
                            <w:sz w:val="23"/>
                          </w:rPr>
                          <w:t>15.10</w:t>
                        </w:r>
                      </w:p>
                    </w:tc>
                    <w:tc>
                      <w:tcPr>
                        <w:tcW w:w="1280" w:type="dxa"/>
                        <w:tcBorders>
                          <w:bottom w:val="double" w:sz="6" w:space="0" w:color="000000"/>
                        </w:tcBorders>
                      </w:tcPr>
                      <w:p>
                        <w:pPr>
                          <w:pStyle w:val="TableParagraph"/>
                          <w:spacing w:before="10"/>
                          <w:ind w:right="217"/>
                          <w:jc w:val="right"/>
                          <w:rPr>
                            <w:sz w:val="23"/>
                          </w:rPr>
                        </w:pPr>
                        <w:r>
                          <w:rPr>
                            <w:sz w:val="23"/>
                          </w:rPr>
                          <w:t>0.00</w:t>
                        </w:r>
                      </w:p>
                    </w:tc>
                    <w:tc>
                      <w:tcPr>
                        <w:tcW w:w="1209" w:type="dxa"/>
                        <w:tcBorders>
                          <w:bottom w:val="double" w:sz="6" w:space="0" w:color="000000"/>
                        </w:tcBorders>
                      </w:tcPr>
                      <w:p>
                        <w:pPr>
                          <w:pStyle w:val="TableParagraph"/>
                          <w:spacing w:before="10"/>
                          <w:ind w:left="219"/>
                          <w:jc w:val="left"/>
                          <w:rPr>
                            <w:sz w:val="23"/>
                          </w:rPr>
                        </w:pPr>
                        <w:r>
                          <w:rPr>
                            <w:sz w:val="23"/>
                          </w:rPr>
                          <w:t>-16.10*</w:t>
                        </w:r>
                      </w:p>
                    </w:tc>
                    <w:tc>
                      <w:tcPr>
                        <w:tcW w:w="1170" w:type="dxa"/>
                        <w:tcBorders>
                          <w:bottom w:val="double" w:sz="6" w:space="0" w:color="000000"/>
                        </w:tcBorders>
                      </w:tcPr>
                      <w:p>
                        <w:pPr>
                          <w:pStyle w:val="TableParagraph"/>
                          <w:spacing w:before="10"/>
                          <w:ind w:right="178"/>
                          <w:jc w:val="right"/>
                          <w:rPr>
                            <w:sz w:val="23"/>
                          </w:rPr>
                        </w:pPr>
                        <w:r>
                          <w:rPr>
                            <w:sz w:val="23"/>
                          </w:rPr>
                          <w:t>(10.32)</w:t>
                        </w:r>
                      </w:p>
                    </w:tc>
                    <w:tc>
                      <w:tcPr>
                        <w:tcW w:w="1014" w:type="dxa"/>
                        <w:tcBorders>
                          <w:bottom w:val="double" w:sz="6" w:space="0" w:color="000000"/>
                        </w:tcBorders>
                      </w:tcPr>
                      <w:p>
                        <w:pPr>
                          <w:pStyle w:val="TableParagraph"/>
                          <w:spacing w:before="10"/>
                          <w:ind w:left="180"/>
                          <w:jc w:val="left"/>
                          <w:rPr>
                            <w:sz w:val="23"/>
                          </w:rPr>
                        </w:pPr>
                        <w:r>
                          <w:rPr>
                            <w:sz w:val="23"/>
                          </w:rPr>
                          <w:t>-14.22*</w:t>
                        </w:r>
                      </w:p>
                    </w:tc>
                  </w:tr>
                </w:tbl>
                <w:p>
                  <w:pPr>
                    <w:pStyle w:val="BodyText"/>
                  </w:pPr>
                </w:p>
              </w:txbxContent>
            </v:textbox>
            <w10:wrap type="none"/>
          </v:shape>
        </w:pict>
      </w:r>
      <w:r>
        <w:rPr>
          <w:spacing w:val="-8"/>
          <w:sz w:val="23"/>
        </w:rPr>
        <w:t>LogL</w:t>
        <w:tab/>
      </w:r>
      <w:r>
        <w:rPr>
          <w:spacing w:val="-7"/>
          <w:sz w:val="23"/>
        </w:rPr>
        <w:t>LR</w:t>
        <w:tab/>
      </w:r>
      <w:r>
        <w:rPr>
          <w:sz w:val="23"/>
        </w:rPr>
        <w:t>FPE</w:t>
        <w:tab/>
      </w:r>
      <w:r>
        <w:rPr>
          <w:spacing w:val="-5"/>
          <w:sz w:val="23"/>
        </w:rPr>
        <w:t>AIC</w:t>
        <w:tab/>
      </w:r>
      <w:r>
        <w:rPr>
          <w:sz w:val="23"/>
        </w:rPr>
        <w:t>SC</w:t>
        <w:tab/>
      </w:r>
      <w:r>
        <w:rPr>
          <w:spacing w:val="-9"/>
          <w:sz w:val="23"/>
        </w:rPr>
        <w:t>HQ</w:t>
      </w:r>
    </w:p>
    <w:p>
      <w:pPr>
        <w:spacing w:after="0"/>
        <w:jc w:val="left"/>
        <w:rPr>
          <w:sz w:val="23"/>
        </w:rPr>
        <w:sectPr>
          <w:type w:val="continuous"/>
          <w:pgSz w:w="12250" w:h="15850"/>
          <w:pgMar w:top="1500" w:bottom="280" w:left="1600" w:right="820"/>
          <w:cols w:num="2" w:equalWidth="0">
            <w:col w:w="1906" w:space="200"/>
            <w:col w:w="7724"/>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3"/>
        </w:rPr>
      </w:pPr>
    </w:p>
    <w:p>
      <w:pPr>
        <w:pStyle w:val="Heading4"/>
        <w:spacing w:before="70"/>
        <w:ind w:left="102" w:right="851" w:firstLine="0"/>
      </w:pPr>
      <w:bookmarkStart w:name="_bookmark185" w:id="250"/>
      <w:bookmarkEnd w:id="250"/>
      <w:r>
        <w:rPr>
          <w:b w:val="0"/>
        </w:rPr>
      </w:r>
      <w:r>
        <w:rPr/>
        <w:t>Anexo 4.5: Estabilidad de la modelación con base en cuatro rezagos</w:t>
      </w:r>
    </w:p>
    <w:p>
      <w:pPr>
        <w:pStyle w:val="BodyText"/>
        <w:rPr>
          <w:b/>
        </w:rPr>
      </w:pPr>
    </w:p>
    <w:p>
      <w:pPr>
        <w:spacing w:after="0"/>
        <w:sectPr>
          <w:type w:val="continuous"/>
          <w:pgSz w:w="12250" w:h="15850"/>
          <w:pgMar w:top="1500" w:bottom="280" w:left="1600" w:right="820"/>
        </w:sectPr>
      </w:pPr>
    </w:p>
    <w:p>
      <w:pPr>
        <w:spacing w:before="79"/>
        <w:ind w:left="1450" w:right="-17" w:firstLine="0"/>
        <w:jc w:val="left"/>
        <w:rPr>
          <w:b/>
          <w:sz w:val="15"/>
        </w:rPr>
      </w:pPr>
      <w:r>
        <w:rPr>
          <w:b/>
          <w:color w:val="FF0000"/>
          <w:w w:val="95"/>
          <w:sz w:val="15"/>
        </w:rPr>
        <w:t>Modelo A</w:t>
      </w:r>
    </w:p>
    <w:p>
      <w:pPr>
        <w:spacing w:before="22"/>
        <w:ind w:left="1255" w:right="-17" w:firstLine="0"/>
        <w:jc w:val="left"/>
        <w:rPr>
          <w:sz w:val="15"/>
        </w:rPr>
      </w:pPr>
      <w:r>
        <w:rPr/>
        <w:pict>
          <v:shape style="position:absolute;margin-left:115.791954pt;margin-top:10.720934pt;width:449.95pt;height:206.35pt;mso-position-horizontal-relative:page;mso-position-vertical-relative:paragraph;z-index:1861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04"/>
                    <w:gridCol w:w="649"/>
                    <w:gridCol w:w="97"/>
                    <w:gridCol w:w="1399"/>
                    <w:gridCol w:w="645"/>
                    <w:gridCol w:w="124"/>
                    <w:gridCol w:w="1506"/>
                    <w:gridCol w:w="706"/>
                    <w:gridCol w:w="133"/>
                    <w:gridCol w:w="1528"/>
                    <w:gridCol w:w="808"/>
                  </w:tblGrid>
                  <w:tr>
                    <w:trPr>
                      <w:trHeight w:val="193" w:hRule="exact"/>
                    </w:trPr>
                    <w:tc>
                      <w:tcPr>
                        <w:tcW w:w="1404" w:type="dxa"/>
                        <w:tcBorders>
                          <w:bottom w:val="double" w:sz="4" w:space="0" w:color="000000"/>
                        </w:tcBorders>
                      </w:tcPr>
                      <w:p>
                        <w:pPr>
                          <w:pStyle w:val="TableParagraph"/>
                          <w:spacing w:before="2"/>
                          <w:ind w:left="497" w:right="544"/>
                          <w:rPr>
                            <w:b/>
                            <w:sz w:val="15"/>
                          </w:rPr>
                        </w:pPr>
                        <w:r>
                          <w:rPr>
                            <w:b/>
                            <w:sz w:val="15"/>
                          </w:rPr>
                          <w:t>Raiz</w:t>
                        </w:r>
                      </w:p>
                    </w:tc>
                    <w:tc>
                      <w:tcPr>
                        <w:tcW w:w="649" w:type="dxa"/>
                        <w:tcBorders>
                          <w:bottom w:val="double" w:sz="4" w:space="0" w:color="000000"/>
                        </w:tcBorders>
                      </w:tcPr>
                      <w:p>
                        <w:pPr>
                          <w:pStyle w:val="TableParagraph"/>
                          <w:spacing w:before="2"/>
                          <w:ind w:left="34" w:right="73"/>
                          <w:rPr>
                            <w:b/>
                            <w:sz w:val="15"/>
                          </w:rPr>
                        </w:pPr>
                        <w:r>
                          <w:rPr>
                            <w:b/>
                            <w:sz w:val="15"/>
                          </w:rPr>
                          <w:t>Modulo</w:t>
                        </w:r>
                      </w:p>
                    </w:tc>
                    <w:tc>
                      <w:tcPr>
                        <w:tcW w:w="97" w:type="dxa"/>
                      </w:tcPr>
                      <w:p>
                        <w:pPr/>
                      </w:p>
                    </w:tc>
                    <w:tc>
                      <w:tcPr>
                        <w:tcW w:w="1399" w:type="dxa"/>
                        <w:tcBorders>
                          <w:bottom w:val="double" w:sz="4" w:space="0" w:color="000000"/>
                        </w:tcBorders>
                      </w:tcPr>
                      <w:p>
                        <w:pPr>
                          <w:pStyle w:val="TableParagraph"/>
                          <w:spacing w:before="2"/>
                          <w:ind w:left="6" w:right="49"/>
                          <w:rPr>
                            <w:b/>
                            <w:sz w:val="15"/>
                          </w:rPr>
                        </w:pPr>
                        <w:r>
                          <w:rPr>
                            <w:b/>
                            <w:sz w:val="15"/>
                          </w:rPr>
                          <w:t>Raiz</w:t>
                        </w:r>
                      </w:p>
                    </w:tc>
                    <w:tc>
                      <w:tcPr>
                        <w:tcW w:w="645" w:type="dxa"/>
                        <w:tcBorders>
                          <w:bottom w:val="double" w:sz="4" w:space="0" w:color="000000"/>
                        </w:tcBorders>
                      </w:tcPr>
                      <w:p>
                        <w:pPr>
                          <w:pStyle w:val="TableParagraph"/>
                          <w:spacing w:before="2"/>
                          <w:ind w:left="30" w:right="74"/>
                          <w:rPr>
                            <w:b/>
                            <w:sz w:val="15"/>
                          </w:rPr>
                        </w:pPr>
                        <w:r>
                          <w:rPr>
                            <w:b/>
                            <w:sz w:val="15"/>
                          </w:rPr>
                          <w:t>Modulo</w:t>
                        </w:r>
                      </w:p>
                    </w:tc>
                    <w:tc>
                      <w:tcPr>
                        <w:tcW w:w="124" w:type="dxa"/>
                      </w:tcPr>
                      <w:p>
                        <w:pPr/>
                      </w:p>
                    </w:tc>
                    <w:tc>
                      <w:tcPr>
                        <w:tcW w:w="1506" w:type="dxa"/>
                        <w:tcBorders>
                          <w:bottom w:val="double" w:sz="4" w:space="0" w:color="000000"/>
                        </w:tcBorders>
                      </w:tcPr>
                      <w:p>
                        <w:pPr>
                          <w:pStyle w:val="TableParagraph"/>
                          <w:spacing w:before="2"/>
                          <w:ind w:left="65" w:right="90"/>
                          <w:rPr>
                            <w:b/>
                            <w:sz w:val="15"/>
                          </w:rPr>
                        </w:pPr>
                        <w:r>
                          <w:rPr>
                            <w:b/>
                            <w:sz w:val="15"/>
                          </w:rPr>
                          <w:t>Raiz</w:t>
                        </w:r>
                      </w:p>
                    </w:tc>
                    <w:tc>
                      <w:tcPr>
                        <w:tcW w:w="706" w:type="dxa"/>
                        <w:tcBorders>
                          <w:bottom w:val="double" w:sz="4" w:space="0" w:color="000000"/>
                        </w:tcBorders>
                      </w:tcPr>
                      <w:p>
                        <w:pPr>
                          <w:pStyle w:val="TableParagraph"/>
                          <w:spacing w:before="2"/>
                          <w:ind w:left="74" w:right="91"/>
                          <w:rPr>
                            <w:b/>
                            <w:sz w:val="15"/>
                          </w:rPr>
                        </w:pPr>
                        <w:r>
                          <w:rPr>
                            <w:b/>
                            <w:sz w:val="15"/>
                          </w:rPr>
                          <w:t>Modulo</w:t>
                        </w:r>
                      </w:p>
                    </w:tc>
                    <w:tc>
                      <w:tcPr>
                        <w:tcW w:w="133" w:type="dxa"/>
                      </w:tcPr>
                      <w:p>
                        <w:pPr/>
                      </w:p>
                    </w:tc>
                    <w:tc>
                      <w:tcPr>
                        <w:tcW w:w="1528" w:type="dxa"/>
                        <w:tcBorders>
                          <w:bottom w:val="double" w:sz="4" w:space="0" w:color="000000"/>
                        </w:tcBorders>
                      </w:tcPr>
                      <w:p>
                        <w:pPr>
                          <w:pStyle w:val="TableParagraph"/>
                          <w:spacing w:before="2"/>
                          <w:ind w:left="56" w:right="121"/>
                          <w:rPr>
                            <w:b/>
                            <w:sz w:val="15"/>
                          </w:rPr>
                        </w:pPr>
                        <w:r>
                          <w:rPr>
                            <w:b/>
                            <w:sz w:val="15"/>
                          </w:rPr>
                          <w:t>Raiz</w:t>
                        </w:r>
                      </w:p>
                    </w:tc>
                    <w:tc>
                      <w:tcPr>
                        <w:tcW w:w="808" w:type="dxa"/>
                        <w:tcBorders>
                          <w:bottom w:val="double" w:sz="4" w:space="0" w:color="000000"/>
                        </w:tcBorders>
                      </w:tcPr>
                      <w:p>
                        <w:pPr>
                          <w:pStyle w:val="TableParagraph"/>
                          <w:spacing w:before="2"/>
                          <w:ind w:left="105" w:right="162"/>
                          <w:rPr>
                            <w:b/>
                            <w:sz w:val="15"/>
                          </w:rPr>
                        </w:pPr>
                        <w:r>
                          <w:rPr>
                            <w:b/>
                            <w:sz w:val="15"/>
                          </w:rPr>
                          <w:t>Modulo</w:t>
                        </w:r>
                      </w:p>
                    </w:tc>
                  </w:tr>
                  <w:tr>
                    <w:trPr>
                      <w:trHeight w:val="214" w:hRule="exact"/>
                    </w:trPr>
                    <w:tc>
                      <w:tcPr>
                        <w:tcW w:w="1404" w:type="dxa"/>
                        <w:tcBorders>
                          <w:top w:val="double" w:sz="4" w:space="0" w:color="000000"/>
                        </w:tcBorders>
                      </w:tcPr>
                      <w:p>
                        <w:pPr>
                          <w:pStyle w:val="TableParagraph"/>
                          <w:spacing w:before="8"/>
                          <w:ind w:left="496" w:right="553"/>
                          <w:rPr>
                            <w:sz w:val="15"/>
                          </w:rPr>
                        </w:pPr>
                        <w:r>
                          <w:rPr>
                            <w:sz w:val="15"/>
                          </w:rPr>
                          <w:t>1.17</w:t>
                        </w:r>
                      </w:p>
                    </w:tc>
                    <w:tc>
                      <w:tcPr>
                        <w:tcW w:w="649" w:type="dxa"/>
                        <w:tcBorders>
                          <w:top w:val="double" w:sz="4" w:space="0" w:color="000000"/>
                        </w:tcBorders>
                      </w:tcPr>
                      <w:p>
                        <w:pPr>
                          <w:pStyle w:val="TableParagraph"/>
                          <w:spacing w:before="8"/>
                          <w:ind w:left="34" w:right="73"/>
                          <w:rPr>
                            <w:sz w:val="15"/>
                          </w:rPr>
                        </w:pPr>
                        <w:r>
                          <w:rPr>
                            <w:sz w:val="15"/>
                          </w:rPr>
                          <w:t>1.17</w:t>
                        </w:r>
                      </w:p>
                    </w:tc>
                    <w:tc>
                      <w:tcPr>
                        <w:tcW w:w="97" w:type="dxa"/>
                      </w:tcPr>
                      <w:p>
                        <w:pPr/>
                      </w:p>
                    </w:tc>
                    <w:tc>
                      <w:tcPr>
                        <w:tcW w:w="1399" w:type="dxa"/>
                        <w:tcBorders>
                          <w:top w:val="double" w:sz="4" w:space="0" w:color="000000"/>
                        </w:tcBorders>
                      </w:tcPr>
                      <w:p>
                        <w:pPr>
                          <w:pStyle w:val="TableParagraph"/>
                          <w:spacing w:before="8"/>
                          <w:ind w:right="52"/>
                          <w:rPr>
                            <w:sz w:val="15"/>
                          </w:rPr>
                        </w:pPr>
                        <w:r>
                          <w:rPr>
                            <w:sz w:val="15"/>
                          </w:rPr>
                          <w:t>1.14</w:t>
                        </w:r>
                      </w:p>
                    </w:tc>
                    <w:tc>
                      <w:tcPr>
                        <w:tcW w:w="645" w:type="dxa"/>
                        <w:tcBorders>
                          <w:top w:val="double" w:sz="4" w:space="0" w:color="000000"/>
                        </w:tcBorders>
                      </w:tcPr>
                      <w:p>
                        <w:pPr>
                          <w:pStyle w:val="TableParagraph"/>
                          <w:spacing w:before="8"/>
                          <w:ind w:left="30" w:right="74"/>
                          <w:rPr>
                            <w:sz w:val="15"/>
                          </w:rPr>
                        </w:pPr>
                        <w:r>
                          <w:rPr>
                            <w:sz w:val="15"/>
                          </w:rPr>
                          <w:t>1.14</w:t>
                        </w:r>
                      </w:p>
                    </w:tc>
                    <w:tc>
                      <w:tcPr>
                        <w:tcW w:w="124" w:type="dxa"/>
                      </w:tcPr>
                      <w:p>
                        <w:pPr/>
                      </w:p>
                    </w:tc>
                    <w:tc>
                      <w:tcPr>
                        <w:tcW w:w="1506" w:type="dxa"/>
                        <w:tcBorders>
                          <w:top w:val="double" w:sz="4" w:space="0" w:color="000000"/>
                        </w:tcBorders>
                      </w:tcPr>
                      <w:p>
                        <w:pPr>
                          <w:pStyle w:val="TableParagraph"/>
                          <w:spacing w:before="8"/>
                          <w:ind w:left="55" w:right="90"/>
                          <w:rPr>
                            <w:sz w:val="15"/>
                          </w:rPr>
                        </w:pPr>
                        <w:r>
                          <w:rPr>
                            <w:sz w:val="15"/>
                          </w:rPr>
                          <w:t>1.48</w:t>
                        </w:r>
                      </w:p>
                    </w:tc>
                    <w:tc>
                      <w:tcPr>
                        <w:tcW w:w="706" w:type="dxa"/>
                        <w:tcBorders>
                          <w:top w:val="double" w:sz="4" w:space="0" w:color="000000"/>
                        </w:tcBorders>
                      </w:tcPr>
                      <w:p>
                        <w:pPr>
                          <w:pStyle w:val="TableParagraph"/>
                          <w:spacing w:before="8"/>
                          <w:ind w:left="74" w:right="91"/>
                          <w:rPr>
                            <w:sz w:val="15"/>
                          </w:rPr>
                        </w:pPr>
                        <w:r>
                          <w:rPr>
                            <w:sz w:val="15"/>
                          </w:rPr>
                          <w:t>1.48</w:t>
                        </w:r>
                      </w:p>
                    </w:tc>
                    <w:tc>
                      <w:tcPr>
                        <w:tcW w:w="133" w:type="dxa"/>
                      </w:tcPr>
                      <w:p>
                        <w:pPr/>
                      </w:p>
                    </w:tc>
                    <w:tc>
                      <w:tcPr>
                        <w:tcW w:w="1528" w:type="dxa"/>
                        <w:tcBorders>
                          <w:top w:val="double" w:sz="4" w:space="0" w:color="000000"/>
                        </w:tcBorders>
                      </w:tcPr>
                      <w:p>
                        <w:pPr>
                          <w:pStyle w:val="TableParagraph"/>
                          <w:spacing w:before="8"/>
                          <w:ind w:left="45" w:right="121"/>
                          <w:rPr>
                            <w:sz w:val="15"/>
                          </w:rPr>
                        </w:pPr>
                        <w:r>
                          <w:rPr>
                            <w:sz w:val="15"/>
                          </w:rPr>
                          <w:t>1.02</w:t>
                        </w:r>
                      </w:p>
                    </w:tc>
                    <w:tc>
                      <w:tcPr>
                        <w:tcW w:w="808" w:type="dxa"/>
                        <w:tcBorders>
                          <w:top w:val="double" w:sz="4" w:space="0" w:color="000000"/>
                        </w:tcBorders>
                      </w:tcPr>
                      <w:p>
                        <w:pPr>
                          <w:pStyle w:val="TableParagraph"/>
                          <w:spacing w:before="8"/>
                          <w:ind w:left="105" w:right="162"/>
                          <w:rPr>
                            <w:sz w:val="15"/>
                          </w:rPr>
                        </w:pPr>
                        <w:r>
                          <w:rPr>
                            <w:sz w:val="15"/>
                          </w:rPr>
                          <w:t>1.02</w:t>
                        </w:r>
                      </w:p>
                    </w:tc>
                  </w:tr>
                  <w:tr>
                    <w:trPr>
                      <w:trHeight w:val="194" w:hRule="exact"/>
                    </w:trPr>
                    <w:tc>
                      <w:tcPr>
                        <w:tcW w:w="1404" w:type="dxa"/>
                      </w:tcPr>
                      <w:p>
                        <w:pPr>
                          <w:pStyle w:val="TableParagraph"/>
                          <w:spacing w:before="2"/>
                          <w:ind w:left="497" w:right="553"/>
                          <w:rPr>
                            <w:sz w:val="15"/>
                          </w:rPr>
                        </w:pPr>
                        <w:r>
                          <w:rPr>
                            <w:sz w:val="15"/>
                          </w:rPr>
                          <w:t>-1.05</w:t>
                        </w:r>
                      </w:p>
                    </w:tc>
                    <w:tc>
                      <w:tcPr>
                        <w:tcW w:w="649" w:type="dxa"/>
                      </w:tcPr>
                      <w:p>
                        <w:pPr>
                          <w:pStyle w:val="TableParagraph"/>
                          <w:spacing w:before="2"/>
                          <w:ind w:left="34" w:right="73"/>
                          <w:rPr>
                            <w:sz w:val="15"/>
                          </w:rPr>
                        </w:pPr>
                        <w:r>
                          <w:rPr>
                            <w:sz w:val="15"/>
                          </w:rPr>
                          <w:t>1.05</w:t>
                        </w:r>
                      </w:p>
                    </w:tc>
                    <w:tc>
                      <w:tcPr>
                        <w:tcW w:w="97" w:type="dxa"/>
                      </w:tcPr>
                      <w:p>
                        <w:pPr/>
                      </w:p>
                    </w:tc>
                    <w:tc>
                      <w:tcPr>
                        <w:tcW w:w="1399" w:type="dxa"/>
                      </w:tcPr>
                      <w:p>
                        <w:pPr>
                          <w:pStyle w:val="TableParagraph"/>
                          <w:spacing w:before="2"/>
                          <w:ind w:right="52"/>
                          <w:rPr>
                            <w:sz w:val="15"/>
                          </w:rPr>
                        </w:pPr>
                        <w:r>
                          <w:rPr>
                            <w:sz w:val="15"/>
                          </w:rPr>
                          <w:t>-1.04</w:t>
                        </w:r>
                      </w:p>
                    </w:tc>
                    <w:tc>
                      <w:tcPr>
                        <w:tcW w:w="645" w:type="dxa"/>
                      </w:tcPr>
                      <w:p>
                        <w:pPr>
                          <w:pStyle w:val="TableParagraph"/>
                          <w:spacing w:before="2"/>
                          <w:ind w:left="30" w:right="74"/>
                          <w:rPr>
                            <w:sz w:val="15"/>
                          </w:rPr>
                        </w:pPr>
                        <w:r>
                          <w:rPr>
                            <w:sz w:val="15"/>
                          </w:rPr>
                          <w:t>1.04</w:t>
                        </w:r>
                      </w:p>
                    </w:tc>
                    <w:tc>
                      <w:tcPr>
                        <w:tcW w:w="124" w:type="dxa"/>
                      </w:tcPr>
                      <w:p>
                        <w:pPr/>
                      </w:p>
                    </w:tc>
                    <w:tc>
                      <w:tcPr>
                        <w:tcW w:w="1506" w:type="dxa"/>
                      </w:tcPr>
                      <w:p>
                        <w:pPr>
                          <w:pStyle w:val="TableParagraph"/>
                          <w:spacing w:before="2"/>
                          <w:ind w:left="68" w:right="58"/>
                          <w:rPr>
                            <w:sz w:val="15"/>
                          </w:rPr>
                        </w:pPr>
                        <w:r>
                          <w:rPr>
                            <w:w w:val="95"/>
                            <w:sz w:val="15"/>
                          </w:rPr>
                          <w:t>0.367976 + 0.991156i</w:t>
                        </w:r>
                      </w:p>
                    </w:tc>
                    <w:tc>
                      <w:tcPr>
                        <w:tcW w:w="706" w:type="dxa"/>
                      </w:tcPr>
                      <w:p>
                        <w:pPr>
                          <w:pStyle w:val="TableParagraph"/>
                          <w:spacing w:before="2"/>
                          <w:ind w:left="74" w:right="91"/>
                          <w:rPr>
                            <w:sz w:val="15"/>
                          </w:rPr>
                        </w:pPr>
                        <w:r>
                          <w:rPr>
                            <w:sz w:val="15"/>
                          </w:rPr>
                          <w:t>1.06</w:t>
                        </w:r>
                      </w:p>
                    </w:tc>
                    <w:tc>
                      <w:tcPr>
                        <w:tcW w:w="133" w:type="dxa"/>
                      </w:tcPr>
                      <w:p>
                        <w:pPr/>
                      </w:p>
                    </w:tc>
                    <w:tc>
                      <w:tcPr>
                        <w:tcW w:w="1528" w:type="dxa"/>
                      </w:tcPr>
                      <w:p>
                        <w:pPr>
                          <w:pStyle w:val="TableParagraph"/>
                          <w:spacing w:before="2"/>
                          <w:ind w:left="58" w:right="76"/>
                          <w:rPr>
                            <w:sz w:val="15"/>
                          </w:rPr>
                        </w:pPr>
                        <w:r>
                          <w:rPr>
                            <w:w w:val="95"/>
                            <w:sz w:val="15"/>
                          </w:rPr>
                          <w:t>0.533912 - 0.859545i</w:t>
                        </w:r>
                      </w:p>
                    </w:tc>
                    <w:tc>
                      <w:tcPr>
                        <w:tcW w:w="808" w:type="dxa"/>
                      </w:tcPr>
                      <w:p>
                        <w:pPr>
                          <w:pStyle w:val="TableParagraph"/>
                          <w:spacing w:before="2"/>
                          <w:ind w:left="105" w:right="162"/>
                          <w:rPr>
                            <w:sz w:val="15"/>
                          </w:rPr>
                        </w:pPr>
                        <w:r>
                          <w:rPr>
                            <w:sz w:val="15"/>
                          </w:rPr>
                          <w:t>1.01</w:t>
                        </w:r>
                      </w:p>
                    </w:tc>
                  </w:tr>
                  <w:tr>
                    <w:trPr>
                      <w:trHeight w:val="194" w:hRule="exact"/>
                    </w:trPr>
                    <w:tc>
                      <w:tcPr>
                        <w:tcW w:w="1404" w:type="dxa"/>
                      </w:tcPr>
                      <w:p>
                        <w:pPr>
                          <w:pStyle w:val="TableParagraph"/>
                          <w:spacing w:before="2"/>
                          <w:ind w:right="80"/>
                          <w:jc w:val="right"/>
                          <w:rPr>
                            <w:sz w:val="15"/>
                          </w:rPr>
                        </w:pPr>
                        <w:r>
                          <w:rPr>
                            <w:w w:val="95"/>
                            <w:sz w:val="15"/>
                          </w:rPr>
                          <w:t>0.553785 + 0.790822i</w:t>
                        </w:r>
                      </w:p>
                    </w:tc>
                    <w:tc>
                      <w:tcPr>
                        <w:tcW w:w="649" w:type="dxa"/>
                      </w:tcPr>
                      <w:p>
                        <w:pPr>
                          <w:pStyle w:val="TableParagraph"/>
                          <w:spacing w:before="2"/>
                          <w:ind w:left="34" w:right="73"/>
                          <w:rPr>
                            <w:sz w:val="15"/>
                          </w:rPr>
                        </w:pPr>
                        <w:r>
                          <w:rPr>
                            <w:sz w:val="15"/>
                          </w:rPr>
                          <w:t>0.97</w:t>
                        </w:r>
                      </w:p>
                    </w:tc>
                    <w:tc>
                      <w:tcPr>
                        <w:tcW w:w="97" w:type="dxa"/>
                      </w:tcPr>
                      <w:p>
                        <w:pPr/>
                      </w:p>
                    </w:tc>
                    <w:tc>
                      <w:tcPr>
                        <w:tcW w:w="1399" w:type="dxa"/>
                      </w:tcPr>
                      <w:p>
                        <w:pPr>
                          <w:pStyle w:val="TableParagraph"/>
                          <w:spacing w:before="2"/>
                          <w:ind w:left="6" w:right="11"/>
                          <w:rPr>
                            <w:sz w:val="15"/>
                          </w:rPr>
                        </w:pPr>
                        <w:r>
                          <w:rPr>
                            <w:w w:val="95"/>
                            <w:sz w:val="15"/>
                          </w:rPr>
                          <w:t>0.514493 + 0.772252i</w:t>
                        </w:r>
                      </w:p>
                    </w:tc>
                    <w:tc>
                      <w:tcPr>
                        <w:tcW w:w="645" w:type="dxa"/>
                      </w:tcPr>
                      <w:p>
                        <w:pPr>
                          <w:pStyle w:val="TableParagraph"/>
                          <w:spacing w:before="2"/>
                          <w:ind w:left="30" w:right="74"/>
                          <w:rPr>
                            <w:sz w:val="15"/>
                          </w:rPr>
                        </w:pPr>
                        <w:r>
                          <w:rPr>
                            <w:sz w:val="15"/>
                          </w:rPr>
                          <w:t>0.93</w:t>
                        </w:r>
                      </w:p>
                    </w:tc>
                    <w:tc>
                      <w:tcPr>
                        <w:tcW w:w="124" w:type="dxa"/>
                      </w:tcPr>
                      <w:p>
                        <w:pPr/>
                      </w:p>
                    </w:tc>
                    <w:tc>
                      <w:tcPr>
                        <w:tcW w:w="1506" w:type="dxa"/>
                      </w:tcPr>
                      <w:p>
                        <w:pPr>
                          <w:pStyle w:val="TableParagraph"/>
                          <w:spacing w:before="2"/>
                          <w:ind w:left="68" w:right="49"/>
                          <w:rPr>
                            <w:sz w:val="15"/>
                          </w:rPr>
                        </w:pPr>
                        <w:r>
                          <w:rPr>
                            <w:w w:val="95"/>
                            <w:sz w:val="15"/>
                          </w:rPr>
                          <w:t>0.367976 - 0.991156i</w:t>
                        </w:r>
                      </w:p>
                    </w:tc>
                    <w:tc>
                      <w:tcPr>
                        <w:tcW w:w="706" w:type="dxa"/>
                      </w:tcPr>
                      <w:p>
                        <w:pPr>
                          <w:pStyle w:val="TableParagraph"/>
                          <w:spacing w:before="2"/>
                          <w:ind w:left="74" w:right="91"/>
                          <w:rPr>
                            <w:sz w:val="15"/>
                          </w:rPr>
                        </w:pPr>
                        <w:r>
                          <w:rPr>
                            <w:sz w:val="15"/>
                          </w:rPr>
                          <w:t>1.06</w:t>
                        </w:r>
                      </w:p>
                    </w:tc>
                    <w:tc>
                      <w:tcPr>
                        <w:tcW w:w="133" w:type="dxa"/>
                      </w:tcPr>
                      <w:p>
                        <w:pPr/>
                      </w:p>
                    </w:tc>
                    <w:tc>
                      <w:tcPr>
                        <w:tcW w:w="1528" w:type="dxa"/>
                      </w:tcPr>
                      <w:p>
                        <w:pPr>
                          <w:pStyle w:val="TableParagraph"/>
                          <w:spacing w:before="2"/>
                          <w:ind w:left="58" w:right="85"/>
                          <w:rPr>
                            <w:sz w:val="15"/>
                          </w:rPr>
                        </w:pPr>
                        <w:r>
                          <w:rPr>
                            <w:w w:val="95"/>
                            <w:sz w:val="15"/>
                          </w:rPr>
                          <w:t>0.533912 + 0.859545i</w:t>
                        </w:r>
                      </w:p>
                    </w:tc>
                    <w:tc>
                      <w:tcPr>
                        <w:tcW w:w="808" w:type="dxa"/>
                      </w:tcPr>
                      <w:p>
                        <w:pPr>
                          <w:pStyle w:val="TableParagraph"/>
                          <w:spacing w:before="2"/>
                          <w:ind w:left="105" w:right="162"/>
                          <w:rPr>
                            <w:sz w:val="15"/>
                          </w:rPr>
                        </w:pPr>
                        <w:r>
                          <w:rPr>
                            <w:sz w:val="15"/>
                          </w:rPr>
                          <w:t>1.01</w:t>
                        </w:r>
                      </w:p>
                    </w:tc>
                  </w:tr>
                  <w:tr>
                    <w:trPr>
                      <w:trHeight w:val="194" w:hRule="exact"/>
                    </w:trPr>
                    <w:tc>
                      <w:tcPr>
                        <w:tcW w:w="1404" w:type="dxa"/>
                      </w:tcPr>
                      <w:p>
                        <w:pPr>
                          <w:pStyle w:val="TableParagraph"/>
                          <w:spacing w:before="2"/>
                          <w:ind w:right="89"/>
                          <w:jc w:val="right"/>
                          <w:rPr>
                            <w:sz w:val="15"/>
                          </w:rPr>
                        </w:pPr>
                        <w:r>
                          <w:rPr>
                            <w:w w:val="95"/>
                            <w:sz w:val="15"/>
                          </w:rPr>
                          <w:t>0.553785 - 0.790822i</w:t>
                        </w:r>
                      </w:p>
                    </w:tc>
                    <w:tc>
                      <w:tcPr>
                        <w:tcW w:w="649" w:type="dxa"/>
                      </w:tcPr>
                      <w:p>
                        <w:pPr>
                          <w:pStyle w:val="TableParagraph"/>
                          <w:spacing w:before="2"/>
                          <w:ind w:left="34" w:right="73"/>
                          <w:rPr>
                            <w:sz w:val="15"/>
                          </w:rPr>
                        </w:pPr>
                        <w:r>
                          <w:rPr>
                            <w:sz w:val="15"/>
                          </w:rPr>
                          <w:t>0.97</w:t>
                        </w:r>
                      </w:p>
                    </w:tc>
                    <w:tc>
                      <w:tcPr>
                        <w:tcW w:w="97" w:type="dxa"/>
                      </w:tcPr>
                      <w:p>
                        <w:pPr/>
                      </w:p>
                    </w:tc>
                    <w:tc>
                      <w:tcPr>
                        <w:tcW w:w="1399" w:type="dxa"/>
                      </w:tcPr>
                      <w:p>
                        <w:pPr>
                          <w:pStyle w:val="TableParagraph"/>
                          <w:spacing w:before="2"/>
                          <w:ind w:left="6" w:right="20"/>
                          <w:rPr>
                            <w:sz w:val="15"/>
                          </w:rPr>
                        </w:pPr>
                        <w:r>
                          <w:rPr>
                            <w:w w:val="95"/>
                            <w:sz w:val="15"/>
                          </w:rPr>
                          <w:t>0.514493 - 0.772252i</w:t>
                        </w:r>
                      </w:p>
                    </w:tc>
                    <w:tc>
                      <w:tcPr>
                        <w:tcW w:w="645" w:type="dxa"/>
                      </w:tcPr>
                      <w:p>
                        <w:pPr>
                          <w:pStyle w:val="TableParagraph"/>
                          <w:spacing w:before="2"/>
                          <w:ind w:left="30" w:right="74"/>
                          <w:rPr>
                            <w:sz w:val="15"/>
                          </w:rPr>
                        </w:pPr>
                        <w:r>
                          <w:rPr>
                            <w:sz w:val="15"/>
                          </w:rPr>
                          <w:t>0.93</w:t>
                        </w:r>
                      </w:p>
                    </w:tc>
                    <w:tc>
                      <w:tcPr>
                        <w:tcW w:w="124" w:type="dxa"/>
                      </w:tcPr>
                      <w:p>
                        <w:pPr/>
                      </w:p>
                    </w:tc>
                    <w:tc>
                      <w:tcPr>
                        <w:tcW w:w="1506" w:type="dxa"/>
                      </w:tcPr>
                      <w:p>
                        <w:pPr>
                          <w:pStyle w:val="TableParagraph"/>
                          <w:spacing w:before="2"/>
                          <w:ind w:left="68" w:right="90"/>
                          <w:rPr>
                            <w:sz w:val="15"/>
                          </w:rPr>
                        </w:pPr>
                        <w:r>
                          <w:rPr>
                            <w:w w:val="95"/>
                            <w:sz w:val="15"/>
                          </w:rPr>
                          <w:t>-0.894520 + 0.372161i</w:t>
                        </w:r>
                      </w:p>
                    </w:tc>
                    <w:tc>
                      <w:tcPr>
                        <w:tcW w:w="706" w:type="dxa"/>
                      </w:tcPr>
                      <w:p>
                        <w:pPr>
                          <w:pStyle w:val="TableParagraph"/>
                          <w:spacing w:before="2"/>
                          <w:ind w:left="74" w:right="91"/>
                          <w:rPr>
                            <w:sz w:val="15"/>
                          </w:rPr>
                        </w:pPr>
                        <w:r>
                          <w:rPr>
                            <w:sz w:val="15"/>
                          </w:rPr>
                          <w:t>0.97</w:t>
                        </w:r>
                      </w:p>
                    </w:tc>
                    <w:tc>
                      <w:tcPr>
                        <w:tcW w:w="133" w:type="dxa"/>
                      </w:tcPr>
                      <w:p>
                        <w:pPr/>
                      </w:p>
                    </w:tc>
                    <w:tc>
                      <w:tcPr>
                        <w:tcW w:w="1528" w:type="dxa"/>
                      </w:tcPr>
                      <w:p>
                        <w:pPr>
                          <w:pStyle w:val="TableParagraph"/>
                          <w:spacing w:before="2"/>
                          <w:ind w:left="58" w:right="112"/>
                          <w:rPr>
                            <w:sz w:val="15"/>
                          </w:rPr>
                        </w:pPr>
                        <w:r>
                          <w:rPr>
                            <w:w w:val="95"/>
                            <w:sz w:val="15"/>
                          </w:rPr>
                          <w:t>-0.868158 - 0.402830i</w:t>
                        </w:r>
                      </w:p>
                    </w:tc>
                    <w:tc>
                      <w:tcPr>
                        <w:tcW w:w="808" w:type="dxa"/>
                      </w:tcPr>
                      <w:p>
                        <w:pPr>
                          <w:pStyle w:val="TableParagraph"/>
                          <w:spacing w:before="2"/>
                          <w:ind w:left="105" w:right="162"/>
                          <w:rPr>
                            <w:sz w:val="15"/>
                          </w:rPr>
                        </w:pPr>
                        <w:r>
                          <w:rPr>
                            <w:sz w:val="15"/>
                          </w:rPr>
                          <w:t>0.96</w:t>
                        </w:r>
                      </w:p>
                    </w:tc>
                  </w:tr>
                  <w:tr>
                    <w:trPr>
                      <w:trHeight w:val="194" w:hRule="exact"/>
                    </w:trPr>
                    <w:tc>
                      <w:tcPr>
                        <w:tcW w:w="1404" w:type="dxa"/>
                      </w:tcPr>
                      <w:p>
                        <w:pPr>
                          <w:pStyle w:val="TableParagraph"/>
                          <w:spacing w:before="2"/>
                          <w:ind w:right="89"/>
                          <w:jc w:val="right"/>
                          <w:rPr>
                            <w:sz w:val="15"/>
                          </w:rPr>
                        </w:pPr>
                        <w:r>
                          <w:rPr>
                            <w:w w:val="95"/>
                            <w:sz w:val="15"/>
                          </w:rPr>
                          <w:t>0.884890 - 0.366557i</w:t>
                        </w:r>
                      </w:p>
                    </w:tc>
                    <w:tc>
                      <w:tcPr>
                        <w:tcW w:w="649" w:type="dxa"/>
                      </w:tcPr>
                      <w:p>
                        <w:pPr>
                          <w:pStyle w:val="TableParagraph"/>
                          <w:spacing w:before="2"/>
                          <w:ind w:left="34" w:right="73"/>
                          <w:rPr>
                            <w:sz w:val="15"/>
                          </w:rPr>
                        </w:pPr>
                        <w:r>
                          <w:rPr>
                            <w:sz w:val="15"/>
                          </w:rPr>
                          <w:t>0.96</w:t>
                        </w:r>
                      </w:p>
                    </w:tc>
                    <w:tc>
                      <w:tcPr>
                        <w:tcW w:w="97" w:type="dxa"/>
                      </w:tcPr>
                      <w:p>
                        <w:pPr/>
                      </w:p>
                    </w:tc>
                    <w:tc>
                      <w:tcPr>
                        <w:tcW w:w="1399" w:type="dxa"/>
                      </w:tcPr>
                      <w:p>
                        <w:pPr>
                          <w:pStyle w:val="TableParagraph"/>
                          <w:spacing w:before="2"/>
                          <w:ind w:left="6" w:right="11"/>
                          <w:rPr>
                            <w:sz w:val="15"/>
                          </w:rPr>
                        </w:pPr>
                        <w:r>
                          <w:rPr>
                            <w:w w:val="95"/>
                            <w:sz w:val="15"/>
                          </w:rPr>
                          <w:t>0.227843 + 0.886483i</w:t>
                        </w:r>
                      </w:p>
                    </w:tc>
                    <w:tc>
                      <w:tcPr>
                        <w:tcW w:w="645" w:type="dxa"/>
                      </w:tcPr>
                      <w:p>
                        <w:pPr>
                          <w:pStyle w:val="TableParagraph"/>
                          <w:spacing w:before="2"/>
                          <w:ind w:left="30" w:right="74"/>
                          <w:rPr>
                            <w:sz w:val="15"/>
                          </w:rPr>
                        </w:pPr>
                        <w:r>
                          <w:rPr>
                            <w:sz w:val="15"/>
                          </w:rPr>
                          <w:t>0.92</w:t>
                        </w:r>
                      </w:p>
                    </w:tc>
                    <w:tc>
                      <w:tcPr>
                        <w:tcW w:w="124" w:type="dxa"/>
                      </w:tcPr>
                      <w:p>
                        <w:pPr/>
                      </w:p>
                    </w:tc>
                    <w:tc>
                      <w:tcPr>
                        <w:tcW w:w="1506" w:type="dxa"/>
                      </w:tcPr>
                      <w:p>
                        <w:pPr>
                          <w:pStyle w:val="TableParagraph"/>
                          <w:spacing w:before="2"/>
                          <w:ind w:left="68" w:right="82"/>
                          <w:rPr>
                            <w:sz w:val="15"/>
                          </w:rPr>
                        </w:pPr>
                        <w:r>
                          <w:rPr>
                            <w:w w:val="95"/>
                            <w:sz w:val="15"/>
                          </w:rPr>
                          <w:t>-0.894520 - 0.372161i</w:t>
                        </w:r>
                      </w:p>
                    </w:tc>
                    <w:tc>
                      <w:tcPr>
                        <w:tcW w:w="706" w:type="dxa"/>
                      </w:tcPr>
                      <w:p>
                        <w:pPr>
                          <w:pStyle w:val="TableParagraph"/>
                          <w:spacing w:before="2"/>
                          <w:ind w:left="74" w:right="91"/>
                          <w:rPr>
                            <w:sz w:val="15"/>
                          </w:rPr>
                        </w:pPr>
                        <w:r>
                          <w:rPr>
                            <w:sz w:val="15"/>
                          </w:rPr>
                          <w:t>0.97</w:t>
                        </w:r>
                      </w:p>
                    </w:tc>
                    <w:tc>
                      <w:tcPr>
                        <w:tcW w:w="133" w:type="dxa"/>
                      </w:tcPr>
                      <w:p>
                        <w:pPr/>
                      </w:p>
                    </w:tc>
                    <w:tc>
                      <w:tcPr>
                        <w:tcW w:w="1528" w:type="dxa"/>
                      </w:tcPr>
                      <w:p>
                        <w:pPr>
                          <w:pStyle w:val="TableParagraph"/>
                          <w:spacing w:before="2"/>
                          <w:ind w:left="58" w:right="121"/>
                          <w:rPr>
                            <w:sz w:val="15"/>
                          </w:rPr>
                        </w:pPr>
                        <w:r>
                          <w:rPr>
                            <w:w w:val="95"/>
                            <w:sz w:val="15"/>
                          </w:rPr>
                          <w:t>-0.868158 + 0.402830i</w:t>
                        </w:r>
                      </w:p>
                    </w:tc>
                    <w:tc>
                      <w:tcPr>
                        <w:tcW w:w="808" w:type="dxa"/>
                      </w:tcPr>
                      <w:p>
                        <w:pPr>
                          <w:pStyle w:val="TableParagraph"/>
                          <w:spacing w:before="2"/>
                          <w:ind w:left="105" w:right="162"/>
                          <w:rPr>
                            <w:sz w:val="15"/>
                          </w:rPr>
                        </w:pPr>
                        <w:r>
                          <w:rPr>
                            <w:sz w:val="15"/>
                          </w:rPr>
                          <w:t>0.96</w:t>
                        </w:r>
                      </w:p>
                    </w:tc>
                  </w:tr>
                  <w:tr>
                    <w:trPr>
                      <w:trHeight w:val="194" w:hRule="exact"/>
                    </w:trPr>
                    <w:tc>
                      <w:tcPr>
                        <w:tcW w:w="1404" w:type="dxa"/>
                      </w:tcPr>
                      <w:p>
                        <w:pPr>
                          <w:pStyle w:val="TableParagraph"/>
                          <w:spacing w:before="2"/>
                          <w:ind w:right="80"/>
                          <w:jc w:val="right"/>
                          <w:rPr>
                            <w:sz w:val="15"/>
                          </w:rPr>
                        </w:pPr>
                        <w:r>
                          <w:rPr>
                            <w:w w:val="95"/>
                            <w:sz w:val="15"/>
                          </w:rPr>
                          <w:t>0.884890 + 0.366557i</w:t>
                        </w:r>
                      </w:p>
                    </w:tc>
                    <w:tc>
                      <w:tcPr>
                        <w:tcW w:w="649" w:type="dxa"/>
                      </w:tcPr>
                      <w:p>
                        <w:pPr>
                          <w:pStyle w:val="TableParagraph"/>
                          <w:spacing w:before="2"/>
                          <w:ind w:left="34" w:right="73"/>
                          <w:rPr>
                            <w:sz w:val="15"/>
                          </w:rPr>
                        </w:pPr>
                        <w:r>
                          <w:rPr>
                            <w:sz w:val="15"/>
                          </w:rPr>
                          <w:t>0.96</w:t>
                        </w:r>
                      </w:p>
                    </w:tc>
                    <w:tc>
                      <w:tcPr>
                        <w:tcW w:w="97" w:type="dxa"/>
                      </w:tcPr>
                      <w:p>
                        <w:pPr/>
                      </w:p>
                    </w:tc>
                    <w:tc>
                      <w:tcPr>
                        <w:tcW w:w="1399" w:type="dxa"/>
                      </w:tcPr>
                      <w:p>
                        <w:pPr>
                          <w:pStyle w:val="TableParagraph"/>
                          <w:spacing w:before="2"/>
                          <w:ind w:left="6" w:right="20"/>
                          <w:rPr>
                            <w:sz w:val="15"/>
                          </w:rPr>
                        </w:pPr>
                        <w:r>
                          <w:rPr>
                            <w:w w:val="95"/>
                            <w:sz w:val="15"/>
                          </w:rPr>
                          <w:t>0.227843 - 0.886483i</w:t>
                        </w:r>
                      </w:p>
                    </w:tc>
                    <w:tc>
                      <w:tcPr>
                        <w:tcW w:w="645" w:type="dxa"/>
                      </w:tcPr>
                      <w:p>
                        <w:pPr>
                          <w:pStyle w:val="TableParagraph"/>
                          <w:spacing w:before="2"/>
                          <w:ind w:left="30" w:right="74"/>
                          <w:rPr>
                            <w:sz w:val="15"/>
                          </w:rPr>
                        </w:pPr>
                        <w:r>
                          <w:rPr>
                            <w:sz w:val="15"/>
                          </w:rPr>
                          <w:t>0.92</w:t>
                        </w:r>
                      </w:p>
                    </w:tc>
                    <w:tc>
                      <w:tcPr>
                        <w:tcW w:w="124" w:type="dxa"/>
                      </w:tcPr>
                      <w:p>
                        <w:pPr/>
                      </w:p>
                    </w:tc>
                    <w:tc>
                      <w:tcPr>
                        <w:tcW w:w="1506" w:type="dxa"/>
                      </w:tcPr>
                      <w:p>
                        <w:pPr>
                          <w:pStyle w:val="TableParagraph"/>
                          <w:spacing w:before="2"/>
                          <w:ind w:left="68" w:right="49"/>
                          <w:rPr>
                            <w:sz w:val="15"/>
                          </w:rPr>
                        </w:pPr>
                        <w:r>
                          <w:rPr>
                            <w:w w:val="95"/>
                            <w:sz w:val="15"/>
                          </w:rPr>
                          <w:t>0.449154 - 0.785212i</w:t>
                        </w:r>
                      </w:p>
                    </w:tc>
                    <w:tc>
                      <w:tcPr>
                        <w:tcW w:w="706" w:type="dxa"/>
                      </w:tcPr>
                      <w:p>
                        <w:pPr>
                          <w:pStyle w:val="TableParagraph"/>
                          <w:spacing w:before="2"/>
                          <w:ind w:left="74" w:right="91"/>
                          <w:rPr>
                            <w:sz w:val="15"/>
                          </w:rPr>
                        </w:pPr>
                        <w:r>
                          <w:rPr>
                            <w:sz w:val="15"/>
                          </w:rPr>
                          <w:t>0.90</w:t>
                        </w:r>
                      </w:p>
                    </w:tc>
                    <w:tc>
                      <w:tcPr>
                        <w:tcW w:w="133" w:type="dxa"/>
                      </w:tcPr>
                      <w:p>
                        <w:pPr/>
                      </w:p>
                    </w:tc>
                    <w:tc>
                      <w:tcPr>
                        <w:tcW w:w="1528" w:type="dxa"/>
                      </w:tcPr>
                      <w:p>
                        <w:pPr>
                          <w:pStyle w:val="TableParagraph"/>
                          <w:spacing w:before="2"/>
                          <w:ind w:left="58" w:right="85"/>
                          <w:rPr>
                            <w:sz w:val="15"/>
                          </w:rPr>
                        </w:pPr>
                        <w:r>
                          <w:rPr>
                            <w:w w:val="95"/>
                            <w:sz w:val="15"/>
                          </w:rPr>
                          <w:t>0.635112 + 0.583159i</w:t>
                        </w:r>
                      </w:p>
                    </w:tc>
                    <w:tc>
                      <w:tcPr>
                        <w:tcW w:w="808" w:type="dxa"/>
                      </w:tcPr>
                      <w:p>
                        <w:pPr>
                          <w:pStyle w:val="TableParagraph"/>
                          <w:spacing w:before="2"/>
                          <w:ind w:left="105" w:right="162"/>
                          <w:rPr>
                            <w:sz w:val="15"/>
                          </w:rPr>
                        </w:pPr>
                        <w:r>
                          <w:rPr>
                            <w:sz w:val="15"/>
                          </w:rPr>
                          <w:t>0.86</w:t>
                        </w:r>
                      </w:p>
                    </w:tc>
                  </w:tr>
                  <w:tr>
                    <w:trPr>
                      <w:trHeight w:val="194" w:hRule="exact"/>
                    </w:trPr>
                    <w:tc>
                      <w:tcPr>
                        <w:tcW w:w="1404" w:type="dxa"/>
                      </w:tcPr>
                      <w:p>
                        <w:pPr>
                          <w:pStyle w:val="TableParagraph"/>
                          <w:spacing w:before="2"/>
                          <w:ind w:right="80"/>
                          <w:jc w:val="right"/>
                          <w:rPr>
                            <w:sz w:val="15"/>
                          </w:rPr>
                        </w:pPr>
                        <w:r>
                          <w:rPr>
                            <w:w w:val="95"/>
                            <w:sz w:val="15"/>
                          </w:rPr>
                          <w:t>0.167101 + 0.910394i</w:t>
                        </w:r>
                      </w:p>
                    </w:tc>
                    <w:tc>
                      <w:tcPr>
                        <w:tcW w:w="649" w:type="dxa"/>
                      </w:tcPr>
                      <w:p>
                        <w:pPr>
                          <w:pStyle w:val="TableParagraph"/>
                          <w:spacing w:before="2"/>
                          <w:ind w:left="34" w:right="73"/>
                          <w:rPr>
                            <w:sz w:val="15"/>
                          </w:rPr>
                        </w:pPr>
                        <w:r>
                          <w:rPr>
                            <w:sz w:val="15"/>
                          </w:rPr>
                          <w:t>0.93</w:t>
                        </w:r>
                      </w:p>
                    </w:tc>
                    <w:tc>
                      <w:tcPr>
                        <w:tcW w:w="97" w:type="dxa"/>
                      </w:tcPr>
                      <w:p>
                        <w:pPr/>
                      </w:p>
                    </w:tc>
                    <w:tc>
                      <w:tcPr>
                        <w:tcW w:w="1399" w:type="dxa"/>
                      </w:tcPr>
                      <w:p>
                        <w:pPr>
                          <w:pStyle w:val="TableParagraph"/>
                          <w:spacing w:before="2"/>
                          <w:ind w:left="6" w:right="46"/>
                          <w:rPr>
                            <w:sz w:val="15"/>
                          </w:rPr>
                        </w:pPr>
                        <w:r>
                          <w:rPr>
                            <w:w w:val="95"/>
                            <w:sz w:val="15"/>
                          </w:rPr>
                          <w:t>-0.178023 + 0.830846i</w:t>
                        </w:r>
                      </w:p>
                    </w:tc>
                    <w:tc>
                      <w:tcPr>
                        <w:tcW w:w="645" w:type="dxa"/>
                      </w:tcPr>
                      <w:p>
                        <w:pPr>
                          <w:pStyle w:val="TableParagraph"/>
                          <w:spacing w:before="2"/>
                          <w:ind w:left="30" w:right="74"/>
                          <w:rPr>
                            <w:sz w:val="15"/>
                          </w:rPr>
                        </w:pPr>
                        <w:r>
                          <w:rPr>
                            <w:sz w:val="15"/>
                          </w:rPr>
                          <w:t>0.85</w:t>
                        </w:r>
                      </w:p>
                    </w:tc>
                    <w:tc>
                      <w:tcPr>
                        <w:tcW w:w="124" w:type="dxa"/>
                      </w:tcPr>
                      <w:p>
                        <w:pPr/>
                      </w:p>
                    </w:tc>
                    <w:tc>
                      <w:tcPr>
                        <w:tcW w:w="1506" w:type="dxa"/>
                      </w:tcPr>
                      <w:p>
                        <w:pPr>
                          <w:pStyle w:val="TableParagraph"/>
                          <w:spacing w:before="2"/>
                          <w:ind w:left="68" w:right="58"/>
                          <w:rPr>
                            <w:sz w:val="15"/>
                          </w:rPr>
                        </w:pPr>
                        <w:r>
                          <w:rPr>
                            <w:w w:val="95"/>
                            <w:sz w:val="15"/>
                          </w:rPr>
                          <w:t>0.449154 + 0.785212i</w:t>
                        </w:r>
                      </w:p>
                    </w:tc>
                    <w:tc>
                      <w:tcPr>
                        <w:tcW w:w="706" w:type="dxa"/>
                      </w:tcPr>
                      <w:p>
                        <w:pPr>
                          <w:pStyle w:val="TableParagraph"/>
                          <w:spacing w:before="2"/>
                          <w:ind w:left="74" w:right="91"/>
                          <w:rPr>
                            <w:sz w:val="15"/>
                          </w:rPr>
                        </w:pPr>
                        <w:r>
                          <w:rPr>
                            <w:sz w:val="15"/>
                          </w:rPr>
                          <w:t>0.90</w:t>
                        </w:r>
                      </w:p>
                    </w:tc>
                    <w:tc>
                      <w:tcPr>
                        <w:tcW w:w="133" w:type="dxa"/>
                      </w:tcPr>
                      <w:p>
                        <w:pPr/>
                      </w:p>
                    </w:tc>
                    <w:tc>
                      <w:tcPr>
                        <w:tcW w:w="1528" w:type="dxa"/>
                      </w:tcPr>
                      <w:p>
                        <w:pPr>
                          <w:pStyle w:val="TableParagraph"/>
                          <w:spacing w:before="2"/>
                          <w:ind w:left="58" w:right="76"/>
                          <w:rPr>
                            <w:sz w:val="15"/>
                          </w:rPr>
                        </w:pPr>
                        <w:r>
                          <w:rPr>
                            <w:w w:val="95"/>
                            <w:sz w:val="15"/>
                          </w:rPr>
                          <w:t>0.635112 - 0.583159i</w:t>
                        </w:r>
                      </w:p>
                    </w:tc>
                    <w:tc>
                      <w:tcPr>
                        <w:tcW w:w="808" w:type="dxa"/>
                      </w:tcPr>
                      <w:p>
                        <w:pPr>
                          <w:pStyle w:val="TableParagraph"/>
                          <w:spacing w:before="2"/>
                          <w:ind w:left="105" w:right="162"/>
                          <w:rPr>
                            <w:sz w:val="15"/>
                          </w:rPr>
                        </w:pPr>
                        <w:r>
                          <w:rPr>
                            <w:sz w:val="15"/>
                          </w:rPr>
                          <w:t>0.86</w:t>
                        </w:r>
                      </w:p>
                    </w:tc>
                  </w:tr>
                  <w:tr>
                    <w:trPr>
                      <w:trHeight w:val="194" w:hRule="exact"/>
                    </w:trPr>
                    <w:tc>
                      <w:tcPr>
                        <w:tcW w:w="1404" w:type="dxa"/>
                      </w:tcPr>
                      <w:p>
                        <w:pPr>
                          <w:pStyle w:val="TableParagraph"/>
                          <w:spacing w:before="2"/>
                          <w:ind w:right="89"/>
                          <w:jc w:val="right"/>
                          <w:rPr>
                            <w:sz w:val="15"/>
                          </w:rPr>
                        </w:pPr>
                        <w:r>
                          <w:rPr>
                            <w:w w:val="95"/>
                            <w:sz w:val="15"/>
                          </w:rPr>
                          <w:t>0.167101 - 0.910394i</w:t>
                        </w:r>
                      </w:p>
                    </w:tc>
                    <w:tc>
                      <w:tcPr>
                        <w:tcW w:w="649" w:type="dxa"/>
                      </w:tcPr>
                      <w:p>
                        <w:pPr>
                          <w:pStyle w:val="TableParagraph"/>
                          <w:spacing w:before="2"/>
                          <w:ind w:left="34" w:right="73"/>
                          <w:rPr>
                            <w:sz w:val="15"/>
                          </w:rPr>
                        </w:pPr>
                        <w:r>
                          <w:rPr>
                            <w:sz w:val="15"/>
                          </w:rPr>
                          <w:t>0.93</w:t>
                        </w:r>
                      </w:p>
                    </w:tc>
                    <w:tc>
                      <w:tcPr>
                        <w:tcW w:w="97" w:type="dxa"/>
                      </w:tcPr>
                      <w:p>
                        <w:pPr/>
                      </w:p>
                    </w:tc>
                    <w:tc>
                      <w:tcPr>
                        <w:tcW w:w="1399" w:type="dxa"/>
                      </w:tcPr>
                      <w:p>
                        <w:pPr>
                          <w:pStyle w:val="TableParagraph"/>
                          <w:spacing w:before="2"/>
                          <w:ind w:left="3" w:right="52"/>
                          <w:rPr>
                            <w:sz w:val="15"/>
                          </w:rPr>
                        </w:pPr>
                        <w:r>
                          <w:rPr>
                            <w:w w:val="95"/>
                            <w:sz w:val="15"/>
                          </w:rPr>
                          <w:t>-0.178023 - 0.830846i</w:t>
                        </w:r>
                      </w:p>
                    </w:tc>
                    <w:tc>
                      <w:tcPr>
                        <w:tcW w:w="645" w:type="dxa"/>
                      </w:tcPr>
                      <w:p>
                        <w:pPr>
                          <w:pStyle w:val="TableParagraph"/>
                          <w:spacing w:before="2"/>
                          <w:ind w:left="30" w:right="74"/>
                          <w:rPr>
                            <w:sz w:val="15"/>
                          </w:rPr>
                        </w:pPr>
                        <w:r>
                          <w:rPr>
                            <w:sz w:val="15"/>
                          </w:rPr>
                          <w:t>0.85</w:t>
                        </w:r>
                      </w:p>
                    </w:tc>
                    <w:tc>
                      <w:tcPr>
                        <w:tcW w:w="124" w:type="dxa"/>
                      </w:tcPr>
                      <w:p>
                        <w:pPr/>
                      </w:p>
                    </w:tc>
                    <w:tc>
                      <w:tcPr>
                        <w:tcW w:w="1506" w:type="dxa"/>
                      </w:tcPr>
                      <w:p>
                        <w:pPr>
                          <w:pStyle w:val="TableParagraph"/>
                          <w:spacing w:before="2"/>
                          <w:ind w:left="68" w:right="82"/>
                          <w:rPr>
                            <w:sz w:val="15"/>
                          </w:rPr>
                        </w:pPr>
                        <w:r>
                          <w:rPr>
                            <w:w w:val="95"/>
                            <w:sz w:val="15"/>
                          </w:rPr>
                          <w:t>-0.399837 - 0.708600i</w:t>
                        </w:r>
                      </w:p>
                    </w:tc>
                    <w:tc>
                      <w:tcPr>
                        <w:tcW w:w="706" w:type="dxa"/>
                      </w:tcPr>
                      <w:p>
                        <w:pPr>
                          <w:pStyle w:val="TableParagraph"/>
                          <w:spacing w:before="2"/>
                          <w:ind w:left="74" w:right="91"/>
                          <w:rPr>
                            <w:sz w:val="15"/>
                          </w:rPr>
                        </w:pPr>
                        <w:r>
                          <w:rPr>
                            <w:sz w:val="15"/>
                          </w:rPr>
                          <w:t>0.81</w:t>
                        </w:r>
                      </w:p>
                    </w:tc>
                    <w:tc>
                      <w:tcPr>
                        <w:tcW w:w="133" w:type="dxa"/>
                      </w:tcPr>
                      <w:p>
                        <w:pPr/>
                      </w:p>
                    </w:tc>
                    <w:tc>
                      <w:tcPr>
                        <w:tcW w:w="1528" w:type="dxa"/>
                      </w:tcPr>
                      <w:p>
                        <w:pPr>
                          <w:pStyle w:val="TableParagraph"/>
                          <w:spacing w:before="2"/>
                          <w:ind w:left="58" w:right="112"/>
                          <w:rPr>
                            <w:sz w:val="15"/>
                          </w:rPr>
                        </w:pPr>
                        <w:r>
                          <w:rPr>
                            <w:w w:val="95"/>
                            <w:sz w:val="15"/>
                          </w:rPr>
                          <w:t>-0.160002 - 0.823464i</w:t>
                        </w:r>
                      </w:p>
                    </w:tc>
                    <w:tc>
                      <w:tcPr>
                        <w:tcW w:w="808" w:type="dxa"/>
                      </w:tcPr>
                      <w:p>
                        <w:pPr>
                          <w:pStyle w:val="TableParagraph"/>
                          <w:spacing w:before="2"/>
                          <w:ind w:left="105" w:right="162"/>
                          <w:rPr>
                            <w:sz w:val="15"/>
                          </w:rPr>
                        </w:pPr>
                        <w:r>
                          <w:rPr>
                            <w:sz w:val="15"/>
                          </w:rPr>
                          <w:t>0.84</w:t>
                        </w:r>
                      </w:p>
                    </w:tc>
                  </w:tr>
                  <w:tr>
                    <w:trPr>
                      <w:trHeight w:val="194" w:hRule="exact"/>
                    </w:trPr>
                    <w:tc>
                      <w:tcPr>
                        <w:tcW w:w="1404" w:type="dxa"/>
                      </w:tcPr>
                      <w:p>
                        <w:pPr>
                          <w:pStyle w:val="TableParagraph"/>
                          <w:spacing w:before="2"/>
                          <w:ind w:right="80"/>
                          <w:jc w:val="right"/>
                          <w:rPr>
                            <w:sz w:val="15"/>
                          </w:rPr>
                        </w:pPr>
                        <w:r>
                          <w:rPr>
                            <w:w w:val="95"/>
                            <w:sz w:val="15"/>
                          </w:rPr>
                          <w:t>-0.246334 - 0.821659i</w:t>
                        </w:r>
                      </w:p>
                    </w:tc>
                    <w:tc>
                      <w:tcPr>
                        <w:tcW w:w="649" w:type="dxa"/>
                      </w:tcPr>
                      <w:p>
                        <w:pPr>
                          <w:pStyle w:val="TableParagraph"/>
                          <w:spacing w:before="2"/>
                          <w:ind w:left="34" w:right="73"/>
                          <w:rPr>
                            <w:sz w:val="15"/>
                          </w:rPr>
                        </w:pPr>
                        <w:r>
                          <w:rPr>
                            <w:sz w:val="15"/>
                          </w:rPr>
                          <w:t>0.86</w:t>
                        </w:r>
                      </w:p>
                    </w:tc>
                    <w:tc>
                      <w:tcPr>
                        <w:tcW w:w="97" w:type="dxa"/>
                      </w:tcPr>
                      <w:p>
                        <w:pPr/>
                      </w:p>
                    </w:tc>
                    <w:tc>
                      <w:tcPr>
                        <w:tcW w:w="1399" w:type="dxa"/>
                      </w:tcPr>
                      <w:p>
                        <w:pPr>
                          <w:pStyle w:val="TableParagraph"/>
                          <w:spacing w:before="2"/>
                          <w:ind w:left="3" w:right="52"/>
                          <w:rPr>
                            <w:sz w:val="15"/>
                          </w:rPr>
                        </w:pPr>
                        <w:r>
                          <w:rPr>
                            <w:w w:val="95"/>
                            <w:sz w:val="15"/>
                          </w:rPr>
                          <w:t>-0.352775 - 0.740084i</w:t>
                        </w:r>
                      </w:p>
                    </w:tc>
                    <w:tc>
                      <w:tcPr>
                        <w:tcW w:w="645" w:type="dxa"/>
                      </w:tcPr>
                      <w:p>
                        <w:pPr>
                          <w:pStyle w:val="TableParagraph"/>
                          <w:spacing w:before="2"/>
                          <w:ind w:left="30" w:right="74"/>
                          <w:rPr>
                            <w:sz w:val="15"/>
                          </w:rPr>
                        </w:pPr>
                        <w:r>
                          <w:rPr>
                            <w:sz w:val="15"/>
                          </w:rPr>
                          <w:t>0.82</w:t>
                        </w:r>
                      </w:p>
                    </w:tc>
                    <w:tc>
                      <w:tcPr>
                        <w:tcW w:w="124" w:type="dxa"/>
                      </w:tcPr>
                      <w:p>
                        <w:pPr/>
                      </w:p>
                    </w:tc>
                    <w:tc>
                      <w:tcPr>
                        <w:tcW w:w="1506" w:type="dxa"/>
                      </w:tcPr>
                      <w:p>
                        <w:pPr>
                          <w:pStyle w:val="TableParagraph"/>
                          <w:spacing w:before="2"/>
                          <w:ind w:left="68" w:right="90"/>
                          <w:rPr>
                            <w:sz w:val="15"/>
                          </w:rPr>
                        </w:pPr>
                        <w:r>
                          <w:rPr>
                            <w:w w:val="95"/>
                            <w:sz w:val="15"/>
                          </w:rPr>
                          <w:t>-0.399837 + 0.708600i</w:t>
                        </w:r>
                      </w:p>
                    </w:tc>
                    <w:tc>
                      <w:tcPr>
                        <w:tcW w:w="706" w:type="dxa"/>
                      </w:tcPr>
                      <w:p>
                        <w:pPr>
                          <w:pStyle w:val="TableParagraph"/>
                          <w:spacing w:before="2"/>
                          <w:ind w:left="74" w:right="91"/>
                          <w:rPr>
                            <w:sz w:val="15"/>
                          </w:rPr>
                        </w:pPr>
                        <w:r>
                          <w:rPr>
                            <w:sz w:val="15"/>
                          </w:rPr>
                          <w:t>0.81</w:t>
                        </w:r>
                      </w:p>
                    </w:tc>
                    <w:tc>
                      <w:tcPr>
                        <w:tcW w:w="133" w:type="dxa"/>
                      </w:tcPr>
                      <w:p>
                        <w:pPr/>
                      </w:p>
                    </w:tc>
                    <w:tc>
                      <w:tcPr>
                        <w:tcW w:w="1528" w:type="dxa"/>
                      </w:tcPr>
                      <w:p>
                        <w:pPr>
                          <w:pStyle w:val="TableParagraph"/>
                          <w:spacing w:before="2"/>
                          <w:ind w:left="58" w:right="121"/>
                          <w:rPr>
                            <w:sz w:val="15"/>
                          </w:rPr>
                        </w:pPr>
                        <w:r>
                          <w:rPr>
                            <w:w w:val="95"/>
                            <w:sz w:val="15"/>
                          </w:rPr>
                          <w:t>-0.160002 + 0.823464i</w:t>
                        </w:r>
                      </w:p>
                    </w:tc>
                    <w:tc>
                      <w:tcPr>
                        <w:tcW w:w="808" w:type="dxa"/>
                      </w:tcPr>
                      <w:p>
                        <w:pPr>
                          <w:pStyle w:val="TableParagraph"/>
                          <w:spacing w:before="2"/>
                          <w:ind w:left="105" w:right="162"/>
                          <w:rPr>
                            <w:sz w:val="15"/>
                          </w:rPr>
                        </w:pPr>
                        <w:r>
                          <w:rPr>
                            <w:sz w:val="15"/>
                          </w:rPr>
                          <w:t>0.84</w:t>
                        </w:r>
                      </w:p>
                    </w:tc>
                  </w:tr>
                  <w:tr>
                    <w:trPr>
                      <w:trHeight w:val="194" w:hRule="exact"/>
                    </w:trPr>
                    <w:tc>
                      <w:tcPr>
                        <w:tcW w:w="1404" w:type="dxa"/>
                      </w:tcPr>
                      <w:p>
                        <w:pPr>
                          <w:pStyle w:val="TableParagraph"/>
                          <w:spacing w:before="2"/>
                          <w:ind w:right="71"/>
                          <w:jc w:val="right"/>
                          <w:rPr>
                            <w:sz w:val="15"/>
                          </w:rPr>
                        </w:pPr>
                        <w:r>
                          <w:rPr>
                            <w:w w:val="95"/>
                            <w:sz w:val="15"/>
                          </w:rPr>
                          <w:t>-0.246334 + 0.821659i</w:t>
                        </w:r>
                      </w:p>
                    </w:tc>
                    <w:tc>
                      <w:tcPr>
                        <w:tcW w:w="649" w:type="dxa"/>
                      </w:tcPr>
                      <w:p>
                        <w:pPr>
                          <w:pStyle w:val="TableParagraph"/>
                          <w:spacing w:before="2"/>
                          <w:ind w:left="34" w:right="73"/>
                          <w:rPr>
                            <w:sz w:val="15"/>
                          </w:rPr>
                        </w:pPr>
                        <w:r>
                          <w:rPr>
                            <w:sz w:val="15"/>
                          </w:rPr>
                          <w:t>0.86</w:t>
                        </w:r>
                      </w:p>
                    </w:tc>
                    <w:tc>
                      <w:tcPr>
                        <w:tcW w:w="97" w:type="dxa"/>
                      </w:tcPr>
                      <w:p>
                        <w:pPr/>
                      </w:p>
                    </w:tc>
                    <w:tc>
                      <w:tcPr>
                        <w:tcW w:w="1399" w:type="dxa"/>
                      </w:tcPr>
                      <w:p>
                        <w:pPr>
                          <w:pStyle w:val="TableParagraph"/>
                          <w:spacing w:before="2"/>
                          <w:ind w:left="6" w:right="46"/>
                          <w:rPr>
                            <w:sz w:val="15"/>
                          </w:rPr>
                        </w:pPr>
                        <w:r>
                          <w:rPr>
                            <w:w w:val="95"/>
                            <w:sz w:val="15"/>
                          </w:rPr>
                          <w:t>-0.352775 + 0.740084i</w:t>
                        </w:r>
                      </w:p>
                    </w:tc>
                    <w:tc>
                      <w:tcPr>
                        <w:tcW w:w="645" w:type="dxa"/>
                      </w:tcPr>
                      <w:p>
                        <w:pPr>
                          <w:pStyle w:val="TableParagraph"/>
                          <w:spacing w:before="2"/>
                          <w:ind w:left="30" w:right="74"/>
                          <w:rPr>
                            <w:sz w:val="15"/>
                          </w:rPr>
                        </w:pPr>
                        <w:r>
                          <w:rPr>
                            <w:sz w:val="15"/>
                          </w:rPr>
                          <w:t>0.82</w:t>
                        </w:r>
                      </w:p>
                    </w:tc>
                    <w:tc>
                      <w:tcPr>
                        <w:tcW w:w="124" w:type="dxa"/>
                      </w:tcPr>
                      <w:p>
                        <w:pPr/>
                      </w:p>
                    </w:tc>
                    <w:tc>
                      <w:tcPr>
                        <w:tcW w:w="1506" w:type="dxa"/>
                      </w:tcPr>
                      <w:p>
                        <w:pPr>
                          <w:pStyle w:val="TableParagraph"/>
                          <w:spacing w:before="2"/>
                          <w:ind w:left="68" w:right="49"/>
                          <w:rPr>
                            <w:sz w:val="15"/>
                          </w:rPr>
                        </w:pPr>
                        <w:r>
                          <w:rPr>
                            <w:w w:val="95"/>
                            <w:sz w:val="15"/>
                          </w:rPr>
                          <w:t>0.544462 - 0.557087i</w:t>
                        </w:r>
                      </w:p>
                    </w:tc>
                    <w:tc>
                      <w:tcPr>
                        <w:tcW w:w="706" w:type="dxa"/>
                      </w:tcPr>
                      <w:p>
                        <w:pPr>
                          <w:pStyle w:val="TableParagraph"/>
                          <w:spacing w:before="2"/>
                          <w:ind w:left="74" w:right="91"/>
                          <w:rPr>
                            <w:sz w:val="15"/>
                          </w:rPr>
                        </w:pPr>
                        <w:r>
                          <w:rPr>
                            <w:sz w:val="15"/>
                          </w:rPr>
                          <w:t>0.78</w:t>
                        </w:r>
                      </w:p>
                    </w:tc>
                    <w:tc>
                      <w:tcPr>
                        <w:tcW w:w="133" w:type="dxa"/>
                      </w:tcPr>
                      <w:p>
                        <w:pPr/>
                      </w:p>
                    </w:tc>
                    <w:tc>
                      <w:tcPr>
                        <w:tcW w:w="1528" w:type="dxa"/>
                      </w:tcPr>
                      <w:p>
                        <w:pPr>
                          <w:pStyle w:val="TableParagraph"/>
                          <w:spacing w:before="2"/>
                          <w:ind w:left="58" w:right="76"/>
                          <w:rPr>
                            <w:sz w:val="15"/>
                          </w:rPr>
                        </w:pPr>
                        <w:r>
                          <w:rPr>
                            <w:w w:val="95"/>
                            <w:sz w:val="15"/>
                          </w:rPr>
                          <w:t>0.281448 - 0.776123i</w:t>
                        </w:r>
                      </w:p>
                    </w:tc>
                    <w:tc>
                      <w:tcPr>
                        <w:tcW w:w="808" w:type="dxa"/>
                      </w:tcPr>
                      <w:p>
                        <w:pPr>
                          <w:pStyle w:val="TableParagraph"/>
                          <w:spacing w:before="2"/>
                          <w:ind w:left="105" w:right="162"/>
                          <w:rPr>
                            <w:sz w:val="15"/>
                          </w:rPr>
                        </w:pPr>
                        <w:r>
                          <w:rPr>
                            <w:sz w:val="15"/>
                          </w:rPr>
                          <w:t>0.83</w:t>
                        </w:r>
                      </w:p>
                    </w:tc>
                  </w:tr>
                  <w:tr>
                    <w:trPr>
                      <w:trHeight w:val="194" w:hRule="exact"/>
                    </w:trPr>
                    <w:tc>
                      <w:tcPr>
                        <w:tcW w:w="1404" w:type="dxa"/>
                      </w:tcPr>
                      <w:p>
                        <w:pPr>
                          <w:pStyle w:val="TableParagraph"/>
                          <w:spacing w:before="2"/>
                          <w:ind w:right="80"/>
                          <w:jc w:val="right"/>
                          <w:rPr>
                            <w:sz w:val="15"/>
                          </w:rPr>
                        </w:pPr>
                        <w:r>
                          <w:rPr>
                            <w:w w:val="95"/>
                            <w:sz w:val="15"/>
                          </w:rPr>
                          <w:t>-0.642961 - 0.457127i</w:t>
                        </w:r>
                      </w:p>
                    </w:tc>
                    <w:tc>
                      <w:tcPr>
                        <w:tcW w:w="649" w:type="dxa"/>
                      </w:tcPr>
                      <w:p>
                        <w:pPr>
                          <w:pStyle w:val="TableParagraph"/>
                          <w:spacing w:before="2"/>
                          <w:ind w:left="34" w:right="73"/>
                          <w:rPr>
                            <w:sz w:val="15"/>
                          </w:rPr>
                        </w:pPr>
                        <w:r>
                          <w:rPr>
                            <w:sz w:val="15"/>
                          </w:rPr>
                          <w:t>0.79</w:t>
                        </w:r>
                      </w:p>
                    </w:tc>
                    <w:tc>
                      <w:tcPr>
                        <w:tcW w:w="97" w:type="dxa"/>
                      </w:tcPr>
                      <w:p>
                        <w:pPr/>
                      </w:p>
                    </w:tc>
                    <w:tc>
                      <w:tcPr>
                        <w:tcW w:w="1399" w:type="dxa"/>
                      </w:tcPr>
                      <w:p>
                        <w:pPr>
                          <w:pStyle w:val="TableParagraph"/>
                          <w:spacing w:before="2"/>
                          <w:ind w:left="6" w:right="11"/>
                          <w:rPr>
                            <w:sz w:val="15"/>
                          </w:rPr>
                        </w:pPr>
                        <w:r>
                          <w:rPr>
                            <w:w w:val="95"/>
                            <w:sz w:val="15"/>
                          </w:rPr>
                          <w:t>0.576069 + 0.548994i</w:t>
                        </w:r>
                      </w:p>
                    </w:tc>
                    <w:tc>
                      <w:tcPr>
                        <w:tcW w:w="645" w:type="dxa"/>
                      </w:tcPr>
                      <w:p>
                        <w:pPr>
                          <w:pStyle w:val="TableParagraph"/>
                          <w:spacing w:before="2"/>
                          <w:ind w:left="30" w:right="74"/>
                          <w:rPr>
                            <w:sz w:val="15"/>
                          </w:rPr>
                        </w:pPr>
                        <w:r>
                          <w:rPr>
                            <w:sz w:val="15"/>
                          </w:rPr>
                          <w:t>0.80</w:t>
                        </w:r>
                      </w:p>
                    </w:tc>
                    <w:tc>
                      <w:tcPr>
                        <w:tcW w:w="124" w:type="dxa"/>
                      </w:tcPr>
                      <w:p>
                        <w:pPr/>
                      </w:p>
                    </w:tc>
                    <w:tc>
                      <w:tcPr>
                        <w:tcW w:w="1506" w:type="dxa"/>
                      </w:tcPr>
                      <w:p>
                        <w:pPr>
                          <w:pStyle w:val="TableParagraph"/>
                          <w:spacing w:before="2"/>
                          <w:ind w:left="68" w:right="58"/>
                          <w:rPr>
                            <w:sz w:val="15"/>
                          </w:rPr>
                        </w:pPr>
                        <w:r>
                          <w:rPr>
                            <w:w w:val="95"/>
                            <w:sz w:val="15"/>
                          </w:rPr>
                          <w:t>0.544462 + 0.557087i</w:t>
                        </w:r>
                      </w:p>
                    </w:tc>
                    <w:tc>
                      <w:tcPr>
                        <w:tcW w:w="706" w:type="dxa"/>
                      </w:tcPr>
                      <w:p>
                        <w:pPr>
                          <w:pStyle w:val="TableParagraph"/>
                          <w:spacing w:before="2"/>
                          <w:ind w:left="74" w:right="91"/>
                          <w:rPr>
                            <w:sz w:val="15"/>
                          </w:rPr>
                        </w:pPr>
                        <w:r>
                          <w:rPr>
                            <w:sz w:val="15"/>
                          </w:rPr>
                          <w:t>0.78</w:t>
                        </w:r>
                      </w:p>
                    </w:tc>
                    <w:tc>
                      <w:tcPr>
                        <w:tcW w:w="133" w:type="dxa"/>
                      </w:tcPr>
                      <w:p>
                        <w:pPr/>
                      </w:p>
                    </w:tc>
                    <w:tc>
                      <w:tcPr>
                        <w:tcW w:w="1528" w:type="dxa"/>
                      </w:tcPr>
                      <w:p>
                        <w:pPr>
                          <w:pStyle w:val="TableParagraph"/>
                          <w:spacing w:before="2"/>
                          <w:ind w:left="58" w:right="85"/>
                          <w:rPr>
                            <w:sz w:val="15"/>
                          </w:rPr>
                        </w:pPr>
                        <w:r>
                          <w:rPr>
                            <w:w w:val="95"/>
                            <w:sz w:val="15"/>
                          </w:rPr>
                          <w:t>0.281448 + 0.776123i</w:t>
                        </w:r>
                      </w:p>
                    </w:tc>
                    <w:tc>
                      <w:tcPr>
                        <w:tcW w:w="808" w:type="dxa"/>
                      </w:tcPr>
                      <w:p>
                        <w:pPr>
                          <w:pStyle w:val="TableParagraph"/>
                          <w:spacing w:before="2"/>
                          <w:ind w:left="105" w:right="162"/>
                          <w:rPr>
                            <w:sz w:val="15"/>
                          </w:rPr>
                        </w:pPr>
                        <w:r>
                          <w:rPr>
                            <w:sz w:val="15"/>
                          </w:rPr>
                          <w:t>0.83</w:t>
                        </w:r>
                      </w:p>
                    </w:tc>
                  </w:tr>
                  <w:tr>
                    <w:trPr>
                      <w:trHeight w:val="194" w:hRule="exact"/>
                    </w:trPr>
                    <w:tc>
                      <w:tcPr>
                        <w:tcW w:w="1404" w:type="dxa"/>
                      </w:tcPr>
                      <w:p>
                        <w:pPr>
                          <w:pStyle w:val="TableParagraph"/>
                          <w:spacing w:before="2"/>
                          <w:ind w:right="71"/>
                          <w:jc w:val="right"/>
                          <w:rPr>
                            <w:sz w:val="15"/>
                          </w:rPr>
                        </w:pPr>
                        <w:r>
                          <w:rPr>
                            <w:w w:val="95"/>
                            <w:sz w:val="15"/>
                          </w:rPr>
                          <w:t>-0.642961 + 0.457127i</w:t>
                        </w:r>
                      </w:p>
                    </w:tc>
                    <w:tc>
                      <w:tcPr>
                        <w:tcW w:w="649" w:type="dxa"/>
                      </w:tcPr>
                      <w:p>
                        <w:pPr>
                          <w:pStyle w:val="TableParagraph"/>
                          <w:spacing w:before="2"/>
                          <w:ind w:left="34" w:right="73"/>
                          <w:rPr>
                            <w:sz w:val="15"/>
                          </w:rPr>
                        </w:pPr>
                        <w:r>
                          <w:rPr>
                            <w:sz w:val="15"/>
                          </w:rPr>
                          <w:t>0.79</w:t>
                        </w:r>
                      </w:p>
                    </w:tc>
                    <w:tc>
                      <w:tcPr>
                        <w:tcW w:w="97" w:type="dxa"/>
                      </w:tcPr>
                      <w:p>
                        <w:pPr/>
                      </w:p>
                    </w:tc>
                    <w:tc>
                      <w:tcPr>
                        <w:tcW w:w="1399" w:type="dxa"/>
                      </w:tcPr>
                      <w:p>
                        <w:pPr>
                          <w:pStyle w:val="TableParagraph"/>
                          <w:spacing w:before="2"/>
                          <w:ind w:left="6" w:right="20"/>
                          <w:rPr>
                            <w:sz w:val="15"/>
                          </w:rPr>
                        </w:pPr>
                        <w:r>
                          <w:rPr>
                            <w:w w:val="95"/>
                            <w:sz w:val="15"/>
                          </w:rPr>
                          <w:t>0.576069 - 0.548994i</w:t>
                        </w:r>
                      </w:p>
                    </w:tc>
                    <w:tc>
                      <w:tcPr>
                        <w:tcW w:w="645" w:type="dxa"/>
                      </w:tcPr>
                      <w:p>
                        <w:pPr>
                          <w:pStyle w:val="TableParagraph"/>
                          <w:spacing w:before="2"/>
                          <w:ind w:left="30" w:right="74"/>
                          <w:rPr>
                            <w:sz w:val="15"/>
                          </w:rPr>
                        </w:pPr>
                        <w:r>
                          <w:rPr>
                            <w:sz w:val="15"/>
                          </w:rPr>
                          <w:t>0.80</w:t>
                        </w:r>
                      </w:p>
                    </w:tc>
                    <w:tc>
                      <w:tcPr>
                        <w:tcW w:w="124" w:type="dxa"/>
                      </w:tcPr>
                      <w:p>
                        <w:pPr/>
                      </w:p>
                    </w:tc>
                    <w:tc>
                      <w:tcPr>
                        <w:tcW w:w="1506" w:type="dxa"/>
                      </w:tcPr>
                      <w:p>
                        <w:pPr>
                          <w:pStyle w:val="TableParagraph"/>
                          <w:spacing w:before="2"/>
                          <w:ind w:left="54" w:right="90"/>
                          <w:rPr>
                            <w:sz w:val="15"/>
                          </w:rPr>
                        </w:pPr>
                        <w:r>
                          <w:rPr>
                            <w:sz w:val="15"/>
                          </w:rPr>
                          <w:t>-0.74</w:t>
                        </w:r>
                      </w:p>
                    </w:tc>
                    <w:tc>
                      <w:tcPr>
                        <w:tcW w:w="706" w:type="dxa"/>
                      </w:tcPr>
                      <w:p>
                        <w:pPr>
                          <w:pStyle w:val="TableParagraph"/>
                          <w:spacing w:before="2"/>
                          <w:ind w:left="74" w:right="91"/>
                          <w:rPr>
                            <w:sz w:val="15"/>
                          </w:rPr>
                        </w:pPr>
                        <w:r>
                          <w:rPr>
                            <w:sz w:val="15"/>
                          </w:rPr>
                          <w:t>0.74</w:t>
                        </w:r>
                      </w:p>
                    </w:tc>
                    <w:tc>
                      <w:tcPr>
                        <w:tcW w:w="133" w:type="dxa"/>
                      </w:tcPr>
                      <w:p>
                        <w:pPr/>
                      </w:p>
                    </w:tc>
                    <w:tc>
                      <w:tcPr>
                        <w:tcW w:w="1528" w:type="dxa"/>
                      </w:tcPr>
                      <w:p>
                        <w:pPr>
                          <w:pStyle w:val="TableParagraph"/>
                          <w:spacing w:before="2"/>
                          <w:ind w:left="58" w:right="121"/>
                          <w:rPr>
                            <w:sz w:val="15"/>
                          </w:rPr>
                        </w:pPr>
                        <w:r>
                          <w:rPr>
                            <w:w w:val="95"/>
                            <w:sz w:val="15"/>
                          </w:rPr>
                          <w:t>-0.709464 + 0.173613i</w:t>
                        </w:r>
                      </w:p>
                    </w:tc>
                    <w:tc>
                      <w:tcPr>
                        <w:tcW w:w="808" w:type="dxa"/>
                      </w:tcPr>
                      <w:p>
                        <w:pPr>
                          <w:pStyle w:val="TableParagraph"/>
                          <w:spacing w:before="2"/>
                          <w:ind w:left="105" w:right="162"/>
                          <w:rPr>
                            <w:sz w:val="15"/>
                          </w:rPr>
                        </w:pPr>
                        <w:r>
                          <w:rPr>
                            <w:sz w:val="15"/>
                          </w:rPr>
                          <w:t>0.73</w:t>
                        </w:r>
                      </w:p>
                    </w:tc>
                  </w:tr>
                  <w:tr>
                    <w:trPr>
                      <w:trHeight w:val="194" w:hRule="exact"/>
                    </w:trPr>
                    <w:tc>
                      <w:tcPr>
                        <w:tcW w:w="1404" w:type="dxa"/>
                      </w:tcPr>
                      <w:p>
                        <w:pPr>
                          <w:pStyle w:val="TableParagraph"/>
                          <w:spacing w:before="2"/>
                          <w:ind w:left="497" w:right="553"/>
                          <w:rPr>
                            <w:sz w:val="15"/>
                          </w:rPr>
                        </w:pPr>
                        <w:r>
                          <w:rPr>
                            <w:sz w:val="15"/>
                          </w:rPr>
                          <w:t>-0.74</w:t>
                        </w:r>
                      </w:p>
                    </w:tc>
                    <w:tc>
                      <w:tcPr>
                        <w:tcW w:w="649" w:type="dxa"/>
                      </w:tcPr>
                      <w:p>
                        <w:pPr>
                          <w:pStyle w:val="TableParagraph"/>
                          <w:spacing w:before="2"/>
                          <w:ind w:left="34" w:right="73"/>
                          <w:rPr>
                            <w:sz w:val="15"/>
                          </w:rPr>
                        </w:pPr>
                        <w:r>
                          <w:rPr>
                            <w:sz w:val="15"/>
                          </w:rPr>
                          <w:t>0.74</w:t>
                        </w:r>
                      </w:p>
                    </w:tc>
                    <w:tc>
                      <w:tcPr>
                        <w:tcW w:w="97" w:type="dxa"/>
                      </w:tcPr>
                      <w:p>
                        <w:pPr/>
                      </w:p>
                    </w:tc>
                    <w:tc>
                      <w:tcPr>
                        <w:tcW w:w="1399" w:type="dxa"/>
                      </w:tcPr>
                      <w:p>
                        <w:pPr>
                          <w:pStyle w:val="TableParagraph"/>
                          <w:spacing w:before="2"/>
                          <w:ind w:left="6" w:right="20"/>
                          <w:rPr>
                            <w:sz w:val="15"/>
                          </w:rPr>
                        </w:pPr>
                        <w:r>
                          <w:rPr>
                            <w:w w:val="95"/>
                            <w:sz w:val="15"/>
                          </w:rPr>
                          <w:t>0.722832 - 0.176126i</w:t>
                        </w:r>
                      </w:p>
                    </w:tc>
                    <w:tc>
                      <w:tcPr>
                        <w:tcW w:w="645" w:type="dxa"/>
                      </w:tcPr>
                      <w:p>
                        <w:pPr>
                          <w:pStyle w:val="TableParagraph"/>
                          <w:spacing w:before="2"/>
                          <w:ind w:left="30" w:right="74"/>
                          <w:rPr>
                            <w:sz w:val="15"/>
                          </w:rPr>
                        </w:pPr>
                        <w:r>
                          <w:rPr>
                            <w:sz w:val="15"/>
                          </w:rPr>
                          <w:t>0.74</w:t>
                        </w:r>
                      </w:p>
                    </w:tc>
                    <w:tc>
                      <w:tcPr>
                        <w:tcW w:w="124" w:type="dxa"/>
                      </w:tcPr>
                      <w:p>
                        <w:pPr/>
                      </w:p>
                    </w:tc>
                    <w:tc>
                      <w:tcPr>
                        <w:tcW w:w="1506" w:type="dxa"/>
                      </w:tcPr>
                      <w:p>
                        <w:pPr>
                          <w:pStyle w:val="TableParagraph"/>
                          <w:spacing w:before="2"/>
                          <w:ind w:left="68" w:right="82"/>
                          <w:rPr>
                            <w:sz w:val="15"/>
                          </w:rPr>
                        </w:pPr>
                        <w:r>
                          <w:rPr>
                            <w:w w:val="95"/>
                            <w:sz w:val="15"/>
                          </w:rPr>
                          <w:t>-0.513208 - 0.531562i</w:t>
                        </w:r>
                      </w:p>
                    </w:tc>
                    <w:tc>
                      <w:tcPr>
                        <w:tcW w:w="706" w:type="dxa"/>
                      </w:tcPr>
                      <w:p>
                        <w:pPr>
                          <w:pStyle w:val="TableParagraph"/>
                          <w:spacing w:before="2"/>
                          <w:ind w:left="74" w:right="91"/>
                          <w:rPr>
                            <w:sz w:val="15"/>
                          </w:rPr>
                        </w:pPr>
                        <w:r>
                          <w:rPr>
                            <w:sz w:val="15"/>
                          </w:rPr>
                          <w:t>0.74</w:t>
                        </w:r>
                      </w:p>
                    </w:tc>
                    <w:tc>
                      <w:tcPr>
                        <w:tcW w:w="133" w:type="dxa"/>
                      </w:tcPr>
                      <w:p>
                        <w:pPr/>
                      </w:p>
                    </w:tc>
                    <w:tc>
                      <w:tcPr>
                        <w:tcW w:w="1528" w:type="dxa"/>
                      </w:tcPr>
                      <w:p>
                        <w:pPr>
                          <w:pStyle w:val="TableParagraph"/>
                          <w:spacing w:before="2"/>
                          <w:ind w:left="58" w:right="112"/>
                          <w:rPr>
                            <w:sz w:val="15"/>
                          </w:rPr>
                        </w:pPr>
                        <w:r>
                          <w:rPr>
                            <w:w w:val="95"/>
                            <w:sz w:val="15"/>
                          </w:rPr>
                          <w:t>-0.709464 - 0.173613i</w:t>
                        </w:r>
                      </w:p>
                    </w:tc>
                    <w:tc>
                      <w:tcPr>
                        <w:tcW w:w="808" w:type="dxa"/>
                      </w:tcPr>
                      <w:p>
                        <w:pPr>
                          <w:pStyle w:val="TableParagraph"/>
                          <w:spacing w:before="2"/>
                          <w:ind w:left="105" w:right="162"/>
                          <w:rPr>
                            <w:sz w:val="15"/>
                          </w:rPr>
                        </w:pPr>
                        <w:r>
                          <w:rPr>
                            <w:sz w:val="15"/>
                          </w:rPr>
                          <w:t>0.73</w:t>
                        </w:r>
                      </w:p>
                    </w:tc>
                  </w:tr>
                  <w:tr>
                    <w:trPr>
                      <w:trHeight w:val="194" w:hRule="exact"/>
                    </w:trPr>
                    <w:tc>
                      <w:tcPr>
                        <w:tcW w:w="1404" w:type="dxa"/>
                      </w:tcPr>
                      <w:p>
                        <w:pPr>
                          <w:pStyle w:val="TableParagraph"/>
                          <w:spacing w:before="2"/>
                          <w:ind w:right="89"/>
                          <w:jc w:val="right"/>
                          <w:rPr>
                            <w:sz w:val="15"/>
                          </w:rPr>
                        </w:pPr>
                        <w:r>
                          <w:rPr>
                            <w:w w:val="95"/>
                            <w:sz w:val="15"/>
                          </w:rPr>
                          <w:t>0.544668 - 0.321006i</w:t>
                        </w:r>
                      </w:p>
                    </w:tc>
                    <w:tc>
                      <w:tcPr>
                        <w:tcW w:w="649" w:type="dxa"/>
                      </w:tcPr>
                      <w:p>
                        <w:pPr>
                          <w:pStyle w:val="TableParagraph"/>
                          <w:spacing w:before="2"/>
                          <w:ind w:left="34" w:right="73"/>
                          <w:rPr>
                            <w:sz w:val="15"/>
                          </w:rPr>
                        </w:pPr>
                        <w:r>
                          <w:rPr>
                            <w:sz w:val="15"/>
                          </w:rPr>
                          <w:t>0.63</w:t>
                        </w:r>
                      </w:p>
                    </w:tc>
                    <w:tc>
                      <w:tcPr>
                        <w:tcW w:w="97" w:type="dxa"/>
                      </w:tcPr>
                      <w:p>
                        <w:pPr/>
                      </w:p>
                    </w:tc>
                    <w:tc>
                      <w:tcPr>
                        <w:tcW w:w="1399" w:type="dxa"/>
                      </w:tcPr>
                      <w:p>
                        <w:pPr>
                          <w:pStyle w:val="TableParagraph"/>
                          <w:spacing w:before="2"/>
                          <w:ind w:left="6" w:right="11"/>
                          <w:rPr>
                            <w:sz w:val="15"/>
                          </w:rPr>
                        </w:pPr>
                        <w:r>
                          <w:rPr>
                            <w:w w:val="95"/>
                            <w:sz w:val="15"/>
                          </w:rPr>
                          <w:t>0.722832 + 0.176126i</w:t>
                        </w:r>
                      </w:p>
                    </w:tc>
                    <w:tc>
                      <w:tcPr>
                        <w:tcW w:w="645" w:type="dxa"/>
                      </w:tcPr>
                      <w:p>
                        <w:pPr>
                          <w:pStyle w:val="TableParagraph"/>
                          <w:spacing w:before="2"/>
                          <w:ind w:left="30" w:right="74"/>
                          <w:rPr>
                            <w:sz w:val="15"/>
                          </w:rPr>
                        </w:pPr>
                        <w:r>
                          <w:rPr>
                            <w:sz w:val="15"/>
                          </w:rPr>
                          <w:t>0.74</w:t>
                        </w:r>
                      </w:p>
                    </w:tc>
                    <w:tc>
                      <w:tcPr>
                        <w:tcW w:w="124" w:type="dxa"/>
                      </w:tcPr>
                      <w:p>
                        <w:pPr/>
                      </w:p>
                    </w:tc>
                    <w:tc>
                      <w:tcPr>
                        <w:tcW w:w="1506" w:type="dxa"/>
                      </w:tcPr>
                      <w:p>
                        <w:pPr>
                          <w:pStyle w:val="TableParagraph"/>
                          <w:spacing w:before="2"/>
                          <w:ind w:left="68" w:right="90"/>
                          <w:rPr>
                            <w:sz w:val="15"/>
                          </w:rPr>
                        </w:pPr>
                        <w:r>
                          <w:rPr>
                            <w:w w:val="95"/>
                            <w:sz w:val="15"/>
                          </w:rPr>
                          <w:t>-0.513208 + 0.531562i</w:t>
                        </w:r>
                      </w:p>
                    </w:tc>
                    <w:tc>
                      <w:tcPr>
                        <w:tcW w:w="706" w:type="dxa"/>
                      </w:tcPr>
                      <w:p>
                        <w:pPr>
                          <w:pStyle w:val="TableParagraph"/>
                          <w:spacing w:before="2"/>
                          <w:ind w:left="74" w:right="91"/>
                          <w:rPr>
                            <w:sz w:val="15"/>
                          </w:rPr>
                        </w:pPr>
                        <w:r>
                          <w:rPr>
                            <w:sz w:val="15"/>
                          </w:rPr>
                          <w:t>0.74</w:t>
                        </w:r>
                      </w:p>
                    </w:tc>
                    <w:tc>
                      <w:tcPr>
                        <w:tcW w:w="133" w:type="dxa"/>
                      </w:tcPr>
                      <w:p>
                        <w:pPr/>
                      </w:p>
                    </w:tc>
                    <w:tc>
                      <w:tcPr>
                        <w:tcW w:w="1528" w:type="dxa"/>
                      </w:tcPr>
                      <w:p>
                        <w:pPr>
                          <w:pStyle w:val="TableParagraph"/>
                          <w:spacing w:before="2"/>
                          <w:ind w:left="58" w:right="112"/>
                          <w:rPr>
                            <w:sz w:val="15"/>
                          </w:rPr>
                        </w:pPr>
                        <w:r>
                          <w:rPr>
                            <w:w w:val="95"/>
                            <w:sz w:val="15"/>
                          </w:rPr>
                          <w:t>-0.280792 - 0.640450i</w:t>
                        </w:r>
                      </w:p>
                    </w:tc>
                    <w:tc>
                      <w:tcPr>
                        <w:tcW w:w="808" w:type="dxa"/>
                      </w:tcPr>
                      <w:p>
                        <w:pPr>
                          <w:pStyle w:val="TableParagraph"/>
                          <w:spacing w:before="2"/>
                          <w:ind w:left="105" w:right="162"/>
                          <w:rPr>
                            <w:sz w:val="15"/>
                          </w:rPr>
                        </w:pPr>
                        <w:r>
                          <w:rPr>
                            <w:sz w:val="15"/>
                          </w:rPr>
                          <w:t>0.70</w:t>
                        </w:r>
                      </w:p>
                    </w:tc>
                  </w:tr>
                  <w:tr>
                    <w:trPr>
                      <w:trHeight w:val="194" w:hRule="exact"/>
                    </w:trPr>
                    <w:tc>
                      <w:tcPr>
                        <w:tcW w:w="1404" w:type="dxa"/>
                      </w:tcPr>
                      <w:p>
                        <w:pPr>
                          <w:pStyle w:val="TableParagraph"/>
                          <w:spacing w:before="2"/>
                          <w:ind w:right="80"/>
                          <w:jc w:val="right"/>
                          <w:rPr>
                            <w:sz w:val="15"/>
                          </w:rPr>
                        </w:pPr>
                        <w:r>
                          <w:rPr>
                            <w:w w:val="95"/>
                            <w:sz w:val="15"/>
                          </w:rPr>
                          <w:t>0.544668 + 0.321006i</w:t>
                        </w:r>
                      </w:p>
                    </w:tc>
                    <w:tc>
                      <w:tcPr>
                        <w:tcW w:w="649" w:type="dxa"/>
                      </w:tcPr>
                      <w:p>
                        <w:pPr>
                          <w:pStyle w:val="TableParagraph"/>
                          <w:spacing w:before="2"/>
                          <w:ind w:left="34" w:right="73"/>
                          <w:rPr>
                            <w:sz w:val="15"/>
                          </w:rPr>
                        </w:pPr>
                        <w:r>
                          <w:rPr>
                            <w:sz w:val="15"/>
                          </w:rPr>
                          <w:t>0.63</w:t>
                        </w:r>
                      </w:p>
                    </w:tc>
                    <w:tc>
                      <w:tcPr>
                        <w:tcW w:w="97" w:type="dxa"/>
                      </w:tcPr>
                      <w:p>
                        <w:pPr/>
                      </w:p>
                    </w:tc>
                    <w:tc>
                      <w:tcPr>
                        <w:tcW w:w="1399" w:type="dxa"/>
                      </w:tcPr>
                      <w:p>
                        <w:pPr>
                          <w:pStyle w:val="TableParagraph"/>
                          <w:spacing w:before="2"/>
                          <w:ind w:left="6" w:right="46"/>
                          <w:rPr>
                            <w:sz w:val="15"/>
                          </w:rPr>
                        </w:pPr>
                        <w:r>
                          <w:rPr>
                            <w:w w:val="95"/>
                            <w:sz w:val="15"/>
                          </w:rPr>
                          <w:t>-0.627563 + 0.399270i</w:t>
                        </w:r>
                      </w:p>
                    </w:tc>
                    <w:tc>
                      <w:tcPr>
                        <w:tcW w:w="645" w:type="dxa"/>
                      </w:tcPr>
                      <w:p>
                        <w:pPr>
                          <w:pStyle w:val="TableParagraph"/>
                          <w:spacing w:before="2"/>
                          <w:ind w:left="30" w:right="74"/>
                          <w:rPr>
                            <w:sz w:val="15"/>
                          </w:rPr>
                        </w:pPr>
                        <w:r>
                          <w:rPr>
                            <w:sz w:val="15"/>
                          </w:rPr>
                          <w:t>0.74</w:t>
                        </w:r>
                      </w:p>
                    </w:tc>
                    <w:tc>
                      <w:tcPr>
                        <w:tcW w:w="124" w:type="dxa"/>
                      </w:tcPr>
                      <w:p>
                        <w:pPr/>
                      </w:p>
                    </w:tc>
                    <w:tc>
                      <w:tcPr>
                        <w:tcW w:w="1506" w:type="dxa"/>
                      </w:tcPr>
                      <w:p>
                        <w:pPr>
                          <w:pStyle w:val="TableParagraph"/>
                          <w:spacing w:before="2"/>
                          <w:ind w:left="68" w:right="58"/>
                          <w:rPr>
                            <w:sz w:val="15"/>
                          </w:rPr>
                        </w:pPr>
                        <w:r>
                          <w:rPr>
                            <w:w w:val="95"/>
                            <w:sz w:val="15"/>
                          </w:rPr>
                          <w:t>0.700646 + 0.055775i</w:t>
                        </w:r>
                      </w:p>
                    </w:tc>
                    <w:tc>
                      <w:tcPr>
                        <w:tcW w:w="706" w:type="dxa"/>
                      </w:tcPr>
                      <w:p>
                        <w:pPr>
                          <w:pStyle w:val="TableParagraph"/>
                          <w:spacing w:before="2"/>
                          <w:ind w:left="74" w:right="91"/>
                          <w:rPr>
                            <w:sz w:val="15"/>
                          </w:rPr>
                        </w:pPr>
                        <w:r>
                          <w:rPr>
                            <w:sz w:val="15"/>
                          </w:rPr>
                          <w:t>0.70</w:t>
                        </w:r>
                      </w:p>
                    </w:tc>
                    <w:tc>
                      <w:tcPr>
                        <w:tcW w:w="133" w:type="dxa"/>
                      </w:tcPr>
                      <w:p>
                        <w:pPr/>
                      </w:p>
                    </w:tc>
                    <w:tc>
                      <w:tcPr>
                        <w:tcW w:w="1528" w:type="dxa"/>
                      </w:tcPr>
                      <w:p>
                        <w:pPr>
                          <w:pStyle w:val="TableParagraph"/>
                          <w:spacing w:before="2"/>
                          <w:ind w:left="58" w:right="121"/>
                          <w:rPr>
                            <w:sz w:val="15"/>
                          </w:rPr>
                        </w:pPr>
                        <w:r>
                          <w:rPr>
                            <w:w w:val="95"/>
                            <w:sz w:val="15"/>
                          </w:rPr>
                          <w:t>-0.280792 + 0.640450i</w:t>
                        </w:r>
                      </w:p>
                    </w:tc>
                    <w:tc>
                      <w:tcPr>
                        <w:tcW w:w="808" w:type="dxa"/>
                      </w:tcPr>
                      <w:p>
                        <w:pPr>
                          <w:pStyle w:val="TableParagraph"/>
                          <w:spacing w:before="2"/>
                          <w:ind w:left="105" w:right="162"/>
                          <w:rPr>
                            <w:sz w:val="15"/>
                          </w:rPr>
                        </w:pPr>
                        <w:r>
                          <w:rPr>
                            <w:sz w:val="15"/>
                          </w:rPr>
                          <w:t>0.70</w:t>
                        </w:r>
                      </w:p>
                    </w:tc>
                  </w:tr>
                  <w:tr>
                    <w:trPr>
                      <w:trHeight w:val="194" w:hRule="exact"/>
                    </w:trPr>
                    <w:tc>
                      <w:tcPr>
                        <w:tcW w:w="1404" w:type="dxa"/>
                      </w:tcPr>
                      <w:p>
                        <w:pPr>
                          <w:pStyle w:val="TableParagraph"/>
                          <w:spacing w:before="2"/>
                          <w:ind w:right="80"/>
                          <w:jc w:val="right"/>
                          <w:rPr>
                            <w:sz w:val="15"/>
                          </w:rPr>
                        </w:pPr>
                        <w:r>
                          <w:rPr>
                            <w:w w:val="95"/>
                            <w:sz w:val="15"/>
                          </w:rPr>
                          <w:t>0.164097 + 0.502188i</w:t>
                        </w:r>
                      </w:p>
                    </w:tc>
                    <w:tc>
                      <w:tcPr>
                        <w:tcW w:w="649" w:type="dxa"/>
                      </w:tcPr>
                      <w:p>
                        <w:pPr>
                          <w:pStyle w:val="TableParagraph"/>
                          <w:spacing w:before="2"/>
                          <w:ind w:left="34" w:right="73"/>
                          <w:rPr>
                            <w:sz w:val="15"/>
                          </w:rPr>
                        </w:pPr>
                        <w:r>
                          <w:rPr>
                            <w:sz w:val="15"/>
                          </w:rPr>
                          <w:t>0.53</w:t>
                        </w:r>
                      </w:p>
                    </w:tc>
                    <w:tc>
                      <w:tcPr>
                        <w:tcW w:w="97" w:type="dxa"/>
                      </w:tcPr>
                      <w:p>
                        <w:pPr/>
                      </w:p>
                    </w:tc>
                    <w:tc>
                      <w:tcPr>
                        <w:tcW w:w="1399" w:type="dxa"/>
                      </w:tcPr>
                      <w:p>
                        <w:pPr>
                          <w:pStyle w:val="TableParagraph"/>
                          <w:spacing w:before="2"/>
                          <w:ind w:left="3" w:right="52"/>
                          <w:rPr>
                            <w:sz w:val="15"/>
                          </w:rPr>
                        </w:pPr>
                        <w:r>
                          <w:rPr>
                            <w:w w:val="95"/>
                            <w:sz w:val="15"/>
                          </w:rPr>
                          <w:t>-0.627563 - 0.399270i</w:t>
                        </w:r>
                      </w:p>
                    </w:tc>
                    <w:tc>
                      <w:tcPr>
                        <w:tcW w:w="645" w:type="dxa"/>
                      </w:tcPr>
                      <w:p>
                        <w:pPr>
                          <w:pStyle w:val="TableParagraph"/>
                          <w:spacing w:before="2"/>
                          <w:ind w:left="30" w:right="74"/>
                          <w:rPr>
                            <w:sz w:val="15"/>
                          </w:rPr>
                        </w:pPr>
                        <w:r>
                          <w:rPr>
                            <w:sz w:val="15"/>
                          </w:rPr>
                          <w:t>0.74</w:t>
                        </w:r>
                      </w:p>
                    </w:tc>
                    <w:tc>
                      <w:tcPr>
                        <w:tcW w:w="124" w:type="dxa"/>
                      </w:tcPr>
                      <w:p>
                        <w:pPr/>
                      </w:p>
                    </w:tc>
                    <w:tc>
                      <w:tcPr>
                        <w:tcW w:w="1506" w:type="dxa"/>
                      </w:tcPr>
                      <w:p>
                        <w:pPr>
                          <w:pStyle w:val="TableParagraph"/>
                          <w:spacing w:before="2"/>
                          <w:ind w:left="68" w:right="49"/>
                          <w:rPr>
                            <w:sz w:val="15"/>
                          </w:rPr>
                        </w:pPr>
                        <w:r>
                          <w:rPr>
                            <w:w w:val="95"/>
                            <w:sz w:val="15"/>
                          </w:rPr>
                          <w:t>0.700646 - 0.055775i</w:t>
                        </w:r>
                      </w:p>
                    </w:tc>
                    <w:tc>
                      <w:tcPr>
                        <w:tcW w:w="706" w:type="dxa"/>
                      </w:tcPr>
                      <w:p>
                        <w:pPr>
                          <w:pStyle w:val="TableParagraph"/>
                          <w:spacing w:before="2"/>
                          <w:ind w:left="74" w:right="91"/>
                          <w:rPr>
                            <w:sz w:val="15"/>
                          </w:rPr>
                        </w:pPr>
                        <w:r>
                          <w:rPr>
                            <w:sz w:val="15"/>
                          </w:rPr>
                          <w:t>0.70</w:t>
                        </w:r>
                      </w:p>
                    </w:tc>
                    <w:tc>
                      <w:tcPr>
                        <w:tcW w:w="133" w:type="dxa"/>
                      </w:tcPr>
                      <w:p>
                        <w:pPr/>
                      </w:p>
                    </w:tc>
                    <w:tc>
                      <w:tcPr>
                        <w:tcW w:w="1528" w:type="dxa"/>
                      </w:tcPr>
                      <w:p>
                        <w:pPr>
                          <w:pStyle w:val="TableParagraph"/>
                          <w:spacing w:before="2"/>
                          <w:ind w:left="58" w:right="121"/>
                          <w:rPr>
                            <w:sz w:val="15"/>
                          </w:rPr>
                        </w:pPr>
                        <w:r>
                          <w:rPr>
                            <w:w w:val="95"/>
                            <w:sz w:val="15"/>
                          </w:rPr>
                          <w:t>-0.507680 + 0.476447i</w:t>
                        </w:r>
                      </w:p>
                    </w:tc>
                    <w:tc>
                      <w:tcPr>
                        <w:tcW w:w="808" w:type="dxa"/>
                      </w:tcPr>
                      <w:p>
                        <w:pPr>
                          <w:pStyle w:val="TableParagraph"/>
                          <w:spacing w:before="2"/>
                          <w:ind w:left="105" w:right="162"/>
                          <w:rPr>
                            <w:sz w:val="15"/>
                          </w:rPr>
                        </w:pPr>
                        <w:r>
                          <w:rPr>
                            <w:sz w:val="15"/>
                          </w:rPr>
                          <w:t>0.70</w:t>
                        </w:r>
                      </w:p>
                    </w:tc>
                  </w:tr>
                  <w:tr>
                    <w:trPr>
                      <w:trHeight w:val="194" w:hRule="exact"/>
                    </w:trPr>
                    <w:tc>
                      <w:tcPr>
                        <w:tcW w:w="1404" w:type="dxa"/>
                      </w:tcPr>
                      <w:p>
                        <w:pPr>
                          <w:pStyle w:val="TableParagraph"/>
                          <w:spacing w:before="2"/>
                          <w:ind w:right="89"/>
                          <w:jc w:val="right"/>
                          <w:rPr>
                            <w:sz w:val="15"/>
                          </w:rPr>
                        </w:pPr>
                        <w:r>
                          <w:rPr>
                            <w:w w:val="95"/>
                            <w:sz w:val="15"/>
                          </w:rPr>
                          <w:t>0.164097 - 0.502188i</w:t>
                        </w:r>
                      </w:p>
                    </w:tc>
                    <w:tc>
                      <w:tcPr>
                        <w:tcW w:w="649" w:type="dxa"/>
                      </w:tcPr>
                      <w:p>
                        <w:pPr>
                          <w:pStyle w:val="TableParagraph"/>
                          <w:spacing w:before="2"/>
                          <w:ind w:left="34" w:right="73"/>
                          <w:rPr>
                            <w:sz w:val="15"/>
                          </w:rPr>
                        </w:pPr>
                        <w:r>
                          <w:rPr>
                            <w:sz w:val="15"/>
                          </w:rPr>
                          <w:t>0.53</w:t>
                        </w:r>
                      </w:p>
                    </w:tc>
                    <w:tc>
                      <w:tcPr>
                        <w:tcW w:w="97" w:type="dxa"/>
                      </w:tcPr>
                      <w:p>
                        <w:pPr/>
                      </w:p>
                    </w:tc>
                    <w:tc>
                      <w:tcPr>
                        <w:tcW w:w="1399" w:type="dxa"/>
                      </w:tcPr>
                      <w:p>
                        <w:pPr>
                          <w:pStyle w:val="TableParagraph"/>
                          <w:spacing w:before="2"/>
                          <w:ind w:right="52"/>
                          <w:rPr>
                            <w:sz w:val="15"/>
                          </w:rPr>
                        </w:pPr>
                        <w:r>
                          <w:rPr>
                            <w:sz w:val="15"/>
                          </w:rPr>
                          <w:t>-0.69</w:t>
                        </w:r>
                      </w:p>
                    </w:tc>
                    <w:tc>
                      <w:tcPr>
                        <w:tcW w:w="645" w:type="dxa"/>
                      </w:tcPr>
                      <w:p>
                        <w:pPr>
                          <w:pStyle w:val="TableParagraph"/>
                          <w:spacing w:before="2"/>
                          <w:ind w:left="30" w:right="74"/>
                          <w:rPr>
                            <w:sz w:val="15"/>
                          </w:rPr>
                        </w:pPr>
                        <w:r>
                          <w:rPr>
                            <w:sz w:val="15"/>
                          </w:rPr>
                          <w:t>0.69</w:t>
                        </w:r>
                      </w:p>
                    </w:tc>
                    <w:tc>
                      <w:tcPr>
                        <w:tcW w:w="124" w:type="dxa"/>
                      </w:tcPr>
                      <w:p>
                        <w:pPr/>
                      </w:p>
                    </w:tc>
                    <w:tc>
                      <w:tcPr>
                        <w:tcW w:w="1506" w:type="dxa"/>
                      </w:tcPr>
                      <w:p>
                        <w:pPr>
                          <w:pStyle w:val="TableParagraph"/>
                          <w:spacing w:before="2"/>
                          <w:ind w:left="68" w:right="82"/>
                          <w:rPr>
                            <w:sz w:val="15"/>
                          </w:rPr>
                        </w:pPr>
                        <w:r>
                          <w:rPr>
                            <w:w w:val="95"/>
                            <w:sz w:val="15"/>
                          </w:rPr>
                          <w:t>-0.159780 - 0.595531i</w:t>
                        </w:r>
                      </w:p>
                    </w:tc>
                    <w:tc>
                      <w:tcPr>
                        <w:tcW w:w="706" w:type="dxa"/>
                      </w:tcPr>
                      <w:p>
                        <w:pPr>
                          <w:pStyle w:val="TableParagraph"/>
                          <w:spacing w:before="2"/>
                          <w:ind w:left="74" w:right="91"/>
                          <w:rPr>
                            <w:sz w:val="15"/>
                          </w:rPr>
                        </w:pPr>
                        <w:r>
                          <w:rPr>
                            <w:sz w:val="15"/>
                          </w:rPr>
                          <w:t>0.62</w:t>
                        </w:r>
                      </w:p>
                    </w:tc>
                    <w:tc>
                      <w:tcPr>
                        <w:tcW w:w="133" w:type="dxa"/>
                      </w:tcPr>
                      <w:p>
                        <w:pPr/>
                      </w:p>
                    </w:tc>
                    <w:tc>
                      <w:tcPr>
                        <w:tcW w:w="1528" w:type="dxa"/>
                      </w:tcPr>
                      <w:p>
                        <w:pPr>
                          <w:pStyle w:val="TableParagraph"/>
                          <w:spacing w:before="2"/>
                          <w:ind w:left="58" w:right="112"/>
                          <w:rPr>
                            <w:sz w:val="15"/>
                          </w:rPr>
                        </w:pPr>
                        <w:r>
                          <w:rPr>
                            <w:w w:val="95"/>
                            <w:sz w:val="15"/>
                          </w:rPr>
                          <w:t>-0.507680 - 0.476447i</w:t>
                        </w:r>
                      </w:p>
                    </w:tc>
                    <w:tc>
                      <w:tcPr>
                        <w:tcW w:w="808" w:type="dxa"/>
                      </w:tcPr>
                      <w:p>
                        <w:pPr>
                          <w:pStyle w:val="TableParagraph"/>
                          <w:spacing w:before="2"/>
                          <w:ind w:left="105" w:right="162"/>
                          <w:rPr>
                            <w:sz w:val="15"/>
                          </w:rPr>
                        </w:pPr>
                        <w:r>
                          <w:rPr>
                            <w:sz w:val="15"/>
                          </w:rPr>
                          <w:t>0.70</w:t>
                        </w:r>
                      </w:p>
                    </w:tc>
                  </w:tr>
                  <w:tr>
                    <w:trPr>
                      <w:trHeight w:val="194" w:hRule="exact"/>
                    </w:trPr>
                    <w:tc>
                      <w:tcPr>
                        <w:tcW w:w="1404" w:type="dxa"/>
                      </w:tcPr>
                      <w:p>
                        <w:pPr>
                          <w:pStyle w:val="TableParagraph"/>
                          <w:spacing w:before="2"/>
                          <w:ind w:right="71"/>
                          <w:jc w:val="right"/>
                          <w:rPr>
                            <w:sz w:val="15"/>
                          </w:rPr>
                        </w:pPr>
                        <w:r>
                          <w:rPr>
                            <w:w w:val="95"/>
                            <w:sz w:val="15"/>
                          </w:rPr>
                          <w:t>-0.262448 + 0.411924i</w:t>
                        </w:r>
                      </w:p>
                    </w:tc>
                    <w:tc>
                      <w:tcPr>
                        <w:tcW w:w="649" w:type="dxa"/>
                      </w:tcPr>
                      <w:p>
                        <w:pPr>
                          <w:pStyle w:val="TableParagraph"/>
                          <w:spacing w:before="2"/>
                          <w:ind w:left="34" w:right="73"/>
                          <w:rPr>
                            <w:sz w:val="15"/>
                          </w:rPr>
                        </w:pPr>
                        <w:r>
                          <w:rPr>
                            <w:sz w:val="15"/>
                          </w:rPr>
                          <w:t>0.49</w:t>
                        </w:r>
                      </w:p>
                    </w:tc>
                    <w:tc>
                      <w:tcPr>
                        <w:tcW w:w="97" w:type="dxa"/>
                      </w:tcPr>
                      <w:p>
                        <w:pPr/>
                      </w:p>
                    </w:tc>
                    <w:tc>
                      <w:tcPr>
                        <w:tcW w:w="1399" w:type="dxa"/>
                      </w:tcPr>
                      <w:p>
                        <w:pPr>
                          <w:pStyle w:val="TableParagraph"/>
                          <w:spacing w:before="2"/>
                          <w:ind w:left="6" w:right="46"/>
                          <w:rPr>
                            <w:sz w:val="15"/>
                          </w:rPr>
                        </w:pPr>
                        <w:r>
                          <w:rPr>
                            <w:w w:val="95"/>
                            <w:sz w:val="15"/>
                          </w:rPr>
                          <w:t>-0.525661 + 0.395092i</w:t>
                        </w:r>
                      </w:p>
                    </w:tc>
                    <w:tc>
                      <w:tcPr>
                        <w:tcW w:w="645" w:type="dxa"/>
                      </w:tcPr>
                      <w:p>
                        <w:pPr>
                          <w:pStyle w:val="TableParagraph"/>
                          <w:spacing w:before="2"/>
                          <w:ind w:left="30" w:right="74"/>
                          <w:rPr>
                            <w:sz w:val="15"/>
                          </w:rPr>
                        </w:pPr>
                        <w:r>
                          <w:rPr>
                            <w:sz w:val="15"/>
                          </w:rPr>
                          <w:t>0.66</w:t>
                        </w:r>
                      </w:p>
                    </w:tc>
                    <w:tc>
                      <w:tcPr>
                        <w:tcW w:w="124" w:type="dxa"/>
                      </w:tcPr>
                      <w:p>
                        <w:pPr/>
                      </w:p>
                    </w:tc>
                    <w:tc>
                      <w:tcPr>
                        <w:tcW w:w="1506" w:type="dxa"/>
                      </w:tcPr>
                      <w:p>
                        <w:pPr>
                          <w:pStyle w:val="TableParagraph"/>
                          <w:spacing w:before="2"/>
                          <w:ind w:left="68" w:right="90"/>
                          <w:rPr>
                            <w:sz w:val="15"/>
                          </w:rPr>
                        </w:pPr>
                        <w:r>
                          <w:rPr>
                            <w:w w:val="95"/>
                            <w:sz w:val="15"/>
                          </w:rPr>
                          <w:t>-0.159780 + 0.595531i</w:t>
                        </w:r>
                      </w:p>
                    </w:tc>
                    <w:tc>
                      <w:tcPr>
                        <w:tcW w:w="706" w:type="dxa"/>
                      </w:tcPr>
                      <w:p>
                        <w:pPr>
                          <w:pStyle w:val="TableParagraph"/>
                          <w:spacing w:before="2"/>
                          <w:ind w:left="74" w:right="91"/>
                          <w:rPr>
                            <w:sz w:val="15"/>
                          </w:rPr>
                        </w:pPr>
                        <w:r>
                          <w:rPr>
                            <w:sz w:val="15"/>
                          </w:rPr>
                          <w:t>0.62</w:t>
                        </w:r>
                      </w:p>
                    </w:tc>
                    <w:tc>
                      <w:tcPr>
                        <w:tcW w:w="133" w:type="dxa"/>
                      </w:tcPr>
                      <w:p>
                        <w:pPr/>
                      </w:p>
                    </w:tc>
                    <w:tc>
                      <w:tcPr>
                        <w:tcW w:w="1528" w:type="dxa"/>
                      </w:tcPr>
                      <w:p>
                        <w:pPr>
                          <w:pStyle w:val="TableParagraph"/>
                          <w:spacing w:before="2"/>
                          <w:ind w:left="58" w:right="76"/>
                          <w:rPr>
                            <w:sz w:val="15"/>
                          </w:rPr>
                        </w:pPr>
                        <w:r>
                          <w:rPr>
                            <w:w w:val="95"/>
                            <w:sz w:val="15"/>
                          </w:rPr>
                          <w:t>0.547314 - 0.168745i</w:t>
                        </w:r>
                      </w:p>
                    </w:tc>
                    <w:tc>
                      <w:tcPr>
                        <w:tcW w:w="808" w:type="dxa"/>
                      </w:tcPr>
                      <w:p>
                        <w:pPr>
                          <w:pStyle w:val="TableParagraph"/>
                          <w:spacing w:before="2"/>
                          <w:ind w:left="105" w:right="162"/>
                          <w:rPr>
                            <w:sz w:val="15"/>
                          </w:rPr>
                        </w:pPr>
                        <w:r>
                          <w:rPr>
                            <w:sz w:val="15"/>
                          </w:rPr>
                          <w:t>0.57</w:t>
                        </w:r>
                      </w:p>
                    </w:tc>
                  </w:tr>
                  <w:tr>
                    <w:trPr>
                      <w:trHeight w:val="194" w:hRule="exact"/>
                    </w:trPr>
                    <w:tc>
                      <w:tcPr>
                        <w:tcW w:w="1404" w:type="dxa"/>
                      </w:tcPr>
                      <w:p>
                        <w:pPr>
                          <w:pStyle w:val="TableParagraph"/>
                          <w:spacing w:before="2"/>
                          <w:ind w:right="80"/>
                          <w:jc w:val="right"/>
                          <w:rPr>
                            <w:sz w:val="15"/>
                          </w:rPr>
                        </w:pPr>
                        <w:r>
                          <w:rPr>
                            <w:w w:val="95"/>
                            <w:sz w:val="15"/>
                          </w:rPr>
                          <w:t>-0.262448 - 0.411924i</w:t>
                        </w:r>
                      </w:p>
                    </w:tc>
                    <w:tc>
                      <w:tcPr>
                        <w:tcW w:w="649" w:type="dxa"/>
                      </w:tcPr>
                      <w:p>
                        <w:pPr>
                          <w:pStyle w:val="TableParagraph"/>
                          <w:spacing w:before="2"/>
                          <w:ind w:left="34" w:right="73"/>
                          <w:rPr>
                            <w:sz w:val="15"/>
                          </w:rPr>
                        </w:pPr>
                        <w:r>
                          <w:rPr>
                            <w:sz w:val="15"/>
                          </w:rPr>
                          <w:t>0.49</w:t>
                        </w:r>
                      </w:p>
                    </w:tc>
                    <w:tc>
                      <w:tcPr>
                        <w:tcW w:w="97" w:type="dxa"/>
                      </w:tcPr>
                      <w:p>
                        <w:pPr/>
                      </w:p>
                    </w:tc>
                    <w:tc>
                      <w:tcPr>
                        <w:tcW w:w="1399" w:type="dxa"/>
                      </w:tcPr>
                      <w:p>
                        <w:pPr>
                          <w:pStyle w:val="TableParagraph"/>
                          <w:spacing w:before="2"/>
                          <w:ind w:left="3" w:right="52"/>
                          <w:rPr>
                            <w:sz w:val="15"/>
                          </w:rPr>
                        </w:pPr>
                        <w:r>
                          <w:rPr>
                            <w:w w:val="95"/>
                            <w:sz w:val="15"/>
                          </w:rPr>
                          <w:t>-0.525661 - 0.395092i</w:t>
                        </w:r>
                      </w:p>
                    </w:tc>
                    <w:tc>
                      <w:tcPr>
                        <w:tcW w:w="645" w:type="dxa"/>
                      </w:tcPr>
                      <w:p>
                        <w:pPr>
                          <w:pStyle w:val="TableParagraph"/>
                          <w:spacing w:before="2"/>
                          <w:ind w:left="30" w:right="74"/>
                          <w:rPr>
                            <w:sz w:val="15"/>
                          </w:rPr>
                        </w:pPr>
                        <w:r>
                          <w:rPr>
                            <w:sz w:val="15"/>
                          </w:rPr>
                          <w:t>0.66</w:t>
                        </w:r>
                      </w:p>
                    </w:tc>
                    <w:tc>
                      <w:tcPr>
                        <w:tcW w:w="124" w:type="dxa"/>
                      </w:tcPr>
                      <w:p>
                        <w:pPr/>
                      </w:p>
                    </w:tc>
                    <w:tc>
                      <w:tcPr>
                        <w:tcW w:w="1506" w:type="dxa"/>
                      </w:tcPr>
                      <w:p>
                        <w:pPr>
                          <w:pStyle w:val="TableParagraph"/>
                          <w:spacing w:before="2"/>
                          <w:ind w:left="54" w:right="90"/>
                          <w:rPr>
                            <w:sz w:val="15"/>
                          </w:rPr>
                        </w:pPr>
                        <w:r>
                          <w:rPr>
                            <w:sz w:val="15"/>
                          </w:rPr>
                          <w:t>-0.59</w:t>
                        </w:r>
                      </w:p>
                    </w:tc>
                    <w:tc>
                      <w:tcPr>
                        <w:tcW w:w="706" w:type="dxa"/>
                      </w:tcPr>
                      <w:p>
                        <w:pPr>
                          <w:pStyle w:val="TableParagraph"/>
                          <w:spacing w:before="2"/>
                          <w:ind w:left="74" w:right="91"/>
                          <w:rPr>
                            <w:sz w:val="15"/>
                          </w:rPr>
                        </w:pPr>
                        <w:r>
                          <w:rPr>
                            <w:sz w:val="15"/>
                          </w:rPr>
                          <w:t>0.59</w:t>
                        </w:r>
                      </w:p>
                    </w:tc>
                    <w:tc>
                      <w:tcPr>
                        <w:tcW w:w="133" w:type="dxa"/>
                      </w:tcPr>
                      <w:p>
                        <w:pPr/>
                      </w:p>
                    </w:tc>
                    <w:tc>
                      <w:tcPr>
                        <w:tcW w:w="1528" w:type="dxa"/>
                      </w:tcPr>
                      <w:p>
                        <w:pPr>
                          <w:pStyle w:val="TableParagraph"/>
                          <w:spacing w:before="2"/>
                          <w:ind w:left="58" w:right="85"/>
                          <w:rPr>
                            <w:sz w:val="15"/>
                          </w:rPr>
                        </w:pPr>
                        <w:r>
                          <w:rPr>
                            <w:w w:val="95"/>
                            <w:sz w:val="15"/>
                          </w:rPr>
                          <w:t>0.547314 + 0.168745i</w:t>
                        </w:r>
                      </w:p>
                    </w:tc>
                    <w:tc>
                      <w:tcPr>
                        <w:tcW w:w="808" w:type="dxa"/>
                      </w:tcPr>
                      <w:p>
                        <w:pPr>
                          <w:pStyle w:val="TableParagraph"/>
                          <w:spacing w:before="2"/>
                          <w:ind w:left="105" w:right="162"/>
                          <w:rPr>
                            <w:sz w:val="15"/>
                          </w:rPr>
                        </w:pPr>
                        <w:r>
                          <w:rPr>
                            <w:sz w:val="15"/>
                          </w:rPr>
                          <w:t>0.57</w:t>
                        </w:r>
                      </w:p>
                    </w:tc>
                  </w:tr>
                  <w:tr>
                    <w:trPr>
                      <w:trHeight w:val="193" w:hRule="exact"/>
                    </w:trPr>
                    <w:tc>
                      <w:tcPr>
                        <w:tcW w:w="1404" w:type="dxa"/>
                        <w:tcBorders>
                          <w:bottom w:val="double" w:sz="4" w:space="0" w:color="000000"/>
                        </w:tcBorders>
                      </w:tcPr>
                      <w:p>
                        <w:pPr>
                          <w:pStyle w:val="TableParagraph"/>
                          <w:spacing w:before="2"/>
                          <w:ind w:left="497" w:right="553"/>
                          <w:rPr>
                            <w:sz w:val="15"/>
                          </w:rPr>
                        </w:pPr>
                        <w:r>
                          <w:rPr>
                            <w:sz w:val="15"/>
                          </w:rPr>
                          <w:t>-0.42</w:t>
                        </w:r>
                      </w:p>
                    </w:tc>
                    <w:tc>
                      <w:tcPr>
                        <w:tcW w:w="649" w:type="dxa"/>
                        <w:tcBorders>
                          <w:bottom w:val="double" w:sz="4" w:space="0" w:color="000000"/>
                        </w:tcBorders>
                      </w:tcPr>
                      <w:p>
                        <w:pPr>
                          <w:pStyle w:val="TableParagraph"/>
                          <w:spacing w:before="2"/>
                          <w:ind w:left="34" w:right="73"/>
                          <w:rPr>
                            <w:sz w:val="15"/>
                          </w:rPr>
                        </w:pPr>
                        <w:r>
                          <w:rPr>
                            <w:sz w:val="15"/>
                          </w:rPr>
                          <w:t>0.42</w:t>
                        </w:r>
                      </w:p>
                    </w:tc>
                    <w:tc>
                      <w:tcPr>
                        <w:tcW w:w="97" w:type="dxa"/>
                      </w:tcPr>
                      <w:p>
                        <w:pPr/>
                      </w:p>
                    </w:tc>
                    <w:tc>
                      <w:tcPr>
                        <w:tcW w:w="1399" w:type="dxa"/>
                        <w:tcBorders>
                          <w:bottom w:val="double" w:sz="4" w:space="0" w:color="000000"/>
                        </w:tcBorders>
                      </w:tcPr>
                      <w:p>
                        <w:pPr>
                          <w:pStyle w:val="TableParagraph"/>
                          <w:spacing w:before="2"/>
                          <w:ind w:right="52"/>
                          <w:rPr>
                            <w:sz w:val="15"/>
                          </w:rPr>
                        </w:pPr>
                        <w:r>
                          <w:rPr>
                            <w:sz w:val="15"/>
                          </w:rPr>
                          <w:t>-0.17</w:t>
                        </w:r>
                      </w:p>
                    </w:tc>
                    <w:tc>
                      <w:tcPr>
                        <w:tcW w:w="645" w:type="dxa"/>
                        <w:tcBorders>
                          <w:bottom w:val="double" w:sz="4" w:space="0" w:color="000000"/>
                        </w:tcBorders>
                      </w:tcPr>
                      <w:p>
                        <w:pPr>
                          <w:pStyle w:val="TableParagraph"/>
                          <w:spacing w:before="2"/>
                          <w:ind w:left="30" w:right="74"/>
                          <w:rPr>
                            <w:sz w:val="15"/>
                          </w:rPr>
                        </w:pPr>
                        <w:r>
                          <w:rPr>
                            <w:sz w:val="15"/>
                          </w:rPr>
                          <w:t>0.17</w:t>
                        </w:r>
                      </w:p>
                    </w:tc>
                    <w:tc>
                      <w:tcPr>
                        <w:tcW w:w="124" w:type="dxa"/>
                      </w:tcPr>
                      <w:p>
                        <w:pPr/>
                      </w:p>
                    </w:tc>
                    <w:tc>
                      <w:tcPr>
                        <w:tcW w:w="1506" w:type="dxa"/>
                        <w:tcBorders>
                          <w:bottom w:val="double" w:sz="4" w:space="0" w:color="000000"/>
                        </w:tcBorders>
                      </w:tcPr>
                      <w:p>
                        <w:pPr>
                          <w:pStyle w:val="TableParagraph"/>
                          <w:spacing w:before="2"/>
                          <w:ind w:left="55" w:right="90"/>
                          <w:rPr>
                            <w:sz w:val="15"/>
                          </w:rPr>
                        </w:pPr>
                        <w:r>
                          <w:rPr>
                            <w:sz w:val="15"/>
                          </w:rPr>
                          <w:t>0.01</w:t>
                        </w:r>
                      </w:p>
                    </w:tc>
                    <w:tc>
                      <w:tcPr>
                        <w:tcW w:w="706" w:type="dxa"/>
                        <w:tcBorders>
                          <w:bottom w:val="double" w:sz="4" w:space="0" w:color="000000"/>
                        </w:tcBorders>
                      </w:tcPr>
                      <w:p>
                        <w:pPr>
                          <w:pStyle w:val="TableParagraph"/>
                          <w:spacing w:before="2"/>
                          <w:ind w:left="74" w:right="91"/>
                          <w:rPr>
                            <w:sz w:val="15"/>
                          </w:rPr>
                        </w:pPr>
                        <w:r>
                          <w:rPr>
                            <w:sz w:val="15"/>
                          </w:rPr>
                          <w:t>0.01</w:t>
                        </w:r>
                      </w:p>
                    </w:tc>
                    <w:tc>
                      <w:tcPr>
                        <w:tcW w:w="133" w:type="dxa"/>
                      </w:tcPr>
                      <w:p>
                        <w:pPr/>
                      </w:p>
                    </w:tc>
                    <w:tc>
                      <w:tcPr>
                        <w:tcW w:w="1528" w:type="dxa"/>
                        <w:tcBorders>
                          <w:bottom w:val="double" w:sz="4" w:space="0" w:color="000000"/>
                        </w:tcBorders>
                      </w:tcPr>
                      <w:p>
                        <w:pPr>
                          <w:pStyle w:val="TableParagraph"/>
                          <w:spacing w:before="2"/>
                          <w:ind w:left="47" w:right="121"/>
                          <w:rPr>
                            <w:sz w:val="15"/>
                          </w:rPr>
                        </w:pPr>
                        <w:r>
                          <w:rPr>
                            <w:sz w:val="15"/>
                          </w:rPr>
                          <w:t>-0.31</w:t>
                        </w:r>
                      </w:p>
                    </w:tc>
                    <w:tc>
                      <w:tcPr>
                        <w:tcW w:w="808" w:type="dxa"/>
                        <w:tcBorders>
                          <w:bottom w:val="double" w:sz="4" w:space="0" w:color="000000"/>
                        </w:tcBorders>
                      </w:tcPr>
                      <w:p>
                        <w:pPr>
                          <w:pStyle w:val="TableParagraph"/>
                          <w:spacing w:before="2"/>
                          <w:ind w:left="105" w:right="162"/>
                          <w:rPr>
                            <w:sz w:val="15"/>
                          </w:rPr>
                        </w:pPr>
                        <w:r>
                          <w:rPr>
                            <w:sz w:val="15"/>
                          </w:rPr>
                          <w:t>0.31</w:t>
                        </w:r>
                      </w:p>
                    </w:tc>
                  </w:tr>
                </w:tbl>
                <w:p>
                  <w:pPr>
                    <w:pStyle w:val="BodyText"/>
                  </w:pPr>
                </w:p>
              </w:txbxContent>
            </v:textbox>
            <w10:wrap type="none"/>
          </v:shape>
        </w:pict>
      </w:r>
      <w:r>
        <w:rPr>
          <w:sz w:val="15"/>
        </w:rPr>
        <w:t>Nº de rezagos = 4</w:t>
      </w: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spacing w:before="1"/>
        <w:rPr>
          <w:sz w:val="12"/>
        </w:rPr>
      </w:pPr>
    </w:p>
    <w:p>
      <w:pPr>
        <w:spacing w:line="271" w:lineRule="auto" w:before="0"/>
        <w:ind w:left="733" w:right="-17" w:firstLine="0"/>
        <w:jc w:val="left"/>
        <w:rPr>
          <w:sz w:val="15"/>
        </w:rPr>
      </w:pPr>
      <w:r>
        <w:rPr>
          <w:spacing w:val="-4"/>
          <w:sz w:val="15"/>
        </w:rPr>
        <w:t>Precaución:</w:t>
      </w:r>
      <w:r>
        <w:rPr>
          <w:spacing w:val="-30"/>
          <w:sz w:val="15"/>
        </w:rPr>
        <w:t> </w:t>
      </w:r>
      <w:r>
        <w:rPr>
          <w:spacing w:val="-3"/>
          <w:sz w:val="15"/>
        </w:rPr>
        <w:t>Al</w:t>
      </w:r>
      <w:r>
        <w:rPr>
          <w:spacing w:val="-30"/>
          <w:sz w:val="15"/>
        </w:rPr>
        <w:t> </w:t>
      </w:r>
      <w:r>
        <w:rPr>
          <w:spacing w:val="-5"/>
          <w:sz w:val="15"/>
        </w:rPr>
        <w:t>menos</w:t>
      </w:r>
      <w:r>
        <w:rPr>
          <w:spacing w:val="-27"/>
          <w:sz w:val="15"/>
        </w:rPr>
        <w:t> </w:t>
      </w:r>
      <w:r>
        <w:rPr>
          <w:spacing w:val="-7"/>
          <w:sz w:val="15"/>
        </w:rPr>
        <w:t>una</w:t>
      </w:r>
      <w:r>
        <w:rPr>
          <w:spacing w:val="-27"/>
          <w:sz w:val="15"/>
        </w:rPr>
        <w:t> </w:t>
      </w:r>
      <w:r>
        <w:rPr>
          <w:spacing w:val="-5"/>
          <w:sz w:val="15"/>
        </w:rPr>
        <w:t>raiz</w:t>
      </w:r>
      <w:r>
        <w:rPr>
          <w:spacing w:val="-29"/>
          <w:sz w:val="15"/>
        </w:rPr>
        <w:t> </w:t>
      </w:r>
      <w:r>
        <w:rPr>
          <w:sz w:val="15"/>
        </w:rPr>
        <w:t>cae </w:t>
      </w:r>
      <w:r>
        <w:rPr>
          <w:spacing w:val="-5"/>
          <w:w w:val="95"/>
          <w:sz w:val="15"/>
        </w:rPr>
        <w:t>fuera </w:t>
      </w:r>
      <w:r>
        <w:rPr>
          <w:w w:val="95"/>
          <w:sz w:val="15"/>
        </w:rPr>
        <w:t>del </w:t>
      </w:r>
      <w:r>
        <w:rPr>
          <w:spacing w:val="-6"/>
          <w:w w:val="95"/>
          <w:sz w:val="15"/>
        </w:rPr>
        <w:t>circulo</w:t>
      </w:r>
      <w:r>
        <w:rPr>
          <w:spacing w:val="-18"/>
          <w:w w:val="95"/>
          <w:sz w:val="15"/>
        </w:rPr>
        <w:t> </w:t>
      </w:r>
      <w:r>
        <w:rPr>
          <w:spacing w:val="-7"/>
          <w:w w:val="95"/>
          <w:sz w:val="15"/>
        </w:rPr>
        <w:t>unitario</w:t>
      </w:r>
    </w:p>
    <w:p>
      <w:pPr>
        <w:pStyle w:val="BodyText"/>
        <w:spacing w:before="8"/>
        <w:rPr>
          <w:sz w:val="13"/>
        </w:rPr>
      </w:pPr>
    </w:p>
    <w:p>
      <w:pPr>
        <w:spacing w:before="0"/>
        <w:ind w:left="733" w:right="-17" w:firstLine="0"/>
        <w:jc w:val="left"/>
        <w:rPr>
          <w:sz w:val="15"/>
        </w:rPr>
      </w:pPr>
      <w:r>
        <w:rPr>
          <w:spacing w:val="-4"/>
          <w:sz w:val="15"/>
        </w:rPr>
        <w:t>El </w:t>
      </w:r>
      <w:r>
        <w:rPr>
          <w:spacing w:val="-5"/>
          <w:sz w:val="15"/>
        </w:rPr>
        <w:t>modelo </w:t>
      </w:r>
      <w:r>
        <w:rPr>
          <w:spacing w:val="-4"/>
          <w:sz w:val="15"/>
        </w:rPr>
        <w:t>VAR </w:t>
      </w:r>
      <w:r>
        <w:rPr>
          <w:spacing w:val="-5"/>
          <w:sz w:val="15"/>
        </w:rPr>
        <w:t>no satisface </w:t>
      </w:r>
      <w:r>
        <w:rPr>
          <w:spacing w:val="-7"/>
          <w:sz w:val="15"/>
        </w:rPr>
        <w:t>la</w:t>
      </w:r>
    </w:p>
    <w:p>
      <w:pPr>
        <w:spacing w:before="79"/>
        <w:ind w:left="995" w:right="-16" w:firstLine="0"/>
        <w:jc w:val="left"/>
        <w:rPr>
          <w:b/>
          <w:sz w:val="15"/>
        </w:rPr>
      </w:pPr>
      <w:r>
        <w:rPr/>
        <w:br w:type="column"/>
      </w:r>
      <w:r>
        <w:rPr>
          <w:b/>
          <w:color w:val="FF0000"/>
          <w:w w:val="95"/>
          <w:sz w:val="15"/>
        </w:rPr>
        <w:t>Modelo B</w:t>
      </w:r>
    </w:p>
    <w:p>
      <w:pPr>
        <w:spacing w:before="22"/>
        <w:ind w:left="800" w:right="-16" w:firstLine="0"/>
        <w:jc w:val="left"/>
        <w:rPr>
          <w:sz w:val="15"/>
        </w:rPr>
      </w:pPr>
      <w:r>
        <w:rPr>
          <w:sz w:val="15"/>
        </w:rPr>
        <w:t>Nº de rezagos = 4</w:t>
      </w: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spacing w:before="1"/>
        <w:rPr>
          <w:sz w:val="12"/>
        </w:rPr>
      </w:pPr>
    </w:p>
    <w:p>
      <w:pPr>
        <w:spacing w:line="271" w:lineRule="auto" w:before="0"/>
        <w:ind w:left="287" w:right="-16" w:firstLine="0"/>
        <w:jc w:val="left"/>
        <w:rPr>
          <w:sz w:val="15"/>
        </w:rPr>
      </w:pPr>
      <w:r>
        <w:rPr>
          <w:spacing w:val="-4"/>
          <w:sz w:val="15"/>
        </w:rPr>
        <w:t>Precaución:</w:t>
      </w:r>
      <w:r>
        <w:rPr>
          <w:spacing w:val="-30"/>
          <w:sz w:val="15"/>
        </w:rPr>
        <w:t> </w:t>
      </w:r>
      <w:r>
        <w:rPr>
          <w:spacing w:val="-3"/>
          <w:sz w:val="15"/>
        </w:rPr>
        <w:t>Al</w:t>
      </w:r>
      <w:r>
        <w:rPr>
          <w:spacing w:val="-30"/>
          <w:sz w:val="15"/>
        </w:rPr>
        <w:t> </w:t>
      </w:r>
      <w:r>
        <w:rPr>
          <w:spacing w:val="-5"/>
          <w:sz w:val="15"/>
        </w:rPr>
        <w:t>menos</w:t>
      </w:r>
      <w:r>
        <w:rPr>
          <w:spacing w:val="-27"/>
          <w:sz w:val="15"/>
        </w:rPr>
        <w:t> </w:t>
      </w:r>
      <w:r>
        <w:rPr>
          <w:spacing w:val="-7"/>
          <w:sz w:val="15"/>
        </w:rPr>
        <w:t>una</w:t>
      </w:r>
      <w:r>
        <w:rPr>
          <w:spacing w:val="-27"/>
          <w:sz w:val="15"/>
        </w:rPr>
        <w:t> </w:t>
      </w:r>
      <w:r>
        <w:rPr>
          <w:spacing w:val="-5"/>
          <w:sz w:val="15"/>
        </w:rPr>
        <w:t>raiz</w:t>
      </w:r>
      <w:r>
        <w:rPr>
          <w:spacing w:val="-29"/>
          <w:sz w:val="15"/>
        </w:rPr>
        <w:t> </w:t>
      </w:r>
      <w:r>
        <w:rPr>
          <w:sz w:val="15"/>
        </w:rPr>
        <w:t>cae </w:t>
      </w:r>
      <w:r>
        <w:rPr>
          <w:spacing w:val="-5"/>
          <w:w w:val="95"/>
          <w:sz w:val="15"/>
        </w:rPr>
        <w:t>fuera </w:t>
      </w:r>
      <w:r>
        <w:rPr>
          <w:w w:val="95"/>
          <w:sz w:val="15"/>
        </w:rPr>
        <w:t>del </w:t>
      </w:r>
      <w:r>
        <w:rPr>
          <w:spacing w:val="-6"/>
          <w:w w:val="95"/>
          <w:sz w:val="15"/>
        </w:rPr>
        <w:t>circulo</w:t>
      </w:r>
      <w:r>
        <w:rPr>
          <w:spacing w:val="-18"/>
          <w:w w:val="95"/>
          <w:sz w:val="15"/>
        </w:rPr>
        <w:t> </w:t>
      </w:r>
      <w:r>
        <w:rPr>
          <w:spacing w:val="-7"/>
          <w:w w:val="95"/>
          <w:sz w:val="15"/>
        </w:rPr>
        <w:t>unitario</w:t>
      </w:r>
    </w:p>
    <w:p>
      <w:pPr>
        <w:pStyle w:val="BodyText"/>
        <w:spacing w:before="8"/>
        <w:rPr>
          <w:sz w:val="13"/>
        </w:rPr>
      </w:pPr>
    </w:p>
    <w:p>
      <w:pPr>
        <w:spacing w:before="0"/>
        <w:ind w:left="287" w:right="-16" w:firstLine="0"/>
        <w:jc w:val="left"/>
        <w:rPr>
          <w:sz w:val="15"/>
        </w:rPr>
      </w:pPr>
      <w:r>
        <w:rPr>
          <w:spacing w:val="-4"/>
          <w:sz w:val="15"/>
        </w:rPr>
        <w:t>El </w:t>
      </w:r>
      <w:r>
        <w:rPr>
          <w:spacing w:val="-5"/>
          <w:sz w:val="15"/>
        </w:rPr>
        <w:t>modelo </w:t>
      </w:r>
      <w:r>
        <w:rPr>
          <w:spacing w:val="-4"/>
          <w:sz w:val="15"/>
        </w:rPr>
        <w:t>VAR </w:t>
      </w:r>
      <w:r>
        <w:rPr>
          <w:spacing w:val="-5"/>
          <w:sz w:val="15"/>
        </w:rPr>
        <w:t>no satisface </w:t>
      </w:r>
      <w:r>
        <w:rPr>
          <w:spacing w:val="-7"/>
          <w:sz w:val="15"/>
        </w:rPr>
        <w:t>la</w:t>
      </w:r>
    </w:p>
    <w:p>
      <w:pPr>
        <w:spacing w:before="79"/>
        <w:ind w:left="1101" w:right="-13" w:firstLine="0"/>
        <w:jc w:val="left"/>
        <w:rPr>
          <w:b/>
          <w:sz w:val="15"/>
        </w:rPr>
      </w:pPr>
      <w:r>
        <w:rPr/>
        <w:br w:type="column"/>
      </w:r>
      <w:r>
        <w:rPr>
          <w:b/>
          <w:color w:val="FF0000"/>
          <w:w w:val="95"/>
          <w:sz w:val="15"/>
        </w:rPr>
        <w:t>Modelo C</w:t>
      </w:r>
    </w:p>
    <w:p>
      <w:pPr>
        <w:spacing w:before="22"/>
        <w:ind w:left="906" w:right="-13" w:firstLine="0"/>
        <w:jc w:val="left"/>
        <w:rPr>
          <w:sz w:val="15"/>
        </w:rPr>
      </w:pPr>
      <w:r>
        <w:rPr>
          <w:sz w:val="15"/>
        </w:rPr>
        <w:t>Nº de rezagos = 4</w:t>
      </w: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spacing w:before="1"/>
        <w:rPr>
          <w:sz w:val="12"/>
        </w:rPr>
      </w:pPr>
    </w:p>
    <w:p>
      <w:pPr>
        <w:spacing w:line="271" w:lineRule="auto" w:before="0"/>
        <w:ind w:left="305" w:right="-13" w:firstLine="0"/>
        <w:jc w:val="left"/>
        <w:rPr>
          <w:sz w:val="15"/>
        </w:rPr>
      </w:pPr>
      <w:r>
        <w:rPr>
          <w:spacing w:val="-4"/>
          <w:sz w:val="15"/>
        </w:rPr>
        <w:t>Precaución:</w:t>
      </w:r>
      <w:r>
        <w:rPr>
          <w:spacing w:val="-30"/>
          <w:sz w:val="15"/>
        </w:rPr>
        <w:t> </w:t>
      </w:r>
      <w:r>
        <w:rPr>
          <w:spacing w:val="-3"/>
          <w:sz w:val="15"/>
        </w:rPr>
        <w:t>Al</w:t>
      </w:r>
      <w:r>
        <w:rPr>
          <w:spacing w:val="-30"/>
          <w:sz w:val="15"/>
        </w:rPr>
        <w:t> </w:t>
      </w:r>
      <w:r>
        <w:rPr>
          <w:spacing w:val="-5"/>
          <w:sz w:val="15"/>
        </w:rPr>
        <w:t>menos</w:t>
      </w:r>
      <w:r>
        <w:rPr>
          <w:spacing w:val="-26"/>
          <w:sz w:val="15"/>
        </w:rPr>
        <w:t> </w:t>
      </w:r>
      <w:r>
        <w:rPr>
          <w:spacing w:val="-7"/>
          <w:sz w:val="15"/>
        </w:rPr>
        <w:t>una</w:t>
      </w:r>
      <w:r>
        <w:rPr>
          <w:spacing w:val="-26"/>
          <w:sz w:val="15"/>
        </w:rPr>
        <w:t> </w:t>
      </w:r>
      <w:r>
        <w:rPr>
          <w:spacing w:val="-5"/>
          <w:sz w:val="15"/>
        </w:rPr>
        <w:t>raiz</w:t>
      </w:r>
      <w:r>
        <w:rPr>
          <w:spacing w:val="-29"/>
          <w:sz w:val="15"/>
        </w:rPr>
        <w:t> </w:t>
      </w:r>
      <w:r>
        <w:rPr>
          <w:sz w:val="15"/>
        </w:rPr>
        <w:t>cae</w:t>
      </w:r>
      <w:r>
        <w:rPr>
          <w:spacing w:val="-26"/>
          <w:sz w:val="15"/>
        </w:rPr>
        <w:t> </w:t>
      </w:r>
      <w:r>
        <w:rPr>
          <w:spacing w:val="-5"/>
          <w:sz w:val="15"/>
        </w:rPr>
        <w:t>fuera </w:t>
      </w:r>
      <w:r>
        <w:rPr>
          <w:w w:val="95"/>
          <w:sz w:val="15"/>
        </w:rPr>
        <w:t>del </w:t>
      </w:r>
      <w:r>
        <w:rPr>
          <w:spacing w:val="-6"/>
          <w:w w:val="95"/>
          <w:sz w:val="15"/>
        </w:rPr>
        <w:t>circulo</w:t>
      </w:r>
      <w:r>
        <w:rPr>
          <w:spacing w:val="-19"/>
          <w:w w:val="95"/>
          <w:sz w:val="15"/>
        </w:rPr>
        <w:t> </w:t>
      </w:r>
      <w:r>
        <w:rPr>
          <w:spacing w:val="-7"/>
          <w:w w:val="95"/>
          <w:sz w:val="15"/>
        </w:rPr>
        <w:t>unitario</w:t>
      </w:r>
    </w:p>
    <w:p>
      <w:pPr>
        <w:pStyle w:val="BodyText"/>
        <w:spacing w:before="8"/>
        <w:rPr>
          <w:sz w:val="13"/>
        </w:rPr>
      </w:pPr>
    </w:p>
    <w:p>
      <w:pPr>
        <w:spacing w:before="0"/>
        <w:ind w:left="305" w:right="-13" w:firstLine="0"/>
        <w:jc w:val="left"/>
        <w:rPr>
          <w:sz w:val="15"/>
        </w:rPr>
      </w:pPr>
      <w:r>
        <w:rPr>
          <w:sz w:val="15"/>
        </w:rPr>
        <w:t>El modelo VAR no satisface la</w:t>
      </w:r>
    </w:p>
    <w:p>
      <w:pPr>
        <w:spacing w:before="79"/>
        <w:ind w:left="1013" w:right="962" w:firstLine="0"/>
        <w:jc w:val="center"/>
        <w:rPr>
          <w:b/>
          <w:sz w:val="15"/>
        </w:rPr>
      </w:pPr>
      <w:r>
        <w:rPr/>
        <w:br w:type="column"/>
      </w:r>
      <w:r>
        <w:rPr>
          <w:b/>
          <w:color w:val="FF0000"/>
          <w:w w:val="95"/>
          <w:sz w:val="15"/>
        </w:rPr>
        <w:t>Modelo D</w:t>
      </w:r>
    </w:p>
    <w:p>
      <w:pPr>
        <w:spacing w:before="22"/>
        <w:ind w:left="845" w:right="290" w:firstLine="0"/>
        <w:jc w:val="left"/>
        <w:rPr>
          <w:sz w:val="15"/>
        </w:rPr>
      </w:pPr>
      <w:r>
        <w:rPr>
          <w:sz w:val="15"/>
        </w:rPr>
        <w:t>Nº de rezagos = 4</w:t>
      </w: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spacing w:before="1"/>
        <w:rPr>
          <w:sz w:val="12"/>
        </w:rPr>
      </w:pPr>
    </w:p>
    <w:p>
      <w:pPr>
        <w:spacing w:line="271" w:lineRule="auto" w:before="0"/>
        <w:ind w:left="181" w:right="290" w:firstLine="0"/>
        <w:jc w:val="left"/>
        <w:rPr>
          <w:sz w:val="15"/>
        </w:rPr>
      </w:pPr>
      <w:r>
        <w:rPr>
          <w:spacing w:val="-4"/>
          <w:sz w:val="15"/>
        </w:rPr>
        <w:t>Precaución:</w:t>
      </w:r>
      <w:r>
        <w:rPr>
          <w:spacing w:val="-29"/>
          <w:sz w:val="15"/>
        </w:rPr>
        <w:t> </w:t>
      </w:r>
      <w:r>
        <w:rPr>
          <w:spacing w:val="-3"/>
          <w:sz w:val="15"/>
        </w:rPr>
        <w:t>Al</w:t>
      </w:r>
      <w:r>
        <w:rPr>
          <w:spacing w:val="-29"/>
          <w:sz w:val="15"/>
        </w:rPr>
        <w:t> </w:t>
      </w:r>
      <w:r>
        <w:rPr>
          <w:spacing w:val="-5"/>
          <w:sz w:val="15"/>
        </w:rPr>
        <w:t>menos</w:t>
      </w:r>
      <w:r>
        <w:rPr>
          <w:spacing w:val="-25"/>
          <w:sz w:val="15"/>
        </w:rPr>
        <w:t> </w:t>
      </w:r>
      <w:r>
        <w:rPr>
          <w:spacing w:val="-7"/>
          <w:sz w:val="15"/>
        </w:rPr>
        <w:t>una</w:t>
      </w:r>
      <w:r>
        <w:rPr>
          <w:spacing w:val="-25"/>
          <w:sz w:val="15"/>
        </w:rPr>
        <w:t> </w:t>
      </w:r>
      <w:r>
        <w:rPr>
          <w:spacing w:val="-5"/>
          <w:sz w:val="15"/>
        </w:rPr>
        <w:t>raiz</w:t>
      </w:r>
      <w:r>
        <w:rPr>
          <w:spacing w:val="-28"/>
          <w:sz w:val="15"/>
        </w:rPr>
        <w:t> </w:t>
      </w:r>
      <w:r>
        <w:rPr>
          <w:sz w:val="15"/>
        </w:rPr>
        <w:t>cae</w:t>
      </w:r>
      <w:r>
        <w:rPr>
          <w:spacing w:val="-25"/>
          <w:sz w:val="15"/>
        </w:rPr>
        <w:t> </w:t>
      </w:r>
      <w:r>
        <w:rPr>
          <w:spacing w:val="-5"/>
          <w:sz w:val="15"/>
        </w:rPr>
        <w:t>fuera </w:t>
      </w:r>
      <w:r>
        <w:rPr>
          <w:w w:val="95"/>
          <w:sz w:val="15"/>
        </w:rPr>
        <w:t>del </w:t>
      </w:r>
      <w:r>
        <w:rPr>
          <w:spacing w:val="-6"/>
          <w:w w:val="95"/>
          <w:sz w:val="15"/>
        </w:rPr>
        <w:t>circulo</w:t>
      </w:r>
      <w:r>
        <w:rPr>
          <w:spacing w:val="-19"/>
          <w:w w:val="95"/>
          <w:sz w:val="15"/>
        </w:rPr>
        <w:t> </w:t>
      </w:r>
      <w:r>
        <w:rPr>
          <w:spacing w:val="-7"/>
          <w:w w:val="95"/>
          <w:sz w:val="15"/>
        </w:rPr>
        <w:t>unitario</w:t>
      </w:r>
    </w:p>
    <w:p>
      <w:pPr>
        <w:pStyle w:val="BodyText"/>
        <w:spacing w:before="8"/>
        <w:rPr>
          <w:sz w:val="13"/>
        </w:rPr>
      </w:pPr>
    </w:p>
    <w:p>
      <w:pPr>
        <w:spacing w:before="0"/>
        <w:ind w:left="181" w:right="0" w:firstLine="0"/>
        <w:jc w:val="left"/>
        <w:rPr>
          <w:sz w:val="15"/>
        </w:rPr>
      </w:pPr>
      <w:r>
        <w:rPr>
          <w:spacing w:val="-4"/>
          <w:sz w:val="15"/>
        </w:rPr>
        <w:t>El </w:t>
      </w:r>
      <w:r>
        <w:rPr>
          <w:spacing w:val="-5"/>
          <w:sz w:val="15"/>
        </w:rPr>
        <w:t>modelo </w:t>
      </w:r>
      <w:r>
        <w:rPr>
          <w:spacing w:val="-4"/>
          <w:sz w:val="15"/>
        </w:rPr>
        <w:t>VAR </w:t>
      </w:r>
      <w:r>
        <w:rPr>
          <w:spacing w:val="-5"/>
          <w:sz w:val="15"/>
        </w:rPr>
        <w:t>no satisface </w:t>
      </w:r>
      <w:r>
        <w:rPr>
          <w:spacing w:val="-7"/>
          <w:sz w:val="15"/>
        </w:rPr>
        <w:t>la </w:t>
      </w:r>
      <w:r>
        <w:rPr>
          <w:spacing w:val="-5"/>
          <w:sz w:val="15"/>
        </w:rPr>
        <w:t>condición</w:t>
      </w:r>
    </w:p>
    <w:p>
      <w:pPr>
        <w:spacing w:after="0"/>
        <w:jc w:val="left"/>
        <w:rPr>
          <w:sz w:val="15"/>
        </w:rPr>
        <w:sectPr>
          <w:type w:val="continuous"/>
          <w:pgSz w:w="12250" w:h="15850"/>
          <w:pgMar w:top="1500" w:bottom="280" w:left="1600" w:right="820"/>
          <w:cols w:num="4" w:equalWidth="0">
            <w:col w:w="2556" w:space="40"/>
            <w:col w:w="2111" w:space="40"/>
            <w:col w:w="2429" w:space="40"/>
            <w:col w:w="2614"/>
          </w:cols>
        </w:sectPr>
      </w:pPr>
    </w:p>
    <w:p>
      <w:pPr>
        <w:tabs>
          <w:tab w:pos="2768" w:val="left" w:leader="none"/>
          <w:tab w:pos="4909" w:val="left" w:leader="none"/>
        </w:tabs>
        <w:spacing w:before="22"/>
        <w:ind w:left="715" w:right="0" w:firstLine="0"/>
        <w:jc w:val="left"/>
        <w:rPr>
          <w:sz w:val="15"/>
        </w:rPr>
      </w:pPr>
      <w:r>
        <w:rPr>
          <w:spacing w:val="-18"/>
          <w:w w:val="94"/>
          <w:sz w:val="15"/>
          <w:u w:val="thick"/>
        </w:rPr>
        <w:t> </w:t>
      </w:r>
      <w:r>
        <w:rPr>
          <w:spacing w:val="-5"/>
          <w:sz w:val="15"/>
          <w:u w:val="thick"/>
        </w:rPr>
        <w:t>condición</w:t>
      </w:r>
      <w:r>
        <w:rPr>
          <w:spacing w:val="-16"/>
          <w:sz w:val="15"/>
          <w:u w:val="thick"/>
        </w:rPr>
        <w:t> </w:t>
      </w:r>
      <w:r>
        <w:rPr>
          <w:sz w:val="15"/>
          <w:u w:val="thick"/>
        </w:rPr>
        <w:t>de</w:t>
      </w:r>
      <w:r>
        <w:rPr>
          <w:spacing w:val="-9"/>
          <w:sz w:val="15"/>
          <w:u w:val="thick"/>
        </w:rPr>
        <w:t> </w:t>
      </w:r>
      <w:r>
        <w:rPr>
          <w:spacing w:val="-5"/>
          <w:sz w:val="15"/>
          <w:u w:val="thick"/>
        </w:rPr>
        <w:t>estabilidad</w:t>
        <w:tab/>
      </w:r>
      <w:r>
        <w:rPr>
          <w:spacing w:val="-5"/>
          <w:sz w:val="15"/>
          <w:u w:val="thick"/>
        </w:rPr>
        <w:t>condición </w:t>
      </w:r>
      <w:r>
        <w:rPr>
          <w:sz w:val="15"/>
          <w:u w:val="thick"/>
        </w:rPr>
        <w:t>de</w:t>
      </w:r>
      <w:r>
        <w:rPr>
          <w:spacing w:val="-19"/>
          <w:sz w:val="15"/>
          <w:u w:val="thick"/>
        </w:rPr>
        <w:t> </w:t>
      </w:r>
      <w:r>
        <w:rPr>
          <w:spacing w:val="-5"/>
          <w:sz w:val="15"/>
          <w:u w:val="thick"/>
        </w:rPr>
        <w:t>estabilidad</w:t>
        <w:tab/>
      </w:r>
    </w:p>
    <w:p>
      <w:pPr>
        <w:tabs>
          <w:tab w:pos="2295" w:val="left" w:leader="none"/>
        </w:tabs>
        <w:spacing w:before="22"/>
        <w:ind w:left="83" w:right="0" w:firstLine="0"/>
        <w:jc w:val="left"/>
        <w:rPr>
          <w:sz w:val="15"/>
        </w:rPr>
      </w:pPr>
      <w:r>
        <w:rPr/>
        <w:br w:type="column"/>
      </w:r>
      <w:r>
        <w:rPr>
          <w:spacing w:val="-18"/>
          <w:w w:val="94"/>
          <w:sz w:val="15"/>
          <w:u w:val="thick"/>
        </w:rPr>
        <w:t> </w:t>
      </w:r>
      <w:r>
        <w:rPr>
          <w:spacing w:val="-5"/>
          <w:w w:val="95"/>
          <w:sz w:val="15"/>
          <w:u w:val="thick"/>
        </w:rPr>
        <w:t>condición </w:t>
      </w:r>
      <w:r>
        <w:rPr>
          <w:w w:val="95"/>
          <w:sz w:val="15"/>
          <w:u w:val="thick"/>
        </w:rPr>
        <w:t>de</w:t>
      </w:r>
      <w:r>
        <w:rPr>
          <w:spacing w:val="-5"/>
          <w:w w:val="95"/>
          <w:sz w:val="15"/>
          <w:u w:val="thick"/>
        </w:rPr>
        <w:t> estabilidad</w:t>
      </w:r>
      <w:r>
        <w:rPr>
          <w:spacing w:val="-5"/>
          <w:sz w:val="15"/>
          <w:u w:val="thick"/>
        </w:rPr>
        <w:tab/>
      </w:r>
    </w:p>
    <w:p>
      <w:pPr>
        <w:tabs>
          <w:tab w:pos="2428" w:val="left" w:leader="none"/>
        </w:tabs>
        <w:spacing w:before="22"/>
        <w:ind w:left="92" w:right="0" w:firstLine="0"/>
        <w:jc w:val="left"/>
        <w:rPr>
          <w:sz w:val="15"/>
        </w:rPr>
      </w:pPr>
      <w:r>
        <w:rPr/>
        <w:br w:type="column"/>
      </w:r>
      <w:r>
        <w:rPr>
          <w:spacing w:val="-18"/>
          <w:w w:val="94"/>
          <w:sz w:val="15"/>
          <w:u w:val="thick"/>
        </w:rPr>
        <w:t> </w:t>
      </w:r>
      <w:r>
        <w:rPr>
          <w:w w:val="95"/>
          <w:sz w:val="15"/>
          <w:u w:val="thick"/>
        </w:rPr>
        <w:t>de</w:t>
      </w:r>
      <w:r>
        <w:rPr>
          <w:spacing w:val="-4"/>
          <w:w w:val="95"/>
          <w:sz w:val="15"/>
          <w:u w:val="thick"/>
        </w:rPr>
        <w:t> </w:t>
      </w:r>
      <w:r>
        <w:rPr>
          <w:spacing w:val="-5"/>
          <w:w w:val="95"/>
          <w:sz w:val="15"/>
          <w:u w:val="thick"/>
        </w:rPr>
        <w:t>estabilidad</w:t>
      </w:r>
      <w:r>
        <w:rPr>
          <w:spacing w:val="-5"/>
          <w:sz w:val="15"/>
          <w:u w:val="thick"/>
        </w:rPr>
        <w:tab/>
      </w:r>
    </w:p>
    <w:p>
      <w:pPr>
        <w:spacing w:after="0"/>
        <w:jc w:val="left"/>
        <w:rPr>
          <w:sz w:val="15"/>
        </w:rPr>
        <w:sectPr>
          <w:type w:val="continuous"/>
          <w:pgSz w:w="12250" w:h="15850"/>
          <w:pgMar w:top="1500" w:bottom="280" w:left="1600" w:right="820"/>
          <w:cols w:num="3" w:equalWidth="0">
            <w:col w:w="4910" w:space="40"/>
            <w:col w:w="2296" w:space="40"/>
            <w:col w:w="2544"/>
          </w:cols>
        </w:sectPr>
      </w:pPr>
    </w:p>
    <w:p>
      <w:pPr>
        <w:pStyle w:val="BodyText"/>
        <w:spacing w:before="8"/>
        <w:rPr>
          <w:sz w:val="25"/>
        </w:rPr>
      </w:pPr>
    </w:p>
    <w:p>
      <w:pPr>
        <w:pStyle w:val="Heading4"/>
        <w:spacing w:before="69"/>
        <w:ind w:left="102" w:right="851" w:firstLine="0"/>
      </w:pPr>
      <w:bookmarkStart w:name="_bookmark186" w:id="251"/>
      <w:bookmarkEnd w:id="251"/>
      <w:r>
        <w:rPr>
          <w:b w:val="0"/>
        </w:rPr>
      </w:r>
      <w:r>
        <w:rPr/>
        <w:t>Anexo 4.6: Estabilidad de la modelación con base en un rezago</w:t>
      </w:r>
    </w:p>
    <w:p>
      <w:pPr>
        <w:pStyle w:val="BodyText"/>
        <w:rPr>
          <w:b/>
        </w:rPr>
      </w:pPr>
    </w:p>
    <w:p>
      <w:pPr>
        <w:pStyle w:val="BodyText"/>
        <w:spacing w:before="194"/>
        <w:ind w:right="783"/>
        <w:jc w:val="center"/>
      </w:pPr>
      <w:r>
        <w:rPr/>
        <w:t>Anexo 4.6 A: Prueba de hipótesis para la determinación del rezago</w:t>
      </w:r>
    </w:p>
    <w:p>
      <w:pPr>
        <w:pStyle w:val="BodyText"/>
        <w:spacing w:before="142"/>
        <w:ind w:right="828"/>
        <w:jc w:val="center"/>
        <w:rPr>
          <w:rFonts w:ascii="Cambria Math"/>
        </w:rPr>
      </w:pPr>
      <w:r>
        <w:rPr>
          <w:rFonts w:ascii="Cambria Math"/>
          <w:w w:val="276"/>
        </w:rPr>
        <w:t>  </w:t>
      </w:r>
      <w:r>
        <w:rPr>
          <w:rFonts w:ascii="Cambria Math"/>
          <w:w w:val="119"/>
        </w:rPr>
        <w:t> </w:t>
      </w:r>
      <w:r>
        <w:rPr>
          <w:rFonts w:ascii="Cambria Math"/>
        </w:rPr>
        <w:t> </w:t>
      </w:r>
      <w:r>
        <w:rPr>
          <w:rFonts w:ascii="Cambria Math"/>
          <w:spacing w:val="-2"/>
        </w:rPr>
        <w:t> </w:t>
      </w:r>
      <w:r>
        <w:rPr>
          <w:rFonts w:ascii="Cambria Math"/>
          <w:spacing w:val="1"/>
          <w:w w:val="192"/>
        </w:rPr>
        <w:t> </w:t>
      </w:r>
      <w:r>
        <w:rPr>
          <w:rFonts w:ascii="Cambria Math"/>
          <w:w w:val="192"/>
        </w:rPr>
        <w:t> </w:t>
      </w:r>
      <w:r>
        <w:rPr>
          <w:rFonts w:ascii="Cambria Math"/>
          <w:spacing w:val="-1"/>
        </w:rPr>
        <w:t> </w:t>
      </w:r>
      <w:r>
        <w:rPr>
          <w:rFonts w:ascii="Cambria Math"/>
          <w:w w:val="309"/>
        </w:rPr>
        <w:t> </w:t>
      </w:r>
      <w:r>
        <w:rPr>
          <w:rFonts w:ascii="Cambria Math"/>
          <w:spacing w:val="-1"/>
          <w:w w:val="309"/>
        </w:rPr>
        <w:t> </w:t>
      </w:r>
      <w:r>
        <w:rPr>
          <w:rFonts w:ascii="Cambria Math"/>
          <w:spacing w:val="-2"/>
          <w:w w:val="252"/>
        </w:rPr>
        <w:t> </w:t>
      </w:r>
      <w:r>
        <w:rPr>
          <w:rFonts w:ascii="Cambria Math"/>
          <w:w w:val="195"/>
        </w:rPr>
        <w:t>   </w:t>
      </w:r>
      <w:r>
        <w:rPr>
          <w:rFonts w:ascii="Cambria Math"/>
          <w:spacing w:val="2"/>
        </w:rPr>
        <w:t> </w:t>
      </w:r>
      <w:r>
        <w:rPr>
          <w:rFonts w:ascii="Cambria Math"/>
          <w:spacing w:val="-1"/>
          <w:w w:val="274"/>
        </w:rPr>
        <w:t> </w:t>
      </w:r>
      <w:r>
        <w:rPr>
          <w:rFonts w:ascii="Cambria Math"/>
          <w:spacing w:val="-1"/>
          <w:w w:val="282"/>
        </w:rPr>
        <w:t> </w:t>
      </w:r>
      <w:r>
        <w:rPr>
          <w:rFonts w:ascii="Cambria Math"/>
          <w:w w:val="281"/>
        </w:rPr>
        <w:t> </w:t>
      </w:r>
      <w:r>
        <w:rPr>
          <w:rFonts w:ascii="Cambria Math"/>
        </w:rPr>
        <w:t> </w:t>
      </w:r>
      <w:r>
        <w:rPr>
          <w:rFonts w:ascii="Cambria Math"/>
          <w:spacing w:val="2"/>
        </w:rPr>
        <w:t> </w:t>
      </w:r>
      <w:r>
        <w:rPr>
          <w:rFonts w:ascii="Cambria Math"/>
          <w:w w:val="194"/>
        </w:rPr>
        <w:t>     </w:t>
      </w:r>
      <w:r>
        <w:rPr>
          <w:rFonts w:ascii="Cambria Math"/>
          <w:w w:val="237"/>
        </w:rPr>
        <w:t>  </w:t>
      </w:r>
      <w:r>
        <w:rPr>
          <w:rFonts w:ascii="Cambria Math"/>
          <w:w w:val="221"/>
        </w:rPr>
        <w:t> </w:t>
      </w:r>
      <w:r>
        <w:rPr>
          <w:rFonts w:ascii="Cambria Math"/>
          <w:spacing w:val="1"/>
        </w:rPr>
        <w:t> </w:t>
      </w:r>
      <w:r>
        <w:rPr>
          <w:rFonts w:ascii="Cambria Math"/>
          <w:w w:val="251"/>
        </w:rPr>
        <w:t> </w:t>
      </w:r>
      <w:r>
        <w:rPr>
          <w:rFonts w:ascii="Cambria Math"/>
          <w:spacing w:val="-1"/>
        </w:rPr>
        <w:t> </w:t>
      </w:r>
      <w:r>
        <w:rPr>
          <w:rFonts w:ascii="Cambria Math"/>
          <w:spacing w:val="-1"/>
          <w:w w:val="187"/>
        </w:rPr>
        <w:t> </w:t>
      </w:r>
      <w:r>
        <w:rPr>
          <w:rFonts w:ascii="Cambria Math"/>
          <w:w w:val="214"/>
        </w:rPr>
        <w:t> </w:t>
      </w:r>
      <w:r>
        <w:rPr>
          <w:rFonts w:ascii="Cambria Math"/>
          <w:spacing w:val="-1"/>
          <w:w w:val="214"/>
        </w:rPr>
        <w:t> </w:t>
      </w:r>
      <w:r>
        <w:rPr>
          <w:rFonts w:ascii="Cambria Math"/>
          <w:w w:val="229"/>
        </w:rPr>
        <w:t>   </w:t>
      </w:r>
    </w:p>
    <w:p>
      <w:pPr>
        <w:pStyle w:val="BodyText"/>
        <w:spacing w:before="138"/>
        <w:ind w:right="776"/>
        <w:jc w:val="center"/>
        <w:rPr>
          <w:rFonts w:ascii="Cambria Math"/>
        </w:rPr>
      </w:pPr>
      <w:r>
        <w:rPr>
          <w:rFonts w:ascii="Cambria Math"/>
          <w:w w:val="281"/>
        </w:rPr>
        <w:t> </w:t>
      </w:r>
      <w:r>
        <w:rPr>
          <w:rFonts w:ascii="Cambria Math"/>
          <w:spacing w:val="-1"/>
          <w:w w:val="281"/>
        </w:rPr>
        <w:t> </w:t>
      </w:r>
      <w:r>
        <w:rPr>
          <w:rFonts w:ascii="Cambria Math"/>
          <w:w w:val="119"/>
        </w:rPr>
        <w:t> </w:t>
      </w:r>
      <w:r>
        <w:rPr>
          <w:rFonts w:ascii="Cambria Math"/>
          <w:spacing w:val="-13"/>
        </w:rPr>
        <w:t> </w:t>
      </w:r>
      <w:r>
        <w:rPr>
          <w:rFonts w:ascii="Cambria Math"/>
          <w:spacing w:val="1"/>
          <w:w w:val="192"/>
        </w:rPr>
        <w:t> </w:t>
      </w:r>
      <w:r>
        <w:rPr>
          <w:rFonts w:ascii="Cambria Math"/>
          <w:w w:val="192"/>
        </w:rPr>
        <w:t> </w:t>
      </w:r>
      <w:r>
        <w:rPr>
          <w:rFonts w:ascii="Cambria Math"/>
          <w:spacing w:val="-1"/>
        </w:rPr>
        <w:t> </w:t>
      </w:r>
      <w:r>
        <w:rPr>
          <w:rFonts w:ascii="Cambria Math"/>
          <w:w w:val="309"/>
        </w:rPr>
        <w:t> </w:t>
      </w:r>
      <w:r>
        <w:rPr>
          <w:rFonts w:ascii="Cambria Math"/>
          <w:spacing w:val="-1"/>
          <w:w w:val="309"/>
        </w:rPr>
        <w:t> </w:t>
      </w:r>
      <w:r>
        <w:rPr>
          <w:rFonts w:ascii="Cambria Math"/>
          <w:spacing w:val="-2"/>
          <w:w w:val="252"/>
        </w:rPr>
        <w:t> </w:t>
      </w:r>
      <w:r>
        <w:rPr>
          <w:rFonts w:ascii="Cambria Math"/>
          <w:w w:val="195"/>
        </w:rPr>
        <w:t>   </w:t>
      </w:r>
      <w:r>
        <w:rPr>
          <w:rFonts w:ascii="Cambria Math"/>
          <w:spacing w:val="2"/>
        </w:rPr>
        <w:t> </w:t>
      </w:r>
      <w:r>
        <w:rPr>
          <w:rFonts w:ascii="Cambria Math"/>
          <w:spacing w:val="-1"/>
          <w:w w:val="274"/>
        </w:rPr>
        <w:t> </w:t>
      </w:r>
      <w:r>
        <w:rPr>
          <w:rFonts w:ascii="Cambria Math"/>
          <w:spacing w:val="-1"/>
          <w:w w:val="282"/>
        </w:rPr>
        <w:t> </w:t>
      </w:r>
      <w:r>
        <w:rPr>
          <w:rFonts w:ascii="Cambria Math"/>
          <w:w w:val="281"/>
        </w:rPr>
        <w:t> </w:t>
      </w:r>
      <w:r>
        <w:rPr>
          <w:rFonts w:ascii="Cambria Math"/>
        </w:rPr>
        <w:t> </w:t>
      </w:r>
      <w:r>
        <w:rPr>
          <w:rFonts w:ascii="Cambria Math"/>
          <w:spacing w:val="2"/>
        </w:rPr>
        <w:t> </w:t>
      </w:r>
      <w:r>
        <w:rPr>
          <w:rFonts w:ascii="Cambria Math"/>
          <w:w w:val="194"/>
        </w:rPr>
        <w:t>     </w:t>
      </w:r>
      <w:r>
        <w:rPr>
          <w:rFonts w:ascii="Cambria Math"/>
          <w:w w:val="237"/>
        </w:rPr>
        <w:t>  </w:t>
      </w:r>
      <w:r>
        <w:rPr>
          <w:rFonts w:ascii="Cambria Math"/>
          <w:w w:val="221"/>
        </w:rPr>
        <w:t> </w:t>
      </w:r>
      <w:r>
        <w:rPr>
          <w:rFonts w:ascii="Cambria Math"/>
          <w:spacing w:val="1"/>
        </w:rPr>
        <w:t> </w:t>
      </w:r>
      <w:r>
        <w:rPr>
          <w:rFonts w:ascii="Cambria Math"/>
          <w:w w:val="251"/>
        </w:rPr>
        <w:t> </w:t>
      </w:r>
      <w:r>
        <w:rPr>
          <w:rFonts w:ascii="Cambria Math"/>
          <w:spacing w:val="-1"/>
        </w:rPr>
        <w:t> </w:t>
      </w:r>
      <w:r>
        <w:rPr>
          <w:rFonts w:ascii="Cambria Math"/>
          <w:spacing w:val="-1"/>
          <w:w w:val="187"/>
        </w:rPr>
        <w:t> </w:t>
      </w:r>
      <w:r>
        <w:rPr>
          <w:rFonts w:ascii="Cambria Math"/>
          <w:w w:val="214"/>
        </w:rPr>
        <w:t> </w:t>
      </w:r>
      <w:r>
        <w:rPr>
          <w:rFonts w:ascii="Cambria Math"/>
          <w:spacing w:val="-1"/>
          <w:w w:val="214"/>
        </w:rPr>
        <w:t> </w:t>
      </w:r>
      <w:r>
        <w:rPr>
          <w:rFonts w:ascii="Cambria Math"/>
          <w:w w:val="229"/>
        </w:rPr>
        <w:t>  </w:t>
      </w:r>
      <w:r>
        <w:rPr>
          <w:rFonts w:ascii="Cambria Math"/>
          <w:spacing w:val="-1"/>
          <w:w w:val="229"/>
        </w:rPr>
        <w:t> </w:t>
      </w:r>
      <w:r>
        <w:rPr>
          <w:rFonts w:ascii="Cambria Math"/>
          <w:w w:val="195"/>
        </w:rPr>
        <w:t> </w:t>
      </w:r>
    </w:p>
    <w:p>
      <w:pPr>
        <w:pStyle w:val="BodyText"/>
        <w:tabs>
          <w:tab w:pos="7301" w:val="left" w:leader="none"/>
        </w:tabs>
        <w:spacing w:before="126"/>
        <w:ind w:right="780"/>
        <w:jc w:val="center"/>
      </w:pPr>
      <w:r>
        <w:rPr>
          <w:rFonts w:ascii="Cambria Math"/>
          <w:w w:val="219"/>
        </w:rPr>
        <w:t>   </w:t>
      </w:r>
      <w:r>
        <w:rPr>
          <w:rFonts w:ascii="Cambria Math"/>
          <w:w w:val="183"/>
        </w:rPr>
        <w:t>  </w:t>
      </w:r>
      <w:r>
        <w:rPr>
          <w:rFonts w:ascii="Cambria Math"/>
        </w:rPr>
        <w:t> </w:t>
      </w:r>
      <w:r>
        <w:rPr>
          <w:rFonts w:ascii="Cambria Math"/>
          <w:spacing w:val="-2"/>
          <w:w w:val="236"/>
        </w:rPr>
        <w:t> </w:t>
      </w:r>
      <w:r>
        <w:rPr>
          <w:rFonts w:ascii="Cambria Math"/>
          <w:w w:val="236"/>
        </w:rPr>
        <w:t> </w:t>
      </w:r>
      <w:r>
        <w:rPr>
          <w:rFonts w:ascii="Cambria Math"/>
        </w:rPr>
        <w:t> </w:t>
      </w:r>
      <w:r>
        <w:rPr>
          <w:rFonts w:ascii="Cambria Math"/>
          <w:spacing w:val="-1"/>
          <w:w w:val="274"/>
        </w:rPr>
        <w:t> </w:t>
      </w:r>
      <w:r>
        <w:rPr>
          <w:rFonts w:ascii="Cambria Math"/>
          <w:w w:val="216"/>
        </w:rPr>
        <w:t>  </w:t>
      </w:r>
      <w:r>
        <w:rPr>
          <w:rFonts w:ascii="Cambria Math"/>
          <w:spacing w:val="-1"/>
          <w:w w:val="216"/>
        </w:rPr>
        <w:t> </w:t>
      </w:r>
      <w:r>
        <w:rPr>
          <w:rFonts w:ascii="Cambria Math"/>
          <w:w w:val="175"/>
        </w:rPr>
        <w:t>       </w:t>
      </w:r>
      <w:r>
        <w:rPr>
          <w:rFonts w:ascii="Cambria Math"/>
          <w:w w:val="251"/>
        </w:rPr>
        <w:t>  </w:t>
      </w:r>
      <w:r>
        <w:rPr>
          <w:rFonts w:ascii="Cambria Math"/>
          <w:spacing w:val="1"/>
        </w:rPr>
        <w:t> </w:t>
      </w:r>
      <w:r>
        <w:rPr>
          <w:rFonts w:ascii="Cambria Math"/>
          <w:spacing w:val="1"/>
          <w:w w:val="188"/>
          <w:position w:val="1"/>
        </w:rPr>
        <w:t> </w:t>
      </w:r>
      <w:r>
        <w:rPr>
          <w:rFonts w:ascii="Cambria Math"/>
          <w:spacing w:val="-1"/>
          <w:w w:val="278"/>
        </w:rPr>
        <w:t>  </w:t>
      </w:r>
      <w:r>
        <w:rPr>
          <w:rFonts w:ascii="Cambria Math"/>
          <w:w w:val="188"/>
          <w:position w:val="1"/>
        </w:rPr>
        <w:t> </w:t>
      </w:r>
      <w:r>
        <w:rPr>
          <w:rFonts w:ascii="Cambria Math"/>
          <w:spacing w:val="13"/>
          <w:position w:val="1"/>
        </w:rPr>
        <w:t> </w:t>
      </w:r>
      <w:r>
        <w:rPr>
          <w:rFonts w:ascii="Cambria Math"/>
          <w:w w:val="339"/>
        </w:rPr>
        <w:t> </w:t>
      </w:r>
      <w:r>
        <w:rPr>
          <w:rFonts w:ascii="Cambria Math"/>
        </w:rPr>
        <w:t>  </w:t>
      </w:r>
      <w:r>
        <w:rPr>
          <w:rFonts w:ascii="Cambria Math"/>
          <w:spacing w:val="12"/>
        </w:rPr>
        <w:t> </w:t>
      </w:r>
      <w:r>
        <w:rPr>
          <w:rFonts w:ascii="Cambria Math"/>
          <w:w w:val="269"/>
        </w:rPr>
        <w:t> </w:t>
      </w:r>
      <w:r>
        <w:rPr>
          <w:rFonts w:ascii="Cambria Math"/>
          <w:spacing w:val="1"/>
        </w:rPr>
        <w:t> </w:t>
      </w:r>
      <w:r>
        <w:rPr>
          <w:rFonts w:ascii="Cambria Math"/>
          <w:w w:val="339"/>
        </w:rPr>
        <w:t> </w:t>
      </w:r>
      <w:r>
        <w:rPr>
          <w:rFonts w:ascii="Cambria Math"/>
        </w:rPr>
        <w:t> </w:t>
      </w:r>
      <w:r>
        <w:rPr>
          <w:rFonts w:ascii="Cambria Math"/>
          <w:w w:val="255"/>
        </w:rPr>
        <w:t> </w:t>
      </w:r>
      <w:r>
        <w:rPr>
          <w:rFonts w:ascii="Cambria Math"/>
          <w:spacing w:val="-1"/>
        </w:rPr>
        <w:t> </w:t>
      </w:r>
      <w:r>
        <w:rPr>
          <w:rFonts w:ascii="Cambria Math"/>
          <w:position w:val="1"/>
        </w:rPr>
        <w:t>[    </w:t>
      </w:r>
      <w:r>
        <w:rPr>
          <w:rFonts w:ascii="Cambria Math"/>
          <w:position w:val="1"/>
        </w:rPr>
        <w:t>|                </w:t>
      </w:r>
      <w:r>
        <w:rPr>
          <w:rFonts w:ascii="Cambria Math"/>
          <w:position w:val="1"/>
        </w:rPr>
        <w:t>|       </w:t>
      </w:r>
      <w:r>
        <w:rPr>
          <w:rFonts w:ascii="Cambria Math"/>
          <w:spacing w:val="49"/>
          <w:position w:val="1"/>
        </w:rPr>
        <w:t> </w:t>
      </w:r>
      <w:r>
        <w:rPr>
          <w:rFonts w:ascii="Cambria Math"/>
          <w:position w:val="1"/>
        </w:rPr>
        <w:t>|                 </w:t>
      </w:r>
      <w:r>
        <w:rPr>
          <w:rFonts w:ascii="Cambria Math"/>
          <w:spacing w:val="34"/>
          <w:position w:val="1"/>
        </w:rPr>
        <w:t> </w:t>
      </w:r>
      <w:r>
        <w:rPr>
          <w:rFonts w:ascii="Cambria Math"/>
          <w:position w:val="1"/>
        </w:rPr>
        <w:t>|]</w:t>
        <w:tab/>
      </w:r>
      <w:r>
        <w:rPr/>
        <w:t>(4.3A)</w:t>
      </w:r>
    </w:p>
    <w:p>
      <w:pPr>
        <w:spacing w:after="0"/>
        <w:jc w:val="center"/>
        <w:sectPr>
          <w:type w:val="continuous"/>
          <w:pgSz w:w="12250" w:h="15850"/>
          <w:pgMar w:top="1500" w:bottom="280" w:left="1600" w:right="820"/>
        </w:sectPr>
      </w:pPr>
    </w:p>
    <w:p>
      <w:pPr>
        <w:pStyle w:val="BodyText"/>
        <w:spacing w:before="2"/>
        <w:rPr>
          <w:sz w:val="22"/>
        </w:rPr>
      </w:pPr>
    </w:p>
    <w:p>
      <w:pPr>
        <w:pStyle w:val="BodyText"/>
        <w:spacing w:line="362" w:lineRule="auto" w:before="71"/>
        <w:ind w:left="102" w:right="115" w:firstLine="707"/>
        <w:jc w:val="both"/>
      </w:pPr>
      <w:r>
        <w:rPr/>
        <w:t>Donde corresponde al número de observaciones incluidas, denota el número de parámetros irrestrictos en cada ecuación, </w:t>
      </w:r>
      <w:r>
        <w:rPr>
          <w:rFonts w:ascii="Cambria Math" w:hAnsi="Cambria Math"/>
          <w:position w:val="1"/>
          <w:sz w:val="22"/>
        </w:rPr>
        <w:t>| |  </w:t>
      </w:r>
      <w:r>
        <w:rPr/>
        <w:t>es el determinante de los residuos de  covarianza para el menor número de rezagos (restricto)  y de  forma similar, </w:t>
      </w:r>
      <w:r>
        <w:rPr>
          <w:rFonts w:ascii="Cambria Math" w:hAnsi="Cambria Math"/>
          <w:position w:val="1"/>
          <w:sz w:val="22"/>
        </w:rPr>
        <w:t>|  |   </w:t>
      </w:r>
      <w:r>
        <w:rPr/>
        <w:t>corresponde al mayor número de rezagos (irrestricto). Para evaluar el ratio de verosimilitud se consideraron los valores      al 1 y al 5% de significancia de forma respectiva.</w:t>
      </w:r>
    </w:p>
    <w:p>
      <w:pPr>
        <w:pStyle w:val="BodyText"/>
        <w:spacing w:line="360" w:lineRule="auto" w:before="8"/>
        <w:ind w:left="102" w:right="118" w:firstLine="707"/>
        <w:jc w:val="both"/>
      </w:pPr>
      <w:r>
        <w:rPr/>
        <w:t>En los resultados de los cuadros 11 al 14 se reflejó que no se puede rechazar la hipótesis del modelo VAR con la especificación de un rezago con una probabilidad muy alta.</w:t>
      </w:r>
    </w:p>
    <w:p>
      <w:pPr>
        <w:pStyle w:val="BodyText"/>
        <w:spacing w:before="6"/>
        <w:ind w:left="620" w:right="127"/>
      </w:pPr>
      <w:r>
        <w:rPr/>
        <w:t>Anexo 4.6 B: Prueba de hipótesis para el ratio de verosimilitud (RV) [Modelo A]</w:t>
      </w:r>
    </w:p>
    <w:p>
      <w:pPr>
        <w:pStyle w:val="BodyText"/>
        <w:spacing w:before="173"/>
        <w:ind w:left="2164" w:right="127"/>
      </w:pPr>
      <w:r>
        <w:rPr/>
        <w:pict>
          <v:group style="position:absolute;margin-left:186.328125pt;margin-top:22.838518pt;width:240.95pt;height:2.3pt;mso-position-horizontal-relative:page;mso-position-vertical-relative:paragraph;z-index:18640" coordorigin="3727,457" coordsize="4819,46">
            <v:line style="position:absolute" from="3742,465" to="8530,465" stroked="true" strokeweight=".744043pt" strokecolor="#000000"/>
            <v:line style="position:absolute" from="3735,465" to="8538,465" stroked="true" strokeweight=".768844pt" strokecolor="#000000"/>
            <v:line style="position:absolute" from="3742,495" to="8530,495" stroked="true" strokeweight=".744043pt" strokecolor="#000000"/>
            <v:line style="position:absolute" from="3735,495" to="8538,495" stroked="true" strokeweight=".744043pt" strokecolor="#000000"/>
            <w10:wrap type="none"/>
          </v:group>
        </w:pict>
      </w:r>
      <w:r>
        <w:rPr/>
        <w:t>Ho: El modelo VAR contiene 1 rezago</w:t>
      </w:r>
    </w:p>
    <w:p>
      <w:pPr>
        <w:pStyle w:val="BodyText"/>
        <w:tabs>
          <w:tab w:pos="6832" w:val="right" w:leader="none"/>
        </w:tabs>
        <w:spacing w:before="69"/>
        <w:ind w:left="2164"/>
      </w:pPr>
      <w:r>
        <w:rPr>
          <w:spacing w:val="-9"/>
        </w:rPr>
        <w:t>Ratio</w:t>
      </w:r>
      <w:r>
        <w:rPr>
          <w:spacing w:val="-1"/>
        </w:rPr>
        <w:t> </w:t>
      </w:r>
      <w:r>
        <w:rPr/>
        <w:t>de</w:t>
      </w:r>
      <w:r>
        <w:rPr>
          <w:spacing w:val="-3"/>
        </w:rPr>
        <w:t> </w:t>
      </w:r>
      <w:r>
        <w:rPr>
          <w:spacing w:val="-13"/>
        </w:rPr>
        <w:t>Verosimilitud</w:t>
        <w:tab/>
      </w:r>
      <w:r>
        <w:rPr/>
        <w:t>18.53</w:t>
      </w:r>
    </w:p>
    <w:p>
      <w:pPr>
        <w:pStyle w:val="BodyText"/>
        <w:tabs>
          <w:tab w:pos="6832" w:val="right" w:leader="none"/>
        </w:tabs>
        <w:spacing w:before="39"/>
        <w:ind w:left="2164"/>
      </w:pPr>
      <w:r>
        <w:rPr/>
        <w:t>χ²   </w:t>
      </w:r>
      <w:r>
        <w:rPr>
          <w:spacing w:val="31"/>
        </w:rPr>
        <w:t> </w:t>
      </w:r>
      <w:r>
        <w:rPr/>
        <w:t>5%</w:t>
        <w:tab/>
        <w:t>67.50</w:t>
      </w:r>
    </w:p>
    <w:p>
      <w:pPr>
        <w:pStyle w:val="BodyText"/>
        <w:tabs>
          <w:tab w:pos="6832" w:val="right" w:leader="none"/>
        </w:tabs>
        <w:spacing w:before="39"/>
        <w:ind w:left="2164"/>
      </w:pPr>
      <w:r>
        <w:rPr/>
        <w:t>χ²     </w:t>
      </w:r>
      <w:r>
        <w:rPr>
          <w:spacing w:val="30"/>
        </w:rPr>
        <w:t> </w:t>
      </w:r>
      <w:r>
        <w:rPr/>
        <w:t>%</w:t>
        <w:tab/>
        <w:t>76.15</w:t>
      </w:r>
    </w:p>
    <w:p>
      <w:pPr>
        <w:pStyle w:val="BodyText"/>
        <w:tabs>
          <w:tab w:pos="6412" w:val="left" w:leader="none"/>
        </w:tabs>
        <w:spacing w:before="39"/>
        <w:ind w:left="2164" w:right="127"/>
      </w:pPr>
      <w:r>
        <w:rPr/>
        <w:pict>
          <v:group style="position:absolute;margin-left:186.328125pt;margin-top:16.151115pt;width:240.95pt;height:2.3pt;mso-position-horizontal-relative:page;mso-position-vertical-relative:paragraph;z-index:18664" coordorigin="3727,323" coordsize="4819,46">
            <v:line style="position:absolute" from="3742,331" to="8530,331" stroked="true" strokeweight=".744043pt" strokecolor="#000000"/>
            <v:line style="position:absolute" from="3735,331" to="8538,331" stroked="true" strokeweight=".744043pt" strokecolor="#000000"/>
            <v:line style="position:absolute" from="3742,360" to="8530,360" stroked="true" strokeweight=".744043pt" strokecolor="#000000"/>
            <v:line style="position:absolute" from="3735,361" to="8538,361" stroked="true" strokeweight=".768834pt" strokecolor="#000000"/>
            <w10:wrap type="none"/>
          </v:group>
        </w:pict>
      </w:r>
      <w:r>
        <w:rPr>
          <w:spacing w:val="-7"/>
        </w:rPr>
        <w:t>Probabilidad</w:t>
        <w:tab/>
      </w:r>
      <w:r>
        <w:rPr/>
        <w:t>1.00</w:t>
      </w:r>
    </w:p>
    <w:p>
      <w:pPr>
        <w:pStyle w:val="BodyText"/>
        <w:spacing w:before="275"/>
        <w:ind w:left="627" w:right="127"/>
      </w:pPr>
      <w:r>
        <w:rPr/>
        <w:t>Anexo 4.6 C: Prueba de hipótesis para el ratio de verosimilitud (RV) [Modelo B]</w:t>
      </w:r>
    </w:p>
    <w:p>
      <w:pPr>
        <w:pStyle w:val="BodyText"/>
        <w:spacing w:before="175"/>
        <w:ind w:left="2452" w:right="127"/>
      </w:pPr>
      <w:r>
        <w:rPr/>
        <w:pict>
          <v:group style="position:absolute;margin-left:200.728119pt;margin-top:22.95775pt;width:240.95pt;height:2.3pt;mso-position-horizontal-relative:page;mso-position-vertical-relative:paragraph;z-index:18688" coordorigin="4015,459" coordsize="4819,46">
            <v:line style="position:absolute" from="4030,467" to="8818,467" stroked="true" strokeweight=".745507pt" strokecolor="#000000"/>
            <v:line style="position:absolute" from="4023,467" to="8826,467" stroked="true" strokeweight=".745507pt" strokecolor="#000000"/>
            <v:line style="position:absolute" from="4030,496" to="8818,496" stroked="true" strokeweight=".745507pt" strokecolor="#000000"/>
            <v:line style="position:absolute" from="4023,497" to="8826,497" stroked="true" strokeweight=".770357pt" strokecolor="#000000"/>
            <w10:wrap type="none"/>
          </v:group>
        </w:pict>
      </w:r>
      <w:r>
        <w:rPr/>
        <w:t>Ho: El modelo VAR contiene 1 rezago</w:t>
      </w:r>
    </w:p>
    <w:p>
      <w:pPr>
        <w:pStyle w:val="BodyText"/>
        <w:tabs>
          <w:tab w:pos="7120" w:val="right" w:leader="none"/>
        </w:tabs>
        <w:spacing w:before="70"/>
        <w:ind w:left="2452"/>
      </w:pPr>
      <w:r>
        <w:rPr>
          <w:spacing w:val="-9"/>
        </w:rPr>
        <w:t>Ratio</w:t>
      </w:r>
      <w:r>
        <w:rPr>
          <w:spacing w:val="-1"/>
        </w:rPr>
        <w:t> </w:t>
      </w:r>
      <w:r>
        <w:rPr/>
        <w:t>de</w:t>
      </w:r>
      <w:r>
        <w:rPr>
          <w:spacing w:val="-3"/>
        </w:rPr>
        <w:t> </w:t>
      </w:r>
      <w:r>
        <w:rPr>
          <w:spacing w:val="-13"/>
        </w:rPr>
        <w:t>Verosimilitud</w:t>
        <w:tab/>
      </w:r>
      <w:r>
        <w:rPr/>
        <w:t>22.11</w:t>
      </w:r>
    </w:p>
    <w:p>
      <w:pPr>
        <w:pStyle w:val="BodyText"/>
        <w:tabs>
          <w:tab w:pos="6580" w:val="left" w:leader="none"/>
        </w:tabs>
        <w:spacing w:before="40"/>
        <w:ind w:left="2452" w:right="127"/>
      </w:pPr>
      <w:r>
        <w:rPr/>
        <w:t>χ²   </w:t>
      </w:r>
      <w:r>
        <w:rPr>
          <w:spacing w:val="31"/>
        </w:rPr>
        <w:t> </w:t>
      </w:r>
      <w:r>
        <w:rPr/>
        <w:t>5%</w:t>
        <w:tab/>
        <w:t>67.50</w:t>
      </w:r>
    </w:p>
    <w:p>
      <w:pPr>
        <w:pStyle w:val="BodyText"/>
        <w:tabs>
          <w:tab w:pos="6580" w:val="left" w:leader="none"/>
        </w:tabs>
        <w:spacing w:before="40"/>
        <w:ind w:left="2452" w:right="127"/>
      </w:pPr>
      <w:r>
        <w:rPr/>
        <w:t>χ²     </w:t>
      </w:r>
      <w:r>
        <w:rPr>
          <w:spacing w:val="31"/>
        </w:rPr>
        <w:t> </w:t>
      </w:r>
      <w:r>
        <w:rPr/>
        <w:t>%</w:t>
        <w:tab/>
        <w:t>76.15</w:t>
      </w:r>
    </w:p>
    <w:p>
      <w:pPr>
        <w:pStyle w:val="BodyText"/>
        <w:tabs>
          <w:tab w:pos="6459" w:val="left" w:leader="none"/>
        </w:tabs>
        <w:spacing w:before="40"/>
        <w:ind w:left="2422" w:right="127"/>
      </w:pPr>
      <w:r>
        <w:rPr>
          <w:spacing w:val="-31"/>
          <w:w w:val="100"/>
          <w:u w:val="single"/>
        </w:rPr>
        <w:t> </w:t>
      </w:r>
      <w:r>
        <w:rPr>
          <w:spacing w:val="-7"/>
          <w:u w:val="single"/>
        </w:rPr>
        <w:t>Probabilidad</w:t>
        <w:tab/>
      </w:r>
      <w:r>
        <w:rPr>
          <w:u w:val="single"/>
        </w:rPr>
        <w:t>0.9998</w:t>
      </w:r>
      <w:r>
        <w:rPr>
          <w:spacing w:val="-16"/>
          <w:u w:val="single"/>
        </w:rPr>
        <w:t> </w:t>
      </w:r>
    </w:p>
    <w:p>
      <w:pPr>
        <w:pStyle w:val="BodyText"/>
        <w:spacing w:before="10"/>
        <w:rPr>
          <w:sz w:val="20"/>
        </w:rPr>
      </w:pPr>
    </w:p>
    <w:p>
      <w:pPr>
        <w:pStyle w:val="BodyText"/>
        <w:spacing w:before="69"/>
        <w:ind w:left="620" w:right="127"/>
      </w:pPr>
      <w:r>
        <w:rPr/>
        <w:t>Anexo 4.6 D: Prueba de hipótesis para el ratio de verosimilitud (RV) [Modelo C]</w:t>
      </w:r>
    </w:p>
    <w:p>
      <w:pPr>
        <w:pStyle w:val="BodyText"/>
        <w:spacing w:before="173"/>
        <w:ind w:left="2452" w:right="127"/>
      </w:pPr>
      <w:r>
        <w:rPr/>
        <w:pict>
          <v:group style="position:absolute;margin-left:200.728119pt;margin-top:22.838505pt;width:240.95pt;height:2.3pt;mso-position-horizontal-relative:page;mso-position-vertical-relative:paragraph;z-index:18712" coordorigin="4015,457" coordsize="4819,46">
            <v:line style="position:absolute" from="4030,465" to="8818,465" stroked="true" strokeweight=".744043pt" strokecolor="#000000"/>
            <v:line style="position:absolute" from="4023,465" to="8826,465" stroked="true" strokeweight=".768844pt" strokecolor="#000000"/>
            <v:line style="position:absolute" from="4030,495" to="8818,495" stroked="true" strokeweight=".744043pt" strokecolor="#000000"/>
            <v:line style="position:absolute" from="4023,495" to="8826,495" stroked="true" strokeweight=".744043pt" strokecolor="#000000"/>
            <w10:wrap type="none"/>
          </v:group>
        </w:pict>
      </w:r>
      <w:r>
        <w:rPr/>
        <w:t>Ho: El modelo VAR contiene 1 rezago</w:t>
      </w:r>
    </w:p>
    <w:p>
      <w:pPr>
        <w:pStyle w:val="BodyText"/>
        <w:tabs>
          <w:tab w:pos="7120" w:val="right" w:leader="none"/>
        </w:tabs>
        <w:spacing w:before="69"/>
        <w:ind w:left="2452"/>
      </w:pPr>
      <w:r>
        <w:rPr>
          <w:spacing w:val="-9"/>
        </w:rPr>
        <w:t>Ratio</w:t>
      </w:r>
      <w:r>
        <w:rPr>
          <w:spacing w:val="-1"/>
        </w:rPr>
        <w:t> </w:t>
      </w:r>
      <w:r>
        <w:rPr/>
        <w:t>de</w:t>
      </w:r>
      <w:r>
        <w:rPr>
          <w:spacing w:val="-3"/>
        </w:rPr>
        <w:t> </w:t>
      </w:r>
      <w:r>
        <w:rPr>
          <w:spacing w:val="-13"/>
        </w:rPr>
        <w:t>Verosimilitud</w:t>
        <w:tab/>
      </w:r>
      <w:r>
        <w:rPr/>
        <w:t>7.60</w:t>
      </w:r>
    </w:p>
    <w:p>
      <w:pPr>
        <w:pStyle w:val="BodyText"/>
        <w:tabs>
          <w:tab w:pos="7120" w:val="right" w:leader="none"/>
        </w:tabs>
        <w:spacing w:before="39"/>
        <w:ind w:left="2452"/>
      </w:pPr>
      <w:r>
        <w:rPr/>
        <w:t>χ²   </w:t>
      </w:r>
      <w:r>
        <w:rPr>
          <w:spacing w:val="31"/>
        </w:rPr>
        <w:t> </w:t>
      </w:r>
      <w:r>
        <w:rPr/>
        <w:t>5%</w:t>
        <w:tab/>
        <w:t>67.50</w:t>
      </w:r>
    </w:p>
    <w:p>
      <w:pPr>
        <w:pStyle w:val="BodyText"/>
        <w:tabs>
          <w:tab w:pos="7120" w:val="right" w:leader="none"/>
        </w:tabs>
        <w:spacing w:before="39"/>
        <w:ind w:left="2452"/>
      </w:pPr>
      <w:r>
        <w:rPr/>
        <w:t>χ²     </w:t>
      </w:r>
      <w:r>
        <w:rPr>
          <w:spacing w:val="30"/>
        </w:rPr>
        <w:t> </w:t>
      </w:r>
      <w:r>
        <w:rPr/>
        <w:t>%</w:t>
        <w:tab/>
        <w:t>76.15</w:t>
      </w:r>
    </w:p>
    <w:p>
      <w:pPr>
        <w:pStyle w:val="BodyText"/>
        <w:tabs>
          <w:tab w:pos="6459" w:val="left" w:leader="none"/>
        </w:tabs>
        <w:spacing w:before="39"/>
        <w:ind w:left="2452" w:right="127"/>
      </w:pPr>
      <w:r>
        <w:rPr/>
        <w:pict>
          <v:group style="position:absolute;margin-left:200.728119pt;margin-top:16.151115pt;width:240.95pt;height:2.3pt;mso-position-horizontal-relative:page;mso-position-vertical-relative:paragraph;z-index:18736" coordorigin="4015,323" coordsize="4819,46">
            <v:line style="position:absolute" from="4030,331" to="8818,331" stroked="true" strokeweight=".744043pt" strokecolor="#000000"/>
            <v:line style="position:absolute" from="4023,331" to="8826,331" stroked="true" strokeweight=".744043pt" strokecolor="#000000"/>
            <v:line style="position:absolute" from="4030,360" to="8818,360" stroked="true" strokeweight=".744043pt" strokecolor="#000000"/>
            <v:line style="position:absolute" from="4023,361" to="8826,361" stroked="true" strokeweight=".768834pt" strokecolor="#000000"/>
            <w10:wrap type="none"/>
          </v:group>
        </w:pict>
      </w:r>
      <w:r>
        <w:rPr>
          <w:spacing w:val="-7"/>
        </w:rPr>
        <w:t>Probabilidad</w:t>
        <w:tab/>
      </w:r>
      <w:r>
        <w:rPr/>
        <w:t>1.0000</w:t>
      </w:r>
    </w:p>
    <w:p>
      <w:pPr>
        <w:pStyle w:val="BodyText"/>
        <w:spacing w:line="450" w:lineRule="atLeast" w:before="241"/>
        <w:ind w:left="2422" w:right="638" w:hanging="1795"/>
      </w:pPr>
      <w:r>
        <w:rPr/>
        <w:pict>
          <v:group style="position:absolute;margin-left:199.228119pt;margin-top:57.376583pt;width:240.95pt;height:2.3pt;mso-position-horizontal-relative:page;mso-position-vertical-relative:paragraph;z-index:18760" coordorigin="3985,1148" coordsize="4819,46">
            <v:line style="position:absolute" from="4000,1155" to="8788,1155" stroked="true" strokeweight=".744043pt" strokecolor="#000000"/>
            <v:line style="position:absolute" from="3993,1156" to="8796,1156" stroked="true" strokeweight=".768844pt" strokecolor="#000000"/>
            <v:line style="position:absolute" from="4000,1186" to="8788,1186" stroked="true" strokeweight=".744043pt" strokecolor="#000000"/>
            <v:line style="position:absolute" from="3993,1186" to="8796,1186" stroked="true" strokeweight=".744043pt" strokecolor="#000000"/>
            <w10:wrap type="none"/>
          </v:group>
        </w:pict>
      </w:r>
      <w:r>
        <w:rPr/>
        <w:t>Anexo 4.6 E: Prueba de hipótesis para el ratio de verosimilitud (RV) [Modelo D] Ho: El modelo VAR contiene 1 rezago</w:t>
      </w:r>
    </w:p>
    <w:p>
      <w:pPr>
        <w:pStyle w:val="BodyText"/>
        <w:tabs>
          <w:tab w:pos="7090" w:val="right" w:leader="none"/>
        </w:tabs>
        <w:spacing w:before="69"/>
        <w:ind w:left="2422"/>
      </w:pPr>
      <w:r>
        <w:rPr>
          <w:spacing w:val="-9"/>
        </w:rPr>
        <w:t>Ratio</w:t>
      </w:r>
      <w:r>
        <w:rPr>
          <w:spacing w:val="-1"/>
        </w:rPr>
        <w:t> </w:t>
      </w:r>
      <w:r>
        <w:rPr/>
        <w:t>de</w:t>
      </w:r>
      <w:r>
        <w:rPr>
          <w:spacing w:val="-3"/>
        </w:rPr>
        <w:t> </w:t>
      </w:r>
      <w:r>
        <w:rPr>
          <w:spacing w:val="-13"/>
        </w:rPr>
        <w:t>Verosimilitud</w:t>
        <w:tab/>
      </w:r>
      <w:r>
        <w:rPr/>
        <w:t>22.11</w:t>
      </w:r>
    </w:p>
    <w:p>
      <w:pPr>
        <w:pStyle w:val="BodyText"/>
        <w:tabs>
          <w:tab w:pos="6550" w:val="left" w:leader="none"/>
        </w:tabs>
        <w:spacing w:before="39"/>
        <w:ind w:left="2422" w:right="127"/>
      </w:pPr>
      <w:r>
        <w:rPr/>
        <w:t>χ²   </w:t>
      </w:r>
      <w:r>
        <w:rPr>
          <w:spacing w:val="31"/>
        </w:rPr>
        <w:t> </w:t>
      </w:r>
      <w:r>
        <w:rPr/>
        <w:t>5%</w:t>
        <w:tab/>
        <w:t>67.50</w:t>
      </w:r>
    </w:p>
    <w:p>
      <w:pPr>
        <w:pStyle w:val="BodyText"/>
        <w:tabs>
          <w:tab w:pos="6550" w:val="left" w:leader="none"/>
        </w:tabs>
        <w:spacing w:before="39"/>
        <w:ind w:left="2422" w:right="127"/>
      </w:pPr>
      <w:r>
        <w:rPr/>
        <w:t>χ²     </w:t>
      </w:r>
      <w:r>
        <w:rPr>
          <w:spacing w:val="31"/>
        </w:rPr>
        <w:t> </w:t>
      </w:r>
      <w:r>
        <w:rPr/>
        <w:t>%</w:t>
        <w:tab/>
        <w:t>76.15</w:t>
      </w:r>
    </w:p>
    <w:p>
      <w:pPr>
        <w:pStyle w:val="BodyText"/>
        <w:tabs>
          <w:tab w:pos="6429" w:val="left" w:leader="none"/>
        </w:tabs>
        <w:spacing w:before="39"/>
        <w:ind w:left="2392" w:right="127"/>
      </w:pPr>
      <w:r>
        <w:rPr>
          <w:spacing w:val="-31"/>
          <w:w w:val="100"/>
          <w:u w:val="thick"/>
        </w:rPr>
        <w:t> </w:t>
      </w:r>
      <w:r>
        <w:rPr>
          <w:spacing w:val="-7"/>
          <w:u w:val="thick"/>
        </w:rPr>
        <w:t>Probabilidad</w:t>
        <w:tab/>
      </w:r>
      <w:r>
        <w:rPr>
          <w:u w:val="thick"/>
        </w:rPr>
        <w:t>0.9998</w:t>
      </w:r>
      <w:r>
        <w:rPr>
          <w:spacing w:val="42"/>
          <w:u w:val="thick"/>
        </w:rPr>
        <w:t> </w:t>
      </w:r>
      <w:r>
        <w:rPr>
          <w:position w:val="-18"/>
        </w:rPr>
        <w:t>.</w:t>
      </w:r>
    </w:p>
    <w:p>
      <w:pPr>
        <w:spacing w:after="0"/>
        <w:sectPr>
          <w:pgSz w:w="12250" w:h="15850"/>
          <w:pgMar w:header="0" w:footer="977" w:top="1500" w:bottom="1220" w:left="1600" w:right="1580"/>
        </w:sectPr>
      </w:pPr>
    </w:p>
    <w:p>
      <w:pPr>
        <w:pStyle w:val="BodyText"/>
        <w:spacing w:before="2"/>
        <w:rPr>
          <w:sz w:val="10"/>
        </w:rPr>
      </w:pPr>
    </w:p>
    <w:p>
      <w:pPr>
        <w:pStyle w:val="BodyText"/>
        <w:spacing w:line="360" w:lineRule="auto" w:before="69"/>
        <w:ind w:left="102" w:right="115" w:firstLine="707"/>
      </w:pPr>
      <w:r>
        <w:rPr/>
        <w:t>Dada la determinación óptima de un rezago para cada modelación sin restricciones, se procedió a evaluar la estabilidad de los modelos (A, B, C y D).</w:t>
      </w:r>
    </w:p>
    <w:p>
      <w:pPr>
        <w:pStyle w:val="BodyText"/>
        <w:spacing w:before="6"/>
        <w:ind w:left="879" w:right="115"/>
      </w:pPr>
      <w:r>
        <w:rPr/>
        <w:t>Anexo 4.6 F: Estabilidad de la modelación con base en un rezago [VAR(1)]</w:t>
      </w:r>
    </w:p>
    <w:p>
      <w:pPr>
        <w:pStyle w:val="BodyText"/>
        <w:spacing w:before="4"/>
        <w:rPr>
          <w:sz w:val="7"/>
        </w:rPr>
      </w:pPr>
    </w:p>
    <w:tbl>
      <w:tblPr>
        <w:tblW w:w="0" w:type="auto"/>
        <w:jc w:val="left"/>
        <w:tblInd w:w="13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70"/>
        <w:gridCol w:w="543"/>
        <w:gridCol w:w="95"/>
        <w:gridCol w:w="1461"/>
        <w:gridCol w:w="543"/>
        <w:gridCol w:w="121"/>
        <w:gridCol w:w="1579"/>
        <w:gridCol w:w="590"/>
        <w:gridCol w:w="130"/>
        <w:gridCol w:w="1635"/>
        <w:gridCol w:w="655"/>
      </w:tblGrid>
      <w:tr>
        <w:trPr>
          <w:trHeight w:val="508" w:hRule="exact"/>
        </w:trPr>
        <w:tc>
          <w:tcPr>
            <w:tcW w:w="1470" w:type="dxa"/>
          </w:tcPr>
          <w:p>
            <w:pPr>
              <w:pStyle w:val="TableParagraph"/>
              <w:spacing w:before="83"/>
              <w:ind w:left="690" w:right="135"/>
              <w:rPr>
                <w:b/>
                <w:sz w:val="16"/>
              </w:rPr>
            </w:pPr>
            <w:r>
              <w:rPr>
                <w:b/>
                <w:color w:val="FF0000"/>
                <w:w w:val="90"/>
                <w:sz w:val="16"/>
              </w:rPr>
              <w:t>Modelo A</w:t>
            </w:r>
          </w:p>
          <w:p>
            <w:pPr>
              <w:pStyle w:val="TableParagraph"/>
              <w:spacing w:before="32"/>
              <w:ind w:left="529" w:right="-22"/>
              <w:rPr>
                <w:sz w:val="16"/>
              </w:rPr>
            </w:pPr>
            <w:r>
              <w:rPr>
                <w:w w:val="95"/>
                <w:sz w:val="16"/>
              </w:rPr>
              <w:t>Nº</w:t>
            </w:r>
            <w:r>
              <w:rPr>
                <w:spacing w:val="-23"/>
                <w:w w:val="95"/>
                <w:sz w:val="16"/>
              </w:rPr>
              <w:t> </w:t>
            </w:r>
            <w:r>
              <w:rPr>
                <w:w w:val="95"/>
                <w:sz w:val="16"/>
              </w:rPr>
              <w:t>de</w:t>
            </w:r>
            <w:r>
              <w:rPr>
                <w:spacing w:val="-24"/>
                <w:w w:val="95"/>
                <w:sz w:val="16"/>
              </w:rPr>
              <w:t> </w:t>
            </w:r>
            <w:r>
              <w:rPr>
                <w:spacing w:val="-4"/>
                <w:w w:val="95"/>
                <w:sz w:val="16"/>
              </w:rPr>
              <w:t>rezagos</w:t>
            </w:r>
            <w:r>
              <w:rPr>
                <w:spacing w:val="-24"/>
                <w:w w:val="95"/>
                <w:sz w:val="16"/>
              </w:rPr>
              <w:t> </w:t>
            </w:r>
            <w:r>
              <w:rPr>
                <w:w w:val="95"/>
                <w:sz w:val="16"/>
              </w:rPr>
              <w:t>=</w:t>
            </w:r>
            <w:r>
              <w:rPr>
                <w:spacing w:val="-23"/>
                <w:w w:val="95"/>
                <w:sz w:val="16"/>
              </w:rPr>
              <w:t> </w:t>
            </w:r>
            <w:r>
              <w:rPr>
                <w:w w:val="95"/>
                <w:sz w:val="16"/>
              </w:rPr>
              <w:t>1</w:t>
            </w:r>
          </w:p>
        </w:tc>
        <w:tc>
          <w:tcPr>
            <w:tcW w:w="2099" w:type="dxa"/>
            <w:gridSpan w:val="3"/>
          </w:tcPr>
          <w:p>
            <w:pPr>
              <w:pStyle w:val="TableParagraph"/>
              <w:spacing w:before="83"/>
              <w:ind w:left="1320" w:right="143"/>
              <w:rPr>
                <w:b/>
                <w:sz w:val="16"/>
              </w:rPr>
            </w:pPr>
            <w:r>
              <w:rPr>
                <w:b/>
                <w:color w:val="FF0000"/>
                <w:w w:val="90"/>
                <w:sz w:val="16"/>
              </w:rPr>
              <w:t>Modelo B</w:t>
            </w:r>
          </w:p>
          <w:p>
            <w:pPr>
              <w:pStyle w:val="TableParagraph"/>
              <w:spacing w:before="32"/>
              <w:ind w:left="1158" w:right="-22"/>
              <w:rPr>
                <w:sz w:val="16"/>
              </w:rPr>
            </w:pPr>
            <w:r>
              <w:rPr>
                <w:w w:val="95"/>
                <w:sz w:val="16"/>
              </w:rPr>
              <w:t>Nº</w:t>
            </w:r>
            <w:r>
              <w:rPr>
                <w:spacing w:val="-23"/>
                <w:w w:val="95"/>
                <w:sz w:val="16"/>
              </w:rPr>
              <w:t> </w:t>
            </w:r>
            <w:r>
              <w:rPr>
                <w:w w:val="95"/>
                <w:sz w:val="16"/>
              </w:rPr>
              <w:t>de</w:t>
            </w:r>
            <w:r>
              <w:rPr>
                <w:spacing w:val="-24"/>
                <w:w w:val="95"/>
                <w:sz w:val="16"/>
              </w:rPr>
              <w:t> </w:t>
            </w:r>
            <w:r>
              <w:rPr>
                <w:spacing w:val="-4"/>
                <w:w w:val="95"/>
                <w:sz w:val="16"/>
              </w:rPr>
              <w:t>rezagos</w:t>
            </w:r>
            <w:r>
              <w:rPr>
                <w:spacing w:val="-24"/>
                <w:w w:val="95"/>
                <w:sz w:val="16"/>
              </w:rPr>
              <w:t> </w:t>
            </w:r>
            <w:r>
              <w:rPr>
                <w:w w:val="95"/>
                <w:sz w:val="16"/>
              </w:rPr>
              <w:t>=</w:t>
            </w:r>
            <w:r>
              <w:rPr>
                <w:spacing w:val="-23"/>
                <w:w w:val="95"/>
                <w:sz w:val="16"/>
              </w:rPr>
              <w:t> </w:t>
            </w:r>
            <w:r>
              <w:rPr>
                <w:w w:val="95"/>
                <w:sz w:val="16"/>
              </w:rPr>
              <w:t>1</w:t>
            </w:r>
          </w:p>
        </w:tc>
        <w:tc>
          <w:tcPr>
            <w:tcW w:w="2242" w:type="dxa"/>
            <w:gridSpan w:val="3"/>
          </w:tcPr>
          <w:p>
            <w:pPr>
              <w:pStyle w:val="TableParagraph"/>
              <w:spacing w:before="83"/>
              <w:ind w:left="1267"/>
              <w:rPr>
                <w:b/>
                <w:sz w:val="16"/>
              </w:rPr>
            </w:pPr>
            <w:r>
              <w:rPr>
                <w:b/>
                <w:color w:val="FF0000"/>
                <w:w w:val="90"/>
                <w:sz w:val="16"/>
              </w:rPr>
              <w:t>Modelo C</w:t>
            </w:r>
          </w:p>
          <w:p>
            <w:pPr>
              <w:pStyle w:val="TableParagraph"/>
              <w:spacing w:before="32"/>
              <w:ind w:left="1261"/>
              <w:rPr>
                <w:sz w:val="16"/>
              </w:rPr>
            </w:pPr>
            <w:r>
              <w:rPr>
                <w:w w:val="95"/>
                <w:sz w:val="16"/>
              </w:rPr>
              <w:t>Nº</w:t>
            </w:r>
            <w:r>
              <w:rPr>
                <w:spacing w:val="-23"/>
                <w:w w:val="95"/>
                <w:sz w:val="16"/>
              </w:rPr>
              <w:t> </w:t>
            </w:r>
            <w:r>
              <w:rPr>
                <w:w w:val="95"/>
                <w:sz w:val="16"/>
              </w:rPr>
              <w:t>de</w:t>
            </w:r>
            <w:r>
              <w:rPr>
                <w:spacing w:val="-24"/>
                <w:w w:val="95"/>
                <w:sz w:val="16"/>
              </w:rPr>
              <w:t> </w:t>
            </w:r>
            <w:r>
              <w:rPr>
                <w:spacing w:val="-4"/>
                <w:w w:val="95"/>
                <w:sz w:val="16"/>
              </w:rPr>
              <w:t>rezagos</w:t>
            </w:r>
            <w:r>
              <w:rPr>
                <w:spacing w:val="-24"/>
                <w:w w:val="95"/>
                <w:sz w:val="16"/>
              </w:rPr>
              <w:t> </w:t>
            </w:r>
            <w:r>
              <w:rPr>
                <w:w w:val="95"/>
                <w:sz w:val="16"/>
              </w:rPr>
              <w:t>=</w:t>
            </w:r>
            <w:r>
              <w:rPr>
                <w:spacing w:val="-23"/>
                <w:w w:val="95"/>
                <w:sz w:val="16"/>
              </w:rPr>
              <w:t> </w:t>
            </w:r>
            <w:r>
              <w:rPr>
                <w:w w:val="95"/>
                <w:sz w:val="16"/>
              </w:rPr>
              <w:t>1</w:t>
            </w:r>
          </w:p>
        </w:tc>
        <w:tc>
          <w:tcPr>
            <w:tcW w:w="3011" w:type="dxa"/>
            <w:gridSpan w:val="4"/>
          </w:tcPr>
          <w:p>
            <w:pPr>
              <w:pStyle w:val="TableParagraph"/>
              <w:spacing w:before="83"/>
              <w:ind w:left="1298" w:right="582"/>
              <w:rPr>
                <w:b/>
                <w:sz w:val="16"/>
              </w:rPr>
            </w:pPr>
            <w:r>
              <w:rPr>
                <w:b/>
                <w:color w:val="FF0000"/>
                <w:w w:val="90"/>
                <w:sz w:val="16"/>
              </w:rPr>
              <w:t>Modelo D</w:t>
            </w:r>
          </w:p>
          <w:p>
            <w:pPr>
              <w:pStyle w:val="TableParagraph"/>
              <w:spacing w:before="32"/>
              <w:ind w:left="1310" w:right="582"/>
              <w:rPr>
                <w:sz w:val="16"/>
              </w:rPr>
            </w:pPr>
            <w:r>
              <w:rPr>
                <w:w w:val="95"/>
                <w:sz w:val="16"/>
              </w:rPr>
              <w:t>Nº de rezagos = 1</w:t>
            </w:r>
          </w:p>
        </w:tc>
      </w:tr>
      <w:tr>
        <w:trPr>
          <w:trHeight w:val="215" w:hRule="exact"/>
        </w:trPr>
        <w:tc>
          <w:tcPr>
            <w:tcW w:w="2013" w:type="dxa"/>
            <w:gridSpan w:val="2"/>
            <w:tcBorders>
              <w:bottom w:val="double" w:sz="4" w:space="0" w:color="000000"/>
            </w:tcBorders>
          </w:tcPr>
          <w:p>
            <w:pPr>
              <w:pStyle w:val="TableParagraph"/>
              <w:tabs>
                <w:tab w:pos="1448" w:val="left" w:leader="none"/>
              </w:tabs>
              <w:spacing w:before="9"/>
              <w:ind w:left="529"/>
              <w:jc w:val="left"/>
              <w:rPr>
                <w:b/>
                <w:sz w:val="16"/>
              </w:rPr>
            </w:pPr>
            <w:r>
              <w:rPr>
                <w:b/>
                <w:w w:val="95"/>
                <w:sz w:val="16"/>
              </w:rPr>
              <w:t>Raiz</w:t>
              <w:tab/>
            </w:r>
            <w:r>
              <w:rPr>
                <w:b/>
                <w:spacing w:val="-3"/>
                <w:w w:val="95"/>
                <w:sz w:val="16"/>
              </w:rPr>
              <w:t>Modulo</w:t>
            </w:r>
          </w:p>
        </w:tc>
        <w:tc>
          <w:tcPr>
            <w:tcW w:w="95" w:type="dxa"/>
          </w:tcPr>
          <w:p>
            <w:pPr/>
          </w:p>
        </w:tc>
        <w:tc>
          <w:tcPr>
            <w:tcW w:w="2004" w:type="dxa"/>
            <w:gridSpan w:val="2"/>
            <w:tcBorders>
              <w:bottom w:val="double" w:sz="4" w:space="0" w:color="000000"/>
            </w:tcBorders>
          </w:tcPr>
          <w:p>
            <w:pPr>
              <w:pStyle w:val="TableParagraph"/>
              <w:tabs>
                <w:tab w:pos="1439" w:val="left" w:leader="none"/>
              </w:tabs>
              <w:spacing w:before="9"/>
              <w:ind w:left="529"/>
              <w:jc w:val="left"/>
              <w:rPr>
                <w:b/>
                <w:sz w:val="16"/>
              </w:rPr>
            </w:pPr>
            <w:r>
              <w:rPr>
                <w:b/>
                <w:w w:val="95"/>
                <w:sz w:val="16"/>
              </w:rPr>
              <w:t>Raiz</w:t>
              <w:tab/>
            </w:r>
            <w:r>
              <w:rPr>
                <w:b/>
                <w:spacing w:val="-3"/>
                <w:w w:val="95"/>
                <w:sz w:val="16"/>
              </w:rPr>
              <w:t>Modulo</w:t>
            </w:r>
          </w:p>
        </w:tc>
        <w:tc>
          <w:tcPr>
            <w:tcW w:w="121" w:type="dxa"/>
          </w:tcPr>
          <w:p>
            <w:pPr/>
          </w:p>
        </w:tc>
        <w:tc>
          <w:tcPr>
            <w:tcW w:w="1579" w:type="dxa"/>
            <w:tcBorders>
              <w:bottom w:val="double" w:sz="4" w:space="0" w:color="000000"/>
            </w:tcBorders>
          </w:tcPr>
          <w:p>
            <w:pPr>
              <w:pStyle w:val="TableParagraph"/>
              <w:spacing w:before="9"/>
              <w:ind w:left="589"/>
              <w:jc w:val="left"/>
              <w:rPr>
                <w:b/>
                <w:sz w:val="16"/>
              </w:rPr>
            </w:pPr>
            <w:r>
              <w:rPr>
                <w:b/>
                <w:w w:val="95"/>
                <w:sz w:val="16"/>
              </w:rPr>
              <w:t>Raiz</w:t>
            </w:r>
          </w:p>
        </w:tc>
        <w:tc>
          <w:tcPr>
            <w:tcW w:w="590" w:type="dxa"/>
            <w:tcBorders>
              <w:bottom w:val="double" w:sz="4" w:space="0" w:color="000000"/>
            </w:tcBorders>
          </w:tcPr>
          <w:p>
            <w:pPr>
              <w:pStyle w:val="TableParagraph"/>
              <w:spacing w:before="9"/>
              <w:ind w:right="119"/>
              <w:rPr>
                <w:b/>
                <w:sz w:val="16"/>
              </w:rPr>
            </w:pPr>
            <w:r>
              <w:rPr>
                <w:b/>
                <w:w w:val="85"/>
                <w:sz w:val="16"/>
              </w:rPr>
              <w:t>Modulo</w:t>
            </w:r>
          </w:p>
        </w:tc>
        <w:tc>
          <w:tcPr>
            <w:tcW w:w="130" w:type="dxa"/>
          </w:tcPr>
          <w:p>
            <w:pPr/>
          </w:p>
        </w:tc>
        <w:tc>
          <w:tcPr>
            <w:tcW w:w="1635" w:type="dxa"/>
            <w:tcBorders>
              <w:bottom w:val="double" w:sz="4" w:space="0" w:color="000000"/>
            </w:tcBorders>
          </w:tcPr>
          <w:p>
            <w:pPr>
              <w:pStyle w:val="TableParagraph"/>
              <w:spacing w:before="9"/>
              <w:ind w:left="35" w:right="235"/>
              <w:rPr>
                <w:b/>
                <w:sz w:val="16"/>
              </w:rPr>
            </w:pPr>
            <w:r>
              <w:rPr>
                <w:b/>
                <w:w w:val="95"/>
                <w:sz w:val="16"/>
              </w:rPr>
              <w:t>Raiz</w:t>
            </w:r>
          </w:p>
        </w:tc>
        <w:tc>
          <w:tcPr>
            <w:tcW w:w="655" w:type="dxa"/>
            <w:tcBorders>
              <w:bottom w:val="double" w:sz="4" w:space="0" w:color="000000"/>
            </w:tcBorders>
          </w:tcPr>
          <w:p>
            <w:pPr>
              <w:pStyle w:val="TableParagraph"/>
              <w:spacing w:before="9"/>
              <w:ind w:right="192"/>
              <w:rPr>
                <w:b/>
                <w:sz w:val="16"/>
              </w:rPr>
            </w:pPr>
            <w:r>
              <w:rPr>
                <w:b/>
                <w:w w:val="85"/>
                <w:sz w:val="16"/>
              </w:rPr>
              <w:t>Modulo</w:t>
            </w:r>
          </w:p>
        </w:tc>
      </w:tr>
      <w:tr>
        <w:trPr>
          <w:trHeight w:val="239" w:hRule="exact"/>
        </w:trPr>
        <w:tc>
          <w:tcPr>
            <w:tcW w:w="1470" w:type="dxa"/>
            <w:tcBorders>
              <w:top w:val="double" w:sz="4" w:space="0" w:color="000000"/>
            </w:tcBorders>
          </w:tcPr>
          <w:p>
            <w:pPr>
              <w:pStyle w:val="TableParagraph"/>
              <w:spacing w:before="16"/>
              <w:ind w:left="537"/>
              <w:jc w:val="left"/>
              <w:rPr>
                <w:sz w:val="16"/>
              </w:rPr>
            </w:pPr>
            <w:r>
              <w:rPr>
                <w:w w:val="95"/>
                <w:sz w:val="16"/>
              </w:rPr>
              <w:t>0.80</w:t>
            </w:r>
          </w:p>
        </w:tc>
        <w:tc>
          <w:tcPr>
            <w:tcW w:w="543" w:type="dxa"/>
            <w:tcBorders>
              <w:top w:val="double" w:sz="4" w:space="0" w:color="000000"/>
            </w:tcBorders>
          </w:tcPr>
          <w:p>
            <w:pPr>
              <w:pStyle w:val="TableParagraph"/>
              <w:spacing w:before="16"/>
              <w:ind w:left="82"/>
              <w:jc w:val="left"/>
              <w:rPr>
                <w:sz w:val="16"/>
              </w:rPr>
            </w:pPr>
            <w:r>
              <w:rPr>
                <w:w w:val="95"/>
                <w:sz w:val="16"/>
              </w:rPr>
              <w:t>0.80</w:t>
            </w:r>
          </w:p>
        </w:tc>
        <w:tc>
          <w:tcPr>
            <w:tcW w:w="95" w:type="dxa"/>
          </w:tcPr>
          <w:p>
            <w:pPr/>
          </w:p>
        </w:tc>
        <w:tc>
          <w:tcPr>
            <w:tcW w:w="1461" w:type="dxa"/>
            <w:tcBorders>
              <w:top w:val="double" w:sz="4" w:space="0" w:color="000000"/>
            </w:tcBorders>
          </w:tcPr>
          <w:p>
            <w:pPr>
              <w:pStyle w:val="TableParagraph"/>
              <w:spacing w:before="16"/>
              <w:ind w:right="140"/>
              <w:rPr>
                <w:sz w:val="16"/>
              </w:rPr>
            </w:pPr>
            <w:r>
              <w:rPr>
                <w:w w:val="95"/>
                <w:sz w:val="16"/>
              </w:rPr>
              <w:t>0.75</w:t>
            </w:r>
          </w:p>
        </w:tc>
        <w:tc>
          <w:tcPr>
            <w:tcW w:w="543" w:type="dxa"/>
            <w:tcBorders>
              <w:top w:val="double" w:sz="4" w:space="0" w:color="000000"/>
            </w:tcBorders>
          </w:tcPr>
          <w:p>
            <w:pPr>
              <w:pStyle w:val="TableParagraph"/>
              <w:spacing w:before="16"/>
              <w:ind w:left="82"/>
              <w:jc w:val="left"/>
              <w:rPr>
                <w:sz w:val="16"/>
              </w:rPr>
            </w:pPr>
            <w:r>
              <w:rPr>
                <w:w w:val="95"/>
                <w:sz w:val="16"/>
              </w:rPr>
              <w:t>0.75</w:t>
            </w:r>
          </w:p>
        </w:tc>
        <w:tc>
          <w:tcPr>
            <w:tcW w:w="121" w:type="dxa"/>
          </w:tcPr>
          <w:p>
            <w:pPr/>
          </w:p>
        </w:tc>
        <w:tc>
          <w:tcPr>
            <w:tcW w:w="1579" w:type="dxa"/>
            <w:tcBorders>
              <w:top w:val="double" w:sz="4" w:space="0" w:color="000000"/>
            </w:tcBorders>
          </w:tcPr>
          <w:p>
            <w:pPr>
              <w:pStyle w:val="TableParagraph"/>
              <w:spacing w:before="16"/>
              <w:ind w:left="598"/>
              <w:jc w:val="left"/>
              <w:rPr>
                <w:sz w:val="16"/>
              </w:rPr>
            </w:pPr>
            <w:r>
              <w:rPr>
                <w:w w:val="95"/>
                <w:sz w:val="16"/>
              </w:rPr>
              <w:t>0.69</w:t>
            </w:r>
          </w:p>
        </w:tc>
        <w:tc>
          <w:tcPr>
            <w:tcW w:w="590" w:type="dxa"/>
            <w:tcBorders>
              <w:top w:val="double" w:sz="4" w:space="0" w:color="000000"/>
            </w:tcBorders>
          </w:tcPr>
          <w:p>
            <w:pPr>
              <w:pStyle w:val="TableParagraph"/>
              <w:spacing w:before="16"/>
              <w:ind w:right="118"/>
              <w:rPr>
                <w:sz w:val="16"/>
              </w:rPr>
            </w:pPr>
            <w:r>
              <w:rPr>
                <w:w w:val="95"/>
                <w:sz w:val="16"/>
              </w:rPr>
              <w:t>0.69</w:t>
            </w:r>
          </w:p>
        </w:tc>
        <w:tc>
          <w:tcPr>
            <w:tcW w:w="130" w:type="dxa"/>
          </w:tcPr>
          <w:p>
            <w:pPr/>
          </w:p>
        </w:tc>
        <w:tc>
          <w:tcPr>
            <w:tcW w:w="1635" w:type="dxa"/>
            <w:tcBorders>
              <w:top w:val="double" w:sz="4" w:space="0" w:color="000000"/>
            </w:tcBorders>
          </w:tcPr>
          <w:p>
            <w:pPr>
              <w:pStyle w:val="TableParagraph"/>
              <w:spacing w:before="16"/>
              <w:ind w:left="26" w:right="235"/>
              <w:rPr>
                <w:sz w:val="16"/>
              </w:rPr>
            </w:pPr>
            <w:r>
              <w:rPr>
                <w:w w:val="95"/>
                <w:sz w:val="16"/>
              </w:rPr>
              <w:t>0.78</w:t>
            </w:r>
          </w:p>
        </w:tc>
        <w:tc>
          <w:tcPr>
            <w:tcW w:w="655" w:type="dxa"/>
            <w:tcBorders>
              <w:top w:val="double" w:sz="4" w:space="0" w:color="000000"/>
            </w:tcBorders>
          </w:tcPr>
          <w:p>
            <w:pPr>
              <w:pStyle w:val="TableParagraph"/>
              <w:spacing w:before="16"/>
              <w:ind w:right="192"/>
              <w:rPr>
                <w:sz w:val="16"/>
              </w:rPr>
            </w:pPr>
            <w:r>
              <w:rPr>
                <w:w w:val="95"/>
                <w:sz w:val="16"/>
              </w:rPr>
              <w:t>0.78</w:t>
            </w:r>
          </w:p>
        </w:tc>
      </w:tr>
      <w:tr>
        <w:trPr>
          <w:trHeight w:val="217" w:hRule="exact"/>
        </w:trPr>
        <w:tc>
          <w:tcPr>
            <w:tcW w:w="1470" w:type="dxa"/>
          </w:tcPr>
          <w:p>
            <w:pPr>
              <w:pStyle w:val="TableParagraph"/>
              <w:spacing w:before="9"/>
              <w:ind w:left="511"/>
              <w:jc w:val="left"/>
              <w:rPr>
                <w:sz w:val="16"/>
              </w:rPr>
            </w:pPr>
            <w:r>
              <w:rPr>
                <w:w w:val="95"/>
                <w:sz w:val="16"/>
              </w:rPr>
              <w:t>-0.52</w:t>
            </w:r>
          </w:p>
        </w:tc>
        <w:tc>
          <w:tcPr>
            <w:tcW w:w="543" w:type="dxa"/>
          </w:tcPr>
          <w:p>
            <w:pPr>
              <w:pStyle w:val="TableParagraph"/>
              <w:spacing w:before="9"/>
              <w:ind w:left="82"/>
              <w:jc w:val="left"/>
              <w:rPr>
                <w:sz w:val="16"/>
              </w:rPr>
            </w:pPr>
            <w:r>
              <w:rPr>
                <w:w w:val="95"/>
                <w:sz w:val="16"/>
              </w:rPr>
              <w:t>0.52</w:t>
            </w:r>
          </w:p>
        </w:tc>
        <w:tc>
          <w:tcPr>
            <w:tcW w:w="95" w:type="dxa"/>
          </w:tcPr>
          <w:p>
            <w:pPr/>
          </w:p>
        </w:tc>
        <w:tc>
          <w:tcPr>
            <w:tcW w:w="1461" w:type="dxa"/>
          </w:tcPr>
          <w:p>
            <w:pPr>
              <w:pStyle w:val="TableParagraph"/>
              <w:spacing w:before="9"/>
              <w:ind w:right="138"/>
              <w:rPr>
                <w:sz w:val="16"/>
              </w:rPr>
            </w:pPr>
            <w:r>
              <w:rPr>
                <w:w w:val="90"/>
                <w:sz w:val="16"/>
              </w:rPr>
              <w:t>-0.441317 - 0.073380i</w:t>
            </w:r>
          </w:p>
        </w:tc>
        <w:tc>
          <w:tcPr>
            <w:tcW w:w="543" w:type="dxa"/>
          </w:tcPr>
          <w:p>
            <w:pPr>
              <w:pStyle w:val="TableParagraph"/>
              <w:spacing w:before="9"/>
              <w:ind w:left="82"/>
              <w:jc w:val="left"/>
              <w:rPr>
                <w:sz w:val="16"/>
              </w:rPr>
            </w:pPr>
            <w:r>
              <w:rPr>
                <w:w w:val="95"/>
                <w:sz w:val="16"/>
              </w:rPr>
              <w:t>0.45</w:t>
            </w:r>
          </w:p>
        </w:tc>
        <w:tc>
          <w:tcPr>
            <w:tcW w:w="121" w:type="dxa"/>
          </w:tcPr>
          <w:p>
            <w:pPr/>
          </w:p>
        </w:tc>
        <w:tc>
          <w:tcPr>
            <w:tcW w:w="1579" w:type="dxa"/>
          </w:tcPr>
          <w:p>
            <w:pPr>
              <w:pStyle w:val="TableParagraph"/>
              <w:spacing w:before="9"/>
              <w:ind w:left="572"/>
              <w:jc w:val="left"/>
              <w:rPr>
                <w:sz w:val="16"/>
              </w:rPr>
            </w:pPr>
            <w:r>
              <w:rPr>
                <w:w w:val="95"/>
                <w:sz w:val="16"/>
              </w:rPr>
              <w:t>-0.58</w:t>
            </w:r>
          </w:p>
        </w:tc>
        <w:tc>
          <w:tcPr>
            <w:tcW w:w="590" w:type="dxa"/>
          </w:tcPr>
          <w:p>
            <w:pPr>
              <w:pStyle w:val="TableParagraph"/>
              <w:spacing w:before="9"/>
              <w:ind w:right="118"/>
              <w:rPr>
                <w:sz w:val="16"/>
              </w:rPr>
            </w:pPr>
            <w:r>
              <w:rPr>
                <w:w w:val="95"/>
                <w:sz w:val="16"/>
              </w:rPr>
              <w:t>0.58</w:t>
            </w:r>
          </w:p>
        </w:tc>
        <w:tc>
          <w:tcPr>
            <w:tcW w:w="130" w:type="dxa"/>
          </w:tcPr>
          <w:p>
            <w:pPr/>
          </w:p>
        </w:tc>
        <w:tc>
          <w:tcPr>
            <w:tcW w:w="1635" w:type="dxa"/>
          </w:tcPr>
          <w:p>
            <w:pPr>
              <w:pStyle w:val="TableParagraph"/>
              <w:spacing w:before="9"/>
              <w:ind w:left="25" w:right="235"/>
              <w:rPr>
                <w:sz w:val="16"/>
              </w:rPr>
            </w:pPr>
            <w:r>
              <w:rPr>
                <w:w w:val="95"/>
                <w:sz w:val="16"/>
              </w:rPr>
              <w:t>-0.52</w:t>
            </w:r>
          </w:p>
        </w:tc>
        <w:tc>
          <w:tcPr>
            <w:tcW w:w="655" w:type="dxa"/>
          </w:tcPr>
          <w:p>
            <w:pPr>
              <w:pStyle w:val="TableParagraph"/>
              <w:spacing w:before="9"/>
              <w:ind w:right="192"/>
              <w:rPr>
                <w:sz w:val="16"/>
              </w:rPr>
            </w:pPr>
            <w:r>
              <w:rPr>
                <w:w w:val="95"/>
                <w:sz w:val="16"/>
              </w:rPr>
              <w:t>0.52</w:t>
            </w:r>
          </w:p>
        </w:tc>
      </w:tr>
      <w:tr>
        <w:trPr>
          <w:trHeight w:val="217" w:hRule="exact"/>
        </w:trPr>
        <w:tc>
          <w:tcPr>
            <w:tcW w:w="1470" w:type="dxa"/>
          </w:tcPr>
          <w:p>
            <w:pPr>
              <w:pStyle w:val="TableParagraph"/>
              <w:spacing w:before="9"/>
              <w:ind w:left="511"/>
              <w:jc w:val="left"/>
              <w:rPr>
                <w:sz w:val="16"/>
              </w:rPr>
            </w:pPr>
            <w:r>
              <w:rPr>
                <w:w w:val="95"/>
                <w:sz w:val="16"/>
              </w:rPr>
              <w:t>-0.29</w:t>
            </w:r>
          </w:p>
        </w:tc>
        <w:tc>
          <w:tcPr>
            <w:tcW w:w="543" w:type="dxa"/>
          </w:tcPr>
          <w:p>
            <w:pPr>
              <w:pStyle w:val="TableParagraph"/>
              <w:spacing w:before="9"/>
              <w:ind w:left="82"/>
              <w:jc w:val="left"/>
              <w:rPr>
                <w:sz w:val="16"/>
              </w:rPr>
            </w:pPr>
            <w:r>
              <w:rPr>
                <w:w w:val="95"/>
                <w:sz w:val="16"/>
              </w:rPr>
              <w:t>0.29</w:t>
            </w:r>
          </w:p>
        </w:tc>
        <w:tc>
          <w:tcPr>
            <w:tcW w:w="95" w:type="dxa"/>
          </w:tcPr>
          <w:p>
            <w:pPr/>
          </w:p>
        </w:tc>
        <w:tc>
          <w:tcPr>
            <w:tcW w:w="1461" w:type="dxa"/>
          </w:tcPr>
          <w:p>
            <w:pPr>
              <w:pStyle w:val="TableParagraph"/>
              <w:spacing w:before="9"/>
              <w:ind w:right="129"/>
              <w:rPr>
                <w:sz w:val="16"/>
              </w:rPr>
            </w:pPr>
            <w:r>
              <w:rPr>
                <w:w w:val="90"/>
                <w:sz w:val="16"/>
              </w:rPr>
              <w:t>-0.441317 + 0.073380i</w:t>
            </w:r>
          </w:p>
        </w:tc>
        <w:tc>
          <w:tcPr>
            <w:tcW w:w="543" w:type="dxa"/>
          </w:tcPr>
          <w:p>
            <w:pPr>
              <w:pStyle w:val="TableParagraph"/>
              <w:spacing w:before="9"/>
              <w:ind w:left="82"/>
              <w:jc w:val="left"/>
              <w:rPr>
                <w:sz w:val="16"/>
              </w:rPr>
            </w:pPr>
            <w:r>
              <w:rPr>
                <w:w w:val="95"/>
                <w:sz w:val="16"/>
              </w:rPr>
              <w:t>0.45</w:t>
            </w:r>
          </w:p>
        </w:tc>
        <w:tc>
          <w:tcPr>
            <w:tcW w:w="121" w:type="dxa"/>
          </w:tcPr>
          <w:p>
            <w:pPr/>
          </w:p>
        </w:tc>
        <w:tc>
          <w:tcPr>
            <w:tcW w:w="1579" w:type="dxa"/>
          </w:tcPr>
          <w:p>
            <w:pPr>
              <w:pStyle w:val="TableParagraph"/>
              <w:spacing w:before="9"/>
              <w:ind w:left="598"/>
              <w:jc w:val="left"/>
              <w:rPr>
                <w:sz w:val="16"/>
              </w:rPr>
            </w:pPr>
            <w:r>
              <w:rPr>
                <w:w w:val="95"/>
                <w:sz w:val="16"/>
              </w:rPr>
              <w:t>0.38</w:t>
            </w:r>
          </w:p>
        </w:tc>
        <w:tc>
          <w:tcPr>
            <w:tcW w:w="590" w:type="dxa"/>
          </w:tcPr>
          <w:p>
            <w:pPr>
              <w:pStyle w:val="TableParagraph"/>
              <w:spacing w:before="9"/>
              <w:ind w:right="118"/>
              <w:rPr>
                <w:sz w:val="16"/>
              </w:rPr>
            </w:pPr>
            <w:r>
              <w:rPr>
                <w:w w:val="95"/>
                <w:sz w:val="16"/>
              </w:rPr>
              <w:t>0.38</w:t>
            </w:r>
          </w:p>
        </w:tc>
        <w:tc>
          <w:tcPr>
            <w:tcW w:w="130" w:type="dxa"/>
          </w:tcPr>
          <w:p>
            <w:pPr/>
          </w:p>
        </w:tc>
        <w:tc>
          <w:tcPr>
            <w:tcW w:w="1635" w:type="dxa"/>
          </w:tcPr>
          <w:p>
            <w:pPr>
              <w:pStyle w:val="TableParagraph"/>
              <w:spacing w:before="9"/>
              <w:ind w:left="26" w:right="235"/>
              <w:rPr>
                <w:sz w:val="16"/>
              </w:rPr>
            </w:pPr>
            <w:r>
              <w:rPr>
                <w:w w:val="95"/>
                <w:sz w:val="16"/>
              </w:rPr>
              <w:t>0.33</w:t>
            </w:r>
          </w:p>
        </w:tc>
        <w:tc>
          <w:tcPr>
            <w:tcW w:w="655" w:type="dxa"/>
          </w:tcPr>
          <w:p>
            <w:pPr>
              <w:pStyle w:val="TableParagraph"/>
              <w:spacing w:before="9"/>
              <w:ind w:right="192"/>
              <w:rPr>
                <w:sz w:val="16"/>
              </w:rPr>
            </w:pPr>
            <w:r>
              <w:rPr>
                <w:w w:val="95"/>
                <w:sz w:val="16"/>
              </w:rPr>
              <w:t>0.33</w:t>
            </w:r>
          </w:p>
        </w:tc>
      </w:tr>
      <w:tr>
        <w:trPr>
          <w:trHeight w:val="217" w:hRule="exact"/>
        </w:trPr>
        <w:tc>
          <w:tcPr>
            <w:tcW w:w="1470" w:type="dxa"/>
          </w:tcPr>
          <w:p>
            <w:pPr>
              <w:pStyle w:val="TableParagraph"/>
              <w:spacing w:before="9"/>
              <w:ind w:left="537"/>
              <w:jc w:val="left"/>
              <w:rPr>
                <w:sz w:val="16"/>
              </w:rPr>
            </w:pPr>
            <w:r>
              <w:rPr>
                <w:w w:val="95"/>
                <w:sz w:val="16"/>
              </w:rPr>
              <w:t>0.23</w:t>
            </w:r>
          </w:p>
        </w:tc>
        <w:tc>
          <w:tcPr>
            <w:tcW w:w="543" w:type="dxa"/>
          </w:tcPr>
          <w:p>
            <w:pPr>
              <w:pStyle w:val="TableParagraph"/>
              <w:spacing w:before="9"/>
              <w:ind w:left="82"/>
              <w:jc w:val="left"/>
              <w:rPr>
                <w:sz w:val="16"/>
              </w:rPr>
            </w:pPr>
            <w:r>
              <w:rPr>
                <w:w w:val="95"/>
                <w:sz w:val="16"/>
              </w:rPr>
              <w:t>0.23</w:t>
            </w:r>
          </w:p>
        </w:tc>
        <w:tc>
          <w:tcPr>
            <w:tcW w:w="95" w:type="dxa"/>
          </w:tcPr>
          <w:p>
            <w:pPr/>
          </w:p>
        </w:tc>
        <w:tc>
          <w:tcPr>
            <w:tcW w:w="1461" w:type="dxa"/>
          </w:tcPr>
          <w:p>
            <w:pPr>
              <w:pStyle w:val="TableParagraph"/>
              <w:spacing w:before="9"/>
              <w:ind w:right="140"/>
              <w:rPr>
                <w:sz w:val="16"/>
              </w:rPr>
            </w:pPr>
            <w:r>
              <w:rPr>
                <w:w w:val="95"/>
                <w:sz w:val="16"/>
              </w:rPr>
              <w:t>0.39</w:t>
            </w:r>
          </w:p>
        </w:tc>
        <w:tc>
          <w:tcPr>
            <w:tcW w:w="543" w:type="dxa"/>
          </w:tcPr>
          <w:p>
            <w:pPr>
              <w:pStyle w:val="TableParagraph"/>
              <w:spacing w:before="9"/>
              <w:ind w:left="82"/>
              <w:jc w:val="left"/>
              <w:rPr>
                <w:sz w:val="16"/>
              </w:rPr>
            </w:pPr>
            <w:r>
              <w:rPr>
                <w:w w:val="95"/>
                <w:sz w:val="16"/>
              </w:rPr>
              <w:t>0.39</w:t>
            </w:r>
          </w:p>
        </w:tc>
        <w:tc>
          <w:tcPr>
            <w:tcW w:w="121" w:type="dxa"/>
          </w:tcPr>
          <w:p>
            <w:pPr/>
          </w:p>
        </w:tc>
        <w:tc>
          <w:tcPr>
            <w:tcW w:w="1579" w:type="dxa"/>
          </w:tcPr>
          <w:p>
            <w:pPr>
              <w:pStyle w:val="TableParagraph"/>
              <w:spacing w:before="9"/>
              <w:ind w:left="572"/>
              <w:jc w:val="left"/>
              <w:rPr>
                <w:sz w:val="16"/>
              </w:rPr>
            </w:pPr>
            <w:r>
              <w:rPr>
                <w:w w:val="95"/>
                <w:sz w:val="16"/>
              </w:rPr>
              <w:t>-0.22</w:t>
            </w:r>
          </w:p>
        </w:tc>
        <w:tc>
          <w:tcPr>
            <w:tcW w:w="590" w:type="dxa"/>
          </w:tcPr>
          <w:p>
            <w:pPr>
              <w:pStyle w:val="TableParagraph"/>
              <w:spacing w:before="9"/>
              <w:ind w:right="118"/>
              <w:rPr>
                <w:sz w:val="16"/>
              </w:rPr>
            </w:pPr>
            <w:r>
              <w:rPr>
                <w:w w:val="95"/>
                <w:sz w:val="16"/>
              </w:rPr>
              <w:t>0.22</w:t>
            </w:r>
          </w:p>
        </w:tc>
        <w:tc>
          <w:tcPr>
            <w:tcW w:w="130" w:type="dxa"/>
          </w:tcPr>
          <w:p>
            <w:pPr/>
          </w:p>
        </w:tc>
        <w:tc>
          <w:tcPr>
            <w:tcW w:w="1635" w:type="dxa"/>
          </w:tcPr>
          <w:p>
            <w:pPr>
              <w:pStyle w:val="TableParagraph"/>
              <w:spacing w:before="9"/>
              <w:ind w:left="37" w:right="227"/>
              <w:rPr>
                <w:sz w:val="16"/>
              </w:rPr>
            </w:pPr>
            <w:r>
              <w:rPr>
                <w:w w:val="90"/>
                <w:sz w:val="16"/>
              </w:rPr>
              <w:t>-0.167941 - 0.143246i</w:t>
            </w:r>
          </w:p>
        </w:tc>
        <w:tc>
          <w:tcPr>
            <w:tcW w:w="655" w:type="dxa"/>
          </w:tcPr>
          <w:p>
            <w:pPr>
              <w:pStyle w:val="TableParagraph"/>
              <w:spacing w:before="9"/>
              <w:ind w:right="192"/>
              <w:rPr>
                <w:sz w:val="16"/>
              </w:rPr>
            </w:pPr>
            <w:r>
              <w:rPr>
                <w:w w:val="95"/>
                <w:sz w:val="16"/>
              </w:rPr>
              <w:t>0.22</w:t>
            </w:r>
          </w:p>
        </w:tc>
      </w:tr>
      <w:tr>
        <w:trPr>
          <w:trHeight w:val="216" w:hRule="exact"/>
        </w:trPr>
        <w:tc>
          <w:tcPr>
            <w:tcW w:w="1470" w:type="dxa"/>
            <w:tcBorders>
              <w:bottom w:val="double" w:sz="4" w:space="0" w:color="000000"/>
            </w:tcBorders>
          </w:tcPr>
          <w:p>
            <w:pPr>
              <w:pStyle w:val="TableParagraph"/>
              <w:spacing w:before="9"/>
              <w:ind w:left="537"/>
              <w:jc w:val="left"/>
              <w:rPr>
                <w:sz w:val="16"/>
              </w:rPr>
            </w:pPr>
            <w:r>
              <w:rPr>
                <w:w w:val="95"/>
                <w:sz w:val="16"/>
              </w:rPr>
              <w:t>0.06</w:t>
            </w:r>
          </w:p>
        </w:tc>
        <w:tc>
          <w:tcPr>
            <w:tcW w:w="543" w:type="dxa"/>
            <w:tcBorders>
              <w:bottom w:val="double" w:sz="4" w:space="0" w:color="000000"/>
            </w:tcBorders>
          </w:tcPr>
          <w:p>
            <w:pPr>
              <w:pStyle w:val="TableParagraph"/>
              <w:spacing w:before="9"/>
              <w:ind w:left="82"/>
              <w:jc w:val="left"/>
              <w:rPr>
                <w:sz w:val="16"/>
              </w:rPr>
            </w:pPr>
            <w:r>
              <w:rPr>
                <w:w w:val="95"/>
                <w:sz w:val="16"/>
              </w:rPr>
              <w:t>0.06</w:t>
            </w:r>
          </w:p>
        </w:tc>
        <w:tc>
          <w:tcPr>
            <w:tcW w:w="95" w:type="dxa"/>
          </w:tcPr>
          <w:p>
            <w:pPr/>
          </w:p>
        </w:tc>
        <w:tc>
          <w:tcPr>
            <w:tcW w:w="1461" w:type="dxa"/>
            <w:tcBorders>
              <w:bottom w:val="double" w:sz="4" w:space="0" w:color="000000"/>
            </w:tcBorders>
          </w:tcPr>
          <w:p>
            <w:pPr>
              <w:pStyle w:val="TableParagraph"/>
              <w:spacing w:before="9"/>
              <w:ind w:right="140"/>
              <w:rPr>
                <w:sz w:val="16"/>
              </w:rPr>
            </w:pPr>
            <w:r>
              <w:rPr>
                <w:w w:val="95"/>
                <w:sz w:val="16"/>
              </w:rPr>
              <w:t>-0.07</w:t>
            </w:r>
          </w:p>
        </w:tc>
        <w:tc>
          <w:tcPr>
            <w:tcW w:w="543" w:type="dxa"/>
            <w:tcBorders>
              <w:bottom w:val="double" w:sz="4" w:space="0" w:color="000000"/>
            </w:tcBorders>
          </w:tcPr>
          <w:p>
            <w:pPr>
              <w:pStyle w:val="TableParagraph"/>
              <w:spacing w:before="9"/>
              <w:ind w:left="82"/>
              <w:jc w:val="left"/>
              <w:rPr>
                <w:sz w:val="16"/>
              </w:rPr>
            </w:pPr>
            <w:r>
              <w:rPr>
                <w:w w:val="95"/>
                <w:sz w:val="16"/>
              </w:rPr>
              <w:t>0.07</w:t>
            </w:r>
          </w:p>
        </w:tc>
        <w:tc>
          <w:tcPr>
            <w:tcW w:w="121" w:type="dxa"/>
          </w:tcPr>
          <w:p>
            <w:pPr/>
          </w:p>
        </w:tc>
        <w:tc>
          <w:tcPr>
            <w:tcW w:w="1579" w:type="dxa"/>
            <w:tcBorders>
              <w:bottom w:val="double" w:sz="4" w:space="0" w:color="000000"/>
            </w:tcBorders>
          </w:tcPr>
          <w:p>
            <w:pPr>
              <w:pStyle w:val="TableParagraph"/>
              <w:spacing w:before="9"/>
              <w:ind w:left="598"/>
              <w:jc w:val="left"/>
              <w:rPr>
                <w:sz w:val="16"/>
              </w:rPr>
            </w:pPr>
            <w:r>
              <w:rPr>
                <w:w w:val="95"/>
                <w:sz w:val="16"/>
              </w:rPr>
              <w:t>0.06</w:t>
            </w:r>
          </w:p>
        </w:tc>
        <w:tc>
          <w:tcPr>
            <w:tcW w:w="590" w:type="dxa"/>
            <w:tcBorders>
              <w:bottom w:val="double" w:sz="4" w:space="0" w:color="000000"/>
            </w:tcBorders>
          </w:tcPr>
          <w:p>
            <w:pPr>
              <w:pStyle w:val="TableParagraph"/>
              <w:spacing w:before="9"/>
              <w:ind w:right="118"/>
              <w:rPr>
                <w:sz w:val="16"/>
              </w:rPr>
            </w:pPr>
            <w:r>
              <w:rPr>
                <w:w w:val="95"/>
                <w:sz w:val="16"/>
              </w:rPr>
              <w:t>0.06</w:t>
            </w:r>
          </w:p>
        </w:tc>
        <w:tc>
          <w:tcPr>
            <w:tcW w:w="130" w:type="dxa"/>
          </w:tcPr>
          <w:p>
            <w:pPr/>
          </w:p>
        </w:tc>
        <w:tc>
          <w:tcPr>
            <w:tcW w:w="1635" w:type="dxa"/>
            <w:tcBorders>
              <w:bottom w:val="double" w:sz="4" w:space="0" w:color="000000"/>
            </w:tcBorders>
          </w:tcPr>
          <w:p>
            <w:pPr>
              <w:pStyle w:val="TableParagraph"/>
              <w:spacing w:before="9"/>
              <w:ind w:left="37" w:right="235"/>
              <w:rPr>
                <w:sz w:val="16"/>
              </w:rPr>
            </w:pPr>
            <w:r>
              <w:rPr>
                <w:w w:val="90"/>
                <w:sz w:val="16"/>
              </w:rPr>
              <w:t>-0.167941 + 0.143246i</w:t>
            </w:r>
          </w:p>
        </w:tc>
        <w:tc>
          <w:tcPr>
            <w:tcW w:w="655" w:type="dxa"/>
            <w:tcBorders>
              <w:bottom w:val="double" w:sz="4" w:space="0" w:color="000000"/>
            </w:tcBorders>
          </w:tcPr>
          <w:p>
            <w:pPr>
              <w:pStyle w:val="TableParagraph"/>
              <w:spacing w:before="9"/>
              <w:ind w:right="192"/>
              <w:rPr>
                <w:sz w:val="16"/>
              </w:rPr>
            </w:pPr>
            <w:r>
              <w:rPr>
                <w:w w:val="95"/>
                <w:sz w:val="16"/>
              </w:rPr>
              <w:t>0.22</w:t>
            </w:r>
          </w:p>
        </w:tc>
      </w:tr>
    </w:tbl>
    <w:p>
      <w:pPr>
        <w:spacing w:after="0"/>
        <w:rPr>
          <w:sz w:val="16"/>
        </w:rPr>
        <w:sectPr>
          <w:pgSz w:w="12250" w:h="15850"/>
          <w:pgMar w:header="0" w:footer="977" w:top="1500" w:bottom="1220" w:left="1600" w:right="1560"/>
        </w:sectPr>
      </w:pPr>
    </w:p>
    <w:p>
      <w:pPr>
        <w:spacing w:line="283" w:lineRule="auto" w:before="1"/>
        <w:ind w:left="156" w:right="177" w:firstLine="0"/>
        <w:jc w:val="left"/>
        <w:rPr>
          <w:sz w:val="16"/>
        </w:rPr>
      </w:pPr>
      <w:r>
        <w:rPr>
          <w:spacing w:val="-7"/>
          <w:w w:val="90"/>
          <w:sz w:val="16"/>
        </w:rPr>
        <w:t>Ninguna </w:t>
      </w:r>
      <w:r>
        <w:rPr>
          <w:spacing w:val="-5"/>
          <w:w w:val="90"/>
          <w:sz w:val="16"/>
        </w:rPr>
        <w:t>raíz </w:t>
      </w:r>
      <w:r>
        <w:rPr>
          <w:w w:val="90"/>
          <w:sz w:val="16"/>
        </w:rPr>
        <w:t>cae </w:t>
      </w:r>
      <w:r>
        <w:rPr>
          <w:spacing w:val="-6"/>
          <w:w w:val="90"/>
          <w:sz w:val="16"/>
        </w:rPr>
        <w:t>fuera </w:t>
      </w:r>
      <w:r>
        <w:rPr>
          <w:w w:val="90"/>
          <w:sz w:val="16"/>
        </w:rPr>
        <w:t>del </w:t>
      </w:r>
      <w:r>
        <w:rPr>
          <w:spacing w:val="-7"/>
          <w:w w:val="90"/>
          <w:sz w:val="16"/>
        </w:rPr>
        <w:t>circulo </w:t>
      </w:r>
      <w:r>
        <w:rPr>
          <w:spacing w:val="-7"/>
          <w:w w:val="95"/>
          <w:sz w:val="16"/>
        </w:rPr>
        <w:t>untitario</w:t>
      </w:r>
    </w:p>
    <w:p>
      <w:pPr>
        <w:spacing w:before="11"/>
        <w:ind w:left="156" w:right="-2" w:firstLine="0"/>
        <w:jc w:val="left"/>
        <w:rPr>
          <w:sz w:val="16"/>
        </w:rPr>
      </w:pPr>
      <w:r>
        <w:rPr>
          <w:spacing w:val="-4"/>
          <w:w w:val="90"/>
          <w:sz w:val="16"/>
        </w:rPr>
        <w:t>El</w:t>
      </w:r>
      <w:r>
        <w:rPr>
          <w:spacing w:val="-23"/>
          <w:w w:val="90"/>
          <w:sz w:val="16"/>
        </w:rPr>
        <w:t> </w:t>
      </w:r>
      <w:r>
        <w:rPr>
          <w:spacing w:val="-5"/>
          <w:w w:val="90"/>
          <w:sz w:val="16"/>
        </w:rPr>
        <w:t>modelo</w:t>
      </w:r>
      <w:r>
        <w:rPr>
          <w:spacing w:val="-15"/>
          <w:w w:val="90"/>
          <w:sz w:val="16"/>
        </w:rPr>
        <w:t> </w:t>
      </w:r>
      <w:r>
        <w:rPr>
          <w:spacing w:val="-4"/>
          <w:w w:val="90"/>
          <w:sz w:val="16"/>
        </w:rPr>
        <w:t>VAR</w:t>
      </w:r>
      <w:r>
        <w:rPr>
          <w:spacing w:val="-19"/>
          <w:w w:val="90"/>
          <w:sz w:val="16"/>
        </w:rPr>
        <w:t> </w:t>
      </w:r>
      <w:r>
        <w:rPr>
          <w:spacing w:val="-5"/>
          <w:w w:val="90"/>
          <w:sz w:val="16"/>
        </w:rPr>
        <w:t>satisface</w:t>
      </w:r>
      <w:r>
        <w:rPr>
          <w:spacing w:val="-16"/>
          <w:w w:val="90"/>
          <w:sz w:val="16"/>
        </w:rPr>
        <w:t> </w:t>
      </w:r>
      <w:r>
        <w:rPr>
          <w:spacing w:val="-7"/>
          <w:w w:val="90"/>
          <w:sz w:val="16"/>
        </w:rPr>
        <w:t>la</w:t>
      </w:r>
      <w:r>
        <w:rPr>
          <w:spacing w:val="-16"/>
          <w:w w:val="90"/>
          <w:sz w:val="16"/>
        </w:rPr>
        <w:t> </w:t>
      </w:r>
      <w:r>
        <w:rPr>
          <w:spacing w:val="-5"/>
          <w:w w:val="90"/>
          <w:sz w:val="16"/>
        </w:rPr>
        <w:t>condición</w:t>
      </w:r>
    </w:p>
    <w:p>
      <w:pPr>
        <w:spacing w:line="283" w:lineRule="auto" w:before="1"/>
        <w:ind w:left="82" w:right="-9" w:firstLine="0"/>
        <w:jc w:val="left"/>
        <w:rPr>
          <w:sz w:val="16"/>
        </w:rPr>
      </w:pPr>
      <w:r>
        <w:rPr/>
        <w:br w:type="column"/>
      </w:r>
      <w:r>
        <w:rPr>
          <w:spacing w:val="-7"/>
          <w:w w:val="90"/>
          <w:sz w:val="16"/>
        </w:rPr>
        <w:t>Ninguna</w:t>
      </w:r>
      <w:r>
        <w:rPr>
          <w:spacing w:val="-14"/>
          <w:w w:val="90"/>
          <w:sz w:val="16"/>
        </w:rPr>
        <w:t> </w:t>
      </w:r>
      <w:r>
        <w:rPr>
          <w:spacing w:val="-5"/>
          <w:w w:val="90"/>
          <w:sz w:val="16"/>
        </w:rPr>
        <w:t>raíz</w:t>
      </w:r>
      <w:r>
        <w:rPr>
          <w:spacing w:val="-20"/>
          <w:w w:val="90"/>
          <w:sz w:val="16"/>
        </w:rPr>
        <w:t> </w:t>
      </w:r>
      <w:r>
        <w:rPr>
          <w:w w:val="90"/>
          <w:sz w:val="16"/>
        </w:rPr>
        <w:t>cae</w:t>
      </w:r>
      <w:r>
        <w:rPr>
          <w:spacing w:val="-14"/>
          <w:w w:val="90"/>
          <w:sz w:val="16"/>
        </w:rPr>
        <w:t> </w:t>
      </w:r>
      <w:r>
        <w:rPr>
          <w:spacing w:val="-6"/>
          <w:w w:val="90"/>
          <w:sz w:val="16"/>
        </w:rPr>
        <w:t>fuera</w:t>
      </w:r>
      <w:r>
        <w:rPr>
          <w:spacing w:val="-14"/>
          <w:w w:val="90"/>
          <w:sz w:val="16"/>
        </w:rPr>
        <w:t> </w:t>
      </w:r>
      <w:r>
        <w:rPr>
          <w:w w:val="90"/>
          <w:sz w:val="16"/>
        </w:rPr>
        <w:t>del</w:t>
      </w:r>
      <w:r>
        <w:rPr>
          <w:spacing w:val="-22"/>
          <w:w w:val="90"/>
          <w:sz w:val="16"/>
        </w:rPr>
        <w:t> </w:t>
      </w:r>
      <w:r>
        <w:rPr>
          <w:spacing w:val="-7"/>
          <w:w w:val="90"/>
          <w:sz w:val="16"/>
        </w:rPr>
        <w:t>circulo </w:t>
      </w:r>
      <w:r>
        <w:rPr>
          <w:spacing w:val="-7"/>
          <w:w w:val="95"/>
          <w:sz w:val="16"/>
        </w:rPr>
        <w:t>untitario</w:t>
      </w:r>
    </w:p>
    <w:p>
      <w:pPr>
        <w:spacing w:before="11"/>
        <w:ind w:left="82" w:right="-9" w:firstLine="0"/>
        <w:jc w:val="left"/>
        <w:rPr>
          <w:sz w:val="16"/>
        </w:rPr>
      </w:pPr>
      <w:r>
        <w:rPr>
          <w:w w:val="90"/>
          <w:sz w:val="16"/>
        </w:rPr>
        <w:t>El modelo VAR satisface la</w:t>
      </w:r>
    </w:p>
    <w:p>
      <w:pPr>
        <w:spacing w:line="283" w:lineRule="auto" w:before="1"/>
        <w:ind w:left="156" w:right="177" w:firstLine="0"/>
        <w:jc w:val="left"/>
        <w:rPr>
          <w:sz w:val="16"/>
        </w:rPr>
      </w:pPr>
      <w:r>
        <w:rPr/>
        <w:br w:type="column"/>
      </w:r>
      <w:r>
        <w:rPr>
          <w:spacing w:val="-7"/>
          <w:w w:val="90"/>
          <w:sz w:val="16"/>
        </w:rPr>
        <w:t>Ninguna </w:t>
      </w:r>
      <w:r>
        <w:rPr>
          <w:spacing w:val="-5"/>
          <w:w w:val="90"/>
          <w:sz w:val="16"/>
        </w:rPr>
        <w:t>raíz </w:t>
      </w:r>
      <w:r>
        <w:rPr>
          <w:w w:val="90"/>
          <w:sz w:val="16"/>
        </w:rPr>
        <w:t>cae </w:t>
      </w:r>
      <w:r>
        <w:rPr>
          <w:spacing w:val="-6"/>
          <w:w w:val="90"/>
          <w:sz w:val="16"/>
        </w:rPr>
        <w:t>fuera </w:t>
      </w:r>
      <w:r>
        <w:rPr>
          <w:w w:val="90"/>
          <w:sz w:val="16"/>
        </w:rPr>
        <w:t>del </w:t>
      </w:r>
      <w:r>
        <w:rPr>
          <w:spacing w:val="-7"/>
          <w:w w:val="90"/>
          <w:sz w:val="16"/>
        </w:rPr>
        <w:t>circulo </w:t>
      </w:r>
      <w:r>
        <w:rPr>
          <w:spacing w:val="-7"/>
          <w:w w:val="95"/>
          <w:sz w:val="16"/>
        </w:rPr>
        <w:t>untitario</w:t>
      </w:r>
    </w:p>
    <w:p>
      <w:pPr>
        <w:spacing w:before="11"/>
        <w:ind w:left="156" w:right="-2" w:firstLine="0"/>
        <w:jc w:val="left"/>
        <w:rPr>
          <w:sz w:val="16"/>
        </w:rPr>
      </w:pPr>
      <w:r>
        <w:rPr>
          <w:spacing w:val="-4"/>
          <w:w w:val="90"/>
          <w:sz w:val="16"/>
        </w:rPr>
        <w:t>El</w:t>
      </w:r>
      <w:r>
        <w:rPr>
          <w:spacing w:val="-23"/>
          <w:w w:val="90"/>
          <w:sz w:val="16"/>
        </w:rPr>
        <w:t> </w:t>
      </w:r>
      <w:r>
        <w:rPr>
          <w:spacing w:val="-5"/>
          <w:w w:val="90"/>
          <w:sz w:val="16"/>
        </w:rPr>
        <w:t>modelo</w:t>
      </w:r>
      <w:r>
        <w:rPr>
          <w:spacing w:val="-15"/>
          <w:w w:val="90"/>
          <w:sz w:val="16"/>
        </w:rPr>
        <w:t> </w:t>
      </w:r>
      <w:r>
        <w:rPr>
          <w:spacing w:val="-4"/>
          <w:w w:val="90"/>
          <w:sz w:val="16"/>
        </w:rPr>
        <w:t>VAR</w:t>
      </w:r>
      <w:r>
        <w:rPr>
          <w:spacing w:val="-19"/>
          <w:w w:val="90"/>
          <w:sz w:val="16"/>
        </w:rPr>
        <w:t> </w:t>
      </w:r>
      <w:r>
        <w:rPr>
          <w:spacing w:val="-5"/>
          <w:w w:val="90"/>
          <w:sz w:val="16"/>
        </w:rPr>
        <w:t>satisface</w:t>
      </w:r>
      <w:r>
        <w:rPr>
          <w:spacing w:val="-16"/>
          <w:w w:val="90"/>
          <w:sz w:val="16"/>
        </w:rPr>
        <w:t> </w:t>
      </w:r>
      <w:r>
        <w:rPr>
          <w:spacing w:val="-7"/>
          <w:w w:val="90"/>
          <w:sz w:val="16"/>
        </w:rPr>
        <w:t>la</w:t>
      </w:r>
      <w:r>
        <w:rPr>
          <w:spacing w:val="-16"/>
          <w:w w:val="90"/>
          <w:sz w:val="16"/>
        </w:rPr>
        <w:t> </w:t>
      </w:r>
      <w:r>
        <w:rPr>
          <w:spacing w:val="-5"/>
          <w:w w:val="90"/>
          <w:sz w:val="16"/>
        </w:rPr>
        <w:t>condición</w:t>
      </w:r>
    </w:p>
    <w:p>
      <w:pPr>
        <w:spacing w:before="94"/>
        <w:ind w:left="156" w:right="-3" w:firstLine="0"/>
        <w:jc w:val="left"/>
        <w:rPr>
          <w:sz w:val="16"/>
        </w:rPr>
      </w:pPr>
      <w:r>
        <w:rPr/>
        <w:br w:type="column"/>
      </w:r>
      <w:r>
        <w:rPr>
          <w:spacing w:val="-7"/>
          <w:w w:val="90"/>
          <w:sz w:val="16"/>
        </w:rPr>
        <w:t>Ninguna </w:t>
      </w:r>
      <w:r>
        <w:rPr>
          <w:spacing w:val="-5"/>
          <w:w w:val="90"/>
          <w:sz w:val="16"/>
        </w:rPr>
        <w:t>raíz </w:t>
      </w:r>
      <w:r>
        <w:rPr>
          <w:w w:val="90"/>
          <w:sz w:val="16"/>
        </w:rPr>
        <w:t>cae </w:t>
      </w:r>
      <w:r>
        <w:rPr>
          <w:spacing w:val="-6"/>
          <w:w w:val="90"/>
          <w:sz w:val="16"/>
        </w:rPr>
        <w:t>fuera </w:t>
      </w:r>
      <w:r>
        <w:rPr>
          <w:w w:val="90"/>
          <w:sz w:val="16"/>
        </w:rPr>
        <w:t>del </w:t>
      </w:r>
      <w:r>
        <w:rPr>
          <w:spacing w:val="-7"/>
          <w:w w:val="90"/>
          <w:sz w:val="16"/>
        </w:rPr>
        <w:t>circulo untitario</w:t>
      </w:r>
    </w:p>
    <w:p>
      <w:pPr>
        <w:pStyle w:val="BodyText"/>
        <w:spacing w:before="7"/>
        <w:rPr>
          <w:sz w:val="13"/>
        </w:rPr>
      </w:pPr>
    </w:p>
    <w:p>
      <w:pPr>
        <w:spacing w:before="0"/>
        <w:ind w:left="156" w:right="-3" w:firstLine="0"/>
        <w:jc w:val="left"/>
        <w:rPr>
          <w:sz w:val="16"/>
        </w:rPr>
      </w:pPr>
      <w:r>
        <w:rPr>
          <w:w w:val="90"/>
          <w:sz w:val="16"/>
        </w:rPr>
        <w:t>El modelo VAR satisface la condición de</w:t>
      </w:r>
    </w:p>
    <w:p>
      <w:pPr>
        <w:spacing w:after="0"/>
        <w:jc w:val="left"/>
        <w:rPr>
          <w:sz w:val="16"/>
        </w:rPr>
        <w:sectPr>
          <w:type w:val="continuous"/>
          <w:pgSz w:w="12250" w:h="15850"/>
          <w:pgMar w:top="1500" w:bottom="280" w:left="1600" w:right="1560"/>
          <w:cols w:num="4" w:equalWidth="0">
            <w:col w:w="2143" w:space="40"/>
            <w:col w:w="1817" w:space="234"/>
            <w:col w:w="2143" w:space="156"/>
            <w:col w:w="2557"/>
          </w:cols>
        </w:sectPr>
      </w:pPr>
    </w:p>
    <w:p>
      <w:pPr>
        <w:tabs>
          <w:tab w:pos="2152" w:val="left" w:leader="none"/>
          <w:tab w:pos="4251" w:val="left" w:leader="none"/>
        </w:tabs>
        <w:spacing w:before="32"/>
        <w:ind w:left="139" w:right="0" w:firstLine="0"/>
        <w:jc w:val="left"/>
        <w:rPr>
          <w:sz w:val="16"/>
        </w:rPr>
      </w:pPr>
      <w:r>
        <w:rPr>
          <w:spacing w:val="-18"/>
          <w:w w:val="87"/>
          <w:sz w:val="16"/>
          <w:u w:val="thick"/>
        </w:rPr>
        <w:t> </w:t>
      </w:r>
      <w:r>
        <w:rPr>
          <w:w w:val="95"/>
          <w:sz w:val="16"/>
          <w:u w:val="thick"/>
        </w:rPr>
        <w:t>de</w:t>
      </w:r>
      <w:r>
        <w:rPr>
          <w:spacing w:val="-9"/>
          <w:w w:val="95"/>
          <w:sz w:val="16"/>
          <w:u w:val="thick"/>
        </w:rPr>
        <w:t> </w:t>
      </w:r>
      <w:r>
        <w:rPr>
          <w:spacing w:val="-5"/>
          <w:w w:val="95"/>
          <w:sz w:val="16"/>
          <w:u w:val="thick"/>
        </w:rPr>
        <w:t>estabilidad</w:t>
        <w:tab/>
      </w:r>
      <w:r>
        <w:rPr>
          <w:spacing w:val="-5"/>
          <w:w w:val="95"/>
          <w:sz w:val="16"/>
          <w:u w:val="thick"/>
        </w:rPr>
        <w:t>condición </w:t>
      </w:r>
      <w:r>
        <w:rPr>
          <w:w w:val="95"/>
          <w:sz w:val="16"/>
          <w:u w:val="thick"/>
        </w:rPr>
        <w:t>de</w:t>
      </w:r>
      <w:r>
        <w:rPr>
          <w:spacing w:val="-20"/>
          <w:w w:val="95"/>
          <w:sz w:val="16"/>
          <w:u w:val="thick"/>
        </w:rPr>
        <w:t> </w:t>
      </w:r>
      <w:r>
        <w:rPr>
          <w:spacing w:val="-5"/>
          <w:w w:val="95"/>
          <w:sz w:val="16"/>
          <w:u w:val="thick"/>
        </w:rPr>
        <w:t>estabilidad</w:t>
      </w:r>
      <w:r>
        <w:rPr>
          <w:spacing w:val="-5"/>
          <w:sz w:val="16"/>
          <w:u w:val="thick"/>
        </w:rPr>
        <w:tab/>
      </w:r>
    </w:p>
    <w:p>
      <w:pPr>
        <w:tabs>
          <w:tab w:pos="2250" w:val="left" w:leader="none"/>
        </w:tabs>
        <w:spacing w:before="32"/>
        <w:ind w:left="81" w:right="0" w:firstLine="0"/>
        <w:jc w:val="left"/>
        <w:rPr>
          <w:sz w:val="16"/>
        </w:rPr>
      </w:pPr>
      <w:r>
        <w:rPr/>
        <w:br w:type="column"/>
      </w:r>
      <w:r>
        <w:rPr>
          <w:spacing w:val="-18"/>
          <w:w w:val="87"/>
          <w:sz w:val="16"/>
          <w:u w:val="thick"/>
        </w:rPr>
        <w:t> </w:t>
      </w:r>
      <w:r>
        <w:rPr>
          <w:w w:val="85"/>
          <w:sz w:val="16"/>
          <w:u w:val="thick"/>
        </w:rPr>
        <w:t>de</w:t>
      </w:r>
      <w:r>
        <w:rPr>
          <w:spacing w:val="19"/>
          <w:w w:val="85"/>
          <w:sz w:val="16"/>
          <w:u w:val="thick"/>
        </w:rPr>
        <w:t> </w:t>
      </w:r>
      <w:r>
        <w:rPr>
          <w:spacing w:val="-5"/>
          <w:w w:val="85"/>
          <w:sz w:val="16"/>
          <w:u w:val="thick"/>
        </w:rPr>
        <w:t>estabilidad</w:t>
      </w:r>
      <w:r>
        <w:rPr>
          <w:spacing w:val="-5"/>
          <w:sz w:val="16"/>
          <w:u w:val="thick"/>
        </w:rPr>
        <w:tab/>
      </w:r>
    </w:p>
    <w:p>
      <w:pPr>
        <w:spacing w:before="22"/>
        <w:ind w:left="107" w:right="0" w:firstLine="0"/>
        <w:jc w:val="left"/>
        <w:rPr>
          <w:sz w:val="16"/>
        </w:rPr>
      </w:pPr>
      <w:r>
        <w:rPr/>
        <w:br w:type="column"/>
      </w:r>
      <w:r>
        <w:rPr>
          <w:w w:val="95"/>
          <w:sz w:val="16"/>
        </w:rPr>
        <w:t>estabilidad</w:t>
      </w:r>
    </w:p>
    <w:p>
      <w:pPr>
        <w:spacing w:after="0"/>
        <w:jc w:val="left"/>
        <w:rPr>
          <w:sz w:val="16"/>
        </w:rPr>
        <w:sectPr>
          <w:type w:val="continuous"/>
          <w:pgSz w:w="12250" w:h="15850"/>
          <w:pgMar w:top="1500" w:bottom="280" w:left="1600" w:right="1560"/>
          <w:cols w:num="3" w:equalWidth="0">
            <w:col w:w="4252" w:space="40"/>
            <w:col w:w="2251" w:space="40"/>
            <w:col w:w="2507"/>
          </w:cols>
        </w:sectPr>
      </w:pPr>
    </w:p>
    <w:p>
      <w:pPr>
        <w:pStyle w:val="BodyText"/>
        <w:spacing w:line="31" w:lineRule="exact"/>
        <w:ind w:left="6666"/>
        <w:rPr>
          <w:sz w:val="3"/>
        </w:rPr>
      </w:pPr>
      <w:r>
        <w:rPr>
          <w:position w:val="0"/>
          <w:sz w:val="3"/>
        </w:rPr>
        <w:pict>
          <v:group style="width:115.1pt;height:1.6pt;mso-position-horizontal-relative:char;mso-position-vertical-relative:line" coordorigin="0,0" coordsize="2302,32">
            <v:line style="position:absolute" from="10,6" to="2292,6" stroked="true" strokeweight=".514045pt" strokecolor="#000000"/>
            <v:line style="position:absolute" from="6,6" to="2296,6" stroked="true" strokeweight=".514045pt" strokecolor="#000000"/>
            <v:line style="position:absolute" from="10,26" to="2292,26" stroked="true" strokeweight=".514045pt" strokecolor="#000000"/>
            <v:line style="position:absolute" from="6,26" to="2296,26" stroked="true" strokeweight=".514045pt" strokecolor="#000000"/>
          </v:group>
        </w:pict>
      </w:r>
      <w:r>
        <w:rPr>
          <w:position w:val="0"/>
          <w:sz w:val="3"/>
        </w:rPr>
      </w:r>
    </w:p>
    <w:p>
      <w:pPr>
        <w:pStyle w:val="BodyText"/>
        <w:spacing w:before="10"/>
        <w:rPr>
          <w:sz w:val="26"/>
        </w:rPr>
      </w:pPr>
    </w:p>
    <w:p>
      <w:pPr>
        <w:pStyle w:val="Heading4"/>
        <w:spacing w:before="69"/>
        <w:ind w:left="102" w:right="115" w:firstLine="0"/>
      </w:pPr>
      <w:bookmarkStart w:name="_bookmark187" w:id="252"/>
      <w:bookmarkEnd w:id="252"/>
      <w:r>
        <w:rPr>
          <w:b w:val="0"/>
        </w:rPr>
      </w:r>
      <w:r>
        <w:rPr/>
        <w:t>Anexo 4.7: Cumplimiento de supuestos econométricos</w:t>
      </w:r>
    </w:p>
    <w:p>
      <w:pPr>
        <w:pStyle w:val="BodyText"/>
        <w:spacing w:before="7"/>
        <w:rPr>
          <w:b/>
          <w:sz w:val="20"/>
        </w:rPr>
      </w:pPr>
    </w:p>
    <w:p>
      <w:pPr>
        <w:pStyle w:val="BodyText"/>
        <w:spacing w:line="360" w:lineRule="auto" w:after="7"/>
        <w:ind w:left="102" w:right="115"/>
      </w:pPr>
      <w:r>
        <w:rPr/>
        <w:t>Anexo 4.7 A1: Prueba de especificación de normalidad con base en estimación estructural SVAR</w:t>
      </w:r>
    </w:p>
    <w:tbl>
      <w:tblPr>
        <w:tblW w:w="0" w:type="auto"/>
        <w:jc w:val="left"/>
        <w:tblInd w:w="13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82"/>
        <w:gridCol w:w="627"/>
        <w:gridCol w:w="78"/>
        <w:gridCol w:w="1492"/>
        <w:gridCol w:w="645"/>
        <w:gridCol w:w="100"/>
        <w:gridCol w:w="1492"/>
        <w:gridCol w:w="617"/>
        <w:gridCol w:w="107"/>
        <w:gridCol w:w="1500"/>
        <w:gridCol w:w="695"/>
      </w:tblGrid>
      <w:tr>
        <w:trPr>
          <w:trHeight w:val="462" w:hRule="exact"/>
        </w:trPr>
        <w:tc>
          <w:tcPr>
            <w:tcW w:w="1482" w:type="dxa"/>
          </w:tcPr>
          <w:p>
            <w:pPr>
              <w:pStyle w:val="TableParagraph"/>
              <w:spacing w:before="79"/>
              <w:ind w:left="638"/>
              <w:rPr>
                <w:b/>
                <w:sz w:val="15"/>
              </w:rPr>
            </w:pPr>
            <w:r>
              <w:rPr>
                <w:b/>
                <w:color w:val="FF0000"/>
                <w:w w:val="75"/>
                <w:sz w:val="15"/>
              </w:rPr>
              <w:t>Modelo A</w:t>
            </w:r>
          </w:p>
          <w:p>
            <w:pPr>
              <w:pStyle w:val="TableParagraph"/>
              <w:spacing w:before="22"/>
              <w:ind w:left="633"/>
              <w:rPr>
                <w:sz w:val="15"/>
              </w:rPr>
            </w:pPr>
            <w:r>
              <w:rPr>
                <w:w w:val="80"/>
                <w:sz w:val="15"/>
              </w:rPr>
              <w:t>Nº de </w:t>
            </w:r>
            <w:r>
              <w:rPr>
                <w:spacing w:val="-3"/>
                <w:w w:val="80"/>
                <w:sz w:val="15"/>
              </w:rPr>
              <w:t>rezagos </w:t>
            </w:r>
            <w:r>
              <w:rPr>
                <w:w w:val="80"/>
                <w:sz w:val="15"/>
              </w:rPr>
              <w:t>= 1</w:t>
            </w:r>
          </w:p>
        </w:tc>
        <w:tc>
          <w:tcPr>
            <w:tcW w:w="627" w:type="dxa"/>
          </w:tcPr>
          <w:p>
            <w:pPr/>
          </w:p>
        </w:tc>
        <w:tc>
          <w:tcPr>
            <w:tcW w:w="78" w:type="dxa"/>
          </w:tcPr>
          <w:p>
            <w:pPr/>
          </w:p>
        </w:tc>
        <w:tc>
          <w:tcPr>
            <w:tcW w:w="1492" w:type="dxa"/>
          </w:tcPr>
          <w:p>
            <w:pPr>
              <w:pStyle w:val="TableParagraph"/>
              <w:spacing w:before="79"/>
              <w:ind w:left="649"/>
              <w:rPr>
                <w:b/>
                <w:sz w:val="15"/>
              </w:rPr>
            </w:pPr>
            <w:r>
              <w:rPr>
                <w:b/>
                <w:color w:val="FF0000"/>
                <w:w w:val="75"/>
                <w:sz w:val="15"/>
              </w:rPr>
              <w:t>Modelo B</w:t>
            </w:r>
          </w:p>
          <w:p>
            <w:pPr>
              <w:pStyle w:val="TableParagraph"/>
              <w:spacing w:before="22"/>
              <w:ind w:left="651"/>
              <w:rPr>
                <w:sz w:val="15"/>
              </w:rPr>
            </w:pPr>
            <w:r>
              <w:rPr>
                <w:w w:val="80"/>
                <w:sz w:val="15"/>
              </w:rPr>
              <w:t>Nº de </w:t>
            </w:r>
            <w:r>
              <w:rPr>
                <w:spacing w:val="-3"/>
                <w:w w:val="80"/>
                <w:sz w:val="15"/>
              </w:rPr>
              <w:t>rezagos </w:t>
            </w:r>
            <w:r>
              <w:rPr>
                <w:w w:val="80"/>
                <w:sz w:val="15"/>
              </w:rPr>
              <w:t>= 1</w:t>
            </w:r>
          </w:p>
        </w:tc>
        <w:tc>
          <w:tcPr>
            <w:tcW w:w="645" w:type="dxa"/>
          </w:tcPr>
          <w:p>
            <w:pPr/>
          </w:p>
        </w:tc>
        <w:tc>
          <w:tcPr>
            <w:tcW w:w="100" w:type="dxa"/>
          </w:tcPr>
          <w:p>
            <w:pPr/>
          </w:p>
        </w:tc>
        <w:tc>
          <w:tcPr>
            <w:tcW w:w="1492" w:type="dxa"/>
          </w:tcPr>
          <w:p>
            <w:pPr>
              <w:pStyle w:val="TableParagraph"/>
              <w:spacing w:before="79"/>
              <w:ind w:left="627"/>
              <w:rPr>
                <w:b/>
                <w:sz w:val="15"/>
              </w:rPr>
            </w:pPr>
            <w:r>
              <w:rPr>
                <w:b/>
                <w:color w:val="FF0000"/>
                <w:w w:val="75"/>
                <w:sz w:val="15"/>
              </w:rPr>
              <w:t>Modelo C</w:t>
            </w:r>
          </w:p>
          <w:p>
            <w:pPr>
              <w:pStyle w:val="TableParagraph"/>
              <w:spacing w:before="22"/>
              <w:ind w:left="622"/>
              <w:rPr>
                <w:sz w:val="15"/>
              </w:rPr>
            </w:pPr>
            <w:r>
              <w:rPr>
                <w:w w:val="80"/>
                <w:sz w:val="15"/>
              </w:rPr>
              <w:t>Nº de rezagos = 1</w:t>
            </w:r>
          </w:p>
        </w:tc>
        <w:tc>
          <w:tcPr>
            <w:tcW w:w="617" w:type="dxa"/>
          </w:tcPr>
          <w:p>
            <w:pPr/>
          </w:p>
        </w:tc>
        <w:tc>
          <w:tcPr>
            <w:tcW w:w="107" w:type="dxa"/>
          </w:tcPr>
          <w:p>
            <w:pPr/>
          </w:p>
        </w:tc>
        <w:tc>
          <w:tcPr>
            <w:tcW w:w="1500" w:type="dxa"/>
          </w:tcPr>
          <w:p>
            <w:pPr>
              <w:pStyle w:val="TableParagraph"/>
              <w:spacing w:before="79"/>
              <w:ind w:left="691"/>
              <w:rPr>
                <w:b/>
                <w:sz w:val="15"/>
              </w:rPr>
            </w:pPr>
            <w:r>
              <w:rPr>
                <w:b/>
                <w:color w:val="FF0000"/>
                <w:w w:val="75"/>
                <w:sz w:val="15"/>
              </w:rPr>
              <w:t>Modelo D</w:t>
            </w:r>
          </w:p>
          <w:p>
            <w:pPr>
              <w:pStyle w:val="TableParagraph"/>
              <w:spacing w:before="22"/>
              <w:ind w:left="701"/>
              <w:rPr>
                <w:sz w:val="15"/>
              </w:rPr>
            </w:pPr>
            <w:r>
              <w:rPr>
                <w:w w:val="80"/>
                <w:sz w:val="15"/>
              </w:rPr>
              <w:t>Nº</w:t>
            </w:r>
            <w:r>
              <w:rPr>
                <w:spacing w:val="-11"/>
                <w:w w:val="80"/>
                <w:sz w:val="15"/>
              </w:rPr>
              <w:t> </w:t>
            </w:r>
            <w:r>
              <w:rPr>
                <w:w w:val="80"/>
                <w:sz w:val="15"/>
              </w:rPr>
              <w:t>de</w:t>
            </w:r>
            <w:r>
              <w:rPr>
                <w:spacing w:val="-11"/>
                <w:w w:val="80"/>
                <w:sz w:val="15"/>
              </w:rPr>
              <w:t> </w:t>
            </w:r>
            <w:r>
              <w:rPr>
                <w:spacing w:val="-3"/>
                <w:w w:val="80"/>
                <w:sz w:val="15"/>
              </w:rPr>
              <w:t>rezagos</w:t>
            </w:r>
            <w:r>
              <w:rPr>
                <w:spacing w:val="-12"/>
                <w:w w:val="80"/>
                <w:sz w:val="15"/>
              </w:rPr>
              <w:t> </w:t>
            </w:r>
            <w:r>
              <w:rPr>
                <w:w w:val="80"/>
                <w:sz w:val="15"/>
              </w:rPr>
              <w:t>=</w:t>
            </w:r>
            <w:r>
              <w:rPr>
                <w:spacing w:val="-11"/>
                <w:w w:val="80"/>
                <w:sz w:val="15"/>
              </w:rPr>
              <w:t> </w:t>
            </w:r>
            <w:r>
              <w:rPr>
                <w:w w:val="80"/>
                <w:sz w:val="15"/>
              </w:rPr>
              <w:t>1</w:t>
            </w:r>
          </w:p>
        </w:tc>
        <w:tc>
          <w:tcPr>
            <w:tcW w:w="695" w:type="dxa"/>
            <w:vMerge w:val="restart"/>
          </w:tcPr>
          <w:p>
            <w:pPr/>
          </w:p>
        </w:tc>
      </w:tr>
      <w:tr>
        <w:trPr>
          <w:trHeight w:val="190" w:hRule="exact"/>
        </w:trPr>
        <w:tc>
          <w:tcPr>
            <w:tcW w:w="1482" w:type="dxa"/>
          </w:tcPr>
          <w:p>
            <w:pPr/>
          </w:p>
        </w:tc>
        <w:tc>
          <w:tcPr>
            <w:tcW w:w="627" w:type="dxa"/>
          </w:tcPr>
          <w:p>
            <w:pPr>
              <w:pStyle w:val="TableParagraph"/>
              <w:spacing w:line="171" w:lineRule="exact"/>
              <w:ind w:right="4"/>
              <w:rPr>
                <w:b/>
                <w:sz w:val="15"/>
              </w:rPr>
            </w:pPr>
            <w:r>
              <w:rPr>
                <w:b/>
                <w:w w:val="85"/>
                <w:sz w:val="15"/>
              </w:rPr>
              <w:t>Prob.</w:t>
            </w:r>
          </w:p>
        </w:tc>
        <w:tc>
          <w:tcPr>
            <w:tcW w:w="78" w:type="dxa"/>
          </w:tcPr>
          <w:p>
            <w:pPr/>
          </w:p>
        </w:tc>
        <w:tc>
          <w:tcPr>
            <w:tcW w:w="1492" w:type="dxa"/>
          </w:tcPr>
          <w:p>
            <w:pPr/>
          </w:p>
        </w:tc>
        <w:tc>
          <w:tcPr>
            <w:tcW w:w="645" w:type="dxa"/>
          </w:tcPr>
          <w:p>
            <w:pPr>
              <w:pStyle w:val="TableParagraph"/>
              <w:spacing w:line="171" w:lineRule="exact"/>
              <w:ind w:right="30"/>
              <w:rPr>
                <w:b/>
                <w:sz w:val="15"/>
              </w:rPr>
            </w:pPr>
            <w:r>
              <w:rPr>
                <w:b/>
                <w:w w:val="85"/>
                <w:sz w:val="15"/>
              </w:rPr>
              <w:t>Prob.</w:t>
            </w:r>
          </w:p>
        </w:tc>
        <w:tc>
          <w:tcPr>
            <w:tcW w:w="100" w:type="dxa"/>
          </w:tcPr>
          <w:p>
            <w:pPr/>
          </w:p>
        </w:tc>
        <w:tc>
          <w:tcPr>
            <w:tcW w:w="1492" w:type="dxa"/>
          </w:tcPr>
          <w:p>
            <w:pPr/>
          </w:p>
        </w:tc>
        <w:tc>
          <w:tcPr>
            <w:tcW w:w="617" w:type="dxa"/>
          </w:tcPr>
          <w:p>
            <w:pPr>
              <w:pStyle w:val="TableParagraph"/>
              <w:spacing w:line="171" w:lineRule="exact"/>
              <w:ind w:left="25"/>
              <w:rPr>
                <w:b/>
                <w:sz w:val="15"/>
              </w:rPr>
            </w:pPr>
            <w:r>
              <w:rPr>
                <w:b/>
                <w:w w:val="85"/>
                <w:sz w:val="15"/>
              </w:rPr>
              <w:t>Prob.</w:t>
            </w:r>
          </w:p>
        </w:tc>
        <w:tc>
          <w:tcPr>
            <w:tcW w:w="107" w:type="dxa"/>
          </w:tcPr>
          <w:p>
            <w:pPr/>
          </w:p>
        </w:tc>
        <w:tc>
          <w:tcPr>
            <w:tcW w:w="1500" w:type="dxa"/>
          </w:tcPr>
          <w:p>
            <w:pPr/>
          </w:p>
        </w:tc>
        <w:tc>
          <w:tcPr>
            <w:tcW w:w="695" w:type="dxa"/>
            <w:vMerge/>
          </w:tcPr>
          <w:p>
            <w:pPr/>
          </w:p>
        </w:tc>
      </w:tr>
      <w:tr>
        <w:trPr>
          <w:trHeight w:val="203" w:hRule="exact"/>
        </w:trPr>
        <w:tc>
          <w:tcPr>
            <w:tcW w:w="1482" w:type="dxa"/>
            <w:tcBorders>
              <w:bottom w:val="double" w:sz="4" w:space="0" w:color="000000"/>
            </w:tcBorders>
          </w:tcPr>
          <w:p>
            <w:pPr>
              <w:pStyle w:val="TableParagraph"/>
              <w:spacing w:before="12"/>
              <w:ind w:left="434" w:right="-16"/>
              <w:jc w:val="left"/>
              <w:rPr>
                <w:b/>
                <w:sz w:val="15"/>
              </w:rPr>
            </w:pPr>
            <w:r>
              <w:rPr>
                <w:b/>
                <w:w w:val="85"/>
                <w:sz w:val="15"/>
              </w:rPr>
              <w:t>Componente</w:t>
            </w:r>
          </w:p>
        </w:tc>
        <w:tc>
          <w:tcPr>
            <w:tcW w:w="627" w:type="dxa"/>
            <w:tcBorders>
              <w:bottom w:val="double" w:sz="4" w:space="0" w:color="000000"/>
            </w:tcBorders>
          </w:tcPr>
          <w:p>
            <w:pPr>
              <w:pStyle w:val="TableParagraph"/>
              <w:spacing w:before="3"/>
              <w:ind w:right="12"/>
              <w:rPr>
                <w:b/>
                <w:sz w:val="15"/>
              </w:rPr>
            </w:pPr>
            <w:r>
              <w:rPr>
                <w:b/>
                <w:w w:val="85"/>
                <w:sz w:val="15"/>
              </w:rPr>
              <w:t>Simetría</w:t>
            </w:r>
          </w:p>
        </w:tc>
        <w:tc>
          <w:tcPr>
            <w:tcW w:w="78" w:type="dxa"/>
          </w:tcPr>
          <w:p>
            <w:pPr/>
          </w:p>
        </w:tc>
        <w:tc>
          <w:tcPr>
            <w:tcW w:w="1492" w:type="dxa"/>
            <w:tcBorders>
              <w:bottom w:val="double" w:sz="4" w:space="0" w:color="000000"/>
            </w:tcBorders>
          </w:tcPr>
          <w:p>
            <w:pPr>
              <w:pStyle w:val="TableParagraph"/>
              <w:spacing w:before="12"/>
              <w:ind w:left="427" w:right="-5"/>
              <w:jc w:val="left"/>
              <w:rPr>
                <w:b/>
                <w:sz w:val="15"/>
              </w:rPr>
            </w:pPr>
            <w:r>
              <w:rPr>
                <w:b/>
                <w:w w:val="85"/>
                <w:sz w:val="15"/>
              </w:rPr>
              <w:t>Componente</w:t>
            </w:r>
          </w:p>
        </w:tc>
        <w:tc>
          <w:tcPr>
            <w:tcW w:w="645" w:type="dxa"/>
            <w:tcBorders>
              <w:bottom w:val="double" w:sz="4" w:space="0" w:color="000000"/>
            </w:tcBorders>
          </w:tcPr>
          <w:p>
            <w:pPr>
              <w:pStyle w:val="TableParagraph"/>
              <w:spacing w:before="3"/>
              <w:ind w:right="37"/>
              <w:rPr>
                <w:b/>
                <w:sz w:val="15"/>
              </w:rPr>
            </w:pPr>
            <w:r>
              <w:rPr>
                <w:b/>
                <w:w w:val="85"/>
                <w:sz w:val="15"/>
              </w:rPr>
              <w:t>Simetría</w:t>
            </w:r>
          </w:p>
        </w:tc>
        <w:tc>
          <w:tcPr>
            <w:tcW w:w="100" w:type="dxa"/>
          </w:tcPr>
          <w:p>
            <w:pPr/>
          </w:p>
        </w:tc>
        <w:tc>
          <w:tcPr>
            <w:tcW w:w="1492" w:type="dxa"/>
            <w:tcBorders>
              <w:bottom w:val="double" w:sz="4" w:space="0" w:color="000000"/>
            </w:tcBorders>
          </w:tcPr>
          <w:p>
            <w:pPr>
              <w:pStyle w:val="TableParagraph"/>
              <w:spacing w:before="12"/>
              <w:ind w:left="455" w:right="-5"/>
              <w:jc w:val="left"/>
              <w:rPr>
                <w:b/>
                <w:sz w:val="15"/>
              </w:rPr>
            </w:pPr>
            <w:r>
              <w:rPr>
                <w:b/>
                <w:w w:val="85"/>
                <w:sz w:val="15"/>
              </w:rPr>
              <w:t>Componente</w:t>
            </w:r>
          </w:p>
        </w:tc>
        <w:tc>
          <w:tcPr>
            <w:tcW w:w="617" w:type="dxa"/>
            <w:tcBorders>
              <w:bottom w:val="double" w:sz="4" w:space="0" w:color="000000"/>
            </w:tcBorders>
          </w:tcPr>
          <w:p>
            <w:pPr>
              <w:pStyle w:val="TableParagraph"/>
              <w:spacing w:before="3"/>
              <w:ind w:left="17"/>
              <w:rPr>
                <w:b/>
                <w:sz w:val="15"/>
              </w:rPr>
            </w:pPr>
            <w:r>
              <w:rPr>
                <w:b/>
                <w:w w:val="85"/>
                <w:sz w:val="15"/>
              </w:rPr>
              <w:t>Simetría</w:t>
            </w:r>
          </w:p>
        </w:tc>
        <w:tc>
          <w:tcPr>
            <w:tcW w:w="107" w:type="dxa"/>
          </w:tcPr>
          <w:p>
            <w:pPr/>
          </w:p>
        </w:tc>
        <w:tc>
          <w:tcPr>
            <w:tcW w:w="1500" w:type="dxa"/>
            <w:tcBorders>
              <w:bottom w:val="double" w:sz="4" w:space="0" w:color="000000"/>
            </w:tcBorders>
          </w:tcPr>
          <w:p>
            <w:pPr>
              <w:pStyle w:val="TableParagraph"/>
              <w:spacing w:before="12"/>
              <w:ind w:left="441"/>
              <w:jc w:val="left"/>
              <w:rPr>
                <w:b/>
                <w:sz w:val="15"/>
              </w:rPr>
            </w:pPr>
            <w:r>
              <w:rPr>
                <w:b/>
                <w:w w:val="85"/>
                <w:sz w:val="15"/>
              </w:rPr>
              <w:t>Componente</w:t>
            </w:r>
          </w:p>
        </w:tc>
        <w:tc>
          <w:tcPr>
            <w:tcW w:w="695" w:type="dxa"/>
            <w:tcBorders>
              <w:bottom w:val="double" w:sz="4" w:space="0" w:color="000000"/>
            </w:tcBorders>
          </w:tcPr>
          <w:p>
            <w:pPr>
              <w:pStyle w:val="TableParagraph"/>
              <w:spacing w:before="3"/>
              <w:ind w:right="9"/>
              <w:rPr>
                <w:b/>
                <w:sz w:val="15"/>
              </w:rPr>
            </w:pPr>
            <w:r>
              <w:rPr>
                <w:b/>
                <w:spacing w:val="-5"/>
                <w:w w:val="75"/>
                <w:sz w:val="15"/>
              </w:rPr>
              <w:t>Prob. </w:t>
            </w:r>
            <w:r>
              <w:rPr>
                <w:b/>
                <w:spacing w:val="-3"/>
                <w:w w:val="75"/>
                <w:sz w:val="15"/>
              </w:rPr>
              <w:t>Simetría</w:t>
            </w:r>
          </w:p>
        </w:tc>
      </w:tr>
      <w:tr>
        <w:trPr>
          <w:trHeight w:val="215" w:hRule="exact"/>
        </w:trPr>
        <w:tc>
          <w:tcPr>
            <w:tcW w:w="1482" w:type="dxa"/>
            <w:tcBorders>
              <w:top w:val="double" w:sz="4" w:space="0" w:color="000000"/>
            </w:tcBorders>
          </w:tcPr>
          <w:p>
            <w:pPr>
              <w:pStyle w:val="TableParagraph"/>
              <w:spacing w:before="8"/>
              <w:ind w:left="14" w:right="-16"/>
              <w:jc w:val="left"/>
              <w:rPr>
                <w:sz w:val="15"/>
              </w:rPr>
            </w:pPr>
            <w:r>
              <w:rPr>
                <w:w w:val="80"/>
                <w:sz w:val="15"/>
              </w:rPr>
              <w:t>Precios del gas natural</w:t>
            </w:r>
          </w:p>
        </w:tc>
        <w:tc>
          <w:tcPr>
            <w:tcW w:w="627" w:type="dxa"/>
            <w:tcBorders>
              <w:top w:val="double" w:sz="4" w:space="0" w:color="000000"/>
            </w:tcBorders>
          </w:tcPr>
          <w:p>
            <w:pPr>
              <w:pStyle w:val="TableParagraph"/>
              <w:spacing w:before="8"/>
              <w:rPr>
                <w:sz w:val="15"/>
              </w:rPr>
            </w:pPr>
            <w:r>
              <w:rPr>
                <w:w w:val="85"/>
                <w:sz w:val="15"/>
              </w:rPr>
              <w:t>0.85</w:t>
            </w:r>
          </w:p>
        </w:tc>
        <w:tc>
          <w:tcPr>
            <w:tcW w:w="78" w:type="dxa"/>
          </w:tcPr>
          <w:p>
            <w:pPr/>
          </w:p>
        </w:tc>
        <w:tc>
          <w:tcPr>
            <w:tcW w:w="1492" w:type="dxa"/>
            <w:tcBorders>
              <w:top w:val="double" w:sz="4" w:space="0" w:color="000000"/>
            </w:tcBorders>
          </w:tcPr>
          <w:p>
            <w:pPr>
              <w:pStyle w:val="TableParagraph"/>
              <w:spacing w:before="8"/>
              <w:ind w:left="14" w:right="-5"/>
              <w:jc w:val="left"/>
              <w:rPr>
                <w:sz w:val="15"/>
              </w:rPr>
            </w:pPr>
            <w:r>
              <w:rPr>
                <w:w w:val="80"/>
                <w:sz w:val="15"/>
              </w:rPr>
              <w:t>Precios del gas natural</w:t>
            </w:r>
          </w:p>
        </w:tc>
        <w:tc>
          <w:tcPr>
            <w:tcW w:w="645" w:type="dxa"/>
            <w:tcBorders>
              <w:top w:val="double" w:sz="4" w:space="0" w:color="000000"/>
            </w:tcBorders>
          </w:tcPr>
          <w:p>
            <w:pPr>
              <w:pStyle w:val="TableParagraph"/>
              <w:spacing w:before="8"/>
              <w:ind w:right="24"/>
              <w:rPr>
                <w:sz w:val="15"/>
              </w:rPr>
            </w:pPr>
            <w:r>
              <w:rPr>
                <w:w w:val="85"/>
                <w:sz w:val="15"/>
              </w:rPr>
              <w:t>0.57</w:t>
            </w:r>
          </w:p>
        </w:tc>
        <w:tc>
          <w:tcPr>
            <w:tcW w:w="100" w:type="dxa"/>
          </w:tcPr>
          <w:p>
            <w:pPr/>
          </w:p>
        </w:tc>
        <w:tc>
          <w:tcPr>
            <w:tcW w:w="1492" w:type="dxa"/>
            <w:tcBorders>
              <w:top w:val="double" w:sz="4" w:space="0" w:color="000000"/>
            </w:tcBorders>
          </w:tcPr>
          <w:p>
            <w:pPr>
              <w:pStyle w:val="TableParagraph"/>
              <w:spacing w:before="8"/>
              <w:ind w:left="14" w:right="-5"/>
              <w:jc w:val="left"/>
              <w:rPr>
                <w:sz w:val="15"/>
              </w:rPr>
            </w:pPr>
            <w:r>
              <w:rPr>
                <w:w w:val="80"/>
                <w:sz w:val="15"/>
              </w:rPr>
              <w:t>Precios del gas natural</w:t>
            </w:r>
          </w:p>
        </w:tc>
        <w:tc>
          <w:tcPr>
            <w:tcW w:w="617" w:type="dxa"/>
            <w:tcBorders>
              <w:top w:val="double" w:sz="4" w:space="0" w:color="000000"/>
            </w:tcBorders>
          </w:tcPr>
          <w:p>
            <w:pPr>
              <w:pStyle w:val="TableParagraph"/>
              <w:spacing w:before="8"/>
              <w:ind w:left="32"/>
              <w:rPr>
                <w:sz w:val="15"/>
              </w:rPr>
            </w:pPr>
            <w:r>
              <w:rPr>
                <w:w w:val="85"/>
                <w:sz w:val="15"/>
              </w:rPr>
              <w:t>0.64</w:t>
            </w:r>
          </w:p>
        </w:tc>
        <w:tc>
          <w:tcPr>
            <w:tcW w:w="107" w:type="dxa"/>
          </w:tcPr>
          <w:p>
            <w:pPr/>
          </w:p>
        </w:tc>
        <w:tc>
          <w:tcPr>
            <w:tcW w:w="1500" w:type="dxa"/>
            <w:tcBorders>
              <w:top w:val="double" w:sz="4" w:space="0" w:color="000000"/>
            </w:tcBorders>
          </w:tcPr>
          <w:p>
            <w:pPr>
              <w:pStyle w:val="TableParagraph"/>
              <w:spacing w:before="8"/>
              <w:ind w:left="14"/>
              <w:jc w:val="left"/>
              <w:rPr>
                <w:sz w:val="15"/>
              </w:rPr>
            </w:pPr>
            <w:r>
              <w:rPr>
                <w:w w:val="80"/>
                <w:sz w:val="15"/>
              </w:rPr>
              <w:t>Precios del gas natural</w:t>
            </w:r>
          </w:p>
        </w:tc>
        <w:tc>
          <w:tcPr>
            <w:tcW w:w="695" w:type="dxa"/>
            <w:tcBorders>
              <w:top w:val="double" w:sz="4" w:space="0" w:color="000000"/>
            </w:tcBorders>
          </w:tcPr>
          <w:p>
            <w:pPr>
              <w:pStyle w:val="TableParagraph"/>
              <w:spacing w:before="8"/>
              <w:ind w:right="1"/>
              <w:rPr>
                <w:sz w:val="15"/>
              </w:rPr>
            </w:pPr>
            <w:r>
              <w:rPr>
                <w:w w:val="85"/>
                <w:sz w:val="15"/>
              </w:rPr>
              <w:t>0.50</w:t>
            </w:r>
          </w:p>
        </w:tc>
      </w:tr>
      <w:tr>
        <w:trPr>
          <w:trHeight w:val="195" w:hRule="exact"/>
        </w:trPr>
        <w:tc>
          <w:tcPr>
            <w:tcW w:w="1482" w:type="dxa"/>
          </w:tcPr>
          <w:p>
            <w:pPr>
              <w:pStyle w:val="TableParagraph"/>
              <w:spacing w:before="3"/>
              <w:ind w:left="14" w:right="-16"/>
              <w:jc w:val="left"/>
              <w:rPr>
                <w:sz w:val="15"/>
              </w:rPr>
            </w:pPr>
            <w:r>
              <w:rPr>
                <w:w w:val="80"/>
                <w:sz w:val="15"/>
              </w:rPr>
              <w:t>Asign. De Ing. Fisc. Gasíf.</w:t>
            </w:r>
          </w:p>
        </w:tc>
        <w:tc>
          <w:tcPr>
            <w:tcW w:w="627" w:type="dxa"/>
          </w:tcPr>
          <w:p>
            <w:pPr>
              <w:pStyle w:val="TableParagraph"/>
              <w:spacing w:before="3"/>
              <w:rPr>
                <w:sz w:val="15"/>
              </w:rPr>
            </w:pPr>
            <w:r>
              <w:rPr>
                <w:w w:val="85"/>
                <w:sz w:val="15"/>
              </w:rPr>
              <w:t>0.57</w:t>
            </w:r>
          </w:p>
        </w:tc>
        <w:tc>
          <w:tcPr>
            <w:tcW w:w="78" w:type="dxa"/>
          </w:tcPr>
          <w:p>
            <w:pPr/>
          </w:p>
        </w:tc>
        <w:tc>
          <w:tcPr>
            <w:tcW w:w="1492" w:type="dxa"/>
          </w:tcPr>
          <w:p>
            <w:pPr>
              <w:pStyle w:val="TableParagraph"/>
              <w:spacing w:before="3"/>
              <w:ind w:left="14" w:right="-5"/>
              <w:jc w:val="left"/>
              <w:rPr>
                <w:sz w:val="15"/>
              </w:rPr>
            </w:pPr>
            <w:r>
              <w:rPr>
                <w:w w:val="80"/>
                <w:sz w:val="15"/>
              </w:rPr>
              <w:t>Asign. De Ing. Fisc. Gasíf.</w:t>
            </w:r>
          </w:p>
        </w:tc>
        <w:tc>
          <w:tcPr>
            <w:tcW w:w="645" w:type="dxa"/>
          </w:tcPr>
          <w:p>
            <w:pPr>
              <w:pStyle w:val="TableParagraph"/>
              <w:spacing w:before="3"/>
              <w:ind w:right="24"/>
              <w:rPr>
                <w:sz w:val="15"/>
              </w:rPr>
            </w:pPr>
            <w:r>
              <w:rPr>
                <w:w w:val="85"/>
                <w:sz w:val="15"/>
              </w:rPr>
              <w:t>0.43</w:t>
            </w:r>
          </w:p>
        </w:tc>
        <w:tc>
          <w:tcPr>
            <w:tcW w:w="100" w:type="dxa"/>
          </w:tcPr>
          <w:p>
            <w:pPr/>
          </w:p>
        </w:tc>
        <w:tc>
          <w:tcPr>
            <w:tcW w:w="1492" w:type="dxa"/>
          </w:tcPr>
          <w:p>
            <w:pPr>
              <w:pStyle w:val="TableParagraph"/>
              <w:spacing w:before="3"/>
              <w:ind w:left="14" w:right="-5"/>
              <w:jc w:val="left"/>
              <w:rPr>
                <w:sz w:val="15"/>
              </w:rPr>
            </w:pPr>
            <w:r>
              <w:rPr>
                <w:w w:val="80"/>
                <w:sz w:val="15"/>
              </w:rPr>
              <w:t>Asign. De Ing. Fisc. Gasíf.</w:t>
            </w:r>
          </w:p>
        </w:tc>
        <w:tc>
          <w:tcPr>
            <w:tcW w:w="617" w:type="dxa"/>
          </w:tcPr>
          <w:p>
            <w:pPr>
              <w:pStyle w:val="TableParagraph"/>
              <w:spacing w:before="3"/>
              <w:ind w:left="32"/>
              <w:rPr>
                <w:sz w:val="15"/>
              </w:rPr>
            </w:pPr>
            <w:r>
              <w:rPr>
                <w:w w:val="85"/>
                <w:sz w:val="15"/>
              </w:rPr>
              <w:t>0.73</w:t>
            </w:r>
          </w:p>
        </w:tc>
        <w:tc>
          <w:tcPr>
            <w:tcW w:w="107" w:type="dxa"/>
          </w:tcPr>
          <w:p>
            <w:pPr/>
          </w:p>
        </w:tc>
        <w:tc>
          <w:tcPr>
            <w:tcW w:w="1500" w:type="dxa"/>
          </w:tcPr>
          <w:p>
            <w:pPr>
              <w:pStyle w:val="TableParagraph"/>
              <w:spacing w:before="3"/>
              <w:ind w:left="14"/>
              <w:jc w:val="left"/>
              <w:rPr>
                <w:sz w:val="15"/>
              </w:rPr>
            </w:pPr>
            <w:r>
              <w:rPr>
                <w:w w:val="80"/>
                <w:sz w:val="15"/>
              </w:rPr>
              <w:t>Asign. De Ing. Fisc. Gasíf.</w:t>
            </w:r>
          </w:p>
        </w:tc>
        <w:tc>
          <w:tcPr>
            <w:tcW w:w="695" w:type="dxa"/>
          </w:tcPr>
          <w:p>
            <w:pPr>
              <w:pStyle w:val="TableParagraph"/>
              <w:spacing w:before="3"/>
              <w:ind w:right="1"/>
              <w:rPr>
                <w:sz w:val="15"/>
              </w:rPr>
            </w:pPr>
            <w:r>
              <w:rPr>
                <w:w w:val="85"/>
                <w:sz w:val="15"/>
              </w:rPr>
              <w:t>0.48</w:t>
            </w:r>
          </w:p>
        </w:tc>
      </w:tr>
      <w:tr>
        <w:trPr>
          <w:trHeight w:val="195" w:hRule="exact"/>
        </w:trPr>
        <w:tc>
          <w:tcPr>
            <w:tcW w:w="1482" w:type="dxa"/>
          </w:tcPr>
          <w:p>
            <w:pPr>
              <w:pStyle w:val="TableParagraph"/>
              <w:spacing w:before="3"/>
              <w:ind w:left="14" w:right="-16"/>
              <w:jc w:val="left"/>
              <w:rPr>
                <w:sz w:val="15"/>
              </w:rPr>
            </w:pPr>
            <w:r>
              <w:rPr>
                <w:w w:val="80"/>
                <w:sz w:val="15"/>
              </w:rPr>
              <w:t>Asign. De Ing. Fisc. No Gasíf.</w:t>
            </w:r>
          </w:p>
        </w:tc>
        <w:tc>
          <w:tcPr>
            <w:tcW w:w="627" w:type="dxa"/>
          </w:tcPr>
          <w:p>
            <w:pPr>
              <w:pStyle w:val="TableParagraph"/>
              <w:spacing w:before="3"/>
              <w:rPr>
                <w:sz w:val="15"/>
              </w:rPr>
            </w:pPr>
            <w:r>
              <w:rPr>
                <w:w w:val="85"/>
                <w:sz w:val="15"/>
              </w:rPr>
              <w:t>0.80</w:t>
            </w:r>
          </w:p>
        </w:tc>
        <w:tc>
          <w:tcPr>
            <w:tcW w:w="78" w:type="dxa"/>
          </w:tcPr>
          <w:p>
            <w:pPr/>
          </w:p>
        </w:tc>
        <w:tc>
          <w:tcPr>
            <w:tcW w:w="1492" w:type="dxa"/>
          </w:tcPr>
          <w:p>
            <w:pPr>
              <w:pStyle w:val="TableParagraph"/>
              <w:spacing w:before="3"/>
              <w:ind w:left="14" w:right="-5"/>
              <w:jc w:val="left"/>
              <w:rPr>
                <w:sz w:val="15"/>
              </w:rPr>
            </w:pPr>
            <w:r>
              <w:rPr>
                <w:w w:val="80"/>
                <w:sz w:val="15"/>
              </w:rPr>
              <w:t>Asign. De Ing. Fisc. No Gasíf.</w:t>
            </w:r>
          </w:p>
        </w:tc>
        <w:tc>
          <w:tcPr>
            <w:tcW w:w="645" w:type="dxa"/>
          </w:tcPr>
          <w:p>
            <w:pPr>
              <w:pStyle w:val="TableParagraph"/>
              <w:spacing w:before="3"/>
              <w:ind w:right="24"/>
              <w:rPr>
                <w:sz w:val="15"/>
              </w:rPr>
            </w:pPr>
            <w:r>
              <w:rPr>
                <w:w w:val="85"/>
                <w:sz w:val="15"/>
              </w:rPr>
              <w:t>0.69</w:t>
            </w:r>
          </w:p>
        </w:tc>
        <w:tc>
          <w:tcPr>
            <w:tcW w:w="100" w:type="dxa"/>
          </w:tcPr>
          <w:p>
            <w:pPr/>
          </w:p>
        </w:tc>
        <w:tc>
          <w:tcPr>
            <w:tcW w:w="1492" w:type="dxa"/>
          </w:tcPr>
          <w:p>
            <w:pPr>
              <w:pStyle w:val="TableParagraph"/>
              <w:spacing w:before="3"/>
              <w:ind w:left="14" w:right="-5"/>
              <w:jc w:val="left"/>
              <w:rPr>
                <w:sz w:val="15"/>
              </w:rPr>
            </w:pPr>
            <w:r>
              <w:rPr>
                <w:w w:val="80"/>
                <w:sz w:val="15"/>
              </w:rPr>
              <w:t>Asign. De Ing. Fisc. No Gasíf.</w:t>
            </w:r>
          </w:p>
        </w:tc>
        <w:tc>
          <w:tcPr>
            <w:tcW w:w="617" w:type="dxa"/>
          </w:tcPr>
          <w:p>
            <w:pPr>
              <w:pStyle w:val="TableParagraph"/>
              <w:spacing w:before="3"/>
              <w:ind w:left="32"/>
              <w:rPr>
                <w:sz w:val="15"/>
              </w:rPr>
            </w:pPr>
            <w:r>
              <w:rPr>
                <w:w w:val="85"/>
                <w:sz w:val="15"/>
              </w:rPr>
              <w:t>0.36</w:t>
            </w:r>
          </w:p>
        </w:tc>
        <w:tc>
          <w:tcPr>
            <w:tcW w:w="107" w:type="dxa"/>
          </w:tcPr>
          <w:p>
            <w:pPr/>
          </w:p>
        </w:tc>
        <w:tc>
          <w:tcPr>
            <w:tcW w:w="1500" w:type="dxa"/>
          </w:tcPr>
          <w:p>
            <w:pPr>
              <w:pStyle w:val="TableParagraph"/>
              <w:spacing w:before="3"/>
              <w:ind w:left="14"/>
              <w:jc w:val="left"/>
              <w:rPr>
                <w:sz w:val="15"/>
              </w:rPr>
            </w:pPr>
            <w:r>
              <w:rPr>
                <w:w w:val="80"/>
                <w:sz w:val="15"/>
              </w:rPr>
              <w:t>Asign. De Ing. Fisc. No Gasíf.</w:t>
            </w:r>
          </w:p>
        </w:tc>
        <w:tc>
          <w:tcPr>
            <w:tcW w:w="695" w:type="dxa"/>
          </w:tcPr>
          <w:p>
            <w:pPr>
              <w:pStyle w:val="TableParagraph"/>
              <w:spacing w:before="3"/>
              <w:ind w:right="1"/>
              <w:rPr>
                <w:sz w:val="15"/>
              </w:rPr>
            </w:pPr>
            <w:r>
              <w:rPr>
                <w:w w:val="85"/>
                <w:sz w:val="15"/>
              </w:rPr>
              <w:t>0.95</w:t>
            </w:r>
          </w:p>
        </w:tc>
      </w:tr>
      <w:tr>
        <w:trPr>
          <w:trHeight w:val="195" w:hRule="exact"/>
        </w:trPr>
        <w:tc>
          <w:tcPr>
            <w:tcW w:w="1482" w:type="dxa"/>
          </w:tcPr>
          <w:p>
            <w:pPr>
              <w:pStyle w:val="TableParagraph"/>
              <w:spacing w:before="3"/>
              <w:ind w:left="14" w:right="-16"/>
              <w:jc w:val="left"/>
              <w:rPr>
                <w:sz w:val="15"/>
              </w:rPr>
            </w:pPr>
            <w:r>
              <w:rPr>
                <w:w w:val="80"/>
                <w:sz w:val="15"/>
              </w:rPr>
              <w:t>Bal. Primario No Gasíf.</w:t>
            </w:r>
          </w:p>
        </w:tc>
        <w:tc>
          <w:tcPr>
            <w:tcW w:w="627" w:type="dxa"/>
          </w:tcPr>
          <w:p>
            <w:pPr>
              <w:pStyle w:val="TableParagraph"/>
              <w:spacing w:before="3"/>
              <w:rPr>
                <w:sz w:val="15"/>
              </w:rPr>
            </w:pPr>
            <w:r>
              <w:rPr>
                <w:w w:val="85"/>
                <w:sz w:val="15"/>
              </w:rPr>
              <w:t>0.49</w:t>
            </w:r>
          </w:p>
        </w:tc>
        <w:tc>
          <w:tcPr>
            <w:tcW w:w="78" w:type="dxa"/>
          </w:tcPr>
          <w:p>
            <w:pPr/>
          </w:p>
        </w:tc>
        <w:tc>
          <w:tcPr>
            <w:tcW w:w="1492" w:type="dxa"/>
          </w:tcPr>
          <w:p>
            <w:pPr>
              <w:pStyle w:val="TableParagraph"/>
              <w:spacing w:before="3"/>
              <w:ind w:left="14" w:right="-5"/>
              <w:jc w:val="left"/>
              <w:rPr>
                <w:sz w:val="15"/>
              </w:rPr>
            </w:pPr>
            <w:r>
              <w:rPr>
                <w:w w:val="75"/>
                <w:sz w:val="15"/>
              </w:rPr>
              <w:t>Bal. Primario</w:t>
            </w:r>
          </w:p>
        </w:tc>
        <w:tc>
          <w:tcPr>
            <w:tcW w:w="645" w:type="dxa"/>
          </w:tcPr>
          <w:p>
            <w:pPr>
              <w:pStyle w:val="TableParagraph"/>
              <w:spacing w:before="3"/>
              <w:ind w:right="24"/>
              <w:rPr>
                <w:sz w:val="15"/>
              </w:rPr>
            </w:pPr>
            <w:r>
              <w:rPr>
                <w:w w:val="85"/>
                <w:sz w:val="15"/>
              </w:rPr>
              <w:t>0.96</w:t>
            </w:r>
          </w:p>
        </w:tc>
        <w:tc>
          <w:tcPr>
            <w:tcW w:w="100" w:type="dxa"/>
          </w:tcPr>
          <w:p>
            <w:pPr/>
          </w:p>
        </w:tc>
        <w:tc>
          <w:tcPr>
            <w:tcW w:w="1492" w:type="dxa"/>
          </w:tcPr>
          <w:p>
            <w:pPr>
              <w:pStyle w:val="TableParagraph"/>
              <w:spacing w:before="3"/>
              <w:ind w:left="14" w:right="-5"/>
              <w:jc w:val="left"/>
              <w:rPr>
                <w:sz w:val="15"/>
              </w:rPr>
            </w:pPr>
            <w:r>
              <w:rPr>
                <w:w w:val="80"/>
                <w:sz w:val="15"/>
              </w:rPr>
              <w:t>Bal. Global. Cícl. Ajust.</w:t>
            </w:r>
          </w:p>
        </w:tc>
        <w:tc>
          <w:tcPr>
            <w:tcW w:w="617" w:type="dxa"/>
          </w:tcPr>
          <w:p>
            <w:pPr>
              <w:pStyle w:val="TableParagraph"/>
              <w:spacing w:before="3"/>
              <w:ind w:left="32"/>
              <w:rPr>
                <w:sz w:val="15"/>
              </w:rPr>
            </w:pPr>
            <w:r>
              <w:rPr>
                <w:w w:val="85"/>
                <w:sz w:val="15"/>
              </w:rPr>
              <w:t>0.26</w:t>
            </w:r>
          </w:p>
        </w:tc>
        <w:tc>
          <w:tcPr>
            <w:tcW w:w="107" w:type="dxa"/>
          </w:tcPr>
          <w:p>
            <w:pPr/>
          </w:p>
        </w:tc>
        <w:tc>
          <w:tcPr>
            <w:tcW w:w="1500" w:type="dxa"/>
          </w:tcPr>
          <w:p>
            <w:pPr>
              <w:pStyle w:val="TableParagraph"/>
              <w:spacing w:before="3"/>
              <w:ind w:left="14"/>
              <w:jc w:val="left"/>
              <w:rPr>
                <w:sz w:val="15"/>
              </w:rPr>
            </w:pPr>
            <w:r>
              <w:rPr>
                <w:w w:val="75"/>
                <w:sz w:val="15"/>
              </w:rPr>
              <w:t>Bal. Global</w:t>
            </w:r>
          </w:p>
        </w:tc>
        <w:tc>
          <w:tcPr>
            <w:tcW w:w="695" w:type="dxa"/>
          </w:tcPr>
          <w:p>
            <w:pPr>
              <w:pStyle w:val="TableParagraph"/>
              <w:spacing w:before="3"/>
              <w:ind w:right="1"/>
              <w:rPr>
                <w:sz w:val="15"/>
              </w:rPr>
            </w:pPr>
            <w:r>
              <w:rPr>
                <w:w w:val="85"/>
                <w:sz w:val="15"/>
              </w:rPr>
              <w:t>0.33</w:t>
            </w:r>
          </w:p>
        </w:tc>
      </w:tr>
      <w:tr>
        <w:trPr>
          <w:trHeight w:val="194" w:hRule="exact"/>
        </w:trPr>
        <w:tc>
          <w:tcPr>
            <w:tcW w:w="1482" w:type="dxa"/>
            <w:tcBorders>
              <w:bottom w:val="double" w:sz="4" w:space="0" w:color="000000"/>
            </w:tcBorders>
          </w:tcPr>
          <w:p>
            <w:pPr>
              <w:pStyle w:val="TableParagraph"/>
              <w:spacing w:before="3"/>
              <w:ind w:left="14" w:right="-16"/>
              <w:jc w:val="left"/>
              <w:rPr>
                <w:sz w:val="15"/>
              </w:rPr>
            </w:pPr>
            <w:r>
              <w:rPr>
                <w:w w:val="75"/>
                <w:sz w:val="15"/>
              </w:rPr>
              <w:t>Deuda pública</w:t>
            </w:r>
          </w:p>
        </w:tc>
        <w:tc>
          <w:tcPr>
            <w:tcW w:w="627" w:type="dxa"/>
            <w:tcBorders>
              <w:bottom w:val="double" w:sz="4" w:space="0" w:color="000000"/>
            </w:tcBorders>
          </w:tcPr>
          <w:p>
            <w:pPr>
              <w:pStyle w:val="TableParagraph"/>
              <w:spacing w:before="3"/>
              <w:rPr>
                <w:sz w:val="15"/>
              </w:rPr>
            </w:pPr>
            <w:r>
              <w:rPr>
                <w:w w:val="85"/>
                <w:sz w:val="15"/>
              </w:rPr>
              <w:t>0.45</w:t>
            </w:r>
          </w:p>
        </w:tc>
        <w:tc>
          <w:tcPr>
            <w:tcW w:w="78" w:type="dxa"/>
          </w:tcPr>
          <w:p>
            <w:pPr/>
          </w:p>
        </w:tc>
        <w:tc>
          <w:tcPr>
            <w:tcW w:w="1492" w:type="dxa"/>
            <w:tcBorders>
              <w:bottom w:val="double" w:sz="4" w:space="0" w:color="000000"/>
            </w:tcBorders>
          </w:tcPr>
          <w:p>
            <w:pPr>
              <w:pStyle w:val="TableParagraph"/>
              <w:spacing w:before="3"/>
              <w:ind w:left="14" w:right="-5"/>
              <w:jc w:val="left"/>
              <w:rPr>
                <w:sz w:val="15"/>
              </w:rPr>
            </w:pPr>
            <w:r>
              <w:rPr>
                <w:w w:val="75"/>
                <w:sz w:val="15"/>
              </w:rPr>
              <w:t>Deuda pública</w:t>
            </w:r>
          </w:p>
        </w:tc>
        <w:tc>
          <w:tcPr>
            <w:tcW w:w="645" w:type="dxa"/>
            <w:tcBorders>
              <w:bottom w:val="double" w:sz="4" w:space="0" w:color="000000"/>
            </w:tcBorders>
          </w:tcPr>
          <w:p>
            <w:pPr>
              <w:pStyle w:val="TableParagraph"/>
              <w:spacing w:before="3"/>
              <w:ind w:right="24"/>
              <w:rPr>
                <w:sz w:val="15"/>
              </w:rPr>
            </w:pPr>
            <w:r>
              <w:rPr>
                <w:w w:val="85"/>
                <w:sz w:val="15"/>
              </w:rPr>
              <w:t>0.99</w:t>
            </w:r>
          </w:p>
        </w:tc>
        <w:tc>
          <w:tcPr>
            <w:tcW w:w="100" w:type="dxa"/>
          </w:tcPr>
          <w:p>
            <w:pPr/>
          </w:p>
        </w:tc>
        <w:tc>
          <w:tcPr>
            <w:tcW w:w="1492" w:type="dxa"/>
            <w:tcBorders>
              <w:bottom w:val="double" w:sz="4" w:space="0" w:color="000000"/>
            </w:tcBorders>
          </w:tcPr>
          <w:p>
            <w:pPr>
              <w:pStyle w:val="TableParagraph"/>
              <w:spacing w:before="3"/>
              <w:ind w:left="14" w:right="-5"/>
              <w:jc w:val="left"/>
              <w:rPr>
                <w:sz w:val="15"/>
              </w:rPr>
            </w:pPr>
            <w:r>
              <w:rPr>
                <w:w w:val="75"/>
                <w:sz w:val="15"/>
              </w:rPr>
              <w:t>Deuda pública</w:t>
            </w:r>
          </w:p>
        </w:tc>
        <w:tc>
          <w:tcPr>
            <w:tcW w:w="617" w:type="dxa"/>
            <w:tcBorders>
              <w:bottom w:val="double" w:sz="4" w:space="0" w:color="000000"/>
            </w:tcBorders>
          </w:tcPr>
          <w:p>
            <w:pPr>
              <w:pStyle w:val="TableParagraph"/>
              <w:spacing w:before="3"/>
              <w:ind w:left="32"/>
              <w:rPr>
                <w:sz w:val="15"/>
              </w:rPr>
            </w:pPr>
            <w:r>
              <w:rPr>
                <w:w w:val="85"/>
                <w:sz w:val="15"/>
              </w:rPr>
              <w:t>0.40</w:t>
            </w:r>
          </w:p>
        </w:tc>
        <w:tc>
          <w:tcPr>
            <w:tcW w:w="107" w:type="dxa"/>
          </w:tcPr>
          <w:p>
            <w:pPr/>
          </w:p>
        </w:tc>
        <w:tc>
          <w:tcPr>
            <w:tcW w:w="1500" w:type="dxa"/>
            <w:tcBorders>
              <w:bottom w:val="double" w:sz="4" w:space="0" w:color="000000"/>
            </w:tcBorders>
          </w:tcPr>
          <w:p>
            <w:pPr>
              <w:pStyle w:val="TableParagraph"/>
              <w:spacing w:before="3"/>
              <w:ind w:left="14"/>
              <w:jc w:val="left"/>
              <w:rPr>
                <w:sz w:val="15"/>
              </w:rPr>
            </w:pPr>
            <w:r>
              <w:rPr>
                <w:w w:val="75"/>
                <w:sz w:val="15"/>
              </w:rPr>
              <w:t>Deuda pública</w:t>
            </w:r>
          </w:p>
        </w:tc>
        <w:tc>
          <w:tcPr>
            <w:tcW w:w="695" w:type="dxa"/>
            <w:tcBorders>
              <w:bottom w:val="double" w:sz="4" w:space="0" w:color="000000"/>
            </w:tcBorders>
          </w:tcPr>
          <w:p>
            <w:pPr>
              <w:pStyle w:val="TableParagraph"/>
              <w:spacing w:before="3"/>
              <w:ind w:right="1"/>
              <w:rPr>
                <w:sz w:val="15"/>
              </w:rPr>
            </w:pPr>
            <w:r>
              <w:rPr>
                <w:w w:val="85"/>
                <w:sz w:val="15"/>
              </w:rPr>
              <w:t>0.60</w:t>
            </w:r>
          </w:p>
        </w:tc>
      </w:tr>
      <w:tr>
        <w:trPr>
          <w:trHeight w:val="214" w:hRule="exact"/>
        </w:trPr>
        <w:tc>
          <w:tcPr>
            <w:tcW w:w="1482" w:type="dxa"/>
            <w:tcBorders>
              <w:top w:val="double" w:sz="4" w:space="0" w:color="000000"/>
              <w:bottom w:val="double" w:sz="4" w:space="0" w:color="000000"/>
            </w:tcBorders>
          </w:tcPr>
          <w:p>
            <w:pPr>
              <w:pStyle w:val="TableParagraph"/>
              <w:spacing w:before="8"/>
              <w:ind w:left="14" w:right="-16"/>
              <w:jc w:val="left"/>
              <w:rPr>
                <w:sz w:val="15"/>
              </w:rPr>
            </w:pPr>
            <w:r>
              <w:rPr>
                <w:w w:val="85"/>
                <w:sz w:val="15"/>
              </w:rPr>
              <w:t>Glogal</w:t>
            </w:r>
          </w:p>
        </w:tc>
        <w:tc>
          <w:tcPr>
            <w:tcW w:w="627" w:type="dxa"/>
            <w:tcBorders>
              <w:top w:val="double" w:sz="4" w:space="0" w:color="000000"/>
              <w:bottom w:val="double" w:sz="4" w:space="0" w:color="000000"/>
            </w:tcBorders>
          </w:tcPr>
          <w:p>
            <w:pPr>
              <w:pStyle w:val="TableParagraph"/>
              <w:spacing w:before="8"/>
              <w:rPr>
                <w:sz w:val="15"/>
              </w:rPr>
            </w:pPr>
            <w:r>
              <w:rPr>
                <w:w w:val="85"/>
                <w:sz w:val="15"/>
              </w:rPr>
              <w:t>0.92</w:t>
            </w:r>
          </w:p>
        </w:tc>
        <w:tc>
          <w:tcPr>
            <w:tcW w:w="78" w:type="dxa"/>
          </w:tcPr>
          <w:p>
            <w:pPr/>
          </w:p>
        </w:tc>
        <w:tc>
          <w:tcPr>
            <w:tcW w:w="1492" w:type="dxa"/>
            <w:tcBorders>
              <w:top w:val="double" w:sz="4" w:space="0" w:color="000000"/>
              <w:bottom w:val="double" w:sz="4" w:space="0" w:color="000000"/>
            </w:tcBorders>
          </w:tcPr>
          <w:p>
            <w:pPr>
              <w:pStyle w:val="TableParagraph"/>
              <w:spacing w:before="8"/>
              <w:ind w:left="14" w:right="-5"/>
              <w:jc w:val="left"/>
              <w:rPr>
                <w:sz w:val="15"/>
              </w:rPr>
            </w:pPr>
            <w:r>
              <w:rPr>
                <w:w w:val="85"/>
                <w:sz w:val="15"/>
              </w:rPr>
              <w:t>Glogal</w:t>
            </w:r>
          </w:p>
        </w:tc>
        <w:tc>
          <w:tcPr>
            <w:tcW w:w="645" w:type="dxa"/>
            <w:tcBorders>
              <w:top w:val="double" w:sz="4" w:space="0" w:color="000000"/>
              <w:bottom w:val="double" w:sz="4" w:space="0" w:color="000000"/>
            </w:tcBorders>
          </w:tcPr>
          <w:p>
            <w:pPr>
              <w:pStyle w:val="TableParagraph"/>
              <w:spacing w:before="8"/>
              <w:ind w:right="24"/>
              <w:rPr>
                <w:sz w:val="15"/>
              </w:rPr>
            </w:pPr>
            <w:r>
              <w:rPr>
                <w:w w:val="85"/>
                <w:sz w:val="15"/>
              </w:rPr>
              <w:t>0.95</w:t>
            </w:r>
          </w:p>
        </w:tc>
        <w:tc>
          <w:tcPr>
            <w:tcW w:w="100" w:type="dxa"/>
          </w:tcPr>
          <w:p>
            <w:pPr/>
          </w:p>
        </w:tc>
        <w:tc>
          <w:tcPr>
            <w:tcW w:w="1492" w:type="dxa"/>
            <w:tcBorders>
              <w:top w:val="double" w:sz="4" w:space="0" w:color="000000"/>
              <w:bottom w:val="double" w:sz="4" w:space="0" w:color="000000"/>
            </w:tcBorders>
          </w:tcPr>
          <w:p>
            <w:pPr>
              <w:pStyle w:val="TableParagraph"/>
              <w:spacing w:before="8"/>
              <w:ind w:left="14" w:right="-5"/>
              <w:jc w:val="left"/>
              <w:rPr>
                <w:sz w:val="15"/>
              </w:rPr>
            </w:pPr>
            <w:r>
              <w:rPr>
                <w:w w:val="85"/>
                <w:sz w:val="15"/>
              </w:rPr>
              <w:t>Glogal</w:t>
            </w:r>
          </w:p>
        </w:tc>
        <w:tc>
          <w:tcPr>
            <w:tcW w:w="617" w:type="dxa"/>
            <w:tcBorders>
              <w:top w:val="double" w:sz="4" w:space="0" w:color="000000"/>
              <w:bottom w:val="double" w:sz="4" w:space="0" w:color="000000"/>
            </w:tcBorders>
          </w:tcPr>
          <w:p>
            <w:pPr>
              <w:pStyle w:val="TableParagraph"/>
              <w:spacing w:before="8"/>
              <w:ind w:left="32"/>
              <w:rPr>
                <w:sz w:val="15"/>
              </w:rPr>
            </w:pPr>
            <w:r>
              <w:rPr>
                <w:w w:val="85"/>
                <w:sz w:val="15"/>
              </w:rPr>
              <w:t>0.68</w:t>
            </w:r>
          </w:p>
        </w:tc>
        <w:tc>
          <w:tcPr>
            <w:tcW w:w="107" w:type="dxa"/>
          </w:tcPr>
          <w:p>
            <w:pPr/>
          </w:p>
        </w:tc>
        <w:tc>
          <w:tcPr>
            <w:tcW w:w="1500" w:type="dxa"/>
            <w:tcBorders>
              <w:top w:val="double" w:sz="4" w:space="0" w:color="000000"/>
              <w:bottom w:val="double" w:sz="4" w:space="0" w:color="000000"/>
            </w:tcBorders>
          </w:tcPr>
          <w:p>
            <w:pPr>
              <w:pStyle w:val="TableParagraph"/>
              <w:spacing w:before="8"/>
              <w:ind w:left="14"/>
              <w:jc w:val="left"/>
              <w:rPr>
                <w:sz w:val="15"/>
              </w:rPr>
            </w:pPr>
            <w:r>
              <w:rPr>
                <w:w w:val="85"/>
                <w:sz w:val="15"/>
              </w:rPr>
              <w:t>Glogal</w:t>
            </w:r>
          </w:p>
        </w:tc>
        <w:tc>
          <w:tcPr>
            <w:tcW w:w="695" w:type="dxa"/>
            <w:tcBorders>
              <w:top w:val="double" w:sz="4" w:space="0" w:color="000000"/>
              <w:bottom w:val="double" w:sz="4" w:space="0" w:color="000000"/>
            </w:tcBorders>
          </w:tcPr>
          <w:p>
            <w:pPr>
              <w:pStyle w:val="TableParagraph"/>
              <w:spacing w:before="8"/>
              <w:ind w:right="1"/>
              <w:rPr>
                <w:sz w:val="15"/>
              </w:rPr>
            </w:pPr>
            <w:r>
              <w:rPr>
                <w:w w:val="85"/>
                <w:sz w:val="15"/>
              </w:rPr>
              <w:t>0.83</w:t>
            </w:r>
          </w:p>
        </w:tc>
      </w:tr>
      <w:tr>
        <w:trPr>
          <w:trHeight w:val="401" w:hRule="exact"/>
        </w:trPr>
        <w:tc>
          <w:tcPr>
            <w:tcW w:w="1482" w:type="dxa"/>
            <w:tcBorders>
              <w:top w:val="double" w:sz="4" w:space="0" w:color="000000"/>
            </w:tcBorders>
          </w:tcPr>
          <w:p>
            <w:pPr/>
          </w:p>
        </w:tc>
        <w:tc>
          <w:tcPr>
            <w:tcW w:w="627" w:type="dxa"/>
            <w:tcBorders>
              <w:top w:val="double" w:sz="4" w:space="0" w:color="000000"/>
            </w:tcBorders>
          </w:tcPr>
          <w:p>
            <w:pPr>
              <w:pStyle w:val="TableParagraph"/>
              <w:spacing w:before="10"/>
              <w:jc w:val="left"/>
              <w:rPr>
                <w:sz w:val="16"/>
              </w:rPr>
            </w:pPr>
          </w:p>
          <w:p>
            <w:pPr>
              <w:pStyle w:val="TableParagraph"/>
              <w:ind w:right="4"/>
              <w:rPr>
                <w:b/>
                <w:sz w:val="15"/>
              </w:rPr>
            </w:pPr>
            <w:r>
              <w:rPr>
                <w:b/>
                <w:w w:val="85"/>
                <w:sz w:val="15"/>
              </w:rPr>
              <w:t>Prob.</w:t>
            </w:r>
          </w:p>
        </w:tc>
        <w:tc>
          <w:tcPr>
            <w:tcW w:w="78" w:type="dxa"/>
          </w:tcPr>
          <w:p>
            <w:pPr/>
          </w:p>
        </w:tc>
        <w:tc>
          <w:tcPr>
            <w:tcW w:w="1492" w:type="dxa"/>
            <w:tcBorders>
              <w:top w:val="double" w:sz="4" w:space="0" w:color="000000"/>
            </w:tcBorders>
          </w:tcPr>
          <w:p>
            <w:pPr/>
          </w:p>
        </w:tc>
        <w:tc>
          <w:tcPr>
            <w:tcW w:w="645" w:type="dxa"/>
            <w:tcBorders>
              <w:top w:val="double" w:sz="4" w:space="0" w:color="000000"/>
            </w:tcBorders>
          </w:tcPr>
          <w:p>
            <w:pPr>
              <w:pStyle w:val="TableParagraph"/>
              <w:spacing w:before="10"/>
              <w:jc w:val="left"/>
              <w:rPr>
                <w:sz w:val="16"/>
              </w:rPr>
            </w:pPr>
          </w:p>
          <w:p>
            <w:pPr>
              <w:pStyle w:val="TableParagraph"/>
              <w:ind w:right="30"/>
              <w:rPr>
                <w:b/>
                <w:sz w:val="15"/>
              </w:rPr>
            </w:pPr>
            <w:r>
              <w:rPr>
                <w:b/>
                <w:w w:val="85"/>
                <w:sz w:val="15"/>
              </w:rPr>
              <w:t>Prob.</w:t>
            </w:r>
          </w:p>
        </w:tc>
        <w:tc>
          <w:tcPr>
            <w:tcW w:w="100" w:type="dxa"/>
          </w:tcPr>
          <w:p>
            <w:pPr/>
          </w:p>
        </w:tc>
        <w:tc>
          <w:tcPr>
            <w:tcW w:w="1492" w:type="dxa"/>
            <w:tcBorders>
              <w:top w:val="double" w:sz="4" w:space="0" w:color="000000"/>
            </w:tcBorders>
          </w:tcPr>
          <w:p>
            <w:pPr/>
          </w:p>
        </w:tc>
        <w:tc>
          <w:tcPr>
            <w:tcW w:w="617" w:type="dxa"/>
            <w:tcBorders>
              <w:top w:val="double" w:sz="4" w:space="0" w:color="000000"/>
            </w:tcBorders>
          </w:tcPr>
          <w:p>
            <w:pPr>
              <w:pStyle w:val="TableParagraph"/>
              <w:spacing w:before="10"/>
              <w:jc w:val="left"/>
              <w:rPr>
                <w:sz w:val="16"/>
              </w:rPr>
            </w:pPr>
          </w:p>
          <w:p>
            <w:pPr>
              <w:pStyle w:val="TableParagraph"/>
              <w:ind w:left="25"/>
              <w:rPr>
                <w:b/>
                <w:sz w:val="15"/>
              </w:rPr>
            </w:pPr>
            <w:r>
              <w:rPr>
                <w:b/>
                <w:w w:val="85"/>
                <w:sz w:val="15"/>
              </w:rPr>
              <w:t>Prob.</w:t>
            </w:r>
          </w:p>
        </w:tc>
        <w:tc>
          <w:tcPr>
            <w:tcW w:w="107" w:type="dxa"/>
          </w:tcPr>
          <w:p>
            <w:pPr/>
          </w:p>
        </w:tc>
        <w:tc>
          <w:tcPr>
            <w:tcW w:w="1500" w:type="dxa"/>
            <w:tcBorders>
              <w:top w:val="double" w:sz="4" w:space="0" w:color="000000"/>
            </w:tcBorders>
          </w:tcPr>
          <w:p>
            <w:pPr/>
          </w:p>
        </w:tc>
        <w:tc>
          <w:tcPr>
            <w:tcW w:w="695" w:type="dxa"/>
            <w:tcBorders>
              <w:top w:val="double" w:sz="4" w:space="0" w:color="000000"/>
            </w:tcBorders>
          </w:tcPr>
          <w:p>
            <w:pPr/>
          </w:p>
        </w:tc>
      </w:tr>
      <w:tr>
        <w:trPr>
          <w:trHeight w:val="203" w:hRule="exact"/>
        </w:trPr>
        <w:tc>
          <w:tcPr>
            <w:tcW w:w="1482" w:type="dxa"/>
            <w:tcBorders>
              <w:bottom w:val="double" w:sz="4" w:space="0" w:color="000000"/>
            </w:tcBorders>
          </w:tcPr>
          <w:p>
            <w:pPr>
              <w:pStyle w:val="TableParagraph"/>
              <w:spacing w:before="12"/>
              <w:ind w:left="434" w:right="-16"/>
              <w:jc w:val="left"/>
              <w:rPr>
                <w:b/>
                <w:sz w:val="15"/>
              </w:rPr>
            </w:pPr>
            <w:r>
              <w:rPr>
                <w:b/>
                <w:w w:val="85"/>
                <w:sz w:val="15"/>
              </w:rPr>
              <w:t>Componente</w:t>
            </w:r>
          </w:p>
        </w:tc>
        <w:tc>
          <w:tcPr>
            <w:tcW w:w="627" w:type="dxa"/>
            <w:tcBorders>
              <w:bottom w:val="double" w:sz="4" w:space="0" w:color="000000"/>
            </w:tcBorders>
          </w:tcPr>
          <w:p>
            <w:pPr>
              <w:pStyle w:val="TableParagraph"/>
              <w:spacing w:before="3"/>
              <w:ind w:right="17"/>
              <w:rPr>
                <w:b/>
                <w:sz w:val="15"/>
              </w:rPr>
            </w:pPr>
            <w:r>
              <w:rPr>
                <w:b/>
                <w:w w:val="85"/>
                <w:sz w:val="15"/>
              </w:rPr>
              <w:t>Curtosis</w:t>
            </w:r>
          </w:p>
        </w:tc>
        <w:tc>
          <w:tcPr>
            <w:tcW w:w="78" w:type="dxa"/>
          </w:tcPr>
          <w:p>
            <w:pPr/>
          </w:p>
        </w:tc>
        <w:tc>
          <w:tcPr>
            <w:tcW w:w="1492" w:type="dxa"/>
            <w:tcBorders>
              <w:bottom w:val="double" w:sz="4" w:space="0" w:color="000000"/>
            </w:tcBorders>
          </w:tcPr>
          <w:p>
            <w:pPr>
              <w:pStyle w:val="TableParagraph"/>
              <w:spacing w:before="12"/>
              <w:ind w:left="427" w:right="-5"/>
              <w:jc w:val="left"/>
              <w:rPr>
                <w:b/>
                <w:sz w:val="15"/>
              </w:rPr>
            </w:pPr>
            <w:r>
              <w:rPr>
                <w:b/>
                <w:w w:val="85"/>
                <w:sz w:val="15"/>
              </w:rPr>
              <w:t>Componente</w:t>
            </w:r>
          </w:p>
        </w:tc>
        <w:tc>
          <w:tcPr>
            <w:tcW w:w="645" w:type="dxa"/>
            <w:tcBorders>
              <w:bottom w:val="double" w:sz="4" w:space="0" w:color="000000"/>
            </w:tcBorders>
          </w:tcPr>
          <w:p>
            <w:pPr>
              <w:pStyle w:val="TableParagraph"/>
              <w:spacing w:before="3"/>
              <w:ind w:right="42"/>
              <w:rPr>
                <w:b/>
                <w:sz w:val="15"/>
              </w:rPr>
            </w:pPr>
            <w:r>
              <w:rPr>
                <w:b/>
                <w:w w:val="85"/>
                <w:sz w:val="15"/>
              </w:rPr>
              <w:t>Curtosis</w:t>
            </w:r>
          </w:p>
        </w:tc>
        <w:tc>
          <w:tcPr>
            <w:tcW w:w="100" w:type="dxa"/>
          </w:tcPr>
          <w:p>
            <w:pPr/>
          </w:p>
        </w:tc>
        <w:tc>
          <w:tcPr>
            <w:tcW w:w="1492" w:type="dxa"/>
            <w:tcBorders>
              <w:bottom w:val="double" w:sz="4" w:space="0" w:color="000000"/>
            </w:tcBorders>
          </w:tcPr>
          <w:p>
            <w:pPr>
              <w:pStyle w:val="TableParagraph"/>
              <w:spacing w:before="12"/>
              <w:ind w:left="455" w:right="-5"/>
              <w:jc w:val="left"/>
              <w:rPr>
                <w:b/>
                <w:sz w:val="15"/>
              </w:rPr>
            </w:pPr>
            <w:r>
              <w:rPr>
                <w:b/>
                <w:w w:val="85"/>
                <w:sz w:val="15"/>
              </w:rPr>
              <w:t>Componente</w:t>
            </w:r>
          </w:p>
        </w:tc>
        <w:tc>
          <w:tcPr>
            <w:tcW w:w="617" w:type="dxa"/>
            <w:tcBorders>
              <w:bottom w:val="double" w:sz="4" w:space="0" w:color="000000"/>
            </w:tcBorders>
          </w:tcPr>
          <w:p>
            <w:pPr>
              <w:pStyle w:val="TableParagraph"/>
              <w:spacing w:before="3"/>
              <w:ind w:left="12"/>
              <w:rPr>
                <w:b/>
                <w:sz w:val="15"/>
              </w:rPr>
            </w:pPr>
            <w:r>
              <w:rPr>
                <w:b/>
                <w:w w:val="85"/>
                <w:sz w:val="15"/>
              </w:rPr>
              <w:t>Curtosis</w:t>
            </w:r>
          </w:p>
        </w:tc>
        <w:tc>
          <w:tcPr>
            <w:tcW w:w="107" w:type="dxa"/>
          </w:tcPr>
          <w:p>
            <w:pPr/>
          </w:p>
        </w:tc>
        <w:tc>
          <w:tcPr>
            <w:tcW w:w="1500" w:type="dxa"/>
            <w:tcBorders>
              <w:bottom w:val="double" w:sz="4" w:space="0" w:color="000000"/>
            </w:tcBorders>
          </w:tcPr>
          <w:p>
            <w:pPr>
              <w:pStyle w:val="TableParagraph"/>
              <w:spacing w:before="12"/>
              <w:ind w:left="441"/>
              <w:jc w:val="left"/>
              <w:rPr>
                <w:b/>
                <w:sz w:val="15"/>
              </w:rPr>
            </w:pPr>
            <w:r>
              <w:rPr>
                <w:b/>
                <w:w w:val="85"/>
                <w:sz w:val="15"/>
              </w:rPr>
              <w:t>Componente</w:t>
            </w:r>
          </w:p>
        </w:tc>
        <w:tc>
          <w:tcPr>
            <w:tcW w:w="695" w:type="dxa"/>
            <w:tcBorders>
              <w:bottom w:val="double" w:sz="4" w:space="0" w:color="000000"/>
            </w:tcBorders>
          </w:tcPr>
          <w:p>
            <w:pPr>
              <w:pStyle w:val="TableParagraph"/>
              <w:spacing w:before="3"/>
              <w:ind w:right="14"/>
              <w:rPr>
                <w:b/>
                <w:sz w:val="15"/>
              </w:rPr>
            </w:pPr>
            <w:r>
              <w:rPr>
                <w:b/>
                <w:spacing w:val="-5"/>
                <w:w w:val="75"/>
                <w:sz w:val="15"/>
              </w:rPr>
              <w:t>Prob. </w:t>
            </w:r>
            <w:r>
              <w:rPr>
                <w:b/>
                <w:spacing w:val="-3"/>
                <w:w w:val="75"/>
                <w:sz w:val="15"/>
              </w:rPr>
              <w:t>Curtosis</w:t>
            </w:r>
          </w:p>
        </w:tc>
      </w:tr>
      <w:tr>
        <w:trPr>
          <w:trHeight w:val="215" w:hRule="exact"/>
        </w:trPr>
        <w:tc>
          <w:tcPr>
            <w:tcW w:w="1482" w:type="dxa"/>
            <w:tcBorders>
              <w:top w:val="double" w:sz="4" w:space="0" w:color="000000"/>
            </w:tcBorders>
          </w:tcPr>
          <w:p>
            <w:pPr>
              <w:pStyle w:val="TableParagraph"/>
              <w:spacing w:before="8"/>
              <w:ind w:left="14" w:right="-16"/>
              <w:jc w:val="left"/>
              <w:rPr>
                <w:sz w:val="15"/>
              </w:rPr>
            </w:pPr>
            <w:r>
              <w:rPr>
                <w:w w:val="80"/>
                <w:sz w:val="15"/>
              </w:rPr>
              <w:t>Precios del gas natural</w:t>
            </w:r>
          </w:p>
        </w:tc>
        <w:tc>
          <w:tcPr>
            <w:tcW w:w="627" w:type="dxa"/>
            <w:tcBorders>
              <w:top w:val="double" w:sz="4" w:space="0" w:color="000000"/>
            </w:tcBorders>
          </w:tcPr>
          <w:p>
            <w:pPr>
              <w:pStyle w:val="TableParagraph"/>
              <w:spacing w:before="8"/>
              <w:rPr>
                <w:sz w:val="15"/>
              </w:rPr>
            </w:pPr>
            <w:r>
              <w:rPr>
                <w:w w:val="85"/>
                <w:sz w:val="15"/>
              </w:rPr>
              <w:t>0.03</w:t>
            </w:r>
          </w:p>
        </w:tc>
        <w:tc>
          <w:tcPr>
            <w:tcW w:w="78" w:type="dxa"/>
          </w:tcPr>
          <w:p>
            <w:pPr/>
          </w:p>
        </w:tc>
        <w:tc>
          <w:tcPr>
            <w:tcW w:w="1492" w:type="dxa"/>
            <w:tcBorders>
              <w:top w:val="double" w:sz="4" w:space="0" w:color="000000"/>
            </w:tcBorders>
          </w:tcPr>
          <w:p>
            <w:pPr>
              <w:pStyle w:val="TableParagraph"/>
              <w:spacing w:before="8"/>
              <w:ind w:left="14" w:right="-5"/>
              <w:jc w:val="left"/>
              <w:rPr>
                <w:sz w:val="15"/>
              </w:rPr>
            </w:pPr>
            <w:r>
              <w:rPr>
                <w:w w:val="80"/>
                <w:sz w:val="15"/>
              </w:rPr>
              <w:t>Precios del gas natural</w:t>
            </w:r>
          </w:p>
        </w:tc>
        <w:tc>
          <w:tcPr>
            <w:tcW w:w="645" w:type="dxa"/>
            <w:tcBorders>
              <w:top w:val="double" w:sz="4" w:space="0" w:color="000000"/>
            </w:tcBorders>
          </w:tcPr>
          <w:p>
            <w:pPr>
              <w:pStyle w:val="TableParagraph"/>
              <w:spacing w:before="8"/>
              <w:ind w:right="24"/>
              <w:rPr>
                <w:sz w:val="15"/>
              </w:rPr>
            </w:pPr>
            <w:r>
              <w:rPr>
                <w:w w:val="85"/>
                <w:sz w:val="15"/>
              </w:rPr>
              <w:t>0.10</w:t>
            </w:r>
          </w:p>
        </w:tc>
        <w:tc>
          <w:tcPr>
            <w:tcW w:w="100" w:type="dxa"/>
          </w:tcPr>
          <w:p>
            <w:pPr/>
          </w:p>
        </w:tc>
        <w:tc>
          <w:tcPr>
            <w:tcW w:w="1492" w:type="dxa"/>
            <w:tcBorders>
              <w:top w:val="double" w:sz="4" w:space="0" w:color="000000"/>
            </w:tcBorders>
          </w:tcPr>
          <w:p>
            <w:pPr>
              <w:pStyle w:val="TableParagraph"/>
              <w:spacing w:before="8"/>
              <w:ind w:left="14" w:right="-5"/>
              <w:jc w:val="left"/>
              <w:rPr>
                <w:sz w:val="15"/>
              </w:rPr>
            </w:pPr>
            <w:r>
              <w:rPr>
                <w:w w:val="80"/>
                <w:sz w:val="15"/>
              </w:rPr>
              <w:t>Precios del gas natural</w:t>
            </w:r>
          </w:p>
        </w:tc>
        <w:tc>
          <w:tcPr>
            <w:tcW w:w="617" w:type="dxa"/>
            <w:tcBorders>
              <w:top w:val="double" w:sz="4" w:space="0" w:color="000000"/>
            </w:tcBorders>
          </w:tcPr>
          <w:p>
            <w:pPr>
              <w:pStyle w:val="TableParagraph"/>
              <w:spacing w:before="8"/>
              <w:ind w:left="32"/>
              <w:rPr>
                <w:sz w:val="15"/>
              </w:rPr>
            </w:pPr>
            <w:r>
              <w:rPr>
                <w:w w:val="85"/>
                <w:sz w:val="15"/>
              </w:rPr>
              <w:t>0.13</w:t>
            </w:r>
          </w:p>
        </w:tc>
        <w:tc>
          <w:tcPr>
            <w:tcW w:w="107" w:type="dxa"/>
          </w:tcPr>
          <w:p>
            <w:pPr/>
          </w:p>
        </w:tc>
        <w:tc>
          <w:tcPr>
            <w:tcW w:w="1500" w:type="dxa"/>
            <w:tcBorders>
              <w:top w:val="double" w:sz="4" w:space="0" w:color="000000"/>
            </w:tcBorders>
          </w:tcPr>
          <w:p>
            <w:pPr>
              <w:pStyle w:val="TableParagraph"/>
              <w:spacing w:before="8"/>
              <w:ind w:left="14"/>
              <w:jc w:val="left"/>
              <w:rPr>
                <w:sz w:val="15"/>
              </w:rPr>
            </w:pPr>
            <w:r>
              <w:rPr>
                <w:w w:val="80"/>
                <w:sz w:val="15"/>
              </w:rPr>
              <w:t>Precios del gas natural</w:t>
            </w:r>
          </w:p>
        </w:tc>
        <w:tc>
          <w:tcPr>
            <w:tcW w:w="695" w:type="dxa"/>
            <w:tcBorders>
              <w:top w:val="double" w:sz="4" w:space="0" w:color="000000"/>
            </w:tcBorders>
          </w:tcPr>
          <w:p>
            <w:pPr>
              <w:pStyle w:val="TableParagraph"/>
              <w:spacing w:before="8"/>
              <w:ind w:right="1"/>
              <w:rPr>
                <w:sz w:val="15"/>
              </w:rPr>
            </w:pPr>
            <w:r>
              <w:rPr>
                <w:w w:val="85"/>
                <w:sz w:val="15"/>
              </w:rPr>
              <w:t>0.10</w:t>
            </w:r>
          </w:p>
        </w:tc>
      </w:tr>
      <w:tr>
        <w:trPr>
          <w:trHeight w:val="195" w:hRule="exact"/>
        </w:trPr>
        <w:tc>
          <w:tcPr>
            <w:tcW w:w="1482" w:type="dxa"/>
          </w:tcPr>
          <w:p>
            <w:pPr>
              <w:pStyle w:val="TableParagraph"/>
              <w:spacing w:before="3"/>
              <w:ind w:left="14" w:right="-16"/>
              <w:jc w:val="left"/>
              <w:rPr>
                <w:sz w:val="15"/>
              </w:rPr>
            </w:pPr>
            <w:r>
              <w:rPr>
                <w:w w:val="80"/>
                <w:sz w:val="15"/>
              </w:rPr>
              <w:t>Asign. De Ing. Fisc. Gasíf.</w:t>
            </w:r>
          </w:p>
        </w:tc>
        <w:tc>
          <w:tcPr>
            <w:tcW w:w="627" w:type="dxa"/>
          </w:tcPr>
          <w:p>
            <w:pPr>
              <w:pStyle w:val="TableParagraph"/>
              <w:spacing w:before="3"/>
              <w:rPr>
                <w:sz w:val="15"/>
              </w:rPr>
            </w:pPr>
            <w:r>
              <w:rPr>
                <w:w w:val="85"/>
                <w:sz w:val="15"/>
              </w:rPr>
              <w:t>0.06</w:t>
            </w:r>
          </w:p>
        </w:tc>
        <w:tc>
          <w:tcPr>
            <w:tcW w:w="78" w:type="dxa"/>
          </w:tcPr>
          <w:p>
            <w:pPr/>
          </w:p>
        </w:tc>
        <w:tc>
          <w:tcPr>
            <w:tcW w:w="1492" w:type="dxa"/>
          </w:tcPr>
          <w:p>
            <w:pPr>
              <w:pStyle w:val="TableParagraph"/>
              <w:spacing w:before="3"/>
              <w:ind w:left="14" w:right="-5"/>
              <w:jc w:val="left"/>
              <w:rPr>
                <w:sz w:val="15"/>
              </w:rPr>
            </w:pPr>
            <w:r>
              <w:rPr>
                <w:w w:val="80"/>
                <w:sz w:val="15"/>
              </w:rPr>
              <w:t>Asign. De Ing. Fisc. Gasíf.</w:t>
            </w:r>
          </w:p>
        </w:tc>
        <w:tc>
          <w:tcPr>
            <w:tcW w:w="645" w:type="dxa"/>
          </w:tcPr>
          <w:p>
            <w:pPr>
              <w:pStyle w:val="TableParagraph"/>
              <w:spacing w:before="3"/>
              <w:ind w:right="24"/>
              <w:rPr>
                <w:sz w:val="15"/>
              </w:rPr>
            </w:pPr>
            <w:r>
              <w:rPr>
                <w:w w:val="85"/>
                <w:sz w:val="15"/>
              </w:rPr>
              <w:t>0.13</w:t>
            </w:r>
          </w:p>
        </w:tc>
        <w:tc>
          <w:tcPr>
            <w:tcW w:w="100" w:type="dxa"/>
          </w:tcPr>
          <w:p>
            <w:pPr/>
          </w:p>
        </w:tc>
        <w:tc>
          <w:tcPr>
            <w:tcW w:w="1492" w:type="dxa"/>
          </w:tcPr>
          <w:p>
            <w:pPr>
              <w:pStyle w:val="TableParagraph"/>
              <w:spacing w:before="3"/>
              <w:ind w:left="14" w:right="-5"/>
              <w:jc w:val="left"/>
              <w:rPr>
                <w:sz w:val="15"/>
              </w:rPr>
            </w:pPr>
            <w:r>
              <w:rPr>
                <w:w w:val="80"/>
                <w:sz w:val="15"/>
              </w:rPr>
              <w:t>Asign. De Ing. Fisc. Gasíf.</w:t>
            </w:r>
          </w:p>
        </w:tc>
        <w:tc>
          <w:tcPr>
            <w:tcW w:w="617" w:type="dxa"/>
          </w:tcPr>
          <w:p>
            <w:pPr>
              <w:pStyle w:val="TableParagraph"/>
              <w:spacing w:before="3"/>
              <w:ind w:left="32"/>
              <w:rPr>
                <w:sz w:val="15"/>
              </w:rPr>
            </w:pPr>
            <w:r>
              <w:rPr>
                <w:w w:val="85"/>
                <w:sz w:val="15"/>
              </w:rPr>
              <w:t>0.19</w:t>
            </w:r>
          </w:p>
        </w:tc>
        <w:tc>
          <w:tcPr>
            <w:tcW w:w="107" w:type="dxa"/>
          </w:tcPr>
          <w:p>
            <w:pPr/>
          </w:p>
        </w:tc>
        <w:tc>
          <w:tcPr>
            <w:tcW w:w="1500" w:type="dxa"/>
          </w:tcPr>
          <w:p>
            <w:pPr>
              <w:pStyle w:val="TableParagraph"/>
              <w:spacing w:before="3"/>
              <w:ind w:left="14"/>
              <w:jc w:val="left"/>
              <w:rPr>
                <w:sz w:val="15"/>
              </w:rPr>
            </w:pPr>
            <w:r>
              <w:rPr>
                <w:w w:val="80"/>
                <w:sz w:val="15"/>
              </w:rPr>
              <w:t>Asign. De Ing. Fisc. Gasíf.</w:t>
            </w:r>
          </w:p>
        </w:tc>
        <w:tc>
          <w:tcPr>
            <w:tcW w:w="695" w:type="dxa"/>
          </w:tcPr>
          <w:p>
            <w:pPr>
              <w:pStyle w:val="TableParagraph"/>
              <w:spacing w:before="3"/>
              <w:ind w:right="1"/>
              <w:rPr>
                <w:sz w:val="15"/>
              </w:rPr>
            </w:pPr>
            <w:r>
              <w:rPr>
                <w:w w:val="85"/>
                <w:sz w:val="15"/>
              </w:rPr>
              <w:t>0.10</w:t>
            </w:r>
          </w:p>
        </w:tc>
      </w:tr>
      <w:tr>
        <w:trPr>
          <w:trHeight w:val="195" w:hRule="exact"/>
        </w:trPr>
        <w:tc>
          <w:tcPr>
            <w:tcW w:w="1482" w:type="dxa"/>
          </w:tcPr>
          <w:p>
            <w:pPr>
              <w:pStyle w:val="TableParagraph"/>
              <w:spacing w:before="3"/>
              <w:ind w:left="14" w:right="-16"/>
              <w:jc w:val="left"/>
              <w:rPr>
                <w:sz w:val="15"/>
              </w:rPr>
            </w:pPr>
            <w:r>
              <w:rPr>
                <w:w w:val="80"/>
                <w:sz w:val="15"/>
              </w:rPr>
              <w:t>Asign. De Ing. Fisc. No Gasíf.</w:t>
            </w:r>
          </w:p>
        </w:tc>
        <w:tc>
          <w:tcPr>
            <w:tcW w:w="627" w:type="dxa"/>
          </w:tcPr>
          <w:p>
            <w:pPr>
              <w:pStyle w:val="TableParagraph"/>
              <w:spacing w:before="3"/>
              <w:rPr>
                <w:sz w:val="15"/>
              </w:rPr>
            </w:pPr>
            <w:r>
              <w:rPr>
                <w:w w:val="85"/>
                <w:sz w:val="15"/>
              </w:rPr>
              <w:t>0.34</w:t>
            </w:r>
          </w:p>
        </w:tc>
        <w:tc>
          <w:tcPr>
            <w:tcW w:w="78" w:type="dxa"/>
          </w:tcPr>
          <w:p>
            <w:pPr/>
          </w:p>
        </w:tc>
        <w:tc>
          <w:tcPr>
            <w:tcW w:w="1492" w:type="dxa"/>
          </w:tcPr>
          <w:p>
            <w:pPr>
              <w:pStyle w:val="TableParagraph"/>
              <w:spacing w:before="3"/>
              <w:ind w:left="14" w:right="-5"/>
              <w:jc w:val="left"/>
              <w:rPr>
                <w:sz w:val="15"/>
              </w:rPr>
            </w:pPr>
            <w:r>
              <w:rPr>
                <w:w w:val="80"/>
                <w:sz w:val="15"/>
              </w:rPr>
              <w:t>Asign. De Ing. Fisc. No Gasíf.</w:t>
            </w:r>
          </w:p>
        </w:tc>
        <w:tc>
          <w:tcPr>
            <w:tcW w:w="645" w:type="dxa"/>
          </w:tcPr>
          <w:p>
            <w:pPr>
              <w:pStyle w:val="TableParagraph"/>
              <w:spacing w:before="3"/>
              <w:ind w:right="24"/>
              <w:rPr>
                <w:sz w:val="15"/>
              </w:rPr>
            </w:pPr>
            <w:r>
              <w:rPr>
                <w:w w:val="85"/>
                <w:sz w:val="15"/>
              </w:rPr>
              <w:t>0.37</w:t>
            </w:r>
          </w:p>
        </w:tc>
        <w:tc>
          <w:tcPr>
            <w:tcW w:w="100" w:type="dxa"/>
          </w:tcPr>
          <w:p>
            <w:pPr/>
          </w:p>
        </w:tc>
        <w:tc>
          <w:tcPr>
            <w:tcW w:w="1492" w:type="dxa"/>
          </w:tcPr>
          <w:p>
            <w:pPr>
              <w:pStyle w:val="TableParagraph"/>
              <w:spacing w:before="3"/>
              <w:ind w:left="14" w:right="-5"/>
              <w:jc w:val="left"/>
              <w:rPr>
                <w:sz w:val="15"/>
              </w:rPr>
            </w:pPr>
            <w:r>
              <w:rPr>
                <w:w w:val="80"/>
                <w:sz w:val="15"/>
              </w:rPr>
              <w:t>Asign. De Ing. Fisc. No Gasíf.</w:t>
            </w:r>
          </w:p>
        </w:tc>
        <w:tc>
          <w:tcPr>
            <w:tcW w:w="617" w:type="dxa"/>
          </w:tcPr>
          <w:p>
            <w:pPr>
              <w:pStyle w:val="TableParagraph"/>
              <w:spacing w:before="3"/>
              <w:ind w:left="32"/>
              <w:rPr>
                <w:sz w:val="15"/>
              </w:rPr>
            </w:pPr>
            <w:r>
              <w:rPr>
                <w:w w:val="85"/>
                <w:sz w:val="15"/>
              </w:rPr>
              <w:t>0.29</w:t>
            </w:r>
          </w:p>
        </w:tc>
        <w:tc>
          <w:tcPr>
            <w:tcW w:w="107" w:type="dxa"/>
          </w:tcPr>
          <w:p>
            <w:pPr/>
          </w:p>
        </w:tc>
        <w:tc>
          <w:tcPr>
            <w:tcW w:w="1500" w:type="dxa"/>
          </w:tcPr>
          <w:p>
            <w:pPr>
              <w:pStyle w:val="TableParagraph"/>
              <w:spacing w:before="3"/>
              <w:ind w:left="14"/>
              <w:jc w:val="left"/>
              <w:rPr>
                <w:sz w:val="15"/>
              </w:rPr>
            </w:pPr>
            <w:r>
              <w:rPr>
                <w:w w:val="80"/>
                <w:sz w:val="15"/>
              </w:rPr>
              <w:t>Asign. De Ing. Fisc. No Gasíf.</w:t>
            </w:r>
          </w:p>
        </w:tc>
        <w:tc>
          <w:tcPr>
            <w:tcW w:w="695" w:type="dxa"/>
          </w:tcPr>
          <w:p>
            <w:pPr>
              <w:pStyle w:val="TableParagraph"/>
              <w:spacing w:before="3"/>
              <w:ind w:right="1"/>
              <w:rPr>
                <w:sz w:val="15"/>
              </w:rPr>
            </w:pPr>
            <w:r>
              <w:rPr>
                <w:w w:val="85"/>
                <w:sz w:val="15"/>
              </w:rPr>
              <w:t>0.39</w:t>
            </w:r>
          </w:p>
        </w:tc>
      </w:tr>
      <w:tr>
        <w:trPr>
          <w:trHeight w:val="195" w:hRule="exact"/>
        </w:trPr>
        <w:tc>
          <w:tcPr>
            <w:tcW w:w="1482" w:type="dxa"/>
          </w:tcPr>
          <w:p>
            <w:pPr>
              <w:pStyle w:val="TableParagraph"/>
              <w:spacing w:before="3"/>
              <w:ind w:left="14" w:right="-16"/>
              <w:jc w:val="left"/>
              <w:rPr>
                <w:sz w:val="15"/>
              </w:rPr>
            </w:pPr>
            <w:r>
              <w:rPr>
                <w:w w:val="80"/>
                <w:sz w:val="15"/>
              </w:rPr>
              <w:t>Bal. Primario No Gasíf.</w:t>
            </w:r>
          </w:p>
        </w:tc>
        <w:tc>
          <w:tcPr>
            <w:tcW w:w="627" w:type="dxa"/>
          </w:tcPr>
          <w:p>
            <w:pPr>
              <w:pStyle w:val="TableParagraph"/>
              <w:spacing w:before="3"/>
              <w:rPr>
                <w:sz w:val="15"/>
              </w:rPr>
            </w:pPr>
            <w:r>
              <w:rPr>
                <w:w w:val="85"/>
                <w:sz w:val="15"/>
              </w:rPr>
              <w:t>0.14</w:t>
            </w:r>
          </w:p>
        </w:tc>
        <w:tc>
          <w:tcPr>
            <w:tcW w:w="78" w:type="dxa"/>
          </w:tcPr>
          <w:p>
            <w:pPr/>
          </w:p>
        </w:tc>
        <w:tc>
          <w:tcPr>
            <w:tcW w:w="1492" w:type="dxa"/>
          </w:tcPr>
          <w:p>
            <w:pPr>
              <w:pStyle w:val="TableParagraph"/>
              <w:spacing w:before="3"/>
              <w:ind w:left="14" w:right="-5"/>
              <w:jc w:val="left"/>
              <w:rPr>
                <w:sz w:val="15"/>
              </w:rPr>
            </w:pPr>
            <w:r>
              <w:rPr>
                <w:w w:val="75"/>
                <w:sz w:val="15"/>
              </w:rPr>
              <w:t>Bal. Primario</w:t>
            </w:r>
          </w:p>
        </w:tc>
        <w:tc>
          <w:tcPr>
            <w:tcW w:w="645" w:type="dxa"/>
          </w:tcPr>
          <w:p>
            <w:pPr>
              <w:pStyle w:val="TableParagraph"/>
              <w:spacing w:before="3"/>
              <w:ind w:right="24"/>
              <w:rPr>
                <w:sz w:val="15"/>
              </w:rPr>
            </w:pPr>
            <w:r>
              <w:rPr>
                <w:w w:val="85"/>
                <w:sz w:val="15"/>
              </w:rPr>
              <w:t>0.03</w:t>
            </w:r>
          </w:p>
        </w:tc>
        <w:tc>
          <w:tcPr>
            <w:tcW w:w="100" w:type="dxa"/>
          </w:tcPr>
          <w:p>
            <w:pPr/>
          </w:p>
        </w:tc>
        <w:tc>
          <w:tcPr>
            <w:tcW w:w="1492" w:type="dxa"/>
          </w:tcPr>
          <w:p>
            <w:pPr>
              <w:pStyle w:val="TableParagraph"/>
              <w:spacing w:before="3"/>
              <w:ind w:left="14" w:right="-5"/>
              <w:jc w:val="left"/>
              <w:rPr>
                <w:sz w:val="15"/>
              </w:rPr>
            </w:pPr>
            <w:r>
              <w:rPr>
                <w:w w:val="80"/>
                <w:sz w:val="15"/>
              </w:rPr>
              <w:t>Bal. Global. Cícl. Ajust.</w:t>
            </w:r>
          </w:p>
        </w:tc>
        <w:tc>
          <w:tcPr>
            <w:tcW w:w="617" w:type="dxa"/>
          </w:tcPr>
          <w:p>
            <w:pPr>
              <w:pStyle w:val="TableParagraph"/>
              <w:spacing w:before="3"/>
              <w:ind w:left="32"/>
              <w:rPr>
                <w:sz w:val="15"/>
              </w:rPr>
            </w:pPr>
            <w:r>
              <w:rPr>
                <w:w w:val="85"/>
                <w:sz w:val="15"/>
              </w:rPr>
              <w:t>0.07</w:t>
            </w:r>
          </w:p>
        </w:tc>
        <w:tc>
          <w:tcPr>
            <w:tcW w:w="107" w:type="dxa"/>
          </w:tcPr>
          <w:p>
            <w:pPr/>
          </w:p>
        </w:tc>
        <w:tc>
          <w:tcPr>
            <w:tcW w:w="1500" w:type="dxa"/>
          </w:tcPr>
          <w:p>
            <w:pPr>
              <w:pStyle w:val="TableParagraph"/>
              <w:spacing w:before="3"/>
              <w:ind w:left="14"/>
              <w:jc w:val="left"/>
              <w:rPr>
                <w:sz w:val="15"/>
              </w:rPr>
            </w:pPr>
            <w:r>
              <w:rPr>
                <w:w w:val="75"/>
                <w:sz w:val="15"/>
              </w:rPr>
              <w:t>Bal. Global</w:t>
            </w:r>
          </w:p>
        </w:tc>
        <w:tc>
          <w:tcPr>
            <w:tcW w:w="695" w:type="dxa"/>
          </w:tcPr>
          <w:p>
            <w:pPr>
              <w:pStyle w:val="TableParagraph"/>
              <w:spacing w:before="3"/>
              <w:ind w:right="1"/>
              <w:rPr>
                <w:sz w:val="15"/>
              </w:rPr>
            </w:pPr>
            <w:r>
              <w:rPr>
                <w:w w:val="85"/>
                <w:sz w:val="15"/>
              </w:rPr>
              <w:t>0.16</w:t>
            </w:r>
          </w:p>
        </w:tc>
      </w:tr>
      <w:tr>
        <w:trPr>
          <w:trHeight w:val="194" w:hRule="exact"/>
        </w:trPr>
        <w:tc>
          <w:tcPr>
            <w:tcW w:w="1482" w:type="dxa"/>
            <w:tcBorders>
              <w:bottom w:val="double" w:sz="4" w:space="0" w:color="000000"/>
            </w:tcBorders>
          </w:tcPr>
          <w:p>
            <w:pPr>
              <w:pStyle w:val="TableParagraph"/>
              <w:spacing w:before="3"/>
              <w:ind w:left="14" w:right="-16"/>
              <w:jc w:val="left"/>
              <w:rPr>
                <w:sz w:val="15"/>
              </w:rPr>
            </w:pPr>
            <w:r>
              <w:rPr>
                <w:w w:val="75"/>
                <w:sz w:val="15"/>
              </w:rPr>
              <w:t>Deuda pública</w:t>
            </w:r>
          </w:p>
        </w:tc>
        <w:tc>
          <w:tcPr>
            <w:tcW w:w="627" w:type="dxa"/>
            <w:tcBorders>
              <w:bottom w:val="double" w:sz="4" w:space="0" w:color="000000"/>
            </w:tcBorders>
          </w:tcPr>
          <w:p>
            <w:pPr>
              <w:pStyle w:val="TableParagraph"/>
              <w:spacing w:before="3"/>
              <w:rPr>
                <w:sz w:val="15"/>
              </w:rPr>
            </w:pPr>
            <w:r>
              <w:rPr>
                <w:w w:val="85"/>
                <w:sz w:val="15"/>
              </w:rPr>
              <w:t>0.91</w:t>
            </w:r>
          </w:p>
        </w:tc>
        <w:tc>
          <w:tcPr>
            <w:tcW w:w="78" w:type="dxa"/>
          </w:tcPr>
          <w:p>
            <w:pPr/>
          </w:p>
        </w:tc>
        <w:tc>
          <w:tcPr>
            <w:tcW w:w="1492" w:type="dxa"/>
            <w:tcBorders>
              <w:bottom w:val="double" w:sz="4" w:space="0" w:color="000000"/>
            </w:tcBorders>
          </w:tcPr>
          <w:p>
            <w:pPr>
              <w:pStyle w:val="TableParagraph"/>
              <w:spacing w:before="3"/>
              <w:ind w:left="14" w:right="-5"/>
              <w:jc w:val="left"/>
              <w:rPr>
                <w:sz w:val="15"/>
              </w:rPr>
            </w:pPr>
            <w:r>
              <w:rPr>
                <w:w w:val="75"/>
                <w:sz w:val="15"/>
              </w:rPr>
              <w:t>Deuda pública</w:t>
            </w:r>
          </w:p>
        </w:tc>
        <w:tc>
          <w:tcPr>
            <w:tcW w:w="645" w:type="dxa"/>
            <w:tcBorders>
              <w:bottom w:val="double" w:sz="4" w:space="0" w:color="000000"/>
            </w:tcBorders>
          </w:tcPr>
          <w:p>
            <w:pPr>
              <w:pStyle w:val="TableParagraph"/>
              <w:spacing w:before="3"/>
              <w:ind w:right="24"/>
              <w:rPr>
                <w:sz w:val="15"/>
              </w:rPr>
            </w:pPr>
            <w:r>
              <w:rPr>
                <w:w w:val="85"/>
                <w:sz w:val="15"/>
              </w:rPr>
              <w:t>0.37</w:t>
            </w:r>
          </w:p>
        </w:tc>
        <w:tc>
          <w:tcPr>
            <w:tcW w:w="100" w:type="dxa"/>
          </w:tcPr>
          <w:p>
            <w:pPr/>
          </w:p>
        </w:tc>
        <w:tc>
          <w:tcPr>
            <w:tcW w:w="1492" w:type="dxa"/>
            <w:tcBorders>
              <w:bottom w:val="double" w:sz="4" w:space="0" w:color="000000"/>
            </w:tcBorders>
          </w:tcPr>
          <w:p>
            <w:pPr>
              <w:pStyle w:val="TableParagraph"/>
              <w:spacing w:before="3"/>
              <w:ind w:left="14" w:right="-5"/>
              <w:jc w:val="left"/>
              <w:rPr>
                <w:sz w:val="15"/>
              </w:rPr>
            </w:pPr>
            <w:r>
              <w:rPr>
                <w:w w:val="75"/>
                <w:sz w:val="15"/>
              </w:rPr>
              <w:t>Deuda pública</w:t>
            </w:r>
          </w:p>
        </w:tc>
        <w:tc>
          <w:tcPr>
            <w:tcW w:w="617" w:type="dxa"/>
            <w:tcBorders>
              <w:bottom w:val="double" w:sz="4" w:space="0" w:color="000000"/>
            </w:tcBorders>
          </w:tcPr>
          <w:p>
            <w:pPr>
              <w:pStyle w:val="TableParagraph"/>
              <w:spacing w:before="3"/>
              <w:ind w:left="32"/>
              <w:rPr>
                <w:sz w:val="15"/>
              </w:rPr>
            </w:pPr>
            <w:r>
              <w:rPr>
                <w:w w:val="85"/>
                <w:sz w:val="15"/>
              </w:rPr>
              <w:t>0.90</w:t>
            </w:r>
          </w:p>
        </w:tc>
        <w:tc>
          <w:tcPr>
            <w:tcW w:w="107" w:type="dxa"/>
          </w:tcPr>
          <w:p>
            <w:pPr/>
          </w:p>
        </w:tc>
        <w:tc>
          <w:tcPr>
            <w:tcW w:w="1500" w:type="dxa"/>
            <w:tcBorders>
              <w:bottom w:val="double" w:sz="4" w:space="0" w:color="000000"/>
            </w:tcBorders>
          </w:tcPr>
          <w:p>
            <w:pPr>
              <w:pStyle w:val="TableParagraph"/>
              <w:spacing w:before="3"/>
              <w:ind w:left="14"/>
              <w:jc w:val="left"/>
              <w:rPr>
                <w:sz w:val="15"/>
              </w:rPr>
            </w:pPr>
            <w:r>
              <w:rPr>
                <w:w w:val="75"/>
                <w:sz w:val="15"/>
              </w:rPr>
              <w:t>Deuda pública</w:t>
            </w:r>
          </w:p>
        </w:tc>
        <w:tc>
          <w:tcPr>
            <w:tcW w:w="695" w:type="dxa"/>
            <w:tcBorders>
              <w:bottom w:val="double" w:sz="4" w:space="0" w:color="000000"/>
            </w:tcBorders>
          </w:tcPr>
          <w:p>
            <w:pPr>
              <w:pStyle w:val="TableParagraph"/>
              <w:spacing w:before="3"/>
              <w:ind w:right="1"/>
              <w:rPr>
                <w:sz w:val="15"/>
              </w:rPr>
            </w:pPr>
            <w:r>
              <w:rPr>
                <w:w w:val="85"/>
                <w:sz w:val="15"/>
              </w:rPr>
              <w:t>0.98</w:t>
            </w:r>
          </w:p>
        </w:tc>
      </w:tr>
      <w:tr>
        <w:trPr>
          <w:trHeight w:val="214" w:hRule="exact"/>
        </w:trPr>
        <w:tc>
          <w:tcPr>
            <w:tcW w:w="1482" w:type="dxa"/>
            <w:tcBorders>
              <w:top w:val="double" w:sz="4" w:space="0" w:color="000000"/>
              <w:bottom w:val="double" w:sz="4" w:space="0" w:color="000000"/>
            </w:tcBorders>
          </w:tcPr>
          <w:p>
            <w:pPr>
              <w:pStyle w:val="TableParagraph"/>
              <w:spacing w:before="8"/>
              <w:ind w:left="14" w:right="-16"/>
              <w:jc w:val="left"/>
              <w:rPr>
                <w:sz w:val="15"/>
              </w:rPr>
            </w:pPr>
            <w:r>
              <w:rPr>
                <w:w w:val="85"/>
                <w:sz w:val="15"/>
              </w:rPr>
              <w:t>Glogal</w:t>
            </w:r>
          </w:p>
        </w:tc>
        <w:tc>
          <w:tcPr>
            <w:tcW w:w="627" w:type="dxa"/>
            <w:tcBorders>
              <w:top w:val="double" w:sz="4" w:space="0" w:color="000000"/>
              <w:bottom w:val="double" w:sz="4" w:space="0" w:color="000000"/>
            </w:tcBorders>
          </w:tcPr>
          <w:p>
            <w:pPr>
              <w:pStyle w:val="TableParagraph"/>
              <w:spacing w:before="8"/>
              <w:rPr>
                <w:sz w:val="15"/>
              </w:rPr>
            </w:pPr>
            <w:r>
              <w:rPr>
                <w:w w:val="85"/>
                <w:sz w:val="15"/>
              </w:rPr>
              <w:t>0.05</w:t>
            </w:r>
          </w:p>
        </w:tc>
        <w:tc>
          <w:tcPr>
            <w:tcW w:w="78" w:type="dxa"/>
          </w:tcPr>
          <w:p>
            <w:pPr/>
          </w:p>
        </w:tc>
        <w:tc>
          <w:tcPr>
            <w:tcW w:w="1492" w:type="dxa"/>
            <w:tcBorders>
              <w:top w:val="double" w:sz="4" w:space="0" w:color="000000"/>
              <w:bottom w:val="double" w:sz="4" w:space="0" w:color="000000"/>
            </w:tcBorders>
          </w:tcPr>
          <w:p>
            <w:pPr>
              <w:pStyle w:val="TableParagraph"/>
              <w:spacing w:before="8"/>
              <w:ind w:left="14" w:right="-5"/>
              <w:jc w:val="left"/>
              <w:rPr>
                <w:sz w:val="15"/>
              </w:rPr>
            </w:pPr>
            <w:r>
              <w:rPr>
                <w:w w:val="85"/>
                <w:sz w:val="15"/>
              </w:rPr>
              <w:t>Glogal</w:t>
            </w:r>
          </w:p>
        </w:tc>
        <w:tc>
          <w:tcPr>
            <w:tcW w:w="645" w:type="dxa"/>
            <w:tcBorders>
              <w:top w:val="double" w:sz="4" w:space="0" w:color="000000"/>
              <w:bottom w:val="double" w:sz="4" w:space="0" w:color="000000"/>
            </w:tcBorders>
          </w:tcPr>
          <w:p>
            <w:pPr>
              <w:pStyle w:val="TableParagraph"/>
              <w:spacing w:before="8"/>
              <w:ind w:right="24"/>
              <w:rPr>
                <w:sz w:val="15"/>
              </w:rPr>
            </w:pPr>
            <w:r>
              <w:rPr>
                <w:w w:val="85"/>
                <w:sz w:val="15"/>
              </w:rPr>
              <w:t>0.37</w:t>
            </w:r>
          </w:p>
        </w:tc>
        <w:tc>
          <w:tcPr>
            <w:tcW w:w="100" w:type="dxa"/>
          </w:tcPr>
          <w:p>
            <w:pPr/>
          </w:p>
        </w:tc>
        <w:tc>
          <w:tcPr>
            <w:tcW w:w="1492" w:type="dxa"/>
            <w:tcBorders>
              <w:top w:val="double" w:sz="4" w:space="0" w:color="000000"/>
              <w:bottom w:val="double" w:sz="4" w:space="0" w:color="000000"/>
            </w:tcBorders>
          </w:tcPr>
          <w:p>
            <w:pPr>
              <w:pStyle w:val="TableParagraph"/>
              <w:spacing w:before="8"/>
              <w:ind w:left="14" w:right="-5"/>
              <w:jc w:val="left"/>
              <w:rPr>
                <w:sz w:val="15"/>
              </w:rPr>
            </w:pPr>
            <w:r>
              <w:rPr>
                <w:w w:val="85"/>
                <w:sz w:val="15"/>
              </w:rPr>
              <w:t>Glogal</w:t>
            </w:r>
          </w:p>
        </w:tc>
        <w:tc>
          <w:tcPr>
            <w:tcW w:w="617" w:type="dxa"/>
            <w:tcBorders>
              <w:top w:val="double" w:sz="4" w:space="0" w:color="000000"/>
              <w:bottom w:val="double" w:sz="4" w:space="0" w:color="000000"/>
            </w:tcBorders>
          </w:tcPr>
          <w:p>
            <w:pPr>
              <w:pStyle w:val="TableParagraph"/>
              <w:spacing w:before="8"/>
              <w:ind w:left="32"/>
              <w:rPr>
                <w:sz w:val="15"/>
              </w:rPr>
            </w:pPr>
            <w:r>
              <w:rPr>
                <w:w w:val="85"/>
                <w:sz w:val="15"/>
              </w:rPr>
              <w:t>0.14</w:t>
            </w:r>
          </w:p>
        </w:tc>
        <w:tc>
          <w:tcPr>
            <w:tcW w:w="107" w:type="dxa"/>
          </w:tcPr>
          <w:p>
            <w:pPr/>
          </w:p>
        </w:tc>
        <w:tc>
          <w:tcPr>
            <w:tcW w:w="1500" w:type="dxa"/>
            <w:tcBorders>
              <w:top w:val="double" w:sz="4" w:space="0" w:color="000000"/>
              <w:bottom w:val="double" w:sz="4" w:space="0" w:color="000000"/>
            </w:tcBorders>
          </w:tcPr>
          <w:p>
            <w:pPr>
              <w:pStyle w:val="TableParagraph"/>
              <w:spacing w:before="8"/>
              <w:ind w:left="14"/>
              <w:jc w:val="left"/>
              <w:rPr>
                <w:sz w:val="15"/>
              </w:rPr>
            </w:pPr>
            <w:r>
              <w:rPr>
                <w:w w:val="85"/>
                <w:sz w:val="15"/>
              </w:rPr>
              <w:t>Glogal</w:t>
            </w:r>
          </w:p>
        </w:tc>
        <w:tc>
          <w:tcPr>
            <w:tcW w:w="695" w:type="dxa"/>
            <w:tcBorders>
              <w:top w:val="double" w:sz="4" w:space="0" w:color="000000"/>
              <w:bottom w:val="double" w:sz="4" w:space="0" w:color="000000"/>
            </w:tcBorders>
          </w:tcPr>
          <w:p>
            <w:pPr>
              <w:pStyle w:val="TableParagraph"/>
              <w:spacing w:before="8"/>
              <w:ind w:right="1"/>
              <w:rPr>
                <w:sz w:val="15"/>
              </w:rPr>
            </w:pPr>
            <w:r>
              <w:rPr>
                <w:w w:val="85"/>
                <w:sz w:val="15"/>
              </w:rPr>
              <w:t>0.15</w:t>
            </w:r>
          </w:p>
        </w:tc>
      </w:tr>
      <w:tr>
        <w:trPr>
          <w:trHeight w:val="596" w:hRule="exact"/>
        </w:trPr>
        <w:tc>
          <w:tcPr>
            <w:tcW w:w="1482" w:type="dxa"/>
            <w:tcBorders>
              <w:top w:val="double" w:sz="4" w:space="0" w:color="000000"/>
            </w:tcBorders>
          </w:tcPr>
          <w:p>
            <w:pPr/>
          </w:p>
        </w:tc>
        <w:tc>
          <w:tcPr>
            <w:tcW w:w="627" w:type="dxa"/>
            <w:tcBorders>
              <w:top w:val="double" w:sz="4" w:space="0" w:color="000000"/>
            </w:tcBorders>
          </w:tcPr>
          <w:p>
            <w:pPr>
              <w:pStyle w:val="TableParagraph"/>
              <w:jc w:val="left"/>
              <w:rPr>
                <w:sz w:val="14"/>
              </w:rPr>
            </w:pPr>
          </w:p>
          <w:p>
            <w:pPr>
              <w:pStyle w:val="TableParagraph"/>
              <w:spacing w:before="9"/>
              <w:jc w:val="left"/>
              <w:rPr>
                <w:sz w:val="19"/>
              </w:rPr>
            </w:pPr>
          </w:p>
          <w:p>
            <w:pPr>
              <w:pStyle w:val="TableParagraph"/>
              <w:spacing w:before="1"/>
              <w:ind w:right="4"/>
              <w:rPr>
                <w:b/>
                <w:sz w:val="15"/>
              </w:rPr>
            </w:pPr>
            <w:r>
              <w:rPr>
                <w:b/>
                <w:w w:val="85"/>
                <w:sz w:val="15"/>
              </w:rPr>
              <w:t>Prob.</w:t>
            </w:r>
          </w:p>
        </w:tc>
        <w:tc>
          <w:tcPr>
            <w:tcW w:w="78" w:type="dxa"/>
          </w:tcPr>
          <w:p>
            <w:pPr/>
          </w:p>
        </w:tc>
        <w:tc>
          <w:tcPr>
            <w:tcW w:w="1492" w:type="dxa"/>
            <w:tcBorders>
              <w:top w:val="double" w:sz="4" w:space="0" w:color="000000"/>
            </w:tcBorders>
          </w:tcPr>
          <w:p>
            <w:pPr/>
          </w:p>
        </w:tc>
        <w:tc>
          <w:tcPr>
            <w:tcW w:w="645" w:type="dxa"/>
            <w:tcBorders>
              <w:top w:val="double" w:sz="4" w:space="0" w:color="000000"/>
            </w:tcBorders>
          </w:tcPr>
          <w:p>
            <w:pPr>
              <w:pStyle w:val="TableParagraph"/>
              <w:jc w:val="left"/>
              <w:rPr>
                <w:sz w:val="14"/>
              </w:rPr>
            </w:pPr>
          </w:p>
          <w:p>
            <w:pPr>
              <w:pStyle w:val="TableParagraph"/>
              <w:spacing w:before="9"/>
              <w:jc w:val="left"/>
              <w:rPr>
                <w:sz w:val="19"/>
              </w:rPr>
            </w:pPr>
          </w:p>
          <w:p>
            <w:pPr>
              <w:pStyle w:val="TableParagraph"/>
              <w:spacing w:before="1"/>
              <w:ind w:right="30"/>
              <w:rPr>
                <w:b/>
                <w:sz w:val="15"/>
              </w:rPr>
            </w:pPr>
            <w:r>
              <w:rPr>
                <w:b/>
                <w:w w:val="85"/>
                <w:sz w:val="15"/>
              </w:rPr>
              <w:t>Prob.</w:t>
            </w:r>
          </w:p>
        </w:tc>
        <w:tc>
          <w:tcPr>
            <w:tcW w:w="100" w:type="dxa"/>
          </w:tcPr>
          <w:p>
            <w:pPr/>
          </w:p>
        </w:tc>
        <w:tc>
          <w:tcPr>
            <w:tcW w:w="1492" w:type="dxa"/>
            <w:tcBorders>
              <w:top w:val="double" w:sz="4" w:space="0" w:color="000000"/>
            </w:tcBorders>
          </w:tcPr>
          <w:p>
            <w:pPr/>
          </w:p>
        </w:tc>
        <w:tc>
          <w:tcPr>
            <w:tcW w:w="617" w:type="dxa"/>
            <w:tcBorders>
              <w:top w:val="double" w:sz="4" w:space="0" w:color="000000"/>
            </w:tcBorders>
          </w:tcPr>
          <w:p>
            <w:pPr>
              <w:pStyle w:val="TableParagraph"/>
              <w:jc w:val="left"/>
              <w:rPr>
                <w:sz w:val="14"/>
              </w:rPr>
            </w:pPr>
          </w:p>
          <w:p>
            <w:pPr>
              <w:pStyle w:val="TableParagraph"/>
              <w:spacing w:before="9"/>
              <w:jc w:val="left"/>
              <w:rPr>
                <w:sz w:val="19"/>
              </w:rPr>
            </w:pPr>
          </w:p>
          <w:p>
            <w:pPr>
              <w:pStyle w:val="TableParagraph"/>
              <w:spacing w:before="1"/>
              <w:ind w:left="25"/>
              <w:rPr>
                <w:b/>
                <w:sz w:val="15"/>
              </w:rPr>
            </w:pPr>
            <w:r>
              <w:rPr>
                <w:b/>
                <w:w w:val="85"/>
                <w:sz w:val="15"/>
              </w:rPr>
              <w:t>Prob.</w:t>
            </w:r>
          </w:p>
        </w:tc>
        <w:tc>
          <w:tcPr>
            <w:tcW w:w="107" w:type="dxa"/>
          </w:tcPr>
          <w:p>
            <w:pPr/>
          </w:p>
        </w:tc>
        <w:tc>
          <w:tcPr>
            <w:tcW w:w="1500" w:type="dxa"/>
            <w:tcBorders>
              <w:top w:val="double" w:sz="4" w:space="0" w:color="000000"/>
            </w:tcBorders>
          </w:tcPr>
          <w:p>
            <w:pPr/>
          </w:p>
        </w:tc>
        <w:tc>
          <w:tcPr>
            <w:tcW w:w="695" w:type="dxa"/>
            <w:tcBorders>
              <w:top w:val="double" w:sz="4" w:space="0" w:color="000000"/>
            </w:tcBorders>
          </w:tcPr>
          <w:p>
            <w:pPr>
              <w:pStyle w:val="TableParagraph"/>
              <w:jc w:val="left"/>
              <w:rPr>
                <w:sz w:val="14"/>
              </w:rPr>
            </w:pPr>
          </w:p>
          <w:p>
            <w:pPr>
              <w:pStyle w:val="TableParagraph"/>
              <w:spacing w:before="9"/>
              <w:jc w:val="left"/>
              <w:rPr>
                <w:sz w:val="19"/>
              </w:rPr>
            </w:pPr>
          </w:p>
          <w:p>
            <w:pPr>
              <w:pStyle w:val="TableParagraph"/>
              <w:spacing w:before="1"/>
              <w:ind w:right="8"/>
              <w:rPr>
                <w:b/>
                <w:sz w:val="15"/>
              </w:rPr>
            </w:pPr>
            <w:r>
              <w:rPr>
                <w:b/>
                <w:w w:val="85"/>
                <w:sz w:val="15"/>
              </w:rPr>
              <w:t>Prob.</w:t>
            </w:r>
          </w:p>
        </w:tc>
      </w:tr>
      <w:tr>
        <w:trPr>
          <w:trHeight w:val="204" w:hRule="exact"/>
        </w:trPr>
        <w:tc>
          <w:tcPr>
            <w:tcW w:w="1482" w:type="dxa"/>
            <w:tcBorders>
              <w:bottom w:val="double" w:sz="4" w:space="0" w:color="000000"/>
            </w:tcBorders>
          </w:tcPr>
          <w:p>
            <w:pPr>
              <w:pStyle w:val="TableParagraph"/>
              <w:spacing w:before="12"/>
              <w:ind w:left="434" w:right="-16"/>
              <w:jc w:val="left"/>
              <w:rPr>
                <w:b/>
                <w:sz w:val="15"/>
              </w:rPr>
            </w:pPr>
            <w:r>
              <w:rPr>
                <w:b/>
                <w:w w:val="85"/>
                <w:sz w:val="15"/>
              </w:rPr>
              <w:t>Componente</w:t>
            </w:r>
          </w:p>
        </w:tc>
        <w:tc>
          <w:tcPr>
            <w:tcW w:w="627" w:type="dxa"/>
            <w:tcBorders>
              <w:bottom w:val="double" w:sz="4" w:space="0" w:color="000000"/>
            </w:tcBorders>
          </w:tcPr>
          <w:p>
            <w:pPr>
              <w:pStyle w:val="TableParagraph"/>
              <w:spacing w:before="3"/>
              <w:ind w:right="6"/>
              <w:rPr>
                <w:b/>
                <w:sz w:val="15"/>
              </w:rPr>
            </w:pPr>
            <w:r>
              <w:rPr>
                <w:b/>
                <w:w w:val="75"/>
                <w:sz w:val="15"/>
              </w:rPr>
              <w:t>Normalidad</w:t>
            </w:r>
          </w:p>
        </w:tc>
        <w:tc>
          <w:tcPr>
            <w:tcW w:w="78" w:type="dxa"/>
          </w:tcPr>
          <w:p>
            <w:pPr/>
          </w:p>
        </w:tc>
        <w:tc>
          <w:tcPr>
            <w:tcW w:w="1492" w:type="dxa"/>
            <w:tcBorders>
              <w:bottom w:val="double" w:sz="4" w:space="0" w:color="000000"/>
            </w:tcBorders>
          </w:tcPr>
          <w:p>
            <w:pPr>
              <w:pStyle w:val="TableParagraph"/>
              <w:spacing w:before="12"/>
              <w:ind w:left="427" w:right="-5"/>
              <w:jc w:val="left"/>
              <w:rPr>
                <w:b/>
                <w:sz w:val="15"/>
              </w:rPr>
            </w:pPr>
            <w:r>
              <w:rPr>
                <w:b/>
                <w:w w:val="85"/>
                <w:sz w:val="15"/>
              </w:rPr>
              <w:t>Componente</w:t>
            </w:r>
          </w:p>
        </w:tc>
        <w:tc>
          <w:tcPr>
            <w:tcW w:w="645" w:type="dxa"/>
            <w:tcBorders>
              <w:bottom w:val="double" w:sz="4" w:space="0" w:color="000000"/>
            </w:tcBorders>
          </w:tcPr>
          <w:p>
            <w:pPr>
              <w:pStyle w:val="TableParagraph"/>
              <w:spacing w:before="3"/>
              <w:ind w:right="31"/>
              <w:rPr>
                <w:b/>
                <w:sz w:val="15"/>
              </w:rPr>
            </w:pPr>
            <w:r>
              <w:rPr>
                <w:b/>
                <w:w w:val="75"/>
                <w:sz w:val="15"/>
              </w:rPr>
              <w:t>Normalidad</w:t>
            </w:r>
          </w:p>
        </w:tc>
        <w:tc>
          <w:tcPr>
            <w:tcW w:w="100" w:type="dxa"/>
          </w:tcPr>
          <w:p>
            <w:pPr/>
          </w:p>
        </w:tc>
        <w:tc>
          <w:tcPr>
            <w:tcW w:w="1492" w:type="dxa"/>
            <w:tcBorders>
              <w:bottom w:val="double" w:sz="4" w:space="0" w:color="000000"/>
            </w:tcBorders>
          </w:tcPr>
          <w:p>
            <w:pPr>
              <w:pStyle w:val="TableParagraph"/>
              <w:spacing w:before="12"/>
              <w:ind w:left="455" w:right="-5"/>
              <w:jc w:val="left"/>
              <w:rPr>
                <w:b/>
                <w:sz w:val="15"/>
              </w:rPr>
            </w:pPr>
            <w:r>
              <w:rPr>
                <w:b/>
                <w:w w:val="85"/>
                <w:sz w:val="15"/>
              </w:rPr>
              <w:t>Componente</w:t>
            </w:r>
          </w:p>
        </w:tc>
        <w:tc>
          <w:tcPr>
            <w:tcW w:w="617" w:type="dxa"/>
            <w:tcBorders>
              <w:bottom w:val="double" w:sz="4" w:space="0" w:color="000000"/>
            </w:tcBorders>
          </w:tcPr>
          <w:p>
            <w:pPr>
              <w:pStyle w:val="TableParagraph"/>
              <w:spacing w:before="3"/>
              <w:ind w:left="23"/>
              <w:rPr>
                <w:b/>
                <w:sz w:val="15"/>
              </w:rPr>
            </w:pPr>
            <w:r>
              <w:rPr>
                <w:b/>
                <w:w w:val="75"/>
                <w:sz w:val="15"/>
              </w:rPr>
              <w:t>Normalidad</w:t>
            </w:r>
          </w:p>
        </w:tc>
        <w:tc>
          <w:tcPr>
            <w:tcW w:w="107" w:type="dxa"/>
          </w:tcPr>
          <w:p>
            <w:pPr/>
          </w:p>
        </w:tc>
        <w:tc>
          <w:tcPr>
            <w:tcW w:w="1500" w:type="dxa"/>
            <w:tcBorders>
              <w:bottom w:val="double" w:sz="4" w:space="0" w:color="000000"/>
            </w:tcBorders>
          </w:tcPr>
          <w:p>
            <w:pPr>
              <w:pStyle w:val="TableParagraph"/>
              <w:spacing w:before="12"/>
              <w:ind w:left="441"/>
              <w:jc w:val="left"/>
              <w:rPr>
                <w:b/>
                <w:sz w:val="15"/>
              </w:rPr>
            </w:pPr>
            <w:r>
              <w:rPr>
                <w:b/>
                <w:w w:val="85"/>
                <w:sz w:val="15"/>
              </w:rPr>
              <w:t>Componente</w:t>
            </w:r>
          </w:p>
        </w:tc>
        <w:tc>
          <w:tcPr>
            <w:tcW w:w="695" w:type="dxa"/>
            <w:tcBorders>
              <w:bottom w:val="double" w:sz="4" w:space="0" w:color="000000"/>
            </w:tcBorders>
          </w:tcPr>
          <w:p>
            <w:pPr>
              <w:pStyle w:val="TableParagraph"/>
              <w:spacing w:before="3"/>
              <w:ind w:right="9"/>
              <w:rPr>
                <w:b/>
                <w:sz w:val="15"/>
              </w:rPr>
            </w:pPr>
            <w:r>
              <w:rPr>
                <w:b/>
                <w:w w:val="80"/>
                <w:sz w:val="15"/>
              </w:rPr>
              <w:t>Normalidad</w:t>
            </w:r>
          </w:p>
        </w:tc>
      </w:tr>
      <w:tr>
        <w:trPr>
          <w:trHeight w:val="215" w:hRule="exact"/>
        </w:trPr>
        <w:tc>
          <w:tcPr>
            <w:tcW w:w="1482" w:type="dxa"/>
            <w:tcBorders>
              <w:top w:val="double" w:sz="4" w:space="0" w:color="000000"/>
            </w:tcBorders>
          </w:tcPr>
          <w:p>
            <w:pPr>
              <w:pStyle w:val="TableParagraph"/>
              <w:spacing w:before="8"/>
              <w:ind w:left="14" w:right="-16"/>
              <w:jc w:val="left"/>
              <w:rPr>
                <w:sz w:val="15"/>
              </w:rPr>
            </w:pPr>
            <w:r>
              <w:rPr>
                <w:w w:val="80"/>
                <w:sz w:val="15"/>
              </w:rPr>
              <w:t>Precios del gas natural</w:t>
            </w:r>
          </w:p>
        </w:tc>
        <w:tc>
          <w:tcPr>
            <w:tcW w:w="627" w:type="dxa"/>
            <w:tcBorders>
              <w:top w:val="double" w:sz="4" w:space="0" w:color="000000"/>
            </w:tcBorders>
          </w:tcPr>
          <w:p>
            <w:pPr>
              <w:pStyle w:val="TableParagraph"/>
              <w:spacing w:before="8"/>
              <w:rPr>
                <w:sz w:val="15"/>
              </w:rPr>
            </w:pPr>
            <w:r>
              <w:rPr>
                <w:w w:val="85"/>
                <w:sz w:val="15"/>
              </w:rPr>
              <w:t>0.10</w:t>
            </w:r>
          </w:p>
        </w:tc>
        <w:tc>
          <w:tcPr>
            <w:tcW w:w="78" w:type="dxa"/>
          </w:tcPr>
          <w:p>
            <w:pPr/>
          </w:p>
        </w:tc>
        <w:tc>
          <w:tcPr>
            <w:tcW w:w="1492" w:type="dxa"/>
            <w:tcBorders>
              <w:top w:val="double" w:sz="4" w:space="0" w:color="000000"/>
            </w:tcBorders>
          </w:tcPr>
          <w:p>
            <w:pPr>
              <w:pStyle w:val="TableParagraph"/>
              <w:spacing w:before="8"/>
              <w:ind w:left="14" w:right="-5"/>
              <w:jc w:val="left"/>
              <w:rPr>
                <w:sz w:val="15"/>
              </w:rPr>
            </w:pPr>
            <w:r>
              <w:rPr>
                <w:w w:val="80"/>
                <w:sz w:val="15"/>
              </w:rPr>
              <w:t>Precios del gas natural</w:t>
            </w:r>
          </w:p>
        </w:tc>
        <w:tc>
          <w:tcPr>
            <w:tcW w:w="645" w:type="dxa"/>
            <w:tcBorders>
              <w:top w:val="double" w:sz="4" w:space="0" w:color="000000"/>
            </w:tcBorders>
          </w:tcPr>
          <w:p>
            <w:pPr>
              <w:pStyle w:val="TableParagraph"/>
              <w:spacing w:before="8"/>
              <w:ind w:right="24"/>
              <w:rPr>
                <w:sz w:val="15"/>
              </w:rPr>
            </w:pPr>
            <w:r>
              <w:rPr>
                <w:w w:val="85"/>
                <w:sz w:val="15"/>
              </w:rPr>
              <w:t>0.22</w:t>
            </w:r>
          </w:p>
        </w:tc>
        <w:tc>
          <w:tcPr>
            <w:tcW w:w="100" w:type="dxa"/>
          </w:tcPr>
          <w:p>
            <w:pPr/>
          </w:p>
        </w:tc>
        <w:tc>
          <w:tcPr>
            <w:tcW w:w="1492" w:type="dxa"/>
            <w:tcBorders>
              <w:top w:val="double" w:sz="4" w:space="0" w:color="000000"/>
            </w:tcBorders>
          </w:tcPr>
          <w:p>
            <w:pPr>
              <w:pStyle w:val="TableParagraph"/>
              <w:spacing w:before="8"/>
              <w:ind w:left="14" w:right="-5"/>
              <w:jc w:val="left"/>
              <w:rPr>
                <w:sz w:val="15"/>
              </w:rPr>
            </w:pPr>
            <w:r>
              <w:rPr>
                <w:w w:val="80"/>
                <w:sz w:val="15"/>
              </w:rPr>
              <w:t>Precios del gas natural</w:t>
            </w:r>
          </w:p>
        </w:tc>
        <w:tc>
          <w:tcPr>
            <w:tcW w:w="617" w:type="dxa"/>
            <w:tcBorders>
              <w:top w:val="double" w:sz="4" w:space="0" w:color="000000"/>
            </w:tcBorders>
          </w:tcPr>
          <w:p>
            <w:pPr>
              <w:pStyle w:val="TableParagraph"/>
              <w:spacing w:before="8"/>
              <w:ind w:left="32"/>
              <w:rPr>
                <w:sz w:val="15"/>
              </w:rPr>
            </w:pPr>
            <w:r>
              <w:rPr>
                <w:w w:val="85"/>
                <w:sz w:val="15"/>
              </w:rPr>
              <w:t>0.28</w:t>
            </w:r>
          </w:p>
        </w:tc>
        <w:tc>
          <w:tcPr>
            <w:tcW w:w="107" w:type="dxa"/>
          </w:tcPr>
          <w:p>
            <w:pPr/>
          </w:p>
        </w:tc>
        <w:tc>
          <w:tcPr>
            <w:tcW w:w="1500" w:type="dxa"/>
            <w:tcBorders>
              <w:top w:val="double" w:sz="4" w:space="0" w:color="000000"/>
            </w:tcBorders>
          </w:tcPr>
          <w:p>
            <w:pPr>
              <w:pStyle w:val="TableParagraph"/>
              <w:spacing w:before="8"/>
              <w:ind w:left="14"/>
              <w:jc w:val="left"/>
              <w:rPr>
                <w:sz w:val="15"/>
              </w:rPr>
            </w:pPr>
            <w:r>
              <w:rPr>
                <w:w w:val="80"/>
                <w:sz w:val="15"/>
              </w:rPr>
              <w:t>Precios del gas natural</w:t>
            </w:r>
          </w:p>
        </w:tc>
        <w:tc>
          <w:tcPr>
            <w:tcW w:w="695" w:type="dxa"/>
            <w:tcBorders>
              <w:top w:val="double" w:sz="4" w:space="0" w:color="000000"/>
            </w:tcBorders>
          </w:tcPr>
          <w:p>
            <w:pPr>
              <w:pStyle w:val="TableParagraph"/>
              <w:spacing w:before="8"/>
              <w:ind w:right="1"/>
              <w:rPr>
                <w:sz w:val="15"/>
              </w:rPr>
            </w:pPr>
            <w:r>
              <w:rPr>
                <w:w w:val="85"/>
                <w:sz w:val="15"/>
              </w:rPr>
              <w:t>0.20</w:t>
            </w:r>
          </w:p>
        </w:tc>
      </w:tr>
      <w:tr>
        <w:trPr>
          <w:trHeight w:val="195" w:hRule="exact"/>
        </w:trPr>
        <w:tc>
          <w:tcPr>
            <w:tcW w:w="1482" w:type="dxa"/>
          </w:tcPr>
          <w:p>
            <w:pPr>
              <w:pStyle w:val="TableParagraph"/>
              <w:spacing w:before="3"/>
              <w:ind w:left="14" w:right="-16"/>
              <w:jc w:val="left"/>
              <w:rPr>
                <w:sz w:val="15"/>
              </w:rPr>
            </w:pPr>
            <w:r>
              <w:rPr>
                <w:w w:val="80"/>
                <w:sz w:val="15"/>
              </w:rPr>
              <w:t>Asign. De Ing. Fisc. Gasíf.</w:t>
            </w:r>
          </w:p>
        </w:tc>
        <w:tc>
          <w:tcPr>
            <w:tcW w:w="627" w:type="dxa"/>
          </w:tcPr>
          <w:p>
            <w:pPr>
              <w:pStyle w:val="TableParagraph"/>
              <w:spacing w:before="3"/>
              <w:rPr>
                <w:sz w:val="15"/>
              </w:rPr>
            </w:pPr>
            <w:r>
              <w:rPr>
                <w:w w:val="85"/>
                <w:sz w:val="15"/>
              </w:rPr>
              <w:t>0.14</w:t>
            </w:r>
          </w:p>
        </w:tc>
        <w:tc>
          <w:tcPr>
            <w:tcW w:w="78" w:type="dxa"/>
          </w:tcPr>
          <w:p>
            <w:pPr/>
          </w:p>
        </w:tc>
        <w:tc>
          <w:tcPr>
            <w:tcW w:w="1492" w:type="dxa"/>
          </w:tcPr>
          <w:p>
            <w:pPr>
              <w:pStyle w:val="TableParagraph"/>
              <w:spacing w:before="3"/>
              <w:ind w:left="14" w:right="-5"/>
              <w:jc w:val="left"/>
              <w:rPr>
                <w:sz w:val="15"/>
              </w:rPr>
            </w:pPr>
            <w:r>
              <w:rPr>
                <w:w w:val="80"/>
                <w:sz w:val="15"/>
              </w:rPr>
              <w:t>Asign. De Ing. Fisc. Gasíf.</w:t>
            </w:r>
          </w:p>
        </w:tc>
        <w:tc>
          <w:tcPr>
            <w:tcW w:w="645" w:type="dxa"/>
          </w:tcPr>
          <w:p>
            <w:pPr>
              <w:pStyle w:val="TableParagraph"/>
              <w:spacing w:before="3"/>
              <w:ind w:right="24"/>
              <w:rPr>
                <w:sz w:val="15"/>
              </w:rPr>
            </w:pPr>
            <w:r>
              <w:rPr>
                <w:w w:val="85"/>
                <w:sz w:val="15"/>
              </w:rPr>
              <w:t>0.24</w:t>
            </w:r>
          </w:p>
        </w:tc>
        <w:tc>
          <w:tcPr>
            <w:tcW w:w="100" w:type="dxa"/>
          </w:tcPr>
          <w:p>
            <w:pPr/>
          </w:p>
        </w:tc>
        <w:tc>
          <w:tcPr>
            <w:tcW w:w="1492" w:type="dxa"/>
          </w:tcPr>
          <w:p>
            <w:pPr>
              <w:pStyle w:val="TableParagraph"/>
              <w:spacing w:before="3"/>
              <w:ind w:left="14" w:right="-5"/>
              <w:jc w:val="left"/>
              <w:rPr>
                <w:sz w:val="15"/>
              </w:rPr>
            </w:pPr>
            <w:r>
              <w:rPr>
                <w:w w:val="80"/>
                <w:sz w:val="15"/>
              </w:rPr>
              <w:t>Asign. De Ing. Fisc. Gasíf.</w:t>
            </w:r>
          </w:p>
        </w:tc>
        <w:tc>
          <w:tcPr>
            <w:tcW w:w="617" w:type="dxa"/>
          </w:tcPr>
          <w:p>
            <w:pPr>
              <w:pStyle w:val="TableParagraph"/>
              <w:spacing w:before="3"/>
              <w:ind w:left="32"/>
              <w:rPr>
                <w:sz w:val="15"/>
              </w:rPr>
            </w:pPr>
            <w:r>
              <w:rPr>
                <w:w w:val="85"/>
                <w:sz w:val="15"/>
              </w:rPr>
              <w:t>0.40</w:t>
            </w:r>
          </w:p>
        </w:tc>
        <w:tc>
          <w:tcPr>
            <w:tcW w:w="107" w:type="dxa"/>
          </w:tcPr>
          <w:p>
            <w:pPr/>
          </w:p>
        </w:tc>
        <w:tc>
          <w:tcPr>
            <w:tcW w:w="1500" w:type="dxa"/>
          </w:tcPr>
          <w:p>
            <w:pPr>
              <w:pStyle w:val="TableParagraph"/>
              <w:spacing w:before="3"/>
              <w:ind w:left="14"/>
              <w:jc w:val="left"/>
              <w:rPr>
                <w:sz w:val="15"/>
              </w:rPr>
            </w:pPr>
            <w:r>
              <w:rPr>
                <w:w w:val="80"/>
                <w:sz w:val="15"/>
              </w:rPr>
              <w:t>Asign. De Ing. Fisc. Gasíf.</w:t>
            </w:r>
          </w:p>
        </w:tc>
        <w:tc>
          <w:tcPr>
            <w:tcW w:w="695" w:type="dxa"/>
          </w:tcPr>
          <w:p>
            <w:pPr>
              <w:pStyle w:val="TableParagraph"/>
              <w:spacing w:before="3"/>
              <w:ind w:right="1"/>
              <w:rPr>
                <w:sz w:val="15"/>
              </w:rPr>
            </w:pPr>
            <w:r>
              <w:rPr>
                <w:w w:val="85"/>
                <w:sz w:val="15"/>
              </w:rPr>
              <w:t>0.21</w:t>
            </w:r>
          </w:p>
        </w:tc>
      </w:tr>
      <w:tr>
        <w:trPr>
          <w:trHeight w:val="195" w:hRule="exact"/>
        </w:trPr>
        <w:tc>
          <w:tcPr>
            <w:tcW w:w="1482" w:type="dxa"/>
          </w:tcPr>
          <w:p>
            <w:pPr>
              <w:pStyle w:val="TableParagraph"/>
              <w:spacing w:before="3"/>
              <w:ind w:left="14" w:right="-16"/>
              <w:jc w:val="left"/>
              <w:rPr>
                <w:sz w:val="15"/>
              </w:rPr>
            </w:pPr>
            <w:r>
              <w:rPr>
                <w:w w:val="80"/>
                <w:sz w:val="15"/>
              </w:rPr>
              <w:t>Asign. De Ing. Fisc. No Gasíf.</w:t>
            </w:r>
          </w:p>
        </w:tc>
        <w:tc>
          <w:tcPr>
            <w:tcW w:w="627" w:type="dxa"/>
          </w:tcPr>
          <w:p>
            <w:pPr>
              <w:pStyle w:val="TableParagraph"/>
              <w:spacing w:before="3"/>
              <w:rPr>
                <w:sz w:val="15"/>
              </w:rPr>
            </w:pPr>
            <w:r>
              <w:rPr>
                <w:w w:val="85"/>
                <w:sz w:val="15"/>
              </w:rPr>
              <w:t>0.61</w:t>
            </w:r>
          </w:p>
        </w:tc>
        <w:tc>
          <w:tcPr>
            <w:tcW w:w="78" w:type="dxa"/>
          </w:tcPr>
          <w:p>
            <w:pPr/>
          </w:p>
        </w:tc>
        <w:tc>
          <w:tcPr>
            <w:tcW w:w="1492" w:type="dxa"/>
          </w:tcPr>
          <w:p>
            <w:pPr>
              <w:pStyle w:val="TableParagraph"/>
              <w:spacing w:before="3"/>
              <w:ind w:left="14" w:right="-5"/>
              <w:jc w:val="left"/>
              <w:rPr>
                <w:sz w:val="15"/>
              </w:rPr>
            </w:pPr>
            <w:r>
              <w:rPr>
                <w:w w:val="80"/>
                <w:sz w:val="15"/>
              </w:rPr>
              <w:t>Asign. De Ing. Fisc. No Gasíf.</w:t>
            </w:r>
          </w:p>
        </w:tc>
        <w:tc>
          <w:tcPr>
            <w:tcW w:w="645" w:type="dxa"/>
          </w:tcPr>
          <w:p>
            <w:pPr>
              <w:pStyle w:val="TableParagraph"/>
              <w:spacing w:before="3"/>
              <w:ind w:right="24"/>
              <w:rPr>
                <w:sz w:val="15"/>
              </w:rPr>
            </w:pPr>
            <w:r>
              <w:rPr>
                <w:w w:val="85"/>
                <w:sz w:val="15"/>
              </w:rPr>
              <w:t>0.62</w:t>
            </w:r>
          </w:p>
        </w:tc>
        <w:tc>
          <w:tcPr>
            <w:tcW w:w="100" w:type="dxa"/>
          </w:tcPr>
          <w:p>
            <w:pPr/>
          </w:p>
        </w:tc>
        <w:tc>
          <w:tcPr>
            <w:tcW w:w="1492" w:type="dxa"/>
          </w:tcPr>
          <w:p>
            <w:pPr>
              <w:pStyle w:val="TableParagraph"/>
              <w:spacing w:before="3"/>
              <w:ind w:left="14" w:right="-5"/>
              <w:jc w:val="left"/>
              <w:rPr>
                <w:sz w:val="15"/>
              </w:rPr>
            </w:pPr>
            <w:r>
              <w:rPr>
                <w:w w:val="80"/>
                <w:sz w:val="15"/>
              </w:rPr>
              <w:t>Asign. De Ing. Fisc. No Gasíf.</w:t>
            </w:r>
          </w:p>
        </w:tc>
        <w:tc>
          <w:tcPr>
            <w:tcW w:w="617" w:type="dxa"/>
          </w:tcPr>
          <w:p>
            <w:pPr>
              <w:pStyle w:val="TableParagraph"/>
              <w:spacing w:before="3"/>
              <w:ind w:left="32"/>
              <w:rPr>
                <w:sz w:val="15"/>
              </w:rPr>
            </w:pPr>
            <w:r>
              <w:rPr>
                <w:w w:val="85"/>
                <w:sz w:val="15"/>
              </w:rPr>
              <w:t>0.38</w:t>
            </w:r>
          </w:p>
        </w:tc>
        <w:tc>
          <w:tcPr>
            <w:tcW w:w="107" w:type="dxa"/>
          </w:tcPr>
          <w:p>
            <w:pPr/>
          </w:p>
        </w:tc>
        <w:tc>
          <w:tcPr>
            <w:tcW w:w="1500" w:type="dxa"/>
          </w:tcPr>
          <w:p>
            <w:pPr>
              <w:pStyle w:val="TableParagraph"/>
              <w:spacing w:before="3"/>
              <w:ind w:left="14"/>
              <w:jc w:val="left"/>
              <w:rPr>
                <w:sz w:val="15"/>
              </w:rPr>
            </w:pPr>
            <w:r>
              <w:rPr>
                <w:w w:val="80"/>
                <w:sz w:val="15"/>
              </w:rPr>
              <w:t>Asign. De Ing. Fisc. No Gasíf.</w:t>
            </w:r>
          </w:p>
        </w:tc>
        <w:tc>
          <w:tcPr>
            <w:tcW w:w="695" w:type="dxa"/>
          </w:tcPr>
          <w:p>
            <w:pPr>
              <w:pStyle w:val="TableParagraph"/>
              <w:spacing w:before="3"/>
              <w:ind w:right="1"/>
              <w:rPr>
                <w:sz w:val="15"/>
              </w:rPr>
            </w:pPr>
            <w:r>
              <w:rPr>
                <w:w w:val="85"/>
                <w:sz w:val="15"/>
              </w:rPr>
              <w:t>0.69</w:t>
            </w:r>
          </w:p>
        </w:tc>
      </w:tr>
      <w:tr>
        <w:trPr>
          <w:trHeight w:val="195" w:hRule="exact"/>
        </w:trPr>
        <w:tc>
          <w:tcPr>
            <w:tcW w:w="1482" w:type="dxa"/>
          </w:tcPr>
          <w:p>
            <w:pPr>
              <w:pStyle w:val="TableParagraph"/>
              <w:spacing w:before="3"/>
              <w:ind w:left="14" w:right="-16"/>
              <w:jc w:val="left"/>
              <w:rPr>
                <w:sz w:val="15"/>
              </w:rPr>
            </w:pPr>
            <w:r>
              <w:rPr>
                <w:w w:val="80"/>
                <w:sz w:val="15"/>
              </w:rPr>
              <w:t>Bal. Primario No Gasíf.</w:t>
            </w:r>
          </w:p>
        </w:tc>
        <w:tc>
          <w:tcPr>
            <w:tcW w:w="627" w:type="dxa"/>
          </w:tcPr>
          <w:p>
            <w:pPr>
              <w:pStyle w:val="TableParagraph"/>
              <w:spacing w:before="3"/>
              <w:rPr>
                <w:sz w:val="15"/>
              </w:rPr>
            </w:pPr>
            <w:r>
              <w:rPr>
                <w:w w:val="85"/>
                <w:sz w:val="15"/>
              </w:rPr>
              <w:t>0.26</w:t>
            </w:r>
          </w:p>
        </w:tc>
        <w:tc>
          <w:tcPr>
            <w:tcW w:w="78" w:type="dxa"/>
          </w:tcPr>
          <w:p>
            <w:pPr/>
          </w:p>
        </w:tc>
        <w:tc>
          <w:tcPr>
            <w:tcW w:w="1492" w:type="dxa"/>
          </w:tcPr>
          <w:p>
            <w:pPr>
              <w:pStyle w:val="TableParagraph"/>
              <w:spacing w:before="3"/>
              <w:ind w:left="14" w:right="-5"/>
              <w:jc w:val="left"/>
              <w:rPr>
                <w:sz w:val="15"/>
              </w:rPr>
            </w:pPr>
            <w:r>
              <w:rPr>
                <w:w w:val="75"/>
                <w:sz w:val="15"/>
              </w:rPr>
              <w:t>Bal. Primario</w:t>
            </w:r>
          </w:p>
        </w:tc>
        <w:tc>
          <w:tcPr>
            <w:tcW w:w="645" w:type="dxa"/>
          </w:tcPr>
          <w:p>
            <w:pPr>
              <w:pStyle w:val="TableParagraph"/>
              <w:spacing w:before="3"/>
              <w:ind w:right="24"/>
              <w:rPr>
                <w:sz w:val="15"/>
              </w:rPr>
            </w:pPr>
            <w:r>
              <w:rPr>
                <w:w w:val="85"/>
                <w:sz w:val="15"/>
              </w:rPr>
              <w:t>0.10</w:t>
            </w:r>
          </w:p>
        </w:tc>
        <w:tc>
          <w:tcPr>
            <w:tcW w:w="100" w:type="dxa"/>
          </w:tcPr>
          <w:p>
            <w:pPr/>
          </w:p>
        </w:tc>
        <w:tc>
          <w:tcPr>
            <w:tcW w:w="1492" w:type="dxa"/>
          </w:tcPr>
          <w:p>
            <w:pPr>
              <w:pStyle w:val="TableParagraph"/>
              <w:spacing w:before="3"/>
              <w:ind w:left="14" w:right="-5"/>
              <w:jc w:val="left"/>
              <w:rPr>
                <w:sz w:val="15"/>
              </w:rPr>
            </w:pPr>
            <w:r>
              <w:rPr>
                <w:w w:val="80"/>
                <w:sz w:val="15"/>
              </w:rPr>
              <w:t>Bal. Global. Cícl. Ajust.</w:t>
            </w:r>
          </w:p>
        </w:tc>
        <w:tc>
          <w:tcPr>
            <w:tcW w:w="617" w:type="dxa"/>
          </w:tcPr>
          <w:p>
            <w:pPr>
              <w:pStyle w:val="TableParagraph"/>
              <w:spacing w:before="3"/>
              <w:ind w:left="32"/>
              <w:rPr>
                <w:sz w:val="15"/>
              </w:rPr>
            </w:pPr>
            <w:r>
              <w:rPr>
                <w:w w:val="85"/>
                <w:sz w:val="15"/>
              </w:rPr>
              <w:t>0.11</w:t>
            </w:r>
          </w:p>
        </w:tc>
        <w:tc>
          <w:tcPr>
            <w:tcW w:w="107" w:type="dxa"/>
          </w:tcPr>
          <w:p>
            <w:pPr/>
          </w:p>
        </w:tc>
        <w:tc>
          <w:tcPr>
            <w:tcW w:w="1500" w:type="dxa"/>
          </w:tcPr>
          <w:p>
            <w:pPr>
              <w:pStyle w:val="TableParagraph"/>
              <w:spacing w:before="3"/>
              <w:ind w:left="14"/>
              <w:jc w:val="left"/>
              <w:rPr>
                <w:sz w:val="15"/>
              </w:rPr>
            </w:pPr>
            <w:r>
              <w:rPr>
                <w:w w:val="75"/>
                <w:sz w:val="15"/>
              </w:rPr>
              <w:t>Bal. Global</w:t>
            </w:r>
          </w:p>
        </w:tc>
        <w:tc>
          <w:tcPr>
            <w:tcW w:w="695" w:type="dxa"/>
          </w:tcPr>
          <w:p>
            <w:pPr>
              <w:pStyle w:val="TableParagraph"/>
              <w:spacing w:before="3"/>
              <w:ind w:right="1"/>
              <w:rPr>
                <w:sz w:val="15"/>
              </w:rPr>
            </w:pPr>
            <w:r>
              <w:rPr>
                <w:w w:val="85"/>
                <w:sz w:val="15"/>
              </w:rPr>
              <w:t>0.23</w:t>
            </w:r>
          </w:p>
        </w:tc>
      </w:tr>
      <w:tr>
        <w:trPr>
          <w:trHeight w:val="194" w:hRule="exact"/>
        </w:trPr>
        <w:tc>
          <w:tcPr>
            <w:tcW w:w="1482" w:type="dxa"/>
            <w:tcBorders>
              <w:bottom w:val="double" w:sz="4" w:space="0" w:color="000000"/>
            </w:tcBorders>
          </w:tcPr>
          <w:p>
            <w:pPr>
              <w:pStyle w:val="TableParagraph"/>
              <w:spacing w:before="3"/>
              <w:ind w:left="14" w:right="-16"/>
              <w:jc w:val="left"/>
              <w:rPr>
                <w:sz w:val="15"/>
              </w:rPr>
            </w:pPr>
            <w:r>
              <w:rPr>
                <w:w w:val="75"/>
                <w:sz w:val="15"/>
              </w:rPr>
              <w:t>Deuda pública</w:t>
            </w:r>
          </w:p>
        </w:tc>
        <w:tc>
          <w:tcPr>
            <w:tcW w:w="627" w:type="dxa"/>
            <w:tcBorders>
              <w:bottom w:val="double" w:sz="4" w:space="0" w:color="000000"/>
            </w:tcBorders>
          </w:tcPr>
          <w:p>
            <w:pPr>
              <w:pStyle w:val="TableParagraph"/>
              <w:spacing w:before="3"/>
              <w:rPr>
                <w:sz w:val="15"/>
              </w:rPr>
            </w:pPr>
            <w:r>
              <w:rPr>
                <w:w w:val="85"/>
                <w:sz w:val="15"/>
              </w:rPr>
              <w:t>0.75</w:t>
            </w:r>
          </w:p>
        </w:tc>
        <w:tc>
          <w:tcPr>
            <w:tcW w:w="78" w:type="dxa"/>
          </w:tcPr>
          <w:p>
            <w:pPr/>
          </w:p>
        </w:tc>
        <w:tc>
          <w:tcPr>
            <w:tcW w:w="1492" w:type="dxa"/>
            <w:tcBorders>
              <w:bottom w:val="double" w:sz="4" w:space="0" w:color="000000"/>
            </w:tcBorders>
          </w:tcPr>
          <w:p>
            <w:pPr>
              <w:pStyle w:val="TableParagraph"/>
              <w:spacing w:before="3"/>
              <w:ind w:left="14" w:right="-5"/>
              <w:jc w:val="left"/>
              <w:rPr>
                <w:sz w:val="15"/>
              </w:rPr>
            </w:pPr>
            <w:r>
              <w:rPr>
                <w:w w:val="75"/>
                <w:sz w:val="15"/>
              </w:rPr>
              <w:t>Deuda pública</w:t>
            </w:r>
          </w:p>
        </w:tc>
        <w:tc>
          <w:tcPr>
            <w:tcW w:w="645" w:type="dxa"/>
            <w:tcBorders>
              <w:bottom w:val="double" w:sz="4" w:space="0" w:color="000000"/>
            </w:tcBorders>
          </w:tcPr>
          <w:p>
            <w:pPr>
              <w:pStyle w:val="TableParagraph"/>
              <w:spacing w:before="3"/>
              <w:ind w:right="24"/>
              <w:rPr>
                <w:sz w:val="15"/>
              </w:rPr>
            </w:pPr>
            <w:r>
              <w:rPr>
                <w:w w:val="85"/>
                <w:sz w:val="15"/>
              </w:rPr>
              <w:t>0.67</w:t>
            </w:r>
          </w:p>
        </w:tc>
        <w:tc>
          <w:tcPr>
            <w:tcW w:w="100" w:type="dxa"/>
          </w:tcPr>
          <w:p>
            <w:pPr/>
          </w:p>
        </w:tc>
        <w:tc>
          <w:tcPr>
            <w:tcW w:w="1492" w:type="dxa"/>
            <w:tcBorders>
              <w:bottom w:val="double" w:sz="4" w:space="0" w:color="000000"/>
            </w:tcBorders>
          </w:tcPr>
          <w:p>
            <w:pPr>
              <w:pStyle w:val="TableParagraph"/>
              <w:spacing w:before="3"/>
              <w:ind w:left="14" w:right="-5"/>
              <w:jc w:val="left"/>
              <w:rPr>
                <w:sz w:val="15"/>
              </w:rPr>
            </w:pPr>
            <w:r>
              <w:rPr>
                <w:w w:val="75"/>
                <w:sz w:val="15"/>
              </w:rPr>
              <w:t>Deuda pública</w:t>
            </w:r>
          </w:p>
        </w:tc>
        <w:tc>
          <w:tcPr>
            <w:tcW w:w="617" w:type="dxa"/>
            <w:tcBorders>
              <w:bottom w:val="double" w:sz="4" w:space="0" w:color="000000"/>
            </w:tcBorders>
          </w:tcPr>
          <w:p>
            <w:pPr>
              <w:pStyle w:val="TableParagraph"/>
              <w:spacing w:before="3"/>
              <w:ind w:left="32"/>
              <w:rPr>
                <w:sz w:val="15"/>
              </w:rPr>
            </w:pPr>
            <w:r>
              <w:rPr>
                <w:w w:val="85"/>
                <w:sz w:val="15"/>
              </w:rPr>
              <w:t>0.70</w:t>
            </w:r>
          </w:p>
        </w:tc>
        <w:tc>
          <w:tcPr>
            <w:tcW w:w="107" w:type="dxa"/>
          </w:tcPr>
          <w:p>
            <w:pPr/>
          </w:p>
        </w:tc>
        <w:tc>
          <w:tcPr>
            <w:tcW w:w="1500" w:type="dxa"/>
            <w:tcBorders>
              <w:bottom w:val="double" w:sz="4" w:space="0" w:color="000000"/>
            </w:tcBorders>
          </w:tcPr>
          <w:p>
            <w:pPr>
              <w:pStyle w:val="TableParagraph"/>
              <w:spacing w:before="3"/>
              <w:ind w:left="14"/>
              <w:jc w:val="left"/>
              <w:rPr>
                <w:sz w:val="15"/>
              </w:rPr>
            </w:pPr>
            <w:r>
              <w:rPr>
                <w:w w:val="75"/>
                <w:sz w:val="15"/>
              </w:rPr>
              <w:t>Deuda pública</w:t>
            </w:r>
          </w:p>
        </w:tc>
        <w:tc>
          <w:tcPr>
            <w:tcW w:w="695" w:type="dxa"/>
            <w:tcBorders>
              <w:bottom w:val="double" w:sz="4" w:space="0" w:color="000000"/>
            </w:tcBorders>
          </w:tcPr>
          <w:p>
            <w:pPr>
              <w:pStyle w:val="TableParagraph"/>
              <w:spacing w:before="3"/>
              <w:ind w:right="1"/>
              <w:rPr>
                <w:sz w:val="15"/>
              </w:rPr>
            </w:pPr>
            <w:r>
              <w:rPr>
                <w:w w:val="85"/>
                <w:sz w:val="15"/>
              </w:rPr>
              <w:t>0.87</w:t>
            </w:r>
          </w:p>
        </w:tc>
      </w:tr>
      <w:tr>
        <w:trPr>
          <w:trHeight w:val="214" w:hRule="exact"/>
        </w:trPr>
        <w:tc>
          <w:tcPr>
            <w:tcW w:w="1482" w:type="dxa"/>
            <w:tcBorders>
              <w:top w:val="double" w:sz="4" w:space="0" w:color="000000"/>
              <w:bottom w:val="double" w:sz="4" w:space="0" w:color="000000"/>
            </w:tcBorders>
          </w:tcPr>
          <w:p>
            <w:pPr>
              <w:pStyle w:val="TableParagraph"/>
              <w:spacing w:before="8"/>
              <w:ind w:left="14" w:right="-16"/>
              <w:jc w:val="left"/>
              <w:rPr>
                <w:sz w:val="15"/>
              </w:rPr>
            </w:pPr>
            <w:r>
              <w:rPr>
                <w:w w:val="85"/>
                <w:sz w:val="15"/>
              </w:rPr>
              <w:t>Glogal</w:t>
            </w:r>
          </w:p>
        </w:tc>
        <w:tc>
          <w:tcPr>
            <w:tcW w:w="627" w:type="dxa"/>
            <w:tcBorders>
              <w:top w:val="double" w:sz="4" w:space="0" w:color="000000"/>
              <w:bottom w:val="double" w:sz="4" w:space="0" w:color="000000"/>
            </w:tcBorders>
          </w:tcPr>
          <w:p>
            <w:pPr>
              <w:pStyle w:val="TableParagraph"/>
              <w:spacing w:before="8"/>
              <w:rPr>
                <w:sz w:val="15"/>
              </w:rPr>
            </w:pPr>
            <w:r>
              <w:rPr>
                <w:w w:val="85"/>
                <w:sz w:val="15"/>
              </w:rPr>
              <w:t>0.24</w:t>
            </w:r>
          </w:p>
        </w:tc>
        <w:tc>
          <w:tcPr>
            <w:tcW w:w="78" w:type="dxa"/>
          </w:tcPr>
          <w:p>
            <w:pPr/>
          </w:p>
        </w:tc>
        <w:tc>
          <w:tcPr>
            <w:tcW w:w="1492" w:type="dxa"/>
            <w:tcBorders>
              <w:top w:val="double" w:sz="4" w:space="0" w:color="000000"/>
              <w:bottom w:val="double" w:sz="4" w:space="0" w:color="000000"/>
            </w:tcBorders>
          </w:tcPr>
          <w:p>
            <w:pPr>
              <w:pStyle w:val="TableParagraph"/>
              <w:spacing w:before="8"/>
              <w:ind w:left="14" w:right="-5"/>
              <w:jc w:val="left"/>
              <w:rPr>
                <w:sz w:val="15"/>
              </w:rPr>
            </w:pPr>
            <w:r>
              <w:rPr>
                <w:w w:val="85"/>
                <w:sz w:val="15"/>
              </w:rPr>
              <w:t>Glogal</w:t>
            </w:r>
          </w:p>
        </w:tc>
        <w:tc>
          <w:tcPr>
            <w:tcW w:w="645" w:type="dxa"/>
            <w:tcBorders>
              <w:top w:val="double" w:sz="4" w:space="0" w:color="000000"/>
              <w:bottom w:val="double" w:sz="4" w:space="0" w:color="000000"/>
            </w:tcBorders>
          </w:tcPr>
          <w:p>
            <w:pPr>
              <w:pStyle w:val="TableParagraph"/>
              <w:spacing w:before="8"/>
              <w:ind w:right="24"/>
              <w:rPr>
                <w:sz w:val="15"/>
              </w:rPr>
            </w:pPr>
            <w:r>
              <w:rPr>
                <w:w w:val="85"/>
                <w:sz w:val="15"/>
              </w:rPr>
              <w:t>0.27</w:t>
            </w:r>
          </w:p>
        </w:tc>
        <w:tc>
          <w:tcPr>
            <w:tcW w:w="100" w:type="dxa"/>
          </w:tcPr>
          <w:p>
            <w:pPr/>
          </w:p>
        </w:tc>
        <w:tc>
          <w:tcPr>
            <w:tcW w:w="1492" w:type="dxa"/>
            <w:tcBorders>
              <w:top w:val="double" w:sz="4" w:space="0" w:color="000000"/>
              <w:bottom w:val="double" w:sz="4" w:space="0" w:color="000000"/>
            </w:tcBorders>
          </w:tcPr>
          <w:p>
            <w:pPr>
              <w:pStyle w:val="TableParagraph"/>
              <w:spacing w:before="8"/>
              <w:ind w:left="14" w:right="-5"/>
              <w:jc w:val="left"/>
              <w:rPr>
                <w:sz w:val="15"/>
              </w:rPr>
            </w:pPr>
            <w:r>
              <w:rPr>
                <w:w w:val="85"/>
                <w:sz w:val="15"/>
              </w:rPr>
              <w:t>Glogal</w:t>
            </w:r>
          </w:p>
        </w:tc>
        <w:tc>
          <w:tcPr>
            <w:tcW w:w="617" w:type="dxa"/>
            <w:tcBorders>
              <w:top w:val="double" w:sz="4" w:space="0" w:color="000000"/>
              <w:bottom w:val="double" w:sz="4" w:space="0" w:color="000000"/>
            </w:tcBorders>
          </w:tcPr>
          <w:p>
            <w:pPr>
              <w:pStyle w:val="TableParagraph"/>
              <w:spacing w:before="8"/>
              <w:ind w:left="32"/>
              <w:rPr>
                <w:sz w:val="15"/>
              </w:rPr>
            </w:pPr>
            <w:r>
              <w:rPr>
                <w:w w:val="85"/>
                <w:sz w:val="15"/>
              </w:rPr>
              <w:t>0.32</w:t>
            </w:r>
          </w:p>
        </w:tc>
        <w:tc>
          <w:tcPr>
            <w:tcW w:w="107" w:type="dxa"/>
          </w:tcPr>
          <w:p>
            <w:pPr/>
          </w:p>
        </w:tc>
        <w:tc>
          <w:tcPr>
            <w:tcW w:w="1500" w:type="dxa"/>
            <w:tcBorders>
              <w:top w:val="double" w:sz="4" w:space="0" w:color="000000"/>
              <w:bottom w:val="double" w:sz="4" w:space="0" w:color="000000"/>
            </w:tcBorders>
          </w:tcPr>
          <w:p>
            <w:pPr>
              <w:pStyle w:val="TableParagraph"/>
              <w:spacing w:before="8"/>
              <w:ind w:left="14"/>
              <w:jc w:val="left"/>
              <w:rPr>
                <w:sz w:val="15"/>
              </w:rPr>
            </w:pPr>
            <w:r>
              <w:rPr>
                <w:w w:val="85"/>
                <w:sz w:val="15"/>
              </w:rPr>
              <w:t>Glogal</w:t>
            </w:r>
          </w:p>
        </w:tc>
        <w:tc>
          <w:tcPr>
            <w:tcW w:w="695" w:type="dxa"/>
            <w:tcBorders>
              <w:top w:val="double" w:sz="4" w:space="0" w:color="000000"/>
              <w:bottom w:val="double" w:sz="4" w:space="0" w:color="000000"/>
            </w:tcBorders>
          </w:tcPr>
          <w:p>
            <w:pPr>
              <w:pStyle w:val="TableParagraph"/>
              <w:spacing w:before="8"/>
              <w:ind w:right="1"/>
              <w:rPr>
                <w:sz w:val="15"/>
              </w:rPr>
            </w:pPr>
            <w:r>
              <w:rPr>
                <w:w w:val="85"/>
                <w:sz w:val="15"/>
              </w:rPr>
              <w:t>0.42</w:t>
            </w:r>
          </w:p>
        </w:tc>
      </w:tr>
    </w:tbl>
    <w:p>
      <w:pPr>
        <w:spacing w:before="28"/>
        <w:ind w:left="102" w:right="115" w:firstLine="0"/>
        <w:jc w:val="left"/>
        <w:rPr>
          <w:sz w:val="20"/>
        </w:rPr>
      </w:pPr>
      <w:r>
        <w:rPr>
          <w:sz w:val="20"/>
        </w:rPr>
        <w:t>Los valores indican la probabilidad de no rechazar la hipótesis nula de normalidad de los  residuos.</w:t>
      </w:r>
    </w:p>
    <w:p>
      <w:pPr>
        <w:spacing w:after="0"/>
        <w:jc w:val="left"/>
        <w:rPr>
          <w:sz w:val="20"/>
        </w:rPr>
        <w:sectPr>
          <w:type w:val="continuous"/>
          <w:pgSz w:w="12250" w:h="15850"/>
          <w:pgMar w:top="1500" w:bottom="280" w:left="1600" w:right="1560"/>
        </w:sectPr>
      </w:pPr>
    </w:p>
    <w:p>
      <w:pPr>
        <w:pStyle w:val="BodyText"/>
        <w:spacing w:before="50"/>
        <w:ind w:left="102" w:right="148"/>
      </w:pPr>
      <w:r>
        <w:rPr/>
        <w:t>Anexo 4.7 A2: Prueba de especificación de normalidad con base en Shapiro-Wilk</w:t>
      </w:r>
    </w:p>
    <w:p>
      <w:pPr>
        <w:pStyle w:val="BodyText"/>
        <w:rPr>
          <w:sz w:val="20"/>
        </w:rPr>
      </w:pPr>
    </w:p>
    <w:p>
      <w:pPr>
        <w:pStyle w:val="BodyText"/>
        <w:spacing w:before="10"/>
        <w:rPr>
          <w:sz w:val="19"/>
        </w:rPr>
      </w:pPr>
    </w:p>
    <w:p>
      <w:pPr>
        <w:spacing w:before="1"/>
        <w:ind w:left="2663" w:right="148" w:firstLine="0"/>
        <w:jc w:val="left"/>
        <w:rPr>
          <w:sz w:val="23"/>
        </w:rPr>
      </w:pPr>
      <w:r>
        <w:rPr>
          <w:w w:val="115"/>
          <w:sz w:val="23"/>
        </w:rPr>
        <w:t>Prueba de normalidad Shapiro- Wilk</w:t>
      </w:r>
    </w:p>
    <w:p>
      <w:pPr>
        <w:pStyle w:val="BodyText"/>
        <w:spacing w:before="5"/>
        <w:rPr>
          <w:sz w:val="13"/>
        </w:rPr>
      </w:pPr>
    </w:p>
    <w:tbl>
      <w:tblPr>
        <w:tblW w:w="0" w:type="auto"/>
        <w:jc w:val="left"/>
        <w:tblInd w:w="12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138"/>
        <w:gridCol w:w="1509"/>
        <w:gridCol w:w="1273"/>
        <w:gridCol w:w="995"/>
        <w:gridCol w:w="1892"/>
      </w:tblGrid>
      <w:tr>
        <w:trPr>
          <w:trHeight w:val="776" w:hRule="exact"/>
        </w:trPr>
        <w:tc>
          <w:tcPr>
            <w:tcW w:w="3138" w:type="dxa"/>
            <w:tcBorders>
              <w:bottom w:val="double" w:sz="5" w:space="0" w:color="000000"/>
              <w:right w:val="single" w:sz="6" w:space="0" w:color="000000"/>
            </w:tcBorders>
          </w:tcPr>
          <w:p>
            <w:pPr>
              <w:pStyle w:val="TableParagraph"/>
              <w:spacing w:before="27"/>
              <w:ind w:left="769" w:right="763"/>
              <w:rPr>
                <w:b/>
                <w:sz w:val="19"/>
              </w:rPr>
            </w:pPr>
            <w:r>
              <w:rPr>
                <w:b/>
                <w:color w:val="FF0000"/>
                <w:w w:val="115"/>
                <w:sz w:val="19"/>
              </w:rPr>
              <w:t>Modelo A</w:t>
            </w:r>
          </w:p>
          <w:p>
            <w:pPr>
              <w:pStyle w:val="TableParagraph"/>
              <w:spacing w:before="10"/>
              <w:jc w:val="left"/>
              <w:rPr>
                <w:sz w:val="24"/>
              </w:rPr>
            </w:pPr>
          </w:p>
          <w:p>
            <w:pPr>
              <w:pStyle w:val="TableParagraph"/>
              <w:ind w:left="769" w:right="770"/>
              <w:rPr>
                <w:sz w:val="19"/>
              </w:rPr>
            </w:pPr>
            <w:r>
              <w:rPr>
                <w:w w:val="115"/>
                <w:sz w:val="19"/>
              </w:rPr>
              <w:t>Nº de rezagos = 1</w:t>
            </w:r>
          </w:p>
        </w:tc>
        <w:tc>
          <w:tcPr>
            <w:tcW w:w="5670" w:type="dxa"/>
            <w:gridSpan w:val="4"/>
            <w:tcBorders>
              <w:left w:val="single" w:sz="6" w:space="0" w:color="000000"/>
              <w:bottom w:val="double" w:sz="5" w:space="0" w:color="000000"/>
            </w:tcBorders>
          </w:tcPr>
          <w:p>
            <w:pPr/>
          </w:p>
        </w:tc>
      </w:tr>
      <w:tr>
        <w:trPr>
          <w:trHeight w:val="770" w:hRule="exact"/>
        </w:trPr>
        <w:tc>
          <w:tcPr>
            <w:tcW w:w="3138" w:type="dxa"/>
            <w:tcBorders>
              <w:top w:val="double" w:sz="5" w:space="0" w:color="000000"/>
              <w:bottom w:val="double" w:sz="5" w:space="0" w:color="000000"/>
              <w:right w:val="single" w:sz="6" w:space="0" w:color="000000"/>
            </w:tcBorders>
          </w:tcPr>
          <w:p>
            <w:pPr>
              <w:pStyle w:val="TableParagraph"/>
              <w:jc w:val="left"/>
              <w:rPr>
                <w:sz w:val="18"/>
              </w:rPr>
            </w:pPr>
          </w:p>
          <w:p>
            <w:pPr>
              <w:pStyle w:val="TableParagraph"/>
              <w:spacing w:before="2"/>
              <w:jc w:val="left"/>
              <w:rPr>
                <w:sz w:val="26"/>
              </w:rPr>
            </w:pPr>
          </w:p>
          <w:p>
            <w:pPr>
              <w:pStyle w:val="TableParagraph"/>
              <w:ind w:left="987" w:right="355"/>
              <w:jc w:val="left"/>
              <w:rPr>
                <w:b/>
                <w:sz w:val="19"/>
              </w:rPr>
            </w:pPr>
            <w:r>
              <w:rPr>
                <w:b/>
                <w:w w:val="115"/>
                <w:sz w:val="19"/>
              </w:rPr>
              <w:t>Componente</w:t>
            </w:r>
          </w:p>
        </w:tc>
        <w:tc>
          <w:tcPr>
            <w:tcW w:w="1509" w:type="dxa"/>
            <w:tcBorders>
              <w:top w:val="double" w:sz="5" w:space="0" w:color="000000"/>
              <w:left w:val="single" w:sz="6" w:space="0" w:color="000000"/>
              <w:bottom w:val="double" w:sz="5" w:space="0" w:color="000000"/>
            </w:tcBorders>
          </w:tcPr>
          <w:p>
            <w:pPr>
              <w:pStyle w:val="TableParagraph"/>
              <w:spacing w:before="2"/>
              <w:jc w:val="left"/>
              <w:rPr>
                <w:sz w:val="22"/>
              </w:rPr>
            </w:pPr>
          </w:p>
          <w:p>
            <w:pPr>
              <w:pStyle w:val="TableParagraph"/>
              <w:ind w:left="55"/>
              <w:rPr>
                <w:b/>
                <w:sz w:val="19"/>
              </w:rPr>
            </w:pPr>
            <w:r>
              <w:rPr>
                <w:b/>
                <w:w w:val="117"/>
                <w:sz w:val="19"/>
              </w:rPr>
              <w:t>W</w:t>
            </w:r>
          </w:p>
        </w:tc>
        <w:tc>
          <w:tcPr>
            <w:tcW w:w="1273" w:type="dxa"/>
            <w:tcBorders>
              <w:top w:val="double" w:sz="5" w:space="0" w:color="000000"/>
              <w:bottom w:val="double" w:sz="5" w:space="0" w:color="000000"/>
            </w:tcBorders>
          </w:tcPr>
          <w:p>
            <w:pPr>
              <w:pStyle w:val="TableParagraph"/>
              <w:spacing w:before="2"/>
              <w:jc w:val="left"/>
              <w:rPr>
                <w:sz w:val="22"/>
              </w:rPr>
            </w:pPr>
          </w:p>
          <w:p>
            <w:pPr>
              <w:pStyle w:val="TableParagraph"/>
              <w:ind w:left="167"/>
              <w:rPr>
                <w:b/>
                <w:sz w:val="19"/>
              </w:rPr>
            </w:pPr>
            <w:r>
              <w:rPr>
                <w:b/>
                <w:w w:val="117"/>
                <w:sz w:val="19"/>
              </w:rPr>
              <w:t>V</w:t>
            </w:r>
          </w:p>
        </w:tc>
        <w:tc>
          <w:tcPr>
            <w:tcW w:w="995" w:type="dxa"/>
            <w:tcBorders>
              <w:top w:val="double" w:sz="5" w:space="0" w:color="000000"/>
              <w:bottom w:val="double" w:sz="5" w:space="0" w:color="000000"/>
            </w:tcBorders>
          </w:tcPr>
          <w:p>
            <w:pPr>
              <w:pStyle w:val="TableParagraph"/>
              <w:spacing w:before="2"/>
              <w:jc w:val="left"/>
              <w:rPr>
                <w:sz w:val="22"/>
              </w:rPr>
            </w:pPr>
          </w:p>
          <w:p>
            <w:pPr>
              <w:pStyle w:val="TableParagraph"/>
              <w:ind w:left="197"/>
              <w:rPr>
                <w:b/>
                <w:sz w:val="19"/>
              </w:rPr>
            </w:pPr>
            <w:r>
              <w:rPr>
                <w:b/>
                <w:w w:val="117"/>
                <w:sz w:val="19"/>
              </w:rPr>
              <w:t>Z</w:t>
            </w:r>
          </w:p>
        </w:tc>
        <w:tc>
          <w:tcPr>
            <w:tcW w:w="1892" w:type="dxa"/>
            <w:tcBorders>
              <w:top w:val="double" w:sz="5" w:space="0" w:color="000000"/>
              <w:bottom w:val="double" w:sz="5" w:space="0" w:color="000000"/>
            </w:tcBorders>
          </w:tcPr>
          <w:p>
            <w:pPr>
              <w:pStyle w:val="TableParagraph"/>
              <w:spacing w:before="2"/>
              <w:jc w:val="left"/>
              <w:rPr>
                <w:sz w:val="22"/>
              </w:rPr>
            </w:pPr>
          </w:p>
          <w:p>
            <w:pPr>
              <w:pStyle w:val="TableParagraph"/>
              <w:ind w:left="89" w:right="9"/>
              <w:rPr>
                <w:b/>
                <w:sz w:val="19"/>
              </w:rPr>
            </w:pPr>
            <w:r>
              <w:rPr>
                <w:b/>
                <w:w w:val="115"/>
                <w:sz w:val="19"/>
              </w:rPr>
              <w:t>Prob.  Normalidad</w:t>
            </w:r>
          </w:p>
        </w:tc>
      </w:tr>
      <w:tr>
        <w:trPr>
          <w:trHeight w:val="278" w:hRule="exact"/>
        </w:trPr>
        <w:tc>
          <w:tcPr>
            <w:tcW w:w="3138" w:type="dxa"/>
            <w:tcBorders>
              <w:top w:val="double" w:sz="5" w:space="0" w:color="000000"/>
              <w:right w:val="single" w:sz="6" w:space="0" w:color="000000"/>
            </w:tcBorders>
          </w:tcPr>
          <w:p>
            <w:pPr>
              <w:pStyle w:val="TableParagraph"/>
              <w:spacing w:before="15"/>
              <w:ind w:left="27" w:right="355"/>
              <w:jc w:val="left"/>
              <w:rPr>
                <w:sz w:val="19"/>
              </w:rPr>
            </w:pPr>
            <w:r>
              <w:rPr>
                <w:w w:val="115"/>
                <w:sz w:val="19"/>
              </w:rPr>
              <w:t>Precios del gas natural</w:t>
            </w:r>
          </w:p>
        </w:tc>
        <w:tc>
          <w:tcPr>
            <w:tcW w:w="1509" w:type="dxa"/>
            <w:tcBorders>
              <w:top w:val="double" w:sz="5" w:space="0" w:color="000000"/>
              <w:left w:val="single" w:sz="6" w:space="0" w:color="000000"/>
            </w:tcBorders>
          </w:tcPr>
          <w:p>
            <w:pPr>
              <w:pStyle w:val="TableParagraph"/>
              <w:spacing w:before="15"/>
              <w:ind w:left="567" w:right="512"/>
              <w:rPr>
                <w:sz w:val="19"/>
              </w:rPr>
            </w:pPr>
            <w:r>
              <w:rPr>
                <w:w w:val="115"/>
                <w:sz w:val="19"/>
              </w:rPr>
              <w:t>0.97</w:t>
            </w:r>
          </w:p>
        </w:tc>
        <w:tc>
          <w:tcPr>
            <w:tcW w:w="1273" w:type="dxa"/>
            <w:tcBorders>
              <w:top w:val="double" w:sz="5" w:space="0" w:color="000000"/>
            </w:tcBorders>
          </w:tcPr>
          <w:p>
            <w:pPr>
              <w:pStyle w:val="TableParagraph"/>
              <w:spacing w:before="15"/>
              <w:ind w:left="511" w:right="338"/>
              <w:rPr>
                <w:sz w:val="19"/>
              </w:rPr>
            </w:pPr>
            <w:r>
              <w:rPr>
                <w:w w:val="115"/>
                <w:sz w:val="19"/>
              </w:rPr>
              <w:t>1.09</w:t>
            </w:r>
          </w:p>
        </w:tc>
        <w:tc>
          <w:tcPr>
            <w:tcW w:w="995" w:type="dxa"/>
            <w:tcBorders>
              <w:top w:val="double" w:sz="5" w:space="0" w:color="000000"/>
            </w:tcBorders>
          </w:tcPr>
          <w:p>
            <w:pPr>
              <w:pStyle w:val="TableParagraph"/>
              <w:spacing w:before="15"/>
              <w:ind w:left="342" w:right="155"/>
              <w:rPr>
                <w:sz w:val="19"/>
              </w:rPr>
            </w:pPr>
            <w:r>
              <w:rPr>
                <w:w w:val="115"/>
                <w:sz w:val="19"/>
              </w:rPr>
              <w:t>0.18</w:t>
            </w:r>
          </w:p>
        </w:tc>
        <w:tc>
          <w:tcPr>
            <w:tcW w:w="1892" w:type="dxa"/>
            <w:tcBorders>
              <w:top w:val="double" w:sz="5" w:space="0" w:color="000000"/>
            </w:tcBorders>
          </w:tcPr>
          <w:p>
            <w:pPr>
              <w:pStyle w:val="TableParagraph"/>
              <w:spacing w:before="15"/>
              <w:ind w:left="89" w:right="7"/>
              <w:rPr>
                <w:sz w:val="19"/>
              </w:rPr>
            </w:pPr>
            <w:r>
              <w:rPr>
                <w:w w:val="115"/>
                <w:sz w:val="19"/>
              </w:rPr>
              <w:t>0.43</w:t>
            </w:r>
          </w:p>
        </w:tc>
      </w:tr>
      <w:tr>
        <w:trPr>
          <w:trHeight w:val="253" w:hRule="exact"/>
        </w:trPr>
        <w:tc>
          <w:tcPr>
            <w:tcW w:w="3138" w:type="dxa"/>
            <w:tcBorders>
              <w:right w:val="single" w:sz="6" w:space="0" w:color="000000"/>
            </w:tcBorders>
          </w:tcPr>
          <w:p>
            <w:pPr>
              <w:pStyle w:val="TableParagraph"/>
              <w:spacing w:before="7"/>
              <w:ind w:left="27" w:right="355"/>
              <w:jc w:val="left"/>
              <w:rPr>
                <w:sz w:val="19"/>
              </w:rPr>
            </w:pPr>
            <w:r>
              <w:rPr>
                <w:w w:val="115"/>
                <w:sz w:val="19"/>
              </w:rPr>
              <w:t>Asign.  De Ing. Fisc. Gasíf.</w:t>
            </w:r>
          </w:p>
        </w:tc>
        <w:tc>
          <w:tcPr>
            <w:tcW w:w="1509" w:type="dxa"/>
            <w:tcBorders>
              <w:left w:val="single" w:sz="6" w:space="0" w:color="000000"/>
            </w:tcBorders>
          </w:tcPr>
          <w:p>
            <w:pPr>
              <w:pStyle w:val="TableParagraph"/>
              <w:spacing w:before="7"/>
              <w:ind w:left="567" w:right="512"/>
              <w:rPr>
                <w:sz w:val="19"/>
              </w:rPr>
            </w:pPr>
            <w:r>
              <w:rPr>
                <w:w w:val="115"/>
                <w:sz w:val="19"/>
              </w:rPr>
              <w:t>0.94</w:t>
            </w:r>
          </w:p>
        </w:tc>
        <w:tc>
          <w:tcPr>
            <w:tcW w:w="1273" w:type="dxa"/>
          </w:tcPr>
          <w:p>
            <w:pPr>
              <w:pStyle w:val="TableParagraph"/>
              <w:spacing w:before="7"/>
              <w:ind w:left="511" w:right="338"/>
              <w:rPr>
                <w:sz w:val="19"/>
              </w:rPr>
            </w:pPr>
            <w:r>
              <w:rPr>
                <w:w w:val="115"/>
                <w:sz w:val="19"/>
              </w:rPr>
              <w:t>2.06</w:t>
            </w:r>
          </w:p>
        </w:tc>
        <w:tc>
          <w:tcPr>
            <w:tcW w:w="995" w:type="dxa"/>
          </w:tcPr>
          <w:p>
            <w:pPr>
              <w:pStyle w:val="TableParagraph"/>
              <w:spacing w:before="7"/>
              <w:ind w:left="342" w:right="155"/>
              <w:rPr>
                <w:sz w:val="19"/>
              </w:rPr>
            </w:pPr>
            <w:r>
              <w:rPr>
                <w:w w:val="115"/>
                <w:sz w:val="19"/>
              </w:rPr>
              <w:t>1.50</w:t>
            </w:r>
          </w:p>
        </w:tc>
        <w:tc>
          <w:tcPr>
            <w:tcW w:w="1892" w:type="dxa"/>
          </w:tcPr>
          <w:p>
            <w:pPr>
              <w:pStyle w:val="TableParagraph"/>
              <w:spacing w:before="7"/>
              <w:ind w:left="89" w:right="7"/>
              <w:rPr>
                <w:sz w:val="19"/>
              </w:rPr>
            </w:pPr>
            <w:r>
              <w:rPr>
                <w:w w:val="115"/>
                <w:sz w:val="19"/>
              </w:rPr>
              <w:t>0.07</w:t>
            </w:r>
          </w:p>
        </w:tc>
      </w:tr>
      <w:tr>
        <w:trPr>
          <w:trHeight w:val="253" w:hRule="exact"/>
        </w:trPr>
        <w:tc>
          <w:tcPr>
            <w:tcW w:w="3138" w:type="dxa"/>
            <w:tcBorders>
              <w:right w:val="single" w:sz="6" w:space="0" w:color="000000"/>
            </w:tcBorders>
          </w:tcPr>
          <w:p>
            <w:pPr>
              <w:pStyle w:val="TableParagraph"/>
              <w:spacing w:before="7"/>
              <w:ind w:left="27" w:right="355"/>
              <w:jc w:val="left"/>
              <w:rPr>
                <w:sz w:val="19"/>
              </w:rPr>
            </w:pPr>
            <w:r>
              <w:rPr>
                <w:spacing w:val="-11"/>
                <w:w w:val="115"/>
                <w:sz w:val="19"/>
              </w:rPr>
              <w:t>Asign.  </w:t>
            </w:r>
            <w:r>
              <w:rPr>
                <w:spacing w:val="-4"/>
                <w:w w:val="115"/>
                <w:sz w:val="19"/>
              </w:rPr>
              <w:t>De </w:t>
            </w:r>
            <w:r>
              <w:rPr>
                <w:spacing w:val="-9"/>
                <w:w w:val="115"/>
                <w:sz w:val="19"/>
              </w:rPr>
              <w:t>Ing. </w:t>
            </w:r>
            <w:r>
              <w:rPr>
                <w:spacing w:val="-6"/>
                <w:w w:val="115"/>
                <w:sz w:val="19"/>
              </w:rPr>
              <w:t>Fisc. </w:t>
            </w:r>
            <w:r>
              <w:rPr>
                <w:spacing w:val="2"/>
                <w:w w:val="115"/>
                <w:sz w:val="19"/>
              </w:rPr>
              <w:t>No </w:t>
            </w:r>
            <w:r>
              <w:rPr>
                <w:spacing w:val="-9"/>
                <w:w w:val="115"/>
                <w:sz w:val="19"/>
              </w:rPr>
              <w:t>Gasíf.</w:t>
            </w:r>
          </w:p>
        </w:tc>
        <w:tc>
          <w:tcPr>
            <w:tcW w:w="1509" w:type="dxa"/>
            <w:tcBorders>
              <w:left w:val="single" w:sz="6" w:space="0" w:color="000000"/>
            </w:tcBorders>
          </w:tcPr>
          <w:p>
            <w:pPr>
              <w:pStyle w:val="TableParagraph"/>
              <w:spacing w:before="7"/>
              <w:ind w:left="567" w:right="512"/>
              <w:rPr>
                <w:sz w:val="19"/>
              </w:rPr>
            </w:pPr>
            <w:r>
              <w:rPr>
                <w:w w:val="115"/>
                <w:sz w:val="19"/>
              </w:rPr>
              <w:t>0.95</w:t>
            </w:r>
          </w:p>
        </w:tc>
        <w:tc>
          <w:tcPr>
            <w:tcW w:w="1273" w:type="dxa"/>
          </w:tcPr>
          <w:p>
            <w:pPr>
              <w:pStyle w:val="TableParagraph"/>
              <w:spacing w:before="7"/>
              <w:ind w:left="511" w:right="338"/>
              <w:rPr>
                <w:sz w:val="19"/>
              </w:rPr>
            </w:pPr>
            <w:r>
              <w:rPr>
                <w:w w:val="115"/>
                <w:sz w:val="19"/>
              </w:rPr>
              <w:t>1.61</w:t>
            </w:r>
          </w:p>
        </w:tc>
        <w:tc>
          <w:tcPr>
            <w:tcW w:w="995" w:type="dxa"/>
          </w:tcPr>
          <w:p>
            <w:pPr>
              <w:pStyle w:val="TableParagraph"/>
              <w:spacing w:before="7"/>
              <w:ind w:left="342" w:right="155"/>
              <w:rPr>
                <w:sz w:val="19"/>
              </w:rPr>
            </w:pPr>
            <w:r>
              <w:rPr>
                <w:w w:val="115"/>
                <w:sz w:val="19"/>
              </w:rPr>
              <w:t>0.99</w:t>
            </w:r>
          </w:p>
        </w:tc>
        <w:tc>
          <w:tcPr>
            <w:tcW w:w="1892" w:type="dxa"/>
          </w:tcPr>
          <w:p>
            <w:pPr>
              <w:pStyle w:val="TableParagraph"/>
              <w:spacing w:before="7"/>
              <w:ind w:left="89" w:right="7"/>
              <w:rPr>
                <w:sz w:val="19"/>
              </w:rPr>
            </w:pPr>
            <w:r>
              <w:rPr>
                <w:w w:val="115"/>
                <w:sz w:val="19"/>
              </w:rPr>
              <w:t>0.16</w:t>
            </w:r>
          </w:p>
        </w:tc>
      </w:tr>
      <w:tr>
        <w:trPr>
          <w:trHeight w:val="253" w:hRule="exact"/>
        </w:trPr>
        <w:tc>
          <w:tcPr>
            <w:tcW w:w="3138" w:type="dxa"/>
            <w:tcBorders>
              <w:right w:val="single" w:sz="6" w:space="0" w:color="000000"/>
            </w:tcBorders>
          </w:tcPr>
          <w:p>
            <w:pPr>
              <w:pStyle w:val="TableParagraph"/>
              <w:spacing w:before="7"/>
              <w:ind w:left="27" w:right="355"/>
              <w:jc w:val="left"/>
              <w:rPr>
                <w:sz w:val="19"/>
              </w:rPr>
            </w:pPr>
            <w:r>
              <w:rPr>
                <w:w w:val="115"/>
                <w:sz w:val="19"/>
              </w:rPr>
              <w:t>Bal.  Primario  No Gasíf.</w:t>
            </w:r>
          </w:p>
        </w:tc>
        <w:tc>
          <w:tcPr>
            <w:tcW w:w="1509" w:type="dxa"/>
            <w:tcBorders>
              <w:left w:val="single" w:sz="6" w:space="0" w:color="000000"/>
            </w:tcBorders>
          </w:tcPr>
          <w:p>
            <w:pPr>
              <w:pStyle w:val="TableParagraph"/>
              <w:spacing w:before="7"/>
              <w:ind w:left="567" w:right="512"/>
              <w:rPr>
                <w:sz w:val="19"/>
              </w:rPr>
            </w:pPr>
            <w:r>
              <w:rPr>
                <w:w w:val="115"/>
                <w:sz w:val="19"/>
              </w:rPr>
              <w:t>0.94</w:t>
            </w:r>
          </w:p>
        </w:tc>
        <w:tc>
          <w:tcPr>
            <w:tcW w:w="1273" w:type="dxa"/>
          </w:tcPr>
          <w:p>
            <w:pPr>
              <w:pStyle w:val="TableParagraph"/>
              <w:spacing w:before="7"/>
              <w:ind w:left="511" w:right="338"/>
              <w:rPr>
                <w:sz w:val="19"/>
              </w:rPr>
            </w:pPr>
            <w:r>
              <w:rPr>
                <w:w w:val="115"/>
                <w:sz w:val="19"/>
              </w:rPr>
              <w:t>1.94</w:t>
            </w:r>
          </w:p>
        </w:tc>
        <w:tc>
          <w:tcPr>
            <w:tcW w:w="995" w:type="dxa"/>
          </w:tcPr>
          <w:p>
            <w:pPr>
              <w:pStyle w:val="TableParagraph"/>
              <w:spacing w:before="7"/>
              <w:ind w:left="342" w:right="155"/>
              <w:rPr>
                <w:sz w:val="19"/>
              </w:rPr>
            </w:pPr>
            <w:r>
              <w:rPr>
                <w:w w:val="115"/>
                <w:sz w:val="19"/>
              </w:rPr>
              <w:t>1.38</w:t>
            </w:r>
          </w:p>
        </w:tc>
        <w:tc>
          <w:tcPr>
            <w:tcW w:w="1892" w:type="dxa"/>
          </w:tcPr>
          <w:p>
            <w:pPr>
              <w:pStyle w:val="TableParagraph"/>
              <w:spacing w:before="7"/>
              <w:ind w:left="89" w:right="7"/>
              <w:rPr>
                <w:sz w:val="19"/>
              </w:rPr>
            </w:pPr>
            <w:r>
              <w:rPr>
                <w:w w:val="115"/>
                <w:sz w:val="19"/>
              </w:rPr>
              <w:t>0.08</w:t>
            </w:r>
          </w:p>
        </w:tc>
      </w:tr>
      <w:tr>
        <w:trPr>
          <w:trHeight w:val="251" w:hRule="exact"/>
        </w:trPr>
        <w:tc>
          <w:tcPr>
            <w:tcW w:w="3138" w:type="dxa"/>
            <w:tcBorders>
              <w:bottom w:val="double" w:sz="5" w:space="0" w:color="000000"/>
              <w:right w:val="single" w:sz="6" w:space="0" w:color="000000"/>
            </w:tcBorders>
          </w:tcPr>
          <w:p>
            <w:pPr>
              <w:pStyle w:val="TableParagraph"/>
              <w:spacing w:before="7"/>
              <w:ind w:left="27" w:right="355"/>
              <w:jc w:val="left"/>
              <w:rPr>
                <w:sz w:val="19"/>
              </w:rPr>
            </w:pPr>
            <w:r>
              <w:rPr>
                <w:w w:val="115"/>
                <w:sz w:val="19"/>
              </w:rPr>
              <w:t>Deuda pública</w:t>
            </w:r>
          </w:p>
        </w:tc>
        <w:tc>
          <w:tcPr>
            <w:tcW w:w="1509" w:type="dxa"/>
            <w:tcBorders>
              <w:left w:val="single" w:sz="6" w:space="0" w:color="000000"/>
            </w:tcBorders>
          </w:tcPr>
          <w:p>
            <w:pPr>
              <w:pStyle w:val="TableParagraph"/>
              <w:spacing w:before="7"/>
              <w:ind w:left="567" w:right="512"/>
              <w:rPr>
                <w:sz w:val="19"/>
              </w:rPr>
            </w:pPr>
            <w:r>
              <w:rPr>
                <w:w w:val="115"/>
                <w:sz w:val="19"/>
              </w:rPr>
              <w:t>0.94</w:t>
            </w:r>
          </w:p>
        </w:tc>
        <w:tc>
          <w:tcPr>
            <w:tcW w:w="1273" w:type="dxa"/>
          </w:tcPr>
          <w:p>
            <w:pPr>
              <w:pStyle w:val="TableParagraph"/>
              <w:spacing w:before="7"/>
              <w:ind w:left="511" w:right="338"/>
              <w:rPr>
                <w:sz w:val="19"/>
              </w:rPr>
            </w:pPr>
            <w:r>
              <w:rPr>
                <w:w w:val="115"/>
                <w:sz w:val="19"/>
              </w:rPr>
              <w:t>2.26</w:t>
            </w:r>
          </w:p>
        </w:tc>
        <w:tc>
          <w:tcPr>
            <w:tcW w:w="995" w:type="dxa"/>
          </w:tcPr>
          <w:p>
            <w:pPr>
              <w:pStyle w:val="TableParagraph"/>
              <w:spacing w:before="7"/>
              <w:ind w:left="342" w:right="155"/>
              <w:rPr>
                <w:sz w:val="19"/>
              </w:rPr>
            </w:pPr>
            <w:r>
              <w:rPr>
                <w:w w:val="115"/>
                <w:sz w:val="19"/>
              </w:rPr>
              <w:t>1.69</w:t>
            </w:r>
          </w:p>
        </w:tc>
        <w:tc>
          <w:tcPr>
            <w:tcW w:w="1892" w:type="dxa"/>
          </w:tcPr>
          <w:p>
            <w:pPr>
              <w:pStyle w:val="TableParagraph"/>
              <w:spacing w:before="7"/>
              <w:ind w:left="89" w:right="7"/>
              <w:rPr>
                <w:sz w:val="19"/>
              </w:rPr>
            </w:pPr>
            <w:r>
              <w:rPr>
                <w:w w:val="115"/>
                <w:sz w:val="19"/>
              </w:rPr>
              <w:t>0.05</w:t>
            </w:r>
          </w:p>
        </w:tc>
      </w:tr>
      <w:tr>
        <w:trPr>
          <w:trHeight w:val="1095" w:hRule="exact"/>
        </w:trPr>
        <w:tc>
          <w:tcPr>
            <w:tcW w:w="3138" w:type="dxa"/>
            <w:tcBorders>
              <w:top w:val="double" w:sz="5" w:space="0" w:color="000000"/>
              <w:bottom w:val="double" w:sz="5" w:space="0" w:color="000000"/>
              <w:right w:val="single" w:sz="6" w:space="0" w:color="000000"/>
            </w:tcBorders>
          </w:tcPr>
          <w:p>
            <w:pPr>
              <w:pStyle w:val="TableParagraph"/>
              <w:jc w:val="left"/>
              <w:rPr>
                <w:sz w:val="18"/>
              </w:rPr>
            </w:pPr>
          </w:p>
          <w:p>
            <w:pPr>
              <w:pStyle w:val="TableParagraph"/>
              <w:spacing w:before="121"/>
              <w:ind w:left="767" w:right="770"/>
              <w:rPr>
                <w:b/>
                <w:sz w:val="19"/>
              </w:rPr>
            </w:pPr>
            <w:r>
              <w:rPr>
                <w:b/>
                <w:color w:val="FF0000"/>
                <w:w w:val="115"/>
                <w:sz w:val="19"/>
              </w:rPr>
              <w:t>Modelo B</w:t>
            </w:r>
          </w:p>
          <w:p>
            <w:pPr>
              <w:pStyle w:val="TableParagraph"/>
              <w:spacing w:before="34"/>
              <w:ind w:left="769" w:right="770"/>
              <w:rPr>
                <w:sz w:val="19"/>
              </w:rPr>
            </w:pPr>
            <w:r>
              <w:rPr>
                <w:w w:val="115"/>
                <w:sz w:val="19"/>
              </w:rPr>
              <w:t>Nº de rezagos = 1</w:t>
            </w:r>
          </w:p>
          <w:p>
            <w:pPr>
              <w:pStyle w:val="TableParagraph"/>
              <w:spacing w:before="34"/>
              <w:ind w:left="769" w:right="769"/>
              <w:rPr>
                <w:b/>
                <w:sz w:val="19"/>
              </w:rPr>
            </w:pPr>
            <w:r>
              <w:rPr>
                <w:b/>
                <w:w w:val="115"/>
                <w:sz w:val="19"/>
              </w:rPr>
              <w:t>Componente</w:t>
            </w:r>
          </w:p>
        </w:tc>
        <w:tc>
          <w:tcPr>
            <w:tcW w:w="1509" w:type="dxa"/>
            <w:tcBorders>
              <w:left w:val="single" w:sz="6" w:space="0" w:color="000000"/>
            </w:tcBorders>
          </w:tcPr>
          <w:p>
            <w:pPr/>
          </w:p>
        </w:tc>
        <w:tc>
          <w:tcPr>
            <w:tcW w:w="1273" w:type="dxa"/>
          </w:tcPr>
          <w:p>
            <w:pPr/>
          </w:p>
        </w:tc>
        <w:tc>
          <w:tcPr>
            <w:tcW w:w="995" w:type="dxa"/>
          </w:tcPr>
          <w:p>
            <w:pPr/>
          </w:p>
        </w:tc>
        <w:tc>
          <w:tcPr>
            <w:tcW w:w="1892" w:type="dxa"/>
          </w:tcPr>
          <w:p>
            <w:pPr/>
          </w:p>
        </w:tc>
      </w:tr>
      <w:tr>
        <w:trPr>
          <w:trHeight w:val="278" w:hRule="exact"/>
        </w:trPr>
        <w:tc>
          <w:tcPr>
            <w:tcW w:w="3138" w:type="dxa"/>
            <w:vMerge w:val="restart"/>
            <w:tcBorders>
              <w:top w:val="double" w:sz="5" w:space="0" w:color="000000"/>
              <w:right w:val="single" w:sz="6" w:space="0" w:color="000000"/>
            </w:tcBorders>
          </w:tcPr>
          <w:p>
            <w:pPr>
              <w:pStyle w:val="TableParagraph"/>
              <w:spacing w:line="278" w:lineRule="auto" w:before="15"/>
              <w:ind w:left="27" w:right="754"/>
              <w:jc w:val="left"/>
              <w:rPr>
                <w:sz w:val="19"/>
              </w:rPr>
            </w:pPr>
            <w:r>
              <w:rPr>
                <w:spacing w:val="-5"/>
                <w:w w:val="115"/>
                <w:sz w:val="19"/>
              </w:rPr>
              <w:t>Precios </w:t>
            </w:r>
            <w:r>
              <w:rPr>
                <w:w w:val="115"/>
                <w:sz w:val="19"/>
              </w:rPr>
              <w:t>del </w:t>
            </w:r>
            <w:r>
              <w:rPr>
                <w:spacing w:val="-6"/>
                <w:w w:val="115"/>
                <w:sz w:val="19"/>
              </w:rPr>
              <w:t>gas </w:t>
            </w:r>
            <w:r>
              <w:rPr>
                <w:spacing w:val="-7"/>
                <w:w w:val="115"/>
                <w:sz w:val="19"/>
              </w:rPr>
              <w:t>natural </w:t>
            </w:r>
            <w:r>
              <w:rPr>
                <w:spacing w:val="-11"/>
                <w:w w:val="115"/>
                <w:sz w:val="19"/>
              </w:rPr>
              <w:t>Asign.  </w:t>
            </w:r>
            <w:r>
              <w:rPr>
                <w:spacing w:val="-4"/>
                <w:w w:val="115"/>
                <w:sz w:val="19"/>
              </w:rPr>
              <w:t>De </w:t>
            </w:r>
            <w:r>
              <w:rPr>
                <w:spacing w:val="-9"/>
                <w:w w:val="115"/>
                <w:sz w:val="19"/>
              </w:rPr>
              <w:t>Ing. </w:t>
            </w:r>
            <w:r>
              <w:rPr>
                <w:spacing w:val="-6"/>
                <w:w w:val="115"/>
                <w:sz w:val="19"/>
              </w:rPr>
              <w:t>Fisc. </w:t>
            </w:r>
            <w:r>
              <w:rPr>
                <w:spacing w:val="-9"/>
                <w:w w:val="115"/>
                <w:sz w:val="19"/>
              </w:rPr>
              <w:t>Gasíf.</w:t>
            </w:r>
          </w:p>
          <w:p>
            <w:pPr>
              <w:pStyle w:val="TableParagraph"/>
              <w:spacing w:line="278" w:lineRule="auto"/>
              <w:ind w:left="27" w:right="355"/>
              <w:jc w:val="left"/>
              <w:rPr>
                <w:sz w:val="19"/>
              </w:rPr>
            </w:pPr>
            <w:r>
              <w:rPr>
                <w:color w:val="FF0000"/>
                <w:spacing w:val="-11"/>
                <w:w w:val="115"/>
                <w:sz w:val="19"/>
              </w:rPr>
              <w:t>Asign. </w:t>
            </w:r>
            <w:r>
              <w:rPr>
                <w:color w:val="FF0000"/>
                <w:spacing w:val="-4"/>
                <w:w w:val="115"/>
                <w:sz w:val="19"/>
              </w:rPr>
              <w:t>De </w:t>
            </w:r>
            <w:r>
              <w:rPr>
                <w:color w:val="FF0000"/>
                <w:spacing w:val="-9"/>
                <w:w w:val="115"/>
                <w:sz w:val="19"/>
              </w:rPr>
              <w:t>Ing. </w:t>
            </w:r>
            <w:r>
              <w:rPr>
                <w:color w:val="FF0000"/>
                <w:spacing w:val="-6"/>
                <w:w w:val="115"/>
                <w:sz w:val="19"/>
              </w:rPr>
              <w:t>Fisc. </w:t>
            </w:r>
            <w:r>
              <w:rPr>
                <w:color w:val="FF0000"/>
                <w:spacing w:val="2"/>
                <w:w w:val="115"/>
                <w:sz w:val="19"/>
              </w:rPr>
              <w:t>No </w:t>
            </w:r>
            <w:r>
              <w:rPr>
                <w:color w:val="FF0000"/>
                <w:spacing w:val="-9"/>
                <w:w w:val="115"/>
                <w:sz w:val="19"/>
              </w:rPr>
              <w:t>Gasíf. Bal. </w:t>
            </w:r>
            <w:r>
              <w:rPr>
                <w:color w:val="FF0000"/>
                <w:spacing w:val="-10"/>
                <w:w w:val="115"/>
                <w:sz w:val="19"/>
              </w:rPr>
              <w:t>Primario</w:t>
            </w:r>
          </w:p>
          <w:p>
            <w:pPr>
              <w:pStyle w:val="TableParagraph"/>
              <w:ind w:left="27" w:right="355"/>
              <w:jc w:val="left"/>
              <w:rPr>
                <w:sz w:val="19"/>
              </w:rPr>
            </w:pPr>
            <w:r>
              <w:rPr>
                <w:w w:val="115"/>
                <w:sz w:val="19"/>
              </w:rPr>
              <w:t>Deuda pública</w:t>
            </w:r>
          </w:p>
        </w:tc>
        <w:tc>
          <w:tcPr>
            <w:tcW w:w="1509" w:type="dxa"/>
            <w:tcBorders>
              <w:left w:val="single" w:sz="6" w:space="0" w:color="000000"/>
            </w:tcBorders>
          </w:tcPr>
          <w:p>
            <w:pPr>
              <w:pStyle w:val="TableParagraph"/>
              <w:spacing w:before="33"/>
              <w:ind w:left="567" w:right="512"/>
              <w:rPr>
                <w:sz w:val="19"/>
              </w:rPr>
            </w:pPr>
            <w:r>
              <w:rPr>
                <w:w w:val="115"/>
                <w:sz w:val="19"/>
              </w:rPr>
              <w:t>0.98</w:t>
            </w:r>
          </w:p>
        </w:tc>
        <w:tc>
          <w:tcPr>
            <w:tcW w:w="1273" w:type="dxa"/>
          </w:tcPr>
          <w:p>
            <w:pPr>
              <w:pStyle w:val="TableParagraph"/>
              <w:spacing w:before="33"/>
              <w:ind w:left="511" w:right="338"/>
              <w:rPr>
                <w:sz w:val="19"/>
              </w:rPr>
            </w:pPr>
            <w:r>
              <w:rPr>
                <w:w w:val="115"/>
                <w:sz w:val="19"/>
              </w:rPr>
              <w:t>0.74</w:t>
            </w:r>
          </w:p>
        </w:tc>
        <w:tc>
          <w:tcPr>
            <w:tcW w:w="995" w:type="dxa"/>
          </w:tcPr>
          <w:p>
            <w:pPr>
              <w:pStyle w:val="TableParagraph"/>
              <w:spacing w:before="33"/>
              <w:ind w:left="343" w:right="155"/>
              <w:rPr>
                <w:sz w:val="19"/>
              </w:rPr>
            </w:pPr>
            <w:r>
              <w:rPr>
                <w:w w:val="115"/>
                <w:sz w:val="19"/>
              </w:rPr>
              <w:t>-0.63</w:t>
            </w:r>
          </w:p>
        </w:tc>
        <w:tc>
          <w:tcPr>
            <w:tcW w:w="1892" w:type="dxa"/>
          </w:tcPr>
          <w:p>
            <w:pPr>
              <w:pStyle w:val="TableParagraph"/>
              <w:spacing w:before="33"/>
              <w:ind w:left="89" w:right="7"/>
              <w:rPr>
                <w:sz w:val="19"/>
              </w:rPr>
            </w:pPr>
            <w:r>
              <w:rPr>
                <w:w w:val="115"/>
                <w:sz w:val="19"/>
              </w:rPr>
              <w:t>0.74</w:t>
            </w:r>
          </w:p>
        </w:tc>
      </w:tr>
      <w:tr>
        <w:trPr>
          <w:trHeight w:val="253" w:hRule="exact"/>
        </w:trPr>
        <w:tc>
          <w:tcPr>
            <w:tcW w:w="3138" w:type="dxa"/>
            <w:vMerge/>
            <w:tcBorders>
              <w:right w:val="single" w:sz="6" w:space="0" w:color="000000"/>
            </w:tcBorders>
          </w:tcPr>
          <w:p>
            <w:pPr/>
          </w:p>
        </w:tc>
        <w:tc>
          <w:tcPr>
            <w:tcW w:w="1509" w:type="dxa"/>
            <w:tcBorders>
              <w:left w:val="single" w:sz="6" w:space="0" w:color="000000"/>
            </w:tcBorders>
          </w:tcPr>
          <w:p>
            <w:pPr>
              <w:pStyle w:val="TableParagraph"/>
              <w:spacing w:before="7"/>
              <w:ind w:left="567" w:right="512"/>
              <w:rPr>
                <w:sz w:val="19"/>
              </w:rPr>
            </w:pPr>
            <w:r>
              <w:rPr>
                <w:w w:val="115"/>
                <w:sz w:val="19"/>
              </w:rPr>
              <w:t>0.94</w:t>
            </w:r>
          </w:p>
        </w:tc>
        <w:tc>
          <w:tcPr>
            <w:tcW w:w="1273" w:type="dxa"/>
          </w:tcPr>
          <w:p>
            <w:pPr>
              <w:pStyle w:val="TableParagraph"/>
              <w:spacing w:before="7"/>
              <w:ind w:left="511" w:right="338"/>
              <w:rPr>
                <w:sz w:val="19"/>
              </w:rPr>
            </w:pPr>
            <w:r>
              <w:rPr>
                <w:w w:val="115"/>
                <w:sz w:val="19"/>
              </w:rPr>
              <w:t>2.16</w:t>
            </w:r>
          </w:p>
        </w:tc>
        <w:tc>
          <w:tcPr>
            <w:tcW w:w="995" w:type="dxa"/>
          </w:tcPr>
          <w:p>
            <w:pPr>
              <w:pStyle w:val="TableParagraph"/>
              <w:spacing w:before="7"/>
              <w:ind w:left="342" w:right="155"/>
              <w:rPr>
                <w:sz w:val="19"/>
              </w:rPr>
            </w:pPr>
            <w:r>
              <w:rPr>
                <w:w w:val="115"/>
                <w:sz w:val="19"/>
              </w:rPr>
              <w:t>1.61</w:t>
            </w:r>
          </w:p>
        </w:tc>
        <w:tc>
          <w:tcPr>
            <w:tcW w:w="1892" w:type="dxa"/>
          </w:tcPr>
          <w:p>
            <w:pPr>
              <w:pStyle w:val="TableParagraph"/>
              <w:spacing w:before="7"/>
              <w:ind w:left="89" w:right="7"/>
              <w:rPr>
                <w:sz w:val="19"/>
              </w:rPr>
            </w:pPr>
            <w:r>
              <w:rPr>
                <w:w w:val="115"/>
                <w:sz w:val="19"/>
              </w:rPr>
              <w:t>0.05</w:t>
            </w:r>
          </w:p>
        </w:tc>
      </w:tr>
      <w:tr>
        <w:trPr>
          <w:trHeight w:val="253" w:hRule="exact"/>
        </w:trPr>
        <w:tc>
          <w:tcPr>
            <w:tcW w:w="3138" w:type="dxa"/>
            <w:vMerge/>
            <w:tcBorders>
              <w:right w:val="single" w:sz="6" w:space="0" w:color="000000"/>
            </w:tcBorders>
          </w:tcPr>
          <w:p>
            <w:pPr/>
          </w:p>
        </w:tc>
        <w:tc>
          <w:tcPr>
            <w:tcW w:w="1509" w:type="dxa"/>
            <w:tcBorders>
              <w:left w:val="single" w:sz="6" w:space="0" w:color="000000"/>
            </w:tcBorders>
          </w:tcPr>
          <w:p>
            <w:pPr>
              <w:pStyle w:val="TableParagraph"/>
              <w:spacing w:before="7"/>
              <w:ind w:left="567" w:right="512"/>
              <w:rPr>
                <w:sz w:val="19"/>
              </w:rPr>
            </w:pPr>
            <w:r>
              <w:rPr>
                <w:color w:val="FF0000"/>
                <w:w w:val="115"/>
                <w:sz w:val="19"/>
              </w:rPr>
              <w:t>0.93</w:t>
            </w:r>
          </w:p>
        </w:tc>
        <w:tc>
          <w:tcPr>
            <w:tcW w:w="1273" w:type="dxa"/>
          </w:tcPr>
          <w:p>
            <w:pPr>
              <w:pStyle w:val="TableParagraph"/>
              <w:spacing w:before="7"/>
              <w:ind w:left="511" w:right="338"/>
              <w:rPr>
                <w:sz w:val="19"/>
              </w:rPr>
            </w:pPr>
            <w:r>
              <w:rPr>
                <w:color w:val="FF0000"/>
                <w:w w:val="115"/>
                <w:sz w:val="19"/>
              </w:rPr>
              <w:t>2.37</w:t>
            </w:r>
          </w:p>
        </w:tc>
        <w:tc>
          <w:tcPr>
            <w:tcW w:w="995" w:type="dxa"/>
          </w:tcPr>
          <w:p>
            <w:pPr>
              <w:pStyle w:val="TableParagraph"/>
              <w:spacing w:before="7"/>
              <w:ind w:left="342" w:right="155"/>
              <w:rPr>
                <w:sz w:val="19"/>
              </w:rPr>
            </w:pPr>
            <w:r>
              <w:rPr>
                <w:color w:val="FF0000"/>
                <w:w w:val="115"/>
                <w:sz w:val="19"/>
              </w:rPr>
              <w:t>1.80</w:t>
            </w:r>
          </w:p>
        </w:tc>
        <w:tc>
          <w:tcPr>
            <w:tcW w:w="1892" w:type="dxa"/>
          </w:tcPr>
          <w:p>
            <w:pPr>
              <w:pStyle w:val="TableParagraph"/>
              <w:spacing w:before="7"/>
              <w:ind w:left="89" w:right="7"/>
              <w:rPr>
                <w:sz w:val="19"/>
              </w:rPr>
            </w:pPr>
            <w:r>
              <w:rPr>
                <w:color w:val="FF0000"/>
                <w:w w:val="115"/>
                <w:sz w:val="19"/>
              </w:rPr>
              <w:t>0.04</w:t>
            </w:r>
          </w:p>
        </w:tc>
      </w:tr>
      <w:tr>
        <w:trPr>
          <w:trHeight w:val="253" w:hRule="exact"/>
        </w:trPr>
        <w:tc>
          <w:tcPr>
            <w:tcW w:w="3138" w:type="dxa"/>
            <w:vMerge/>
            <w:tcBorders>
              <w:right w:val="single" w:sz="6" w:space="0" w:color="000000"/>
            </w:tcBorders>
          </w:tcPr>
          <w:p>
            <w:pPr/>
          </w:p>
        </w:tc>
        <w:tc>
          <w:tcPr>
            <w:tcW w:w="1509" w:type="dxa"/>
            <w:tcBorders>
              <w:left w:val="single" w:sz="6" w:space="0" w:color="000000"/>
            </w:tcBorders>
          </w:tcPr>
          <w:p>
            <w:pPr>
              <w:pStyle w:val="TableParagraph"/>
              <w:spacing w:before="7"/>
              <w:ind w:left="567" w:right="512"/>
              <w:rPr>
                <w:sz w:val="19"/>
              </w:rPr>
            </w:pPr>
            <w:r>
              <w:rPr>
                <w:color w:val="FF0000"/>
                <w:w w:val="115"/>
                <w:sz w:val="19"/>
              </w:rPr>
              <w:t>0.90</w:t>
            </w:r>
          </w:p>
        </w:tc>
        <w:tc>
          <w:tcPr>
            <w:tcW w:w="1273" w:type="dxa"/>
          </w:tcPr>
          <w:p>
            <w:pPr>
              <w:pStyle w:val="TableParagraph"/>
              <w:spacing w:before="7"/>
              <w:ind w:left="511" w:right="338"/>
              <w:rPr>
                <w:sz w:val="19"/>
              </w:rPr>
            </w:pPr>
            <w:r>
              <w:rPr>
                <w:color w:val="FF0000"/>
                <w:w w:val="115"/>
                <w:sz w:val="19"/>
              </w:rPr>
              <w:t>3.55</w:t>
            </w:r>
          </w:p>
        </w:tc>
        <w:tc>
          <w:tcPr>
            <w:tcW w:w="995" w:type="dxa"/>
          </w:tcPr>
          <w:p>
            <w:pPr>
              <w:pStyle w:val="TableParagraph"/>
              <w:spacing w:before="7"/>
              <w:ind w:left="342" w:right="155"/>
              <w:rPr>
                <w:sz w:val="19"/>
              </w:rPr>
            </w:pPr>
            <w:r>
              <w:rPr>
                <w:color w:val="FF0000"/>
                <w:w w:val="115"/>
                <w:sz w:val="19"/>
              </w:rPr>
              <w:t>2.64</w:t>
            </w:r>
          </w:p>
        </w:tc>
        <w:tc>
          <w:tcPr>
            <w:tcW w:w="1892" w:type="dxa"/>
          </w:tcPr>
          <w:p>
            <w:pPr>
              <w:pStyle w:val="TableParagraph"/>
              <w:spacing w:before="7"/>
              <w:ind w:left="89" w:right="7"/>
              <w:rPr>
                <w:sz w:val="19"/>
              </w:rPr>
            </w:pPr>
            <w:r>
              <w:rPr>
                <w:color w:val="FF0000"/>
                <w:w w:val="115"/>
                <w:sz w:val="19"/>
              </w:rPr>
              <w:t>0.00</w:t>
            </w:r>
          </w:p>
        </w:tc>
      </w:tr>
      <w:tr>
        <w:trPr>
          <w:trHeight w:val="251" w:hRule="exact"/>
        </w:trPr>
        <w:tc>
          <w:tcPr>
            <w:tcW w:w="3138" w:type="dxa"/>
            <w:vMerge/>
            <w:tcBorders>
              <w:bottom w:val="double" w:sz="5" w:space="0" w:color="000000"/>
              <w:right w:val="single" w:sz="6" w:space="0" w:color="000000"/>
            </w:tcBorders>
          </w:tcPr>
          <w:p>
            <w:pPr/>
          </w:p>
        </w:tc>
        <w:tc>
          <w:tcPr>
            <w:tcW w:w="1509" w:type="dxa"/>
            <w:tcBorders>
              <w:left w:val="single" w:sz="6" w:space="0" w:color="000000"/>
            </w:tcBorders>
          </w:tcPr>
          <w:p>
            <w:pPr>
              <w:pStyle w:val="TableParagraph"/>
              <w:spacing w:before="7"/>
              <w:ind w:left="567" w:right="512"/>
              <w:rPr>
                <w:sz w:val="19"/>
              </w:rPr>
            </w:pPr>
            <w:r>
              <w:rPr>
                <w:w w:val="115"/>
                <w:sz w:val="19"/>
              </w:rPr>
              <w:t>0.94</w:t>
            </w:r>
          </w:p>
        </w:tc>
        <w:tc>
          <w:tcPr>
            <w:tcW w:w="1273" w:type="dxa"/>
          </w:tcPr>
          <w:p>
            <w:pPr>
              <w:pStyle w:val="TableParagraph"/>
              <w:spacing w:before="7"/>
              <w:ind w:left="511" w:right="338"/>
              <w:rPr>
                <w:sz w:val="19"/>
              </w:rPr>
            </w:pPr>
            <w:r>
              <w:rPr>
                <w:w w:val="115"/>
                <w:sz w:val="19"/>
              </w:rPr>
              <w:t>2.17</w:t>
            </w:r>
          </w:p>
        </w:tc>
        <w:tc>
          <w:tcPr>
            <w:tcW w:w="995" w:type="dxa"/>
          </w:tcPr>
          <w:p>
            <w:pPr>
              <w:pStyle w:val="TableParagraph"/>
              <w:spacing w:before="7"/>
              <w:ind w:left="342" w:right="155"/>
              <w:rPr>
                <w:sz w:val="19"/>
              </w:rPr>
            </w:pPr>
            <w:r>
              <w:rPr>
                <w:w w:val="115"/>
                <w:sz w:val="19"/>
              </w:rPr>
              <w:t>1.62</w:t>
            </w:r>
          </w:p>
        </w:tc>
        <w:tc>
          <w:tcPr>
            <w:tcW w:w="1892" w:type="dxa"/>
          </w:tcPr>
          <w:p>
            <w:pPr>
              <w:pStyle w:val="TableParagraph"/>
              <w:spacing w:before="7"/>
              <w:ind w:left="89" w:right="7"/>
              <w:rPr>
                <w:sz w:val="19"/>
              </w:rPr>
            </w:pPr>
            <w:r>
              <w:rPr>
                <w:w w:val="115"/>
                <w:sz w:val="19"/>
              </w:rPr>
              <w:t>0.05</w:t>
            </w:r>
          </w:p>
        </w:tc>
      </w:tr>
      <w:tr>
        <w:trPr>
          <w:trHeight w:val="1540" w:hRule="exact"/>
        </w:trPr>
        <w:tc>
          <w:tcPr>
            <w:tcW w:w="3138" w:type="dxa"/>
            <w:tcBorders>
              <w:top w:val="double" w:sz="5" w:space="0" w:color="000000"/>
              <w:bottom w:val="double" w:sz="5" w:space="0" w:color="000000"/>
              <w:right w:val="single" w:sz="6" w:space="0" w:color="000000"/>
            </w:tcBorders>
          </w:tcPr>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152"/>
              <w:ind w:left="769" w:right="763"/>
              <w:rPr>
                <w:b/>
                <w:sz w:val="19"/>
              </w:rPr>
            </w:pPr>
            <w:r>
              <w:rPr>
                <w:b/>
                <w:color w:val="FF0000"/>
                <w:w w:val="115"/>
                <w:sz w:val="19"/>
              </w:rPr>
              <w:t>Modelo C</w:t>
            </w:r>
          </w:p>
          <w:p>
            <w:pPr>
              <w:pStyle w:val="TableParagraph"/>
              <w:spacing w:before="34"/>
              <w:ind w:left="769" w:right="770"/>
              <w:rPr>
                <w:sz w:val="19"/>
              </w:rPr>
            </w:pPr>
            <w:r>
              <w:rPr>
                <w:w w:val="115"/>
                <w:sz w:val="19"/>
              </w:rPr>
              <w:t>Nº de rezagos = 1</w:t>
            </w:r>
          </w:p>
          <w:p>
            <w:pPr>
              <w:pStyle w:val="TableParagraph"/>
              <w:spacing w:before="34"/>
              <w:ind w:left="769" w:right="769"/>
              <w:rPr>
                <w:b/>
                <w:sz w:val="19"/>
              </w:rPr>
            </w:pPr>
            <w:r>
              <w:rPr>
                <w:b/>
                <w:w w:val="115"/>
                <w:sz w:val="19"/>
              </w:rPr>
              <w:t>Componente</w:t>
            </w:r>
          </w:p>
        </w:tc>
        <w:tc>
          <w:tcPr>
            <w:tcW w:w="1509" w:type="dxa"/>
            <w:tcBorders>
              <w:left w:val="single" w:sz="6" w:space="0" w:color="000000"/>
            </w:tcBorders>
          </w:tcPr>
          <w:p>
            <w:pPr/>
          </w:p>
        </w:tc>
        <w:tc>
          <w:tcPr>
            <w:tcW w:w="1273" w:type="dxa"/>
          </w:tcPr>
          <w:p>
            <w:pPr/>
          </w:p>
        </w:tc>
        <w:tc>
          <w:tcPr>
            <w:tcW w:w="995" w:type="dxa"/>
          </w:tcPr>
          <w:p>
            <w:pPr/>
          </w:p>
        </w:tc>
        <w:tc>
          <w:tcPr>
            <w:tcW w:w="1892" w:type="dxa"/>
          </w:tcPr>
          <w:p>
            <w:pPr/>
          </w:p>
        </w:tc>
      </w:tr>
      <w:tr>
        <w:trPr>
          <w:trHeight w:val="278" w:hRule="exact"/>
        </w:trPr>
        <w:tc>
          <w:tcPr>
            <w:tcW w:w="3138" w:type="dxa"/>
            <w:vMerge w:val="restart"/>
            <w:tcBorders>
              <w:top w:val="double" w:sz="5" w:space="0" w:color="000000"/>
              <w:right w:val="single" w:sz="6" w:space="0" w:color="000000"/>
            </w:tcBorders>
          </w:tcPr>
          <w:p>
            <w:pPr>
              <w:pStyle w:val="TableParagraph"/>
              <w:spacing w:line="278" w:lineRule="auto" w:before="15"/>
              <w:ind w:left="27" w:right="754"/>
              <w:jc w:val="left"/>
              <w:rPr>
                <w:sz w:val="19"/>
              </w:rPr>
            </w:pPr>
            <w:r>
              <w:rPr>
                <w:spacing w:val="-5"/>
                <w:w w:val="115"/>
                <w:sz w:val="19"/>
              </w:rPr>
              <w:t>Precios </w:t>
            </w:r>
            <w:r>
              <w:rPr>
                <w:w w:val="115"/>
                <w:sz w:val="19"/>
              </w:rPr>
              <w:t>del </w:t>
            </w:r>
            <w:r>
              <w:rPr>
                <w:spacing w:val="-6"/>
                <w:w w:val="115"/>
                <w:sz w:val="19"/>
              </w:rPr>
              <w:t>gas </w:t>
            </w:r>
            <w:r>
              <w:rPr>
                <w:spacing w:val="-7"/>
                <w:w w:val="115"/>
                <w:sz w:val="19"/>
              </w:rPr>
              <w:t>natural </w:t>
            </w:r>
            <w:r>
              <w:rPr>
                <w:color w:val="FF0000"/>
                <w:spacing w:val="-11"/>
                <w:w w:val="115"/>
                <w:sz w:val="19"/>
              </w:rPr>
              <w:t>Asign.  </w:t>
            </w:r>
            <w:r>
              <w:rPr>
                <w:color w:val="FF0000"/>
                <w:spacing w:val="-4"/>
                <w:w w:val="115"/>
                <w:sz w:val="19"/>
              </w:rPr>
              <w:t>De </w:t>
            </w:r>
            <w:r>
              <w:rPr>
                <w:color w:val="FF0000"/>
                <w:spacing w:val="-9"/>
                <w:w w:val="115"/>
                <w:sz w:val="19"/>
              </w:rPr>
              <w:t>Ing. </w:t>
            </w:r>
            <w:r>
              <w:rPr>
                <w:color w:val="FF0000"/>
                <w:spacing w:val="-6"/>
                <w:w w:val="115"/>
                <w:sz w:val="19"/>
              </w:rPr>
              <w:t>Fisc. </w:t>
            </w:r>
            <w:r>
              <w:rPr>
                <w:color w:val="FF0000"/>
                <w:spacing w:val="-9"/>
                <w:w w:val="115"/>
                <w:sz w:val="19"/>
              </w:rPr>
              <w:t>Gasíf.</w:t>
            </w:r>
          </w:p>
          <w:p>
            <w:pPr>
              <w:pStyle w:val="TableParagraph"/>
              <w:spacing w:line="278" w:lineRule="auto"/>
              <w:ind w:left="27" w:right="355"/>
              <w:jc w:val="left"/>
              <w:rPr>
                <w:sz w:val="19"/>
              </w:rPr>
            </w:pPr>
            <w:r>
              <w:rPr>
                <w:spacing w:val="-11"/>
                <w:w w:val="115"/>
                <w:sz w:val="19"/>
              </w:rPr>
              <w:t>Asign. </w:t>
            </w:r>
            <w:r>
              <w:rPr>
                <w:spacing w:val="-4"/>
                <w:w w:val="115"/>
                <w:sz w:val="19"/>
              </w:rPr>
              <w:t>De </w:t>
            </w:r>
            <w:r>
              <w:rPr>
                <w:spacing w:val="-9"/>
                <w:w w:val="115"/>
                <w:sz w:val="19"/>
              </w:rPr>
              <w:t>Ing. </w:t>
            </w:r>
            <w:r>
              <w:rPr>
                <w:spacing w:val="-6"/>
                <w:w w:val="115"/>
                <w:sz w:val="19"/>
              </w:rPr>
              <w:t>Fisc. </w:t>
            </w:r>
            <w:r>
              <w:rPr>
                <w:spacing w:val="2"/>
                <w:w w:val="115"/>
                <w:sz w:val="19"/>
              </w:rPr>
              <w:t>No </w:t>
            </w:r>
            <w:r>
              <w:rPr>
                <w:spacing w:val="-9"/>
                <w:w w:val="115"/>
                <w:sz w:val="19"/>
              </w:rPr>
              <w:t>Gasíf. </w:t>
            </w:r>
            <w:r>
              <w:rPr>
                <w:color w:val="FF0000"/>
                <w:spacing w:val="-9"/>
                <w:w w:val="115"/>
                <w:sz w:val="19"/>
              </w:rPr>
              <w:t>Bal.  </w:t>
            </w:r>
            <w:r>
              <w:rPr>
                <w:color w:val="FF0000"/>
                <w:spacing w:val="-8"/>
                <w:w w:val="115"/>
                <w:sz w:val="19"/>
              </w:rPr>
              <w:t>Global.  Cícl. </w:t>
            </w:r>
            <w:r>
              <w:rPr>
                <w:color w:val="FF0000"/>
                <w:spacing w:val="-7"/>
                <w:w w:val="115"/>
                <w:sz w:val="19"/>
              </w:rPr>
              <w:t>Ajust.</w:t>
            </w:r>
          </w:p>
          <w:p>
            <w:pPr>
              <w:pStyle w:val="TableParagraph"/>
              <w:ind w:left="27" w:right="355"/>
              <w:jc w:val="left"/>
              <w:rPr>
                <w:sz w:val="19"/>
              </w:rPr>
            </w:pPr>
            <w:r>
              <w:rPr>
                <w:w w:val="115"/>
                <w:sz w:val="19"/>
              </w:rPr>
              <w:t>Deuda pública</w:t>
            </w:r>
          </w:p>
        </w:tc>
        <w:tc>
          <w:tcPr>
            <w:tcW w:w="1509" w:type="dxa"/>
            <w:tcBorders>
              <w:left w:val="single" w:sz="6" w:space="0" w:color="000000"/>
            </w:tcBorders>
          </w:tcPr>
          <w:p>
            <w:pPr>
              <w:pStyle w:val="TableParagraph"/>
              <w:spacing w:before="33"/>
              <w:ind w:left="567" w:right="512"/>
              <w:rPr>
                <w:sz w:val="19"/>
              </w:rPr>
            </w:pPr>
            <w:r>
              <w:rPr>
                <w:w w:val="115"/>
                <w:sz w:val="19"/>
              </w:rPr>
              <w:t>0.98</w:t>
            </w:r>
          </w:p>
        </w:tc>
        <w:tc>
          <w:tcPr>
            <w:tcW w:w="1273" w:type="dxa"/>
          </w:tcPr>
          <w:p>
            <w:pPr>
              <w:pStyle w:val="TableParagraph"/>
              <w:spacing w:before="33"/>
              <w:ind w:left="511" w:right="338"/>
              <w:rPr>
                <w:sz w:val="19"/>
              </w:rPr>
            </w:pPr>
            <w:r>
              <w:rPr>
                <w:w w:val="115"/>
                <w:sz w:val="19"/>
              </w:rPr>
              <w:t>0.74</w:t>
            </w:r>
          </w:p>
        </w:tc>
        <w:tc>
          <w:tcPr>
            <w:tcW w:w="995" w:type="dxa"/>
          </w:tcPr>
          <w:p>
            <w:pPr>
              <w:pStyle w:val="TableParagraph"/>
              <w:spacing w:before="33"/>
              <w:ind w:left="343" w:right="155"/>
              <w:rPr>
                <w:sz w:val="19"/>
              </w:rPr>
            </w:pPr>
            <w:r>
              <w:rPr>
                <w:w w:val="115"/>
                <w:sz w:val="19"/>
              </w:rPr>
              <w:t>-0.63</w:t>
            </w:r>
          </w:p>
        </w:tc>
        <w:tc>
          <w:tcPr>
            <w:tcW w:w="1892" w:type="dxa"/>
          </w:tcPr>
          <w:p>
            <w:pPr>
              <w:pStyle w:val="TableParagraph"/>
              <w:spacing w:before="33"/>
              <w:ind w:left="89" w:right="7"/>
              <w:rPr>
                <w:sz w:val="19"/>
              </w:rPr>
            </w:pPr>
            <w:r>
              <w:rPr>
                <w:w w:val="115"/>
                <w:sz w:val="19"/>
              </w:rPr>
              <w:t>0.74</w:t>
            </w:r>
          </w:p>
        </w:tc>
      </w:tr>
      <w:tr>
        <w:trPr>
          <w:trHeight w:val="253" w:hRule="exact"/>
        </w:trPr>
        <w:tc>
          <w:tcPr>
            <w:tcW w:w="3138" w:type="dxa"/>
            <w:vMerge/>
            <w:tcBorders>
              <w:right w:val="single" w:sz="6" w:space="0" w:color="000000"/>
            </w:tcBorders>
          </w:tcPr>
          <w:p>
            <w:pPr/>
          </w:p>
        </w:tc>
        <w:tc>
          <w:tcPr>
            <w:tcW w:w="1509" w:type="dxa"/>
            <w:tcBorders>
              <w:left w:val="single" w:sz="6" w:space="0" w:color="000000"/>
            </w:tcBorders>
          </w:tcPr>
          <w:p>
            <w:pPr>
              <w:pStyle w:val="TableParagraph"/>
              <w:spacing w:before="7"/>
              <w:ind w:left="567" w:right="512"/>
              <w:rPr>
                <w:sz w:val="19"/>
              </w:rPr>
            </w:pPr>
            <w:r>
              <w:rPr>
                <w:color w:val="FF0000"/>
                <w:w w:val="115"/>
                <w:sz w:val="19"/>
              </w:rPr>
              <w:t>0.93</w:t>
            </w:r>
          </w:p>
        </w:tc>
        <w:tc>
          <w:tcPr>
            <w:tcW w:w="1273" w:type="dxa"/>
          </w:tcPr>
          <w:p>
            <w:pPr>
              <w:pStyle w:val="TableParagraph"/>
              <w:spacing w:before="7"/>
              <w:ind w:left="511" w:right="338"/>
              <w:rPr>
                <w:sz w:val="19"/>
              </w:rPr>
            </w:pPr>
            <w:r>
              <w:rPr>
                <w:color w:val="FF0000"/>
                <w:w w:val="115"/>
                <w:sz w:val="19"/>
              </w:rPr>
              <w:t>2.37</w:t>
            </w:r>
          </w:p>
        </w:tc>
        <w:tc>
          <w:tcPr>
            <w:tcW w:w="995" w:type="dxa"/>
          </w:tcPr>
          <w:p>
            <w:pPr>
              <w:pStyle w:val="TableParagraph"/>
              <w:spacing w:before="7"/>
              <w:ind w:left="342" w:right="155"/>
              <w:rPr>
                <w:sz w:val="19"/>
              </w:rPr>
            </w:pPr>
            <w:r>
              <w:rPr>
                <w:color w:val="FF0000"/>
                <w:w w:val="115"/>
                <w:sz w:val="19"/>
              </w:rPr>
              <w:t>1.80</w:t>
            </w:r>
          </w:p>
        </w:tc>
        <w:tc>
          <w:tcPr>
            <w:tcW w:w="1892" w:type="dxa"/>
          </w:tcPr>
          <w:p>
            <w:pPr>
              <w:pStyle w:val="TableParagraph"/>
              <w:spacing w:before="7"/>
              <w:ind w:left="89" w:right="7"/>
              <w:rPr>
                <w:sz w:val="19"/>
              </w:rPr>
            </w:pPr>
            <w:r>
              <w:rPr>
                <w:color w:val="FF0000"/>
                <w:w w:val="115"/>
                <w:sz w:val="19"/>
              </w:rPr>
              <w:t>0.04</w:t>
            </w:r>
          </w:p>
        </w:tc>
      </w:tr>
      <w:tr>
        <w:trPr>
          <w:trHeight w:val="253" w:hRule="exact"/>
        </w:trPr>
        <w:tc>
          <w:tcPr>
            <w:tcW w:w="3138" w:type="dxa"/>
            <w:vMerge/>
            <w:tcBorders>
              <w:right w:val="single" w:sz="6" w:space="0" w:color="000000"/>
            </w:tcBorders>
          </w:tcPr>
          <w:p>
            <w:pPr/>
          </w:p>
        </w:tc>
        <w:tc>
          <w:tcPr>
            <w:tcW w:w="1509" w:type="dxa"/>
            <w:tcBorders>
              <w:left w:val="single" w:sz="6" w:space="0" w:color="000000"/>
            </w:tcBorders>
          </w:tcPr>
          <w:p>
            <w:pPr>
              <w:pStyle w:val="TableParagraph"/>
              <w:spacing w:before="7"/>
              <w:ind w:left="567" w:right="512"/>
              <w:rPr>
                <w:sz w:val="19"/>
              </w:rPr>
            </w:pPr>
            <w:r>
              <w:rPr>
                <w:w w:val="115"/>
                <w:sz w:val="19"/>
              </w:rPr>
              <w:t>0.95</w:t>
            </w:r>
          </w:p>
        </w:tc>
        <w:tc>
          <w:tcPr>
            <w:tcW w:w="1273" w:type="dxa"/>
          </w:tcPr>
          <w:p>
            <w:pPr>
              <w:pStyle w:val="TableParagraph"/>
              <w:spacing w:before="7"/>
              <w:ind w:left="511" w:right="338"/>
              <w:rPr>
                <w:sz w:val="19"/>
              </w:rPr>
            </w:pPr>
            <w:r>
              <w:rPr>
                <w:w w:val="115"/>
                <w:sz w:val="19"/>
              </w:rPr>
              <w:t>1.74</w:t>
            </w:r>
          </w:p>
        </w:tc>
        <w:tc>
          <w:tcPr>
            <w:tcW w:w="995" w:type="dxa"/>
          </w:tcPr>
          <w:p>
            <w:pPr>
              <w:pStyle w:val="TableParagraph"/>
              <w:spacing w:before="7"/>
              <w:ind w:left="342" w:right="155"/>
              <w:rPr>
                <w:sz w:val="19"/>
              </w:rPr>
            </w:pPr>
            <w:r>
              <w:rPr>
                <w:w w:val="115"/>
                <w:sz w:val="19"/>
              </w:rPr>
              <w:t>1.16</w:t>
            </w:r>
          </w:p>
        </w:tc>
        <w:tc>
          <w:tcPr>
            <w:tcW w:w="1892" w:type="dxa"/>
          </w:tcPr>
          <w:p>
            <w:pPr>
              <w:pStyle w:val="TableParagraph"/>
              <w:spacing w:before="7"/>
              <w:ind w:left="89" w:right="7"/>
              <w:rPr>
                <w:sz w:val="19"/>
              </w:rPr>
            </w:pPr>
            <w:r>
              <w:rPr>
                <w:w w:val="115"/>
                <w:sz w:val="19"/>
              </w:rPr>
              <w:t>0.12</w:t>
            </w:r>
          </w:p>
        </w:tc>
      </w:tr>
      <w:tr>
        <w:trPr>
          <w:trHeight w:val="253" w:hRule="exact"/>
        </w:trPr>
        <w:tc>
          <w:tcPr>
            <w:tcW w:w="3138" w:type="dxa"/>
            <w:vMerge/>
            <w:tcBorders>
              <w:right w:val="single" w:sz="6" w:space="0" w:color="000000"/>
            </w:tcBorders>
          </w:tcPr>
          <w:p>
            <w:pPr/>
          </w:p>
        </w:tc>
        <w:tc>
          <w:tcPr>
            <w:tcW w:w="1509" w:type="dxa"/>
            <w:tcBorders>
              <w:left w:val="single" w:sz="6" w:space="0" w:color="000000"/>
            </w:tcBorders>
          </w:tcPr>
          <w:p>
            <w:pPr>
              <w:pStyle w:val="TableParagraph"/>
              <w:spacing w:before="7"/>
              <w:ind w:left="567" w:right="512"/>
              <w:rPr>
                <w:sz w:val="19"/>
              </w:rPr>
            </w:pPr>
            <w:r>
              <w:rPr>
                <w:color w:val="FF0000"/>
                <w:w w:val="115"/>
                <w:sz w:val="19"/>
              </w:rPr>
              <w:t>0.90</w:t>
            </w:r>
          </w:p>
        </w:tc>
        <w:tc>
          <w:tcPr>
            <w:tcW w:w="1273" w:type="dxa"/>
          </w:tcPr>
          <w:p>
            <w:pPr>
              <w:pStyle w:val="TableParagraph"/>
              <w:spacing w:before="7"/>
              <w:ind w:left="511" w:right="338"/>
              <w:rPr>
                <w:sz w:val="19"/>
              </w:rPr>
            </w:pPr>
            <w:r>
              <w:rPr>
                <w:color w:val="FF0000"/>
                <w:w w:val="115"/>
                <w:sz w:val="19"/>
              </w:rPr>
              <w:t>3.66</w:t>
            </w:r>
          </w:p>
        </w:tc>
        <w:tc>
          <w:tcPr>
            <w:tcW w:w="995" w:type="dxa"/>
          </w:tcPr>
          <w:p>
            <w:pPr>
              <w:pStyle w:val="TableParagraph"/>
              <w:spacing w:before="7"/>
              <w:ind w:left="342" w:right="155"/>
              <w:rPr>
                <w:sz w:val="19"/>
              </w:rPr>
            </w:pPr>
            <w:r>
              <w:rPr>
                <w:color w:val="FF0000"/>
                <w:w w:val="115"/>
                <w:sz w:val="19"/>
              </w:rPr>
              <w:t>2.70</w:t>
            </w:r>
          </w:p>
        </w:tc>
        <w:tc>
          <w:tcPr>
            <w:tcW w:w="1892" w:type="dxa"/>
          </w:tcPr>
          <w:p>
            <w:pPr>
              <w:pStyle w:val="TableParagraph"/>
              <w:spacing w:before="7"/>
              <w:ind w:left="89" w:right="7"/>
              <w:rPr>
                <w:sz w:val="19"/>
              </w:rPr>
            </w:pPr>
            <w:r>
              <w:rPr>
                <w:color w:val="FF0000"/>
                <w:w w:val="115"/>
                <w:sz w:val="19"/>
              </w:rPr>
              <w:t>0.00</w:t>
            </w:r>
          </w:p>
        </w:tc>
      </w:tr>
      <w:tr>
        <w:trPr>
          <w:trHeight w:val="251" w:hRule="exact"/>
        </w:trPr>
        <w:tc>
          <w:tcPr>
            <w:tcW w:w="3138" w:type="dxa"/>
            <w:vMerge/>
            <w:tcBorders>
              <w:bottom w:val="double" w:sz="5" w:space="0" w:color="000000"/>
              <w:right w:val="single" w:sz="6" w:space="0" w:color="000000"/>
            </w:tcBorders>
          </w:tcPr>
          <w:p>
            <w:pPr/>
          </w:p>
        </w:tc>
        <w:tc>
          <w:tcPr>
            <w:tcW w:w="1509" w:type="dxa"/>
            <w:tcBorders>
              <w:left w:val="single" w:sz="6" w:space="0" w:color="000000"/>
            </w:tcBorders>
          </w:tcPr>
          <w:p>
            <w:pPr>
              <w:pStyle w:val="TableParagraph"/>
              <w:spacing w:before="7"/>
              <w:ind w:left="567" w:right="512"/>
              <w:rPr>
                <w:sz w:val="19"/>
              </w:rPr>
            </w:pPr>
            <w:r>
              <w:rPr>
                <w:w w:val="115"/>
                <w:sz w:val="19"/>
              </w:rPr>
              <w:t>0.95</w:t>
            </w:r>
          </w:p>
        </w:tc>
        <w:tc>
          <w:tcPr>
            <w:tcW w:w="1273" w:type="dxa"/>
          </w:tcPr>
          <w:p>
            <w:pPr>
              <w:pStyle w:val="TableParagraph"/>
              <w:spacing w:before="7"/>
              <w:ind w:left="511" w:right="338"/>
              <w:rPr>
                <w:sz w:val="19"/>
              </w:rPr>
            </w:pPr>
            <w:r>
              <w:rPr>
                <w:w w:val="115"/>
                <w:sz w:val="19"/>
              </w:rPr>
              <w:t>1.74</w:t>
            </w:r>
          </w:p>
        </w:tc>
        <w:tc>
          <w:tcPr>
            <w:tcW w:w="995" w:type="dxa"/>
          </w:tcPr>
          <w:p>
            <w:pPr>
              <w:pStyle w:val="TableParagraph"/>
              <w:spacing w:before="7"/>
              <w:ind w:left="342" w:right="155"/>
              <w:rPr>
                <w:sz w:val="19"/>
              </w:rPr>
            </w:pPr>
            <w:r>
              <w:rPr>
                <w:w w:val="115"/>
                <w:sz w:val="19"/>
              </w:rPr>
              <w:t>1.16</w:t>
            </w:r>
          </w:p>
        </w:tc>
        <w:tc>
          <w:tcPr>
            <w:tcW w:w="1892" w:type="dxa"/>
          </w:tcPr>
          <w:p>
            <w:pPr>
              <w:pStyle w:val="TableParagraph"/>
              <w:spacing w:before="7"/>
              <w:ind w:left="89" w:right="7"/>
              <w:rPr>
                <w:sz w:val="19"/>
              </w:rPr>
            </w:pPr>
            <w:r>
              <w:rPr>
                <w:w w:val="115"/>
                <w:sz w:val="19"/>
              </w:rPr>
              <w:t>0.12</w:t>
            </w:r>
          </w:p>
        </w:tc>
      </w:tr>
      <w:tr>
        <w:trPr>
          <w:trHeight w:val="1540" w:hRule="exact"/>
        </w:trPr>
        <w:tc>
          <w:tcPr>
            <w:tcW w:w="3138" w:type="dxa"/>
            <w:tcBorders>
              <w:top w:val="double" w:sz="5" w:space="0" w:color="000000"/>
              <w:bottom w:val="double" w:sz="5" w:space="0" w:color="000000"/>
              <w:right w:val="single" w:sz="6" w:space="0" w:color="000000"/>
            </w:tcBorders>
          </w:tcPr>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152"/>
              <w:ind w:left="769" w:right="763"/>
              <w:rPr>
                <w:b/>
                <w:sz w:val="19"/>
              </w:rPr>
            </w:pPr>
            <w:r>
              <w:rPr>
                <w:b/>
                <w:color w:val="FF0000"/>
                <w:w w:val="115"/>
                <w:sz w:val="19"/>
              </w:rPr>
              <w:t>Modelo D</w:t>
            </w:r>
          </w:p>
          <w:p>
            <w:pPr>
              <w:pStyle w:val="TableParagraph"/>
              <w:spacing w:before="34"/>
              <w:ind w:left="769" w:right="770"/>
              <w:rPr>
                <w:sz w:val="19"/>
              </w:rPr>
            </w:pPr>
            <w:r>
              <w:rPr>
                <w:w w:val="115"/>
                <w:sz w:val="19"/>
              </w:rPr>
              <w:t>Nº de rezagos = 1</w:t>
            </w:r>
          </w:p>
          <w:p>
            <w:pPr>
              <w:pStyle w:val="TableParagraph"/>
              <w:spacing w:before="34"/>
              <w:ind w:left="769" w:right="769"/>
              <w:rPr>
                <w:b/>
                <w:sz w:val="19"/>
              </w:rPr>
            </w:pPr>
            <w:r>
              <w:rPr>
                <w:b/>
                <w:w w:val="115"/>
                <w:sz w:val="19"/>
              </w:rPr>
              <w:t>Componente</w:t>
            </w:r>
          </w:p>
        </w:tc>
        <w:tc>
          <w:tcPr>
            <w:tcW w:w="1509" w:type="dxa"/>
            <w:tcBorders>
              <w:left w:val="single" w:sz="6" w:space="0" w:color="000000"/>
            </w:tcBorders>
          </w:tcPr>
          <w:p>
            <w:pPr/>
          </w:p>
        </w:tc>
        <w:tc>
          <w:tcPr>
            <w:tcW w:w="1273" w:type="dxa"/>
          </w:tcPr>
          <w:p>
            <w:pPr/>
          </w:p>
        </w:tc>
        <w:tc>
          <w:tcPr>
            <w:tcW w:w="995" w:type="dxa"/>
          </w:tcPr>
          <w:p>
            <w:pPr/>
          </w:p>
        </w:tc>
        <w:tc>
          <w:tcPr>
            <w:tcW w:w="1892" w:type="dxa"/>
          </w:tcPr>
          <w:p>
            <w:pPr/>
          </w:p>
        </w:tc>
      </w:tr>
      <w:tr>
        <w:trPr>
          <w:trHeight w:val="278" w:hRule="exact"/>
        </w:trPr>
        <w:tc>
          <w:tcPr>
            <w:tcW w:w="3138" w:type="dxa"/>
            <w:vMerge w:val="restart"/>
            <w:tcBorders>
              <w:top w:val="double" w:sz="5" w:space="0" w:color="000000"/>
              <w:right w:val="single" w:sz="6" w:space="0" w:color="000000"/>
            </w:tcBorders>
          </w:tcPr>
          <w:p>
            <w:pPr>
              <w:pStyle w:val="TableParagraph"/>
              <w:spacing w:line="278" w:lineRule="auto" w:before="15"/>
              <w:ind w:left="27" w:right="754"/>
              <w:jc w:val="left"/>
              <w:rPr>
                <w:sz w:val="19"/>
              </w:rPr>
            </w:pPr>
            <w:r>
              <w:rPr>
                <w:spacing w:val="-5"/>
                <w:w w:val="115"/>
                <w:sz w:val="19"/>
              </w:rPr>
              <w:t>Precios </w:t>
            </w:r>
            <w:r>
              <w:rPr>
                <w:w w:val="115"/>
                <w:sz w:val="19"/>
              </w:rPr>
              <w:t>del </w:t>
            </w:r>
            <w:r>
              <w:rPr>
                <w:spacing w:val="-6"/>
                <w:w w:val="115"/>
                <w:sz w:val="19"/>
              </w:rPr>
              <w:t>gas </w:t>
            </w:r>
            <w:r>
              <w:rPr>
                <w:spacing w:val="-7"/>
                <w:w w:val="115"/>
                <w:sz w:val="19"/>
              </w:rPr>
              <w:t>natural </w:t>
            </w:r>
            <w:r>
              <w:rPr>
                <w:spacing w:val="-11"/>
                <w:w w:val="115"/>
                <w:sz w:val="19"/>
              </w:rPr>
              <w:t>Asign.  </w:t>
            </w:r>
            <w:r>
              <w:rPr>
                <w:spacing w:val="-4"/>
                <w:w w:val="115"/>
                <w:sz w:val="19"/>
              </w:rPr>
              <w:t>De </w:t>
            </w:r>
            <w:r>
              <w:rPr>
                <w:spacing w:val="-9"/>
                <w:w w:val="115"/>
                <w:sz w:val="19"/>
              </w:rPr>
              <w:t>Ing. </w:t>
            </w:r>
            <w:r>
              <w:rPr>
                <w:spacing w:val="-6"/>
                <w:w w:val="115"/>
                <w:sz w:val="19"/>
              </w:rPr>
              <w:t>Fisc. </w:t>
            </w:r>
            <w:r>
              <w:rPr>
                <w:spacing w:val="-9"/>
                <w:w w:val="115"/>
                <w:sz w:val="19"/>
              </w:rPr>
              <w:t>Gasíf.</w:t>
            </w:r>
          </w:p>
          <w:p>
            <w:pPr>
              <w:pStyle w:val="TableParagraph"/>
              <w:spacing w:line="278" w:lineRule="auto"/>
              <w:ind w:left="27" w:right="355"/>
              <w:jc w:val="left"/>
              <w:rPr>
                <w:sz w:val="19"/>
              </w:rPr>
            </w:pPr>
            <w:r>
              <w:rPr>
                <w:spacing w:val="-11"/>
                <w:w w:val="115"/>
                <w:sz w:val="19"/>
              </w:rPr>
              <w:t>Asign. </w:t>
            </w:r>
            <w:r>
              <w:rPr>
                <w:spacing w:val="-4"/>
                <w:w w:val="115"/>
                <w:sz w:val="19"/>
              </w:rPr>
              <w:t>De </w:t>
            </w:r>
            <w:r>
              <w:rPr>
                <w:spacing w:val="-9"/>
                <w:w w:val="115"/>
                <w:sz w:val="19"/>
              </w:rPr>
              <w:t>Ing. </w:t>
            </w:r>
            <w:r>
              <w:rPr>
                <w:spacing w:val="-6"/>
                <w:w w:val="115"/>
                <w:sz w:val="19"/>
              </w:rPr>
              <w:t>Fisc. </w:t>
            </w:r>
            <w:r>
              <w:rPr>
                <w:spacing w:val="2"/>
                <w:w w:val="115"/>
                <w:sz w:val="19"/>
              </w:rPr>
              <w:t>No </w:t>
            </w:r>
            <w:r>
              <w:rPr>
                <w:spacing w:val="-9"/>
                <w:w w:val="115"/>
                <w:sz w:val="19"/>
              </w:rPr>
              <w:t>Gasíf. </w:t>
            </w:r>
            <w:r>
              <w:rPr>
                <w:color w:val="FF0000"/>
                <w:spacing w:val="-9"/>
                <w:w w:val="115"/>
                <w:sz w:val="19"/>
              </w:rPr>
              <w:t>Bal. </w:t>
            </w:r>
            <w:r>
              <w:rPr>
                <w:color w:val="FF0000"/>
                <w:spacing w:val="-6"/>
                <w:w w:val="115"/>
                <w:sz w:val="19"/>
              </w:rPr>
              <w:t>Global</w:t>
            </w:r>
          </w:p>
          <w:p>
            <w:pPr>
              <w:pStyle w:val="TableParagraph"/>
              <w:ind w:left="27" w:right="355"/>
              <w:jc w:val="left"/>
              <w:rPr>
                <w:sz w:val="19"/>
              </w:rPr>
            </w:pPr>
            <w:r>
              <w:rPr>
                <w:color w:val="FF0000"/>
                <w:w w:val="115"/>
                <w:sz w:val="19"/>
              </w:rPr>
              <w:t>Deuda pública</w:t>
            </w:r>
          </w:p>
        </w:tc>
        <w:tc>
          <w:tcPr>
            <w:tcW w:w="1509" w:type="dxa"/>
            <w:tcBorders>
              <w:left w:val="single" w:sz="6" w:space="0" w:color="000000"/>
            </w:tcBorders>
          </w:tcPr>
          <w:p>
            <w:pPr>
              <w:pStyle w:val="TableParagraph"/>
              <w:spacing w:before="33"/>
              <w:ind w:left="567" w:right="512"/>
              <w:rPr>
                <w:sz w:val="19"/>
              </w:rPr>
            </w:pPr>
            <w:r>
              <w:rPr>
                <w:w w:val="115"/>
                <w:sz w:val="19"/>
              </w:rPr>
              <w:t>0.98</w:t>
            </w:r>
          </w:p>
        </w:tc>
        <w:tc>
          <w:tcPr>
            <w:tcW w:w="1273" w:type="dxa"/>
          </w:tcPr>
          <w:p>
            <w:pPr>
              <w:pStyle w:val="TableParagraph"/>
              <w:spacing w:before="33"/>
              <w:ind w:left="511" w:right="338"/>
              <w:rPr>
                <w:sz w:val="19"/>
              </w:rPr>
            </w:pPr>
            <w:r>
              <w:rPr>
                <w:w w:val="115"/>
                <w:sz w:val="19"/>
              </w:rPr>
              <w:t>0.84</w:t>
            </w:r>
          </w:p>
        </w:tc>
        <w:tc>
          <w:tcPr>
            <w:tcW w:w="995" w:type="dxa"/>
          </w:tcPr>
          <w:p>
            <w:pPr>
              <w:pStyle w:val="TableParagraph"/>
              <w:spacing w:before="33"/>
              <w:ind w:left="343" w:right="155"/>
              <w:rPr>
                <w:sz w:val="19"/>
              </w:rPr>
            </w:pPr>
            <w:r>
              <w:rPr>
                <w:w w:val="115"/>
                <w:sz w:val="19"/>
              </w:rPr>
              <w:t>-0.38</w:t>
            </w:r>
          </w:p>
        </w:tc>
        <w:tc>
          <w:tcPr>
            <w:tcW w:w="1892" w:type="dxa"/>
          </w:tcPr>
          <w:p>
            <w:pPr>
              <w:pStyle w:val="TableParagraph"/>
              <w:spacing w:before="33"/>
              <w:ind w:left="89" w:right="7"/>
              <w:rPr>
                <w:sz w:val="19"/>
              </w:rPr>
            </w:pPr>
            <w:r>
              <w:rPr>
                <w:w w:val="115"/>
                <w:sz w:val="19"/>
              </w:rPr>
              <w:t>0.65</w:t>
            </w:r>
          </w:p>
        </w:tc>
      </w:tr>
      <w:tr>
        <w:trPr>
          <w:trHeight w:val="253" w:hRule="exact"/>
        </w:trPr>
        <w:tc>
          <w:tcPr>
            <w:tcW w:w="3138" w:type="dxa"/>
            <w:vMerge/>
            <w:tcBorders>
              <w:right w:val="single" w:sz="6" w:space="0" w:color="000000"/>
            </w:tcBorders>
          </w:tcPr>
          <w:p>
            <w:pPr/>
          </w:p>
        </w:tc>
        <w:tc>
          <w:tcPr>
            <w:tcW w:w="1509" w:type="dxa"/>
            <w:tcBorders>
              <w:left w:val="single" w:sz="6" w:space="0" w:color="000000"/>
            </w:tcBorders>
          </w:tcPr>
          <w:p>
            <w:pPr>
              <w:pStyle w:val="TableParagraph"/>
              <w:spacing w:before="7"/>
              <w:ind w:left="567" w:right="512"/>
              <w:rPr>
                <w:sz w:val="19"/>
              </w:rPr>
            </w:pPr>
            <w:r>
              <w:rPr>
                <w:w w:val="115"/>
                <w:sz w:val="19"/>
              </w:rPr>
              <w:t>0.95</w:t>
            </w:r>
          </w:p>
        </w:tc>
        <w:tc>
          <w:tcPr>
            <w:tcW w:w="1273" w:type="dxa"/>
          </w:tcPr>
          <w:p>
            <w:pPr>
              <w:pStyle w:val="TableParagraph"/>
              <w:spacing w:before="7"/>
              <w:ind w:left="511" w:right="338"/>
              <w:rPr>
                <w:sz w:val="19"/>
              </w:rPr>
            </w:pPr>
            <w:r>
              <w:rPr>
                <w:w w:val="115"/>
                <w:sz w:val="19"/>
              </w:rPr>
              <w:t>1.79</w:t>
            </w:r>
          </w:p>
        </w:tc>
        <w:tc>
          <w:tcPr>
            <w:tcW w:w="995" w:type="dxa"/>
          </w:tcPr>
          <w:p>
            <w:pPr>
              <w:pStyle w:val="TableParagraph"/>
              <w:spacing w:before="7"/>
              <w:ind w:left="342" w:right="155"/>
              <w:rPr>
                <w:sz w:val="19"/>
              </w:rPr>
            </w:pPr>
            <w:r>
              <w:rPr>
                <w:w w:val="115"/>
                <w:sz w:val="19"/>
              </w:rPr>
              <w:t>1.21</w:t>
            </w:r>
          </w:p>
        </w:tc>
        <w:tc>
          <w:tcPr>
            <w:tcW w:w="1892" w:type="dxa"/>
          </w:tcPr>
          <w:p>
            <w:pPr>
              <w:pStyle w:val="TableParagraph"/>
              <w:spacing w:before="7"/>
              <w:ind w:left="89" w:right="7"/>
              <w:rPr>
                <w:sz w:val="19"/>
              </w:rPr>
            </w:pPr>
            <w:r>
              <w:rPr>
                <w:w w:val="115"/>
                <w:sz w:val="19"/>
              </w:rPr>
              <w:t>0.11</w:t>
            </w:r>
          </w:p>
        </w:tc>
      </w:tr>
      <w:tr>
        <w:trPr>
          <w:trHeight w:val="253" w:hRule="exact"/>
        </w:trPr>
        <w:tc>
          <w:tcPr>
            <w:tcW w:w="3138" w:type="dxa"/>
            <w:vMerge/>
            <w:tcBorders>
              <w:right w:val="single" w:sz="6" w:space="0" w:color="000000"/>
            </w:tcBorders>
          </w:tcPr>
          <w:p>
            <w:pPr/>
          </w:p>
        </w:tc>
        <w:tc>
          <w:tcPr>
            <w:tcW w:w="1509" w:type="dxa"/>
            <w:tcBorders>
              <w:left w:val="single" w:sz="6" w:space="0" w:color="000000"/>
            </w:tcBorders>
          </w:tcPr>
          <w:p>
            <w:pPr>
              <w:pStyle w:val="TableParagraph"/>
              <w:spacing w:before="7"/>
              <w:ind w:left="567" w:right="512"/>
              <w:rPr>
                <w:sz w:val="19"/>
              </w:rPr>
            </w:pPr>
            <w:r>
              <w:rPr>
                <w:w w:val="115"/>
                <w:sz w:val="19"/>
              </w:rPr>
              <w:t>0.95</w:t>
            </w:r>
          </w:p>
        </w:tc>
        <w:tc>
          <w:tcPr>
            <w:tcW w:w="1273" w:type="dxa"/>
          </w:tcPr>
          <w:p>
            <w:pPr>
              <w:pStyle w:val="TableParagraph"/>
              <w:spacing w:before="7"/>
              <w:ind w:left="511" w:right="338"/>
              <w:rPr>
                <w:sz w:val="19"/>
              </w:rPr>
            </w:pPr>
            <w:r>
              <w:rPr>
                <w:w w:val="115"/>
                <w:sz w:val="19"/>
              </w:rPr>
              <w:t>1.80</w:t>
            </w:r>
          </w:p>
        </w:tc>
        <w:tc>
          <w:tcPr>
            <w:tcW w:w="995" w:type="dxa"/>
          </w:tcPr>
          <w:p>
            <w:pPr>
              <w:pStyle w:val="TableParagraph"/>
              <w:spacing w:before="7"/>
              <w:ind w:left="342" w:right="155"/>
              <w:rPr>
                <w:sz w:val="19"/>
              </w:rPr>
            </w:pPr>
            <w:r>
              <w:rPr>
                <w:w w:val="115"/>
                <w:sz w:val="19"/>
              </w:rPr>
              <w:t>1.22</w:t>
            </w:r>
          </w:p>
        </w:tc>
        <w:tc>
          <w:tcPr>
            <w:tcW w:w="1892" w:type="dxa"/>
          </w:tcPr>
          <w:p>
            <w:pPr>
              <w:pStyle w:val="TableParagraph"/>
              <w:spacing w:before="7"/>
              <w:ind w:left="89" w:right="7"/>
              <w:rPr>
                <w:sz w:val="19"/>
              </w:rPr>
            </w:pPr>
            <w:r>
              <w:rPr>
                <w:w w:val="115"/>
                <w:sz w:val="19"/>
              </w:rPr>
              <w:t>0.11</w:t>
            </w:r>
          </w:p>
        </w:tc>
      </w:tr>
      <w:tr>
        <w:trPr>
          <w:trHeight w:val="253" w:hRule="exact"/>
        </w:trPr>
        <w:tc>
          <w:tcPr>
            <w:tcW w:w="3138" w:type="dxa"/>
            <w:vMerge/>
            <w:tcBorders>
              <w:right w:val="single" w:sz="6" w:space="0" w:color="000000"/>
            </w:tcBorders>
          </w:tcPr>
          <w:p>
            <w:pPr/>
          </w:p>
        </w:tc>
        <w:tc>
          <w:tcPr>
            <w:tcW w:w="1509" w:type="dxa"/>
            <w:tcBorders>
              <w:left w:val="single" w:sz="6" w:space="0" w:color="000000"/>
            </w:tcBorders>
          </w:tcPr>
          <w:p>
            <w:pPr>
              <w:pStyle w:val="TableParagraph"/>
              <w:spacing w:before="7"/>
              <w:ind w:left="567" w:right="512"/>
              <w:rPr>
                <w:sz w:val="19"/>
              </w:rPr>
            </w:pPr>
            <w:r>
              <w:rPr>
                <w:color w:val="FF0000"/>
                <w:w w:val="115"/>
                <w:sz w:val="19"/>
              </w:rPr>
              <w:t>0.91</w:t>
            </w:r>
          </w:p>
        </w:tc>
        <w:tc>
          <w:tcPr>
            <w:tcW w:w="1273" w:type="dxa"/>
          </w:tcPr>
          <w:p>
            <w:pPr>
              <w:pStyle w:val="TableParagraph"/>
              <w:spacing w:before="7"/>
              <w:ind w:left="511" w:right="338"/>
              <w:rPr>
                <w:sz w:val="19"/>
              </w:rPr>
            </w:pPr>
            <w:r>
              <w:rPr>
                <w:color w:val="FF0000"/>
                <w:w w:val="115"/>
                <w:sz w:val="19"/>
              </w:rPr>
              <w:t>3.28</w:t>
            </w:r>
          </w:p>
        </w:tc>
        <w:tc>
          <w:tcPr>
            <w:tcW w:w="995" w:type="dxa"/>
          </w:tcPr>
          <w:p>
            <w:pPr>
              <w:pStyle w:val="TableParagraph"/>
              <w:spacing w:before="7"/>
              <w:ind w:left="342" w:right="155"/>
              <w:rPr>
                <w:sz w:val="19"/>
              </w:rPr>
            </w:pPr>
            <w:r>
              <w:rPr>
                <w:color w:val="FF0000"/>
                <w:w w:val="115"/>
                <w:sz w:val="19"/>
              </w:rPr>
              <w:t>2.48</w:t>
            </w:r>
          </w:p>
        </w:tc>
        <w:tc>
          <w:tcPr>
            <w:tcW w:w="1892" w:type="dxa"/>
          </w:tcPr>
          <w:p>
            <w:pPr>
              <w:pStyle w:val="TableParagraph"/>
              <w:spacing w:before="7"/>
              <w:ind w:left="89" w:right="7"/>
              <w:rPr>
                <w:sz w:val="19"/>
              </w:rPr>
            </w:pPr>
            <w:r>
              <w:rPr>
                <w:color w:val="FF0000"/>
                <w:w w:val="115"/>
                <w:sz w:val="19"/>
              </w:rPr>
              <w:t>0.01</w:t>
            </w:r>
          </w:p>
        </w:tc>
      </w:tr>
      <w:tr>
        <w:trPr>
          <w:trHeight w:val="251" w:hRule="exact"/>
        </w:trPr>
        <w:tc>
          <w:tcPr>
            <w:tcW w:w="3138" w:type="dxa"/>
            <w:vMerge/>
            <w:tcBorders>
              <w:bottom w:val="double" w:sz="5" w:space="0" w:color="000000"/>
              <w:right w:val="single" w:sz="6" w:space="0" w:color="000000"/>
            </w:tcBorders>
          </w:tcPr>
          <w:p>
            <w:pPr/>
          </w:p>
        </w:tc>
        <w:tc>
          <w:tcPr>
            <w:tcW w:w="1509" w:type="dxa"/>
            <w:tcBorders>
              <w:left w:val="single" w:sz="6" w:space="0" w:color="000000"/>
              <w:bottom w:val="double" w:sz="5" w:space="0" w:color="000000"/>
            </w:tcBorders>
          </w:tcPr>
          <w:p>
            <w:pPr>
              <w:pStyle w:val="TableParagraph"/>
              <w:spacing w:before="7"/>
              <w:ind w:left="567" w:right="512"/>
              <w:rPr>
                <w:sz w:val="19"/>
              </w:rPr>
            </w:pPr>
            <w:r>
              <w:rPr>
                <w:color w:val="FF0000"/>
                <w:w w:val="115"/>
                <w:sz w:val="19"/>
              </w:rPr>
              <w:t>0.92</w:t>
            </w:r>
          </w:p>
        </w:tc>
        <w:tc>
          <w:tcPr>
            <w:tcW w:w="1273" w:type="dxa"/>
            <w:tcBorders>
              <w:bottom w:val="double" w:sz="5" w:space="0" w:color="000000"/>
            </w:tcBorders>
          </w:tcPr>
          <w:p>
            <w:pPr>
              <w:pStyle w:val="TableParagraph"/>
              <w:spacing w:before="7"/>
              <w:ind w:left="511" w:right="338"/>
              <w:rPr>
                <w:sz w:val="19"/>
              </w:rPr>
            </w:pPr>
            <w:r>
              <w:rPr>
                <w:color w:val="FF0000"/>
                <w:w w:val="115"/>
                <w:sz w:val="19"/>
              </w:rPr>
              <w:t>2.86</w:t>
            </w:r>
          </w:p>
        </w:tc>
        <w:tc>
          <w:tcPr>
            <w:tcW w:w="995" w:type="dxa"/>
            <w:tcBorders>
              <w:bottom w:val="double" w:sz="5" w:space="0" w:color="000000"/>
            </w:tcBorders>
          </w:tcPr>
          <w:p>
            <w:pPr>
              <w:pStyle w:val="TableParagraph"/>
              <w:spacing w:before="7"/>
              <w:ind w:left="342" w:right="155"/>
              <w:rPr>
                <w:sz w:val="19"/>
              </w:rPr>
            </w:pPr>
            <w:r>
              <w:rPr>
                <w:color w:val="FF0000"/>
                <w:w w:val="115"/>
                <w:sz w:val="19"/>
              </w:rPr>
              <w:t>2.19</w:t>
            </w:r>
          </w:p>
        </w:tc>
        <w:tc>
          <w:tcPr>
            <w:tcW w:w="1892" w:type="dxa"/>
            <w:tcBorders>
              <w:bottom w:val="double" w:sz="5" w:space="0" w:color="000000"/>
            </w:tcBorders>
          </w:tcPr>
          <w:p>
            <w:pPr>
              <w:pStyle w:val="TableParagraph"/>
              <w:spacing w:before="7"/>
              <w:ind w:left="89" w:right="7"/>
              <w:rPr>
                <w:sz w:val="19"/>
              </w:rPr>
            </w:pPr>
            <w:r>
              <w:rPr>
                <w:color w:val="FF0000"/>
                <w:w w:val="115"/>
                <w:sz w:val="19"/>
              </w:rPr>
              <w:t>0.01</w:t>
            </w:r>
          </w:p>
        </w:tc>
      </w:tr>
    </w:tbl>
    <w:p>
      <w:pPr>
        <w:spacing w:before="140"/>
        <w:ind w:left="102" w:right="148" w:firstLine="0"/>
        <w:jc w:val="left"/>
        <w:rPr>
          <w:sz w:val="20"/>
        </w:rPr>
      </w:pPr>
      <w:r>
        <w:rPr>
          <w:sz w:val="20"/>
        </w:rPr>
        <w:t>Los valores indican la probabilidad de no rechazar la hipótesis nula de normalidad de los  residuos.</w:t>
      </w:r>
    </w:p>
    <w:p>
      <w:pPr>
        <w:spacing w:after="0"/>
        <w:jc w:val="left"/>
        <w:rPr>
          <w:sz w:val="20"/>
        </w:rPr>
        <w:sectPr>
          <w:pgSz w:w="12250" w:h="15850"/>
          <w:pgMar w:header="0" w:footer="977" w:top="1360" w:bottom="1220" w:left="1600" w:right="1540"/>
        </w:sectPr>
      </w:pPr>
    </w:p>
    <w:p>
      <w:pPr>
        <w:pStyle w:val="BodyText"/>
        <w:spacing w:before="50"/>
        <w:ind w:left="102" w:right="975"/>
      </w:pPr>
      <w:r>
        <w:rPr/>
        <w:t>Anexo 4.7 B: Prueba de especificación de no autocorrelación serial</w:t>
      </w:r>
    </w:p>
    <w:p>
      <w:pPr>
        <w:pStyle w:val="BodyText"/>
        <w:spacing w:before="1"/>
        <w:rPr>
          <w:sz w:val="14"/>
        </w:rPr>
      </w:pPr>
    </w:p>
    <w:p>
      <w:pPr>
        <w:tabs>
          <w:tab w:pos="3475" w:val="left" w:leader="none"/>
          <w:tab w:pos="5868" w:val="left" w:leader="none"/>
          <w:tab w:pos="8260" w:val="left" w:leader="none"/>
        </w:tabs>
        <w:spacing w:before="70"/>
        <w:ind w:left="1043" w:right="975" w:firstLine="0"/>
        <w:jc w:val="left"/>
        <w:rPr>
          <w:b/>
          <w:sz w:val="23"/>
        </w:rPr>
      </w:pPr>
      <w:r>
        <w:rPr>
          <w:b/>
          <w:color w:val="FF0000"/>
          <w:w w:val="65"/>
          <w:sz w:val="23"/>
        </w:rPr>
        <w:t>Modelo</w:t>
      </w:r>
      <w:r>
        <w:rPr>
          <w:b/>
          <w:color w:val="FF0000"/>
          <w:spacing w:val="-24"/>
          <w:w w:val="65"/>
          <w:sz w:val="23"/>
        </w:rPr>
        <w:t> </w:t>
      </w:r>
      <w:r>
        <w:rPr>
          <w:b/>
          <w:color w:val="FF0000"/>
          <w:w w:val="65"/>
          <w:sz w:val="23"/>
        </w:rPr>
        <w:t>A</w:t>
        <w:tab/>
        <w:t>Modelo</w:t>
      </w:r>
      <w:r>
        <w:rPr>
          <w:b/>
          <w:color w:val="FF0000"/>
          <w:spacing w:val="-24"/>
          <w:w w:val="65"/>
          <w:sz w:val="23"/>
        </w:rPr>
        <w:t> </w:t>
      </w:r>
      <w:r>
        <w:rPr>
          <w:b/>
          <w:color w:val="FF0000"/>
          <w:w w:val="65"/>
          <w:sz w:val="23"/>
        </w:rPr>
        <w:t>B</w:t>
        <w:tab/>
        <w:t>Modelo</w:t>
      </w:r>
      <w:r>
        <w:rPr>
          <w:b/>
          <w:color w:val="FF0000"/>
          <w:spacing w:val="-24"/>
          <w:w w:val="65"/>
          <w:sz w:val="23"/>
        </w:rPr>
        <w:t> </w:t>
      </w:r>
      <w:r>
        <w:rPr>
          <w:b/>
          <w:color w:val="FF0000"/>
          <w:w w:val="65"/>
          <w:sz w:val="23"/>
        </w:rPr>
        <w:t>C</w:t>
        <w:tab/>
      </w:r>
      <w:r>
        <w:rPr>
          <w:b/>
          <w:color w:val="FF0000"/>
          <w:w w:val="55"/>
          <w:sz w:val="23"/>
        </w:rPr>
        <w:t>Modelo</w:t>
      </w:r>
      <w:r>
        <w:rPr>
          <w:b/>
          <w:color w:val="FF0000"/>
          <w:spacing w:val="-1"/>
          <w:w w:val="55"/>
          <w:sz w:val="23"/>
        </w:rPr>
        <w:t> </w:t>
      </w:r>
      <w:r>
        <w:rPr>
          <w:b/>
          <w:color w:val="FF0000"/>
          <w:w w:val="55"/>
          <w:sz w:val="23"/>
        </w:rPr>
        <w:t>D</w:t>
      </w:r>
    </w:p>
    <w:p>
      <w:pPr>
        <w:spacing w:after="0"/>
        <w:jc w:val="left"/>
        <w:rPr>
          <w:sz w:val="23"/>
        </w:rPr>
        <w:sectPr>
          <w:pgSz w:w="12250" w:h="15850"/>
          <w:pgMar w:header="0" w:footer="977" w:top="1360" w:bottom="1220" w:left="1600" w:right="840"/>
        </w:sectPr>
      </w:pPr>
    </w:p>
    <w:p>
      <w:pPr>
        <w:spacing w:before="195"/>
        <w:ind w:left="375" w:right="-2" w:firstLine="0"/>
        <w:jc w:val="left"/>
        <w:rPr>
          <w:b/>
          <w:sz w:val="23"/>
        </w:rPr>
      </w:pPr>
      <w:r>
        <w:rPr>
          <w:b/>
          <w:w w:val="55"/>
          <w:sz w:val="23"/>
        </w:rPr>
        <w:t>Nº </w:t>
      </w:r>
      <w:r>
        <w:rPr>
          <w:b/>
          <w:spacing w:val="-5"/>
          <w:w w:val="55"/>
          <w:sz w:val="23"/>
        </w:rPr>
        <w:t>de </w:t>
      </w:r>
      <w:r>
        <w:rPr>
          <w:b/>
          <w:spacing w:val="-3"/>
          <w:w w:val="55"/>
          <w:sz w:val="23"/>
        </w:rPr>
        <w:t>rezago </w:t>
      </w:r>
      <w:r>
        <w:rPr>
          <w:b/>
          <w:w w:val="55"/>
          <w:sz w:val="23"/>
        </w:rPr>
        <w:t>LM-Sta</w:t>
      </w:r>
    </w:p>
    <w:p>
      <w:pPr>
        <w:spacing w:before="37"/>
        <w:ind w:left="370" w:right="-12" w:firstLine="0"/>
        <w:jc w:val="left"/>
        <w:rPr>
          <w:b/>
          <w:sz w:val="23"/>
        </w:rPr>
      </w:pPr>
      <w:r>
        <w:rPr/>
        <w:br w:type="column"/>
      </w:r>
      <w:r>
        <w:rPr>
          <w:b/>
          <w:spacing w:val="-4"/>
          <w:w w:val="55"/>
          <w:sz w:val="23"/>
        </w:rPr>
        <w:t>Prob.No</w:t>
      </w:r>
    </w:p>
    <w:p>
      <w:pPr>
        <w:spacing w:before="195"/>
        <w:ind w:left="375" w:right="-2" w:firstLine="0"/>
        <w:jc w:val="left"/>
        <w:rPr>
          <w:b/>
          <w:sz w:val="23"/>
        </w:rPr>
      </w:pPr>
      <w:r>
        <w:rPr/>
        <w:br w:type="column"/>
      </w:r>
      <w:r>
        <w:rPr>
          <w:b/>
          <w:w w:val="55"/>
          <w:sz w:val="23"/>
        </w:rPr>
        <w:t>Nº </w:t>
      </w:r>
      <w:r>
        <w:rPr>
          <w:b/>
          <w:spacing w:val="-5"/>
          <w:w w:val="55"/>
          <w:sz w:val="23"/>
        </w:rPr>
        <w:t>de </w:t>
      </w:r>
      <w:r>
        <w:rPr>
          <w:b/>
          <w:spacing w:val="-3"/>
          <w:w w:val="55"/>
          <w:sz w:val="23"/>
        </w:rPr>
        <w:t>rezago </w:t>
      </w:r>
      <w:r>
        <w:rPr>
          <w:b/>
          <w:w w:val="55"/>
          <w:sz w:val="23"/>
        </w:rPr>
        <w:t>LM-Sta</w:t>
      </w:r>
    </w:p>
    <w:p>
      <w:pPr>
        <w:spacing w:before="37"/>
        <w:ind w:left="375" w:right="-12" w:firstLine="0"/>
        <w:jc w:val="left"/>
        <w:rPr>
          <w:b/>
          <w:sz w:val="23"/>
        </w:rPr>
      </w:pPr>
      <w:r>
        <w:rPr/>
        <w:br w:type="column"/>
      </w:r>
      <w:r>
        <w:rPr>
          <w:b/>
          <w:spacing w:val="-4"/>
          <w:w w:val="55"/>
          <w:sz w:val="23"/>
        </w:rPr>
        <w:t>Prob.No</w:t>
      </w:r>
    </w:p>
    <w:p>
      <w:pPr>
        <w:spacing w:before="195"/>
        <w:ind w:left="375" w:right="-2" w:firstLine="0"/>
        <w:jc w:val="left"/>
        <w:rPr>
          <w:b/>
          <w:sz w:val="23"/>
        </w:rPr>
      </w:pPr>
      <w:r>
        <w:rPr/>
        <w:br w:type="column"/>
      </w:r>
      <w:r>
        <w:rPr>
          <w:b/>
          <w:w w:val="55"/>
          <w:sz w:val="23"/>
        </w:rPr>
        <w:t>Nº </w:t>
      </w:r>
      <w:r>
        <w:rPr>
          <w:b/>
          <w:spacing w:val="-5"/>
          <w:w w:val="55"/>
          <w:sz w:val="23"/>
        </w:rPr>
        <w:t>de </w:t>
      </w:r>
      <w:r>
        <w:rPr>
          <w:b/>
          <w:spacing w:val="-3"/>
          <w:w w:val="55"/>
          <w:sz w:val="23"/>
        </w:rPr>
        <w:t>rezago </w:t>
      </w:r>
      <w:r>
        <w:rPr>
          <w:b/>
          <w:w w:val="55"/>
          <w:sz w:val="23"/>
        </w:rPr>
        <w:t>LM-Stat</w:t>
      </w:r>
    </w:p>
    <w:p>
      <w:pPr>
        <w:spacing w:line="211" w:lineRule="exact" w:before="37"/>
        <w:ind w:left="273" w:right="0" w:firstLine="0"/>
        <w:jc w:val="left"/>
        <w:rPr>
          <w:b/>
          <w:sz w:val="23"/>
        </w:rPr>
      </w:pPr>
      <w:r>
        <w:rPr/>
        <w:br w:type="column"/>
      </w:r>
      <w:r>
        <w:rPr>
          <w:b/>
          <w:w w:val="65"/>
          <w:sz w:val="23"/>
        </w:rPr>
        <w:t>Prob.No</w:t>
      </w:r>
    </w:p>
    <w:p>
      <w:pPr>
        <w:tabs>
          <w:tab w:pos="1130" w:val="left" w:leader="none"/>
        </w:tabs>
        <w:spacing w:line="351" w:lineRule="exact" w:before="0"/>
        <w:ind w:left="336" w:right="0" w:firstLine="0"/>
        <w:jc w:val="left"/>
        <w:rPr>
          <w:b/>
          <w:sz w:val="23"/>
        </w:rPr>
      </w:pPr>
      <w:r>
        <w:rPr/>
        <w:pict>
          <v:shape style="position:absolute;margin-left:86.943184pt;margin-top:6.002846pt;width:477.75pt;height:31.9pt;mso-position-horizontal-relative:page;mso-position-vertical-relative:paragraph;z-index:1883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34"/>
                    <w:gridCol w:w="1330"/>
                    <w:gridCol w:w="1086"/>
                    <w:gridCol w:w="1027"/>
                    <w:gridCol w:w="110"/>
                    <w:gridCol w:w="1271"/>
                    <w:gridCol w:w="940"/>
                    <w:gridCol w:w="118"/>
                    <w:gridCol w:w="1303"/>
                    <w:gridCol w:w="1035"/>
                  </w:tblGrid>
                  <w:tr>
                    <w:trPr>
                      <w:trHeight w:val="264" w:hRule="exact"/>
                    </w:trPr>
                    <w:tc>
                      <w:tcPr>
                        <w:tcW w:w="1334" w:type="dxa"/>
                        <w:tcBorders>
                          <w:bottom w:val="double" w:sz="6" w:space="0" w:color="000000"/>
                        </w:tcBorders>
                      </w:tcPr>
                      <w:p>
                        <w:pPr/>
                      </w:p>
                    </w:tc>
                    <w:tc>
                      <w:tcPr>
                        <w:tcW w:w="1330" w:type="dxa"/>
                        <w:tcBorders>
                          <w:bottom w:val="double" w:sz="6" w:space="0" w:color="000000"/>
                        </w:tcBorders>
                      </w:tcPr>
                      <w:p>
                        <w:pPr>
                          <w:pStyle w:val="TableParagraph"/>
                          <w:tabs>
                            <w:tab w:pos="473" w:val="left" w:leader="none"/>
                          </w:tabs>
                          <w:spacing w:line="235" w:lineRule="exact"/>
                          <w:ind w:right="521"/>
                          <w:jc w:val="right"/>
                          <w:rPr>
                            <w:b/>
                            <w:sz w:val="23"/>
                          </w:rPr>
                        </w:pPr>
                        <w:r>
                          <w:rPr>
                            <w:b/>
                            <w:w w:val="65"/>
                            <w:position w:val="14"/>
                            <w:sz w:val="23"/>
                          </w:rPr>
                          <w:t>t</w:t>
                          <w:tab/>
                        </w:r>
                        <w:r>
                          <w:rPr>
                            <w:b/>
                            <w:spacing w:val="-3"/>
                            <w:w w:val="55"/>
                            <w:sz w:val="23"/>
                          </w:rPr>
                          <w:t>autoc.</w:t>
                        </w:r>
                      </w:p>
                    </w:tc>
                    <w:tc>
                      <w:tcPr>
                        <w:tcW w:w="1086" w:type="dxa"/>
                        <w:tcBorders>
                          <w:bottom w:val="double" w:sz="6" w:space="0" w:color="000000"/>
                        </w:tcBorders>
                      </w:tcPr>
                      <w:p>
                        <w:pPr/>
                      </w:p>
                    </w:tc>
                    <w:tc>
                      <w:tcPr>
                        <w:tcW w:w="1027" w:type="dxa"/>
                        <w:tcBorders>
                          <w:bottom w:val="double" w:sz="6" w:space="0" w:color="000000"/>
                        </w:tcBorders>
                      </w:tcPr>
                      <w:p>
                        <w:pPr>
                          <w:pStyle w:val="TableParagraph"/>
                          <w:tabs>
                            <w:tab w:pos="489" w:val="left" w:leader="none"/>
                          </w:tabs>
                          <w:spacing w:line="235" w:lineRule="exact"/>
                          <w:ind w:right="210"/>
                          <w:jc w:val="right"/>
                          <w:rPr>
                            <w:b/>
                            <w:sz w:val="23"/>
                          </w:rPr>
                        </w:pPr>
                        <w:r>
                          <w:rPr>
                            <w:b/>
                            <w:w w:val="65"/>
                            <w:position w:val="14"/>
                            <w:sz w:val="23"/>
                          </w:rPr>
                          <w:t>t</w:t>
                          <w:tab/>
                        </w:r>
                        <w:r>
                          <w:rPr>
                            <w:b/>
                            <w:spacing w:val="-3"/>
                            <w:w w:val="55"/>
                            <w:sz w:val="23"/>
                          </w:rPr>
                          <w:t>autoc.</w:t>
                        </w:r>
                      </w:p>
                    </w:tc>
                    <w:tc>
                      <w:tcPr>
                        <w:tcW w:w="4777" w:type="dxa"/>
                        <w:gridSpan w:val="6"/>
                      </w:tcPr>
                      <w:p>
                        <w:pPr/>
                      </w:p>
                    </w:tc>
                  </w:tr>
                  <w:tr>
                    <w:trPr>
                      <w:trHeight w:val="330" w:hRule="exact"/>
                    </w:trPr>
                    <w:tc>
                      <w:tcPr>
                        <w:tcW w:w="1334" w:type="dxa"/>
                        <w:tcBorders>
                          <w:top w:val="double" w:sz="6" w:space="0" w:color="000000"/>
                          <w:bottom w:val="double" w:sz="6" w:space="0" w:color="000000"/>
                        </w:tcBorders>
                      </w:tcPr>
                      <w:p>
                        <w:pPr>
                          <w:pStyle w:val="TableParagraph"/>
                          <w:spacing w:before="15"/>
                          <w:ind w:left="287"/>
                          <w:rPr>
                            <w:sz w:val="23"/>
                          </w:rPr>
                        </w:pPr>
                        <w:r>
                          <w:rPr>
                            <w:w w:val="55"/>
                            <w:sz w:val="23"/>
                          </w:rPr>
                          <w:t>1</w:t>
                        </w:r>
                      </w:p>
                    </w:tc>
                    <w:tc>
                      <w:tcPr>
                        <w:tcW w:w="1330" w:type="dxa"/>
                        <w:tcBorders>
                          <w:top w:val="double" w:sz="6" w:space="0" w:color="000000"/>
                          <w:bottom w:val="double" w:sz="6" w:space="0" w:color="000000"/>
                        </w:tcBorders>
                      </w:tcPr>
                      <w:p>
                        <w:pPr>
                          <w:pStyle w:val="TableParagraph"/>
                          <w:spacing w:before="15"/>
                          <w:ind w:right="568"/>
                          <w:jc w:val="right"/>
                          <w:rPr>
                            <w:sz w:val="23"/>
                          </w:rPr>
                        </w:pPr>
                        <w:r>
                          <w:rPr>
                            <w:w w:val="55"/>
                            <w:sz w:val="23"/>
                          </w:rPr>
                          <w:t>0.13</w:t>
                        </w:r>
                      </w:p>
                    </w:tc>
                    <w:tc>
                      <w:tcPr>
                        <w:tcW w:w="1086" w:type="dxa"/>
                        <w:tcBorders>
                          <w:top w:val="double" w:sz="6" w:space="0" w:color="000000"/>
                          <w:bottom w:val="double" w:sz="6" w:space="0" w:color="000000"/>
                        </w:tcBorders>
                      </w:tcPr>
                      <w:p>
                        <w:pPr>
                          <w:pStyle w:val="TableParagraph"/>
                          <w:spacing w:before="15"/>
                          <w:ind w:left="23"/>
                          <w:rPr>
                            <w:sz w:val="23"/>
                          </w:rPr>
                        </w:pPr>
                        <w:r>
                          <w:rPr>
                            <w:w w:val="55"/>
                            <w:sz w:val="23"/>
                          </w:rPr>
                          <w:t>1</w:t>
                        </w:r>
                      </w:p>
                    </w:tc>
                    <w:tc>
                      <w:tcPr>
                        <w:tcW w:w="1027" w:type="dxa"/>
                        <w:tcBorders>
                          <w:top w:val="double" w:sz="6" w:space="0" w:color="000000"/>
                          <w:bottom w:val="double" w:sz="6" w:space="0" w:color="000000"/>
                        </w:tcBorders>
                      </w:tcPr>
                      <w:p>
                        <w:pPr>
                          <w:pStyle w:val="TableParagraph"/>
                          <w:spacing w:before="15"/>
                          <w:ind w:right="257"/>
                          <w:jc w:val="right"/>
                          <w:rPr>
                            <w:sz w:val="23"/>
                          </w:rPr>
                        </w:pPr>
                        <w:r>
                          <w:rPr>
                            <w:w w:val="55"/>
                            <w:sz w:val="23"/>
                          </w:rPr>
                          <w:t>0.27</w:t>
                        </w:r>
                      </w:p>
                    </w:tc>
                    <w:tc>
                      <w:tcPr>
                        <w:tcW w:w="110" w:type="dxa"/>
                      </w:tcPr>
                      <w:p>
                        <w:pPr/>
                      </w:p>
                    </w:tc>
                    <w:tc>
                      <w:tcPr>
                        <w:tcW w:w="1271" w:type="dxa"/>
                        <w:tcBorders>
                          <w:top w:val="double" w:sz="6" w:space="0" w:color="000000"/>
                          <w:bottom w:val="double" w:sz="6" w:space="0" w:color="000000"/>
                        </w:tcBorders>
                      </w:tcPr>
                      <w:p>
                        <w:pPr>
                          <w:pStyle w:val="TableParagraph"/>
                          <w:spacing w:before="15"/>
                          <w:ind w:left="287"/>
                          <w:rPr>
                            <w:sz w:val="23"/>
                          </w:rPr>
                        </w:pPr>
                        <w:r>
                          <w:rPr>
                            <w:w w:val="55"/>
                            <w:sz w:val="23"/>
                          </w:rPr>
                          <w:t>1</w:t>
                        </w:r>
                      </w:p>
                    </w:tc>
                    <w:tc>
                      <w:tcPr>
                        <w:tcW w:w="940" w:type="dxa"/>
                        <w:tcBorders>
                          <w:top w:val="double" w:sz="6" w:space="0" w:color="000000"/>
                          <w:bottom w:val="double" w:sz="6" w:space="0" w:color="000000"/>
                        </w:tcBorders>
                      </w:tcPr>
                      <w:p>
                        <w:pPr>
                          <w:pStyle w:val="TableParagraph"/>
                          <w:spacing w:before="15"/>
                          <w:ind w:left="507"/>
                          <w:jc w:val="left"/>
                          <w:rPr>
                            <w:sz w:val="23"/>
                          </w:rPr>
                        </w:pPr>
                        <w:r>
                          <w:rPr>
                            <w:w w:val="65"/>
                            <w:sz w:val="23"/>
                          </w:rPr>
                          <w:t>0.25</w:t>
                        </w:r>
                      </w:p>
                    </w:tc>
                    <w:tc>
                      <w:tcPr>
                        <w:tcW w:w="118" w:type="dxa"/>
                      </w:tcPr>
                      <w:p>
                        <w:pPr/>
                      </w:p>
                    </w:tc>
                    <w:tc>
                      <w:tcPr>
                        <w:tcW w:w="1303" w:type="dxa"/>
                        <w:tcBorders>
                          <w:top w:val="double" w:sz="6" w:space="0" w:color="000000"/>
                          <w:bottom w:val="double" w:sz="6" w:space="0" w:color="000000"/>
                        </w:tcBorders>
                      </w:tcPr>
                      <w:p>
                        <w:pPr>
                          <w:pStyle w:val="TableParagraph"/>
                          <w:spacing w:before="15"/>
                          <w:ind w:left="256"/>
                          <w:rPr>
                            <w:sz w:val="23"/>
                          </w:rPr>
                        </w:pPr>
                        <w:r>
                          <w:rPr>
                            <w:w w:val="55"/>
                            <w:sz w:val="23"/>
                          </w:rPr>
                          <w:t>1</w:t>
                        </w:r>
                      </w:p>
                    </w:tc>
                    <w:tc>
                      <w:tcPr>
                        <w:tcW w:w="1035" w:type="dxa"/>
                        <w:tcBorders>
                          <w:top w:val="double" w:sz="6" w:space="0" w:color="000000"/>
                          <w:bottom w:val="double" w:sz="6" w:space="0" w:color="000000"/>
                        </w:tcBorders>
                      </w:tcPr>
                      <w:p>
                        <w:pPr>
                          <w:pStyle w:val="TableParagraph"/>
                          <w:spacing w:before="15"/>
                          <w:ind w:left="538"/>
                          <w:jc w:val="left"/>
                          <w:rPr>
                            <w:sz w:val="23"/>
                          </w:rPr>
                        </w:pPr>
                        <w:r>
                          <w:rPr>
                            <w:w w:val="65"/>
                            <w:sz w:val="23"/>
                          </w:rPr>
                          <w:t>0.18</w:t>
                        </w:r>
                      </w:p>
                    </w:tc>
                  </w:tr>
                </w:tbl>
                <w:p>
                  <w:pPr>
                    <w:pStyle w:val="BodyText"/>
                  </w:pPr>
                </w:p>
              </w:txbxContent>
            </v:textbox>
            <w10:wrap type="none"/>
          </v:shape>
        </w:pict>
      </w:r>
      <w:r>
        <w:rPr>
          <w:b/>
          <w:spacing w:val="-3"/>
          <w:w w:val="65"/>
          <w:position w:val="-13"/>
          <w:sz w:val="23"/>
        </w:rPr>
        <w:t>autoc.</w:t>
        <w:tab/>
      </w:r>
      <w:r>
        <w:rPr>
          <w:b/>
          <w:w w:val="55"/>
          <w:sz w:val="23"/>
        </w:rPr>
        <w:t>Nº </w:t>
      </w:r>
      <w:r>
        <w:rPr>
          <w:b/>
          <w:spacing w:val="-5"/>
          <w:w w:val="55"/>
          <w:sz w:val="23"/>
        </w:rPr>
        <w:t>de </w:t>
      </w:r>
      <w:r>
        <w:rPr>
          <w:b/>
          <w:spacing w:val="-3"/>
          <w:w w:val="55"/>
          <w:sz w:val="23"/>
        </w:rPr>
        <w:t>rezago</w:t>
      </w:r>
      <w:r>
        <w:rPr>
          <w:b/>
          <w:spacing w:val="7"/>
          <w:w w:val="55"/>
          <w:sz w:val="23"/>
        </w:rPr>
        <w:t> </w:t>
      </w:r>
      <w:r>
        <w:rPr>
          <w:b/>
          <w:w w:val="55"/>
          <w:sz w:val="23"/>
        </w:rPr>
        <w:t>LM-Stat</w:t>
      </w:r>
    </w:p>
    <w:p>
      <w:pPr>
        <w:spacing w:line="273" w:lineRule="auto" w:before="37"/>
        <w:ind w:left="399" w:right="-20" w:hanging="63"/>
        <w:jc w:val="left"/>
        <w:rPr>
          <w:b/>
          <w:sz w:val="23"/>
        </w:rPr>
      </w:pPr>
      <w:r>
        <w:rPr/>
        <w:br w:type="column"/>
      </w:r>
      <w:r>
        <w:rPr>
          <w:b/>
          <w:w w:val="55"/>
          <w:sz w:val="23"/>
        </w:rPr>
        <w:t>Prob.No </w:t>
      </w:r>
      <w:r>
        <w:rPr>
          <w:b/>
          <w:w w:val="60"/>
          <w:sz w:val="23"/>
        </w:rPr>
        <w:t>autoc.</w:t>
      </w:r>
    </w:p>
    <w:p>
      <w:pPr>
        <w:spacing w:after="0" w:line="273" w:lineRule="auto"/>
        <w:jc w:val="left"/>
        <w:rPr>
          <w:sz w:val="23"/>
        </w:rPr>
        <w:sectPr>
          <w:type w:val="continuous"/>
          <w:pgSz w:w="12250" w:h="15850"/>
          <w:pgMar w:top="1500" w:bottom="280" w:left="1600" w:right="840"/>
          <w:cols w:num="7" w:equalWidth="0">
            <w:col w:w="1492" w:space="40"/>
            <w:col w:w="804" w:space="73"/>
            <w:col w:w="1492" w:space="50"/>
            <w:col w:w="809" w:space="89"/>
            <w:col w:w="1534" w:space="40"/>
            <w:col w:w="2290" w:space="40"/>
            <w:col w:w="1057"/>
          </w:cols>
        </w:sectPr>
      </w:pPr>
    </w:p>
    <w:p>
      <w:pPr>
        <w:pStyle w:val="BodyText"/>
        <w:rPr>
          <w:b/>
          <w:sz w:val="20"/>
        </w:rPr>
      </w:pPr>
    </w:p>
    <w:p>
      <w:pPr>
        <w:pStyle w:val="BodyText"/>
        <w:spacing w:before="2"/>
        <w:rPr>
          <w:b/>
          <w:sz w:val="18"/>
        </w:rPr>
      </w:pPr>
    </w:p>
    <w:p>
      <w:pPr>
        <w:spacing w:before="0"/>
        <w:ind w:left="102" w:right="975" w:firstLine="0"/>
        <w:jc w:val="left"/>
        <w:rPr>
          <w:sz w:val="20"/>
        </w:rPr>
      </w:pPr>
      <w:r>
        <w:rPr>
          <w:sz w:val="20"/>
        </w:rPr>
        <w:t>Los valores indican la probabilidad de no rechazar la hipótesis nula de no autocorrelación  multivariada de los residuos. Prueba LM.</w:t>
      </w:r>
    </w:p>
    <w:p>
      <w:pPr>
        <w:pStyle w:val="BodyText"/>
        <w:spacing w:before="11"/>
        <w:rPr>
          <w:sz w:val="20"/>
        </w:rPr>
      </w:pPr>
    </w:p>
    <w:p>
      <w:pPr>
        <w:pStyle w:val="BodyText"/>
        <w:spacing w:line="360" w:lineRule="auto"/>
        <w:ind w:left="102" w:right="975"/>
      </w:pPr>
      <w:r>
        <w:rPr/>
        <w:t>Anexo 4.7 C: Prueba de especificación de igualdad de varianza de los residuos (no existe presencia de heterocedasticidad)</w:t>
      </w:r>
    </w:p>
    <w:p>
      <w:pPr>
        <w:tabs>
          <w:tab w:pos="3454" w:val="left" w:leader="none"/>
          <w:tab w:pos="5832" w:val="left" w:leader="none"/>
          <w:tab w:pos="8209" w:val="left" w:leader="none"/>
        </w:tabs>
        <w:spacing w:before="106"/>
        <w:ind w:left="1038" w:right="975" w:firstLine="0"/>
        <w:jc w:val="left"/>
        <w:rPr>
          <w:b/>
          <w:sz w:val="23"/>
        </w:rPr>
      </w:pPr>
      <w:r>
        <w:rPr>
          <w:b/>
          <w:color w:val="FF0000"/>
          <w:w w:val="65"/>
          <w:sz w:val="23"/>
        </w:rPr>
        <w:t>Modelo</w:t>
      </w:r>
      <w:r>
        <w:rPr>
          <w:b/>
          <w:color w:val="FF0000"/>
          <w:spacing w:val="-25"/>
          <w:w w:val="65"/>
          <w:sz w:val="23"/>
        </w:rPr>
        <w:t> </w:t>
      </w:r>
      <w:r>
        <w:rPr>
          <w:b/>
          <w:color w:val="FF0000"/>
          <w:w w:val="65"/>
          <w:sz w:val="23"/>
        </w:rPr>
        <w:t>A</w:t>
        <w:tab/>
        <w:t>Modelo</w:t>
      </w:r>
      <w:r>
        <w:rPr>
          <w:b/>
          <w:color w:val="FF0000"/>
          <w:spacing w:val="-25"/>
          <w:w w:val="65"/>
          <w:sz w:val="23"/>
        </w:rPr>
        <w:t> </w:t>
      </w:r>
      <w:r>
        <w:rPr>
          <w:b/>
          <w:color w:val="FF0000"/>
          <w:w w:val="65"/>
          <w:sz w:val="23"/>
        </w:rPr>
        <w:t>B</w:t>
        <w:tab/>
        <w:t>Modelo</w:t>
      </w:r>
      <w:r>
        <w:rPr>
          <w:b/>
          <w:color w:val="FF0000"/>
          <w:spacing w:val="-25"/>
          <w:w w:val="65"/>
          <w:sz w:val="23"/>
        </w:rPr>
        <w:t> </w:t>
      </w:r>
      <w:r>
        <w:rPr>
          <w:b/>
          <w:color w:val="FF0000"/>
          <w:w w:val="65"/>
          <w:sz w:val="23"/>
        </w:rPr>
        <w:t>C</w:t>
        <w:tab/>
      </w:r>
      <w:r>
        <w:rPr>
          <w:b/>
          <w:color w:val="FF0000"/>
          <w:w w:val="55"/>
          <w:sz w:val="23"/>
        </w:rPr>
        <w:t>Modelo</w:t>
      </w:r>
      <w:r>
        <w:rPr>
          <w:b/>
          <w:color w:val="FF0000"/>
          <w:spacing w:val="-4"/>
          <w:w w:val="55"/>
          <w:sz w:val="23"/>
        </w:rPr>
        <w:t> </w:t>
      </w:r>
      <w:r>
        <w:rPr>
          <w:b/>
          <w:color w:val="FF0000"/>
          <w:w w:val="55"/>
          <w:sz w:val="23"/>
        </w:rPr>
        <w:t>D</w:t>
      </w:r>
    </w:p>
    <w:p>
      <w:pPr>
        <w:spacing w:after="0"/>
        <w:jc w:val="left"/>
        <w:rPr>
          <w:sz w:val="23"/>
        </w:rPr>
        <w:sectPr>
          <w:type w:val="continuous"/>
          <w:pgSz w:w="12250" w:h="15850"/>
          <w:pgMar w:top="1500" w:bottom="280" w:left="1600" w:right="840"/>
        </w:sectPr>
      </w:pPr>
    </w:p>
    <w:p>
      <w:pPr>
        <w:pStyle w:val="BodyText"/>
        <w:spacing w:before="9"/>
        <w:rPr>
          <w:b/>
          <w:sz w:val="17"/>
        </w:rPr>
      </w:pPr>
    </w:p>
    <w:p>
      <w:pPr>
        <w:spacing w:before="1"/>
        <w:ind w:left="0" w:right="0" w:firstLine="0"/>
        <w:jc w:val="right"/>
        <w:rPr>
          <w:b/>
          <w:sz w:val="23"/>
        </w:rPr>
      </w:pPr>
      <w:r>
        <w:rPr/>
        <w:pict>
          <v:shape style="position:absolute;margin-left:86.94072pt;margin-top:8.672421pt;width:474.75pt;height:32.6pt;mso-position-horizontal-relative:page;mso-position-vertical-relative:paragraph;z-index:1885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96"/>
                    <w:gridCol w:w="1177"/>
                    <w:gridCol w:w="1224"/>
                    <w:gridCol w:w="950"/>
                    <w:gridCol w:w="109"/>
                    <w:gridCol w:w="1334"/>
                    <w:gridCol w:w="864"/>
                    <w:gridCol w:w="118"/>
                    <w:gridCol w:w="1365"/>
                    <w:gridCol w:w="958"/>
                  </w:tblGrid>
                  <w:tr>
                    <w:trPr>
                      <w:trHeight w:val="270" w:hRule="exact"/>
                    </w:trPr>
                    <w:tc>
                      <w:tcPr>
                        <w:tcW w:w="1396" w:type="dxa"/>
                        <w:tcBorders>
                          <w:bottom w:val="double" w:sz="6" w:space="0" w:color="000000"/>
                        </w:tcBorders>
                      </w:tcPr>
                      <w:p>
                        <w:pPr/>
                      </w:p>
                    </w:tc>
                    <w:tc>
                      <w:tcPr>
                        <w:tcW w:w="1177" w:type="dxa"/>
                        <w:tcBorders>
                          <w:bottom w:val="double" w:sz="6" w:space="0" w:color="000000"/>
                        </w:tcBorders>
                      </w:tcPr>
                      <w:p>
                        <w:pPr>
                          <w:pStyle w:val="TableParagraph"/>
                          <w:spacing w:line="239" w:lineRule="exact"/>
                          <w:ind w:right="451"/>
                          <w:jc w:val="right"/>
                          <w:rPr>
                            <w:b/>
                            <w:sz w:val="23"/>
                          </w:rPr>
                        </w:pPr>
                        <w:r>
                          <w:rPr>
                            <w:b/>
                            <w:w w:val="55"/>
                            <w:sz w:val="23"/>
                          </w:rPr>
                          <w:t>heter.</w:t>
                        </w:r>
                      </w:p>
                    </w:tc>
                    <w:tc>
                      <w:tcPr>
                        <w:tcW w:w="1224" w:type="dxa"/>
                        <w:tcBorders>
                          <w:bottom w:val="double" w:sz="6" w:space="0" w:color="000000"/>
                        </w:tcBorders>
                      </w:tcPr>
                      <w:p>
                        <w:pPr/>
                      </w:p>
                    </w:tc>
                    <w:tc>
                      <w:tcPr>
                        <w:tcW w:w="950" w:type="dxa"/>
                        <w:tcBorders>
                          <w:bottom w:val="double" w:sz="6" w:space="0" w:color="000000"/>
                        </w:tcBorders>
                      </w:tcPr>
                      <w:p>
                        <w:pPr>
                          <w:pStyle w:val="TableParagraph"/>
                          <w:spacing w:line="239" w:lineRule="exact"/>
                          <w:ind w:right="217"/>
                          <w:jc w:val="right"/>
                          <w:rPr>
                            <w:b/>
                            <w:sz w:val="23"/>
                          </w:rPr>
                        </w:pPr>
                        <w:r>
                          <w:rPr>
                            <w:b/>
                            <w:w w:val="55"/>
                            <w:sz w:val="23"/>
                          </w:rPr>
                          <w:t>heter.</w:t>
                        </w:r>
                      </w:p>
                    </w:tc>
                    <w:tc>
                      <w:tcPr>
                        <w:tcW w:w="109" w:type="dxa"/>
                      </w:tcPr>
                      <w:p>
                        <w:pPr/>
                      </w:p>
                    </w:tc>
                    <w:tc>
                      <w:tcPr>
                        <w:tcW w:w="1334" w:type="dxa"/>
                        <w:tcBorders>
                          <w:bottom w:val="double" w:sz="6" w:space="0" w:color="000000"/>
                        </w:tcBorders>
                      </w:tcPr>
                      <w:p>
                        <w:pPr/>
                      </w:p>
                    </w:tc>
                    <w:tc>
                      <w:tcPr>
                        <w:tcW w:w="864" w:type="dxa"/>
                        <w:tcBorders>
                          <w:bottom w:val="double" w:sz="6" w:space="0" w:color="000000"/>
                        </w:tcBorders>
                      </w:tcPr>
                      <w:p>
                        <w:pPr>
                          <w:pStyle w:val="TableParagraph"/>
                          <w:spacing w:line="239" w:lineRule="exact"/>
                          <w:ind w:right="170"/>
                          <w:jc w:val="right"/>
                          <w:rPr>
                            <w:b/>
                            <w:sz w:val="23"/>
                          </w:rPr>
                        </w:pPr>
                        <w:r>
                          <w:rPr>
                            <w:b/>
                            <w:w w:val="55"/>
                            <w:sz w:val="23"/>
                          </w:rPr>
                          <w:t>heter.</w:t>
                        </w:r>
                      </w:p>
                    </w:tc>
                    <w:tc>
                      <w:tcPr>
                        <w:tcW w:w="118" w:type="dxa"/>
                      </w:tcPr>
                      <w:p>
                        <w:pPr/>
                      </w:p>
                    </w:tc>
                    <w:tc>
                      <w:tcPr>
                        <w:tcW w:w="1365" w:type="dxa"/>
                        <w:tcBorders>
                          <w:bottom w:val="double" w:sz="6" w:space="0" w:color="000000"/>
                        </w:tcBorders>
                      </w:tcPr>
                      <w:p>
                        <w:pPr/>
                      </w:p>
                    </w:tc>
                    <w:tc>
                      <w:tcPr>
                        <w:tcW w:w="958" w:type="dxa"/>
                        <w:tcBorders>
                          <w:bottom w:val="double" w:sz="6" w:space="0" w:color="000000"/>
                        </w:tcBorders>
                      </w:tcPr>
                      <w:p>
                        <w:pPr>
                          <w:pStyle w:val="TableParagraph"/>
                          <w:spacing w:line="239" w:lineRule="exact"/>
                          <w:ind w:right="232"/>
                          <w:jc w:val="right"/>
                          <w:rPr>
                            <w:b/>
                            <w:sz w:val="23"/>
                          </w:rPr>
                        </w:pPr>
                        <w:r>
                          <w:rPr>
                            <w:b/>
                            <w:w w:val="55"/>
                            <w:sz w:val="23"/>
                          </w:rPr>
                          <w:t>heter.</w:t>
                        </w:r>
                      </w:p>
                    </w:tc>
                  </w:tr>
                  <w:tr>
                    <w:trPr>
                      <w:trHeight w:val="338" w:hRule="exact"/>
                    </w:trPr>
                    <w:tc>
                      <w:tcPr>
                        <w:tcW w:w="1396" w:type="dxa"/>
                        <w:tcBorders>
                          <w:top w:val="double" w:sz="6" w:space="0" w:color="000000"/>
                          <w:bottom w:val="double" w:sz="6" w:space="0" w:color="000000"/>
                        </w:tcBorders>
                      </w:tcPr>
                      <w:p>
                        <w:pPr>
                          <w:pStyle w:val="TableParagraph"/>
                          <w:spacing w:before="20"/>
                          <w:ind w:left="633"/>
                          <w:jc w:val="left"/>
                          <w:rPr>
                            <w:sz w:val="23"/>
                          </w:rPr>
                        </w:pPr>
                        <w:r>
                          <w:rPr>
                            <w:w w:val="65"/>
                            <w:sz w:val="23"/>
                          </w:rPr>
                          <w:t>257.28</w:t>
                        </w:r>
                      </w:p>
                    </w:tc>
                    <w:tc>
                      <w:tcPr>
                        <w:tcW w:w="1177" w:type="dxa"/>
                        <w:tcBorders>
                          <w:top w:val="double" w:sz="6" w:space="0" w:color="000000"/>
                          <w:bottom w:val="double" w:sz="6" w:space="0" w:color="000000"/>
                        </w:tcBorders>
                      </w:tcPr>
                      <w:p>
                        <w:pPr>
                          <w:pStyle w:val="TableParagraph"/>
                          <w:spacing w:before="20"/>
                          <w:ind w:right="490"/>
                          <w:jc w:val="right"/>
                          <w:rPr>
                            <w:sz w:val="23"/>
                          </w:rPr>
                        </w:pPr>
                        <w:r>
                          <w:rPr>
                            <w:w w:val="55"/>
                            <w:sz w:val="23"/>
                          </w:rPr>
                          <w:t>0.70</w:t>
                        </w:r>
                      </w:p>
                    </w:tc>
                    <w:tc>
                      <w:tcPr>
                        <w:tcW w:w="1224" w:type="dxa"/>
                        <w:tcBorders>
                          <w:top w:val="double" w:sz="6" w:space="0" w:color="000000"/>
                          <w:bottom w:val="double" w:sz="6" w:space="0" w:color="000000"/>
                        </w:tcBorders>
                      </w:tcPr>
                      <w:p>
                        <w:pPr>
                          <w:pStyle w:val="TableParagraph"/>
                          <w:spacing w:before="20"/>
                          <w:ind w:left="400" w:right="373"/>
                          <w:rPr>
                            <w:sz w:val="23"/>
                          </w:rPr>
                        </w:pPr>
                        <w:r>
                          <w:rPr>
                            <w:w w:val="65"/>
                            <w:sz w:val="23"/>
                          </w:rPr>
                          <w:t>248.78</w:t>
                        </w:r>
                      </w:p>
                    </w:tc>
                    <w:tc>
                      <w:tcPr>
                        <w:tcW w:w="950" w:type="dxa"/>
                        <w:tcBorders>
                          <w:top w:val="double" w:sz="6" w:space="0" w:color="000000"/>
                          <w:bottom w:val="double" w:sz="6" w:space="0" w:color="000000"/>
                        </w:tcBorders>
                      </w:tcPr>
                      <w:p>
                        <w:pPr>
                          <w:pStyle w:val="TableParagraph"/>
                          <w:spacing w:before="20"/>
                          <w:ind w:right="255"/>
                          <w:jc w:val="right"/>
                          <w:rPr>
                            <w:sz w:val="23"/>
                          </w:rPr>
                        </w:pPr>
                        <w:r>
                          <w:rPr>
                            <w:w w:val="55"/>
                            <w:sz w:val="23"/>
                          </w:rPr>
                          <w:t>0.82</w:t>
                        </w:r>
                      </w:p>
                    </w:tc>
                    <w:tc>
                      <w:tcPr>
                        <w:tcW w:w="109" w:type="dxa"/>
                      </w:tcPr>
                      <w:p>
                        <w:pPr/>
                      </w:p>
                    </w:tc>
                    <w:tc>
                      <w:tcPr>
                        <w:tcW w:w="1334" w:type="dxa"/>
                        <w:tcBorders>
                          <w:top w:val="double" w:sz="6" w:space="0" w:color="000000"/>
                          <w:bottom w:val="double" w:sz="6" w:space="0" w:color="000000"/>
                        </w:tcBorders>
                      </w:tcPr>
                      <w:p>
                        <w:pPr>
                          <w:pStyle w:val="TableParagraph"/>
                          <w:spacing w:before="20"/>
                          <w:ind w:left="602"/>
                          <w:jc w:val="left"/>
                          <w:rPr>
                            <w:sz w:val="23"/>
                          </w:rPr>
                        </w:pPr>
                        <w:r>
                          <w:rPr>
                            <w:w w:val="65"/>
                            <w:sz w:val="23"/>
                          </w:rPr>
                          <w:t>264.35</w:t>
                        </w:r>
                      </w:p>
                    </w:tc>
                    <w:tc>
                      <w:tcPr>
                        <w:tcW w:w="864" w:type="dxa"/>
                        <w:tcBorders>
                          <w:top w:val="double" w:sz="6" w:space="0" w:color="000000"/>
                          <w:bottom w:val="double" w:sz="6" w:space="0" w:color="000000"/>
                        </w:tcBorders>
                      </w:tcPr>
                      <w:p>
                        <w:pPr>
                          <w:pStyle w:val="TableParagraph"/>
                          <w:spacing w:before="20"/>
                          <w:ind w:right="208"/>
                          <w:jc w:val="right"/>
                          <w:rPr>
                            <w:sz w:val="23"/>
                          </w:rPr>
                        </w:pPr>
                        <w:r>
                          <w:rPr>
                            <w:w w:val="55"/>
                            <w:sz w:val="23"/>
                          </w:rPr>
                          <w:t>0.59</w:t>
                        </w:r>
                      </w:p>
                    </w:tc>
                    <w:tc>
                      <w:tcPr>
                        <w:tcW w:w="118" w:type="dxa"/>
                      </w:tcPr>
                      <w:p>
                        <w:pPr/>
                      </w:p>
                    </w:tc>
                    <w:tc>
                      <w:tcPr>
                        <w:tcW w:w="1365" w:type="dxa"/>
                        <w:tcBorders>
                          <w:top w:val="double" w:sz="6" w:space="0" w:color="000000"/>
                          <w:bottom w:val="double" w:sz="6" w:space="0" w:color="000000"/>
                        </w:tcBorders>
                      </w:tcPr>
                      <w:p>
                        <w:pPr>
                          <w:pStyle w:val="TableParagraph"/>
                          <w:spacing w:before="20"/>
                          <w:ind w:left="602"/>
                          <w:jc w:val="left"/>
                          <w:rPr>
                            <w:sz w:val="23"/>
                          </w:rPr>
                        </w:pPr>
                        <w:r>
                          <w:rPr>
                            <w:w w:val="65"/>
                            <w:sz w:val="23"/>
                          </w:rPr>
                          <w:t>246.76</w:t>
                        </w:r>
                      </w:p>
                    </w:tc>
                    <w:tc>
                      <w:tcPr>
                        <w:tcW w:w="958" w:type="dxa"/>
                        <w:tcBorders>
                          <w:top w:val="double" w:sz="6" w:space="0" w:color="000000"/>
                          <w:bottom w:val="double" w:sz="6" w:space="0" w:color="000000"/>
                        </w:tcBorders>
                      </w:tcPr>
                      <w:p>
                        <w:pPr>
                          <w:pStyle w:val="TableParagraph"/>
                          <w:spacing w:before="20"/>
                          <w:ind w:right="271"/>
                          <w:jc w:val="right"/>
                          <w:rPr>
                            <w:sz w:val="23"/>
                          </w:rPr>
                        </w:pPr>
                        <w:r>
                          <w:rPr>
                            <w:w w:val="55"/>
                            <w:sz w:val="23"/>
                          </w:rPr>
                          <w:t>0.84</w:t>
                        </w:r>
                      </w:p>
                    </w:tc>
                  </w:tr>
                </w:tbl>
                <w:p>
                  <w:pPr>
                    <w:pStyle w:val="BodyText"/>
                  </w:pPr>
                </w:p>
              </w:txbxContent>
            </v:textbox>
            <w10:wrap type="none"/>
          </v:shape>
        </w:pict>
      </w:r>
      <w:r>
        <w:rPr>
          <w:b/>
          <w:w w:val="55"/>
          <w:sz w:val="23"/>
        </w:rPr>
        <w:t>Chi-sq</w:t>
      </w:r>
    </w:p>
    <w:p>
      <w:pPr>
        <w:spacing w:before="44"/>
        <w:ind w:left="727" w:right="-15" w:firstLine="0"/>
        <w:jc w:val="left"/>
        <w:rPr>
          <w:b/>
          <w:sz w:val="23"/>
        </w:rPr>
      </w:pPr>
      <w:r>
        <w:rPr/>
        <w:br w:type="column"/>
      </w:r>
      <w:r>
        <w:rPr>
          <w:b/>
          <w:spacing w:val="-4"/>
          <w:w w:val="55"/>
          <w:sz w:val="23"/>
        </w:rPr>
        <w:t>Prob.No</w:t>
      </w:r>
    </w:p>
    <w:p>
      <w:pPr>
        <w:pStyle w:val="BodyText"/>
        <w:spacing w:before="9"/>
        <w:rPr>
          <w:b/>
          <w:sz w:val="17"/>
        </w:rPr>
      </w:pPr>
      <w:r>
        <w:rPr/>
        <w:br w:type="column"/>
      </w:r>
      <w:r>
        <w:rPr>
          <w:b/>
          <w:sz w:val="17"/>
        </w:rPr>
      </w:r>
    </w:p>
    <w:p>
      <w:pPr>
        <w:spacing w:before="1"/>
        <w:ind w:left="0" w:right="0" w:firstLine="0"/>
        <w:jc w:val="right"/>
        <w:rPr>
          <w:b/>
          <w:sz w:val="23"/>
        </w:rPr>
      </w:pPr>
      <w:r>
        <w:rPr>
          <w:b/>
          <w:w w:val="55"/>
          <w:sz w:val="23"/>
        </w:rPr>
        <w:t>Chi-sq</w:t>
      </w:r>
    </w:p>
    <w:p>
      <w:pPr>
        <w:spacing w:before="44"/>
        <w:ind w:left="742" w:right="-14" w:firstLine="0"/>
        <w:jc w:val="left"/>
        <w:rPr>
          <w:b/>
          <w:sz w:val="23"/>
        </w:rPr>
      </w:pPr>
      <w:r>
        <w:rPr/>
        <w:br w:type="column"/>
      </w:r>
      <w:r>
        <w:rPr>
          <w:b/>
          <w:spacing w:val="-4"/>
          <w:w w:val="55"/>
          <w:sz w:val="23"/>
        </w:rPr>
        <w:t>Prob.No</w:t>
      </w:r>
    </w:p>
    <w:p>
      <w:pPr>
        <w:pStyle w:val="BodyText"/>
        <w:spacing w:before="9"/>
        <w:rPr>
          <w:b/>
          <w:sz w:val="17"/>
        </w:rPr>
      </w:pPr>
      <w:r>
        <w:rPr/>
        <w:br w:type="column"/>
      </w:r>
      <w:r>
        <w:rPr>
          <w:b/>
          <w:sz w:val="17"/>
        </w:rPr>
      </w:r>
    </w:p>
    <w:p>
      <w:pPr>
        <w:spacing w:before="1"/>
        <w:ind w:left="0" w:right="0" w:firstLine="0"/>
        <w:jc w:val="right"/>
        <w:rPr>
          <w:b/>
          <w:sz w:val="23"/>
        </w:rPr>
      </w:pPr>
      <w:r>
        <w:rPr>
          <w:b/>
          <w:w w:val="55"/>
          <w:sz w:val="23"/>
        </w:rPr>
        <w:t>Chi-sq</w:t>
      </w:r>
    </w:p>
    <w:p>
      <w:pPr>
        <w:spacing w:before="44"/>
        <w:ind w:left="672" w:right="-14" w:firstLine="0"/>
        <w:jc w:val="left"/>
        <w:rPr>
          <w:b/>
          <w:sz w:val="23"/>
        </w:rPr>
      </w:pPr>
      <w:r>
        <w:rPr/>
        <w:br w:type="column"/>
      </w:r>
      <w:r>
        <w:rPr>
          <w:b/>
          <w:spacing w:val="-4"/>
          <w:w w:val="55"/>
          <w:sz w:val="23"/>
        </w:rPr>
        <w:t>Prob.No</w:t>
      </w:r>
    </w:p>
    <w:p>
      <w:pPr>
        <w:pStyle w:val="BodyText"/>
        <w:spacing w:before="9"/>
        <w:rPr>
          <w:b/>
          <w:sz w:val="17"/>
        </w:rPr>
      </w:pPr>
      <w:r>
        <w:rPr/>
        <w:br w:type="column"/>
      </w:r>
      <w:r>
        <w:rPr>
          <w:b/>
          <w:sz w:val="17"/>
        </w:rPr>
      </w:r>
    </w:p>
    <w:p>
      <w:pPr>
        <w:spacing w:before="1"/>
        <w:ind w:left="0" w:right="0" w:firstLine="0"/>
        <w:jc w:val="right"/>
        <w:rPr>
          <w:b/>
          <w:sz w:val="23"/>
        </w:rPr>
      </w:pPr>
      <w:r>
        <w:rPr>
          <w:b/>
          <w:w w:val="55"/>
          <w:sz w:val="23"/>
        </w:rPr>
        <w:t>Chi-sq</w:t>
      </w:r>
    </w:p>
    <w:p>
      <w:pPr>
        <w:spacing w:before="44"/>
        <w:ind w:left="734" w:right="0" w:firstLine="0"/>
        <w:jc w:val="left"/>
        <w:rPr>
          <w:b/>
          <w:sz w:val="23"/>
        </w:rPr>
      </w:pPr>
      <w:r>
        <w:rPr/>
        <w:br w:type="column"/>
      </w:r>
      <w:r>
        <w:rPr>
          <w:b/>
          <w:w w:val="65"/>
          <w:sz w:val="23"/>
        </w:rPr>
        <w:t>Prob.No</w:t>
      </w:r>
    </w:p>
    <w:p>
      <w:pPr>
        <w:spacing w:after="0"/>
        <w:jc w:val="left"/>
        <w:rPr>
          <w:sz w:val="23"/>
        </w:rPr>
        <w:sectPr>
          <w:type w:val="continuous"/>
          <w:pgSz w:w="12250" w:h="15850"/>
          <w:pgMar w:top="1500" w:bottom="280" w:left="1600" w:right="840"/>
          <w:cols w:num="8" w:equalWidth="0">
            <w:col w:w="1124" w:space="40"/>
            <w:col w:w="1158" w:space="72"/>
            <w:col w:w="1124" w:space="40"/>
            <w:col w:w="1174" w:space="87"/>
            <w:col w:w="1124" w:space="40"/>
            <w:col w:w="1104" w:space="48"/>
            <w:col w:w="1124" w:space="40"/>
            <w:col w:w="1511"/>
          </w:cols>
        </w:sectPr>
      </w:pPr>
    </w:p>
    <w:p>
      <w:pPr>
        <w:pStyle w:val="BodyText"/>
        <w:rPr>
          <w:b/>
          <w:sz w:val="20"/>
        </w:rPr>
      </w:pPr>
    </w:p>
    <w:p>
      <w:pPr>
        <w:pStyle w:val="BodyText"/>
        <w:spacing w:before="8"/>
        <w:rPr>
          <w:b/>
          <w:sz w:val="28"/>
        </w:rPr>
      </w:pPr>
    </w:p>
    <w:p>
      <w:pPr>
        <w:spacing w:before="74"/>
        <w:ind w:left="102" w:right="859" w:firstLine="0"/>
        <w:jc w:val="both"/>
        <w:rPr>
          <w:sz w:val="20"/>
        </w:rPr>
      </w:pPr>
      <w:r>
        <w:rPr>
          <w:sz w:val="20"/>
        </w:rPr>
        <w:t>Los valores indican la probabilidad de no rechazar la hipótesis nula de igualdad de varianza de los residuos, no se rechaza la igualdad de varianza de los residuos. Esta prueba correspondió al contrastaste de heteroscedastidad de White sin productos</w:t>
      </w:r>
      <w:r>
        <w:rPr>
          <w:spacing w:val="-14"/>
          <w:sz w:val="20"/>
        </w:rPr>
        <w:t> </w:t>
      </w:r>
      <w:r>
        <w:rPr>
          <w:sz w:val="20"/>
        </w:rPr>
        <w:t>cruzados.</w:t>
      </w:r>
    </w:p>
    <w:p>
      <w:pPr>
        <w:pStyle w:val="BodyText"/>
        <w:rPr>
          <w:sz w:val="20"/>
        </w:rPr>
      </w:pPr>
    </w:p>
    <w:p>
      <w:pPr>
        <w:pStyle w:val="BodyText"/>
        <w:spacing w:before="5"/>
        <w:rPr>
          <w:sz w:val="21"/>
        </w:rPr>
      </w:pPr>
    </w:p>
    <w:p>
      <w:pPr>
        <w:pStyle w:val="Heading4"/>
        <w:ind w:left="191" w:right="945" w:firstLine="0"/>
        <w:jc w:val="center"/>
      </w:pPr>
      <w:bookmarkStart w:name="_bookmark188" w:id="253"/>
      <w:bookmarkEnd w:id="253"/>
      <w:r>
        <w:rPr>
          <w:b w:val="0"/>
        </w:rPr>
      </w:r>
      <w:r>
        <w:rPr/>
        <w:t>Anexo 4.8: Choques determinantes sobre las distintas mediciones del resultado fiscal</w:t>
      </w:r>
    </w:p>
    <w:p>
      <w:pPr>
        <w:pStyle w:val="BodyText"/>
        <w:spacing w:before="9"/>
        <w:rPr>
          <w:b/>
          <w:sz w:val="23"/>
        </w:rPr>
      </w:pPr>
    </w:p>
    <w:p>
      <w:pPr>
        <w:pStyle w:val="BodyText"/>
        <w:ind w:left="191" w:right="945"/>
        <w:jc w:val="center"/>
      </w:pPr>
      <w:r>
        <w:rPr/>
        <w:t>Anexo 4.8 A: Choques determinantes sobre el balance primario no gasífero/ PIB</w:t>
      </w:r>
    </w:p>
    <w:p>
      <w:pPr>
        <w:spacing w:before="85" w:after="3"/>
        <w:ind w:left="191" w:right="940" w:firstLine="0"/>
        <w:jc w:val="center"/>
        <w:rPr>
          <w:rFonts w:ascii="Constantia" w:hAnsi="Constantia"/>
          <w:b/>
          <w:sz w:val="19"/>
        </w:rPr>
      </w:pPr>
      <w:r>
        <w:rPr>
          <w:rFonts w:ascii="Constantia" w:hAnsi="Constantia"/>
          <w:b/>
          <w:w w:val="115"/>
          <w:sz w:val="19"/>
        </w:rPr>
        <w:t>Variable dependiente: ∆ Balance fiscal primario no gasífero/ PIB</w:t>
      </w:r>
    </w:p>
    <w:p>
      <w:pPr>
        <w:pStyle w:val="BodyText"/>
        <w:spacing w:line="28" w:lineRule="exact"/>
        <w:ind w:left="136"/>
        <w:rPr>
          <w:rFonts w:ascii="Constantia"/>
          <w:sz w:val="2"/>
        </w:rPr>
      </w:pPr>
      <w:r>
        <w:rPr>
          <w:rFonts w:ascii="Constantia"/>
          <w:position w:val="0"/>
          <w:sz w:val="2"/>
        </w:rPr>
        <w:pict>
          <v:group style="width:441.5pt;height:1.45pt;mso-position-horizontal-relative:char;mso-position-vertical-relative:line" coordorigin="0,0" coordsize="8830,29">
            <v:line style="position:absolute" from="10,5" to="8820,5" stroked="true" strokeweight=".45267pt" strokecolor="#000000"/>
            <v:line style="position:absolute" from="5,5" to="8825,5" stroked="true" strokeweight=".45267pt" strokecolor="#000000"/>
            <v:line style="position:absolute" from="10,23" to="8820,23" stroked="true" strokeweight=".45267pt" strokecolor="#000000"/>
            <v:line style="position:absolute" from="5,23" to="8825,23" stroked="true" strokeweight=".45267pt" strokecolor="#000000"/>
          </v:group>
        </w:pict>
      </w:r>
      <w:r>
        <w:rPr>
          <w:rFonts w:ascii="Constantia"/>
          <w:position w:val="0"/>
          <w:sz w:val="2"/>
        </w:rPr>
      </w:r>
    </w:p>
    <w:p>
      <w:pPr>
        <w:spacing w:before="10" w:after="20"/>
        <w:ind w:left="5351" w:right="975" w:firstLine="0"/>
        <w:jc w:val="left"/>
        <w:rPr>
          <w:rFonts w:ascii="Constantia"/>
          <w:sz w:val="17"/>
        </w:rPr>
      </w:pPr>
      <w:r>
        <w:rPr>
          <w:rFonts w:ascii="Constantia"/>
          <w:w w:val="115"/>
          <w:sz w:val="17"/>
        </w:rPr>
        <w:t>Trimestres hacia adelante</w:t>
      </w:r>
    </w:p>
    <w:tbl>
      <w:tblPr>
        <w:tblW w:w="0" w:type="auto"/>
        <w:jc w:val="left"/>
        <w:tblInd w:w="14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900"/>
        <w:gridCol w:w="1032"/>
        <w:gridCol w:w="984"/>
        <w:gridCol w:w="1054"/>
        <w:gridCol w:w="928"/>
        <w:gridCol w:w="921"/>
      </w:tblGrid>
      <w:tr>
        <w:trPr>
          <w:trHeight w:val="216" w:hRule="exact"/>
        </w:trPr>
        <w:tc>
          <w:tcPr>
            <w:tcW w:w="3900" w:type="dxa"/>
            <w:tcBorders>
              <w:bottom w:val="double" w:sz="4" w:space="0" w:color="000000"/>
            </w:tcBorders>
          </w:tcPr>
          <w:p>
            <w:pPr>
              <w:pStyle w:val="TableParagraph"/>
              <w:spacing w:line="207" w:lineRule="exact"/>
              <w:ind w:left="30"/>
              <w:jc w:val="left"/>
              <w:rPr>
                <w:rFonts w:ascii="Constantia"/>
                <w:sz w:val="17"/>
              </w:rPr>
            </w:pPr>
            <w:r>
              <w:rPr>
                <w:rFonts w:ascii="Constantia"/>
                <w:w w:val="110"/>
                <w:sz w:val="17"/>
                <w:u w:val="single"/>
              </w:rPr>
              <w:t>Variables explicativas:</w:t>
            </w:r>
          </w:p>
        </w:tc>
        <w:tc>
          <w:tcPr>
            <w:tcW w:w="1032" w:type="dxa"/>
            <w:tcBorders>
              <w:bottom w:val="double" w:sz="4" w:space="0" w:color="000000"/>
            </w:tcBorders>
          </w:tcPr>
          <w:p>
            <w:pPr>
              <w:pStyle w:val="TableParagraph"/>
              <w:spacing w:line="198" w:lineRule="exact"/>
              <w:ind w:left="300"/>
              <w:jc w:val="left"/>
              <w:rPr>
                <w:rFonts w:ascii="Arial" w:hAnsi="Arial"/>
                <w:sz w:val="10"/>
              </w:rPr>
            </w:pPr>
            <w:r>
              <w:rPr>
                <w:rFonts w:ascii="Constantia" w:hAnsi="Constantia"/>
                <w:w w:val="115"/>
                <w:sz w:val="17"/>
              </w:rPr>
              <w:t>1</w:t>
            </w:r>
            <w:r>
              <w:rPr>
                <w:rFonts w:ascii="Arial" w:hAnsi="Arial"/>
                <w:w w:val="115"/>
                <w:sz w:val="10"/>
              </w:rPr>
              <w:t>†</w:t>
            </w:r>
          </w:p>
        </w:tc>
        <w:tc>
          <w:tcPr>
            <w:tcW w:w="984" w:type="dxa"/>
            <w:tcBorders>
              <w:bottom w:val="double" w:sz="4" w:space="0" w:color="000000"/>
            </w:tcBorders>
          </w:tcPr>
          <w:p>
            <w:pPr>
              <w:pStyle w:val="TableParagraph"/>
              <w:spacing w:line="207" w:lineRule="exact"/>
              <w:ind w:left="299"/>
              <w:jc w:val="left"/>
              <w:rPr>
                <w:rFonts w:ascii="Constantia"/>
                <w:sz w:val="17"/>
              </w:rPr>
            </w:pPr>
            <w:r>
              <w:rPr>
                <w:rFonts w:ascii="Constantia"/>
                <w:w w:val="114"/>
                <w:sz w:val="17"/>
              </w:rPr>
              <w:t>2</w:t>
            </w:r>
          </w:p>
        </w:tc>
        <w:tc>
          <w:tcPr>
            <w:tcW w:w="1054" w:type="dxa"/>
            <w:tcBorders>
              <w:bottom w:val="double" w:sz="4" w:space="0" w:color="000000"/>
            </w:tcBorders>
          </w:tcPr>
          <w:p>
            <w:pPr>
              <w:pStyle w:val="TableParagraph"/>
              <w:spacing w:line="207" w:lineRule="exact"/>
              <w:ind w:left="334"/>
              <w:jc w:val="left"/>
              <w:rPr>
                <w:rFonts w:ascii="Constantia"/>
                <w:sz w:val="17"/>
              </w:rPr>
            </w:pPr>
            <w:r>
              <w:rPr>
                <w:rFonts w:ascii="Constantia"/>
                <w:w w:val="114"/>
                <w:sz w:val="17"/>
              </w:rPr>
              <w:t>3</w:t>
            </w:r>
          </w:p>
        </w:tc>
        <w:tc>
          <w:tcPr>
            <w:tcW w:w="928" w:type="dxa"/>
            <w:tcBorders>
              <w:bottom w:val="double" w:sz="4" w:space="0" w:color="000000"/>
            </w:tcBorders>
          </w:tcPr>
          <w:p>
            <w:pPr>
              <w:pStyle w:val="TableParagraph"/>
              <w:spacing w:line="207" w:lineRule="exact"/>
              <w:ind w:left="289"/>
              <w:jc w:val="left"/>
              <w:rPr>
                <w:rFonts w:ascii="Constantia"/>
                <w:sz w:val="17"/>
              </w:rPr>
            </w:pPr>
            <w:r>
              <w:rPr>
                <w:rFonts w:ascii="Constantia"/>
                <w:w w:val="114"/>
                <w:sz w:val="17"/>
              </w:rPr>
              <w:t>4</w:t>
            </w:r>
          </w:p>
        </w:tc>
        <w:tc>
          <w:tcPr>
            <w:tcW w:w="921" w:type="dxa"/>
            <w:tcBorders>
              <w:bottom w:val="double" w:sz="4" w:space="0" w:color="000000"/>
            </w:tcBorders>
          </w:tcPr>
          <w:p>
            <w:pPr>
              <w:pStyle w:val="TableParagraph"/>
              <w:spacing w:line="207" w:lineRule="exact"/>
              <w:ind w:right="65"/>
              <w:rPr>
                <w:rFonts w:ascii="Constantia"/>
                <w:sz w:val="17"/>
              </w:rPr>
            </w:pPr>
            <w:r>
              <w:rPr>
                <w:rFonts w:ascii="Constantia"/>
                <w:w w:val="114"/>
                <w:sz w:val="17"/>
              </w:rPr>
              <w:t>5</w:t>
            </w:r>
          </w:p>
        </w:tc>
      </w:tr>
      <w:tr>
        <w:trPr>
          <w:trHeight w:val="291" w:hRule="exact"/>
        </w:trPr>
        <w:tc>
          <w:tcPr>
            <w:tcW w:w="3900" w:type="dxa"/>
            <w:tcBorders>
              <w:top w:val="double" w:sz="4" w:space="0" w:color="000000"/>
            </w:tcBorders>
          </w:tcPr>
          <w:p>
            <w:pPr>
              <w:pStyle w:val="TableParagraph"/>
              <w:spacing w:before="33"/>
              <w:ind w:left="30"/>
              <w:jc w:val="left"/>
              <w:rPr>
                <w:rFonts w:ascii="Constantia"/>
                <w:sz w:val="17"/>
              </w:rPr>
            </w:pPr>
            <w:r>
              <w:rPr>
                <w:rFonts w:ascii="Constantia"/>
                <w:w w:val="115"/>
                <w:sz w:val="17"/>
              </w:rPr>
              <w:t>Choq. Estruct. Precio del gas natural</w:t>
            </w:r>
          </w:p>
        </w:tc>
        <w:tc>
          <w:tcPr>
            <w:tcW w:w="1032" w:type="dxa"/>
            <w:tcBorders>
              <w:top w:val="double" w:sz="4" w:space="0" w:color="000000"/>
            </w:tcBorders>
          </w:tcPr>
          <w:p>
            <w:pPr>
              <w:pStyle w:val="TableParagraph"/>
              <w:spacing w:before="14"/>
              <w:ind w:left="178"/>
              <w:jc w:val="left"/>
              <w:rPr>
                <w:rFonts w:ascii="Constantia"/>
                <w:sz w:val="19"/>
              </w:rPr>
            </w:pPr>
            <w:r>
              <w:rPr>
                <w:rFonts w:ascii="Constantia"/>
                <w:w w:val="115"/>
                <w:sz w:val="19"/>
              </w:rPr>
              <w:t>-0.0041</w:t>
            </w:r>
          </w:p>
        </w:tc>
        <w:tc>
          <w:tcPr>
            <w:tcW w:w="984" w:type="dxa"/>
            <w:tcBorders>
              <w:top w:val="double" w:sz="4" w:space="0" w:color="000000"/>
            </w:tcBorders>
          </w:tcPr>
          <w:p>
            <w:pPr>
              <w:pStyle w:val="TableParagraph"/>
              <w:spacing w:before="14"/>
              <w:ind w:right="168"/>
              <w:jc w:val="right"/>
              <w:rPr>
                <w:rFonts w:ascii="Constantia"/>
                <w:sz w:val="19"/>
              </w:rPr>
            </w:pPr>
            <w:r>
              <w:rPr>
                <w:rFonts w:ascii="Constantia"/>
                <w:w w:val="110"/>
                <w:sz w:val="19"/>
              </w:rPr>
              <w:t>0.0013</w:t>
            </w:r>
          </w:p>
        </w:tc>
        <w:tc>
          <w:tcPr>
            <w:tcW w:w="1054" w:type="dxa"/>
            <w:tcBorders>
              <w:top w:val="double" w:sz="4" w:space="0" w:color="000000"/>
            </w:tcBorders>
          </w:tcPr>
          <w:p>
            <w:pPr>
              <w:pStyle w:val="TableParagraph"/>
              <w:spacing w:before="14"/>
              <w:ind w:left="171"/>
              <w:jc w:val="left"/>
              <w:rPr>
                <w:rFonts w:ascii="Constantia"/>
                <w:sz w:val="19"/>
              </w:rPr>
            </w:pPr>
            <w:r>
              <w:rPr>
                <w:rFonts w:ascii="Constantia"/>
                <w:w w:val="115"/>
                <w:sz w:val="19"/>
              </w:rPr>
              <w:t>-0.0007</w:t>
            </w:r>
          </w:p>
        </w:tc>
        <w:tc>
          <w:tcPr>
            <w:tcW w:w="928" w:type="dxa"/>
            <w:tcBorders>
              <w:top w:val="double" w:sz="4" w:space="0" w:color="000000"/>
            </w:tcBorders>
          </w:tcPr>
          <w:p>
            <w:pPr>
              <w:pStyle w:val="TableParagraph"/>
              <w:spacing w:before="14"/>
              <w:ind w:right="114"/>
              <w:jc w:val="right"/>
              <w:rPr>
                <w:rFonts w:ascii="Constantia"/>
                <w:sz w:val="19"/>
              </w:rPr>
            </w:pPr>
            <w:r>
              <w:rPr>
                <w:rFonts w:ascii="Constantia"/>
                <w:w w:val="110"/>
                <w:sz w:val="19"/>
              </w:rPr>
              <w:t>0.0020</w:t>
            </w:r>
          </w:p>
        </w:tc>
        <w:tc>
          <w:tcPr>
            <w:tcW w:w="921" w:type="dxa"/>
            <w:tcBorders>
              <w:top w:val="double" w:sz="4" w:space="0" w:color="000000"/>
            </w:tcBorders>
          </w:tcPr>
          <w:p>
            <w:pPr>
              <w:pStyle w:val="TableParagraph"/>
              <w:spacing w:before="14"/>
              <w:ind w:right="27"/>
              <w:jc w:val="right"/>
              <w:rPr>
                <w:rFonts w:ascii="Constantia"/>
                <w:sz w:val="19"/>
              </w:rPr>
            </w:pPr>
            <w:r>
              <w:rPr>
                <w:rFonts w:ascii="Constantia"/>
                <w:w w:val="110"/>
                <w:sz w:val="19"/>
              </w:rPr>
              <w:t>-0.0057</w:t>
            </w:r>
          </w:p>
        </w:tc>
      </w:tr>
      <w:tr>
        <w:trPr>
          <w:trHeight w:val="218" w:hRule="exact"/>
        </w:trPr>
        <w:tc>
          <w:tcPr>
            <w:tcW w:w="3900" w:type="dxa"/>
          </w:tcPr>
          <w:p>
            <w:pPr/>
          </w:p>
        </w:tc>
        <w:tc>
          <w:tcPr>
            <w:tcW w:w="1032" w:type="dxa"/>
          </w:tcPr>
          <w:p>
            <w:pPr>
              <w:pStyle w:val="TableParagraph"/>
              <w:spacing w:before="20"/>
              <w:ind w:left="208"/>
              <w:jc w:val="left"/>
              <w:rPr>
                <w:rFonts w:ascii="Constantia"/>
                <w:sz w:val="14"/>
              </w:rPr>
            </w:pPr>
            <w:r>
              <w:rPr>
                <w:rFonts w:ascii="Constantia"/>
                <w:w w:val="115"/>
                <w:sz w:val="14"/>
              </w:rPr>
              <w:t>(0.0049)</w:t>
            </w:r>
          </w:p>
        </w:tc>
        <w:tc>
          <w:tcPr>
            <w:tcW w:w="984" w:type="dxa"/>
          </w:tcPr>
          <w:p>
            <w:pPr>
              <w:pStyle w:val="TableParagraph"/>
              <w:spacing w:before="20"/>
              <w:ind w:right="166"/>
              <w:jc w:val="right"/>
              <w:rPr>
                <w:rFonts w:ascii="Constantia"/>
                <w:sz w:val="14"/>
              </w:rPr>
            </w:pPr>
            <w:r>
              <w:rPr>
                <w:rFonts w:ascii="Constantia"/>
                <w:w w:val="115"/>
                <w:sz w:val="14"/>
              </w:rPr>
              <w:t>(0.0040)</w:t>
            </w:r>
          </w:p>
        </w:tc>
        <w:tc>
          <w:tcPr>
            <w:tcW w:w="1054" w:type="dxa"/>
          </w:tcPr>
          <w:p>
            <w:pPr>
              <w:pStyle w:val="TableParagraph"/>
              <w:spacing w:before="20"/>
              <w:ind w:right="200"/>
              <w:jc w:val="right"/>
              <w:rPr>
                <w:rFonts w:ascii="Constantia"/>
                <w:sz w:val="14"/>
              </w:rPr>
            </w:pPr>
            <w:r>
              <w:rPr>
                <w:rFonts w:ascii="Constantia"/>
                <w:w w:val="115"/>
                <w:sz w:val="14"/>
              </w:rPr>
              <w:t>(0.0031)</w:t>
            </w:r>
          </w:p>
        </w:tc>
        <w:tc>
          <w:tcPr>
            <w:tcW w:w="928" w:type="dxa"/>
          </w:tcPr>
          <w:p>
            <w:pPr>
              <w:pStyle w:val="TableParagraph"/>
              <w:spacing w:before="20"/>
              <w:ind w:right="119"/>
              <w:jc w:val="right"/>
              <w:rPr>
                <w:rFonts w:ascii="Constantia"/>
                <w:sz w:val="14"/>
              </w:rPr>
            </w:pPr>
            <w:r>
              <w:rPr>
                <w:rFonts w:ascii="Constantia"/>
                <w:w w:val="115"/>
                <w:sz w:val="14"/>
              </w:rPr>
              <w:t>(0.0039)</w:t>
            </w:r>
          </w:p>
        </w:tc>
        <w:tc>
          <w:tcPr>
            <w:tcW w:w="921" w:type="dxa"/>
          </w:tcPr>
          <w:p>
            <w:pPr>
              <w:pStyle w:val="TableParagraph"/>
              <w:spacing w:before="20"/>
              <w:ind w:right="31"/>
              <w:jc w:val="right"/>
              <w:rPr>
                <w:rFonts w:ascii="Constantia"/>
                <w:sz w:val="14"/>
              </w:rPr>
            </w:pPr>
            <w:r>
              <w:rPr>
                <w:rFonts w:ascii="Constantia"/>
                <w:w w:val="115"/>
                <w:sz w:val="14"/>
              </w:rPr>
              <w:t>(0.0035)</w:t>
            </w:r>
          </w:p>
        </w:tc>
      </w:tr>
      <w:tr>
        <w:trPr>
          <w:trHeight w:val="263" w:hRule="exact"/>
        </w:trPr>
        <w:tc>
          <w:tcPr>
            <w:tcW w:w="3900" w:type="dxa"/>
          </w:tcPr>
          <w:p>
            <w:pPr>
              <w:pStyle w:val="TableParagraph"/>
              <w:spacing w:before="18"/>
              <w:ind w:left="30"/>
              <w:jc w:val="left"/>
              <w:rPr>
                <w:rFonts w:ascii="Constantia" w:hAnsi="Constantia"/>
                <w:sz w:val="17"/>
              </w:rPr>
            </w:pPr>
            <w:r>
              <w:rPr>
                <w:rFonts w:ascii="Constantia" w:hAnsi="Constantia"/>
                <w:w w:val="115"/>
                <w:sz w:val="17"/>
              </w:rPr>
              <w:t>Choq. Estruct. Asign. De Ing. Fisc. Gasíf.</w:t>
            </w:r>
          </w:p>
        </w:tc>
        <w:tc>
          <w:tcPr>
            <w:tcW w:w="1032" w:type="dxa"/>
          </w:tcPr>
          <w:p>
            <w:pPr>
              <w:pStyle w:val="TableParagraph"/>
              <w:spacing w:line="231" w:lineRule="exact"/>
              <w:ind w:left="229"/>
              <w:jc w:val="left"/>
              <w:rPr>
                <w:rFonts w:ascii="Constantia"/>
                <w:sz w:val="19"/>
              </w:rPr>
            </w:pPr>
            <w:r>
              <w:rPr>
                <w:rFonts w:ascii="Constantia"/>
                <w:w w:val="115"/>
                <w:sz w:val="19"/>
              </w:rPr>
              <w:t>0.0082</w:t>
            </w:r>
          </w:p>
        </w:tc>
        <w:tc>
          <w:tcPr>
            <w:tcW w:w="984" w:type="dxa"/>
          </w:tcPr>
          <w:p>
            <w:pPr>
              <w:pStyle w:val="TableParagraph"/>
              <w:spacing w:line="231" w:lineRule="exact"/>
              <w:ind w:right="159"/>
              <w:jc w:val="right"/>
              <w:rPr>
                <w:rFonts w:ascii="Constantia"/>
                <w:sz w:val="19"/>
              </w:rPr>
            </w:pPr>
            <w:r>
              <w:rPr>
                <w:rFonts w:ascii="Constantia"/>
                <w:w w:val="110"/>
                <w:sz w:val="19"/>
              </w:rPr>
              <w:t>0.0019</w:t>
            </w:r>
          </w:p>
        </w:tc>
        <w:tc>
          <w:tcPr>
            <w:tcW w:w="1054" w:type="dxa"/>
          </w:tcPr>
          <w:p>
            <w:pPr>
              <w:pStyle w:val="TableParagraph"/>
              <w:spacing w:line="231" w:lineRule="exact"/>
              <w:ind w:right="202"/>
              <w:jc w:val="right"/>
              <w:rPr>
                <w:rFonts w:ascii="Constantia"/>
                <w:sz w:val="19"/>
              </w:rPr>
            </w:pPr>
            <w:r>
              <w:rPr>
                <w:rFonts w:ascii="Constantia"/>
                <w:w w:val="110"/>
                <w:sz w:val="19"/>
              </w:rPr>
              <w:t>0.0051</w:t>
            </w:r>
          </w:p>
        </w:tc>
        <w:tc>
          <w:tcPr>
            <w:tcW w:w="928" w:type="dxa"/>
          </w:tcPr>
          <w:p>
            <w:pPr>
              <w:pStyle w:val="TableParagraph"/>
              <w:spacing w:line="231" w:lineRule="exact"/>
              <w:ind w:right="115"/>
              <w:jc w:val="right"/>
              <w:rPr>
                <w:rFonts w:ascii="Constantia"/>
                <w:sz w:val="19"/>
              </w:rPr>
            </w:pPr>
            <w:r>
              <w:rPr>
                <w:rFonts w:ascii="Constantia"/>
                <w:w w:val="110"/>
                <w:sz w:val="19"/>
              </w:rPr>
              <w:t>0.0017</w:t>
            </w:r>
          </w:p>
        </w:tc>
        <w:tc>
          <w:tcPr>
            <w:tcW w:w="921" w:type="dxa"/>
          </w:tcPr>
          <w:p>
            <w:pPr>
              <w:pStyle w:val="TableParagraph"/>
              <w:spacing w:line="231" w:lineRule="exact"/>
              <w:ind w:right="28"/>
              <w:jc w:val="right"/>
              <w:rPr>
                <w:rFonts w:ascii="Constantia"/>
                <w:sz w:val="19"/>
              </w:rPr>
            </w:pPr>
            <w:r>
              <w:rPr>
                <w:rFonts w:ascii="Constantia"/>
                <w:w w:val="110"/>
                <w:sz w:val="19"/>
              </w:rPr>
              <w:t>-0.0087*</w:t>
            </w:r>
          </w:p>
        </w:tc>
      </w:tr>
      <w:tr>
        <w:trPr>
          <w:trHeight w:val="218" w:hRule="exact"/>
        </w:trPr>
        <w:tc>
          <w:tcPr>
            <w:tcW w:w="3900" w:type="dxa"/>
          </w:tcPr>
          <w:p>
            <w:pPr/>
          </w:p>
        </w:tc>
        <w:tc>
          <w:tcPr>
            <w:tcW w:w="1032" w:type="dxa"/>
          </w:tcPr>
          <w:p>
            <w:pPr>
              <w:pStyle w:val="TableParagraph"/>
              <w:spacing w:before="20"/>
              <w:ind w:left="219"/>
              <w:jc w:val="left"/>
              <w:rPr>
                <w:rFonts w:ascii="Constantia"/>
                <w:sz w:val="14"/>
              </w:rPr>
            </w:pPr>
            <w:r>
              <w:rPr>
                <w:rFonts w:ascii="Constantia"/>
                <w:w w:val="115"/>
                <w:sz w:val="14"/>
              </w:rPr>
              <w:t>(0.0050)</w:t>
            </w:r>
          </w:p>
        </w:tc>
        <w:tc>
          <w:tcPr>
            <w:tcW w:w="984" w:type="dxa"/>
          </w:tcPr>
          <w:p>
            <w:pPr>
              <w:pStyle w:val="TableParagraph"/>
              <w:spacing w:before="20"/>
              <w:ind w:right="165"/>
              <w:jc w:val="right"/>
              <w:rPr>
                <w:rFonts w:ascii="Constantia"/>
                <w:sz w:val="14"/>
              </w:rPr>
            </w:pPr>
            <w:r>
              <w:rPr>
                <w:rFonts w:ascii="Constantia"/>
                <w:w w:val="115"/>
                <w:sz w:val="14"/>
              </w:rPr>
              <w:t>(0.0041)</w:t>
            </w:r>
          </w:p>
        </w:tc>
        <w:tc>
          <w:tcPr>
            <w:tcW w:w="1054" w:type="dxa"/>
          </w:tcPr>
          <w:p>
            <w:pPr>
              <w:pStyle w:val="TableParagraph"/>
              <w:spacing w:before="20"/>
              <w:ind w:right="200"/>
              <w:jc w:val="right"/>
              <w:rPr>
                <w:rFonts w:ascii="Constantia"/>
                <w:sz w:val="14"/>
              </w:rPr>
            </w:pPr>
            <w:r>
              <w:rPr>
                <w:rFonts w:ascii="Constantia"/>
                <w:w w:val="115"/>
                <w:sz w:val="14"/>
              </w:rPr>
              <w:t>(0.0031)</w:t>
            </w:r>
          </w:p>
        </w:tc>
        <w:tc>
          <w:tcPr>
            <w:tcW w:w="928" w:type="dxa"/>
          </w:tcPr>
          <w:p>
            <w:pPr>
              <w:pStyle w:val="TableParagraph"/>
              <w:spacing w:before="20"/>
              <w:ind w:right="119"/>
              <w:jc w:val="right"/>
              <w:rPr>
                <w:rFonts w:ascii="Constantia"/>
                <w:sz w:val="14"/>
              </w:rPr>
            </w:pPr>
            <w:r>
              <w:rPr>
                <w:rFonts w:ascii="Constantia"/>
                <w:w w:val="115"/>
                <w:sz w:val="14"/>
              </w:rPr>
              <w:t>(0.0037)</w:t>
            </w:r>
          </w:p>
        </w:tc>
        <w:tc>
          <w:tcPr>
            <w:tcW w:w="921" w:type="dxa"/>
          </w:tcPr>
          <w:p>
            <w:pPr>
              <w:pStyle w:val="TableParagraph"/>
              <w:spacing w:before="20"/>
              <w:ind w:right="31"/>
              <w:jc w:val="right"/>
              <w:rPr>
                <w:rFonts w:ascii="Constantia"/>
                <w:sz w:val="14"/>
              </w:rPr>
            </w:pPr>
            <w:r>
              <w:rPr>
                <w:rFonts w:ascii="Constantia"/>
                <w:w w:val="115"/>
                <w:sz w:val="14"/>
              </w:rPr>
              <w:t>(0.0035)</w:t>
            </w:r>
          </w:p>
        </w:tc>
      </w:tr>
      <w:tr>
        <w:trPr>
          <w:trHeight w:val="263" w:hRule="exact"/>
        </w:trPr>
        <w:tc>
          <w:tcPr>
            <w:tcW w:w="3900" w:type="dxa"/>
          </w:tcPr>
          <w:p>
            <w:pPr>
              <w:pStyle w:val="TableParagraph"/>
              <w:spacing w:before="18"/>
              <w:ind w:left="30"/>
              <w:jc w:val="left"/>
              <w:rPr>
                <w:rFonts w:ascii="Constantia" w:hAnsi="Constantia"/>
                <w:sz w:val="17"/>
              </w:rPr>
            </w:pPr>
            <w:r>
              <w:rPr>
                <w:rFonts w:ascii="Constantia" w:hAnsi="Constantia"/>
                <w:w w:val="115"/>
                <w:sz w:val="17"/>
              </w:rPr>
              <w:t>Choq. Estruct. Asign. De Ing. Fisc. No Gasíf.</w:t>
            </w:r>
          </w:p>
        </w:tc>
        <w:tc>
          <w:tcPr>
            <w:tcW w:w="1032" w:type="dxa"/>
          </w:tcPr>
          <w:p>
            <w:pPr>
              <w:pStyle w:val="TableParagraph"/>
              <w:spacing w:line="231" w:lineRule="exact"/>
              <w:ind w:left="229"/>
              <w:jc w:val="left"/>
              <w:rPr>
                <w:rFonts w:ascii="Constantia"/>
                <w:sz w:val="19"/>
              </w:rPr>
            </w:pPr>
            <w:r>
              <w:rPr>
                <w:rFonts w:ascii="Constantia"/>
                <w:w w:val="115"/>
                <w:sz w:val="19"/>
              </w:rPr>
              <w:t>0.0058</w:t>
            </w:r>
          </w:p>
        </w:tc>
        <w:tc>
          <w:tcPr>
            <w:tcW w:w="984" w:type="dxa"/>
          </w:tcPr>
          <w:p>
            <w:pPr>
              <w:pStyle w:val="TableParagraph"/>
              <w:spacing w:line="231" w:lineRule="exact"/>
              <w:ind w:right="160"/>
              <w:jc w:val="right"/>
              <w:rPr>
                <w:rFonts w:ascii="Constantia"/>
                <w:sz w:val="19"/>
              </w:rPr>
            </w:pPr>
            <w:r>
              <w:rPr>
                <w:rFonts w:ascii="Constantia"/>
                <w:w w:val="110"/>
                <w:sz w:val="19"/>
              </w:rPr>
              <w:t>0.0010</w:t>
            </w:r>
          </w:p>
        </w:tc>
        <w:tc>
          <w:tcPr>
            <w:tcW w:w="1054" w:type="dxa"/>
          </w:tcPr>
          <w:p>
            <w:pPr>
              <w:pStyle w:val="TableParagraph"/>
              <w:spacing w:line="231" w:lineRule="exact"/>
              <w:ind w:right="195"/>
              <w:jc w:val="right"/>
              <w:rPr>
                <w:rFonts w:ascii="Constantia"/>
                <w:sz w:val="19"/>
              </w:rPr>
            </w:pPr>
            <w:r>
              <w:rPr>
                <w:rFonts w:ascii="Constantia"/>
                <w:w w:val="110"/>
                <w:sz w:val="19"/>
              </w:rPr>
              <w:t>0.0048</w:t>
            </w:r>
          </w:p>
        </w:tc>
        <w:tc>
          <w:tcPr>
            <w:tcW w:w="928" w:type="dxa"/>
          </w:tcPr>
          <w:p>
            <w:pPr>
              <w:pStyle w:val="TableParagraph"/>
              <w:spacing w:line="231" w:lineRule="exact"/>
              <w:ind w:right="113"/>
              <w:jc w:val="right"/>
              <w:rPr>
                <w:rFonts w:ascii="Constantia"/>
                <w:sz w:val="19"/>
              </w:rPr>
            </w:pPr>
            <w:r>
              <w:rPr>
                <w:rFonts w:ascii="Constantia"/>
                <w:w w:val="110"/>
                <w:sz w:val="19"/>
              </w:rPr>
              <w:t>0.0050</w:t>
            </w:r>
          </w:p>
        </w:tc>
        <w:tc>
          <w:tcPr>
            <w:tcW w:w="921" w:type="dxa"/>
          </w:tcPr>
          <w:p>
            <w:pPr>
              <w:pStyle w:val="TableParagraph"/>
              <w:spacing w:line="231" w:lineRule="exact"/>
              <w:ind w:right="24"/>
              <w:jc w:val="right"/>
              <w:rPr>
                <w:rFonts w:ascii="Constantia"/>
                <w:sz w:val="19"/>
              </w:rPr>
            </w:pPr>
            <w:r>
              <w:rPr>
                <w:rFonts w:ascii="Constantia"/>
                <w:w w:val="110"/>
                <w:sz w:val="19"/>
              </w:rPr>
              <w:t>0.0049</w:t>
            </w:r>
          </w:p>
        </w:tc>
      </w:tr>
      <w:tr>
        <w:trPr>
          <w:trHeight w:val="218" w:hRule="exact"/>
        </w:trPr>
        <w:tc>
          <w:tcPr>
            <w:tcW w:w="3900" w:type="dxa"/>
          </w:tcPr>
          <w:p>
            <w:pPr/>
          </w:p>
        </w:tc>
        <w:tc>
          <w:tcPr>
            <w:tcW w:w="1032" w:type="dxa"/>
          </w:tcPr>
          <w:p>
            <w:pPr>
              <w:pStyle w:val="TableParagraph"/>
              <w:spacing w:before="20"/>
              <w:ind w:left="219"/>
              <w:jc w:val="left"/>
              <w:rPr>
                <w:rFonts w:ascii="Constantia"/>
                <w:sz w:val="14"/>
              </w:rPr>
            </w:pPr>
            <w:r>
              <w:rPr>
                <w:rFonts w:ascii="Constantia"/>
                <w:w w:val="115"/>
                <w:sz w:val="14"/>
              </w:rPr>
              <w:t>(0.0045)</w:t>
            </w:r>
          </w:p>
        </w:tc>
        <w:tc>
          <w:tcPr>
            <w:tcW w:w="984" w:type="dxa"/>
          </w:tcPr>
          <w:p>
            <w:pPr>
              <w:pStyle w:val="TableParagraph"/>
              <w:spacing w:before="20"/>
              <w:ind w:right="166"/>
              <w:jc w:val="right"/>
              <w:rPr>
                <w:rFonts w:ascii="Constantia"/>
                <w:sz w:val="14"/>
              </w:rPr>
            </w:pPr>
            <w:r>
              <w:rPr>
                <w:rFonts w:ascii="Constantia"/>
                <w:w w:val="115"/>
                <w:sz w:val="14"/>
              </w:rPr>
              <w:t>(0.0040)</w:t>
            </w:r>
          </w:p>
        </w:tc>
        <w:tc>
          <w:tcPr>
            <w:tcW w:w="1054" w:type="dxa"/>
          </w:tcPr>
          <w:p>
            <w:pPr>
              <w:pStyle w:val="TableParagraph"/>
              <w:spacing w:before="20"/>
              <w:ind w:right="200"/>
              <w:jc w:val="right"/>
              <w:rPr>
                <w:rFonts w:ascii="Constantia"/>
                <w:sz w:val="14"/>
              </w:rPr>
            </w:pPr>
            <w:r>
              <w:rPr>
                <w:rFonts w:ascii="Constantia"/>
                <w:w w:val="115"/>
                <w:sz w:val="14"/>
              </w:rPr>
              <w:t>(0.0031)</w:t>
            </w:r>
          </w:p>
        </w:tc>
        <w:tc>
          <w:tcPr>
            <w:tcW w:w="928" w:type="dxa"/>
          </w:tcPr>
          <w:p>
            <w:pPr>
              <w:pStyle w:val="TableParagraph"/>
              <w:spacing w:before="20"/>
              <w:ind w:right="119"/>
              <w:jc w:val="right"/>
              <w:rPr>
                <w:rFonts w:ascii="Constantia"/>
                <w:sz w:val="14"/>
              </w:rPr>
            </w:pPr>
            <w:r>
              <w:rPr>
                <w:rFonts w:ascii="Constantia"/>
                <w:w w:val="115"/>
                <w:sz w:val="14"/>
              </w:rPr>
              <w:t>(0.0050)</w:t>
            </w:r>
          </w:p>
        </w:tc>
        <w:tc>
          <w:tcPr>
            <w:tcW w:w="921" w:type="dxa"/>
          </w:tcPr>
          <w:p>
            <w:pPr>
              <w:pStyle w:val="TableParagraph"/>
              <w:spacing w:before="20"/>
              <w:ind w:right="31"/>
              <w:jc w:val="right"/>
              <w:rPr>
                <w:rFonts w:ascii="Constantia"/>
                <w:sz w:val="14"/>
              </w:rPr>
            </w:pPr>
            <w:r>
              <w:rPr>
                <w:rFonts w:ascii="Constantia"/>
                <w:w w:val="115"/>
                <w:sz w:val="14"/>
              </w:rPr>
              <w:t>(0.0034)</w:t>
            </w:r>
          </w:p>
        </w:tc>
      </w:tr>
      <w:tr>
        <w:trPr>
          <w:trHeight w:val="263" w:hRule="exact"/>
        </w:trPr>
        <w:tc>
          <w:tcPr>
            <w:tcW w:w="3900" w:type="dxa"/>
          </w:tcPr>
          <w:p>
            <w:pPr>
              <w:pStyle w:val="TableParagraph"/>
              <w:spacing w:before="18"/>
              <w:ind w:left="30"/>
              <w:jc w:val="left"/>
              <w:rPr>
                <w:rFonts w:ascii="Constantia"/>
                <w:sz w:val="17"/>
              </w:rPr>
            </w:pPr>
            <w:r>
              <w:rPr>
                <w:rFonts w:ascii="Constantia"/>
                <w:w w:val="115"/>
                <w:sz w:val="17"/>
              </w:rPr>
              <w:t>Choq. Estruct. De la misma variable</w:t>
            </w:r>
          </w:p>
        </w:tc>
        <w:tc>
          <w:tcPr>
            <w:tcW w:w="1032" w:type="dxa"/>
          </w:tcPr>
          <w:p>
            <w:pPr>
              <w:pStyle w:val="TableParagraph"/>
              <w:spacing w:line="232" w:lineRule="exact"/>
              <w:ind w:left="178"/>
              <w:jc w:val="left"/>
              <w:rPr>
                <w:rFonts w:ascii="Constantia"/>
                <w:sz w:val="19"/>
              </w:rPr>
            </w:pPr>
            <w:r>
              <w:rPr>
                <w:rFonts w:ascii="Constantia"/>
                <w:w w:val="115"/>
                <w:sz w:val="19"/>
              </w:rPr>
              <w:t>-0.0019</w:t>
            </w:r>
          </w:p>
        </w:tc>
        <w:tc>
          <w:tcPr>
            <w:tcW w:w="984" w:type="dxa"/>
          </w:tcPr>
          <w:p>
            <w:pPr>
              <w:pStyle w:val="TableParagraph"/>
              <w:spacing w:line="232" w:lineRule="exact"/>
              <w:ind w:right="159"/>
              <w:jc w:val="right"/>
              <w:rPr>
                <w:rFonts w:ascii="Constantia"/>
                <w:sz w:val="19"/>
              </w:rPr>
            </w:pPr>
            <w:r>
              <w:rPr>
                <w:rFonts w:ascii="Constantia"/>
                <w:w w:val="110"/>
                <w:sz w:val="19"/>
              </w:rPr>
              <w:t>0.0019</w:t>
            </w:r>
          </w:p>
        </w:tc>
        <w:tc>
          <w:tcPr>
            <w:tcW w:w="1054" w:type="dxa"/>
          </w:tcPr>
          <w:p>
            <w:pPr>
              <w:pStyle w:val="TableParagraph"/>
              <w:spacing w:line="232" w:lineRule="exact"/>
              <w:ind w:left="161"/>
              <w:jc w:val="left"/>
              <w:rPr>
                <w:rFonts w:ascii="Constantia"/>
                <w:sz w:val="19"/>
              </w:rPr>
            </w:pPr>
            <w:r>
              <w:rPr>
                <w:rFonts w:ascii="Constantia"/>
                <w:w w:val="115"/>
                <w:sz w:val="19"/>
              </w:rPr>
              <w:t>-0.0004</w:t>
            </w:r>
          </w:p>
        </w:tc>
        <w:tc>
          <w:tcPr>
            <w:tcW w:w="928" w:type="dxa"/>
          </w:tcPr>
          <w:p>
            <w:pPr>
              <w:pStyle w:val="TableParagraph"/>
              <w:spacing w:line="232" w:lineRule="exact"/>
              <w:ind w:right="115"/>
              <w:jc w:val="right"/>
              <w:rPr>
                <w:rFonts w:ascii="Constantia"/>
                <w:sz w:val="19"/>
              </w:rPr>
            </w:pPr>
            <w:r>
              <w:rPr>
                <w:rFonts w:ascii="Constantia"/>
                <w:w w:val="110"/>
                <w:sz w:val="19"/>
              </w:rPr>
              <w:t>0.0047</w:t>
            </w:r>
          </w:p>
        </w:tc>
        <w:tc>
          <w:tcPr>
            <w:tcW w:w="921" w:type="dxa"/>
          </w:tcPr>
          <w:p>
            <w:pPr>
              <w:pStyle w:val="TableParagraph"/>
              <w:spacing w:line="232" w:lineRule="exact"/>
              <w:ind w:right="33"/>
              <w:jc w:val="right"/>
              <w:rPr>
                <w:rFonts w:ascii="Constantia"/>
                <w:sz w:val="19"/>
              </w:rPr>
            </w:pPr>
            <w:r>
              <w:rPr>
                <w:rFonts w:ascii="Constantia"/>
                <w:w w:val="110"/>
                <w:sz w:val="19"/>
              </w:rPr>
              <w:t>0.0051</w:t>
            </w:r>
          </w:p>
        </w:tc>
      </w:tr>
      <w:tr>
        <w:trPr>
          <w:trHeight w:val="208" w:hRule="exact"/>
        </w:trPr>
        <w:tc>
          <w:tcPr>
            <w:tcW w:w="3900" w:type="dxa"/>
            <w:tcBorders>
              <w:bottom w:val="double" w:sz="4" w:space="0" w:color="000000"/>
            </w:tcBorders>
          </w:tcPr>
          <w:p>
            <w:pPr/>
          </w:p>
        </w:tc>
        <w:tc>
          <w:tcPr>
            <w:tcW w:w="1032" w:type="dxa"/>
            <w:tcBorders>
              <w:bottom w:val="double" w:sz="4" w:space="0" w:color="000000"/>
            </w:tcBorders>
          </w:tcPr>
          <w:p>
            <w:pPr>
              <w:pStyle w:val="TableParagraph"/>
              <w:spacing w:before="20"/>
              <w:ind w:left="229"/>
              <w:jc w:val="left"/>
              <w:rPr>
                <w:rFonts w:ascii="Constantia"/>
                <w:sz w:val="14"/>
              </w:rPr>
            </w:pPr>
            <w:r>
              <w:rPr>
                <w:rFonts w:ascii="Constantia"/>
                <w:w w:val="115"/>
                <w:sz w:val="14"/>
              </w:rPr>
              <w:t>(0.0063)</w:t>
            </w:r>
          </w:p>
        </w:tc>
        <w:tc>
          <w:tcPr>
            <w:tcW w:w="984" w:type="dxa"/>
            <w:tcBorders>
              <w:bottom w:val="double" w:sz="4" w:space="0" w:color="000000"/>
            </w:tcBorders>
          </w:tcPr>
          <w:p>
            <w:pPr>
              <w:pStyle w:val="TableParagraph"/>
              <w:spacing w:before="20"/>
              <w:ind w:right="166"/>
              <w:jc w:val="right"/>
              <w:rPr>
                <w:rFonts w:ascii="Constantia"/>
                <w:sz w:val="14"/>
              </w:rPr>
            </w:pPr>
            <w:r>
              <w:rPr>
                <w:rFonts w:ascii="Constantia"/>
                <w:w w:val="115"/>
                <w:sz w:val="14"/>
              </w:rPr>
              <w:t>(0.0040)</w:t>
            </w:r>
          </w:p>
        </w:tc>
        <w:tc>
          <w:tcPr>
            <w:tcW w:w="1054" w:type="dxa"/>
            <w:tcBorders>
              <w:bottom w:val="double" w:sz="4" w:space="0" w:color="000000"/>
            </w:tcBorders>
          </w:tcPr>
          <w:p>
            <w:pPr>
              <w:pStyle w:val="TableParagraph"/>
              <w:spacing w:before="20"/>
              <w:ind w:right="200"/>
              <w:jc w:val="right"/>
              <w:rPr>
                <w:rFonts w:ascii="Constantia"/>
                <w:sz w:val="14"/>
              </w:rPr>
            </w:pPr>
            <w:r>
              <w:rPr>
                <w:rFonts w:ascii="Constantia"/>
                <w:w w:val="115"/>
                <w:sz w:val="14"/>
              </w:rPr>
              <w:t>(0.0031)</w:t>
            </w:r>
          </w:p>
        </w:tc>
        <w:tc>
          <w:tcPr>
            <w:tcW w:w="928" w:type="dxa"/>
            <w:tcBorders>
              <w:bottom w:val="double" w:sz="4" w:space="0" w:color="000000"/>
            </w:tcBorders>
          </w:tcPr>
          <w:p>
            <w:pPr>
              <w:pStyle w:val="TableParagraph"/>
              <w:spacing w:before="20"/>
              <w:ind w:right="119"/>
              <w:jc w:val="right"/>
              <w:rPr>
                <w:rFonts w:ascii="Constantia"/>
                <w:sz w:val="14"/>
              </w:rPr>
            </w:pPr>
            <w:r>
              <w:rPr>
                <w:rFonts w:ascii="Constantia"/>
                <w:w w:val="115"/>
                <w:sz w:val="14"/>
              </w:rPr>
              <w:t>(0.0047)</w:t>
            </w:r>
          </w:p>
        </w:tc>
        <w:tc>
          <w:tcPr>
            <w:tcW w:w="921" w:type="dxa"/>
            <w:tcBorders>
              <w:bottom w:val="double" w:sz="4" w:space="0" w:color="000000"/>
            </w:tcBorders>
          </w:tcPr>
          <w:p>
            <w:pPr>
              <w:pStyle w:val="TableParagraph"/>
              <w:spacing w:before="20"/>
              <w:ind w:right="31"/>
              <w:jc w:val="right"/>
              <w:rPr>
                <w:rFonts w:ascii="Constantia"/>
                <w:sz w:val="14"/>
              </w:rPr>
            </w:pPr>
            <w:r>
              <w:rPr>
                <w:rFonts w:ascii="Constantia"/>
                <w:w w:val="115"/>
                <w:sz w:val="14"/>
              </w:rPr>
              <w:t>(0.0035)</w:t>
            </w:r>
          </w:p>
        </w:tc>
      </w:tr>
      <w:tr>
        <w:trPr>
          <w:trHeight w:val="256" w:hRule="exact"/>
        </w:trPr>
        <w:tc>
          <w:tcPr>
            <w:tcW w:w="3900" w:type="dxa"/>
            <w:tcBorders>
              <w:top w:val="double" w:sz="4" w:space="0" w:color="000000"/>
            </w:tcBorders>
          </w:tcPr>
          <w:p>
            <w:pPr>
              <w:pStyle w:val="TableParagraph"/>
              <w:spacing w:before="15"/>
              <w:ind w:left="30"/>
              <w:jc w:val="left"/>
              <w:rPr>
                <w:rFonts w:ascii="Constantia" w:hAnsi="Constantia"/>
                <w:sz w:val="17"/>
              </w:rPr>
            </w:pPr>
            <w:r>
              <w:rPr>
                <w:rFonts w:ascii="Constantia" w:hAnsi="Constantia"/>
                <w:w w:val="115"/>
                <w:sz w:val="17"/>
              </w:rPr>
              <w:t>Nº de variables de impulso</w:t>
            </w:r>
          </w:p>
        </w:tc>
        <w:tc>
          <w:tcPr>
            <w:tcW w:w="1032" w:type="dxa"/>
            <w:tcBorders>
              <w:top w:val="double" w:sz="4" w:space="0" w:color="000000"/>
            </w:tcBorders>
          </w:tcPr>
          <w:p>
            <w:pPr>
              <w:pStyle w:val="TableParagraph"/>
              <w:spacing w:before="15"/>
              <w:ind w:right="196"/>
              <w:jc w:val="right"/>
              <w:rPr>
                <w:rFonts w:ascii="Constantia"/>
                <w:sz w:val="17"/>
              </w:rPr>
            </w:pPr>
            <w:r>
              <w:rPr>
                <w:rFonts w:ascii="Constantia"/>
                <w:w w:val="114"/>
                <w:sz w:val="17"/>
              </w:rPr>
              <w:t>0</w:t>
            </w:r>
          </w:p>
        </w:tc>
        <w:tc>
          <w:tcPr>
            <w:tcW w:w="984" w:type="dxa"/>
            <w:tcBorders>
              <w:top w:val="double" w:sz="4" w:space="0" w:color="000000"/>
            </w:tcBorders>
          </w:tcPr>
          <w:p>
            <w:pPr>
              <w:pStyle w:val="TableParagraph"/>
              <w:spacing w:before="15"/>
              <w:ind w:right="160"/>
              <w:jc w:val="right"/>
              <w:rPr>
                <w:rFonts w:ascii="Constantia"/>
                <w:sz w:val="17"/>
              </w:rPr>
            </w:pPr>
            <w:r>
              <w:rPr>
                <w:rFonts w:ascii="Constantia"/>
                <w:w w:val="114"/>
                <w:sz w:val="17"/>
              </w:rPr>
              <w:t>0</w:t>
            </w:r>
          </w:p>
        </w:tc>
        <w:tc>
          <w:tcPr>
            <w:tcW w:w="1054" w:type="dxa"/>
            <w:tcBorders>
              <w:top w:val="double" w:sz="4" w:space="0" w:color="000000"/>
            </w:tcBorders>
          </w:tcPr>
          <w:p>
            <w:pPr>
              <w:pStyle w:val="TableParagraph"/>
              <w:spacing w:before="15"/>
              <w:ind w:right="198"/>
              <w:jc w:val="right"/>
              <w:rPr>
                <w:rFonts w:ascii="Constantia"/>
                <w:sz w:val="17"/>
              </w:rPr>
            </w:pPr>
            <w:r>
              <w:rPr>
                <w:rFonts w:ascii="Constantia"/>
                <w:w w:val="114"/>
                <w:sz w:val="17"/>
              </w:rPr>
              <w:t>1</w:t>
            </w:r>
          </w:p>
        </w:tc>
        <w:tc>
          <w:tcPr>
            <w:tcW w:w="928" w:type="dxa"/>
            <w:tcBorders>
              <w:top w:val="double" w:sz="4" w:space="0" w:color="000000"/>
            </w:tcBorders>
          </w:tcPr>
          <w:p>
            <w:pPr>
              <w:pStyle w:val="TableParagraph"/>
              <w:spacing w:before="15"/>
              <w:ind w:right="117"/>
              <w:jc w:val="right"/>
              <w:rPr>
                <w:rFonts w:ascii="Constantia"/>
                <w:sz w:val="17"/>
              </w:rPr>
            </w:pPr>
            <w:r>
              <w:rPr>
                <w:rFonts w:ascii="Constantia"/>
                <w:w w:val="114"/>
                <w:sz w:val="17"/>
              </w:rPr>
              <w:t>1</w:t>
            </w:r>
          </w:p>
        </w:tc>
        <w:tc>
          <w:tcPr>
            <w:tcW w:w="921" w:type="dxa"/>
            <w:tcBorders>
              <w:top w:val="double" w:sz="4" w:space="0" w:color="000000"/>
            </w:tcBorders>
          </w:tcPr>
          <w:p>
            <w:pPr>
              <w:pStyle w:val="TableParagraph"/>
              <w:spacing w:before="15"/>
              <w:ind w:right="26"/>
              <w:jc w:val="right"/>
              <w:rPr>
                <w:rFonts w:ascii="Constantia"/>
                <w:sz w:val="17"/>
              </w:rPr>
            </w:pPr>
            <w:r>
              <w:rPr>
                <w:rFonts w:ascii="Constantia"/>
                <w:w w:val="114"/>
                <w:sz w:val="17"/>
              </w:rPr>
              <w:t>0</w:t>
            </w:r>
          </w:p>
        </w:tc>
      </w:tr>
      <w:tr>
        <w:trPr>
          <w:trHeight w:val="216" w:hRule="exact"/>
        </w:trPr>
        <w:tc>
          <w:tcPr>
            <w:tcW w:w="3900" w:type="dxa"/>
            <w:tcBorders>
              <w:bottom w:val="double" w:sz="4" w:space="0" w:color="000000"/>
            </w:tcBorders>
          </w:tcPr>
          <w:p>
            <w:pPr>
              <w:pStyle w:val="TableParagraph"/>
              <w:spacing w:line="207" w:lineRule="exact"/>
              <w:ind w:left="30"/>
              <w:jc w:val="left"/>
              <w:rPr>
                <w:rFonts w:ascii="Constantia" w:hAnsi="Constantia"/>
                <w:sz w:val="17"/>
              </w:rPr>
            </w:pPr>
            <w:r>
              <w:rPr>
                <w:rFonts w:ascii="Constantia" w:hAnsi="Constantia"/>
                <w:w w:val="115"/>
                <w:sz w:val="17"/>
              </w:rPr>
              <w:t>Incluye término autoregresivo</w:t>
            </w:r>
          </w:p>
        </w:tc>
        <w:tc>
          <w:tcPr>
            <w:tcW w:w="1032" w:type="dxa"/>
            <w:tcBorders>
              <w:bottom w:val="double" w:sz="4" w:space="0" w:color="000000"/>
            </w:tcBorders>
          </w:tcPr>
          <w:p>
            <w:pPr>
              <w:pStyle w:val="TableParagraph"/>
              <w:spacing w:line="207" w:lineRule="exact"/>
              <w:ind w:right="263"/>
              <w:jc w:val="right"/>
              <w:rPr>
                <w:rFonts w:ascii="Constantia"/>
                <w:sz w:val="17"/>
              </w:rPr>
            </w:pPr>
            <w:r>
              <w:rPr>
                <w:rFonts w:ascii="Constantia"/>
                <w:w w:val="115"/>
                <w:sz w:val="17"/>
              </w:rPr>
              <w:t>Si</w:t>
            </w:r>
          </w:p>
        </w:tc>
        <w:tc>
          <w:tcPr>
            <w:tcW w:w="984" w:type="dxa"/>
            <w:tcBorders>
              <w:bottom w:val="double" w:sz="4" w:space="0" w:color="000000"/>
            </w:tcBorders>
          </w:tcPr>
          <w:p>
            <w:pPr>
              <w:pStyle w:val="TableParagraph"/>
              <w:spacing w:line="207" w:lineRule="exact"/>
              <w:ind w:right="234"/>
              <w:jc w:val="right"/>
              <w:rPr>
                <w:rFonts w:ascii="Constantia"/>
                <w:sz w:val="17"/>
              </w:rPr>
            </w:pPr>
            <w:r>
              <w:rPr>
                <w:rFonts w:ascii="Constantia"/>
                <w:w w:val="110"/>
                <w:sz w:val="17"/>
              </w:rPr>
              <w:t>No</w:t>
            </w:r>
          </w:p>
        </w:tc>
        <w:tc>
          <w:tcPr>
            <w:tcW w:w="1054" w:type="dxa"/>
            <w:tcBorders>
              <w:bottom w:val="double" w:sz="4" w:space="0" w:color="000000"/>
            </w:tcBorders>
          </w:tcPr>
          <w:p>
            <w:pPr>
              <w:pStyle w:val="TableParagraph"/>
              <w:spacing w:line="207" w:lineRule="exact"/>
              <w:ind w:right="269"/>
              <w:jc w:val="right"/>
              <w:rPr>
                <w:rFonts w:ascii="Constantia"/>
                <w:sz w:val="17"/>
              </w:rPr>
            </w:pPr>
            <w:r>
              <w:rPr>
                <w:rFonts w:ascii="Constantia"/>
                <w:w w:val="110"/>
                <w:sz w:val="17"/>
              </w:rPr>
              <w:t>No</w:t>
            </w:r>
          </w:p>
        </w:tc>
        <w:tc>
          <w:tcPr>
            <w:tcW w:w="928" w:type="dxa"/>
            <w:tcBorders>
              <w:bottom w:val="double" w:sz="4" w:space="0" w:color="000000"/>
            </w:tcBorders>
          </w:tcPr>
          <w:p>
            <w:pPr>
              <w:pStyle w:val="TableParagraph"/>
              <w:spacing w:line="207" w:lineRule="exact"/>
              <w:ind w:right="187"/>
              <w:jc w:val="right"/>
              <w:rPr>
                <w:rFonts w:ascii="Constantia"/>
                <w:sz w:val="17"/>
              </w:rPr>
            </w:pPr>
            <w:r>
              <w:rPr>
                <w:rFonts w:ascii="Constantia"/>
                <w:w w:val="110"/>
                <w:sz w:val="17"/>
              </w:rPr>
              <w:t>No</w:t>
            </w:r>
          </w:p>
        </w:tc>
        <w:tc>
          <w:tcPr>
            <w:tcW w:w="921" w:type="dxa"/>
            <w:tcBorders>
              <w:bottom w:val="double" w:sz="4" w:space="0" w:color="000000"/>
            </w:tcBorders>
          </w:tcPr>
          <w:p>
            <w:pPr>
              <w:pStyle w:val="TableParagraph"/>
              <w:spacing w:line="207" w:lineRule="exact"/>
              <w:ind w:right="100"/>
              <w:jc w:val="right"/>
              <w:rPr>
                <w:rFonts w:ascii="Constantia"/>
                <w:sz w:val="17"/>
              </w:rPr>
            </w:pPr>
            <w:r>
              <w:rPr>
                <w:rFonts w:ascii="Constantia"/>
                <w:w w:val="110"/>
                <w:sz w:val="17"/>
              </w:rPr>
              <w:t>No</w:t>
            </w:r>
          </w:p>
        </w:tc>
      </w:tr>
      <w:tr>
        <w:trPr>
          <w:trHeight w:val="256" w:hRule="exact"/>
        </w:trPr>
        <w:tc>
          <w:tcPr>
            <w:tcW w:w="3900" w:type="dxa"/>
            <w:tcBorders>
              <w:top w:val="double" w:sz="4" w:space="0" w:color="000000"/>
            </w:tcBorders>
          </w:tcPr>
          <w:p>
            <w:pPr>
              <w:pStyle w:val="TableParagraph"/>
              <w:spacing w:before="15"/>
              <w:ind w:left="30"/>
              <w:jc w:val="left"/>
              <w:rPr>
                <w:rFonts w:ascii="Constantia"/>
                <w:sz w:val="17"/>
              </w:rPr>
            </w:pPr>
            <w:r>
              <w:rPr>
                <w:rFonts w:ascii="Constantia"/>
                <w:w w:val="115"/>
                <w:sz w:val="17"/>
              </w:rPr>
              <w:t>R2</w:t>
            </w:r>
          </w:p>
        </w:tc>
        <w:tc>
          <w:tcPr>
            <w:tcW w:w="1032" w:type="dxa"/>
            <w:tcBorders>
              <w:top w:val="double" w:sz="4" w:space="0" w:color="000000"/>
            </w:tcBorders>
          </w:tcPr>
          <w:p>
            <w:pPr>
              <w:pStyle w:val="TableParagraph"/>
              <w:spacing w:before="15"/>
              <w:ind w:right="273"/>
              <w:jc w:val="right"/>
              <w:rPr>
                <w:rFonts w:ascii="Constantia"/>
                <w:sz w:val="17"/>
              </w:rPr>
            </w:pPr>
            <w:r>
              <w:rPr>
                <w:rFonts w:ascii="Constantia"/>
                <w:w w:val="115"/>
                <w:sz w:val="17"/>
              </w:rPr>
              <w:t>0.23</w:t>
            </w:r>
          </w:p>
        </w:tc>
        <w:tc>
          <w:tcPr>
            <w:tcW w:w="984" w:type="dxa"/>
            <w:tcBorders>
              <w:top w:val="double" w:sz="4" w:space="0" w:color="000000"/>
            </w:tcBorders>
          </w:tcPr>
          <w:p>
            <w:pPr>
              <w:pStyle w:val="TableParagraph"/>
              <w:spacing w:before="15"/>
              <w:ind w:left="400"/>
              <w:jc w:val="left"/>
              <w:rPr>
                <w:rFonts w:ascii="Constantia"/>
                <w:sz w:val="17"/>
              </w:rPr>
            </w:pPr>
            <w:r>
              <w:rPr>
                <w:rFonts w:ascii="Constantia"/>
                <w:w w:val="115"/>
                <w:sz w:val="17"/>
              </w:rPr>
              <w:t>0.02</w:t>
            </w:r>
          </w:p>
        </w:tc>
        <w:tc>
          <w:tcPr>
            <w:tcW w:w="1054" w:type="dxa"/>
            <w:tcBorders>
              <w:top w:val="double" w:sz="4" w:space="0" w:color="000000"/>
            </w:tcBorders>
          </w:tcPr>
          <w:p>
            <w:pPr>
              <w:pStyle w:val="TableParagraph"/>
              <w:spacing w:before="15"/>
              <w:ind w:right="267"/>
              <w:jc w:val="right"/>
              <w:rPr>
                <w:rFonts w:ascii="Constantia"/>
                <w:sz w:val="17"/>
              </w:rPr>
            </w:pPr>
            <w:r>
              <w:rPr>
                <w:rFonts w:ascii="Constantia"/>
                <w:w w:val="115"/>
                <w:sz w:val="17"/>
              </w:rPr>
              <w:t>0.40</w:t>
            </w:r>
          </w:p>
        </w:tc>
        <w:tc>
          <w:tcPr>
            <w:tcW w:w="928" w:type="dxa"/>
            <w:tcBorders>
              <w:top w:val="double" w:sz="4" w:space="0" w:color="000000"/>
            </w:tcBorders>
          </w:tcPr>
          <w:p>
            <w:pPr>
              <w:pStyle w:val="TableParagraph"/>
              <w:spacing w:before="15"/>
              <w:ind w:left="422"/>
              <w:jc w:val="left"/>
              <w:rPr>
                <w:rFonts w:ascii="Constantia"/>
                <w:sz w:val="17"/>
              </w:rPr>
            </w:pPr>
            <w:r>
              <w:rPr>
                <w:rFonts w:ascii="Constantia"/>
                <w:w w:val="115"/>
                <w:sz w:val="17"/>
              </w:rPr>
              <w:t>0.19</w:t>
            </w:r>
          </w:p>
        </w:tc>
        <w:tc>
          <w:tcPr>
            <w:tcW w:w="921" w:type="dxa"/>
            <w:tcBorders>
              <w:top w:val="double" w:sz="4" w:space="0" w:color="000000"/>
            </w:tcBorders>
          </w:tcPr>
          <w:p>
            <w:pPr>
              <w:pStyle w:val="TableParagraph"/>
              <w:spacing w:before="15"/>
              <w:ind w:right="98"/>
              <w:jc w:val="right"/>
              <w:rPr>
                <w:rFonts w:ascii="Constantia"/>
                <w:sz w:val="17"/>
              </w:rPr>
            </w:pPr>
            <w:r>
              <w:rPr>
                <w:rFonts w:ascii="Constantia"/>
                <w:w w:val="110"/>
                <w:sz w:val="17"/>
              </w:rPr>
              <w:t>0.32</w:t>
            </w:r>
          </w:p>
        </w:tc>
      </w:tr>
      <w:tr>
        <w:trPr>
          <w:trHeight w:val="227" w:hRule="exact"/>
        </w:trPr>
        <w:tc>
          <w:tcPr>
            <w:tcW w:w="3900" w:type="dxa"/>
          </w:tcPr>
          <w:p>
            <w:pPr>
              <w:pStyle w:val="TableParagraph"/>
              <w:spacing w:line="207" w:lineRule="exact"/>
              <w:ind w:left="30"/>
              <w:jc w:val="left"/>
              <w:rPr>
                <w:rFonts w:ascii="Constantia"/>
                <w:sz w:val="17"/>
              </w:rPr>
            </w:pPr>
            <w:r>
              <w:rPr>
                <w:rFonts w:ascii="Constantia"/>
                <w:w w:val="115"/>
                <w:sz w:val="17"/>
              </w:rPr>
              <w:t>DW</w:t>
            </w:r>
          </w:p>
        </w:tc>
        <w:tc>
          <w:tcPr>
            <w:tcW w:w="1032" w:type="dxa"/>
          </w:tcPr>
          <w:p>
            <w:pPr>
              <w:pStyle w:val="TableParagraph"/>
              <w:spacing w:line="207" w:lineRule="exact"/>
              <w:ind w:right="267"/>
              <w:jc w:val="right"/>
              <w:rPr>
                <w:rFonts w:ascii="Constantia"/>
                <w:sz w:val="17"/>
              </w:rPr>
            </w:pPr>
            <w:r>
              <w:rPr>
                <w:rFonts w:ascii="Constantia"/>
                <w:w w:val="110"/>
                <w:sz w:val="17"/>
              </w:rPr>
              <w:t>1.80</w:t>
            </w:r>
          </w:p>
        </w:tc>
        <w:tc>
          <w:tcPr>
            <w:tcW w:w="984" w:type="dxa"/>
          </w:tcPr>
          <w:p>
            <w:pPr>
              <w:pStyle w:val="TableParagraph"/>
              <w:spacing w:line="207" w:lineRule="exact"/>
              <w:ind w:left="441"/>
              <w:jc w:val="left"/>
              <w:rPr>
                <w:rFonts w:ascii="Constantia"/>
                <w:sz w:val="17"/>
              </w:rPr>
            </w:pPr>
            <w:r>
              <w:rPr>
                <w:rFonts w:ascii="Constantia"/>
                <w:w w:val="115"/>
                <w:sz w:val="17"/>
              </w:rPr>
              <w:t>1.95</w:t>
            </w:r>
          </w:p>
        </w:tc>
        <w:tc>
          <w:tcPr>
            <w:tcW w:w="1054" w:type="dxa"/>
          </w:tcPr>
          <w:p>
            <w:pPr>
              <w:pStyle w:val="TableParagraph"/>
              <w:spacing w:line="207" w:lineRule="exact"/>
              <w:ind w:right="267"/>
              <w:jc w:val="right"/>
              <w:rPr>
                <w:rFonts w:ascii="Constantia"/>
                <w:sz w:val="17"/>
              </w:rPr>
            </w:pPr>
            <w:r>
              <w:rPr>
                <w:rFonts w:ascii="Constantia"/>
                <w:w w:val="110"/>
                <w:sz w:val="17"/>
              </w:rPr>
              <w:t>1.96</w:t>
            </w:r>
          </w:p>
        </w:tc>
        <w:tc>
          <w:tcPr>
            <w:tcW w:w="928" w:type="dxa"/>
          </w:tcPr>
          <w:p>
            <w:pPr>
              <w:pStyle w:val="TableParagraph"/>
              <w:spacing w:line="207" w:lineRule="exact"/>
              <w:ind w:left="422"/>
              <w:jc w:val="left"/>
              <w:rPr>
                <w:rFonts w:ascii="Constantia"/>
                <w:sz w:val="17"/>
              </w:rPr>
            </w:pPr>
            <w:r>
              <w:rPr>
                <w:rFonts w:ascii="Constantia"/>
                <w:w w:val="115"/>
                <w:sz w:val="17"/>
              </w:rPr>
              <w:t>1.89</w:t>
            </w:r>
          </w:p>
        </w:tc>
        <w:tc>
          <w:tcPr>
            <w:tcW w:w="921" w:type="dxa"/>
          </w:tcPr>
          <w:p>
            <w:pPr>
              <w:pStyle w:val="TableParagraph"/>
              <w:spacing w:line="207" w:lineRule="exact"/>
              <w:ind w:right="98"/>
              <w:jc w:val="right"/>
              <w:rPr>
                <w:rFonts w:ascii="Constantia"/>
                <w:sz w:val="17"/>
              </w:rPr>
            </w:pPr>
            <w:r>
              <w:rPr>
                <w:rFonts w:ascii="Constantia"/>
                <w:w w:val="110"/>
                <w:sz w:val="17"/>
              </w:rPr>
              <w:t>2.18</w:t>
            </w:r>
          </w:p>
        </w:tc>
      </w:tr>
      <w:tr>
        <w:trPr>
          <w:trHeight w:val="249" w:hRule="exact"/>
        </w:trPr>
        <w:tc>
          <w:tcPr>
            <w:tcW w:w="3900" w:type="dxa"/>
          </w:tcPr>
          <w:p>
            <w:pPr>
              <w:pStyle w:val="TableParagraph"/>
              <w:spacing w:line="207" w:lineRule="exact"/>
              <w:ind w:left="30"/>
              <w:jc w:val="left"/>
              <w:rPr>
                <w:rFonts w:ascii="Constantia"/>
                <w:sz w:val="17"/>
              </w:rPr>
            </w:pPr>
            <w:r>
              <w:rPr>
                <w:rFonts w:ascii="Constantia"/>
                <w:w w:val="115"/>
                <w:sz w:val="17"/>
              </w:rPr>
              <w:t>Prob. ARCH (1)</w:t>
            </w:r>
          </w:p>
        </w:tc>
        <w:tc>
          <w:tcPr>
            <w:tcW w:w="1032" w:type="dxa"/>
          </w:tcPr>
          <w:p>
            <w:pPr>
              <w:pStyle w:val="TableParagraph"/>
              <w:spacing w:line="207" w:lineRule="exact"/>
              <w:ind w:right="268"/>
              <w:jc w:val="right"/>
              <w:rPr>
                <w:rFonts w:ascii="Constantia"/>
                <w:sz w:val="17"/>
              </w:rPr>
            </w:pPr>
            <w:r>
              <w:rPr>
                <w:rFonts w:ascii="Constantia"/>
                <w:w w:val="110"/>
                <w:sz w:val="17"/>
              </w:rPr>
              <w:t>0.10</w:t>
            </w:r>
          </w:p>
        </w:tc>
        <w:tc>
          <w:tcPr>
            <w:tcW w:w="984" w:type="dxa"/>
          </w:tcPr>
          <w:p>
            <w:pPr>
              <w:pStyle w:val="TableParagraph"/>
              <w:spacing w:line="207" w:lineRule="exact"/>
              <w:ind w:left="411"/>
              <w:jc w:val="left"/>
              <w:rPr>
                <w:rFonts w:ascii="Constantia"/>
                <w:sz w:val="17"/>
              </w:rPr>
            </w:pPr>
            <w:r>
              <w:rPr>
                <w:rFonts w:ascii="Constantia"/>
                <w:w w:val="115"/>
                <w:sz w:val="17"/>
              </w:rPr>
              <w:t>0.35</w:t>
            </w:r>
          </w:p>
        </w:tc>
        <w:tc>
          <w:tcPr>
            <w:tcW w:w="1054" w:type="dxa"/>
          </w:tcPr>
          <w:p>
            <w:pPr>
              <w:pStyle w:val="TableParagraph"/>
              <w:spacing w:line="207" w:lineRule="exact"/>
              <w:ind w:right="266"/>
              <w:jc w:val="right"/>
              <w:rPr>
                <w:rFonts w:ascii="Constantia"/>
                <w:sz w:val="17"/>
              </w:rPr>
            </w:pPr>
            <w:r>
              <w:rPr>
                <w:rFonts w:ascii="Constantia"/>
                <w:w w:val="110"/>
                <w:sz w:val="17"/>
              </w:rPr>
              <w:t>0.19</w:t>
            </w:r>
          </w:p>
        </w:tc>
        <w:tc>
          <w:tcPr>
            <w:tcW w:w="928" w:type="dxa"/>
          </w:tcPr>
          <w:p>
            <w:pPr>
              <w:pStyle w:val="TableParagraph"/>
              <w:spacing w:line="207" w:lineRule="exact"/>
              <w:ind w:left="432"/>
              <w:jc w:val="left"/>
              <w:rPr>
                <w:rFonts w:ascii="Constantia"/>
                <w:sz w:val="17"/>
              </w:rPr>
            </w:pPr>
            <w:r>
              <w:rPr>
                <w:rFonts w:ascii="Constantia"/>
                <w:w w:val="115"/>
                <w:sz w:val="17"/>
              </w:rPr>
              <w:t>0.12</w:t>
            </w:r>
          </w:p>
        </w:tc>
        <w:tc>
          <w:tcPr>
            <w:tcW w:w="921" w:type="dxa"/>
          </w:tcPr>
          <w:p>
            <w:pPr>
              <w:pStyle w:val="TableParagraph"/>
              <w:spacing w:line="207" w:lineRule="exact"/>
              <w:ind w:right="98"/>
              <w:jc w:val="right"/>
              <w:rPr>
                <w:rFonts w:ascii="Constantia"/>
                <w:sz w:val="17"/>
              </w:rPr>
            </w:pPr>
            <w:r>
              <w:rPr>
                <w:rFonts w:ascii="Constantia"/>
                <w:w w:val="110"/>
                <w:sz w:val="17"/>
              </w:rPr>
              <w:t>0.80</w:t>
            </w:r>
          </w:p>
        </w:tc>
      </w:tr>
      <w:tr>
        <w:trPr>
          <w:trHeight w:val="238" w:hRule="exact"/>
        </w:trPr>
        <w:tc>
          <w:tcPr>
            <w:tcW w:w="3900" w:type="dxa"/>
            <w:tcBorders>
              <w:bottom w:val="double" w:sz="4" w:space="0" w:color="000000"/>
            </w:tcBorders>
          </w:tcPr>
          <w:p>
            <w:pPr>
              <w:pStyle w:val="TableParagraph"/>
              <w:spacing w:before="22"/>
              <w:ind w:left="30"/>
              <w:jc w:val="left"/>
              <w:rPr>
                <w:rFonts w:ascii="Constantia"/>
                <w:sz w:val="17"/>
              </w:rPr>
            </w:pPr>
            <w:r>
              <w:rPr>
                <w:rFonts w:ascii="Constantia"/>
                <w:w w:val="115"/>
                <w:sz w:val="17"/>
              </w:rPr>
              <w:t>Prob. Jarque-Bera</w:t>
            </w:r>
          </w:p>
        </w:tc>
        <w:tc>
          <w:tcPr>
            <w:tcW w:w="1032" w:type="dxa"/>
            <w:tcBorders>
              <w:bottom w:val="double" w:sz="4" w:space="0" w:color="000000"/>
            </w:tcBorders>
          </w:tcPr>
          <w:p>
            <w:pPr>
              <w:pStyle w:val="TableParagraph"/>
              <w:spacing w:before="22"/>
              <w:ind w:right="270"/>
              <w:jc w:val="right"/>
              <w:rPr>
                <w:rFonts w:ascii="Constantia"/>
                <w:sz w:val="17"/>
              </w:rPr>
            </w:pPr>
            <w:r>
              <w:rPr>
                <w:rFonts w:ascii="Constantia"/>
                <w:w w:val="110"/>
                <w:sz w:val="17"/>
              </w:rPr>
              <w:t>0.95</w:t>
            </w:r>
          </w:p>
        </w:tc>
        <w:tc>
          <w:tcPr>
            <w:tcW w:w="984" w:type="dxa"/>
            <w:tcBorders>
              <w:bottom w:val="double" w:sz="4" w:space="0" w:color="000000"/>
            </w:tcBorders>
          </w:tcPr>
          <w:p>
            <w:pPr>
              <w:pStyle w:val="TableParagraph"/>
              <w:spacing w:before="22"/>
              <w:ind w:left="411"/>
              <w:jc w:val="left"/>
              <w:rPr>
                <w:rFonts w:ascii="Constantia"/>
                <w:sz w:val="17"/>
              </w:rPr>
            </w:pPr>
            <w:r>
              <w:rPr>
                <w:rFonts w:ascii="Constantia"/>
                <w:w w:val="115"/>
                <w:sz w:val="17"/>
              </w:rPr>
              <w:t>0.37</w:t>
            </w:r>
          </w:p>
        </w:tc>
        <w:tc>
          <w:tcPr>
            <w:tcW w:w="1054" w:type="dxa"/>
            <w:tcBorders>
              <w:bottom w:val="double" w:sz="4" w:space="0" w:color="000000"/>
            </w:tcBorders>
          </w:tcPr>
          <w:p>
            <w:pPr>
              <w:pStyle w:val="TableParagraph"/>
              <w:spacing w:before="22"/>
              <w:ind w:right="267"/>
              <w:jc w:val="right"/>
              <w:rPr>
                <w:rFonts w:ascii="Constantia"/>
                <w:sz w:val="17"/>
              </w:rPr>
            </w:pPr>
            <w:r>
              <w:rPr>
                <w:rFonts w:ascii="Constantia"/>
                <w:w w:val="110"/>
                <w:sz w:val="17"/>
              </w:rPr>
              <w:t>0.96</w:t>
            </w:r>
          </w:p>
        </w:tc>
        <w:tc>
          <w:tcPr>
            <w:tcW w:w="928" w:type="dxa"/>
            <w:tcBorders>
              <w:bottom w:val="double" w:sz="4" w:space="0" w:color="000000"/>
            </w:tcBorders>
          </w:tcPr>
          <w:p>
            <w:pPr>
              <w:pStyle w:val="TableParagraph"/>
              <w:spacing w:before="22"/>
              <w:ind w:left="391"/>
              <w:jc w:val="left"/>
              <w:rPr>
                <w:rFonts w:ascii="Constantia"/>
                <w:sz w:val="17"/>
              </w:rPr>
            </w:pPr>
            <w:r>
              <w:rPr>
                <w:rFonts w:ascii="Constantia"/>
                <w:w w:val="115"/>
                <w:sz w:val="17"/>
              </w:rPr>
              <w:t>0.43</w:t>
            </w:r>
          </w:p>
        </w:tc>
        <w:tc>
          <w:tcPr>
            <w:tcW w:w="921" w:type="dxa"/>
            <w:tcBorders>
              <w:bottom w:val="double" w:sz="4" w:space="0" w:color="000000"/>
            </w:tcBorders>
          </w:tcPr>
          <w:p>
            <w:pPr>
              <w:pStyle w:val="TableParagraph"/>
              <w:spacing w:before="22"/>
              <w:ind w:right="98"/>
              <w:jc w:val="right"/>
              <w:rPr>
                <w:rFonts w:ascii="Constantia"/>
                <w:sz w:val="17"/>
              </w:rPr>
            </w:pPr>
            <w:r>
              <w:rPr>
                <w:rFonts w:ascii="Constantia"/>
                <w:w w:val="110"/>
                <w:sz w:val="17"/>
              </w:rPr>
              <w:t>0.57</w:t>
            </w:r>
          </w:p>
        </w:tc>
      </w:tr>
    </w:tbl>
    <w:p>
      <w:pPr>
        <w:spacing w:line="147" w:lineRule="exact" w:before="0"/>
        <w:ind w:left="171" w:right="0" w:firstLine="0"/>
        <w:jc w:val="both"/>
        <w:rPr>
          <w:rFonts w:ascii="Constantia" w:hAnsi="Constantia"/>
          <w:sz w:val="14"/>
        </w:rPr>
      </w:pPr>
      <w:r>
        <w:rPr>
          <w:rFonts w:ascii="Arial" w:hAnsi="Arial"/>
          <w:w w:val="115"/>
          <w:sz w:val="10"/>
        </w:rPr>
        <w:t>† </w:t>
      </w:r>
      <w:r>
        <w:rPr>
          <w:rFonts w:ascii="Constantia" w:hAnsi="Constantia"/>
          <w:w w:val="115"/>
          <w:sz w:val="14"/>
        </w:rPr>
        <w:t>Incluye término GARCH (1,1) con restricción IGARCH.</w:t>
      </w:r>
    </w:p>
    <w:p>
      <w:pPr>
        <w:spacing w:before="64"/>
        <w:ind w:left="171" w:right="0" w:firstLine="0"/>
        <w:jc w:val="both"/>
        <w:rPr>
          <w:rFonts w:ascii="Constantia" w:hAnsi="Constantia"/>
          <w:sz w:val="14"/>
        </w:rPr>
      </w:pPr>
      <w:r>
        <w:rPr>
          <w:rFonts w:ascii="Constantia" w:hAnsi="Constantia"/>
          <w:w w:val="115"/>
          <w:sz w:val="14"/>
        </w:rPr>
        <w:t>Los errores estándares se encuentran entre paréntesis.</w:t>
      </w:r>
    </w:p>
    <w:p>
      <w:pPr>
        <w:spacing w:before="13"/>
        <w:ind w:left="102" w:right="862" w:firstLine="0"/>
        <w:jc w:val="both"/>
        <w:rPr>
          <w:sz w:val="18"/>
        </w:rPr>
      </w:pPr>
      <w:r>
        <w:rPr>
          <w:sz w:val="20"/>
        </w:rPr>
        <w:t>D.W se refiere al estadístico Durbin Watson para medir la autocorrelación para un rezago, un rango idóneo se encuentra en el intervalo de 1.5 a 2.5. El test ARCH contrasta la hipótesis nula de homocedasticidad de los residuos para un rezago. El test de normalidad (Jarque-Bera) contrasta la hipótesis nula de distribución normal de los residuos. </w:t>
      </w:r>
      <w:r>
        <w:rPr>
          <w:sz w:val="18"/>
        </w:rPr>
        <w:t>En todos los caso se rechaza la hipótesis nula si la probabilidad es inferior al 5%.</w:t>
      </w:r>
    </w:p>
    <w:p>
      <w:pPr>
        <w:spacing w:before="0"/>
        <w:ind w:left="102" w:right="0" w:firstLine="0"/>
        <w:jc w:val="both"/>
        <w:rPr>
          <w:sz w:val="20"/>
        </w:rPr>
      </w:pPr>
      <w:r>
        <w:rPr>
          <w:sz w:val="20"/>
        </w:rPr>
        <w:t>Fuente: Estimaciones propias con base en información del Banco Central de Bolivia (2012).</w:t>
      </w:r>
    </w:p>
    <w:p>
      <w:pPr>
        <w:spacing w:after="0"/>
        <w:jc w:val="both"/>
        <w:rPr>
          <w:sz w:val="20"/>
        </w:rPr>
        <w:sectPr>
          <w:type w:val="continuous"/>
          <w:pgSz w:w="12250" w:h="15850"/>
          <w:pgMar w:top="1500" w:bottom="280" w:left="1600" w:right="840"/>
        </w:sectPr>
      </w:pPr>
    </w:p>
    <w:p>
      <w:pPr>
        <w:pStyle w:val="BodyText"/>
        <w:spacing w:before="48"/>
        <w:ind w:left="420" w:right="458"/>
        <w:jc w:val="center"/>
      </w:pPr>
      <w:r>
        <w:rPr/>
        <w:t>Anexo 4.8 B: Choques determinantes sobre el Balance primario/ PIB</w:t>
      </w:r>
    </w:p>
    <w:p>
      <w:pPr>
        <w:spacing w:before="90" w:after="4"/>
        <w:ind w:left="420" w:right="448" w:firstLine="0"/>
        <w:jc w:val="center"/>
        <w:rPr>
          <w:rFonts w:ascii="Constantia" w:hAnsi="Constantia"/>
          <w:b/>
          <w:sz w:val="21"/>
        </w:rPr>
      </w:pPr>
      <w:r>
        <w:rPr>
          <w:rFonts w:ascii="Constantia" w:hAnsi="Constantia"/>
          <w:b/>
          <w:sz w:val="21"/>
        </w:rPr>
        <w:t>Variable dependiente: ∆ Balance fiscal primario/ PIB</w:t>
      </w:r>
    </w:p>
    <w:p>
      <w:pPr>
        <w:pStyle w:val="BodyText"/>
        <w:spacing w:line="31" w:lineRule="exact"/>
        <w:ind w:left="135"/>
        <w:rPr>
          <w:rFonts w:ascii="Constantia"/>
          <w:sz w:val="3"/>
        </w:rPr>
      </w:pPr>
      <w:r>
        <w:rPr>
          <w:rFonts w:ascii="Constantia"/>
          <w:position w:val="0"/>
          <w:sz w:val="3"/>
        </w:rPr>
        <w:pict>
          <v:group style="width:441.55pt;height:1.6pt;mso-position-horizontal-relative:char;mso-position-vertical-relative:line" coordorigin="0,0" coordsize="8831,32">
            <v:line style="position:absolute" from="11,6" to="8820,6" stroked="true" strokeweight=".505771pt" strokecolor="#000000"/>
            <v:line style="position:absolute" from="6,6" to="8825,6" stroked="true" strokeweight=".505771pt" strokecolor="#000000"/>
            <v:line style="position:absolute" from="11,26" to="8820,26" stroked="true" strokeweight=".505771pt" strokecolor="#000000"/>
            <v:line style="position:absolute" from="6,26" to="8825,26" stroked="true" strokeweight=".505771pt" strokecolor="#000000"/>
          </v:group>
        </w:pict>
      </w:r>
      <w:r>
        <w:rPr>
          <w:rFonts w:ascii="Constantia"/>
          <w:position w:val="0"/>
          <w:sz w:val="3"/>
        </w:rPr>
      </w:r>
    </w:p>
    <w:p>
      <w:pPr>
        <w:spacing w:before="11" w:after="24"/>
        <w:ind w:left="5371" w:right="115" w:firstLine="0"/>
        <w:jc w:val="left"/>
        <w:rPr>
          <w:rFonts w:ascii="Constantia"/>
          <w:sz w:val="19"/>
        </w:rPr>
      </w:pPr>
      <w:r>
        <w:rPr>
          <w:rFonts w:ascii="Constantia"/>
          <w:sz w:val="19"/>
        </w:rPr>
        <w:t>Trimestres hacia adelante</w:t>
      </w:r>
    </w:p>
    <w:tbl>
      <w:tblPr>
        <w:tblW w:w="0" w:type="auto"/>
        <w:jc w:val="left"/>
        <w:tblInd w:w="14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796"/>
        <w:gridCol w:w="1091"/>
        <w:gridCol w:w="1054"/>
        <w:gridCol w:w="994"/>
        <w:gridCol w:w="1015"/>
        <w:gridCol w:w="870"/>
      </w:tblGrid>
      <w:tr>
        <w:trPr>
          <w:trHeight w:val="244" w:hRule="exact"/>
        </w:trPr>
        <w:tc>
          <w:tcPr>
            <w:tcW w:w="3796" w:type="dxa"/>
            <w:tcBorders>
              <w:bottom w:val="double" w:sz="4" w:space="0" w:color="000000"/>
            </w:tcBorders>
          </w:tcPr>
          <w:p>
            <w:pPr>
              <w:pStyle w:val="TableParagraph"/>
              <w:spacing w:line="230" w:lineRule="exact"/>
              <w:ind w:left="30"/>
              <w:jc w:val="left"/>
              <w:rPr>
                <w:rFonts w:ascii="Constantia"/>
                <w:sz w:val="19"/>
              </w:rPr>
            </w:pPr>
            <w:r>
              <w:rPr>
                <w:rFonts w:ascii="Constantia"/>
                <w:sz w:val="19"/>
                <w:u w:val="single"/>
              </w:rPr>
              <w:t>Variables explicativas:</w:t>
            </w:r>
          </w:p>
        </w:tc>
        <w:tc>
          <w:tcPr>
            <w:tcW w:w="1091" w:type="dxa"/>
            <w:tcBorders>
              <w:bottom w:val="double" w:sz="4" w:space="0" w:color="000000"/>
            </w:tcBorders>
          </w:tcPr>
          <w:p>
            <w:pPr>
              <w:pStyle w:val="TableParagraph"/>
              <w:spacing w:line="230" w:lineRule="exact"/>
              <w:ind w:right="106"/>
              <w:rPr>
                <w:rFonts w:ascii="Constantia"/>
                <w:sz w:val="19"/>
              </w:rPr>
            </w:pPr>
            <w:r>
              <w:rPr>
                <w:rFonts w:ascii="Constantia"/>
                <w:w w:val="101"/>
                <w:sz w:val="19"/>
              </w:rPr>
              <w:t>1</w:t>
            </w:r>
          </w:p>
        </w:tc>
        <w:tc>
          <w:tcPr>
            <w:tcW w:w="1054" w:type="dxa"/>
            <w:tcBorders>
              <w:bottom w:val="double" w:sz="4" w:space="0" w:color="000000"/>
            </w:tcBorders>
          </w:tcPr>
          <w:p>
            <w:pPr>
              <w:pStyle w:val="TableParagraph"/>
              <w:spacing w:line="230" w:lineRule="exact"/>
              <w:ind w:right="230"/>
              <w:rPr>
                <w:rFonts w:ascii="Constantia"/>
                <w:sz w:val="19"/>
              </w:rPr>
            </w:pPr>
            <w:r>
              <w:rPr>
                <w:rFonts w:ascii="Constantia"/>
                <w:w w:val="101"/>
                <w:sz w:val="19"/>
              </w:rPr>
              <w:t>2</w:t>
            </w:r>
          </w:p>
        </w:tc>
        <w:tc>
          <w:tcPr>
            <w:tcW w:w="994" w:type="dxa"/>
            <w:tcBorders>
              <w:bottom w:val="double" w:sz="4" w:space="0" w:color="000000"/>
            </w:tcBorders>
          </w:tcPr>
          <w:p>
            <w:pPr>
              <w:pStyle w:val="TableParagraph"/>
              <w:spacing w:line="230" w:lineRule="exact"/>
              <w:ind w:left="323"/>
              <w:jc w:val="left"/>
              <w:rPr>
                <w:rFonts w:ascii="Constantia"/>
                <w:sz w:val="19"/>
              </w:rPr>
            </w:pPr>
            <w:r>
              <w:rPr>
                <w:rFonts w:ascii="Constantia"/>
                <w:w w:val="101"/>
                <w:sz w:val="19"/>
              </w:rPr>
              <w:t>3</w:t>
            </w:r>
          </w:p>
        </w:tc>
        <w:tc>
          <w:tcPr>
            <w:tcW w:w="1015" w:type="dxa"/>
            <w:tcBorders>
              <w:bottom w:val="double" w:sz="4" w:space="0" w:color="000000"/>
            </w:tcBorders>
          </w:tcPr>
          <w:p>
            <w:pPr>
              <w:pStyle w:val="TableParagraph"/>
              <w:spacing w:line="230" w:lineRule="exact"/>
              <w:ind w:left="333"/>
              <w:jc w:val="left"/>
              <w:rPr>
                <w:rFonts w:ascii="Constantia"/>
                <w:sz w:val="19"/>
              </w:rPr>
            </w:pPr>
            <w:r>
              <w:rPr>
                <w:rFonts w:ascii="Constantia"/>
                <w:w w:val="101"/>
                <w:sz w:val="19"/>
              </w:rPr>
              <w:t>4</w:t>
            </w:r>
          </w:p>
        </w:tc>
        <w:tc>
          <w:tcPr>
            <w:tcW w:w="870" w:type="dxa"/>
            <w:tcBorders>
              <w:bottom w:val="double" w:sz="4" w:space="0" w:color="000000"/>
            </w:tcBorders>
          </w:tcPr>
          <w:p>
            <w:pPr>
              <w:pStyle w:val="TableParagraph"/>
              <w:spacing w:line="230" w:lineRule="exact"/>
              <w:ind w:right="111"/>
              <w:rPr>
                <w:rFonts w:ascii="Constantia"/>
                <w:sz w:val="19"/>
              </w:rPr>
            </w:pPr>
            <w:r>
              <w:rPr>
                <w:rFonts w:ascii="Constantia"/>
                <w:w w:val="101"/>
                <w:sz w:val="19"/>
              </w:rPr>
              <w:t>5</w:t>
            </w:r>
          </w:p>
        </w:tc>
      </w:tr>
      <w:tr>
        <w:trPr>
          <w:trHeight w:val="326" w:hRule="exact"/>
        </w:trPr>
        <w:tc>
          <w:tcPr>
            <w:tcW w:w="3796" w:type="dxa"/>
            <w:tcBorders>
              <w:top w:val="double" w:sz="4" w:space="0" w:color="000000"/>
            </w:tcBorders>
          </w:tcPr>
          <w:p>
            <w:pPr>
              <w:pStyle w:val="TableParagraph"/>
              <w:spacing w:before="32"/>
              <w:ind w:left="30"/>
              <w:jc w:val="left"/>
              <w:rPr>
                <w:rFonts w:ascii="Constantia"/>
                <w:sz w:val="19"/>
              </w:rPr>
            </w:pPr>
            <w:r>
              <w:rPr>
                <w:rFonts w:ascii="Constantia"/>
                <w:sz w:val="19"/>
              </w:rPr>
              <w:t>Choq. Estruct. Precio del gas natural</w:t>
            </w:r>
          </w:p>
        </w:tc>
        <w:tc>
          <w:tcPr>
            <w:tcW w:w="1091" w:type="dxa"/>
            <w:tcBorders>
              <w:top w:val="double" w:sz="4" w:space="0" w:color="000000"/>
            </w:tcBorders>
          </w:tcPr>
          <w:p>
            <w:pPr>
              <w:pStyle w:val="TableParagraph"/>
              <w:spacing w:before="13"/>
              <w:ind w:right="128"/>
              <w:jc w:val="right"/>
              <w:rPr>
                <w:rFonts w:ascii="Constantia"/>
                <w:sz w:val="21"/>
              </w:rPr>
            </w:pPr>
            <w:r>
              <w:rPr>
                <w:rFonts w:ascii="Constantia"/>
                <w:sz w:val="21"/>
              </w:rPr>
              <w:t>-0.0040</w:t>
            </w:r>
          </w:p>
        </w:tc>
        <w:tc>
          <w:tcPr>
            <w:tcW w:w="1054" w:type="dxa"/>
            <w:tcBorders>
              <w:top w:val="double" w:sz="4" w:space="0" w:color="000000"/>
            </w:tcBorders>
          </w:tcPr>
          <w:p>
            <w:pPr>
              <w:pStyle w:val="TableParagraph"/>
              <w:spacing w:before="13"/>
              <w:ind w:right="171"/>
              <w:jc w:val="right"/>
              <w:rPr>
                <w:rFonts w:ascii="Constantia"/>
                <w:sz w:val="21"/>
              </w:rPr>
            </w:pPr>
            <w:r>
              <w:rPr>
                <w:rFonts w:ascii="Constantia"/>
                <w:sz w:val="21"/>
              </w:rPr>
              <w:t>0.0100**</w:t>
            </w:r>
          </w:p>
        </w:tc>
        <w:tc>
          <w:tcPr>
            <w:tcW w:w="994" w:type="dxa"/>
            <w:tcBorders>
              <w:top w:val="double" w:sz="4" w:space="0" w:color="000000"/>
            </w:tcBorders>
          </w:tcPr>
          <w:p>
            <w:pPr>
              <w:pStyle w:val="TableParagraph"/>
              <w:spacing w:before="13"/>
              <w:ind w:right="156"/>
              <w:jc w:val="right"/>
              <w:rPr>
                <w:rFonts w:ascii="Constantia"/>
                <w:sz w:val="21"/>
              </w:rPr>
            </w:pPr>
            <w:r>
              <w:rPr>
                <w:rFonts w:ascii="Constantia"/>
                <w:sz w:val="21"/>
              </w:rPr>
              <w:t>-0.0033</w:t>
            </w:r>
          </w:p>
        </w:tc>
        <w:tc>
          <w:tcPr>
            <w:tcW w:w="1015" w:type="dxa"/>
            <w:tcBorders>
              <w:top w:val="double" w:sz="4" w:space="0" w:color="000000"/>
            </w:tcBorders>
          </w:tcPr>
          <w:p>
            <w:pPr>
              <w:pStyle w:val="TableParagraph"/>
              <w:spacing w:before="13"/>
              <w:ind w:right="166"/>
              <w:jc w:val="right"/>
              <w:rPr>
                <w:rFonts w:ascii="Constantia"/>
                <w:sz w:val="21"/>
              </w:rPr>
            </w:pPr>
            <w:r>
              <w:rPr>
                <w:rFonts w:ascii="Constantia"/>
                <w:sz w:val="21"/>
              </w:rPr>
              <w:t>0.0021</w:t>
            </w:r>
          </w:p>
        </w:tc>
        <w:tc>
          <w:tcPr>
            <w:tcW w:w="870" w:type="dxa"/>
            <w:tcBorders>
              <w:top w:val="double" w:sz="4" w:space="0" w:color="000000"/>
            </w:tcBorders>
          </w:tcPr>
          <w:p>
            <w:pPr>
              <w:pStyle w:val="TableParagraph"/>
              <w:spacing w:before="13"/>
              <w:ind w:right="28"/>
              <w:jc w:val="right"/>
              <w:rPr>
                <w:rFonts w:ascii="Constantia"/>
                <w:sz w:val="21"/>
              </w:rPr>
            </w:pPr>
            <w:r>
              <w:rPr>
                <w:rFonts w:ascii="Constantia"/>
                <w:sz w:val="21"/>
              </w:rPr>
              <w:t>-0.011**</w:t>
            </w:r>
          </w:p>
        </w:tc>
      </w:tr>
      <w:tr>
        <w:trPr>
          <w:trHeight w:val="243" w:hRule="exact"/>
        </w:trPr>
        <w:tc>
          <w:tcPr>
            <w:tcW w:w="3796" w:type="dxa"/>
          </w:tcPr>
          <w:p>
            <w:pPr/>
          </w:p>
        </w:tc>
        <w:tc>
          <w:tcPr>
            <w:tcW w:w="1091" w:type="dxa"/>
          </w:tcPr>
          <w:p>
            <w:pPr>
              <w:pStyle w:val="TableParagraph"/>
              <w:spacing w:before="13"/>
              <w:ind w:right="133"/>
              <w:jc w:val="right"/>
              <w:rPr>
                <w:rFonts w:ascii="Constantia"/>
                <w:sz w:val="16"/>
              </w:rPr>
            </w:pPr>
            <w:r>
              <w:rPr>
                <w:rFonts w:ascii="Constantia"/>
                <w:sz w:val="16"/>
              </w:rPr>
              <w:t>(0.0030)</w:t>
            </w:r>
          </w:p>
        </w:tc>
        <w:tc>
          <w:tcPr>
            <w:tcW w:w="1054" w:type="dxa"/>
          </w:tcPr>
          <w:p>
            <w:pPr>
              <w:pStyle w:val="TableParagraph"/>
              <w:spacing w:before="13"/>
              <w:ind w:right="173"/>
              <w:jc w:val="right"/>
              <w:rPr>
                <w:rFonts w:ascii="Constantia"/>
                <w:sz w:val="16"/>
              </w:rPr>
            </w:pPr>
            <w:r>
              <w:rPr>
                <w:rFonts w:ascii="Constantia"/>
                <w:sz w:val="16"/>
              </w:rPr>
              <w:t>(0.0033)</w:t>
            </w:r>
          </w:p>
        </w:tc>
        <w:tc>
          <w:tcPr>
            <w:tcW w:w="994" w:type="dxa"/>
          </w:tcPr>
          <w:p>
            <w:pPr>
              <w:pStyle w:val="TableParagraph"/>
              <w:spacing w:before="13"/>
              <w:ind w:right="153"/>
              <w:jc w:val="right"/>
              <w:rPr>
                <w:rFonts w:ascii="Constantia"/>
                <w:sz w:val="16"/>
              </w:rPr>
            </w:pPr>
            <w:r>
              <w:rPr>
                <w:rFonts w:ascii="Constantia"/>
                <w:sz w:val="16"/>
              </w:rPr>
              <w:t>(0.0032)</w:t>
            </w:r>
          </w:p>
        </w:tc>
        <w:tc>
          <w:tcPr>
            <w:tcW w:w="1015" w:type="dxa"/>
          </w:tcPr>
          <w:p>
            <w:pPr>
              <w:pStyle w:val="TableParagraph"/>
              <w:spacing w:before="13"/>
              <w:ind w:right="164"/>
              <w:jc w:val="right"/>
              <w:rPr>
                <w:rFonts w:ascii="Constantia"/>
                <w:sz w:val="16"/>
              </w:rPr>
            </w:pPr>
            <w:r>
              <w:rPr>
                <w:rFonts w:ascii="Constantia"/>
                <w:sz w:val="16"/>
              </w:rPr>
              <w:t>(0.0031)</w:t>
            </w:r>
          </w:p>
        </w:tc>
        <w:tc>
          <w:tcPr>
            <w:tcW w:w="870" w:type="dxa"/>
          </w:tcPr>
          <w:p>
            <w:pPr>
              <w:pStyle w:val="TableParagraph"/>
              <w:spacing w:before="13"/>
              <w:ind w:right="31"/>
              <w:jc w:val="right"/>
              <w:rPr>
                <w:rFonts w:ascii="Constantia"/>
                <w:sz w:val="16"/>
              </w:rPr>
            </w:pPr>
            <w:r>
              <w:rPr>
                <w:rFonts w:ascii="Constantia"/>
                <w:sz w:val="16"/>
              </w:rPr>
              <w:t>(0.0036)</w:t>
            </w:r>
          </w:p>
        </w:tc>
      </w:tr>
      <w:tr>
        <w:trPr>
          <w:trHeight w:val="294" w:hRule="exact"/>
        </w:trPr>
        <w:tc>
          <w:tcPr>
            <w:tcW w:w="3796" w:type="dxa"/>
          </w:tcPr>
          <w:p>
            <w:pPr>
              <w:pStyle w:val="TableParagraph"/>
              <w:spacing w:before="15"/>
              <w:ind w:left="30"/>
              <w:jc w:val="left"/>
              <w:rPr>
                <w:rFonts w:ascii="Constantia" w:hAnsi="Constantia"/>
                <w:sz w:val="19"/>
              </w:rPr>
            </w:pPr>
            <w:r>
              <w:rPr>
                <w:rFonts w:ascii="Constantia" w:hAnsi="Constantia"/>
                <w:sz w:val="19"/>
              </w:rPr>
              <w:t>Choq. Estruct. Asign. De Ing. Fisc.  Gasíf.</w:t>
            </w:r>
          </w:p>
        </w:tc>
        <w:tc>
          <w:tcPr>
            <w:tcW w:w="1091" w:type="dxa"/>
          </w:tcPr>
          <w:p>
            <w:pPr>
              <w:pStyle w:val="TableParagraph"/>
              <w:spacing w:line="253" w:lineRule="exact"/>
              <w:ind w:right="130"/>
              <w:jc w:val="right"/>
              <w:rPr>
                <w:rFonts w:ascii="Constantia"/>
                <w:sz w:val="21"/>
              </w:rPr>
            </w:pPr>
            <w:r>
              <w:rPr>
                <w:rFonts w:ascii="Constantia"/>
                <w:sz w:val="21"/>
              </w:rPr>
              <w:t>0.0068*</w:t>
            </w:r>
          </w:p>
        </w:tc>
        <w:tc>
          <w:tcPr>
            <w:tcW w:w="1054" w:type="dxa"/>
          </w:tcPr>
          <w:p>
            <w:pPr>
              <w:pStyle w:val="TableParagraph"/>
              <w:spacing w:line="253" w:lineRule="exact"/>
              <w:ind w:right="175"/>
              <w:jc w:val="right"/>
              <w:rPr>
                <w:rFonts w:ascii="Constantia"/>
                <w:sz w:val="21"/>
              </w:rPr>
            </w:pPr>
            <w:r>
              <w:rPr>
                <w:rFonts w:ascii="Constantia"/>
                <w:sz w:val="21"/>
              </w:rPr>
              <w:t>0.0001</w:t>
            </w:r>
          </w:p>
        </w:tc>
        <w:tc>
          <w:tcPr>
            <w:tcW w:w="994" w:type="dxa"/>
          </w:tcPr>
          <w:p>
            <w:pPr>
              <w:pStyle w:val="TableParagraph"/>
              <w:spacing w:line="253" w:lineRule="exact"/>
              <w:ind w:right="156"/>
              <w:jc w:val="right"/>
              <w:rPr>
                <w:rFonts w:ascii="Constantia"/>
                <w:sz w:val="21"/>
              </w:rPr>
            </w:pPr>
            <w:r>
              <w:rPr>
                <w:rFonts w:ascii="Constantia"/>
                <w:sz w:val="21"/>
              </w:rPr>
              <w:t>0.0021</w:t>
            </w:r>
          </w:p>
        </w:tc>
        <w:tc>
          <w:tcPr>
            <w:tcW w:w="1015" w:type="dxa"/>
          </w:tcPr>
          <w:p>
            <w:pPr>
              <w:pStyle w:val="TableParagraph"/>
              <w:spacing w:line="253" w:lineRule="exact"/>
              <w:ind w:right="162"/>
              <w:jc w:val="right"/>
              <w:rPr>
                <w:rFonts w:ascii="Constantia"/>
                <w:sz w:val="21"/>
              </w:rPr>
            </w:pPr>
            <w:r>
              <w:rPr>
                <w:rFonts w:ascii="Constantia"/>
                <w:sz w:val="21"/>
              </w:rPr>
              <w:t>0.0055</w:t>
            </w:r>
          </w:p>
        </w:tc>
        <w:tc>
          <w:tcPr>
            <w:tcW w:w="870" w:type="dxa"/>
          </w:tcPr>
          <w:p>
            <w:pPr>
              <w:pStyle w:val="TableParagraph"/>
              <w:spacing w:line="253" w:lineRule="exact"/>
              <w:ind w:right="33"/>
              <w:jc w:val="right"/>
              <w:rPr>
                <w:rFonts w:ascii="Constantia"/>
                <w:sz w:val="21"/>
              </w:rPr>
            </w:pPr>
            <w:r>
              <w:rPr>
                <w:rFonts w:ascii="Constantia"/>
                <w:sz w:val="21"/>
              </w:rPr>
              <w:t>-0.0071</w:t>
            </w:r>
          </w:p>
        </w:tc>
      </w:tr>
      <w:tr>
        <w:trPr>
          <w:trHeight w:val="243" w:hRule="exact"/>
        </w:trPr>
        <w:tc>
          <w:tcPr>
            <w:tcW w:w="3796" w:type="dxa"/>
          </w:tcPr>
          <w:p>
            <w:pPr/>
          </w:p>
        </w:tc>
        <w:tc>
          <w:tcPr>
            <w:tcW w:w="1091" w:type="dxa"/>
          </w:tcPr>
          <w:p>
            <w:pPr>
              <w:pStyle w:val="TableParagraph"/>
              <w:spacing w:before="14"/>
              <w:ind w:right="133"/>
              <w:jc w:val="right"/>
              <w:rPr>
                <w:rFonts w:ascii="Constantia"/>
                <w:sz w:val="16"/>
              </w:rPr>
            </w:pPr>
            <w:r>
              <w:rPr>
                <w:rFonts w:ascii="Constantia"/>
                <w:sz w:val="16"/>
              </w:rPr>
              <w:t>(0.0029)</w:t>
            </w:r>
          </w:p>
        </w:tc>
        <w:tc>
          <w:tcPr>
            <w:tcW w:w="1054" w:type="dxa"/>
          </w:tcPr>
          <w:p>
            <w:pPr>
              <w:pStyle w:val="TableParagraph"/>
              <w:spacing w:before="14"/>
              <w:ind w:right="173"/>
              <w:jc w:val="right"/>
              <w:rPr>
                <w:rFonts w:ascii="Constantia"/>
                <w:sz w:val="16"/>
              </w:rPr>
            </w:pPr>
            <w:r>
              <w:rPr>
                <w:rFonts w:ascii="Constantia"/>
                <w:sz w:val="16"/>
              </w:rPr>
              <w:t>(0.0033)</w:t>
            </w:r>
          </w:p>
        </w:tc>
        <w:tc>
          <w:tcPr>
            <w:tcW w:w="994" w:type="dxa"/>
          </w:tcPr>
          <w:p>
            <w:pPr>
              <w:pStyle w:val="TableParagraph"/>
              <w:spacing w:before="14"/>
              <w:ind w:right="153"/>
              <w:jc w:val="right"/>
              <w:rPr>
                <w:rFonts w:ascii="Constantia"/>
                <w:sz w:val="16"/>
              </w:rPr>
            </w:pPr>
            <w:r>
              <w:rPr>
                <w:rFonts w:ascii="Constantia"/>
                <w:sz w:val="16"/>
              </w:rPr>
              <w:t>(0.0031)</w:t>
            </w:r>
          </w:p>
        </w:tc>
        <w:tc>
          <w:tcPr>
            <w:tcW w:w="1015" w:type="dxa"/>
          </w:tcPr>
          <w:p>
            <w:pPr>
              <w:pStyle w:val="TableParagraph"/>
              <w:spacing w:before="14"/>
              <w:ind w:right="165"/>
              <w:jc w:val="right"/>
              <w:rPr>
                <w:rFonts w:ascii="Constantia"/>
                <w:sz w:val="16"/>
              </w:rPr>
            </w:pPr>
            <w:r>
              <w:rPr>
                <w:rFonts w:ascii="Constantia"/>
                <w:sz w:val="16"/>
              </w:rPr>
              <w:t>(0.0030)</w:t>
            </w:r>
          </w:p>
        </w:tc>
        <w:tc>
          <w:tcPr>
            <w:tcW w:w="870" w:type="dxa"/>
          </w:tcPr>
          <w:p>
            <w:pPr>
              <w:pStyle w:val="TableParagraph"/>
              <w:spacing w:before="14"/>
              <w:ind w:right="31"/>
              <w:jc w:val="right"/>
              <w:rPr>
                <w:rFonts w:ascii="Constantia"/>
                <w:sz w:val="16"/>
              </w:rPr>
            </w:pPr>
            <w:r>
              <w:rPr>
                <w:rFonts w:ascii="Constantia"/>
                <w:sz w:val="16"/>
              </w:rPr>
              <w:t>(0.0036)</w:t>
            </w:r>
          </w:p>
        </w:tc>
      </w:tr>
      <w:tr>
        <w:trPr>
          <w:trHeight w:val="294" w:hRule="exact"/>
        </w:trPr>
        <w:tc>
          <w:tcPr>
            <w:tcW w:w="3796" w:type="dxa"/>
          </w:tcPr>
          <w:p>
            <w:pPr>
              <w:pStyle w:val="TableParagraph"/>
              <w:spacing w:before="15"/>
              <w:ind w:left="30"/>
              <w:jc w:val="left"/>
              <w:rPr>
                <w:rFonts w:ascii="Constantia" w:hAnsi="Constantia"/>
                <w:sz w:val="19"/>
              </w:rPr>
            </w:pPr>
            <w:r>
              <w:rPr>
                <w:rFonts w:ascii="Constantia" w:hAnsi="Constantia"/>
                <w:sz w:val="19"/>
              </w:rPr>
              <w:t>Choq. Estruct. Asign. De Ing. Fisc. No  Gasíf.</w:t>
            </w:r>
          </w:p>
        </w:tc>
        <w:tc>
          <w:tcPr>
            <w:tcW w:w="1091" w:type="dxa"/>
          </w:tcPr>
          <w:p>
            <w:pPr>
              <w:pStyle w:val="TableParagraph"/>
              <w:spacing w:line="253" w:lineRule="exact"/>
              <w:ind w:right="130"/>
              <w:jc w:val="right"/>
              <w:rPr>
                <w:rFonts w:ascii="Constantia"/>
                <w:sz w:val="21"/>
              </w:rPr>
            </w:pPr>
            <w:r>
              <w:rPr>
                <w:rFonts w:ascii="Constantia"/>
                <w:sz w:val="21"/>
              </w:rPr>
              <w:t>0.0089**</w:t>
            </w:r>
          </w:p>
        </w:tc>
        <w:tc>
          <w:tcPr>
            <w:tcW w:w="1054" w:type="dxa"/>
          </w:tcPr>
          <w:p>
            <w:pPr>
              <w:pStyle w:val="TableParagraph"/>
              <w:spacing w:line="253" w:lineRule="exact"/>
              <w:ind w:right="169"/>
              <w:jc w:val="right"/>
              <w:rPr>
                <w:rFonts w:ascii="Constantia"/>
                <w:sz w:val="21"/>
              </w:rPr>
            </w:pPr>
            <w:r>
              <w:rPr>
                <w:rFonts w:ascii="Constantia"/>
                <w:sz w:val="21"/>
              </w:rPr>
              <w:t>-0.0018</w:t>
            </w:r>
          </w:p>
        </w:tc>
        <w:tc>
          <w:tcPr>
            <w:tcW w:w="994" w:type="dxa"/>
          </w:tcPr>
          <w:p>
            <w:pPr>
              <w:pStyle w:val="TableParagraph"/>
              <w:spacing w:line="253" w:lineRule="exact"/>
              <w:ind w:right="155"/>
              <w:jc w:val="right"/>
              <w:rPr>
                <w:rFonts w:ascii="Constantia"/>
                <w:sz w:val="21"/>
              </w:rPr>
            </w:pPr>
            <w:r>
              <w:rPr>
                <w:rFonts w:ascii="Constantia"/>
                <w:sz w:val="21"/>
              </w:rPr>
              <w:t>0.0043</w:t>
            </w:r>
          </w:p>
        </w:tc>
        <w:tc>
          <w:tcPr>
            <w:tcW w:w="1015" w:type="dxa"/>
          </w:tcPr>
          <w:p>
            <w:pPr>
              <w:pStyle w:val="TableParagraph"/>
              <w:spacing w:line="253" w:lineRule="exact"/>
              <w:ind w:right="158"/>
              <w:jc w:val="right"/>
              <w:rPr>
                <w:rFonts w:ascii="Constantia"/>
                <w:sz w:val="21"/>
              </w:rPr>
            </w:pPr>
            <w:r>
              <w:rPr>
                <w:rFonts w:ascii="Constantia"/>
                <w:sz w:val="21"/>
              </w:rPr>
              <w:t>-0.0009</w:t>
            </w:r>
          </w:p>
        </w:tc>
        <w:tc>
          <w:tcPr>
            <w:tcW w:w="870" w:type="dxa"/>
          </w:tcPr>
          <w:p>
            <w:pPr>
              <w:pStyle w:val="TableParagraph"/>
              <w:spacing w:line="253" w:lineRule="exact"/>
              <w:ind w:right="26"/>
              <w:jc w:val="right"/>
              <w:rPr>
                <w:rFonts w:ascii="Constantia"/>
                <w:sz w:val="21"/>
              </w:rPr>
            </w:pPr>
            <w:r>
              <w:rPr>
                <w:rFonts w:ascii="Constantia"/>
                <w:sz w:val="21"/>
              </w:rPr>
              <w:t>0.0068</w:t>
            </w:r>
          </w:p>
        </w:tc>
      </w:tr>
      <w:tr>
        <w:trPr>
          <w:trHeight w:val="243" w:hRule="exact"/>
        </w:trPr>
        <w:tc>
          <w:tcPr>
            <w:tcW w:w="3796" w:type="dxa"/>
          </w:tcPr>
          <w:p>
            <w:pPr/>
          </w:p>
        </w:tc>
        <w:tc>
          <w:tcPr>
            <w:tcW w:w="1091" w:type="dxa"/>
          </w:tcPr>
          <w:p>
            <w:pPr>
              <w:pStyle w:val="TableParagraph"/>
              <w:spacing w:before="14"/>
              <w:ind w:right="133"/>
              <w:jc w:val="right"/>
              <w:rPr>
                <w:rFonts w:ascii="Constantia"/>
                <w:sz w:val="16"/>
              </w:rPr>
            </w:pPr>
            <w:r>
              <w:rPr>
                <w:rFonts w:ascii="Constantia"/>
                <w:sz w:val="16"/>
              </w:rPr>
              <w:t>(0.0027)</w:t>
            </w:r>
          </w:p>
        </w:tc>
        <w:tc>
          <w:tcPr>
            <w:tcW w:w="1054" w:type="dxa"/>
          </w:tcPr>
          <w:p>
            <w:pPr>
              <w:pStyle w:val="TableParagraph"/>
              <w:spacing w:before="14"/>
              <w:ind w:right="173"/>
              <w:jc w:val="right"/>
              <w:rPr>
                <w:rFonts w:ascii="Constantia"/>
                <w:sz w:val="16"/>
              </w:rPr>
            </w:pPr>
            <w:r>
              <w:rPr>
                <w:rFonts w:ascii="Constantia"/>
                <w:sz w:val="16"/>
              </w:rPr>
              <w:t>(0.0033)</w:t>
            </w:r>
          </w:p>
        </w:tc>
        <w:tc>
          <w:tcPr>
            <w:tcW w:w="994" w:type="dxa"/>
          </w:tcPr>
          <w:p>
            <w:pPr>
              <w:pStyle w:val="TableParagraph"/>
              <w:spacing w:before="14"/>
              <w:ind w:right="153"/>
              <w:jc w:val="right"/>
              <w:rPr>
                <w:rFonts w:ascii="Constantia"/>
                <w:sz w:val="16"/>
              </w:rPr>
            </w:pPr>
            <w:r>
              <w:rPr>
                <w:rFonts w:ascii="Constantia"/>
                <w:sz w:val="16"/>
              </w:rPr>
              <w:t>(0.0031)</w:t>
            </w:r>
          </w:p>
        </w:tc>
        <w:tc>
          <w:tcPr>
            <w:tcW w:w="1015" w:type="dxa"/>
          </w:tcPr>
          <w:p>
            <w:pPr>
              <w:pStyle w:val="TableParagraph"/>
              <w:spacing w:before="14"/>
              <w:ind w:right="165"/>
              <w:jc w:val="right"/>
              <w:rPr>
                <w:rFonts w:ascii="Constantia"/>
                <w:sz w:val="16"/>
              </w:rPr>
            </w:pPr>
            <w:r>
              <w:rPr>
                <w:rFonts w:ascii="Constantia"/>
                <w:sz w:val="16"/>
              </w:rPr>
              <w:t>(0.0028)</w:t>
            </w:r>
          </w:p>
        </w:tc>
        <w:tc>
          <w:tcPr>
            <w:tcW w:w="870" w:type="dxa"/>
          </w:tcPr>
          <w:p>
            <w:pPr>
              <w:pStyle w:val="TableParagraph"/>
              <w:spacing w:before="14"/>
              <w:ind w:right="31"/>
              <w:jc w:val="right"/>
              <w:rPr>
                <w:rFonts w:ascii="Constantia"/>
                <w:sz w:val="16"/>
              </w:rPr>
            </w:pPr>
            <w:r>
              <w:rPr>
                <w:rFonts w:ascii="Constantia"/>
                <w:sz w:val="16"/>
              </w:rPr>
              <w:t>(0.0036)</w:t>
            </w:r>
          </w:p>
        </w:tc>
      </w:tr>
      <w:tr>
        <w:trPr>
          <w:trHeight w:val="294" w:hRule="exact"/>
        </w:trPr>
        <w:tc>
          <w:tcPr>
            <w:tcW w:w="3796" w:type="dxa"/>
          </w:tcPr>
          <w:p>
            <w:pPr>
              <w:pStyle w:val="TableParagraph"/>
              <w:spacing w:before="15"/>
              <w:ind w:left="30"/>
              <w:jc w:val="left"/>
              <w:rPr>
                <w:rFonts w:ascii="Constantia"/>
                <w:sz w:val="19"/>
              </w:rPr>
            </w:pPr>
            <w:r>
              <w:rPr>
                <w:rFonts w:ascii="Constantia"/>
                <w:sz w:val="19"/>
              </w:rPr>
              <w:t>Choq. Estruct. De la misma variable</w:t>
            </w:r>
          </w:p>
        </w:tc>
        <w:tc>
          <w:tcPr>
            <w:tcW w:w="1091" w:type="dxa"/>
          </w:tcPr>
          <w:p>
            <w:pPr>
              <w:pStyle w:val="TableParagraph"/>
              <w:spacing w:line="253" w:lineRule="exact"/>
              <w:ind w:right="131"/>
              <w:jc w:val="right"/>
              <w:rPr>
                <w:rFonts w:ascii="Constantia"/>
                <w:sz w:val="21"/>
              </w:rPr>
            </w:pPr>
            <w:r>
              <w:rPr>
                <w:rFonts w:ascii="Constantia"/>
                <w:sz w:val="21"/>
              </w:rPr>
              <w:t>-0.0087**</w:t>
            </w:r>
          </w:p>
        </w:tc>
        <w:tc>
          <w:tcPr>
            <w:tcW w:w="1054" w:type="dxa"/>
          </w:tcPr>
          <w:p>
            <w:pPr>
              <w:pStyle w:val="TableParagraph"/>
              <w:spacing w:line="253" w:lineRule="exact"/>
              <w:ind w:right="170"/>
              <w:jc w:val="right"/>
              <w:rPr>
                <w:rFonts w:ascii="Constantia"/>
                <w:sz w:val="21"/>
              </w:rPr>
            </w:pPr>
            <w:r>
              <w:rPr>
                <w:rFonts w:ascii="Constantia"/>
                <w:sz w:val="21"/>
              </w:rPr>
              <w:t>-0.0007</w:t>
            </w:r>
          </w:p>
        </w:tc>
        <w:tc>
          <w:tcPr>
            <w:tcW w:w="994" w:type="dxa"/>
          </w:tcPr>
          <w:p>
            <w:pPr>
              <w:pStyle w:val="TableParagraph"/>
              <w:spacing w:line="253" w:lineRule="exact"/>
              <w:ind w:right="152"/>
              <w:jc w:val="right"/>
              <w:rPr>
                <w:rFonts w:ascii="Constantia"/>
                <w:sz w:val="21"/>
              </w:rPr>
            </w:pPr>
            <w:r>
              <w:rPr>
                <w:rFonts w:ascii="Constantia"/>
                <w:sz w:val="21"/>
              </w:rPr>
              <w:t>-0.0035</w:t>
            </w:r>
          </w:p>
        </w:tc>
        <w:tc>
          <w:tcPr>
            <w:tcW w:w="1015" w:type="dxa"/>
          </w:tcPr>
          <w:p>
            <w:pPr>
              <w:pStyle w:val="TableParagraph"/>
              <w:spacing w:line="253" w:lineRule="exact"/>
              <w:ind w:right="161"/>
              <w:jc w:val="right"/>
              <w:rPr>
                <w:rFonts w:ascii="Constantia"/>
                <w:sz w:val="21"/>
              </w:rPr>
            </w:pPr>
            <w:r>
              <w:rPr>
                <w:rFonts w:ascii="Constantia"/>
                <w:sz w:val="21"/>
              </w:rPr>
              <w:t>0.0069*</w:t>
            </w:r>
          </w:p>
        </w:tc>
        <w:tc>
          <w:tcPr>
            <w:tcW w:w="870" w:type="dxa"/>
          </w:tcPr>
          <w:p>
            <w:pPr>
              <w:pStyle w:val="TableParagraph"/>
              <w:spacing w:line="253" w:lineRule="exact"/>
              <w:ind w:right="25"/>
              <w:jc w:val="right"/>
              <w:rPr>
                <w:rFonts w:ascii="Constantia"/>
                <w:sz w:val="21"/>
              </w:rPr>
            </w:pPr>
            <w:r>
              <w:rPr>
                <w:rFonts w:ascii="Constantia"/>
                <w:sz w:val="21"/>
              </w:rPr>
              <w:t>0.0070</w:t>
            </w:r>
          </w:p>
        </w:tc>
      </w:tr>
      <w:tr>
        <w:trPr>
          <w:trHeight w:val="232" w:hRule="exact"/>
        </w:trPr>
        <w:tc>
          <w:tcPr>
            <w:tcW w:w="3796" w:type="dxa"/>
            <w:tcBorders>
              <w:bottom w:val="double" w:sz="4" w:space="0" w:color="000000"/>
            </w:tcBorders>
          </w:tcPr>
          <w:p>
            <w:pPr/>
          </w:p>
        </w:tc>
        <w:tc>
          <w:tcPr>
            <w:tcW w:w="1091" w:type="dxa"/>
            <w:tcBorders>
              <w:bottom w:val="double" w:sz="4" w:space="0" w:color="000000"/>
            </w:tcBorders>
          </w:tcPr>
          <w:p>
            <w:pPr>
              <w:pStyle w:val="TableParagraph"/>
              <w:spacing w:before="13"/>
              <w:ind w:right="133"/>
              <w:jc w:val="right"/>
              <w:rPr>
                <w:rFonts w:ascii="Constantia"/>
                <w:sz w:val="16"/>
              </w:rPr>
            </w:pPr>
            <w:r>
              <w:rPr>
                <w:rFonts w:ascii="Constantia"/>
                <w:sz w:val="16"/>
              </w:rPr>
              <w:t>(0.0027)</w:t>
            </w:r>
          </w:p>
        </w:tc>
        <w:tc>
          <w:tcPr>
            <w:tcW w:w="1054" w:type="dxa"/>
            <w:tcBorders>
              <w:bottom w:val="double" w:sz="4" w:space="0" w:color="000000"/>
            </w:tcBorders>
          </w:tcPr>
          <w:p>
            <w:pPr>
              <w:pStyle w:val="TableParagraph"/>
              <w:spacing w:before="13"/>
              <w:ind w:right="173"/>
              <w:jc w:val="right"/>
              <w:rPr>
                <w:rFonts w:ascii="Constantia"/>
                <w:sz w:val="16"/>
              </w:rPr>
            </w:pPr>
            <w:r>
              <w:rPr>
                <w:rFonts w:ascii="Constantia"/>
                <w:sz w:val="16"/>
              </w:rPr>
              <w:t>(0.0033)</w:t>
            </w:r>
          </w:p>
        </w:tc>
        <w:tc>
          <w:tcPr>
            <w:tcW w:w="994" w:type="dxa"/>
            <w:tcBorders>
              <w:bottom w:val="double" w:sz="4" w:space="0" w:color="000000"/>
            </w:tcBorders>
          </w:tcPr>
          <w:p>
            <w:pPr>
              <w:pStyle w:val="TableParagraph"/>
              <w:spacing w:before="13"/>
              <w:ind w:right="153"/>
              <w:jc w:val="right"/>
              <w:rPr>
                <w:rFonts w:ascii="Constantia"/>
                <w:sz w:val="16"/>
              </w:rPr>
            </w:pPr>
            <w:r>
              <w:rPr>
                <w:rFonts w:ascii="Constantia"/>
                <w:sz w:val="16"/>
              </w:rPr>
              <w:t>(0.0031)</w:t>
            </w:r>
          </w:p>
        </w:tc>
        <w:tc>
          <w:tcPr>
            <w:tcW w:w="1015" w:type="dxa"/>
            <w:tcBorders>
              <w:bottom w:val="double" w:sz="4" w:space="0" w:color="000000"/>
            </w:tcBorders>
          </w:tcPr>
          <w:p>
            <w:pPr>
              <w:pStyle w:val="TableParagraph"/>
              <w:spacing w:before="13"/>
              <w:ind w:right="165"/>
              <w:jc w:val="right"/>
              <w:rPr>
                <w:rFonts w:ascii="Constantia"/>
                <w:sz w:val="16"/>
              </w:rPr>
            </w:pPr>
            <w:r>
              <w:rPr>
                <w:rFonts w:ascii="Constantia"/>
                <w:sz w:val="16"/>
              </w:rPr>
              <w:t>(0.0030)</w:t>
            </w:r>
          </w:p>
        </w:tc>
        <w:tc>
          <w:tcPr>
            <w:tcW w:w="870" w:type="dxa"/>
            <w:tcBorders>
              <w:bottom w:val="double" w:sz="4" w:space="0" w:color="000000"/>
            </w:tcBorders>
          </w:tcPr>
          <w:p>
            <w:pPr>
              <w:pStyle w:val="TableParagraph"/>
              <w:spacing w:before="13"/>
              <w:ind w:right="30"/>
              <w:jc w:val="right"/>
              <w:rPr>
                <w:rFonts w:ascii="Constantia"/>
                <w:sz w:val="16"/>
              </w:rPr>
            </w:pPr>
            <w:r>
              <w:rPr>
                <w:rFonts w:ascii="Constantia"/>
                <w:sz w:val="16"/>
              </w:rPr>
              <w:t>(0.0037)</w:t>
            </w:r>
          </w:p>
        </w:tc>
      </w:tr>
      <w:tr>
        <w:trPr>
          <w:trHeight w:val="286" w:hRule="exact"/>
        </w:trPr>
        <w:tc>
          <w:tcPr>
            <w:tcW w:w="3796" w:type="dxa"/>
            <w:tcBorders>
              <w:top w:val="double" w:sz="4" w:space="0" w:color="000000"/>
            </w:tcBorders>
          </w:tcPr>
          <w:p>
            <w:pPr>
              <w:pStyle w:val="TableParagraph"/>
              <w:spacing w:before="11"/>
              <w:ind w:left="30"/>
              <w:jc w:val="left"/>
              <w:rPr>
                <w:rFonts w:ascii="Constantia" w:hAnsi="Constantia"/>
                <w:sz w:val="19"/>
              </w:rPr>
            </w:pPr>
            <w:r>
              <w:rPr>
                <w:rFonts w:ascii="Constantia" w:hAnsi="Constantia"/>
                <w:sz w:val="19"/>
              </w:rPr>
              <w:t>Nº de variables de impulso</w:t>
            </w:r>
          </w:p>
        </w:tc>
        <w:tc>
          <w:tcPr>
            <w:tcW w:w="1091" w:type="dxa"/>
            <w:tcBorders>
              <w:top w:val="double" w:sz="4" w:space="0" w:color="000000"/>
            </w:tcBorders>
          </w:tcPr>
          <w:p>
            <w:pPr>
              <w:pStyle w:val="TableParagraph"/>
              <w:spacing w:before="11"/>
              <w:ind w:right="131"/>
              <w:jc w:val="right"/>
              <w:rPr>
                <w:rFonts w:ascii="Constantia"/>
                <w:sz w:val="19"/>
              </w:rPr>
            </w:pPr>
            <w:r>
              <w:rPr>
                <w:rFonts w:ascii="Constantia"/>
                <w:w w:val="101"/>
                <w:sz w:val="19"/>
              </w:rPr>
              <w:t>1</w:t>
            </w:r>
          </w:p>
        </w:tc>
        <w:tc>
          <w:tcPr>
            <w:tcW w:w="1054" w:type="dxa"/>
            <w:tcBorders>
              <w:top w:val="double" w:sz="4" w:space="0" w:color="000000"/>
            </w:tcBorders>
          </w:tcPr>
          <w:p>
            <w:pPr>
              <w:pStyle w:val="TableParagraph"/>
              <w:spacing w:before="11"/>
              <w:ind w:right="171"/>
              <w:jc w:val="right"/>
              <w:rPr>
                <w:rFonts w:ascii="Constantia"/>
                <w:sz w:val="19"/>
              </w:rPr>
            </w:pPr>
            <w:r>
              <w:rPr>
                <w:rFonts w:ascii="Constantia"/>
                <w:w w:val="101"/>
                <w:sz w:val="19"/>
              </w:rPr>
              <w:t>1</w:t>
            </w:r>
          </w:p>
        </w:tc>
        <w:tc>
          <w:tcPr>
            <w:tcW w:w="994" w:type="dxa"/>
            <w:tcBorders>
              <w:top w:val="double" w:sz="4" w:space="0" w:color="000000"/>
            </w:tcBorders>
          </w:tcPr>
          <w:p>
            <w:pPr>
              <w:pStyle w:val="TableParagraph"/>
              <w:spacing w:before="11"/>
              <w:ind w:right="148"/>
              <w:jc w:val="right"/>
              <w:rPr>
                <w:rFonts w:ascii="Constantia"/>
                <w:sz w:val="19"/>
              </w:rPr>
            </w:pPr>
            <w:r>
              <w:rPr>
                <w:rFonts w:ascii="Constantia"/>
                <w:w w:val="101"/>
                <w:sz w:val="19"/>
              </w:rPr>
              <w:t>2</w:t>
            </w:r>
          </w:p>
        </w:tc>
        <w:tc>
          <w:tcPr>
            <w:tcW w:w="1015" w:type="dxa"/>
            <w:tcBorders>
              <w:top w:val="double" w:sz="4" w:space="0" w:color="000000"/>
            </w:tcBorders>
          </w:tcPr>
          <w:p>
            <w:pPr>
              <w:pStyle w:val="TableParagraph"/>
              <w:spacing w:before="11"/>
              <w:ind w:right="165"/>
              <w:jc w:val="right"/>
              <w:rPr>
                <w:rFonts w:ascii="Constantia"/>
                <w:sz w:val="19"/>
              </w:rPr>
            </w:pPr>
            <w:r>
              <w:rPr>
                <w:rFonts w:ascii="Constantia"/>
                <w:w w:val="101"/>
                <w:sz w:val="19"/>
              </w:rPr>
              <w:t>3</w:t>
            </w:r>
          </w:p>
        </w:tc>
        <w:tc>
          <w:tcPr>
            <w:tcW w:w="870" w:type="dxa"/>
            <w:tcBorders>
              <w:top w:val="double" w:sz="4" w:space="0" w:color="000000"/>
            </w:tcBorders>
          </w:tcPr>
          <w:p>
            <w:pPr>
              <w:pStyle w:val="TableParagraph"/>
              <w:spacing w:before="11"/>
              <w:ind w:right="26"/>
              <w:jc w:val="right"/>
              <w:rPr>
                <w:rFonts w:ascii="Constantia"/>
                <w:sz w:val="19"/>
              </w:rPr>
            </w:pPr>
            <w:r>
              <w:rPr>
                <w:rFonts w:ascii="Constantia"/>
                <w:w w:val="101"/>
                <w:sz w:val="19"/>
              </w:rPr>
              <w:t>0</w:t>
            </w:r>
          </w:p>
        </w:tc>
      </w:tr>
      <w:tr>
        <w:trPr>
          <w:trHeight w:val="241" w:hRule="exact"/>
        </w:trPr>
        <w:tc>
          <w:tcPr>
            <w:tcW w:w="3796" w:type="dxa"/>
            <w:tcBorders>
              <w:bottom w:val="double" w:sz="4" w:space="0" w:color="000000"/>
            </w:tcBorders>
          </w:tcPr>
          <w:p>
            <w:pPr>
              <w:pStyle w:val="TableParagraph"/>
              <w:spacing w:line="226" w:lineRule="exact"/>
              <w:ind w:left="30"/>
              <w:jc w:val="left"/>
              <w:rPr>
                <w:rFonts w:ascii="Constantia" w:hAnsi="Constantia"/>
                <w:sz w:val="19"/>
              </w:rPr>
            </w:pPr>
            <w:r>
              <w:rPr>
                <w:rFonts w:ascii="Constantia" w:hAnsi="Constantia"/>
                <w:sz w:val="19"/>
              </w:rPr>
              <w:t>Incluye término autoregresivo</w:t>
            </w:r>
          </w:p>
        </w:tc>
        <w:tc>
          <w:tcPr>
            <w:tcW w:w="1091" w:type="dxa"/>
            <w:tcBorders>
              <w:bottom w:val="double" w:sz="4" w:space="0" w:color="000000"/>
            </w:tcBorders>
          </w:tcPr>
          <w:p>
            <w:pPr>
              <w:pStyle w:val="TableParagraph"/>
              <w:spacing w:line="226" w:lineRule="exact"/>
              <w:ind w:right="195"/>
              <w:jc w:val="right"/>
              <w:rPr>
                <w:rFonts w:ascii="Constantia"/>
                <w:sz w:val="19"/>
              </w:rPr>
            </w:pPr>
            <w:r>
              <w:rPr>
                <w:rFonts w:ascii="Constantia"/>
                <w:sz w:val="19"/>
              </w:rPr>
              <w:t>Si</w:t>
            </w:r>
          </w:p>
        </w:tc>
        <w:tc>
          <w:tcPr>
            <w:tcW w:w="1054" w:type="dxa"/>
            <w:tcBorders>
              <w:bottom w:val="double" w:sz="4" w:space="0" w:color="000000"/>
            </w:tcBorders>
          </w:tcPr>
          <w:p>
            <w:pPr>
              <w:pStyle w:val="TableParagraph"/>
              <w:spacing w:line="226" w:lineRule="exact"/>
              <w:ind w:right="241"/>
              <w:jc w:val="right"/>
              <w:rPr>
                <w:rFonts w:ascii="Constantia"/>
                <w:sz w:val="19"/>
              </w:rPr>
            </w:pPr>
            <w:r>
              <w:rPr>
                <w:rFonts w:ascii="Constantia"/>
                <w:sz w:val="19"/>
              </w:rPr>
              <w:t>No</w:t>
            </w:r>
          </w:p>
        </w:tc>
        <w:tc>
          <w:tcPr>
            <w:tcW w:w="994" w:type="dxa"/>
            <w:tcBorders>
              <w:bottom w:val="double" w:sz="4" w:space="0" w:color="000000"/>
            </w:tcBorders>
          </w:tcPr>
          <w:p>
            <w:pPr>
              <w:pStyle w:val="TableParagraph"/>
              <w:spacing w:line="226" w:lineRule="exact"/>
              <w:ind w:right="222"/>
              <w:jc w:val="right"/>
              <w:rPr>
                <w:rFonts w:ascii="Constantia"/>
                <w:sz w:val="19"/>
              </w:rPr>
            </w:pPr>
            <w:r>
              <w:rPr>
                <w:rFonts w:ascii="Constantia"/>
                <w:sz w:val="19"/>
              </w:rPr>
              <w:t>No</w:t>
            </w:r>
          </w:p>
        </w:tc>
        <w:tc>
          <w:tcPr>
            <w:tcW w:w="1015" w:type="dxa"/>
            <w:tcBorders>
              <w:bottom w:val="double" w:sz="4" w:space="0" w:color="000000"/>
            </w:tcBorders>
          </w:tcPr>
          <w:p>
            <w:pPr>
              <w:pStyle w:val="TableParagraph"/>
              <w:spacing w:line="226" w:lineRule="exact"/>
              <w:ind w:right="233"/>
              <w:jc w:val="right"/>
              <w:rPr>
                <w:rFonts w:ascii="Constantia"/>
                <w:sz w:val="19"/>
              </w:rPr>
            </w:pPr>
            <w:r>
              <w:rPr>
                <w:rFonts w:ascii="Constantia"/>
                <w:sz w:val="19"/>
              </w:rPr>
              <w:t>No</w:t>
            </w:r>
          </w:p>
        </w:tc>
        <w:tc>
          <w:tcPr>
            <w:tcW w:w="870" w:type="dxa"/>
            <w:tcBorders>
              <w:bottom w:val="double" w:sz="4" w:space="0" w:color="000000"/>
            </w:tcBorders>
          </w:tcPr>
          <w:p>
            <w:pPr>
              <w:pStyle w:val="TableParagraph"/>
              <w:spacing w:line="226" w:lineRule="exact"/>
              <w:ind w:right="99"/>
              <w:jc w:val="right"/>
              <w:rPr>
                <w:rFonts w:ascii="Constantia"/>
                <w:sz w:val="19"/>
              </w:rPr>
            </w:pPr>
            <w:r>
              <w:rPr>
                <w:rFonts w:ascii="Constantia"/>
                <w:sz w:val="19"/>
              </w:rPr>
              <w:t>No</w:t>
            </w:r>
          </w:p>
        </w:tc>
      </w:tr>
      <w:tr>
        <w:trPr>
          <w:trHeight w:val="286" w:hRule="exact"/>
        </w:trPr>
        <w:tc>
          <w:tcPr>
            <w:tcW w:w="3796" w:type="dxa"/>
            <w:tcBorders>
              <w:top w:val="double" w:sz="4" w:space="0" w:color="000000"/>
            </w:tcBorders>
          </w:tcPr>
          <w:p>
            <w:pPr>
              <w:pStyle w:val="TableParagraph"/>
              <w:spacing w:before="11"/>
              <w:ind w:left="30"/>
              <w:jc w:val="left"/>
              <w:rPr>
                <w:rFonts w:ascii="Constantia"/>
                <w:sz w:val="19"/>
              </w:rPr>
            </w:pPr>
            <w:r>
              <w:rPr>
                <w:rFonts w:ascii="Constantia"/>
                <w:sz w:val="19"/>
              </w:rPr>
              <w:t>R2</w:t>
            </w:r>
          </w:p>
        </w:tc>
        <w:tc>
          <w:tcPr>
            <w:tcW w:w="1091" w:type="dxa"/>
            <w:tcBorders>
              <w:top w:val="double" w:sz="4" w:space="0" w:color="000000"/>
            </w:tcBorders>
          </w:tcPr>
          <w:p>
            <w:pPr>
              <w:pStyle w:val="TableParagraph"/>
              <w:spacing w:before="11"/>
              <w:ind w:right="199"/>
              <w:jc w:val="right"/>
              <w:rPr>
                <w:rFonts w:ascii="Constantia"/>
                <w:sz w:val="19"/>
              </w:rPr>
            </w:pPr>
            <w:r>
              <w:rPr>
                <w:rFonts w:ascii="Constantia"/>
                <w:sz w:val="19"/>
              </w:rPr>
              <w:t>0.60</w:t>
            </w:r>
          </w:p>
        </w:tc>
        <w:tc>
          <w:tcPr>
            <w:tcW w:w="1054" w:type="dxa"/>
            <w:tcBorders>
              <w:top w:val="double" w:sz="4" w:space="0" w:color="000000"/>
            </w:tcBorders>
          </w:tcPr>
          <w:p>
            <w:pPr>
              <w:pStyle w:val="TableParagraph"/>
              <w:spacing w:before="11"/>
              <w:ind w:right="238"/>
              <w:jc w:val="right"/>
              <w:rPr>
                <w:rFonts w:ascii="Constantia"/>
                <w:sz w:val="19"/>
              </w:rPr>
            </w:pPr>
            <w:r>
              <w:rPr>
                <w:rFonts w:ascii="Constantia"/>
                <w:sz w:val="19"/>
              </w:rPr>
              <w:t>0.49</w:t>
            </w:r>
          </w:p>
        </w:tc>
        <w:tc>
          <w:tcPr>
            <w:tcW w:w="994" w:type="dxa"/>
            <w:tcBorders>
              <w:top w:val="double" w:sz="4" w:space="0" w:color="000000"/>
            </w:tcBorders>
          </w:tcPr>
          <w:p>
            <w:pPr>
              <w:pStyle w:val="TableParagraph"/>
              <w:spacing w:before="11"/>
              <w:ind w:right="220"/>
              <w:jc w:val="right"/>
              <w:rPr>
                <w:rFonts w:ascii="Constantia"/>
                <w:sz w:val="19"/>
              </w:rPr>
            </w:pPr>
            <w:r>
              <w:rPr>
                <w:rFonts w:ascii="Constantia"/>
                <w:sz w:val="19"/>
              </w:rPr>
              <w:t>0.57</w:t>
            </w:r>
          </w:p>
        </w:tc>
        <w:tc>
          <w:tcPr>
            <w:tcW w:w="1015" w:type="dxa"/>
            <w:tcBorders>
              <w:top w:val="double" w:sz="4" w:space="0" w:color="000000"/>
            </w:tcBorders>
          </w:tcPr>
          <w:p>
            <w:pPr>
              <w:pStyle w:val="TableParagraph"/>
              <w:spacing w:before="11"/>
              <w:ind w:left="424"/>
              <w:jc w:val="left"/>
              <w:rPr>
                <w:rFonts w:ascii="Constantia"/>
                <w:sz w:val="19"/>
              </w:rPr>
            </w:pPr>
            <w:r>
              <w:rPr>
                <w:rFonts w:ascii="Constantia"/>
                <w:sz w:val="19"/>
              </w:rPr>
              <w:t>0.68</w:t>
            </w:r>
          </w:p>
        </w:tc>
        <w:tc>
          <w:tcPr>
            <w:tcW w:w="870" w:type="dxa"/>
            <w:tcBorders>
              <w:top w:val="double" w:sz="4" w:space="0" w:color="000000"/>
            </w:tcBorders>
          </w:tcPr>
          <w:p>
            <w:pPr>
              <w:pStyle w:val="TableParagraph"/>
              <w:spacing w:before="11"/>
              <w:ind w:right="103"/>
              <w:jc w:val="right"/>
              <w:rPr>
                <w:rFonts w:ascii="Constantia"/>
                <w:sz w:val="19"/>
              </w:rPr>
            </w:pPr>
            <w:r>
              <w:rPr>
                <w:rFonts w:ascii="Constantia"/>
                <w:sz w:val="19"/>
              </w:rPr>
              <w:t>0.43</w:t>
            </w:r>
          </w:p>
        </w:tc>
      </w:tr>
      <w:tr>
        <w:trPr>
          <w:trHeight w:val="254" w:hRule="exact"/>
        </w:trPr>
        <w:tc>
          <w:tcPr>
            <w:tcW w:w="3796" w:type="dxa"/>
          </w:tcPr>
          <w:p>
            <w:pPr>
              <w:pStyle w:val="TableParagraph"/>
              <w:spacing w:line="226" w:lineRule="exact"/>
              <w:ind w:left="30"/>
              <w:jc w:val="left"/>
              <w:rPr>
                <w:rFonts w:ascii="Constantia"/>
                <w:sz w:val="19"/>
              </w:rPr>
            </w:pPr>
            <w:r>
              <w:rPr>
                <w:rFonts w:ascii="Constantia"/>
                <w:sz w:val="19"/>
              </w:rPr>
              <w:t>DW</w:t>
            </w:r>
          </w:p>
        </w:tc>
        <w:tc>
          <w:tcPr>
            <w:tcW w:w="1091" w:type="dxa"/>
          </w:tcPr>
          <w:p>
            <w:pPr>
              <w:pStyle w:val="TableParagraph"/>
              <w:spacing w:line="226" w:lineRule="exact"/>
              <w:ind w:right="200"/>
              <w:jc w:val="right"/>
              <w:rPr>
                <w:rFonts w:ascii="Constantia"/>
                <w:sz w:val="19"/>
              </w:rPr>
            </w:pPr>
            <w:r>
              <w:rPr>
                <w:rFonts w:ascii="Constantia"/>
                <w:sz w:val="19"/>
              </w:rPr>
              <w:t>1.78</w:t>
            </w:r>
          </w:p>
        </w:tc>
        <w:tc>
          <w:tcPr>
            <w:tcW w:w="1054" w:type="dxa"/>
          </w:tcPr>
          <w:p>
            <w:pPr>
              <w:pStyle w:val="TableParagraph"/>
              <w:spacing w:line="226" w:lineRule="exact"/>
              <w:ind w:right="241"/>
              <w:jc w:val="right"/>
              <w:rPr>
                <w:rFonts w:ascii="Constantia"/>
                <w:sz w:val="19"/>
              </w:rPr>
            </w:pPr>
            <w:r>
              <w:rPr>
                <w:rFonts w:ascii="Constantia"/>
                <w:sz w:val="19"/>
              </w:rPr>
              <w:t>1.84</w:t>
            </w:r>
          </w:p>
        </w:tc>
        <w:tc>
          <w:tcPr>
            <w:tcW w:w="994" w:type="dxa"/>
          </w:tcPr>
          <w:p>
            <w:pPr>
              <w:pStyle w:val="TableParagraph"/>
              <w:spacing w:line="226" w:lineRule="exact"/>
              <w:ind w:right="220"/>
              <w:jc w:val="right"/>
              <w:rPr>
                <w:rFonts w:ascii="Constantia"/>
                <w:sz w:val="19"/>
              </w:rPr>
            </w:pPr>
            <w:r>
              <w:rPr>
                <w:rFonts w:ascii="Constantia"/>
                <w:sz w:val="19"/>
              </w:rPr>
              <w:t>1.82</w:t>
            </w:r>
          </w:p>
        </w:tc>
        <w:tc>
          <w:tcPr>
            <w:tcW w:w="1015" w:type="dxa"/>
          </w:tcPr>
          <w:p>
            <w:pPr>
              <w:pStyle w:val="TableParagraph"/>
              <w:spacing w:line="226" w:lineRule="exact"/>
              <w:ind w:left="444"/>
              <w:jc w:val="left"/>
              <w:rPr>
                <w:rFonts w:ascii="Constantia"/>
                <w:sz w:val="19"/>
              </w:rPr>
            </w:pPr>
            <w:r>
              <w:rPr>
                <w:rFonts w:ascii="Constantia"/>
                <w:sz w:val="19"/>
              </w:rPr>
              <w:t>2.07</w:t>
            </w:r>
          </w:p>
        </w:tc>
        <w:tc>
          <w:tcPr>
            <w:tcW w:w="870" w:type="dxa"/>
          </w:tcPr>
          <w:p>
            <w:pPr>
              <w:pStyle w:val="TableParagraph"/>
              <w:spacing w:line="226" w:lineRule="exact"/>
              <w:ind w:right="98"/>
              <w:jc w:val="right"/>
              <w:rPr>
                <w:rFonts w:ascii="Constantia"/>
                <w:sz w:val="19"/>
              </w:rPr>
            </w:pPr>
            <w:r>
              <w:rPr>
                <w:rFonts w:ascii="Constantia"/>
                <w:sz w:val="19"/>
              </w:rPr>
              <w:t>2.37</w:t>
            </w:r>
          </w:p>
        </w:tc>
      </w:tr>
      <w:tr>
        <w:trPr>
          <w:trHeight w:val="279" w:hRule="exact"/>
        </w:trPr>
        <w:tc>
          <w:tcPr>
            <w:tcW w:w="3796" w:type="dxa"/>
          </w:tcPr>
          <w:p>
            <w:pPr>
              <w:pStyle w:val="TableParagraph"/>
              <w:spacing w:line="226" w:lineRule="exact"/>
              <w:ind w:left="30"/>
              <w:jc w:val="left"/>
              <w:rPr>
                <w:rFonts w:ascii="Constantia"/>
                <w:sz w:val="19"/>
              </w:rPr>
            </w:pPr>
            <w:r>
              <w:rPr>
                <w:rFonts w:ascii="Constantia"/>
                <w:sz w:val="19"/>
              </w:rPr>
              <w:t>Prob. ARCH (1)</w:t>
            </w:r>
          </w:p>
        </w:tc>
        <w:tc>
          <w:tcPr>
            <w:tcW w:w="1091" w:type="dxa"/>
          </w:tcPr>
          <w:p>
            <w:pPr>
              <w:pStyle w:val="TableParagraph"/>
              <w:spacing w:line="226" w:lineRule="exact"/>
              <w:ind w:right="199"/>
              <w:jc w:val="right"/>
              <w:rPr>
                <w:rFonts w:ascii="Constantia"/>
                <w:sz w:val="19"/>
              </w:rPr>
            </w:pPr>
            <w:r>
              <w:rPr>
                <w:rFonts w:ascii="Constantia"/>
                <w:sz w:val="19"/>
              </w:rPr>
              <w:t>0.40</w:t>
            </w:r>
          </w:p>
        </w:tc>
        <w:tc>
          <w:tcPr>
            <w:tcW w:w="1054" w:type="dxa"/>
          </w:tcPr>
          <w:p>
            <w:pPr>
              <w:pStyle w:val="TableParagraph"/>
              <w:spacing w:line="226" w:lineRule="exact"/>
              <w:ind w:right="242"/>
              <w:jc w:val="right"/>
              <w:rPr>
                <w:rFonts w:ascii="Constantia"/>
                <w:sz w:val="19"/>
              </w:rPr>
            </w:pPr>
            <w:r>
              <w:rPr>
                <w:rFonts w:ascii="Constantia"/>
                <w:sz w:val="19"/>
              </w:rPr>
              <w:t>0.14</w:t>
            </w:r>
          </w:p>
        </w:tc>
        <w:tc>
          <w:tcPr>
            <w:tcW w:w="994" w:type="dxa"/>
          </w:tcPr>
          <w:p>
            <w:pPr>
              <w:pStyle w:val="TableParagraph"/>
              <w:spacing w:line="226" w:lineRule="exact"/>
              <w:ind w:right="221"/>
              <w:jc w:val="right"/>
              <w:rPr>
                <w:rFonts w:ascii="Constantia"/>
                <w:sz w:val="19"/>
              </w:rPr>
            </w:pPr>
            <w:r>
              <w:rPr>
                <w:rFonts w:ascii="Constantia"/>
                <w:sz w:val="19"/>
              </w:rPr>
              <w:t>0.64</w:t>
            </w:r>
          </w:p>
        </w:tc>
        <w:tc>
          <w:tcPr>
            <w:tcW w:w="1015" w:type="dxa"/>
          </w:tcPr>
          <w:p>
            <w:pPr>
              <w:pStyle w:val="TableParagraph"/>
              <w:spacing w:line="226" w:lineRule="exact"/>
              <w:ind w:left="434"/>
              <w:jc w:val="left"/>
              <w:rPr>
                <w:rFonts w:ascii="Constantia"/>
                <w:sz w:val="19"/>
              </w:rPr>
            </w:pPr>
            <w:r>
              <w:rPr>
                <w:rFonts w:ascii="Constantia"/>
                <w:sz w:val="19"/>
              </w:rPr>
              <w:t>0.56</w:t>
            </w:r>
          </w:p>
        </w:tc>
        <w:tc>
          <w:tcPr>
            <w:tcW w:w="870" w:type="dxa"/>
          </w:tcPr>
          <w:p>
            <w:pPr>
              <w:pStyle w:val="TableParagraph"/>
              <w:spacing w:line="226" w:lineRule="exact"/>
              <w:ind w:right="99"/>
              <w:jc w:val="right"/>
              <w:rPr>
                <w:rFonts w:ascii="Constantia"/>
                <w:sz w:val="19"/>
              </w:rPr>
            </w:pPr>
            <w:r>
              <w:rPr>
                <w:rFonts w:ascii="Constantia"/>
                <w:sz w:val="19"/>
              </w:rPr>
              <w:t>0.25</w:t>
            </w:r>
          </w:p>
        </w:tc>
      </w:tr>
      <w:tr>
        <w:trPr>
          <w:trHeight w:val="266" w:hRule="exact"/>
        </w:trPr>
        <w:tc>
          <w:tcPr>
            <w:tcW w:w="3796" w:type="dxa"/>
            <w:tcBorders>
              <w:bottom w:val="double" w:sz="4" w:space="0" w:color="000000"/>
            </w:tcBorders>
          </w:tcPr>
          <w:p>
            <w:pPr>
              <w:pStyle w:val="TableParagraph"/>
              <w:spacing w:before="19"/>
              <w:ind w:left="30"/>
              <w:jc w:val="left"/>
              <w:rPr>
                <w:rFonts w:ascii="Constantia"/>
                <w:sz w:val="19"/>
              </w:rPr>
            </w:pPr>
            <w:r>
              <w:rPr>
                <w:rFonts w:ascii="Constantia"/>
                <w:sz w:val="19"/>
              </w:rPr>
              <w:t>Prob. Jarque-Bera</w:t>
            </w:r>
          </w:p>
        </w:tc>
        <w:tc>
          <w:tcPr>
            <w:tcW w:w="1091" w:type="dxa"/>
            <w:tcBorders>
              <w:bottom w:val="double" w:sz="4" w:space="0" w:color="000000"/>
            </w:tcBorders>
          </w:tcPr>
          <w:p>
            <w:pPr>
              <w:pStyle w:val="TableParagraph"/>
              <w:spacing w:before="19"/>
              <w:ind w:right="205"/>
              <w:jc w:val="right"/>
              <w:rPr>
                <w:rFonts w:ascii="Constantia"/>
                <w:sz w:val="19"/>
              </w:rPr>
            </w:pPr>
            <w:r>
              <w:rPr>
                <w:rFonts w:ascii="Constantia"/>
                <w:sz w:val="19"/>
              </w:rPr>
              <w:t>0.33</w:t>
            </w:r>
          </w:p>
        </w:tc>
        <w:tc>
          <w:tcPr>
            <w:tcW w:w="1054" w:type="dxa"/>
            <w:tcBorders>
              <w:bottom w:val="double" w:sz="4" w:space="0" w:color="000000"/>
            </w:tcBorders>
          </w:tcPr>
          <w:p>
            <w:pPr>
              <w:pStyle w:val="TableParagraph"/>
              <w:spacing w:before="19"/>
              <w:ind w:right="239"/>
              <w:jc w:val="right"/>
              <w:rPr>
                <w:rFonts w:ascii="Constantia"/>
                <w:sz w:val="19"/>
              </w:rPr>
            </w:pPr>
            <w:r>
              <w:rPr>
                <w:rFonts w:ascii="Constantia"/>
                <w:sz w:val="19"/>
              </w:rPr>
              <w:t>0.86</w:t>
            </w:r>
          </w:p>
        </w:tc>
        <w:tc>
          <w:tcPr>
            <w:tcW w:w="994" w:type="dxa"/>
            <w:tcBorders>
              <w:bottom w:val="double" w:sz="4" w:space="0" w:color="000000"/>
            </w:tcBorders>
          </w:tcPr>
          <w:p>
            <w:pPr>
              <w:pStyle w:val="TableParagraph"/>
              <w:spacing w:before="19"/>
              <w:ind w:right="225"/>
              <w:jc w:val="right"/>
              <w:rPr>
                <w:rFonts w:ascii="Constantia"/>
                <w:sz w:val="19"/>
              </w:rPr>
            </w:pPr>
            <w:r>
              <w:rPr>
                <w:rFonts w:ascii="Constantia"/>
                <w:sz w:val="19"/>
              </w:rPr>
              <w:t>0.33</w:t>
            </w:r>
          </w:p>
        </w:tc>
        <w:tc>
          <w:tcPr>
            <w:tcW w:w="1015" w:type="dxa"/>
            <w:tcBorders>
              <w:bottom w:val="double" w:sz="4" w:space="0" w:color="000000"/>
            </w:tcBorders>
          </w:tcPr>
          <w:p>
            <w:pPr>
              <w:pStyle w:val="TableParagraph"/>
              <w:spacing w:before="19"/>
              <w:ind w:left="434"/>
              <w:jc w:val="left"/>
              <w:rPr>
                <w:rFonts w:ascii="Constantia"/>
                <w:sz w:val="19"/>
              </w:rPr>
            </w:pPr>
            <w:r>
              <w:rPr>
                <w:rFonts w:ascii="Constantia"/>
                <w:sz w:val="19"/>
              </w:rPr>
              <w:t>0.63</w:t>
            </w:r>
          </w:p>
        </w:tc>
        <w:tc>
          <w:tcPr>
            <w:tcW w:w="870" w:type="dxa"/>
            <w:tcBorders>
              <w:bottom w:val="double" w:sz="4" w:space="0" w:color="000000"/>
            </w:tcBorders>
          </w:tcPr>
          <w:p>
            <w:pPr>
              <w:pStyle w:val="TableParagraph"/>
              <w:spacing w:before="19"/>
              <w:ind w:right="98"/>
              <w:jc w:val="right"/>
              <w:rPr>
                <w:rFonts w:ascii="Constantia"/>
                <w:sz w:val="19"/>
              </w:rPr>
            </w:pPr>
            <w:r>
              <w:rPr>
                <w:rFonts w:ascii="Constantia"/>
                <w:sz w:val="19"/>
              </w:rPr>
              <w:t>0.88</w:t>
            </w:r>
          </w:p>
        </w:tc>
      </w:tr>
    </w:tbl>
    <w:p>
      <w:pPr>
        <w:spacing w:line="170" w:lineRule="exact" w:before="0"/>
        <w:ind w:left="171" w:right="115" w:firstLine="0"/>
        <w:jc w:val="left"/>
        <w:rPr>
          <w:rFonts w:ascii="Constantia" w:hAnsi="Constantia"/>
          <w:sz w:val="16"/>
        </w:rPr>
      </w:pPr>
      <w:r>
        <w:rPr>
          <w:rFonts w:ascii="Constantia" w:hAnsi="Constantia"/>
          <w:sz w:val="16"/>
        </w:rPr>
        <w:t>Los errores estándares se encuentran entre paréntesis.</w:t>
      </w:r>
    </w:p>
    <w:p>
      <w:pPr>
        <w:spacing w:before="11"/>
        <w:ind w:left="102" w:right="115" w:firstLine="0"/>
        <w:jc w:val="left"/>
        <w:rPr>
          <w:sz w:val="20"/>
        </w:rPr>
      </w:pPr>
      <w:r>
        <w:rPr>
          <w:sz w:val="20"/>
        </w:rPr>
        <w:t>Fuente: Estimaciones propias con base en información del Banco Central de Bolivia (2012).</w:t>
      </w:r>
    </w:p>
    <w:p>
      <w:pPr>
        <w:pStyle w:val="BodyText"/>
        <w:spacing w:before="9"/>
        <w:rPr>
          <w:sz w:val="20"/>
        </w:rPr>
      </w:pPr>
    </w:p>
    <w:p>
      <w:pPr>
        <w:pStyle w:val="BodyText"/>
        <w:ind w:left="214" w:right="251"/>
        <w:jc w:val="center"/>
      </w:pPr>
      <w:r>
        <w:rPr/>
        <w:t>Anexo 4.8 C: Choques determinantes sobre el Balance global cíclic. Ajustado/ PIB</w:t>
      </w:r>
    </w:p>
    <w:p>
      <w:pPr>
        <w:spacing w:before="89" w:after="4"/>
        <w:ind w:left="420" w:right="461" w:firstLine="0"/>
        <w:jc w:val="center"/>
        <w:rPr>
          <w:rFonts w:ascii="Constantia" w:hAnsi="Constantia"/>
          <w:b/>
          <w:sz w:val="21"/>
        </w:rPr>
      </w:pPr>
      <w:r>
        <w:rPr>
          <w:rFonts w:ascii="Constantia" w:hAnsi="Constantia"/>
          <w:b/>
          <w:sz w:val="21"/>
        </w:rPr>
        <w:t>Variable dependiente: ∆ Balance fiscal global cíclic. ajustado/ PIB</w:t>
      </w:r>
    </w:p>
    <w:p>
      <w:pPr>
        <w:pStyle w:val="BodyText"/>
        <w:spacing w:line="31" w:lineRule="exact"/>
        <w:ind w:left="135"/>
        <w:rPr>
          <w:rFonts w:ascii="Constantia"/>
          <w:sz w:val="3"/>
        </w:rPr>
      </w:pPr>
      <w:r>
        <w:rPr>
          <w:rFonts w:ascii="Constantia"/>
          <w:position w:val="0"/>
          <w:sz w:val="3"/>
        </w:rPr>
        <w:pict>
          <v:group style="width:441.55pt;height:1.6pt;mso-position-horizontal-relative:char;mso-position-vertical-relative:line" coordorigin="0,0" coordsize="8831,32">
            <v:line style="position:absolute" from="11,6" to="8820,6" stroked="true" strokeweight=".504060pt" strokecolor="#000000"/>
            <v:line style="position:absolute" from="6,6" to="8825,6" stroked="true" strokeweight=".504060pt" strokecolor="#000000"/>
            <v:line style="position:absolute" from="11,26" to="8820,26" stroked="true" strokeweight=".504060pt" strokecolor="#000000"/>
            <v:line style="position:absolute" from="6,26" to="8825,26" stroked="true" strokeweight=".504060pt" strokecolor="#000000"/>
          </v:group>
        </w:pict>
      </w:r>
      <w:r>
        <w:rPr>
          <w:rFonts w:ascii="Constantia"/>
          <w:position w:val="0"/>
          <w:sz w:val="3"/>
        </w:rPr>
      </w:r>
    </w:p>
    <w:p>
      <w:pPr>
        <w:spacing w:before="10" w:after="24"/>
        <w:ind w:left="5364" w:right="115" w:firstLine="0"/>
        <w:jc w:val="left"/>
        <w:rPr>
          <w:rFonts w:ascii="Constantia"/>
          <w:sz w:val="19"/>
        </w:rPr>
      </w:pPr>
      <w:r>
        <w:rPr>
          <w:rFonts w:ascii="Constantia"/>
          <w:sz w:val="19"/>
        </w:rPr>
        <w:t>Trimestres hacia adelante</w:t>
      </w:r>
    </w:p>
    <w:tbl>
      <w:tblPr>
        <w:tblW w:w="0" w:type="auto"/>
        <w:jc w:val="left"/>
        <w:tblInd w:w="14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824"/>
        <w:gridCol w:w="1017"/>
        <w:gridCol w:w="1075"/>
        <w:gridCol w:w="1016"/>
        <w:gridCol w:w="1030"/>
        <w:gridCol w:w="857"/>
      </w:tblGrid>
      <w:tr>
        <w:trPr>
          <w:trHeight w:val="243" w:hRule="exact"/>
        </w:trPr>
        <w:tc>
          <w:tcPr>
            <w:tcW w:w="3824" w:type="dxa"/>
            <w:tcBorders>
              <w:bottom w:val="double" w:sz="4" w:space="0" w:color="000000"/>
            </w:tcBorders>
          </w:tcPr>
          <w:p>
            <w:pPr>
              <w:pStyle w:val="TableParagraph"/>
              <w:spacing w:line="229" w:lineRule="exact"/>
              <w:ind w:left="30"/>
              <w:jc w:val="left"/>
              <w:rPr>
                <w:rFonts w:ascii="Constantia"/>
                <w:sz w:val="19"/>
              </w:rPr>
            </w:pPr>
            <w:r>
              <w:rPr>
                <w:rFonts w:ascii="Constantia"/>
                <w:sz w:val="19"/>
                <w:u w:val="single"/>
              </w:rPr>
              <w:t>Variables explicativas:</w:t>
            </w:r>
          </w:p>
        </w:tc>
        <w:tc>
          <w:tcPr>
            <w:tcW w:w="1017" w:type="dxa"/>
            <w:tcBorders>
              <w:bottom w:val="double" w:sz="4" w:space="0" w:color="000000"/>
            </w:tcBorders>
          </w:tcPr>
          <w:p>
            <w:pPr>
              <w:pStyle w:val="TableParagraph"/>
              <w:spacing w:line="229" w:lineRule="exact"/>
              <w:ind w:right="157"/>
              <w:rPr>
                <w:rFonts w:ascii="Constantia"/>
                <w:sz w:val="19"/>
              </w:rPr>
            </w:pPr>
            <w:r>
              <w:rPr>
                <w:rFonts w:ascii="Constantia"/>
                <w:w w:val="101"/>
                <w:sz w:val="19"/>
              </w:rPr>
              <w:t>1</w:t>
            </w:r>
          </w:p>
        </w:tc>
        <w:tc>
          <w:tcPr>
            <w:tcW w:w="1075" w:type="dxa"/>
            <w:tcBorders>
              <w:bottom w:val="double" w:sz="4" w:space="0" w:color="000000"/>
            </w:tcBorders>
          </w:tcPr>
          <w:p>
            <w:pPr>
              <w:pStyle w:val="TableParagraph"/>
              <w:spacing w:line="229" w:lineRule="exact"/>
              <w:ind w:right="195"/>
              <w:rPr>
                <w:rFonts w:ascii="Constantia"/>
                <w:sz w:val="19"/>
              </w:rPr>
            </w:pPr>
            <w:r>
              <w:rPr>
                <w:rFonts w:ascii="Constantia"/>
                <w:w w:val="101"/>
                <w:sz w:val="19"/>
              </w:rPr>
              <w:t>2</w:t>
            </w:r>
          </w:p>
        </w:tc>
        <w:tc>
          <w:tcPr>
            <w:tcW w:w="1016" w:type="dxa"/>
            <w:tcBorders>
              <w:bottom w:val="double" w:sz="4" w:space="0" w:color="000000"/>
            </w:tcBorders>
          </w:tcPr>
          <w:p>
            <w:pPr>
              <w:pStyle w:val="TableParagraph"/>
              <w:spacing w:line="229" w:lineRule="exact"/>
              <w:ind w:left="337"/>
              <w:jc w:val="left"/>
              <w:rPr>
                <w:rFonts w:ascii="Constantia"/>
                <w:sz w:val="19"/>
              </w:rPr>
            </w:pPr>
            <w:r>
              <w:rPr>
                <w:rFonts w:ascii="Constantia"/>
                <w:w w:val="101"/>
                <w:sz w:val="19"/>
              </w:rPr>
              <w:t>3</w:t>
            </w:r>
          </w:p>
        </w:tc>
        <w:tc>
          <w:tcPr>
            <w:tcW w:w="1030" w:type="dxa"/>
            <w:tcBorders>
              <w:bottom w:val="double" w:sz="4" w:space="0" w:color="000000"/>
            </w:tcBorders>
          </w:tcPr>
          <w:p>
            <w:pPr>
              <w:pStyle w:val="TableParagraph"/>
              <w:spacing w:line="229" w:lineRule="exact"/>
              <w:ind w:left="331"/>
              <w:jc w:val="left"/>
              <w:rPr>
                <w:rFonts w:ascii="Constantia"/>
                <w:sz w:val="19"/>
              </w:rPr>
            </w:pPr>
            <w:r>
              <w:rPr>
                <w:rFonts w:ascii="Constantia"/>
                <w:w w:val="101"/>
                <w:sz w:val="19"/>
              </w:rPr>
              <w:t>4</w:t>
            </w:r>
          </w:p>
        </w:tc>
        <w:tc>
          <w:tcPr>
            <w:tcW w:w="857" w:type="dxa"/>
            <w:tcBorders>
              <w:bottom w:val="double" w:sz="4" w:space="0" w:color="000000"/>
            </w:tcBorders>
          </w:tcPr>
          <w:p>
            <w:pPr>
              <w:pStyle w:val="TableParagraph"/>
              <w:spacing w:line="229" w:lineRule="exact"/>
              <w:ind w:right="141"/>
              <w:rPr>
                <w:rFonts w:ascii="Constantia"/>
                <w:sz w:val="19"/>
              </w:rPr>
            </w:pPr>
            <w:r>
              <w:rPr>
                <w:rFonts w:ascii="Constantia"/>
                <w:w w:val="101"/>
                <w:sz w:val="19"/>
              </w:rPr>
              <w:t>5</w:t>
            </w:r>
          </w:p>
        </w:tc>
      </w:tr>
      <w:tr>
        <w:trPr>
          <w:trHeight w:val="324" w:hRule="exact"/>
        </w:trPr>
        <w:tc>
          <w:tcPr>
            <w:tcW w:w="3824" w:type="dxa"/>
            <w:tcBorders>
              <w:top w:val="double" w:sz="4" w:space="0" w:color="000000"/>
            </w:tcBorders>
          </w:tcPr>
          <w:p>
            <w:pPr>
              <w:pStyle w:val="TableParagraph"/>
              <w:spacing w:before="31"/>
              <w:ind w:left="30"/>
              <w:jc w:val="left"/>
              <w:rPr>
                <w:rFonts w:ascii="Constantia"/>
                <w:sz w:val="19"/>
              </w:rPr>
            </w:pPr>
            <w:r>
              <w:rPr>
                <w:rFonts w:ascii="Constantia"/>
                <w:sz w:val="19"/>
              </w:rPr>
              <w:t>Choq. Estruct. Precio del gas natural</w:t>
            </w:r>
          </w:p>
        </w:tc>
        <w:tc>
          <w:tcPr>
            <w:tcW w:w="1017" w:type="dxa"/>
            <w:tcBorders>
              <w:top w:val="double" w:sz="4" w:space="0" w:color="000000"/>
            </w:tcBorders>
          </w:tcPr>
          <w:p>
            <w:pPr>
              <w:pStyle w:val="TableParagraph"/>
              <w:spacing w:before="12"/>
              <w:ind w:right="111"/>
              <w:jc w:val="right"/>
              <w:rPr>
                <w:rFonts w:ascii="Constantia"/>
                <w:sz w:val="21"/>
              </w:rPr>
            </w:pPr>
            <w:r>
              <w:rPr>
                <w:rFonts w:ascii="Constantia"/>
                <w:sz w:val="21"/>
              </w:rPr>
              <w:t>-0.0093*</w:t>
            </w:r>
          </w:p>
        </w:tc>
        <w:tc>
          <w:tcPr>
            <w:tcW w:w="1075" w:type="dxa"/>
            <w:tcBorders>
              <w:top w:val="double" w:sz="4" w:space="0" w:color="000000"/>
            </w:tcBorders>
          </w:tcPr>
          <w:p>
            <w:pPr>
              <w:pStyle w:val="TableParagraph"/>
              <w:spacing w:before="12"/>
              <w:ind w:right="165"/>
              <w:jc w:val="right"/>
              <w:rPr>
                <w:rFonts w:ascii="Constantia"/>
                <w:sz w:val="21"/>
              </w:rPr>
            </w:pPr>
            <w:r>
              <w:rPr>
                <w:rFonts w:ascii="Constantia"/>
                <w:sz w:val="21"/>
              </w:rPr>
              <w:t>0.0116***</w:t>
            </w:r>
          </w:p>
        </w:tc>
        <w:tc>
          <w:tcPr>
            <w:tcW w:w="1016" w:type="dxa"/>
            <w:tcBorders>
              <w:top w:val="double" w:sz="4" w:space="0" w:color="000000"/>
            </w:tcBorders>
          </w:tcPr>
          <w:p>
            <w:pPr>
              <w:pStyle w:val="TableParagraph"/>
              <w:spacing w:before="12"/>
              <w:ind w:left="165"/>
              <w:jc w:val="left"/>
              <w:rPr>
                <w:rFonts w:ascii="Constantia"/>
                <w:sz w:val="21"/>
              </w:rPr>
            </w:pPr>
            <w:r>
              <w:rPr>
                <w:rFonts w:ascii="Constantia"/>
                <w:sz w:val="21"/>
              </w:rPr>
              <w:t>-0.0069</w:t>
            </w:r>
          </w:p>
        </w:tc>
        <w:tc>
          <w:tcPr>
            <w:tcW w:w="1030" w:type="dxa"/>
            <w:tcBorders>
              <w:top w:val="double" w:sz="4" w:space="0" w:color="000000"/>
            </w:tcBorders>
          </w:tcPr>
          <w:p>
            <w:pPr>
              <w:pStyle w:val="TableParagraph"/>
              <w:spacing w:before="12"/>
              <w:ind w:left="250"/>
              <w:jc w:val="left"/>
              <w:rPr>
                <w:rFonts w:ascii="Constantia"/>
                <w:sz w:val="21"/>
              </w:rPr>
            </w:pPr>
            <w:r>
              <w:rPr>
                <w:rFonts w:ascii="Constantia"/>
                <w:sz w:val="21"/>
              </w:rPr>
              <w:t>0.0005</w:t>
            </w:r>
          </w:p>
        </w:tc>
        <w:tc>
          <w:tcPr>
            <w:tcW w:w="857" w:type="dxa"/>
            <w:tcBorders>
              <w:top w:val="double" w:sz="4" w:space="0" w:color="000000"/>
            </w:tcBorders>
          </w:tcPr>
          <w:p>
            <w:pPr>
              <w:pStyle w:val="TableParagraph"/>
              <w:spacing w:before="12"/>
              <w:ind w:right="33"/>
              <w:jc w:val="right"/>
              <w:rPr>
                <w:rFonts w:ascii="Constantia"/>
                <w:sz w:val="21"/>
              </w:rPr>
            </w:pPr>
            <w:r>
              <w:rPr>
                <w:rFonts w:ascii="Constantia"/>
                <w:sz w:val="21"/>
              </w:rPr>
              <w:t>-0.0071</w:t>
            </w:r>
          </w:p>
        </w:tc>
      </w:tr>
      <w:tr>
        <w:trPr>
          <w:trHeight w:val="242" w:hRule="exact"/>
        </w:trPr>
        <w:tc>
          <w:tcPr>
            <w:tcW w:w="3824" w:type="dxa"/>
          </w:tcPr>
          <w:p>
            <w:pPr/>
          </w:p>
        </w:tc>
        <w:tc>
          <w:tcPr>
            <w:tcW w:w="1017" w:type="dxa"/>
          </w:tcPr>
          <w:p>
            <w:pPr>
              <w:pStyle w:val="TableParagraph"/>
              <w:spacing w:before="13"/>
              <w:ind w:right="113"/>
              <w:jc w:val="right"/>
              <w:rPr>
                <w:rFonts w:ascii="Constantia"/>
                <w:sz w:val="16"/>
              </w:rPr>
            </w:pPr>
            <w:r>
              <w:rPr>
                <w:rFonts w:ascii="Constantia"/>
                <w:sz w:val="16"/>
              </w:rPr>
              <w:t>(0.0034)</w:t>
            </w:r>
          </w:p>
        </w:tc>
        <w:tc>
          <w:tcPr>
            <w:tcW w:w="1075" w:type="dxa"/>
          </w:tcPr>
          <w:p>
            <w:pPr>
              <w:pStyle w:val="TableParagraph"/>
              <w:spacing w:before="13"/>
              <w:ind w:right="169"/>
              <w:jc w:val="right"/>
              <w:rPr>
                <w:rFonts w:ascii="Constantia"/>
                <w:sz w:val="16"/>
              </w:rPr>
            </w:pPr>
            <w:r>
              <w:rPr>
                <w:rFonts w:ascii="Constantia"/>
                <w:sz w:val="16"/>
              </w:rPr>
              <w:t>(0.0031)</w:t>
            </w:r>
          </w:p>
        </w:tc>
        <w:tc>
          <w:tcPr>
            <w:tcW w:w="1016" w:type="dxa"/>
          </w:tcPr>
          <w:p>
            <w:pPr>
              <w:pStyle w:val="TableParagraph"/>
              <w:spacing w:before="13"/>
              <w:ind w:right="164"/>
              <w:jc w:val="right"/>
              <w:rPr>
                <w:rFonts w:ascii="Constantia"/>
                <w:sz w:val="16"/>
              </w:rPr>
            </w:pPr>
            <w:r>
              <w:rPr>
                <w:rFonts w:ascii="Constantia"/>
                <w:sz w:val="16"/>
              </w:rPr>
              <w:t>(0.0035)</w:t>
            </w:r>
          </w:p>
        </w:tc>
        <w:tc>
          <w:tcPr>
            <w:tcW w:w="1030" w:type="dxa"/>
          </w:tcPr>
          <w:p>
            <w:pPr>
              <w:pStyle w:val="TableParagraph"/>
              <w:spacing w:before="13"/>
              <w:ind w:left="270"/>
              <w:jc w:val="left"/>
              <w:rPr>
                <w:rFonts w:ascii="Constantia"/>
                <w:sz w:val="16"/>
              </w:rPr>
            </w:pPr>
            <w:r>
              <w:rPr>
                <w:rFonts w:ascii="Constantia"/>
                <w:sz w:val="16"/>
              </w:rPr>
              <w:t>(0.0041)</w:t>
            </w:r>
          </w:p>
        </w:tc>
        <w:tc>
          <w:tcPr>
            <w:tcW w:w="857" w:type="dxa"/>
          </w:tcPr>
          <w:p>
            <w:pPr>
              <w:pStyle w:val="TableParagraph"/>
              <w:spacing w:before="13"/>
              <w:ind w:right="31"/>
              <w:jc w:val="right"/>
              <w:rPr>
                <w:rFonts w:ascii="Constantia"/>
                <w:sz w:val="16"/>
              </w:rPr>
            </w:pPr>
            <w:r>
              <w:rPr>
                <w:rFonts w:ascii="Constantia"/>
                <w:sz w:val="16"/>
              </w:rPr>
              <w:t>(0.0042)</w:t>
            </w:r>
          </w:p>
        </w:tc>
      </w:tr>
      <w:tr>
        <w:trPr>
          <w:trHeight w:val="293" w:hRule="exact"/>
        </w:trPr>
        <w:tc>
          <w:tcPr>
            <w:tcW w:w="3824" w:type="dxa"/>
          </w:tcPr>
          <w:p>
            <w:pPr>
              <w:pStyle w:val="TableParagraph"/>
              <w:spacing w:before="15"/>
              <w:ind w:left="30"/>
              <w:jc w:val="left"/>
              <w:rPr>
                <w:rFonts w:ascii="Constantia" w:hAnsi="Constantia"/>
                <w:sz w:val="19"/>
              </w:rPr>
            </w:pPr>
            <w:r>
              <w:rPr>
                <w:rFonts w:ascii="Constantia" w:hAnsi="Constantia"/>
                <w:sz w:val="19"/>
              </w:rPr>
              <w:t>Choq. Estruct. Asign. De Ing. Fisc. Gasíf.</w:t>
            </w:r>
          </w:p>
        </w:tc>
        <w:tc>
          <w:tcPr>
            <w:tcW w:w="1017" w:type="dxa"/>
          </w:tcPr>
          <w:p>
            <w:pPr>
              <w:pStyle w:val="TableParagraph"/>
              <w:spacing w:line="252" w:lineRule="exact"/>
              <w:ind w:right="110"/>
              <w:jc w:val="right"/>
              <w:rPr>
                <w:rFonts w:ascii="Constantia"/>
                <w:sz w:val="21"/>
              </w:rPr>
            </w:pPr>
            <w:r>
              <w:rPr>
                <w:rFonts w:ascii="Constantia"/>
                <w:sz w:val="21"/>
              </w:rPr>
              <w:t>-0.0012</w:t>
            </w:r>
          </w:p>
        </w:tc>
        <w:tc>
          <w:tcPr>
            <w:tcW w:w="1075" w:type="dxa"/>
          </w:tcPr>
          <w:p>
            <w:pPr>
              <w:pStyle w:val="TableParagraph"/>
              <w:spacing w:line="252" w:lineRule="exact"/>
              <w:ind w:right="171"/>
              <w:jc w:val="right"/>
              <w:rPr>
                <w:rFonts w:ascii="Constantia"/>
                <w:sz w:val="21"/>
              </w:rPr>
            </w:pPr>
            <w:r>
              <w:rPr>
                <w:rFonts w:ascii="Constantia"/>
                <w:sz w:val="21"/>
              </w:rPr>
              <w:t>-0.0003</w:t>
            </w:r>
          </w:p>
        </w:tc>
        <w:tc>
          <w:tcPr>
            <w:tcW w:w="1016" w:type="dxa"/>
          </w:tcPr>
          <w:p>
            <w:pPr>
              <w:pStyle w:val="TableParagraph"/>
              <w:spacing w:line="252" w:lineRule="exact"/>
              <w:ind w:right="159"/>
              <w:jc w:val="right"/>
              <w:rPr>
                <w:rFonts w:ascii="Constantia"/>
                <w:sz w:val="21"/>
              </w:rPr>
            </w:pPr>
            <w:r>
              <w:rPr>
                <w:rFonts w:ascii="Constantia"/>
                <w:sz w:val="21"/>
              </w:rPr>
              <w:t>0.0028</w:t>
            </w:r>
          </w:p>
        </w:tc>
        <w:tc>
          <w:tcPr>
            <w:tcW w:w="1030" w:type="dxa"/>
          </w:tcPr>
          <w:p>
            <w:pPr>
              <w:pStyle w:val="TableParagraph"/>
              <w:spacing w:line="252" w:lineRule="exact"/>
              <w:ind w:right="177"/>
              <w:jc w:val="right"/>
              <w:rPr>
                <w:rFonts w:ascii="Constantia"/>
                <w:sz w:val="21"/>
              </w:rPr>
            </w:pPr>
            <w:r>
              <w:rPr>
                <w:rFonts w:ascii="Constantia"/>
                <w:sz w:val="21"/>
              </w:rPr>
              <w:t>-0.0009</w:t>
            </w:r>
          </w:p>
        </w:tc>
        <w:tc>
          <w:tcPr>
            <w:tcW w:w="857" w:type="dxa"/>
          </w:tcPr>
          <w:p>
            <w:pPr>
              <w:pStyle w:val="TableParagraph"/>
              <w:spacing w:line="252" w:lineRule="exact"/>
              <w:ind w:right="33"/>
              <w:jc w:val="right"/>
              <w:rPr>
                <w:rFonts w:ascii="Constantia"/>
                <w:sz w:val="21"/>
              </w:rPr>
            </w:pPr>
            <w:r>
              <w:rPr>
                <w:rFonts w:ascii="Constantia"/>
                <w:sz w:val="21"/>
              </w:rPr>
              <w:t>-0.0041</w:t>
            </w:r>
          </w:p>
        </w:tc>
      </w:tr>
      <w:tr>
        <w:trPr>
          <w:trHeight w:val="242" w:hRule="exact"/>
        </w:trPr>
        <w:tc>
          <w:tcPr>
            <w:tcW w:w="3824" w:type="dxa"/>
          </w:tcPr>
          <w:p>
            <w:pPr/>
          </w:p>
        </w:tc>
        <w:tc>
          <w:tcPr>
            <w:tcW w:w="1017" w:type="dxa"/>
          </w:tcPr>
          <w:p>
            <w:pPr>
              <w:pStyle w:val="TableParagraph"/>
              <w:spacing w:before="13"/>
              <w:ind w:right="113"/>
              <w:jc w:val="right"/>
              <w:rPr>
                <w:rFonts w:ascii="Constantia"/>
                <w:sz w:val="16"/>
              </w:rPr>
            </w:pPr>
            <w:r>
              <w:rPr>
                <w:rFonts w:ascii="Constantia"/>
                <w:sz w:val="16"/>
              </w:rPr>
              <w:t>(0.0035)</w:t>
            </w:r>
          </w:p>
        </w:tc>
        <w:tc>
          <w:tcPr>
            <w:tcW w:w="1075" w:type="dxa"/>
          </w:tcPr>
          <w:p>
            <w:pPr>
              <w:pStyle w:val="TableParagraph"/>
              <w:spacing w:before="13"/>
              <w:ind w:right="168"/>
              <w:jc w:val="right"/>
              <w:rPr>
                <w:rFonts w:ascii="Constantia"/>
                <w:sz w:val="16"/>
              </w:rPr>
            </w:pPr>
            <w:r>
              <w:rPr>
                <w:rFonts w:ascii="Constantia"/>
                <w:sz w:val="16"/>
              </w:rPr>
              <w:t>(0.0032)</w:t>
            </w:r>
          </w:p>
        </w:tc>
        <w:tc>
          <w:tcPr>
            <w:tcW w:w="1016" w:type="dxa"/>
          </w:tcPr>
          <w:p>
            <w:pPr>
              <w:pStyle w:val="TableParagraph"/>
              <w:spacing w:before="13"/>
              <w:ind w:right="164"/>
              <w:jc w:val="right"/>
              <w:rPr>
                <w:rFonts w:ascii="Constantia"/>
                <w:sz w:val="16"/>
              </w:rPr>
            </w:pPr>
            <w:r>
              <w:rPr>
                <w:rFonts w:ascii="Constantia"/>
                <w:sz w:val="16"/>
              </w:rPr>
              <w:t>(0.0035)</w:t>
            </w:r>
          </w:p>
        </w:tc>
        <w:tc>
          <w:tcPr>
            <w:tcW w:w="1030" w:type="dxa"/>
          </w:tcPr>
          <w:p>
            <w:pPr>
              <w:pStyle w:val="TableParagraph"/>
              <w:spacing w:before="13"/>
              <w:ind w:left="270"/>
              <w:jc w:val="left"/>
              <w:rPr>
                <w:rFonts w:ascii="Constantia"/>
                <w:sz w:val="16"/>
              </w:rPr>
            </w:pPr>
            <w:r>
              <w:rPr>
                <w:rFonts w:ascii="Constantia"/>
                <w:sz w:val="16"/>
              </w:rPr>
              <w:t>(0.0041)</w:t>
            </w:r>
          </w:p>
        </w:tc>
        <w:tc>
          <w:tcPr>
            <w:tcW w:w="857" w:type="dxa"/>
          </w:tcPr>
          <w:p>
            <w:pPr>
              <w:pStyle w:val="TableParagraph"/>
              <w:spacing w:before="13"/>
              <w:ind w:right="31"/>
              <w:jc w:val="right"/>
              <w:rPr>
                <w:rFonts w:ascii="Constantia"/>
                <w:sz w:val="16"/>
              </w:rPr>
            </w:pPr>
            <w:r>
              <w:rPr>
                <w:rFonts w:ascii="Constantia"/>
                <w:sz w:val="16"/>
              </w:rPr>
              <w:t>(0.0042)</w:t>
            </w:r>
          </w:p>
        </w:tc>
      </w:tr>
      <w:tr>
        <w:trPr>
          <w:trHeight w:val="293" w:hRule="exact"/>
        </w:trPr>
        <w:tc>
          <w:tcPr>
            <w:tcW w:w="3824" w:type="dxa"/>
          </w:tcPr>
          <w:p>
            <w:pPr>
              <w:pStyle w:val="TableParagraph"/>
              <w:spacing w:before="15"/>
              <w:ind w:left="30"/>
              <w:jc w:val="left"/>
              <w:rPr>
                <w:rFonts w:ascii="Constantia" w:hAnsi="Constantia"/>
                <w:sz w:val="19"/>
              </w:rPr>
            </w:pPr>
            <w:r>
              <w:rPr>
                <w:rFonts w:ascii="Constantia" w:hAnsi="Constantia"/>
                <w:sz w:val="19"/>
              </w:rPr>
              <w:t>Choq. Estruct. Asign. De Ing. Fisc. No Gasíf.</w:t>
            </w:r>
          </w:p>
        </w:tc>
        <w:tc>
          <w:tcPr>
            <w:tcW w:w="1017" w:type="dxa"/>
          </w:tcPr>
          <w:p>
            <w:pPr>
              <w:pStyle w:val="TableParagraph"/>
              <w:spacing w:line="252" w:lineRule="exact"/>
              <w:ind w:right="110"/>
              <w:jc w:val="right"/>
              <w:rPr>
                <w:rFonts w:ascii="Constantia"/>
                <w:sz w:val="21"/>
              </w:rPr>
            </w:pPr>
            <w:r>
              <w:rPr>
                <w:rFonts w:ascii="Constantia"/>
                <w:sz w:val="21"/>
              </w:rPr>
              <w:t>0.0062*</w:t>
            </w:r>
          </w:p>
        </w:tc>
        <w:tc>
          <w:tcPr>
            <w:tcW w:w="1075" w:type="dxa"/>
          </w:tcPr>
          <w:p>
            <w:pPr>
              <w:pStyle w:val="TableParagraph"/>
              <w:spacing w:line="252" w:lineRule="exact"/>
              <w:ind w:right="163"/>
              <w:jc w:val="right"/>
              <w:rPr>
                <w:rFonts w:ascii="Constantia"/>
                <w:sz w:val="21"/>
              </w:rPr>
            </w:pPr>
            <w:r>
              <w:rPr>
                <w:rFonts w:ascii="Constantia"/>
                <w:sz w:val="21"/>
              </w:rPr>
              <w:t>-0.0020</w:t>
            </w:r>
          </w:p>
        </w:tc>
        <w:tc>
          <w:tcPr>
            <w:tcW w:w="1016" w:type="dxa"/>
          </w:tcPr>
          <w:p>
            <w:pPr>
              <w:pStyle w:val="TableParagraph"/>
              <w:spacing w:line="252" w:lineRule="exact"/>
              <w:ind w:left="175"/>
              <w:jc w:val="left"/>
              <w:rPr>
                <w:rFonts w:ascii="Constantia"/>
                <w:sz w:val="21"/>
              </w:rPr>
            </w:pPr>
            <w:r>
              <w:rPr>
                <w:rFonts w:ascii="Constantia"/>
                <w:sz w:val="21"/>
              </w:rPr>
              <w:t>-0.0029</w:t>
            </w:r>
          </w:p>
        </w:tc>
        <w:tc>
          <w:tcPr>
            <w:tcW w:w="1030" w:type="dxa"/>
          </w:tcPr>
          <w:p>
            <w:pPr>
              <w:pStyle w:val="TableParagraph"/>
              <w:spacing w:line="252" w:lineRule="exact"/>
              <w:ind w:right="179"/>
              <w:jc w:val="right"/>
              <w:rPr>
                <w:rFonts w:ascii="Constantia"/>
                <w:sz w:val="21"/>
              </w:rPr>
            </w:pPr>
            <w:r>
              <w:rPr>
                <w:rFonts w:ascii="Constantia"/>
                <w:sz w:val="21"/>
              </w:rPr>
              <w:t>0.0018</w:t>
            </w:r>
          </w:p>
        </w:tc>
        <w:tc>
          <w:tcPr>
            <w:tcW w:w="857" w:type="dxa"/>
          </w:tcPr>
          <w:p>
            <w:pPr>
              <w:pStyle w:val="TableParagraph"/>
              <w:spacing w:line="252" w:lineRule="exact"/>
              <w:ind w:right="33"/>
              <w:jc w:val="right"/>
              <w:rPr>
                <w:rFonts w:ascii="Constantia"/>
                <w:sz w:val="21"/>
              </w:rPr>
            </w:pPr>
            <w:r>
              <w:rPr>
                <w:rFonts w:ascii="Constantia"/>
                <w:sz w:val="21"/>
              </w:rPr>
              <w:t>0.0013</w:t>
            </w:r>
          </w:p>
        </w:tc>
      </w:tr>
      <w:tr>
        <w:trPr>
          <w:trHeight w:val="243" w:hRule="exact"/>
        </w:trPr>
        <w:tc>
          <w:tcPr>
            <w:tcW w:w="3824" w:type="dxa"/>
          </w:tcPr>
          <w:p>
            <w:pPr/>
          </w:p>
        </w:tc>
        <w:tc>
          <w:tcPr>
            <w:tcW w:w="1017" w:type="dxa"/>
          </w:tcPr>
          <w:p>
            <w:pPr>
              <w:pStyle w:val="TableParagraph"/>
              <w:spacing w:before="13"/>
              <w:ind w:right="113"/>
              <w:jc w:val="right"/>
              <w:rPr>
                <w:rFonts w:ascii="Constantia"/>
                <w:sz w:val="16"/>
              </w:rPr>
            </w:pPr>
            <w:r>
              <w:rPr>
                <w:rFonts w:ascii="Constantia"/>
                <w:sz w:val="16"/>
              </w:rPr>
              <w:t>(0.0030)</w:t>
            </w:r>
          </w:p>
        </w:tc>
        <w:tc>
          <w:tcPr>
            <w:tcW w:w="1075" w:type="dxa"/>
          </w:tcPr>
          <w:p>
            <w:pPr>
              <w:pStyle w:val="TableParagraph"/>
              <w:spacing w:before="13"/>
              <w:ind w:right="169"/>
              <w:jc w:val="right"/>
              <w:rPr>
                <w:rFonts w:ascii="Constantia"/>
                <w:sz w:val="16"/>
              </w:rPr>
            </w:pPr>
            <w:r>
              <w:rPr>
                <w:rFonts w:ascii="Constantia"/>
                <w:sz w:val="16"/>
              </w:rPr>
              <w:t>(0.0029)</w:t>
            </w:r>
          </w:p>
        </w:tc>
        <w:tc>
          <w:tcPr>
            <w:tcW w:w="1016" w:type="dxa"/>
          </w:tcPr>
          <w:p>
            <w:pPr>
              <w:pStyle w:val="TableParagraph"/>
              <w:spacing w:before="13"/>
              <w:ind w:right="164"/>
              <w:jc w:val="right"/>
              <w:rPr>
                <w:rFonts w:ascii="Constantia"/>
                <w:sz w:val="16"/>
              </w:rPr>
            </w:pPr>
            <w:r>
              <w:rPr>
                <w:rFonts w:ascii="Constantia"/>
                <w:sz w:val="16"/>
              </w:rPr>
              <w:t>(0.0034)</w:t>
            </w:r>
          </w:p>
        </w:tc>
        <w:tc>
          <w:tcPr>
            <w:tcW w:w="1030" w:type="dxa"/>
          </w:tcPr>
          <w:p>
            <w:pPr>
              <w:pStyle w:val="TableParagraph"/>
              <w:spacing w:before="13"/>
              <w:ind w:left="230"/>
              <w:jc w:val="left"/>
              <w:rPr>
                <w:rFonts w:ascii="Constantia"/>
                <w:sz w:val="16"/>
              </w:rPr>
            </w:pPr>
            <w:r>
              <w:rPr>
                <w:rFonts w:ascii="Constantia"/>
                <w:sz w:val="16"/>
              </w:rPr>
              <w:t>(0.0040)</w:t>
            </w:r>
          </w:p>
        </w:tc>
        <w:tc>
          <w:tcPr>
            <w:tcW w:w="857" w:type="dxa"/>
          </w:tcPr>
          <w:p>
            <w:pPr>
              <w:pStyle w:val="TableParagraph"/>
              <w:spacing w:before="13"/>
              <w:ind w:right="31"/>
              <w:jc w:val="right"/>
              <w:rPr>
                <w:rFonts w:ascii="Constantia"/>
                <w:sz w:val="16"/>
              </w:rPr>
            </w:pPr>
            <w:r>
              <w:rPr>
                <w:rFonts w:ascii="Constantia"/>
                <w:sz w:val="16"/>
              </w:rPr>
              <w:t>(0.0042)</w:t>
            </w:r>
          </w:p>
        </w:tc>
      </w:tr>
      <w:tr>
        <w:trPr>
          <w:trHeight w:val="293" w:hRule="exact"/>
        </w:trPr>
        <w:tc>
          <w:tcPr>
            <w:tcW w:w="3824" w:type="dxa"/>
          </w:tcPr>
          <w:p>
            <w:pPr>
              <w:pStyle w:val="TableParagraph"/>
              <w:spacing w:before="15"/>
              <w:ind w:left="30"/>
              <w:jc w:val="left"/>
              <w:rPr>
                <w:rFonts w:ascii="Constantia"/>
                <w:sz w:val="19"/>
              </w:rPr>
            </w:pPr>
            <w:r>
              <w:rPr>
                <w:rFonts w:ascii="Constantia"/>
                <w:sz w:val="19"/>
              </w:rPr>
              <w:t>Choq. Estruct. De la misma variable</w:t>
            </w:r>
          </w:p>
        </w:tc>
        <w:tc>
          <w:tcPr>
            <w:tcW w:w="1017" w:type="dxa"/>
          </w:tcPr>
          <w:p>
            <w:pPr>
              <w:pStyle w:val="TableParagraph"/>
              <w:spacing w:line="252" w:lineRule="exact"/>
              <w:ind w:right="107"/>
              <w:jc w:val="right"/>
              <w:rPr>
                <w:rFonts w:ascii="Constantia"/>
                <w:sz w:val="21"/>
              </w:rPr>
            </w:pPr>
            <w:r>
              <w:rPr>
                <w:rFonts w:ascii="Constantia"/>
                <w:sz w:val="21"/>
              </w:rPr>
              <w:t>-0.0039</w:t>
            </w:r>
          </w:p>
        </w:tc>
        <w:tc>
          <w:tcPr>
            <w:tcW w:w="1075" w:type="dxa"/>
          </w:tcPr>
          <w:p>
            <w:pPr>
              <w:pStyle w:val="TableParagraph"/>
              <w:spacing w:line="252" w:lineRule="exact"/>
              <w:ind w:right="163"/>
              <w:jc w:val="right"/>
              <w:rPr>
                <w:rFonts w:ascii="Constantia"/>
                <w:sz w:val="21"/>
              </w:rPr>
            </w:pPr>
            <w:r>
              <w:rPr>
                <w:rFonts w:ascii="Constantia"/>
                <w:sz w:val="21"/>
              </w:rPr>
              <w:t>-0.0036</w:t>
            </w:r>
          </w:p>
        </w:tc>
        <w:tc>
          <w:tcPr>
            <w:tcW w:w="1016" w:type="dxa"/>
          </w:tcPr>
          <w:p>
            <w:pPr>
              <w:pStyle w:val="TableParagraph"/>
              <w:spacing w:line="252" w:lineRule="exact"/>
              <w:ind w:left="205"/>
              <w:jc w:val="left"/>
              <w:rPr>
                <w:rFonts w:ascii="Constantia"/>
                <w:sz w:val="21"/>
              </w:rPr>
            </w:pPr>
            <w:r>
              <w:rPr>
                <w:rFonts w:ascii="Constantia"/>
                <w:sz w:val="21"/>
              </w:rPr>
              <w:t>-0.0041</w:t>
            </w:r>
          </w:p>
        </w:tc>
        <w:tc>
          <w:tcPr>
            <w:tcW w:w="1030" w:type="dxa"/>
          </w:tcPr>
          <w:p>
            <w:pPr>
              <w:pStyle w:val="TableParagraph"/>
              <w:spacing w:line="252" w:lineRule="exact"/>
              <w:ind w:left="210"/>
              <w:jc w:val="left"/>
              <w:rPr>
                <w:rFonts w:ascii="Constantia"/>
                <w:sz w:val="21"/>
              </w:rPr>
            </w:pPr>
            <w:r>
              <w:rPr>
                <w:rFonts w:ascii="Constantia"/>
                <w:sz w:val="21"/>
              </w:rPr>
              <w:t>-0.0021</w:t>
            </w:r>
          </w:p>
        </w:tc>
        <w:tc>
          <w:tcPr>
            <w:tcW w:w="857" w:type="dxa"/>
          </w:tcPr>
          <w:p>
            <w:pPr>
              <w:pStyle w:val="TableParagraph"/>
              <w:spacing w:line="252" w:lineRule="exact"/>
              <w:ind w:right="27"/>
              <w:jc w:val="right"/>
              <w:rPr>
                <w:rFonts w:ascii="Constantia"/>
                <w:sz w:val="21"/>
              </w:rPr>
            </w:pPr>
            <w:r>
              <w:rPr>
                <w:rFonts w:ascii="Constantia"/>
                <w:sz w:val="21"/>
              </w:rPr>
              <w:t>0.0115*</w:t>
            </w:r>
          </w:p>
        </w:tc>
      </w:tr>
      <w:tr>
        <w:trPr>
          <w:trHeight w:val="231" w:hRule="exact"/>
        </w:trPr>
        <w:tc>
          <w:tcPr>
            <w:tcW w:w="3824" w:type="dxa"/>
            <w:tcBorders>
              <w:bottom w:val="double" w:sz="4" w:space="0" w:color="000000"/>
            </w:tcBorders>
          </w:tcPr>
          <w:p>
            <w:pPr/>
          </w:p>
        </w:tc>
        <w:tc>
          <w:tcPr>
            <w:tcW w:w="1017" w:type="dxa"/>
            <w:tcBorders>
              <w:bottom w:val="double" w:sz="4" w:space="0" w:color="000000"/>
            </w:tcBorders>
          </w:tcPr>
          <w:p>
            <w:pPr>
              <w:pStyle w:val="TableParagraph"/>
              <w:spacing w:before="13"/>
              <w:ind w:right="113"/>
              <w:jc w:val="right"/>
              <w:rPr>
                <w:rFonts w:ascii="Constantia"/>
                <w:sz w:val="16"/>
              </w:rPr>
            </w:pPr>
            <w:r>
              <w:rPr>
                <w:rFonts w:ascii="Constantia"/>
                <w:sz w:val="16"/>
              </w:rPr>
              <w:t>(0.0040)</w:t>
            </w:r>
          </w:p>
        </w:tc>
        <w:tc>
          <w:tcPr>
            <w:tcW w:w="1075" w:type="dxa"/>
            <w:tcBorders>
              <w:bottom w:val="double" w:sz="4" w:space="0" w:color="000000"/>
            </w:tcBorders>
          </w:tcPr>
          <w:p>
            <w:pPr>
              <w:pStyle w:val="TableParagraph"/>
              <w:spacing w:before="13"/>
              <w:ind w:right="168"/>
              <w:jc w:val="right"/>
              <w:rPr>
                <w:rFonts w:ascii="Constantia"/>
                <w:sz w:val="16"/>
              </w:rPr>
            </w:pPr>
            <w:r>
              <w:rPr>
                <w:rFonts w:ascii="Constantia"/>
                <w:sz w:val="16"/>
              </w:rPr>
              <w:t>(0.0032)</w:t>
            </w:r>
          </w:p>
        </w:tc>
        <w:tc>
          <w:tcPr>
            <w:tcW w:w="1016" w:type="dxa"/>
            <w:tcBorders>
              <w:bottom w:val="double" w:sz="4" w:space="0" w:color="000000"/>
            </w:tcBorders>
          </w:tcPr>
          <w:p>
            <w:pPr>
              <w:pStyle w:val="TableParagraph"/>
              <w:spacing w:before="13"/>
              <w:ind w:right="164"/>
              <w:jc w:val="right"/>
              <w:rPr>
                <w:rFonts w:ascii="Constantia"/>
                <w:sz w:val="16"/>
              </w:rPr>
            </w:pPr>
            <w:r>
              <w:rPr>
                <w:rFonts w:ascii="Constantia"/>
                <w:sz w:val="16"/>
              </w:rPr>
              <w:t>(0.0035)</w:t>
            </w:r>
          </w:p>
        </w:tc>
        <w:tc>
          <w:tcPr>
            <w:tcW w:w="1030" w:type="dxa"/>
            <w:tcBorders>
              <w:bottom w:val="double" w:sz="4" w:space="0" w:color="000000"/>
            </w:tcBorders>
          </w:tcPr>
          <w:p>
            <w:pPr>
              <w:pStyle w:val="TableParagraph"/>
              <w:spacing w:before="13"/>
              <w:ind w:left="230"/>
              <w:jc w:val="left"/>
              <w:rPr>
                <w:rFonts w:ascii="Constantia"/>
                <w:sz w:val="16"/>
              </w:rPr>
            </w:pPr>
            <w:r>
              <w:rPr>
                <w:rFonts w:ascii="Constantia"/>
                <w:sz w:val="16"/>
              </w:rPr>
              <w:t>(0.0040)</w:t>
            </w:r>
          </w:p>
        </w:tc>
        <w:tc>
          <w:tcPr>
            <w:tcW w:w="857" w:type="dxa"/>
            <w:tcBorders>
              <w:bottom w:val="double" w:sz="4" w:space="0" w:color="000000"/>
            </w:tcBorders>
          </w:tcPr>
          <w:p>
            <w:pPr>
              <w:pStyle w:val="TableParagraph"/>
              <w:spacing w:before="13"/>
              <w:ind w:right="31"/>
              <w:jc w:val="right"/>
              <w:rPr>
                <w:rFonts w:ascii="Constantia"/>
                <w:sz w:val="16"/>
              </w:rPr>
            </w:pPr>
            <w:r>
              <w:rPr>
                <w:rFonts w:ascii="Constantia"/>
                <w:sz w:val="16"/>
              </w:rPr>
              <w:t>(0.0042)</w:t>
            </w:r>
          </w:p>
        </w:tc>
      </w:tr>
      <w:tr>
        <w:trPr>
          <w:trHeight w:val="285" w:hRule="exact"/>
        </w:trPr>
        <w:tc>
          <w:tcPr>
            <w:tcW w:w="3824" w:type="dxa"/>
            <w:tcBorders>
              <w:top w:val="double" w:sz="4" w:space="0" w:color="000000"/>
            </w:tcBorders>
          </w:tcPr>
          <w:p>
            <w:pPr>
              <w:pStyle w:val="TableParagraph"/>
              <w:spacing w:before="11"/>
              <w:ind w:left="30"/>
              <w:jc w:val="left"/>
              <w:rPr>
                <w:rFonts w:ascii="Constantia" w:hAnsi="Constantia"/>
                <w:sz w:val="19"/>
              </w:rPr>
            </w:pPr>
            <w:r>
              <w:rPr>
                <w:rFonts w:ascii="Constantia" w:hAnsi="Constantia"/>
                <w:sz w:val="19"/>
              </w:rPr>
              <w:t>Nº de variables de impulso</w:t>
            </w:r>
          </w:p>
        </w:tc>
        <w:tc>
          <w:tcPr>
            <w:tcW w:w="1017" w:type="dxa"/>
            <w:tcBorders>
              <w:top w:val="double" w:sz="4" w:space="0" w:color="000000"/>
            </w:tcBorders>
          </w:tcPr>
          <w:p>
            <w:pPr>
              <w:pStyle w:val="TableParagraph"/>
              <w:spacing w:before="11"/>
              <w:ind w:right="111"/>
              <w:jc w:val="right"/>
              <w:rPr>
                <w:rFonts w:ascii="Constantia"/>
                <w:sz w:val="19"/>
              </w:rPr>
            </w:pPr>
            <w:r>
              <w:rPr>
                <w:rFonts w:ascii="Constantia"/>
                <w:w w:val="101"/>
                <w:sz w:val="19"/>
              </w:rPr>
              <w:t>1</w:t>
            </w:r>
          </w:p>
        </w:tc>
        <w:tc>
          <w:tcPr>
            <w:tcW w:w="1075" w:type="dxa"/>
            <w:tcBorders>
              <w:top w:val="double" w:sz="4" w:space="0" w:color="000000"/>
            </w:tcBorders>
          </w:tcPr>
          <w:p>
            <w:pPr>
              <w:pStyle w:val="TableParagraph"/>
              <w:spacing w:before="11"/>
              <w:ind w:right="166"/>
              <w:jc w:val="right"/>
              <w:rPr>
                <w:rFonts w:ascii="Constantia"/>
                <w:sz w:val="19"/>
              </w:rPr>
            </w:pPr>
            <w:r>
              <w:rPr>
                <w:rFonts w:ascii="Constantia"/>
                <w:w w:val="101"/>
                <w:sz w:val="19"/>
              </w:rPr>
              <w:t>1</w:t>
            </w:r>
          </w:p>
        </w:tc>
        <w:tc>
          <w:tcPr>
            <w:tcW w:w="1016" w:type="dxa"/>
            <w:tcBorders>
              <w:top w:val="double" w:sz="4" w:space="0" w:color="000000"/>
            </w:tcBorders>
          </w:tcPr>
          <w:p>
            <w:pPr>
              <w:pStyle w:val="TableParagraph"/>
              <w:spacing w:before="11"/>
              <w:ind w:right="163"/>
              <w:jc w:val="right"/>
              <w:rPr>
                <w:rFonts w:ascii="Constantia"/>
                <w:sz w:val="19"/>
              </w:rPr>
            </w:pPr>
            <w:r>
              <w:rPr>
                <w:rFonts w:ascii="Constantia"/>
                <w:w w:val="101"/>
                <w:sz w:val="19"/>
              </w:rPr>
              <w:t>1</w:t>
            </w:r>
          </w:p>
        </w:tc>
        <w:tc>
          <w:tcPr>
            <w:tcW w:w="1030" w:type="dxa"/>
            <w:tcBorders>
              <w:top w:val="double" w:sz="4" w:space="0" w:color="000000"/>
            </w:tcBorders>
          </w:tcPr>
          <w:p>
            <w:pPr>
              <w:pStyle w:val="TableParagraph"/>
              <w:spacing w:before="11"/>
              <w:ind w:right="182"/>
              <w:jc w:val="right"/>
              <w:rPr>
                <w:rFonts w:ascii="Constantia"/>
                <w:sz w:val="19"/>
              </w:rPr>
            </w:pPr>
            <w:r>
              <w:rPr>
                <w:rFonts w:ascii="Constantia"/>
                <w:w w:val="101"/>
                <w:sz w:val="19"/>
              </w:rPr>
              <w:t>1</w:t>
            </w:r>
          </w:p>
        </w:tc>
        <w:tc>
          <w:tcPr>
            <w:tcW w:w="857" w:type="dxa"/>
            <w:tcBorders>
              <w:top w:val="double" w:sz="4" w:space="0" w:color="000000"/>
            </w:tcBorders>
          </w:tcPr>
          <w:p>
            <w:pPr>
              <w:pStyle w:val="TableParagraph"/>
              <w:spacing w:before="11"/>
              <w:ind w:right="26"/>
              <w:jc w:val="right"/>
              <w:rPr>
                <w:rFonts w:ascii="Constantia"/>
                <w:sz w:val="19"/>
              </w:rPr>
            </w:pPr>
            <w:r>
              <w:rPr>
                <w:rFonts w:ascii="Constantia"/>
                <w:w w:val="101"/>
                <w:sz w:val="19"/>
              </w:rPr>
              <w:t>0</w:t>
            </w:r>
          </w:p>
        </w:tc>
      </w:tr>
      <w:tr>
        <w:trPr>
          <w:trHeight w:val="240" w:hRule="exact"/>
        </w:trPr>
        <w:tc>
          <w:tcPr>
            <w:tcW w:w="3824" w:type="dxa"/>
            <w:tcBorders>
              <w:bottom w:val="double" w:sz="4" w:space="0" w:color="000000"/>
            </w:tcBorders>
          </w:tcPr>
          <w:p>
            <w:pPr>
              <w:pStyle w:val="TableParagraph"/>
              <w:spacing w:line="225" w:lineRule="exact"/>
              <w:ind w:left="30"/>
              <w:jc w:val="left"/>
              <w:rPr>
                <w:rFonts w:ascii="Constantia" w:hAnsi="Constantia"/>
                <w:sz w:val="19"/>
              </w:rPr>
            </w:pPr>
            <w:r>
              <w:rPr>
                <w:rFonts w:ascii="Constantia" w:hAnsi="Constantia"/>
                <w:sz w:val="19"/>
              </w:rPr>
              <w:t>Incluye término autoregresivo</w:t>
            </w:r>
          </w:p>
        </w:tc>
        <w:tc>
          <w:tcPr>
            <w:tcW w:w="1017" w:type="dxa"/>
            <w:tcBorders>
              <w:bottom w:val="double" w:sz="4" w:space="0" w:color="000000"/>
            </w:tcBorders>
          </w:tcPr>
          <w:p>
            <w:pPr>
              <w:pStyle w:val="TableParagraph"/>
              <w:spacing w:line="225" w:lineRule="exact"/>
              <w:ind w:right="174"/>
              <w:jc w:val="right"/>
              <w:rPr>
                <w:rFonts w:ascii="Constantia"/>
                <w:sz w:val="19"/>
              </w:rPr>
            </w:pPr>
            <w:r>
              <w:rPr>
                <w:rFonts w:ascii="Constantia"/>
                <w:sz w:val="19"/>
              </w:rPr>
              <w:t>Si</w:t>
            </w:r>
          </w:p>
        </w:tc>
        <w:tc>
          <w:tcPr>
            <w:tcW w:w="1075" w:type="dxa"/>
            <w:tcBorders>
              <w:bottom w:val="double" w:sz="4" w:space="0" w:color="000000"/>
            </w:tcBorders>
          </w:tcPr>
          <w:p>
            <w:pPr>
              <w:pStyle w:val="TableParagraph"/>
              <w:spacing w:line="225" w:lineRule="exact"/>
              <w:ind w:right="229"/>
              <w:jc w:val="right"/>
              <w:rPr>
                <w:rFonts w:ascii="Constantia"/>
                <w:sz w:val="19"/>
              </w:rPr>
            </w:pPr>
            <w:r>
              <w:rPr>
                <w:rFonts w:ascii="Constantia"/>
                <w:sz w:val="19"/>
              </w:rPr>
              <w:t>Si</w:t>
            </w:r>
          </w:p>
        </w:tc>
        <w:tc>
          <w:tcPr>
            <w:tcW w:w="1016" w:type="dxa"/>
            <w:tcBorders>
              <w:bottom w:val="double" w:sz="4" w:space="0" w:color="000000"/>
            </w:tcBorders>
          </w:tcPr>
          <w:p>
            <w:pPr>
              <w:pStyle w:val="TableParagraph"/>
              <w:spacing w:line="225" w:lineRule="exact"/>
              <w:ind w:left="539"/>
              <w:jc w:val="left"/>
              <w:rPr>
                <w:rFonts w:ascii="Constantia"/>
                <w:sz w:val="19"/>
              </w:rPr>
            </w:pPr>
            <w:r>
              <w:rPr>
                <w:rFonts w:ascii="Constantia"/>
                <w:sz w:val="19"/>
              </w:rPr>
              <w:t>No</w:t>
            </w:r>
          </w:p>
        </w:tc>
        <w:tc>
          <w:tcPr>
            <w:tcW w:w="1030" w:type="dxa"/>
            <w:tcBorders>
              <w:bottom w:val="double" w:sz="4" w:space="0" w:color="000000"/>
            </w:tcBorders>
          </w:tcPr>
          <w:p>
            <w:pPr>
              <w:pStyle w:val="TableParagraph"/>
              <w:spacing w:line="225" w:lineRule="exact"/>
              <w:ind w:right="252"/>
              <w:jc w:val="right"/>
              <w:rPr>
                <w:rFonts w:ascii="Constantia"/>
                <w:sz w:val="19"/>
              </w:rPr>
            </w:pPr>
            <w:r>
              <w:rPr>
                <w:rFonts w:ascii="Constantia"/>
                <w:sz w:val="19"/>
              </w:rPr>
              <w:t>No</w:t>
            </w:r>
          </w:p>
        </w:tc>
        <w:tc>
          <w:tcPr>
            <w:tcW w:w="857" w:type="dxa"/>
            <w:tcBorders>
              <w:bottom w:val="double" w:sz="4" w:space="0" w:color="000000"/>
            </w:tcBorders>
          </w:tcPr>
          <w:p>
            <w:pPr>
              <w:pStyle w:val="TableParagraph"/>
              <w:spacing w:line="225" w:lineRule="exact"/>
              <w:ind w:right="100"/>
              <w:jc w:val="right"/>
              <w:rPr>
                <w:rFonts w:ascii="Constantia"/>
                <w:sz w:val="19"/>
              </w:rPr>
            </w:pPr>
            <w:r>
              <w:rPr>
                <w:rFonts w:ascii="Constantia"/>
                <w:sz w:val="19"/>
              </w:rPr>
              <w:t>No</w:t>
            </w:r>
          </w:p>
        </w:tc>
      </w:tr>
      <w:tr>
        <w:trPr>
          <w:trHeight w:val="285" w:hRule="exact"/>
        </w:trPr>
        <w:tc>
          <w:tcPr>
            <w:tcW w:w="3824" w:type="dxa"/>
            <w:tcBorders>
              <w:top w:val="double" w:sz="4" w:space="0" w:color="000000"/>
            </w:tcBorders>
          </w:tcPr>
          <w:p>
            <w:pPr>
              <w:pStyle w:val="TableParagraph"/>
              <w:spacing w:before="11"/>
              <w:ind w:left="30"/>
              <w:jc w:val="left"/>
              <w:rPr>
                <w:rFonts w:ascii="Constantia"/>
                <w:sz w:val="19"/>
              </w:rPr>
            </w:pPr>
            <w:r>
              <w:rPr>
                <w:rFonts w:ascii="Constantia"/>
                <w:sz w:val="19"/>
              </w:rPr>
              <w:t>R2</w:t>
            </w:r>
          </w:p>
        </w:tc>
        <w:tc>
          <w:tcPr>
            <w:tcW w:w="1017" w:type="dxa"/>
            <w:tcBorders>
              <w:top w:val="double" w:sz="4" w:space="0" w:color="000000"/>
            </w:tcBorders>
          </w:tcPr>
          <w:p>
            <w:pPr>
              <w:pStyle w:val="TableParagraph"/>
              <w:spacing w:before="11"/>
              <w:ind w:right="179"/>
              <w:jc w:val="right"/>
              <w:rPr>
                <w:rFonts w:ascii="Constantia"/>
                <w:sz w:val="19"/>
              </w:rPr>
            </w:pPr>
            <w:r>
              <w:rPr>
                <w:rFonts w:ascii="Constantia"/>
                <w:sz w:val="19"/>
              </w:rPr>
              <w:t>0.52</w:t>
            </w:r>
          </w:p>
        </w:tc>
        <w:tc>
          <w:tcPr>
            <w:tcW w:w="1075" w:type="dxa"/>
            <w:tcBorders>
              <w:top w:val="double" w:sz="4" w:space="0" w:color="000000"/>
            </w:tcBorders>
          </w:tcPr>
          <w:p>
            <w:pPr>
              <w:pStyle w:val="TableParagraph"/>
              <w:spacing w:before="11"/>
              <w:ind w:left="503"/>
              <w:jc w:val="left"/>
              <w:rPr>
                <w:rFonts w:ascii="Constantia"/>
                <w:sz w:val="19"/>
              </w:rPr>
            </w:pPr>
            <w:r>
              <w:rPr>
                <w:rFonts w:ascii="Constantia"/>
                <w:sz w:val="19"/>
              </w:rPr>
              <w:t>0.57</w:t>
            </w:r>
          </w:p>
        </w:tc>
        <w:tc>
          <w:tcPr>
            <w:tcW w:w="1016" w:type="dxa"/>
            <w:tcBorders>
              <w:top w:val="double" w:sz="4" w:space="0" w:color="000000"/>
            </w:tcBorders>
          </w:tcPr>
          <w:p>
            <w:pPr>
              <w:pStyle w:val="TableParagraph"/>
              <w:spacing w:before="11"/>
              <w:ind w:right="229"/>
              <w:jc w:val="right"/>
              <w:rPr>
                <w:rFonts w:ascii="Constantia"/>
                <w:sz w:val="19"/>
              </w:rPr>
            </w:pPr>
            <w:r>
              <w:rPr>
                <w:rFonts w:ascii="Constantia"/>
                <w:sz w:val="19"/>
              </w:rPr>
              <w:t>0.49</w:t>
            </w:r>
          </w:p>
        </w:tc>
        <w:tc>
          <w:tcPr>
            <w:tcW w:w="1030" w:type="dxa"/>
            <w:tcBorders>
              <w:top w:val="double" w:sz="4" w:space="0" w:color="000000"/>
            </w:tcBorders>
          </w:tcPr>
          <w:p>
            <w:pPr>
              <w:pStyle w:val="TableParagraph"/>
              <w:spacing w:before="11"/>
              <w:ind w:left="432"/>
              <w:jc w:val="left"/>
              <w:rPr>
                <w:rFonts w:ascii="Constantia"/>
                <w:sz w:val="19"/>
              </w:rPr>
            </w:pPr>
            <w:r>
              <w:rPr>
                <w:rFonts w:ascii="Constantia"/>
                <w:sz w:val="19"/>
              </w:rPr>
              <w:t>0.34</w:t>
            </w:r>
          </w:p>
        </w:tc>
        <w:tc>
          <w:tcPr>
            <w:tcW w:w="857" w:type="dxa"/>
            <w:tcBorders>
              <w:top w:val="double" w:sz="4" w:space="0" w:color="000000"/>
            </w:tcBorders>
          </w:tcPr>
          <w:p>
            <w:pPr>
              <w:pStyle w:val="TableParagraph"/>
              <w:spacing w:before="11"/>
              <w:ind w:right="95"/>
              <w:jc w:val="right"/>
              <w:rPr>
                <w:rFonts w:ascii="Constantia"/>
                <w:sz w:val="19"/>
              </w:rPr>
            </w:pPr>
            <w:r>
              <w:rPr>
                <w:rFonts w:ascii="Constantia"/>
                <w:sz w:val="19"/>
              </w:rPr>
              <w:t>0.29</w:t>
            </w:r>
          </w:p>
        </w:tc>
      </w:tr>
      <w:tr>
        <w:trPr>
          <w:trHeight w:val="253" w:hRule="exact"/>
        </w:trPr>
        <w:tc>
          <w:tcPr>
            <w:tcW w:w="3824" w:type="dxa"/>
          </w:tcPr>
          <w:p>
            <w:pPr>
              <w:pStyle w:val="TableParagraph"/>
              <w:spacing w:line="226" w:lineRule="exact"/>
              <w:ind w:left="30"/>
              <w:jc w:val="left"/>
              <w:rPr>
                <w:rFonts w:ascii="Constantia"/>
                <w:sz w:val="19"/>
              </w:rPr>
            </w:pPr>
            <w:r>
              <w:rPr>
                <w:rFonts w:ascii="Constantia"/>
                <w:sz w:val="19"/>
              </w:rPr>
              <w:t>DW</w:t>
            </w:r>
          </w:p>
        </w:tc>
        <w:tc>
          <w:tcPr>
            <w:tcW w:w="1017" w:type="dxa"/>
          </w:tcPr>
          <w:p>
            <w:pPr>
              <w:pStyle w:val="TableParagraph"/>
              <w:spacing w:line="226" w:lineRule="exact"/>
              <w:ind w:right="179"/>
              <w:jc w:val="right"/>
              <w:rPr>
                <w:rFonts w:ascii="Constantia"/>
                <w:sz w:val="19"/>
              </w:rPr>
            </w:pPr>
            <w:r>
              <w:rPr>
                <w:rFonts w:ascii="Constantia"/>
                <w:sz w:val="19"/>
              </w:rPr>
              <w:t>1.86</w:t>
            </w:r>
          </w:p>
        </w:tc>
        <w:tc>
          <w:tcPr>
            <w:tcW w:w="1075" w:type="dxa"/>
          </w:tcPr>
          <w:p>
            <w:pPr>
              <w:pStyle w:val="TableParagraph"/>
              <w:spacing w:line="226" w:lineRule="exact"/>
              <w:ind w:left="493"/>
              <w:jc w:val="left"/>
              <w:rPr>
                <w:rFonts w:ascii="Constantia"/>
                <w:sz w:val="19"/>
              </w:rPr>
            </w:pPr>
            <w:r>
              <w:rPr>
                <w:rFonts w:ascii="Constantia"/>
                <w:sz w:val="19"/>
              </w:rPr>
              <w:t>2.06</w:t>
            </w:r>
          </w:p>
        </w:tc>
        <w:tc>
          <w:tcPr>
            <w:tcW w:w="1016" w:type="dxa"/>
          </w:tcPr>
          <w:p>
            <w:pPr>
              <w:pStyle w:val="TableParagraph"/>
              <w:spacing w:line="226" w:lineRule="exact"/>
              <w:ind w:right="230"/>
              <w:jc w:val="right"/>
              <w:rPr>
                <w:rFonts w:ascii="Constantia"/>
                <w:sz w:val="19"/>
              </w:rPr>
            </w:pPr>
            <w:r>
              <w:rPr>
                <w:rFonts w:ascii="Constantia"/>
                <w:sz w:val="19"/>
              </w:rPr>
              <w:t>1.60</w:t>
            </w:r>
          </w:p>
        </w:tc>
        <w:tc>
          <w:tcPr>
            <w:tcW w:w="1030" w:type="dxa"/>
          </w:tcPr>
          <w:p>
            <w:pPr>
              <w:pStyle w:val="TableParagraph"/>
              <w:spacing w:line="226" w:lineRule="exact"/>
              <w:ind w:left="482"/>
              <w:jc w:val="left"/>
              <w:rPr>
                <w:rFonts w:ascii="Constantia"/>
                <w:sz w:val="19"/>
              </w:rPr>
            </w:pPr>
            <w:r>
              <w:rPr>
                <w:rFonts w:ascii="Constantia"/>
                <w:sz w:val="19"/>
              </w:rPr>
              <w:t>1.55</w:t>
            </w:r>
          </w:p>
        </w:tc>
        <w:tc>
          <w:tcPr>
            <w:tcW w:w="857" w:type="dxa"/>
          </w:tcPr>
          <w:p>
            <w:pPr>
              <w:pStyle w:val="TableParagraph"/>
              <w:spacing w:line="226" w:lineRule="exact"/>
              <w:ind w:right="97"/>
              <w:jc w:val="right"/>
              <w:rPr>
                <w:rFonts w:ascii="Constantia"/>
                <w:sz w:val="19"/>
              </w:rPr>
            </w:pPr>
            <w:r>
              <w:rPr>
                <w:rFonts w:ascii="Constantia"/>
                <w:sz w:val="19"/>
              </w:rPr>
              <w:t>1.72</w:t>
            </w:r>
          </w:p>
        </w:tc>
      </w:tr>
      <w:tr>
        <w:trPr>
          <w:trHeight w:val="278" w:hRule="exact"/>
        </w:trPr>
        <w:tc>
          <w:tcPr>
            <w:tcW w:w="3824" w:type="dxa"/>
          </w:tcPr>
          <w:p>
            <w:pPr>
              <w:pStyle w:val="TableParagraph"/>
              <w:spacing w:line="225" w:lineRule="exact"/>
              <w:ind w:left="30"/>
              <w:jc w:val="left"/>
              <w:rPr>
                <w:rFonts w:ascii="Constantia"/>
                <w:sz w:val="19"/>
              </w:rPr>
            </w:pPr>
            <w:r>
              <w:rPr>
                <w:rFonts w:ascii="Constantia"/>
                <w:sz w:val="19"/>
              </w:rPr>
              <w:t>Prob. ARCH (1)</w:t>
            </w:r>
          </w:p>
        </w:tc>
        <w:tc>
          <w:tcPr>
            <w:tcW w:w="1017" w:type="dxa"/>
          </w:tcPr>
          <w:p>
            <w:pPr>
              <w:pStyle w:val="TableParagraph"/>
              <w:spacing w:line="225" w:lineRule="exact"/>
              <w:ind w:right="185"/>
              <w:jc w:val="right"/>
              <w:rPr>
                <w:rFonts w:ascii="Constantia"/>
                <w:sz w:val="19"/>
              </w:rPr>
            </w:pPr>
            <w:r>
              <w:rPr>
                <w:rFonts w:ascii="Constantia"/>
                <w:sz w:val="19"/>
              </w:rPr>
              <w:t>0.73</w:t>
            </w:r>
          </w:p>
        </w:tc>
        <w:tc>
          <w:tcPr>
            <w:tcW w:w="1075" w:type="dxa"/>
          </w:tcPr>
          <w:p>
            <w:pPr>
              <w:pStyle w:val="TableParagraph"/>
              <w:spacing w:line="225" w:lineRule="exact"/>
              <w:ind w:left="503"/>
              <w:jc w:val="left"/>
              <w:rPr>
                <w:rFonts w:ascii="Constantia"/>
                <w:sz w:val="19"/>
              </w:rPr>
            </w:pPr>
            <w:r>
              <w:rPr>
                <w:rFonts w:ascii="Constantia"/>
                <w:sz w:val="19"/>
              </w:rPr>
              <w:t>0.55</w:t>
            </w:r>
          </w:p>
        </w:tc>
        <w:tc>
          <w:tcPr>
            <w:tcW w:w="1016" w:type="dxa"/>
          </w:tcPr>
          <w:p>
            <w:pPr>
              <w:pStyle w:val="TableParagraph"/>
              <w:spacing w:line="225" w:lineRule="exact"/>
              <w:ind w:right="229"/>
              <w:jc w:val="right"/>
              <w:rPr>
                <w:rFonts w:ascii="Constantia"/>
                <w:sz w:val="19"/>
              </w:rPr>
            </w:pPr>
            <w:r>
              <w:rPr>
                <w:rFonts w:ascii="Constantia"/>
                <w:sz w:val="19"/>
              </w:rPr>
              <w:t>0.49</w:t>
            </w:r>
          </w:p>
        </w:tc>
        <w:tc>
          <w:tcPr>
            <w:tcW w:w="1030" w:type="dxa"/>
          </w:tcPr>
          <w:p>
            <w:pPr>
              <w:pStyle w:val="TableParagraph"/>
              <w:spacing w:line="225" w:lineRule="exact"/>
              <w:ind w:left="462"/>
              <w:jc w:val="left"/>
              <w:rPr>
                <w:rFonts w:ascii="Constantia"/>
                <w:sz w:val="19"/>
              </w:rPr>
            </w:pPr>
            <w:r>
              <w:rPr>
                <w:rFonts w:ascii="Constantia"/>
                <w:sz w:val="19"/>
              </w:rPr>
              <w:t>0.10</w:t>
            </w:r>
          </w:p>
        </w:tc>
        <w:tc>
          <w:tcPr>
            <w:tcW w:w="857" w:type="dxa"/>
          </w:tcPr>
          <w:p>
            <w:pPr>
              <w:pStyle w:val="TableParagraph"/>
              <w:spacing w:line="225" w:lineRule="exact"/>
              <w:ind w:right="104"/>
              <w:jc w:val="right"/>
              <w:rPr>
                <w:rFonts w:ascii="Constantia"/>
                <w:sz w:val="19"/>
              </w:rPr>
            </w:pPr>
            <w:r>
              <w:rPr>
                <w:rFonts w:ascii="Constantia"/>
                <w:sz w:val="19"/>
              </w:rPr>
              <w:t>0.43</w:t>
            </w:r>
          </w:p>
        </w:tc>
      </w:tr>
      <w:tr>
        <w:trPr>
          <w:trHeight w:val="266" w:hRule="exact"/>
        </w:trPr>
        <w:tc>
          <w:tcPr>
            <w:tcW w:w="3824" w:type="dxa"/>
            <w:tcBorders>
              <w:bottom w:val="double" w:sz="4" w:space="0" w:color="000000"/>
            </w:tcBorders>
          </w:tcPr>
          <w:p>
            <w:pPr>
              <w:pStyle w:val="TableParagraph"/>
              <w:spacing w:before="19"/>
              <w:ind w:left="30"/>
              <w:jc w:val="left"/>
              <w:rPr>
                <w:rFonts w:ascii="Constantia"/>
                <w:sz w:val="19"/>
              </w:rPr>
            </w:pPr>
            <w:r>
              <w:rPr>
                <w:rFonts w:ascii="Constantia"/>
                <w:sz w:val="19"/>
              </w:rPr>
              <w:t>Prob. Jarque-Bera</w:t>
            </w:r>
          </w:p>
        </w:tc>
        <w:tc>
          <w:tcPr>
            <w:tcW w:w="1017" w:type="dxa"/>
            <w:tcBorders>
              <w:bottom w:val="double" w:sz="4" w:space="0" w:color="000000"/>
            </w:tcBorders>
          </w:tcPr>
          <w:p>
            <w:pPr>
              <w:pStyle w:val="TableParagraph"/>
              <w:spacing w:before="19"/>
              <w:ind w:right="179"/>
              <w:jc w:val="right"/>
              <w:rPr>
                <w:rFonts w:ascii="Constantia"/>
                <w:sz w:val="19"/>
              </w:rPr>
            </w:pPr>
            <w:r>
              <w:rPr>
                <w:rFonts w:ascii="Constantia"/>
                <w:sz w:val="19"/>
              </w:rPr>
              <w:t>0.80</w:t>
            </w:r>
          </w:p>
        </w:tc>
        <w:tc>
          <w:tcPr>
            <w:tcW w:w="1075" w:type="dxa"/>
            <w:tcBorders>
              <w:bottom w:val="double" w:sz="4" w:space="0" w:color="000000"/>
            </w:tcBorders>
          </w:tcPr>
          <w:p>
            <w:pPr>
              <w:pStyle w:val="TableParagraph"/>
              <w:spacing w:before="19"/>
              <w:ind w:left="493"/>
              <w:jc w:val="left"/>
              <w:rPr>
                <w:rFonts w:ascii="Constantia"/>
                <w:sz w:val="19"/>
              </w:rPr>
            </w:pPr>
            <w:r>
              <w:rPr>
                <w:rFonts w:ascii="Constantia"/>
                <w:sz w:val="19"/>
              </w:rPr>
              <w:t>0.78</w:t>
            </w:r>
          </w:p>
        </w:tc>
        <w:tc>
          <w:tcPr>
            <w:tcW w:w="1016" w:type="dxa"/>
            <w:tcBorders>
              <w:bottom w:val="double" w:sz="4" w:space="0" w:color="000000"/>
            </w:tcBorders>
          </w:tcPr>
          <w:p>
            <w:pPr>
              <w:pStyle w:val="TableParagraph"/>
              <w:spacing w:before="19"/>
              <w:ind w:right="230"/>
              <w:jc w:val="right"/>
              <w:rPr>
                <w:rFonts w:ascii="Constantia"/>
                <w:sz w:val="19"/>
              </w:rPr>
            </w:pPr>
            <w:r>
              <w:rPr>
                <w:rFonts w:ascii="Constantia"/>
                <w:sz w:val="19"/>
              </w:rPr>
              <w:t>0.60</w:t>
            </w:r>
          </w:p>
        </w:tc>
        <w:tc>
          <w:tcPr>
            <w:tcW w:w="1030" w:type="dxa"/>
            <w:tcBorders>
              <w:bottom w:val="double" w:sz="4" w:space="0" w:color="000000"/>
            </w:tcBorders>
          </w:tcPr>
          <w:p>
            <w:pPr>
              <w:pStyle w:val="TableParagraph"/>
              <w:spacing w:before="19"/>
              <w:ind w:left="472"/>
              <w:jc w:val="left"/>
              <w:rPr>
                <w:rFonts w:ascii="Constantia"/>
                <w:sz w:val="19"/>
              </w:rPr>
            </w:pPr>
            <w:r>
              <w:rPr>
                <w:rFonts w:ascii="Constantia"/>
                <w:sz w:val="19"/>
              </w:rPr>
              <w:t>0.71</w:t>
            </w:r>
          </w:p>
        </w:tc>
        <w:tc>
          <w:tcPr>
            <w:tcW w:w="857" w:type="dxa"/>
            <w:tcBorders>
              <w:bottom w:val="double" w:sz="4" w:space="0" w:color="000000"/>
            </w:tcBorders>
          </w:tcPr>
          <w:p>
            <w:pPr>
              <w:pStyle w:val="TableParagraph"/>
              <w:spacing w:before="19"/>
              <w:ind w:right="97"/>
              <w:jc w:val="right"/>
              <w:rPr>
                <w:rFonts w:ascii="Constantia"/>
                <w:sz w:val="19"/>
              </w:rPr>
            </w:pPr>
            <w:r>
              <w:rPr>
                <w:rFonts w:ascii="Constantia"/>
                <w:sz w:val="19"/>
              </w:rPr>
              <w:t>0.78</w:t>
            </w:r>
          </w:p>
        </w:tc>
      </w:tr>
    </w:tbl>
    <w:p>
      <w:pPr>
        <w:spacing w:before="4"/>
        <w:ind w:left="171" w:right="115" w:firstLine="0"/>
        <w:jc w:val="left"/>
        <w:rPr>
          <w:rFonts w:ascii="Constantia" w:hAnsi="Constantia"/>
          <w:sz w:val="16"/>
        </w:rPr>
      </w:pPr>
      <w:r>
        <w:rPr>
          <w:rFonts w:ascii="Constantia" w:hAnsi="Constantia"/>
          <w:sz w:val="16"/>
        </w:rPr>
        <w:t>Los errores estándares se encuentran entre paréntesis.</w:t>
      </w:r>
    </w:p>
    <w:p>
      <w:pPr>
        <w:spacing w:before="12"/>
        <w:ind w:left="102" w:right="115" w:firstLine="0"/>
        <w:jc w:val="left"/>
        <w:rPr>
          <w:sz w:val="20"/>
        </w:rPr>
      </w:pPr>
      <w:r>
        <w:rPr>
          <w:sz w:val="20"/>
        </w:rPr>
        <w:t>Fuente: Estimaciones propias con base en información del Banco Central de Bolivia (2012).</w:t>
      </w:r>
    </w:p>
    <w:p>
      <w:pPr>
        <w:spacing w:after="0"/>
        <w:jc w:val="left"/>
        <w:rPr>
          <w:sz w:val="20"/>
        </w:rPr>
        <w:sectPr>
          <w:pgSz w:w="12250" w:h="15850"/>
          <w:pgMar w:header="0" w:footer="977" w:top="1360" w:bottom="1220" w:left="1600" w:right="1560"/>
        </w:sectPr>
      </w:pPr>
    </w:p>
    <w:p>
      <w:pPr>
        <w:pStyle w:val="BodyText"/>
        <w:spacing w:before="48"/>
        <w:ind w:left="214" w:right="251"/>
        <w:jc w:val="center"/>
      </w:pPr>
      <w:r>
        <w:rPr/>
        <w:t>Anexo 4.8 D: Choques determinantes sobre el Balance global cíclic. Ajustado/ PIB</w:t>
      </w:r>
    </w:p>
    <w:p>
      <w:pPr>
        <w:spacing w:before="89" w:after="4"/>
        <w:ind w:left="420" w:right="448" w:firstLine="0"/>
        <w:jc w:val="center"/>
        <w:rPr>
          <w:rFonts w:ascii="Constantia" w:hAnsi="Constantia"/>
          <w:b/>
          <w:sz w:val="21"/>
        </w:rPr>
      </w:pPr>
      <w:r>
        <w:rPr>
          <w:rFonts w:ascii="Constantia" w:hAnsi="Constantia"/>
          <w:b/>
          <w:sz w:val="21"/>
        </w:rPr>
        <w:t>Variable dependiente: ∆ Balance fiscal global/ PIB</w:t>
      </w:r>
    </w:p>
    <w:p>
      <w:pPr>
        <w:pStyle w:val="BodyText"/>
        <w:spacing w:line="31" w:lineRule="exact"/>
        <w:ind w:left="135"/>
        <w:rPr>
          <w:rFonts w:ascii="Constantia"/>
          <w:sz w:val="3"/>
        </w:rPr>
      </w:pPr>
      <w:r>
        <w:rPr>
          <w:rFonts w:ascii="Constantia"/>
          <w:position w:val="0"/>
          <w:sz w:val="3"/>
        </w:rPr>
        <w:pict>
          <v:group style="width:441.55pt;height:1.6pt;mso-position-horizontal-relative:char;mso-position-vertical-relative:line" coordorigin="0,0" coordsize="8831,32">
            <v:line style="position:absolute" from="11,6" to="8820,6" stroked="true" strokeweight=".504060pt" strokecolor="#000000"/>
            <v:line style="position:absolute" from="6,6" to="8825,6" stroked="true" strokeweight=".504060pt" strokecolor="#000000"/>
            <v:line style="position:absolute" from="11,26" to="8820,26" stroked="true" strokeweight=".504060pt" strokecolor="#000000"/>
            <v:line style="position:absolute" from="6,26" to="8825,26" stroked="true" strokeweight=".504060pt" strokecolor="#000000"/>
          </v:group>
        </w:pict>
      </w:r>
      <w:r>
        <w:rPr>
          <w:rFonts w:ascii="Constantia"/>
          <w:position w:val="0"/>
          <w:sz w:val="3"/>
        </w:rPr>
      </w:r>
    </w:p>
    <w:p>
      <w:pPr>
        <w:spacing w:before="10" w:after="24"/>
        <w:ind w:left="5364" w:right="115" w:firstLine="0"/>
        <w:jc w:val="left"/>
        <w:rPr>
          <w:rFonts w:ascii="Constantia"/>
          <w:sz w:val="19"/>
        </w:rPr>
      </w:pPr>
      <w:r>
        <w:rPr>
          <w:rFonts w:ascii="Constantia"/>
          <w:sz w:val="19"/>
        </w:rPr>
        <w:t>Trimestres hacia adelante</w:t>
      </w:r>
    </w:p>
    <w:tbl>
      <w:tblPr>
        <w:tblW w:w="0" w:type="auto"/>
        <w:jc w:val="left"/>
        <w:tblInd w:w="14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819"/>
        <w:gridCol w:w="1027"/>
        <w:gridCol w:w="1074"/>
        <w:gridCol w:w="1017"/>
        <w:gridCol w:w="945"/>
        <w:gridCol w:w="937"/>
      </w:tblGrid>
      <w:tr>
        <w:trPr>
          <w:trHeight w:val="243" w:hRule="exact"/>
        </w:trPr>
        <w:tc>
          <w:tcPr>
            <w:tcW w:w="3819" w:type="dxa"/>
            <w:tcBorders>
              <w:bottom w:val="double" w:sz="4" w:space="0" w:color="000000"/>
            </w:tcBorders>
          </w:tcPr>
          <w:p>
            <w:pPr>
              <w:pStyle w:val="TableParagraph"/>
              <w:spacing w:line="229" w:lineRule="exact"/>
              <w:ind w:left="30"/>
              <w:jc w:val="left"/>
              <w:rPr>
                <w:rFonts w:ascii="Constantia"/>
                <w:sz w:val="19"/>
              </w:rPr>
            </w:pPr>
            <w:r>
              <w:rPr>
                <w:rFonts w:ascii="Constantia"/>
                <w:sz w:val="19"/>
                <w:u w:val="single"/>
              </w:rPr>
              <w:t>Variables explicativas:</w:t>
            </w:r>
          </w:p>
        </w:tc>
        <w:tc>
          <w:tcPr>
            <w:tcW w:w="1027" w:type="dxa"/>
            <w:tcBorders>
              <w:bottom w:val="double" w:sz="4" w:space="0" w:color="000000"/>
            </w:tcBorders>
          </w:tcPr>
          <w:p>
            <w:pPr>
              <w:pStyle w:val="TableParagraph"/>
              <w:spacing w:line="229" w:lineRule="exact"/>
              <w:ind w:right="157"/>
              <w:rPr>
                <w:rFonts w:ascii="Constantia"/>
                <w:sz w:val="19"/>
              </w:rPr>
            </w:pPr>
            <w:r>
              <w:rPr>
                <w:rFonts w:ascii="Constantia"/>
                <w:w w:val="101"/>
                <w:sz w:val="19"/>
              </w:rPr>
              <w:t>1</w:t>
            </w:r>
          </w:p>
        </w:tc>
        <w:tc>
          <w:tcPr>
            <w:tcW w:w="1074" w:type="dxa"/>
            <w:tcBorders>
              <w:bottom w:val="double" w:sz="4" w:space="0" w:color="000000"/>
            </w:tcBorders>
          </w:tcPr>
          <w:p>
            <w:pPr>
              <w:pStyle w:val="TableParagraph"/>
              <w:spacing w:line="229" w:lineRule="exact"/>
              <w:ind w:right="205"/>
              <w:rPr>
                <w:rFonts w:ascii="Constantia"/>
                <w:sz w:val="19"/>
              </w:rPr>
            </w:pPr>
            <w:r>
              <w:rPr>
                <w:rFonts w:ascii="Constantia"/>
                <w:w w:val="101"/>
                <w:sz w:val="19"/>
              </w:rPr>
              <w:t>2</w:t>
            </w:r>
          </w:p>
        </w:tc>
        <w:tc>
          <w:tcPr>
            <w:tcW w:w="1017" w:type="dxa"/>
            <w:tcBorders>
              <w:bottom w:val="double" w:sz="4" w:space="0" w:color="000000"/>
            </w:tcBorders>
          </w:tcPr>
          <w:p>
            <w:pPr>
              <w:pStyle w:val="TableParagraph"/>
              <w:spacing w:line="229" w:lineRule="exact"/>
              <w:ind w:left="332"/>
              <w:jc w:val="left"/>
              <w:rPr>
                <w:rFonts w:ascii="Constantia"/>
                <w:sz w:val="19"/>
              </w:rPr>
            </w:pPr>
            <w:r>
              <w:rPr>
                <w:rFonts w:ascii="Constantia"/>
                <w:w w:val="101"/>
                <w:sz w:val="19"/>
              </w:rPr>
              <w:t>3</w:t>
            </w:r>
          </w:p>
        </w:tc>
        <w:tc>
          <w:tcPr>
            <w:tcW w:w="945" w:type="dxa"/>
            <w:tcBorders>
              <w:bottom w:val="double" w:sz="4" w:space="0" w:color="000000"/>
            </w:tcBorders>
          </w:tcPr>
          <w:p>
            <w:pPr>
              <w:pStyle w:val="TableParagraph"/>
              <w:spacing w:line="229" w:lineRule="exact"/>
              <w:ind w:right="187"/>
              <w:rPr>
                <w:rFonts w:ascii="Constantia"/>
                <w:sz w:val="19"/>
              </w:rPr>
            </w:pPr>
            <w:r>
              <w:rPr>
                <w:rFonts w:ascii="Constantia"/>
                <w:w w:val="101"/>
                <w:sz w:val="19"/>
              </w:rPr>
              <w:t>4</w:t>
            </w:r>
          </w:p>
        </w:tc>
        <w:tc>
          <w:tcPr>
            <w:tcW w:w="937" w:type="dxa"/>
            <w:tcBorders>
              <w:bottom w:val="double" w:sz="4" w:space="0" w:color="000000"/>
            </w:tcBorders>
          </w:tcPr>
          <w:p>
            <w:pPr>
              <w:pStyle w:val="TableParagraph"/>
              <w:spacing w:line="229" w:lineRule="exact"/>
              <w:ind w:right="60"/>
              <w:rPr>
                <w:rFonts w:ascii="Constantia"/>
                <w:sz w:val="19"/>
              </w:rPr>
            </w:pPr>
            <w:r>
              <w:rPr>
                <w:rFonts w:ascii="Constantia"/>
                <w:w w:val="101"/>
                <w:sz w:val="19"/>
              </w:rPr>
              <w:t>5</w:t>
            </w:r>
          </w:p>
        </w:tc>
      </w:tr>
      <w:tr>
        <w:trPr>
          <w:trHeight w:val="324" w:hRule="exact"/>
        </w:trPr>
        <w:tc>
          <w:tcPr>
            <w:tcW w:w="3819" w:type="dxa"/>
            <w:tcBorders>
              <w:top w:val="double" w:sz="4" w:space="0" w:color="000000"/>
            </w:tcBorders>
          </w:tcPr>
          <w:p>
            <w:pPr>
              <w:pStyle w:val="TableParagraph"/>
              <w:spacing w:before="31"/>
              <w:ind w:left="30"/>
              <w:jc w:val="left"/>
              <w:rPr>
                <w:rFonts w:ascii="Constantia"/>
                <w:sz w:val="19"/>
              </w:rPr>
            </w:pPr>
            <w:r>
              <w:rPr>
                <w:rFonts w:ascii="Constantia"/>
                <w:sz w:val="19"/>
              </w:rPr>
              <w:t>Choq. Estruct. Precio del gas natural</w:t>
            </w:r>
          </w:p>
        </w:tc>
        <w:tc>
          <w:tcPr>
            <w:tcW w:w="1027" w:type="dxa"/>
            <w:tcBorders>
              <w:top w:val="double" w:sz="4" w:space="0" w:color="000000"/>
            </w:tcBorders>
          </w:tcPr>
          <w:p>
            <w:pPr>
              <w:pStyle w:val="TableParagraph"/>
              <w:spacing w:before="12"/>
              <w:ind w:right="112"/>
              <w:jc w:val="right"/>
              <w:rPr>
                <w:rFonts w:ascii="Constantia"/>
                <w:sz w:val="21"/>
              </w:rPr>
            </w:pPr>
            <w:r>
              <w:rPr>
                <w:rFonts w:ascii="Constantia"/>
                <w:sz w:val="21"/>
              </w:rPr>
              <w:t>-0.0019</w:t>
            </w:r>
          </w:p>
        </w:tc>
        <w:tc>
          <w:tcPr>
            <w:tcW w:w="1074" w:type="dxa"/>
            <w:tcBorders>
              <w:top w:val="double" w:sz="4" w:space="0" w:color="000000"/>
            </w:tcBorders>
          </w:tcPr>
          <w:p>
            <w:pPr>
              <w:pStyle w:val="TableParagraph"/>
              <w:spacing w:before="12"/>
              <w:ind w:right="169"/>
              <w:jc w:val="right"/>
              <w:rPr>
                <w:rFonts w:ascii="Constantia"/>
                <w:sz w:val="21"/>
              </w:rPr>
            </w:pPr>
            <w:r>
              <w:rPr>
                <w:rFonts w:ascii="Constantia"/>
                <w:sz w:val="21"/>
              </w:rPr>
              <w:t>0.0098**</w:t>
            </w:r>
          </w:p>
        </w:tc>
        <w:tc>
          <w:tcPr>
            <w:tcW w:w="1017" w:type="dxa"/>
            <w:tcBorders>
              <w:top w:val="double" w:sz="4" w:space="0" w:color="000000"/>
            </w:tcBorders>
          </w:tcPr>
          <w:p>
            <w:pPr>
              <w:pStyle w:val="TableParagraph"/>
              <w:spacing w:before="12"/>
              <w:ind w:left="171"/>
              <w:jc w:val="left"/>
              <w:rPr>
                <w:rFonts w:ascii="Constantia"/>
                <w:sz w:val="21"/>
              </w:rPr>
            </w:pPr>
            <w:r>
              <w:rPr>
                <w:rFonts w:ascii="Constantia"/>
                <w:sz w:val="21"/>
              </w:rPr>
              <w:t>-0.0029</w:t>
            </w:r>
          </w:p>
        </w:tc>
        <w:tc>
          <w:tcPr>
            <w:tcW w:w="945" w:type="dxa"/>
            <w:tcBorders>
              <w:top w:val="double" w:sz="4" w:space="0" w:color="000000"/>
            </w:tcBorders>
          </w:tcPr>
          <w:p>
            <w:pPr>
              <w:pStyle w:val="TableParagraph"/>
              <w:spacing w:before="12"/>
              <w:ind w:left="245"/>
              <w:jc w:val="left"/>
              <w:rPr>
                <w:rFonts w:ascii="Constantia"/>
                <w:sz w:val="21"/>
              </w:rPr>
            </w:pPr>
            <w:r>
              <w:rPr>
                <w:rFonts w:ascii="Constantia"/>
                <w:sz w:val="21"/>
              </w:rPr>
              <w:t>0.0043</w:t>
            </w:r>
          </w:p>
        </w:tc>
        <w:tc>
          <w:tcPr>
            <w:tcW w:w="937" w:type="dxa"/>
            <w:tcBorders>
              <w:top w:val="double" w:sz="4" w:space="0" w:color="000000"/>
            </w:tcBorders>
          </w:tcPr>
          <w:p>
            <w:pPr>
              <w:pStyle w:val="TableParagraph"/>
              <w:spacing w:before="12"/>
              <w:ind w:right="29"/>
              <w:jc w:val="right"/>
              <w:rPr>
                <w:rFonts w:ascii="Constantia"/>
                <w:sz w:val="21"/>
              </w:rPr>
            </w:pPr>
            <w:r>
              <w:rPr>
                <w:rFonts w:ascii="Constantia"/>
                <w:sz w:val="21"/>
              </w:rPr>
              <w:t>-0.0133**</w:t>
            </w:r>
          </w:p>
        </w:tc>
      </w:tr>
      <w:tr>
        <w:trPr>
          <w:trHeight w:val="242" w:hRule="exact"/>
        </w:trPr>
        <w:tc>
          <w:tcPr>
            <w:tcW w:w="3819" w:type="dxa"/>
          </w:tcPr>
          <w:p>
            <w:pPr/>
          </w:p>
        </w:tc>
        <w:tc>
          <w:tcPr>
            <w:tcW w:w="1027" w:type="dxa"/>
          </w:tcPr>
          <w:p>
            <w:pPr>
              <w:pStyle w:val="TableParagraph"/>
              <w:spacing w:before="13"/>
              <w:ind w:right="118"/>
              <w:jc w:val="right"/>
              <w:rPr>
                <w:rFonts w:ascii="Constantia"/>
                <w:sz w:val="16"/>
              </w:rPr>
            </w:pPr>
            <w:r>
              <w:rPr>
                <w:rFonts w:ascii="Constantia"/>
                <w:sz w:val="16"/>
              </w:rPr>
              <w:t>(0.0033)</w:t>
            </w:r>
          </w:p>
        </w:tc>
        <w:tc>
          <w:tcPr>
            <w:tcW w:w="1074" w:type="dxa"/>
          </w:tcPr>
          <w:p>
            <w:pPr>
              <w:pStyle w:val="TableParagraph"/>
              <w:spacing w:before="13"/>
              <w:ind w:right="173"/>
              <w:jc w:val="right"/>
              <w:rPr>
                <w:rFonts w:ascii="Constantia"/>
                <w:sz w:val="16"/>
              </w:rPr>
            </w:pPr>
            <w:r>
              <w:rPr>
                <w:rFonts w:ascii="Constantia"/>
                <w:sz w:val="16"/>
              </w:rPr>
              <w:t>(0.0034)</w:t>
            </w:r>
          </w:p>
        </w:tc>
        <w:tc>
          <w:tcPr>
            <w:tcW w:w="1017" w:type="dxa"/>
          </w:tcPr>
          <w:p>
            <w:pPr>
              <w:pStyle w:val="TableParagraph"/>
              <w:spacing w:before="13"/>
              <w:ind w:right="169"/>
              <w:jc w:val="right"/>
              <w:rPr>
                <w:rFonts w:ascii="Constantia"/>
                <w:sz w:val="16"/>
              </w:rPr>
            </w:pPr>
            <w:r>
              <w:rPr>
                <w:rFonts w:ascii="Constantia"/>
                <w:sz w:val="16"/>
              </w:rPr>
              <w:t>(0.0034)</w:t>
            </w:r>
          </w:p>
        </w:tc>
        <w:tc>
          <w:tcPr>
            <w:tcW w:w="945" w:type="dxa"/>
          </w:tcPr>
          <w:p>
            <w:pPr>
              <w:pStyle w:val="TableParagraph"/>
              <w:spacing w:before="13"/>
              <w:ind w:left="265"/>
              <w:jc w:val="left"/>
              <w:rPr>
                <w:rFonts w:ascii="Constantia"/>
                <w:sz w:val="16"/>
              </w:rPr>
            </w:pPr>
            <w:r>
              <w:rPr>
                <w:rFonts w:ascii="Constantia"/>
                <w:sz w:val="16"/>
              </w:rPr>
              <w:t>(0.0041)</w:t>
            </w:r>
          </w:p>
        </w:tc>
        <w:tc>
          <w:tcPr>
            <w:tcW w:w="937" w:type="dxa"/>
          </w:tcPr>
          <w:p>
            <w:pPr>
              <w:pStyle w:val="TableParagraph"/>
              <w:spacing w:before="13"/>
              <w:ind w:right="30"/>
              <w:jc w:val="right"/>
              <w:rPr>
                <w:rFonts w:ascii="Constantia"/>
                <w:sz w:val="16"/>
              </w:rPr>
            </w:pPr>
            <w:r>
              <w:rPr>
                <w:rFonts w:ascii="Constantia"/>
                <w:sz w:val="16"/>
              </w:rPr>
              <w:t>(0.0037)</w:t>
            </w:r>
          </w:p>
        </w:tc>
      </w:tr>
      <w:tr>
        <w:trPr>
          <w:trHeight w:val="293" w:hRule="exact"/>
        </w:trPr>
        <w:tc>
          <w:tcPr>
            <w:tcW w:w="3819" w:type="dxa"/>
          </w:tcPr>
          <w:p>
            <w:pPr>
              <w:pStyle w:val="TableParagraph"/>
              <w:spacing w:before="15"/>
              <w:ind w:left="30"/>
              <w:jc w:val="left"/>
              <w:rPr>
                <w:rFonts w:ascii="Constantia" w:hAnsi="Constantia"/>
                <w:sz w:val="19"/>
              </w:rPr>
            </w:pPr>
            <w:r>
              <w:rPr>
                <w:rFonts w:ascii="Constantia" w:hAnsi="Constantia"/>
                <w:sz w:val="19"/>
              </w:rPr>
              <w:t>Choq. Estruct. Asign. De Ing. Fisc. Gasíf.</w:t>
            </w:r>
          </w:p>
        </w:tc>
        <w:tc>
          <w:tcPr>
            <w:tcW w:w="1027" w:type="dxa"/>
          </w:tcPr>
          <w:p>
            <w:pPr>
              <w:pStyle w:val="TableParagraph"/>
              <w:spacing w:line="252" w:lineRule="exact"/>
              <w:ind w:right="113"/>
              <w:jc w:val="right"/>
              <w:rPr>
                <w:rFonts w:ascii="Constantia"/>
                <w:sz w:val="21"/>
              </w:rPr>
            </w:pPr>
            <w:r>
              <w:rPr>
                <w:rFonts w:ascii="Constantia"/>
                <w:sz w:val="21"/>
              </w:rPr>
              <w:t>0.0060</w:t>
            </w:r>
          </w:p>
        </w:tc>
        <w:tc>
          <w:tcPr>
            <w:tcW w:w="1074" w:type="dxa"/>
          </w:tcPr>
          <w:p>
            <w:pPr>
              <w:pStyle w:val="TableParagraph"/>
              <w:spacing w:line="252" w:lineRule="exact"/>
              <w:ind w:right="176"/>
              <w:jc w:val="right"/>
              <w:rPr>
                <w:rFonts w:ascii="Constantia"/>
                <w:sz w:val="21"/>
              </w:rPr>
            </w:pPr>
            <w:r>
              <w:rPr>
                <w:rFonts w:ascii="Constantia"/>
                <w:sz w:val="21"/>
              </w:rPr>
              <w:t>0.0003</w:t>
            </w:r>
          </w:p>
        </w:tc>
        <w:tc>
          <w:tcPr>
            <w:tcW w:w="1017" w:type="dxa"/>
          </w:tcPr>
          <w:p>
            <w:pPr>
              <w:pStyle w:val="TableParagraph"/>
              <w:spacing w:line="252" w:lineRule="exact"/>
              <w:ind w:right="165"/>
              <w:jc w:val="right"/>
              <w:rPr>
                <w:rFonts w:ascii="Constantia"/>
                <w:sz w:val="21"/>
              </w:rPr>
            </w:pPr>
            <w:r>
              <w:rPr>
                <w:rFonts w:ascii="Constantia"/>
                <w:sz w:val="21"/>
              </w:rPr>
              <w:t>0.0034</w:t>
            </w:r>
          </w:p>
        </w:tc>
        <w:tc>
          <w:tcPr>
            <w:tcW w:w="945" w:type="dxa"/>
          </w:tcPr>
          <w:p>
            <w:pPr>
              <w:pStyle w:val="TableParagraph"/>
              <w:spacing w:line="252" w:lineRule="exact"/>
              <w:ind w:right="100"/>
              <w:jc w:val="right"/>
              <w:rPr>
                <w:rFonts w:ascii="Constantia"/>
                <w:sz w:val="21"/>
              </w:rPr>
            </w:pPr>
            <w:r>
              <w:rPr>
                <w:rFonts w:ascii="Constantia"/>
                <w:sz w:val="21"/>
              </w:rPr>
              <w:t>-0.0002</w:t>
            </w:r>
          </w:p>
        </w:tc>
        <w:tc>
          <w:tcPr>
            <w:tcW w:w="937" w:type="dxa"/>
          </w:tcPr>
          <w:p>
            <w:pPr>
              <w:pStyle w:val="TableParagraph"/>
              <w:spacing w:line="252" w:lineRule="exact"/>
              <w:ind w:right="27"/>
              <w:jc w:val="right"/>
              <w:rPr>
                <w:rFonts w:ascii="Constantia"/>
                <w:sz w:val="21"/>
              </w:rPr>
            </w:pPr>
            <w:r>
              <w:rPr>
                <w:rFonts w:ascii="Constantia"/>
                <w:sz w:val="21"/>
              </w:rPr>
              <w:t>-0.0054</w:t>
            </w:r>
          </w:p>
        </w:tc>
      </w:tr>
      <w:tr>
        <w:trPr>
          <w:trHeight w:val="242" w:hRule="exact"/>
        </w:trPr>
        <w:tc>
          <w:tcPr>
            <w:tcW w:w="3819" w:type="dxa"/>
          </w:tcPr>
          <w:p>
            <w:pPr/>
          </w:p>
        </w:tc>
        <w:tc>
          <w:tcPr>
            <w:tcW w:w="1027" w:type="dxa"/>
          </w:tcPr>
          <w:p>
            <w:pPr>
              <w:pStyle w:val="TableParagraph"/>
              <w:spacing w:before="13"/>
              <w:ind w:right="118"/>
              <w:jc w:val="right"/>
              <w:rPr>
                <w:rFonts w:ascii="Constantia"/>
                <w:sz w:val="16"/>
              </w:rPr>
            </w:pPr>
            <w:r>
              <w:rPr>
                <w:rFonts w:ascii="Constantia"/>
                <w:sz w:val="16"/>
              </w:rPr>
              <w:t>(0.0032)</w:t>
            </w:r>
          </w:p>
        </w:tc>
        <w:tc>
          <w:tcPr>
            <w:tcW w:w="1074" w:type="dxa"/>
          </w:tcPr>
          <w:p>
            <w:pPr>
              <w:pStyle w:val="TableParagraph"/>
              <w:spacing w:before="13"/>
              <w:ind w:right="173"/>
              <w:jc w:val="right"/>
              <w:rPr>
                <w:rFonts w:ascii="Constantia"/>
                <w:sz w:val="16"/>
              </w:rPr>
            </w:pPr>
            <w:r>
              <w:rPr>
                <w:rFonts w:ascii="Constantia"/>
                <w:sz w:val="16"/>
              </w:rPr>
              <w:t>(0.0034)</w:t>
            </w:r>
          </w:p>
        </w:tc>
        <w:tc>
          <w:tcPr>
            <w:tcW w:w="1017" w:type="dxa"/>
          </w:tcPr>
          <w:p>
            <w:pPr>
              <w:pStyle w:val="TableParagraph"/>
              <w:spacing w:before="13"/>
              <w:ind w:right="169"/>
              <w:jc w:val="right"/>
              <w:rPr>
                <w:rFonts w:ascii="Constantia"/>
                <w:sz w:val="16"/>
              </w:rPr>
            </w:pPr>
            <w:r>
              <w:rPr>
                <w:rFonts w:ascii="Constantia"/>
                <w:sz w:val="16"/>
              </w:rPr>
              <w:t>(0.0033)</w:t>
            </w:r>
          </w:p>
        </w:tc>
        <w:tc>
          <w:tcPr>
            <w:tcW w:w="945" w:type="dxa"/>
          </w:tcPr>
          <w:p>
            <w:pPr>
              <w:pStyle w:val="TableParagraph"/>
              <w:spacing w:before="13"/>
              <w:ind w:left="245"/>
              <w:jc w:val="left"/>
              <w:rPr>
                <w:rFonts w:ascii="Constantia"/>
                <w:sz w:val="16"/>
              </w:rPr>
            </w:pPr>
            <w:r>
              <w:rPr>
                <w:rFonts w:ascii="Constantia"/>
                <w:sz w:val="16"/>
              </w:rPr>
              <w:t>(0.0038)</w:t>
            </w:r>
          </w:p>
        </w:tc>
        <w:tc>
          <w:tcPr>
            <w:tcW w:w="937" w:type="dxa"/>
          </w:tcPr>
          <w:p>
            <w:pPr>
              <w:pStyle w:val="TableParagraph"/>
              <w:spacing w:before="13"/>
              <w:ind w:right="30"/>
              <w:jc w:val="right"/>
              <w:rPr>
                <w:rFonts w:ascii="Constantia"/>
                <w:sz w:val="16"/>
              </w:rPr>
            </w:pPr>
            <w:r>
              <w:rPr>
                <w:rFonts w:ascii="Constantia"/>
                <w:sz w:val="16"/>
              </w:rPr>
              <w:t>(0.0037)</w:t>
            </w:r>
          </w:p>
        </w:tc>
      </w:tr>
      <w:tr>
        <w:trPr>
          <w:trHeight w:val="293" w:hRule="exact"/>
        </w:trPr>
        <w:tc>
          <w:tcPr>
            <w:tcW w:w="3819" w:type="dxa"/>
          </w:tcPr>
          <w:p>
            <w:pPr>
              <w:pStyle w:val="TableParagraph"/>
              <w:spacing w:before="15"/>
              <w:ind w:left="30"/>
              <w:jc w:val="left"/>
              <w:rPr>
                <w:rFonts w:ascii="Constantia" w:hAnsi="Constantia"/>
                <w:sz w:val="19"/>
              </w:rPr>
            </w:pPr>
            <w:r>
              <w:rPr>
                <w:rFonts w:ascii="Constantia" w:hAnsi="Constantia"/>
                <w:sz w:val="19"/>
              </w:rPr>
              <w:t>Choq. Estruct. Asign. De Ing. Fisc. No Gasíf.</w:t>
            </w:r>
          </w:p>
        </w:tc>
        <w:tc>
          <w:tcPr>
            <w:tcW w:w="1027" w:type="dxa"/>
          </w:tcPr>
          <w:p>
            <w:pPr>
              <w:pStyle w:val="TableParagraph"/>
              <w:spacing w:line="252" w:lineRule="exact"/>
              <w:ind w:right="115"/>
              <w:jc w:val="right"/>
              <w:rPr>
                <w:rFonts w:ascii="Constantia"/>
                <w:sz w:val="21"/>
              </w:rPr>
            </w:pPr>
            <w:r>
              <w:rPr>
                <w:rFonts w:ascii="Constantia"/>
                <w:sz w:val="21"/>
              </w:rPr>
              <w:t>0.0075*</w:t>
            </w:r>
          </w:p>
        </w:tc>
        <w:tc>
          <w:tcPr>
            <w:tcW w:w="1074" w:type="dxa"/>
          </w:tcPr>
          <w:p>
            <w:pPr>
              <w:pStyle w:val="TableParagraph"/>
              <w:spacing w:line="252" w:lineRule="exact"/>
              <w:ind w:right="170"/>
              <w:jc w:val="right"/>
              <w:rPr>
                <w:rFonts w:ascii="Constantia"/>
                <w:sz w:val="21"/>
              </w:rPr>
            </w:pPr>
            <w:r>
              <w:rPr>
                <w:rFonts w:ascii="Constantia"/>
                <w:sz w:val="21"/>
              </w:rPr>
              <w:t>0.0005</w:t>
            </w:r>
          </w:p>
        </w:tc>
        <w:tc>
          <w:tcPr>
            <w:tcW w:w="1017" w:type="dxa"/>
          </w:tcPr>
          <w:p>
            <w:pPr>
              <w:pStyle w:val="TableParagraph"/>
              <w:spacing w:line="252" w:lineRule="exact"/>
              <w:ind w:right="167"/>
              <w:jc w:val="right"/>
              <w:rPr>
                <w:rFonts w:ascii="Constantia"/>
                <w:sz w:val="21"/>
              </w:rPr>
            </w:pPr>
            <w:r>
              <w:rPr>
                <w:rFonts w:ascii="Constantia"/>
                <w:sz w:val="21"/>
              </w:rPr>
              <w:t>0.0035</w:t>
            </w:r>
          </w:p>
        </w:tc>
        <w:tc>
          <w:tcPr>
            <w:tcW w:w="945" w:type="dxa"/>
          </w:tcPr>
          <w:p>
            <w:pPr>
              <w:pStyle w:val="TableParagraph"/>
              <w:spacing w:line="252" w:lineRule="exact"/>
              <w:ind w:right="96"/>
              <w:jc w:val="right"/>
              <w:rPr>
                <w:rFonts w:ascii="Constantia"/>
                <w:sz w:val="21"/>
              </w:rPr>
            </w:pPr>
            <w:r>
              <w:rPr>
                <w:rFonts w:ascii="Constantia"/>
                <w:sz w:val="21"/>
              </w:rPr>
              <w:t>0.0009</w:t>
            </w:r>
          </w:p>
        </w:tc>
        <w:tc>
          <w:tcPr>
            <w:tcW w:w="937" w:type="dxa"/>
          </w:tcPr>
          <w:p>
            <w:pPr>
              <w:pStyle w:val="TableParagraph"/>
              <w:spacing w:line="252" w:lineRule="exact"/>
              <w:ind w:right="27"/>
              <w:jc w:val="right"/>
              <w:rPr>
                <w:rFonts w:ascii="Constantia"/>
                <w:sz w:val="21"/>
              </w:rPr>
            </w:pPr>
            <w:r>
              <w:rPr>
                <w:rFonts w:ascii="Constantia"/>
                <w:sz w:val="21"/>
              </w:rPr>
              <w:t>0.0064</w:t>
            </w:r>
          </w:p>
        </w:tc>
      </w:tr>
      <w:tr>
        <w:trPr>
          <w:trHeight w:val="243" w:hRule="exact"/>
        </w:trPr>
        <w:tc>
          <w:tcPr>
            <w:tcW w:w="3819" w:type="dxa"/>
          </w:tcPr>
          <w:p>
            <w:pPr/>
          </w:p>
        </w:tc>
        <w:tc>
          <w:tcPr>
            <w:tcW w:w="1027" w:type="dxa"/>
          </w:tcPr>
          <w:p>
            <w:pPr>
              <w:pStyle w:val="TableParagraph"/>
              <w:spacing w:before="13"/>
              <w:ind w:right="120"/>
              <w:jc w:val="right"/>
              <w:rPr>
                <w:rFonts w:ascii="Constantia"/>
                <w:sz w:val="16"/>
              </w:rPr>
            </w:pPr>
            <w:r>
              <w:rPr>
                <w:rFonts w:ascii="Constantia"/>
                <w:sz w:val="16"/>
              </w:rPr>
              <w:t>(0.0029)</w:t>
            </w:r>
          </w:p>
        </w:tc>
        <w:tc>
          <w:tcPr>
            <w:tcW w:w="1074" w:type="dxa"/>
          </w:tcPr>
          <w:p>
            <w:pPr>
              <w:pStyle w:val="TableParagraph"/>
              <w:spacing w:before="13"/>
              <w:ind w:right="173"/>
              <w:jc w:val="right"/>
              <w:rPr>
                <w:rFonts w:ascii="Constantia"/>
                <w:sz w:val="16"/>
              </w:rPr>
            </w:pPr>
            <w:r>
              <w:rPr>
                <w:rFonts w:ascii="Constantia"/>
                <w:sz w:val="16"/>
              </w:rPr>
              <w:t>(0.0034)</w:t>
            </w:r>
          </w:p>
        </w:tc>
        <w:tc>
          <w:tcPr>
            <w:tcW w:w="1017" w:type="dxa"/>
          </w:tcPr>
          <w:p>
            <w:pPr>
              <w:pStyle w:val="TableParagraph"/>
              <w:spacing w:before="13"/>
              <w:ind w:right="169"/>
              <w:jc w:val="right"/>
              <w:rPr>
                <w:rFonts w:ascii="Constantia"/>
                <w:sz w:val="16"/>
              </w:rPr>
            </w:pPr>
            <w:r>
              <w:rPr>
                <w:rFonts w:ascii="Constantia"/>
                <w:sz w:val="16"/>
              </w:rPr>
              <w:t>(0.0032)</w:t>
            </w:r>
          </w:p>
        </w:tc>
        <w:tc>
          <w:tcPr>
            <w:tcW w:w="945" w:type="dxa"/>
          </w:tcPr>
          <w:p>
            <w:pPr>
              <w:pStyle w:val="TableParagraph"/>
              <w:spacing w:before="13"/>
              <w:ind w:left="255"/>
              <w:jc w:val="left"/>
              <w:rPr>
                <w:rFonts w:ascii="Constantia"/>
                <w:sz w:val="16"/>
              </w:rPr>
            </w:pPr>
            <w:r>
              <w:rPr>
                <w:rFonts w:ascii="Constantia"/>
                <w:sz w:val="16"/>
              </w:rPr>
              <w:t>(0.0037)</w:t>
            </w:r>
          </w:p>
        </w:tc>
        <w:tc>
          <w:tcPr>
            <w:tcW w:w="937" w:type="dxa"/>
          </w:tcPr>
          <w:p>
            <w:pPr>
              <w:pStyle w:val="TableParagraph"/>
              <w:spacing w:before="13"/>
              <w:ind w:right="30"/>
              <w:jc w:val="right"/>
              <w:rPr>
                <w:rFonts w:ascii="Constantia"/>
                <w:sz w:val="16"/>
              </w:rPr>
            </w:pPr>
            <w:r>
              <w:rPr>
                <w:rFonts w:ascii="Constantia"/>
                <w:sz w:val="16"/>
              </w:rPr>
              <w:t>(0.0037)</w:t>
            </w:r>
          </w:p>
        </w:tc>
      </w:tr>
      <w:tr>
        <w:trPr>
          <w:trHeight w:val="293" w:hRule="exact"/>
        </w:trPr>
        <w:tc>
          <w:tcPr>
            <w:tcW w:w="3819" w:type="dxa"/>
          </w:tcPr>
          <w:p>
            <w:pPr>
              <w:pStyle w:val="TableParagraph"/>
              <w:spacing w:before="15"/>
              <w:ind w:left="30"/>
              <w:jc w:val="left"/>
              <w:rPr>
                <w:rFonts w:ascii="Constantia"/>
                <w:sz w:val="19"/>
              </w:rPr>
            </w:pPr>
            <w:r>
              <w:rPr>
                <w:rFonts w:ascii="Constantia"/>
                <w:sz w:val="19"/>
              </w:rPr>
              <w:t>Choq. Estruct. De la misma variable</w:t>
            </w:r>
          </w:p>
        </w:tc>
        <w:tc>
          <w:tcPr>
            <w:tcW w:w="1027" w:type="dxa"/>
          </w:tcPr>
          <w:p>
            <w:pPr>
              <w:pStyle w:val="TableParagraph"/>
              <w:spacing w:line="252" w:lineRule="exact"/>
              <w:ind w:right="116"/>
              <w:jc w:val="right"/>
              <w:rPr>
                <w:rFonts w:ascii="Constantia"/>
                <w:sz w:val="21"/>
              </w:rPr>
            </w:pPr>
            <w:r>
              <w:rPr>
                <w:rFonts w:ascii="Constantia"/>
                <w:sz w:val="21"/>
              </w:rPr>
              <w:t>-0.0068*</w:t>
            </w:r>
          </w:p>
        </w:tc>
        <w:tc>
          <w:tcPr>
            <w:tcW w:w="1074" w:type="dxa"/>
          </w:tcPr>
          <w:p>
            <w:pPr>
              <w:pStyle w:val="TableParagraph"/>
              <w:spacing w:line="252" w:lineRule="exact"/>
              <w:ind w:right="169"/>
              <w:jc w:val="right"/>
              <w:rPr>
                <w:rFonts w:ascii="Constantia"/>
                <w:sz w:val="21"/>
              </w:rPr>
            </w:pPr>
            <w:r>
              <w:rPr>
                <w:rFonts w:ascii="Constantia"/>
                <w:sz w:val="21"/>
              </w:rPr>
              <w:t>-0.0002</w:t>
            </w:r>
          </w:p>
        </w:tc>
        <w:tc>
          <w:tcPr>
            <w:tcW w:w="1017" w:type="dxa"/>
          </w:tcPr>
          <w:p>
            <w:pPr>
              <w:pStyle w:val="TableParagraph"/>
              <w:spacing w:line="252" w:lineRule="exact"/>
              <w:ind w:left="171"/>
              <w:jc w:val="left"/>
              <w:rPr>
                <w:rFonts w:ascii="Constantia"/>
                <w:sz w:val="21"/>
              </w:rPr>
            </w:pPr>
            <w:r>
              <w:rPr>
                <w:rFonts w:ascii="Constantia"/>
                <w:sz w:val="21"/>
              </w:rPr>
              <w:t>-0.0043</w:t>
            </w:r>
          </w:p>
        </w:tc>
        <w:tc>
          <w:tcPr>
            <w:tcW w:w="945" w:type="dxa"/>
          </w:tcPr>
          <w:p>
            <w:pPr>
              <w:pStyle w:val="TableParagraph"/>
              <w:spacing w:line="252" w:lineRule="exact"/>
              <w:ind w:right="98"/>
              <w:jc w:val="right"/>
              <w:rPr>
                <w:rFonts w:ascii="Constantia"/>
                <w:sz w:val="21"/>
              </w:rPr>
            </w:pPr>
            <w:r>
              <w:rPr>
                <w:rFonts w:ascii="Constantia"/>
                <w:sz w:val="21"/>
              </w:rPr>
              <w:t>-0.0010</w:t>
            </w:r>
          </w:p>
        </w:tc>
        <w:tc>
          <w:tcPr>
            <w:tcW w:w="937" w:type="dxa"/>
          </w:tcPr>
          <w:p>
            <w:pPr>
              <w:pStyle w:val="TableParagraph"/>
              <w:spacing w:line="252" w:lineRule="exact"/>
              <w:ind w:right="25"/>
              <w:jc w:val="right"/>
              <w:rPr>
                <w:rFonts w:ascii="Constantia"/>
                <w:sz w:val="21"/>
              </w:rPr>
            </w:pPr>
            <w:r>
              <w:rPr>
                <w:rFonts w:ascii="Constantia"/>
                <w:sz w:val="21"/>
              </w:rPr>
              <w:t>0.0070</w:t>
            </w:r>
          </w:p>
        </w:tc>
      </w:tr>
      <w:tr>
        <w:trPr>
          <w:trHeight w:val="231" w:hRule="exact"/>
        </w:trPr>
        <w:tc>
          <w:tcPr>
            <w:tcW w:w="3819" w:type="dxa"/>
            <w:tcBorders>
              <w:bottom w:val="double" w:sz="4" w:space="0" w:color="000000"/>
            </w:tcBorders>
          </w:tcPr>
          <w:p>
            <w:pPr/>
          </w:p>
        </w:tc>
        <w:tc>
          <w:tcPr>
            <w:tcW w:w="1027" w:type="dxa"/>
            <w:tcBorders>
              <w:bottom w:val="double" w:sz="4" w:space="0" w:color="000000"/>
            </w:tcBorders>
          </w:tcPr>
          <w:p>
            <w:pPr>
              <w:pStyle w:val="TableParagraph"/>
              <w:spacing w:before="13"/>
              <w:ind w:right="120"/>
              <w:jc w:val="right"/>
              <w:rPr>
                <w:rFonts w:ascii="Constantia"/>
                <w:sz w:val="16"/>
              </w:rPr>
            </w:pPr>
            <w:r>
              <w:rPr>
                <w:rFonts w:ascii="Constantia"/>
                <w:sz w:val="16"/>
              </w:rPr>
              <w:t>(0.0029)</w:t>
            </w:r>
          </w:p>
        </w:tc>
        <w:tc>
          <w:tcPr>
            <w:tcW w:w="1074" w:type="dxa"/>
            <w:tcBorders>
              <w:bottom w:val="double" w:sz="4" w:space="0" w:color="000000"/>
            </w:tcBorders>
          </w:tcPr>
          <w:p>
            <w:pPr>
              <w:pStyle w:val="TableParagraph"/>
              <w:spacing w:before="13"/>
              <w:ind w:right="173"/>
              <w:jc w:val="right"/>
              <w:rPr>
                <w:rFonts w:ascii="Constantia"/>
                <w:sz w:val="16"/>
              </w:rPr>
            </w:pPr>
            <w:r>
              <w:rPr>
                <w:rFonts w:ascii="Constantia"/>
                <w:sz w:val="16"/>
              </w:rPr>
              <w:t>(0.0034)</w:t>
            </w:r>
          </w:p>
        </w:tc>
        <w:tc>
          <w:tcPr>
            <w:tcW w:w="1017" w:type="dxa"/>
            <w:tcBorders>
              <w:bottom w:val="double" w:sz="4" w:space="0" w:color="000000"/>
            </w:tcBorders>
          </w:tcPr>
          <w:p>
            <w:pPr>
              <w:pStyle w:val="TableParagraph"/>
              <w:spacing w:before="13"/>
              <w:ind w:right="169"/>
              <w:jc w:val="right"/>
              <w:rPr>
                <w:rFonts w:ascii="Constantia"/>
                <w:sz w:val="16"/>
              </w:rPr>
            </w:pPr>
            <w:r>
              <w:rPr>
                <w:rFonts w:ascii="Constantia"/>
                <w:sz w:val="16"/>
              </w:rPr>
              <w:t>(0.0032)</w:t>
            </w:r>
          </w:p>
        </w:tc>
        <w:tc>
          <w:tcPr>
            <w:tcW w:w="945" w:type="dxa"/>
            <w:tcBorders>
              <w:bottom w:val="double" w:sz="4" w:space="0" w:color="000000"/>
            </w:tcBorders>
          </w:tcPr>
          <w:p>
            <w:pPr>
              <w:pStyle w:val="TableParagraph"/>
              <w:spacing w:before="13"/>
              <w:ind w:left="255"/>
              <w:jc w:val="left"/>
              <w:rPr>
                <w:rFonts w:ascii="Constantia"/>
                <w:sz w:val="16"/>
              </w:rPr>
            </w:pPr>
            <w:r>
              <w:rPr>
                <w:rFonts w:ascii="Constantia"/>
                <w:sz w:val="16"/>
              </w:rPr>
              <w:t>(0.0037)</w:t>
            </w:r>
          </w:p>
        </w:tc>
        <w:tc>
          <w:tcPr>
            <w:tcW w:w="937" w:type="dxa"/>
            <w:tcBorders>
              <w:bottom w:val="double" w:sz="4" w:space="0" w:color="000000"/>
            </w:tcBorders>
          </w:tcPr>
          <w:p>
            <w:pPr>
              <w:pStyle w:val="TableParagraph"/>
              <w:spacing w:before="13"/>
              <w:ind w:right="30"/>
              <w:jc w:val="right"/>
              <w:rPr>
                <w:rFonts w:ascii="Constantia"/>
                <w:sz w:val="16"/>
              </w:rPr>
            </w:pPr>
            <w:r>
              <w:rPr>
                <w:rFonts w:ascii="Constantia"/>
                <w:sz w:val="16"/>
              </w:rPr>
              <w:t>(0.0037)</w:t>
            </w:r>
          </w:p>
        </w:tc>
      </w:tr>
      <w:tr>
        <w:trPr>
          <w:trHeight w:val="285" w:hRule="exact"/>
        </w:trPr>
        <w:tc>
          <w:tcPr>
            <w:tcW w:w="3819" w:type="dxa"/>
            <w:tcBorders>
              <w:top w:val="double" w:sz="4" w:space="0" w:color="000000"/>
            </w:tcBorders>
          </w:tcPr>
          <w:p>
            <w:pPr>
              <w:pStyle w:val="TableParagraph"/>
              <w:spacing w:before="11"/>
              <w:ind w:left="30"/>
              <w:jc w:val="left"/>
              <w:rPr>
                <w:rFonts w:ascii="Constantia" w:hAnsi="Constantia"/>
                <w:sz w:val="19"/>
              </w:rPr>
            </w:pPr>
            <w:r>
              <w:rPr>
                <w:rFonts w:ascii="Constantia" w:hAnsi="Constantia"/>
                <w:sz w:val="19"/>
              </w:rPr>
              <w:t>Nº de variables de impulso</w:t>
            </w:r>
          </w:p>
        </w:tc>
        <w:tc>
          <w:tcPr>
            <w:tcW w:w="1027" w:type="dxa"/>
            <w:tcBorders>
              <w:top w:val="double" w:sz="4" w:space="0" w:color="000000"/>
            </w:tcBorders>
          </w:tcPr>
          <w:p>
            <w:pPr>
              <w:pStyle w:val="TableParagraph"/>
              <w:spacing w:before="11"/>
              <w:ind w:right="116"/>
              <w:jc w:val="right"/>
              <w:rPr>
                <w:rFonts w:ascii="Constantia"/>
                <w:sz w:val="19"/>
              </w:rPr>
            </w:pPr>
            <w:r>
              <w:rPr>
                <w:rFonts w:ascii="Constantia"/>
                <w:w w:val="101"/>
                <w:sz w:val="19"/>
              </w:rPr>
              <w:t>1</w:t>
            </w:r>
          </w:p>
        </w:tc>
        <w:tc>
          <w:tcPr>
            <w:tcW w:w="1074" w:type="dxa"/>
            <w:tcBorders>
              <w:top w:val="double" w:sz="4" w:space="0" w:color="000000"/>
            </w:tcBorders>
          </w:tcPr>
          <w:p>
            <w:pPr>
              <w:pStyle w:val="TableParagraph"/>
              <w:spacing w:before="11"/>
              <w:ind w:right="170"/>
              <w:jc w:val="right"/>
              <w:rPr>
                <w:rFonts w:ascii="Constantia"/>
                <w:sz w:val="19"/>
              </w:rPr>
            </w:pPr>
            <w:r>
              <w:rPr>
                <w:rFonts w:ascii="Constantia"/>
                <w:w w:val="101"/>
                <w:sz w:val="19"/>
              </w:rPr>
              <w:t>1</w:t>
            </w:r>
          </w:p>
        </w:tc>
        <w:tc>
          <w:tcPr>
            <w:tcW w:w="1017" w:type="dxa"/>
            <w:tcBorders>
              <w:top w:val="double" w:sz="4" w:space="0" w:color="000000"/>
            </w:tcBorders>
          </w:tcPr>
          <w:p>
            <w:pPr>
              <w:pStyle w:val="TableParagraph"/>
              <w:spacing w:before="11"/>
              <w:ind w:right="164"/>
              <w:jc w:val="right"/>
              <w:rPr>
                <w:rFonts w:ascii="Constantia"/>
                <w:sz w:val="19"/>
              </w:rPr>
            </w:pPr>
            <w:r>
              <w:rPr>
                <w:rFonts w:ascii="Constantia"/>
                <w:w w:val="101"/>
                <w:sz w:val="19"/>
              </w:rPr>
              <w:t>2</w:t>
            </w:r>
          </w:p>
        </w:tc>
        <w:tc>
          <w:tcPr>
            <w:tcW w:w="945" w:type="dxa"/>
            <w:tcBorders>
              <w:top w:val="double" w:sz="4" w:space="0" w:color="000000"/>
            </w:tcBorders>
          </w:tcPr>
          <w:p>
            <w:pPr>
              <w:pStyle w:val="TableParagraph"/>
              <w:spacing w:before="11"/>
              <w:ind w:right="99"/>
              <w:jc w:val="right"/>
              <w:rPr>
                <w:rFonts w:ascii="Constantia"/>
                <w:sz w:val="19"/>
              </w:rPr>
            </w:pPr>
            <w:r>
              <w:rPr>
                <w:rFonts w:ascii="Constantia"/>
                <w:w w:val="101"/>
                <w:sz w:val="19"/>
              </w:rPr>
              <w:t>2</w:t>
            </w:r>
          </w:p>
        </w:tc>
        <w:tc>
          <w:tcPr>
            <w:tcW w:w="937" w:type="dxa"/>
            <w:tcBorders>
              <w:top w:val="double" w:sz="4" w:space="0" w:color="000000"/>
            </w:tcBorders>
          </w:tcPr>
          <w:p>
            <w:pPr>
              <w:pStyle w:val="TableParagraph"/>
              <w:spacing w:before="11"/>
              <w:ind w:right="26"/>
              <w:jc w:val="right"/>
              <w:rPr>
                <w:rFonts w:ascii="Constantia"/>
                <w:sz w:val="19"/>
              </w:rPr>
            </w:pPr>
            <w:r>
              <w:rPr>
                <w:rFonts w:ascii="Constantia"/>
                <w:w w:val="101"/>
                <w:sz w:val="19"/>
              </w:rPr>
              <w:t>0</w:t>
            </w:r>
          </w:p>
        </w:tc>
      </w:tr>
      <w:tr>
        <w:trPr>
          <w:trHeight w:val="240" w:hRule="exact"/>
        </w:trPr>
        <w:tc>
          <w:tcPr>
            <w:tcW w:w="3819" w:type="dxa"/>
            <w:tcBorders>
              <w:bottom w:val="double" w:sz="4" w:space="0" w:color="000000"/>
            </w:tcBorders>
          </w:tcPr>
          <w:p>
            <w:pPr>
              <w:pStyle w:val="TableParagraph"/>
              <w:spacing w:line="225" w:lineRule="exact"/>
              <w:ind w:left="30"/>
              <w:jc w:val="left"/>
              <w:rPr>
                <w:rFonts w:ascii="Constantia" w:hAnsi="Constantia"/>
                <w:sz w:val="19"/>
              </w:rPr>
            </w:pPr>
            <w:r>
              <w:rPr>
                <w:rFonts w:ascii="Constantia" w:hAnsi="Constantia"/>
                <w:sz w:val="19"/>
              </w:rPr>
              <w:t>Incluye término autoregresivo</w:t>
            </w:r>
          </w:p>
        </w:tc>
        <w:tc>
          <w:tcPr>
            <w:tcW w:w="1027" w:type="dxa"/>
            <w:tcBorders>
              <w:bottom w:val="double" w:sz="4" w:space="0" w:color="000000"/>
            </w:tcBorders>
          </w:tcPr>
          <w:p>
            <w:pPr>
              <w:pStyle w:val="TableParagraph"/>
              <w:spacing w:line="225" w:lineRule="exact"/>
              <w:ind w:right="180"/>
              <w:jc w:val="right"/>
              <w:rPr>
                <w:rFonts w:ascii="Constantia"/>
                <w:sz w:val="19"/>
              </w:rPr>
            </w:pPr>
            <w:r>
              <w:rPr>
                <w:rFonts w:ascii="Constantia"/>
                <w:sz w:val="19"/>
              </w:rPr>
              <w:t>Si</w:t>
            </w:r>
          </w:p>
        </w:tc>
        <w:tc>
          <w:tcPr>
            <w:tcW w:w="1074" w:type="dxa"/>
            <w:tcBorders>
              <w:bottom w:val="double" w:sz="4" w:space="0" w:color="000000"/>
            </w:tcBorders>
          </w:tcPr>
          <w:p>
            <w:pPr>
              <w:pStyle w:val="TableParagraph"/>
              <w:spacing w:line="225" w:lineRule="exact"/>
              <w:ind w:right="240"/>
              <w:jc w:val="right"/>
              <w:rPr>
                <w:rFonts w:ascii="Constantia"/>
                <w:sz w:val="19"/>
              </w:rPr>
            </w:pPr>
            <w:r>
              <w:rPr>
                <w:rFonts w:ascii="Constantia"/>
                <w:sz w:val="19"/>
              </w:rPr>
              <w:t>No</w:t>
            </w:r>
          </w:p>
        </w:tc>
        <w:tc>
          <w:tcPr>
            <w:tcW w:w="1017" w:type="dxa"/>
            <w:tcBorders>
              <w:bottom w:val="double" w:sz="4" w:space="0" w:color="000000"/>
            </w:tcBorders>
          </w:tcPr>
          <w:p>
            <w:pPr>
              <w:pStyle w:val="TableParagraph"/>
              <w:spacing w:line="225" w:lineRule="exact"/>
              <w:ind w:left="535"/>
              <w:jc w:val="left"/>
              <w:rPr>
                <w:rFonts w:ascii="Constantia"/>
                <w:sz w:val="19"/>
              </w:rPr>
            </w:pPr>
            <w:r>
              <w:rPr>
                <w:rFonts w:ascii="Constantia"/>
                <w:sz w:val="19"/>
              </w:rPr>
              <w:t>No</w:t>
            </w:r>
          </w:p>
        </w:tc>
        <w:tc>
          <w:tcPr>
            <w:tcW w:w="945" w:type="dxa"/>
            <w:tcBorders>
              <w:bottom w:val="double" w:sz="4" w:space="0" w:color="000000"/>
            </w:tcBorders>
          </w:tcPr>
          <w:p>
            <w:pPr>
              <w:pStyle w:val="TableParagraph"/>
              <w:spacing w:line="225" w:lineRule="exact"/>
              <w:ind w:right="171"/>
              <w:jc w:val="right"/>
              <w:rPr>
                <w:rFonts w:ascii="Constantia"/>
                <w:sz w:val="19"/>
              </w:rPr>
            </w:pPr>
            <w:r>
              <w:rPr>
                <w:rFonts w:ascii="Constantia"/>
                <w:sz w:val="19"/>
              </w:rPr>
              <w:t>No</w:t>
            </w:r>
          </w:p>
        </w:tc>
        <w:tc>
          <w:tcPr>
            <w:tcW w:w="937" w:type="dxa"/>
            <w:tcBorders>
              <w:bottom w:val="double" w:sz="4" w:space="0" w:color="000000"/>
            </w:tcBorders>
          </w:tcPr>
          <w:p>
            <w:pPr>
              <w:pStyle w:val="TableParagraph"/>
              <w:spacing w:line="225" w:lineRule="exact"/>
              <w:ind w:right="100"/>
              <w:jc w:val="right"/>
              <w:rPr>
                <w:rFonts w:ascii="Constantia"/>
                <w:sz w:val="19"/>
              </w:rPr>
            </w:pPr>
            <w:r>
              <w:rPr>
                <w:rFonts w:ascii="Constantia"/>
                <w:sz w:val="19"/>
              </w:rPr>
              <w:t>No</w:t>
            </w:r>
          </w:p>
        </w:tc>
      </w:tr>
      <w:tr>
        <w:trPr>
          <w:trHeight w:val="285" w:hRule="exact"/>
        </w:trPr>
        <w:tc>
          <w:tcPr>
            <w:tcW w:w="3819" w:type="dxa"/>
            <w:tcBorders>
              <w:top w:val="double" w:sz="4" w:space="0" w:color="000000"/>
            </w:tcBorders>
          </w:tcPr>
          <w:p>
            <w:pPr>
              <w:pStyle w:val="TableParagraph"/>
              <w:spacing w:before="11"/>
              <w:ind w:left="30"/>
              <w:jc w:val="left"/>
              <w:rPr>
                <w:rFonts w:ascii="Constantia"/>
                <w:sz w:val="19"/>
              </w:rPr>
            </w:pPr>
            <w:r>
              <w:rPr>
                <w:rFonts w:ascii="Constantia"/>
                <w:sz w:val="19"/>
              </w:rPr>
              <w:t>R2</w:t>
            </w:r>
          </w:p>
        </w:tc>
        <w:tc>
          <w:tcPr>
            <w:tcW w:w="1027" w:type="dxa"/>
            <w:tcBorders>
              <w:top w:val="double" w:sz="4" w:space="0" w:color="000000"/>
            </w:tcBorders>
          </w:tcPr>
          <w:p>
            <w:pPr>
              <w:pStyle w:val="TableParagraph"/>
              <w:spacing w:before="11"/>
              <w:ind w:right="186"/>
              <w:jc w:val="right"/>
              <w:rPr>
                <w:rFonts w:ascii="Constantia"/>
                <w:sz w:val="19"/>
              </w:rPr>
            </w:pPr>
            <w:r>
              <w:rPr>
                <w:rFonts w:ascii="Constantia"/>
                <w:sz w:val="19"/>
              </w:rPr>
              <w:t>0.54</w:t>
            </w:r>
          </w:p>
        </w:tc>
        <w:tc>
          <w:tcPr>
            <w:tcW w:w="1074" w:type="dxa"/>
            <w:tcBorders>
              <w:top w:val="double" w:sz="4" w:space="0" w:color="000000"/>
            </w:tcBorders>
          </w:tcPr>
          <w:p>
            <w:pPr>
              <w:pStyle w:val="TableParagraph"/>
              <w:spacing w:before="11"/>
              <w:ind w:left="487"/>
              <w:jc w:val="left"/>
              <w:rPr>
                <w:rFonts w:ascii="Constantia"/>
                <w:sz w:val="19"/>
              </w:rPr>
            </w:pPr>
            <w:r>
              <w:rPr>
                <w:rFonts w:ascii="Constantia"/>
                <w:sz w:val="19"/>
              </w:rPr>
              <w:t>0.47</w:t>
            </w:r>
          </w:p>
        </w:tc>
        <w:tc>
          <w:tcPr>
            <w:tcW w:w="1017" w:type="dxa"/>
            <w:tcBorders>
              <w:top w:val="double" w:sz="4" w:space="0" w:color="000000"/>
            </w:tcBorders>
          </w:tcPr>
          <w:p>
            <w:pPr>
              <w:pStyle w:val="TableParagraph"/>
              <w:spacing w:before="11"/>
              <w:ind w:left="444"/>
              <w:jc w:val="left"/>
              <w:rPr>
                <w:rFonts w:ascii="Constantia"/>
                <w:sz w:val="19"/>
              </w:rPr>
            </w:pPr>
            <w:r>
              <w:rPr>
                <w:rFonts w:ascii="Constantia"/>
                <w:sz w:val="19"/>
              </w:rPr>
              <w:t>0.55</w:t>
            </w:r>
          </w:p>
        </w:tc>
        <w:tc>
          <w:tcPr>
            <w:tcW w:w="945" w:type="dxa"/>
            <w:tcBorders>
              <w:top w:val="double" w:sz="4" w:space="0" w:color="000000"/>
            </w:tcBorders>
          </w:tcPr>
          <w:p>
            <w:pPr>
              <w:pStyle w:val="TableParagraph"/>
              <w:spacing w:before="11"/>
              <w:ind w:right="171"/>
              <w:jc w:val="right"/>
              <w:rPr>
                <w:rFonts w:ascii="Constantia"/>
                <w:sz w:val="19"/>
              </w:rPr>
            </w:pPr>
            <w:r>
              <w:rPr>
                <w:rFonts w:ascii="Constantia"/>
                <w:sz w:val="19"/>
              </w:rPr>
              <w:t>0.45</w:t>
            </w:r>
          </w:p>
        </w:tc>
        <w:tc>
          <w:tcPr>
            <w:tcW w:w="937" w:type="dxa"/>
            <w:tcBorders>
              <w:top w:val="double" w:sz="4" w:space="0" w:color="000000"/>
            </w:tcBorders>
          </w:tcPr>
          <w:p>
            <w:pPr>
              <w:pStyle w:val="TableParagraph"/>
              <w:spacing w:before="11"/>
              <w:ind w:right="98"/>
              <w:jc w:val="right"/>
              <w:rPr>
                <w:rFonts w:ascii="Constantia"/>
                <w:sz w:val="19"/>
              </w:rPr>
            </w:pPr>
            <w:r>
              <w:rPr>
                <w:rFonts w:ascii="Constantia"/>
                <w:sz w:val="19"/>
              </w:rPr>
              <w:t>0.44</w:t>
            </w:r>
          </w:p>
        </w:tc>
      </w:tr>
      <w:tr>
        <w:trPr>
          <w:trHeight w:val="253" w:hRule="exact"/>
        </w:trPr>
        <w:tc>
          <w:tcPr>
            <w:tcW w:w="3819" w:type="dxa"/>
          </w:tcPr>
          <w:p>
            <w:pPr>
              <w:pStyle w:val="TableParagraph"/>
              <w:spacing w:line="226" w:lineRule="exact"/>
              <w:ind w:left="30"/>
              <w:jc w:val="left"/>
              <w:rPr>
                <w:rFonts w:ascii="Constantia"/>
                <w:sz w:val="19"/>
              </w:rPr>
            </w:pPr>
            <w:r>
              <w:rPr>
                <w:rFonts w:ascii="Constantia"/>
                <w:sz w:val="19"/>
              </w:rPr>
              <w:t>DW</w:t>
            </w:r>
          </w:p>
        </w:tc>
        <w:tc>
          <w:tcPr>
            <w:tcW w:w="1027" w:type="dxa"/>
          </w:tcPr>
          <w:p>
            <w:pPr>
              <w:pStyle w:val="TableParagraph"/>
              <w:spacing w:line="226" w:lineRule="exact"/>
              <w:ind w:right="186"/>
              <w:jc w:val="right"/>
              <w:rPr>
                <w:rFonts w:ascii="Constantia"/>
                <w:sz w:val="19"/>
              </w:rPr>
            </w:pPr>
            <w:r>
              <w:rPr>
                <w:rFonts w:ascii="Constantia"/>
                <w:sz w:val="19"/>
              </w:rPr>
              <w:t>1.74</w:t>
            </w:r>
          </w:p>
        </w:tc>
        <w:tc>
          <w:tcPr>
            <w:tcW w:w="1074" w:type="dxa"/>
          </w:tcPr>
          <w:p>
            <w:pPr>
              <w:pStyle w:val="TableParagraph"/>
              <w:spacing w:line="226" w:lineRule="exact"/>
              <w:ind w:right="244"/>
              <w:jc w:val="right"/>
              <w:rPr>
                <w:rFonts w:ascii="Constantia"/>
                <w:sz w:val="19"/>
              </w:rPr>
            </w:pPr>
            <w:r>
              <w:rPr>
                <w:rFonts w:ascii="Constantia"/>
                <w:sz w:val="19"/>
              </w:rPr>
              <w:t>1.73</w:t>
            </w:r>
          </w:p>
        </w:tc>
        <w:tc>
          <w:tcPr>
            <w:tcW w:w="1017" w:type="dxa"/>
          </w:tcPr>
          <w:p>
            <w:pPr>
              <w:pStyle w:val="TableParagraph"/>
              <w:spacing w:line="226" w:lineRule="exact"/>
              <w:ind w:right="233"/>
              <w:jc w:val="right"/>
              <w:rPr>
                <w:rFonts w:ascii="Constantia"/>
                <w:sz w:val="19"/>
              </w:rPr>
            </w:pPr>
            <w:r>
              <w:rPr>
                <w:rFonts w:ascii="Constantia"/>
                <w:sz w:val="19"/>
              </w:rPr>
              <w:t>1.79</w:t>
            </w:r>
          </w:p>
        </w:tc>
        <w:tc>
          <w:tcPr>
            <w:tcW w:w="945" w:type="dxa"/>
          </w:tcPr>
          <w:p>
            <w:pPr>
              <w:pStyle w:val="TableParagraph"/>
              <w:spacing w:line="226" w:lineRule="exact"/>
              <w:ind w:right="169"/>
              <w:jc w:val="right"/>
              <w:rPr>
                <w:rFonts w:ascii="Constantia"/>
                <w:sz w:val="19"/>
              </w:rPr>
            </w:pPr>
            <w:r>
              <w:rPr>
                <w:rFonts w:ascii="Constantia"/>
                <w:sz w:val="19"/>
              </w:rPr>
              <w:t>1.66</w:t>
            </w:r>
          </w:p>
        </w:tc>
        <w:tc>
          <w:tcPr>
            <w:tcW w:w="937" w:type="dxa"/>
          </w:tcPr>
          <w:p>
            <w:pPr>
              <w:pStyle w:val="TableParagraph"/>
              <w:spacing w:line="226" w:lineRule="exact"/>
              <w:ind w:right="97"/>
              <w:jc w:val="right"/>
              <w:rPr>
                <w:rFonts w:ascii="Constantia"/>
                <w:sz w:val="19"/>
              </w:rPr>
            </w:pPr>
            <w:r>
              <w:rPr>
                <w:rFonts w:ascii="Constantia"/>
                <w:sz w:val="19"/>
              </w:rPr>
              <w:t>2.27</w:t>
            </w:r>
          </w:p>
        </w:tc>
      </w:tr>
      <w:tr>
        <w:trPr>
          <w:trHeight w:val="278" w:hRule="exact"/>
        </w:trPr>
        <w:tc>
          <w:tcPr>
            <w:tcW w:w="3819" w:type="dxa"/>
          </w:tcPr>
          <w:p>
            <w:pPr>
              <w:pStyle w:val="TableParagraph"/>
              <w:spacing w:line="225" w:lineRule="exact"/>
              <w:ind w:left="30"/>
              <w:jc w:val="left"/>
              <w:rPr>
                <w:rFonts w:ascii="Constantia"/>
                <w:sz w:val="19"/>
              </w:rPr>
            </w:pPr>
            <w:r>
              <w:rPr>
                <w:rFonts w:ascii="Constantia"/>
                <w:sz w:val="19"/>
              </w:rPr>
              <w:t>Prob. ARCH (1)</w:t>
            </w:r>
          </w:p>
        </w:tc>
        <w:tc>
          <w:tcPr>
            <w:tcW w:w="1027" w:type="dxa"/>
          </w:tcPr>
          <w:p>
            <w:pPr>
              <w:pStyle w:val="TableParagraph"/>
              <w:spacing w:line="225" w:lineRule="exact"/>
              <w:ind w:right="184"/>
              <w:jc w:val="right"/>
              <w:rPr>
                <w:rFonts w:ascii="Constantia"/>
                <w:sz w:val="19"/>
              </w:rPr>
            </w:pPr>
            <w:r>
              <w:rPr>
                <w:rFonts w:ascii="Constantia"/>
                <w:sz w:val="19"/>
              </w:rPr>
              <w:t>0.76</w:t>
            </w:r>
          </w:p>
        </w:tc>
        <w:tc>
          <w:tcPr>
            <w:tcW w:w="1074" w:type="dxa"/>
          </w:tcPr>
          <w:p>
            <w:pPr>
              <w:pStyle w:val="TableParagraph"/>
              <w:spacing w:line="225" w:lineRule="exact"/>
              <w:ind w:left="498"/>
              <w:jc w:val="left"/>
              <w:rPr>
                <w:rFonts w:ascii="Constantia"/>
                <w:sz w:val="19"/>
              </w:rPr>
            </w:pPr>
            <w:r>
              <w:rPr>
                <w:rFonts w:ascii="Constantia"/>
                <w:sz w:val="19"/>
              </w:rPr>
              <w:t>0.37</w:t>
            </w:r>
          </w:p>
        </w:tc>
        <w:tc>
          <w:tcPr>
            <w:tcW w:w="1017" w:type="dxa"/>
          </w:tcPr>
          <w:p>
            <w:pPr>
              <w:pStyle w:val="TableParagraph"/>
              <w:spacing w:line="225" w:lineRule="exact"/>
              <w:ind w:left="433"/>
              <w:jc w:val="left"/>
              <w:rPr>
                <w:rFonts w:ascii="Constantia"/>
                <w:sz w:val="19"/>
              </w:rPr>
            </w:pPr>
            <w:r>
              <w:rPr>
                <w:rFonts w:ascii="Constantia"/>
                <w:sz w:val="19"/>
              </w:rPr>
              <w:t>0.54</w:t>
            </w:r>
          </w:p>
        </w:tc>
        <w:tc>
          <w:tcPr>
            <w:tcW w:w="945" w:type="dxa"/>
          </w:tcPr>
          <w:p>
            <w:pPr>
              <w:pStyle w:val="TableParagraph"/>
              <w:spacing w:line="225" w:lineRule="exact"/>
              <w:ind w:right="169"/>
              <w:jc w:val="right"/>
              <w:rPr>
                <w:rFonts w:ascii="Constantia"/>
                <w:sz w:val="19"/>
              </w:rPr>
            </w:pPr>
            <w:r>
              <w:rPr>
                <w:rFonts w:ascii="Constantia"/>
                <w:sz w:val="19"/>
              </w:rPr>
              <w:t>0.26</w:t>
            </w:r>
          </w:p>
        </w:tc>
        <w:tc>
          <w:tcPr>
            <w:tcW w:w="937" w:type="dxa"/>
          </w:tcPr>
          <w:p>
            <w:pPr>
              <w:pStyle w:val="TableParagraph"/>
              <w:spacing w:line="225" w:lineRule="exact"/>
              <w:ind w:right="97"/>
              <w:jc w:val="right"/>
              <w:rPr>
                <w:rFonts w:ascii="Constantia"/>
                <w:sz w:val="19"/>
              </w:rPr>
            </w:pPr>
            <w:r>
              <w:rPr>
                <w:rFonts w:ascii="Constantia"/>
                <w:sz w:val="19"/>
              </w:rPr>
              <w:t>0.42</w:t>
            </w:r>
          </w:p>
        </w:tc>
      </w:tr>
      <w:tr>
        <w:trPr>
          <w:trHeight w:val="266" w:hRule="exact"/>
        </w:trPr>
        <w:tc>
          <w:tcPr>
            <w:tcW w:w="3819" w:type="dxa"/>
            <w:tcBorders>
              <w:bottom w:val="double" w:sz="4" w:space="0" w:color="000000"/>
            </w:tcBorders>
          </w:tcPr>
          <w:p>
            <w:pPr>
              <w:pStyle w:val="TableParagraph"/>
              <w:spacing w:before="19"/>
              <w:ind w:left="30"/>
              <w:jc w:val="left"/>
              <w:rPr>
                <w:rFonts w:ascii="Constantia"/>
                <w:sz w:val="19"/>
              </w:rPr>
            </w:pPr>
            <w:r>
              <w:rPr>
                <w:rFonts w:ascii="Constantia"/>
                <w:sz w:val="19"/>
              </w:rPr>
              <w:t>Prob. Jarque-Bera</w:t>
            </w:r>
          </w:p>
        </w:tc>
        <w:tc>
          <w:tcPr>
            <w:tcW w:w="1027" w:type="dxa"/>
            <w:tcBorders>
              <w:bottom w:val="double" w:sz="4" w:space="0" w:color="000000"/>
            </w:tcBorders>
          </w:tcPr>
          <w:p>
            <w:pPr>
              <w:pStyle w:val="TableParagraph"/>
              <w:spacing w:before="19"/>
              <w:ind w:right="185"/>
              <w:jc w:val="right"/>
              <w:rPr>
                <w:rFonts w:ascii="Constantia"/>
                <w:sz w:val="19"/>
              </w:rPr>
            </w:pPr>
            <w:r>
              <w:rPr>
                <w:rFonts w:ascii="Constantia"/>
                <w:sz w:val="19"/>
              </w:rPr>
              <w:t>0.77</w:t>
            </w:r>
          </w:p>
        </w:tc>
        <w:tc>
          <w:tcPr>
            <w:tcW w:w="1074" w:type="dxa"/>
            <w:tcBorders>
              <w:bottom w:val="double" w:sz="4" w:space="0" w:color="000000"/>
            </w:tcBorders>
          </w:tcPr>
          <w:p>
            <w:pPr>
              <w:pStyle w:val="TableParagraph"/>
              <w:spacing w:before="19"/>
              <w:ind w:left="487"/>
              <w:jc w:val="left"/>
              <w:rPr>
                <w:rFonts w:ascii="Constantia"/>
                <w:sz w:val="19"/>
              </w:rPr>
            </w:pPr>
            <w:r>
              <w:rPr>
                <w:rFonts w:ascii="Constantia"/>
                <w:sz w:val="19"/>
              </w:rPr>
              <w:t>0.92</w:t>
            </w:r>
          </w:p>
        </w:tc>
        <w:tc>
          <w:tcPr>
            <w:tcW w:w="1017" w:type="dxa"/>
            <w:tcBorders>
              <w:bottom w:val="double" w:sz="4" w:space="0" w:color="000000"/>
            </w:tcBorders>
          </w:tcPr>
          <w:p>
            <w:pPr>
              <w:pStyle w:val="TableParagraph"/>
              <w:spacing w:before="19"/>
              <w:ind w:right="235"/>
              <w:jc w:val="right"/>
              <w:rPr>
                <w:rFonts w:ascii="Constantia"/>
                <w:sz w:val="19"/>
              </w:rPr>
            </w:pPr>
            <w:r>
              <w:rPr>
                <w:rFonts w:ascii="Constantia"/>
                <w:sz w:val="19"/>
              </w:rPr>
              <w:t>0.80</w:t>
            </w:r>
          </w:p>
        </w:tc>
        <w:tc>
          <w:tcPr>
            <w:tcW w:w="945" w:type="dxa"/>
            <w:tcBorders>
              <w:bottom w:val="double" w:sz="4" w:space="0" w:color="000000"/>
            </w:tcBorders>
          </w:tcPr>
          <w:p>
            <w:pPr>
              <w:pStyle w:val="TableParagraph"/>
              <w:spacing w:before="19"/>
              <w:ind w:right="169"/>
              <w:jc w:val="right"/>
              <w:rPr>
                <w:rFonts w:ascii="Constantia"/>
                <w:sz w:val="19"/>
              </w:rPr>
            </w:pPr>
            <w:r>
              <w:rPr>
                <w:rFonts w:ascii="Constantia"/>
                <w:sz w:val="19"/>
              </w:rPr>
              <w:t>0.66</w:t>
            </w:r>
          </w:p>
        </w:tc>
        <w:tc>
          <w:tcPr>
            <w:tcW w:w="937" w:type="dxa"/>
            <w:tcBorders>
              <w:bottom w:val="double" w:sz="4" w:space="0" w:color="000000"/>
            </w:tcBorders>
          </w:tcPr>
          <w:p>
            <w:pPr>
              <w:pStyle w:val="TableParagraph"/>
              <w:spacing w:before="19"/>
              <w:ind w:right="96"/>
              <w:jc w:val="right"/>
              <w:rPr>
                <w:rFonts w:ascii="Constantia"/>
                <w:sz w:val="19"/>
              </w:rPr>
            </w:pPr>
            <w:r>
              <w:rPr>
                <w:rFonts w:ascii="Constantia"/>
                <w:sz w:val="19"/>
              </w:rPr>
              <w:t>0.96</w:t>
            </w:r>
          </w:p>
        </w:tc>
      </w:tr>
    </w:tbl>
    <w:p>
      <w:pPr>
        <w:spacing w:before="4"/>
        <w:ind w:left="171" w:right="115" w:firstLine="0"/>
        <w:jc w:val="left"/>
        <w:rPr>
          <w:rFonts w:ascii="Constantia" w:hAnsi="Constantia"/>
          <w:sz w:val="16"/>
        </w:rPr>
      </w:pPr>
      <w:r>
        <w:rPr>
          <w:rFonts w:ascii="Constantia" w:hAnsi="Constantia"/>
          <w:sz w:val="16"/>
        </w:rPr>
        <w:t>Los errores estándares se encuentran entre paréntesis.</w:t>
      </w:r>
    </w:p>
    <w:p>
      <w:pPr>
        <w:spacing w:before="11"/>
        <w:ind w:left="102" w:right="115" w:firstLine="0"/>
        <w:jc w:val="left"/>
        <w:rPr>
          <w:sz w:val="20"/>
        </w:rPr>
      </w:pPr>
      <w:r>
        <w:rPr>
          <w:sz w:val="20"/>
        </w:rPr>
        <w:t>Fuente: Estimaciones propias con base en información del Banco Central de Bolivia (2012).</w:t>
      </w:r>
    </w:p>
    <w:p>
      <w:pPr>
        <w:pStyle w:val="BodyText"/>
        <w:spacing w:before="4"/>
        <w:rPr>
          <w:sz w:val="21"/>
        </w:rPr>
      </w:pPr>
    </w:p>
    <w:p>
      <w:pPr>
        <w:pStyle w:val="Heading4"/>
        <w:ind w:left="420" w:right="461" w:firstLine="0"/>
        <w:jc w:val="center"/>
      </w:pPr>
      <w:bookmarkStart w:name="_bookmark189" w:id="254"/>
      <w:bookmarkEnd w:id="254"/>
      <w:r>
        <w:rPr>
          <w:b w:val="0"/>
        </w:rPr>
      </w:r>
      <w:r>
        <w:rPr/>
        <w:t>Anexo 4.9  Choques determinantes sobre la deuda pública/ PIB</w:t>
      </w:r>
    </w:p>
    <w:p>
      <w:pPr>
        <w:spacing w:before="123" w:after="4"/>
        <w:ind w:left="420" w:right="446" w:firstLine="0"/>
        <w:jc w:val="center"/>
        <w:rPr>
          <w:rFonts w:ascii="Constantia" w:hAnsi="Constantia"/>
          <w:b/>
          <w:sz w:val="21"/>
        </w:rPr>
      </w:pPr>
      <w:r>
        <w:rPr>
          <w:rFonts w:ascii="Constantia" w:hAnsi="Constantia"/>
          <w:b/>
          <w:sz w:val="21"/>
        </w:rPr>
        <w:t>Variable dependiente: ∆ Deuda Pública/ PIB</w:t>
      </w:r>
    </w:p>
    <w:p>
      <w:pPr>
        <w:pStyle w:val="BodyText"/>
        <w:spacing w:line="31" w:lineRule="exact"/>
        <w:ind w:left="135"/>
        <w:rPr>
          <w:rFonts w:ascii="Constantia"/>
          <w:sz w:val="3"/>
        </w:rPr>
      </w:pPr>
      <w:r>
        <w:rPr>
          <w:rFonts w:ascii="Constantia"/>
          <w:position w:val="0"/>
          <w:sz w:val="3"/>
        </w:rPr>
        <w:pict>
          <v:group style="width:441.55pt;height:1.6pt;mso-position-horizontal-relative:char;mso-position-vertical-relative:line" coordorigin="0,0" coordsize="8831,32">
            <v:line style="position:absolute" from="11,6" to="8820,6" stroked="true" strokeweight=".504729pt" strokecolor="#000000"/>
            <v:line style="position:absolute" from="6,6" to="8825,6" stroked="true" strokeweight=".504729pt" strokecolor="#000000"/>
            <v:line style="position:absolute" from="11,26" to="8820,26" stroked="true" strokeweight=".504729pt" strokecolor="#000000"/>
            <v:line style="position:absolute" from="6,26" to="8825,26" stroked="true" strokeweight=".504729pt" strokecolor="#000000"/>
          </v:group>
        </w:pict>
      </w:r>
      <w:r>
        <w:rPr>
          <w:rFonts w:ascii="Constantia"/>
          <w:position w:val="0"/>
          <w:sz w:val="3"/>
        </w:rPr>
      </w:r>
    </w:p>
    <w:p>
      <w:pPr>
        <w:spacing w:before="11" w:after="24"/>
        <w:ind w:left="5339" w:right="115" w:firstLine="0"/>
        <w:jc w:val="left"/>
        <w:rPr>
          <w:rFonts w:ascii="Constantia"/>
          <w:sz w:val="19"/>
        </w:rPr>
      </w:pPr>
      <w:r>
        <w:rPr>
          <w:rFonts w:ascii="Constantia"/>
          <w:sz w:val="19"/>
        </w:rPr>
        <w:t>Trimestres hacia adelante</w:t>
      </w:r>
    </w:p>
    <w:tbl>
      <w:tblPr>
        <w:tblW w:w="0" w:type="auto"/>
        <w:jc w:val="left"/>
        <w:tblInd w:w="14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869"/>
        <w:gridCol w:w="977"/>
        <w:gridCol w:w="1011"/>
        <w:gridCol w:w="916"/>
        <w:gridCol w:w="1177"/>
        <w:gridCol w:w="869"/>
      </w:tblGrid>
      <w:tr>
        <w:trPr>
          <w:trHeight w:val="244" w:hRule="exact"/>
        </w:trPr>
        <w:tc>
          <w:tcPr>
            <w:tcW w:w="3869" w:type="dxa"/>
            <w:tcBorders>
              <w:bottom w:val="double" w:sz="4" w:space="0" w:color="000000"/>
            </w:tcBorders>
          </w:tcPr>
          <w:p>
            <w:pPr>
              <w:pStyle w:val="TableParagraph"/>
              <w:spacing w:line="229" w:lineRule="exact"/>
              <w:ind w:left="30"/>
              <w:jc w:val="left"/>
              <w:rPr>
                <w:rFonts w:ascii="Constantia"/>
                <w:sz w:val="19"/>
              </w:rPr>
            </w:pPr>
            <w:r>
              <w:rPr>
                <w:rFonts w:ascii="Constantia"/>
                <w:sz w:val="19"/>
                <w:u w:val="single"/>
              </w:rPr>
              <w:t>Variables explicativas:</w:t>
            </w:r>
          </w:p>
        </w:tc>
        <w:tc>
          <w:tcPr>
            <w:tcW w:w="977" w:type="dxa"/>
            <w:tcBorders>
              <w:bottom w:val="double" w:sz="4" w:space="0" w:color="000000"/>
            </w:tcBorders>
          </w:tcPr>
          <w:p>
            <w:pPr>
              <w:pStyle w:val="TableParagraph"/>
              <w:spacing w:line="229" w:lineRule="exact"/>
              <w:ind w:left="317"/>
              <w:jc w:val="left"/>
              <w:rPr>
                <w:rFonts w:ascii="Constantia"/>
                <w:sz w:val="19"/>
              </w:rPr>
            </w:pPr>
            <w:r>
              <w:rPr>
                <w:rFonts w:ascii="Constantia"/>
                <w:w w:val="101"/>
                <w:sz w:val="19"/>
              </w:rPr>
              <w:t>1</w:t>
            </w:r>
          </w:p>
        </w:tc>
        <w:tc>
          <w:tcPr>
            <w:tcW w:w="1011" w:type="dxa"/>
            <w:tcBorders>
              <w:bottom w:val="double" w:sz="4" w:space="0" w:color="000000"/>
            </w:tcBorders>
          </w:tcPr>
          <w:p>
            <w:pPr>
              <w:pStyle w:val="TableParagraph"/>
              <w:spacing w:line="229" w:lineRule="exact"/>
              <w:ind w:left="331"/>
              <w:jc w:val="left"/>
              <w:rPr>
                <w:rFonts w:ascii="Constantia"/>
                <w:sz w:val="19"/>
              </w:rPr>
            </w:pPr>
            <w:r>
              <w:rPr>
                <w:rFonts w:ascii="Constantia"/>
                <w:w w:val="101"/>
                <w:sz w:val="19"/>
              </w:rPr>
              <w:t>2</w:t>
            </w:r>
          </w:p>
        </w:tc>
        <w:tc>
          <w:tcPr>
            <w:tcW w:w="916" w:type="dxa"/>
            <w:tcBorders>
              <w:bottom w:val="double" w:sz="4" w:space="0" w:color="000000"/>
            </w:tcBorders>
          </w:tcPr>
          <w:p>
            <w:pPr>
              <w:pStyle w:val="TableParagraph"/>
              <w:spacing w:line="229" w:lineRule="exact"/>
              <w:ind w:right="163"/>
              <w:rPr>
                <w:rFonts w:ascii="Constantia"/>
                <w:sz w:val="19"/>
              </w:rPr>
            </w:pPr>
            <w:r>
              <w:rPr>
                <w:rFonts w:ascii="Constantia"/>
                <w:w w:val="101"/>
                <w:sz w:val="19"/>
              </w:rPr>
              <w:t>3</w:t>
            </w:r>
          </w:p>
        </w:tc>
        <w:tc>
          <w:tcPr>
            <w:tcW w:w="1177" w:type="dxa"/>
            <w:tcBorders>
              <w:bottom w:val="double" w:sz="4" w:space="0" w:color="000000"/>
            </w:tcBorders>
          </w:tcPr>
          <w:p>
            <w:pPr>
              <w:pStyle w:val="TableParagraph"/>
              <w:spacing w:line="229" w:lineRule="exact"/>
              <w:ind w:right="157"/>
              <w:rPr>
                <w:rFonts w:ascii="Constantia"/>
                <w:sz w:val="19"/>
              </w:rPr>
            </w:pPr>
            <w:r>
              <w:rPr>
                <w:rFonts w:ascii="Constantia"/>
                <w:w w:val="101"/>
                <w:sz w:val="19"/>
              </w:rPr>
              <w:t>4</w:t>
            </w:r>
          </w:p>
        </w:tc>
        <w:tc>
          <w:tcPr>
            <w:tcW w:w="869" w:type="dxa"/>
            <w:tcBorders>
              <w:bottom w:val="double" w:sz="4" w:space="0" w:color="000000"/>
            </w:tcBorders>
          </w:tcPr>
          <w:p>
            <w:pPr>
              <w:pStyle w:val="TableParagraph"/>
              <w:spacing w:line="229" w:lineRule="exact"/>
              <w:ind w:right="109"/>
              <w:rPr>
                <w:rFonts w:ascii="Constantia"/>
                <w:sz w:val="19"/>
              </w:rPr>
            </w:pPr>
            <w:r>
              <w:rPr>
                <w:rFonts w:ascii="Constantia"/>
                <w:w w:val="101"/>
                <w:sz w:val="19"/>
              </w:rPr>
              <w:t>5</w:t>
            </w:r>
          </w:p>
        </w:tc>
      </w:tr>
      <w:tr>
        <w:trPr>
          <w:trHeight w:val="325" w:hRule="exact"/>
        </w:trPr>
        <w:tc>
          <w:tcPr>
            <w:tcW w:w="3869" w:type="dxa"/>
            <w:tcBorders>
              <w:top w:val="double" w:sz="4" w:space="0" w:color="000000"/>
            </w:tcBorders>
          </w:tcPr>
          <w:p>
            <w:pPr>
              <w:pStyle w:val="TableParagraph"/>
              <w:spacing w:before="31"/>
              <w:ind w:left="30"/>
              <w:jc w:val="left"/>
              <w:rPr>
                <w:rFonts w:ascii="Constantia"/>
                <w:sz w:val="19"/>
              </w:rPr>
            </w:pPr>
            <w:r>
              <w:rPr>
                <w:rFonts w:ascii="Constantia"/>
                <w:sz w:val="19"/>
              </w:rPr>
              <w:t>Choq. Estruct. Precio del gas natural</w:t>
            </w:r>
          </w:p>
        </w:tc>
        <w:tc>
          <w:tcPr>
            <w:tcW w:w="977" w:type="dxa"/>
            <w:tcBorders>
              <w:top w:val="double" w:sz="4" w:space="0" w:color="000000"/>
            </w:tcBorders>
          </w:tcPr>
          <w:p>
            <w:pPr>
              <w:pStyle w:val="TableParagraph"/>
              <w:spacing w:before="12"/>
              <w:ind w:right="161"/>
              <w:jc w:val="right"/>
              <w:rPr>
                <w:rFonts w:ascii="Constantia"/>
                <w:sz w:val="21"/>
              </w:rPr>
            </w:pPr>
            <w:r>
              <w:rPr>
                <w:rFonts w:ascii="Constantia"/>
                <w:sz w:val="21"/>
              </w:rPr>
              <w:t>-0.0465*</w:t>
            </w:r>
          </w:p>
        </w:tc>
        <w:tc>
          <w:tcPr>
            <w:tcW w:w="1011" w:type="dxa"/>
            <w:tcBorders>
              <w:top w:val="double" w:sz="4" w:space="0" w:color="000000"/>
            </w:tcBorders>
          </w:tcPr>
          <w:p>
            <w:pPr>
              <w:pStyle w:val="TableParagraph"/>
              <w:spacing w:before="12"/>
              <w:ind w:right="161"/>
              <w:jc w:val="right"/>
              <w:rPr>
                <w:rFonts w:ascii="Constantia"/>
                <w:sz w:val="21"/>
              </w:rPr>
            </w:pPr>
            <w:r>
              <w:rPr>
                <w:rFonts w:ascii="Constantia"/>
                <w:sz w:val="21"/>
              </w:rPr>
              <w:t>0.0430*</w:t>
            </w:r>
          </w:p>
        </w:tc>
        <w:tc>
          <w:tcPr>
            <w:tcW w:w="916" w:type="dxa"/>
            <w:tcBorders>
              <w:top w:val="double" w:sz="4" w:space="0" w:color="000000"/>
            </w:tcBorders>
          </w:tcPr>
          <w:p>
            <w:pPr>
              <w:pStyle w:val="TableParagraph"/>
              <w:spacing w:before="12"/>
              <w:ind w:right="62"/>
              <w:jc w:val="right"/>
              <w:rPr>
                <w:rFonts w:ascii="Constantia"/>
                <w:sz w:val="21"/>
              </w:rPr>
            </w:pPr>
            <w:r>
              <w:rPr>
                <w:rFonts w:ascii="Constantia"/>
                <w:sz w:val="21"/>
              </w:rPr>
              <w:t>-0.0369</w:t>
            </w:r>
          </w:p>
        </w:tc>
        <w:tc>
          <w:tcPr>
            <w:tcW w:w="1177" w:type="dxa"/>
            <w:tcBorders>
              <w:top w:val="double" w:sz="4" w:space="0" w:color="000000"/>
            </w:tcBorders>
          </w:tcPr>
          <w:p>
            <w:pPr>
              <w:pStyle w:val="TableParagraph"/>
              <w:spacing w:before="12"/>
              <w:ind w:right="161"/>
              <w:jc w:val="right"/>
              <w:rPr>
                <w:rFonts w:ascii="Constantia"/>
                <w:sz w:val="21"/>
              </w:rPr>
            </w:pPr>
            <w:r>
              <w:rPr>
                <w:rFonts w:ascii="Constantia"/>
                <w:sz w:val="21"/>
              </w:rPr>
              <w:t>-0.0304***</w:t>
            </w:r>
          </w:p>
        </w:tc>
        <w:tc>
          <w:tcPr>
            <w:tcW w:w="869" w:type="dxa"/>
            <w:tcBorders>
              <w:top w:val="double" w:sz="4" w:space="0" w:color="000000"/>
            </w:tcBorders>
          </w:tcPr>
          <w:p>
            <w:pPr>
              <w:pStyle w:val="TableParagraph"/>
              <w:spacing w:before="12"/>
              <w:ind w:right="24"/>
              <w:jc w:val="right"/>
              <w:rPr>
                <w:rFonts w:ascii="Constantia"/>
                <w:sz w:val="21"/>
              </w:rPr>
            </w:pPr>
            <w:r>
              <w:rPr>
                <w:rFonts w:ascii="Constantia"/>
                <w:sz w:val="21"/>
              </w:rPr>
              <w:t>-0.0079</w:t>
            </w:r>
          </w:p>
        </w:tc>
      </w:tr>
      <w:tr>
        <w:trPr>
          <w:trHeight w:val="243" w:hRule="exact"/>
        </w:trPr>
        <w:tc>
          <w:tcPr>
            <w:tcW w:w="3869" w:type="dxa"/>
          </w:tcPr>
          <w:p>
            <w:pPr/>
          </w:p>
        </w:tc>
        <w:tc>
          <w:tcPr>
            <w:tcW w:w="977" w:type="dxa"/>
          </w:tcPr>
          <w:p>
            <w:pPr>
              <w:pStyle w:val="TableParagraph"/>
              <w:spacing w:before="13"/>
              <w:ind w:right="164"/>
              <w:jc w:val="right"/>
              <w:rPr>
                <w:rFonts w:ascii="Constantia"/>
                <w:sz w:val="16"/>
              </w:rPr>
            </w:pPr>
            <w:r>
              <w:rPr>
                <w:rFonts w:ascii="Constantia"/>
                <w:sz w:val="16"/>
              </w:rPr>
              <w:t>(0.0219)</w:t>
            </w:r>
          </w:p>
        </w:tc>
        <w:tc>
          <w:tcPr>
            <w:tcW w:w="1011" w:type="dxa"/>
          </w:tcPr>
          <w:p>
            <w:pPr>
              <w:pStyle w:val="TableParagraph"/>
              <w:spacing w:before="13"/>
              <w:ind w:right="164"/>
              <w:jc w:val="right"/>
              <w:rPr>
                <w:rFonts w:ascii="Constantia"/>
                <w:sz w:val="16"/>
              </w:rPr>
            </w:pPr>
            <w:r>
              <w:rPr>
                <w:rFonts w:ascii="Constantia"/>
                <w:sz w:val="16"/>
              </w:rPr>
              <w:t>(0.0210)</w:t>
            </w:r>
          </w:p>
        </w:tc>
        <w:tc>
          <w:tcPr>
            <w:tcW w:w="916" w:type="dxa"/>
          </w:tcPr>
          <w:p>
            <w:pPr>
              <w:pStyle w:val="TableParagraph"/>
              <w:spacing w:before="13"/>
              <w:ind w:right="68"/>
              <w:jc w:val="right"/>
              <w:rPr>
                <w:rFonts w:ascii="Constantia"/>
                <w:sz w:val="16"/>
              </w:rPr>
            </w:pPr>
            <w:r>
              <w:rPr>
                <w:rFonts w:ascii="Constantia"/>
                <w:sz w:val="16"/>
              </w:rPr>
              <w:t>(0.0199)</w:t>
            </w:r>
          </w:p>
        </w:tc>
        <w:tc>
          <w:tcPr>
            <w:tcW w:w="1177" w:type="dxa"/>
          </w:tcPr>
          <w:p>
            <w:pPr>
              <w:pStyle w:val="TableParagraph"/>
              <w:spacing w:before="13"/>
              <w:ind w:right="163"/>
              <w:jc w:val="right"/>
              <w:rPr>
                <w:rFonts w:ascii="Constantia"/>
                <w:sz w:val="16"/>
              </w:rPr>
            </w:pPr>
            <w:r>
              <w:rPr>
                <w:rFonts w:ascii="Constantia"/>
                <w:sz w:val="16"/>
              </w:rPr>
              <w:t>(0.0074)</w:t>
            </w:r>
          </w:p>
        </w:tc>
        <w:tc>
          <w:tcPr>
            <w:tcW w:w="869" w:type="dxa"/>
          </w:tcPr>
          <w:p>
            <w:pPr>
              <w:pStyle w:val="TableParagraph"/>
              <w:spacing w:before="13"/>
              <w:ind w:right="31"/>
              <w:jc w:val="right"/>
              <w:rPr>
                <w:rFonts w:ascii="Constantia"/>
                <w:sz w:val="16"/>
              </w:rPr>
            </w:pPr>
            <w:r>
              <w:rPr>
                <w:rFonts w:ascii="Constantia"/>
                <w:sz w:val="16"/>
              </w:rPr>
              <w:t>(0.0099)</w:t>
            </w:r>
          </w:p>
        </w:tc>
      </w:tr>
      <w:tr>
        <w:trPr>
          <w:trHeight w:val="293" w:hRule="exact"/>
        </w:trPr>
        <w:tc>
          <w:tcPr>
            <w:tcW w:w="3869" w:type="dxa"/>
          </w:tcPr>
          <w:p>
            <w:pPr>
              <w:pStyle w:val="TableParagraph"/>
              <w:spacing w:before="15"/>
              <w:ind w:left="30"/>
              <w:jc w:val="left"/>
              <w:rPr>
                <w:rFonts w:ascii="Constantia" w:hAnsi="Constantia"/>
                <w:sz w:val="19"/>
              </w:rPr>
            </w:pPr>
            <w:r>
              <w:rPr>
                <w:rFonts w:ascii="Constantia" w:hAnsi="Constantia"/>
                <w:sz w:val="19"/>
              </w:rPr>
              <w:t>Choq. Estruct. Asign. De Ing. Fisc. Gasíf.</w:t>
            </w:r>
          </w:p>
        </w:tc>
        <w:tc>
          <w:tcPr>
            <w:tcW w:w="977" w:type="dxa"/>
          </w:tcPr>
          <w:p>
            <w:pPr>
              <w:pStyle w:val="TableParagraph"/>
              <w:spacing w:line="253" w:lineRule="exact"/>
              <w:ind w:right="160"/>
              <w:jc w:val="right"/>
              <w:rPr>
                <w:rFonts w:ascii="Constantia"/>
                <w:sz w:val="21"/>
              </w:rPr>
            </w:pPr>
            <w:r>
              <w:rPr>
                <w:rFonts w:ascii="Constantia"/>
                <w:sz w:val="21"/>
              </w:rPr>
              <w:t>0.0062</w:t>
            </w:r>
          </w:p>
        </w:tc>
        <w:tc>
          <w:tcPr>
            <w:tcW w:w="1011" w:type="dxa"/>
          </w:tcPr>
          <w:p>
            <w:pPr>
              <w:pStyle w:val="TableParagraph"/>
              <w:spacing w:line="253" w:lineRule="exact"/>
              <w:ind w:right="161"/>
              <w:jc w:val="right"/>
              <w:rPr>
                <w:rFonts w:ascii="Constantia"/>
                <w:sz w:val="21"/>
              </w:rPr>
            </w:pPr>
            <w:r>
              <w:rPr>
                <w:rFonts w:ascii="Constantia"/>
                <w:sz w:val="21"/>
              </w:rPr>
              <w:t>0.0474*</w:t>
            </w:r>
          </w:p>
        </w:tc>
        <w:tc>
          <w:tcPr>
            <w:tcW w:w="916" w:type="dxa"/>
          </w:tcPr>
          <w:p>
            <w:pPr>
              <w:pStyle w:val="TableParagraph"/>
              <w:spacing w:line="253" w:lineRule="exact"/>
              <w:ind w:right="63"/>
              <w:jc w:val="right"/>
              <w:rPr>
                <w:rFonts w:ascii="Constantia"/>
                <w:sz w:val="21"/>
              </w:rPr>
            </w:pPr>
            <w:r>
              <w:rPr>
                <w:rFonts w:ascii="Constantia"/>
                <w:sz w:val="21"/>
              </w:rPr>
              <w:t>-0.0090</w:t>
            </w:r>
          </w:p>
        </w:tc>
        <w:tc>
          <w:tcPr>
            <w:tcW w:w="1177" w:type="dxa"/>
          </w:tcPr>
          <w:p>
            <w:pPr>
              <w:pStyle w:val="TableParagraph"/>
              <w:spacing w:line="253" w:lineRule="exact"/>
              <w:ind w:right="165"/>
              <w:jc w:val="right"/>
              <w:rPr>
                <w:rFonts w:ascii="Constantia"/>
                <w:sz w:val="21"/>
              </w:rPr>
            </w:pPr>
            <w:r>
              <w:rPr>
                <w:rFonts w:ascii="Constantia"/>
                <w:sz w:val="21"/>
              </w:rPr>
              <w:t>0.0083</w:t>
            </w:r>
          </w:p>
        </w:tc>
        <w:tc>
          <w:tcPr>
            <w:tcW w:w="869" w:type="dxa"/>
          </w:tcPr>
          <w:p>
            <w:pPr>
              <w:pStyle w:val="TableParagraph"/>
              <w:spacing w:line="253" w:lineRule="exact"/>
              <w:ind w:right="33"/>
              <w:jc w:val="right"/>
              <w:rPr>
                <w:rFonts w:ascii="Constantia"/>
                <w:sz w:val="21"/>
              </w:rPr>
            </w:pPr>
            <w:r>
              <w:rPr>
                <w:rFonts w:ascii="Constantia"/>
                <w:sz w:val="21"/>
              </w:rPr>
              <w:t>0.0083</w:t>
            </w:r>
          </w:p>
        </w:tc>
      </w:tr>
      <w:tr>
        <w:trPr>
          <w:trHeight w:val="243" w:hRule="exact"/>
        </w:trPr>
        <w:tc>
          <w:tcPr>
            <w:tcW w:w="3869" w:type="dxa"/>
          </w:tcPr>
          <w:p>
            <w:pPr/>
          </w:p>
        </w:tc>
        <w:tc>
          <w:tcPr>
            <w:tcW w:w="977" w:type="dxa"/>
          </w:tcPr>
          <w:p>
            <w:pPr>
              <w:pStyle w:val="TableParagraph"/>
              <w:spacing w:before="13"/>
              <w:ind w:right="164"/>
              <w:jc w:val="right"/>
              <w:rPr>
                <w:rFonts w:ascii="Constantia"/>
                <w:sz w:val="16"/>
              </w:rPr>
            </w:pPr>
            <w:r>
              <w:rPr>
                <w:rFonts w:ascii="Constantia"/>
                <w:sz w:val="16"/>
              </w:rPr>
              <w:t>(0.0219)</w:t>
            </w:r>
          </w:p>
        </w:tc>
        <w:tc>
          <w:tcPr>
            <w:tcW w:w="1011" w:type="dxa"/>
          </w:tcPr>
          <w:p>
            <w:pPr>
              <w:pStyle w:val="TableParagraph"/>
              <w:spacing w:before="13"/>
              <w:ind w:right="164"/>
              <w:jc w:val="right"/>
              <w:rPr>
                <w:rFonts w:ascii="Constantia"/>
                <w:sz w:val="16"/>
              </w:rPr>
            </w:pPr>
            <w:r>
              <w:rPr>
                <w:rFonts w:ascii="Constantia"/>
                <w:sz w:val="16"/>
              </w:rPr>
              <w:t>(0.0210)</w:t>
            </w:r>
          </w:p>
        </w:tc>
        <w:tc>
          <w:tcPr>
            <w:tcW w:w="916" w:type="dxa"/>
          </w:tcPr>
          <w:p>
            <w:pPr>
              <w:pStyle w:val="TableParagraph"/>
              <w:spacing w:before="13"/>
              <w:ind w:right="68"/>
              <w:jc w:val="right"/>
              <w:rPr>
                <w:rFonts w:ascii="Constantia"/>
                <w:sz w:val="16"/>
              </w:rPr>
            </w:pPr>
            <w:r>
              <w:rPr>
                <w:rFonts w:ascii="Constantia"/>
                <w:sz w:val="16"/>
              </w:rPr>
              <w:t>(0.0199)</w:t>
            </w:r>
          </w:p>
        </w:tc>
        <w:tc>
          <w:tcPr>
            <w:tcW w:w="1177" w:type="dxa"/>
          </w:tcPr>
          <w:p>
            <w:pPr>
              <w:pStyle w:val="TableParagraph"/>
              <w:spacing w:before="13"/>
              <w:ind w:right="163"/>
              <w:jc w:val="right"/>
              <w:rPr>
                <w:rFonts w:ascii="Constantia"/>
                <w:sz w:val="16"/>
              </w:rPr>
            </w:pPr>
            <w:r>
              <w:rPr>
                <w:rFonts w:ascii="Constantia"/>
                <w:sz w:val="16"/>
              </w:rPr>
              <w:t>(0.0050)</w:t>
            </w:r>
          </w:p>
        </w:tc>
        <w:tc>
          <w:tcPr>
            <w:tcW w:w="869" w:type="dxa"/>
          </w:tcPr>
          <w:p>
            <w:pPr>
              <w:pStyle w:val="TableParagraph"/>
              <w:spacing w:before="13"/>
              <w:ind w:right="31"/>
              <w:jc w:val="right"/>
              <w:rPr>
                <w:rFonts w:ascii="Constantia"/>
                <w:sz w:val="16"/>
              </w:rPr>
            </w:pPr>
            <w:r>
              <w:rPr>
                <w:rFonts w:ascii="Constantia"/>
                <w:sz w:val="16"/>
              </w:rPr>
              <w:t>(0.0079)</w:t>
            </w:r>
          </w:p>
        </w:tc>
      </w:tr>
      <w:tr>
        <w:trPr>
          <w:trHeight w:val="293" w:hRule="exact"/>
        </w:trPr>
        <w:tc>
          <w:tcPr>
            <w:tcW w:w="3869" w:type="dxa"/>
          </w:tcPr>
          <w:p>
            <w:pPr>
              <w:pStyle w:val="TableParagraph"/>
              <w:spacing w:before="15"/>
              <w:ind w:left="30"/>
              <w:jc w:val="left"/>
              <w:rPr>
                <w:rFonts w:ascii="Constantia" w:hAnsi="Constantia"/>
                <w:sz w:val="19"/>
              </w:rPr>
            </w:pPr>
            <w:r>
              <w:rPr>
                <w:rFonts w:ascii="Constantia" w:hAnsi="Constantia"/>
                <w:sz w:val="19"/>
              </w:rPr>
              <w:t>Choq. Estruct. Asign. De Ing. Fisc. No Gasíf.</w:t>
            </w:r>
          </w:p>
        </w:tc>
        <w:tc>
          <w:tcPr>
            <w:tcW w:w="977" w:type="dxa"/>
          </w:tcPr>
          <w:p>
            <w:pPr>
              <w:pStyle w:val="TableParagraph"/>
              <w:spacing w:line="253" w:lineRule="exact"/>
              <w:ind w:right="160"/>
              <w:jc w:val="right"/>
              <w:rPr>
                <w:rFonts w:ascii="Constantia"/>
                <w:sz w:val="21"/>
              </w:rPr>
            </w:pPr>
            <w:r>
              <w:rPr>
                <w:rFonts w:ascii="Constantia"/>
                <w:sz w:val="21"/>
              </w:rPr>
              <w:t>0.0104</w:t>
            </w:r>
          </w:p>
        </w:tc>
        <w:tc>
          <w:tcPr>
            <w:tcW w:w="1011" w:type="dxa"/>
          </w:tcPr>
          <w:p>
            <w:pPr>
              <w:pStyle w:val="TableParagraph"/>
              <w:spacing w:line="253" w:lineRule="exact"/>
              <w:ind w:right="157"/>
              <w:jc w:val="right"/>
              <w:rPr>
                <w:rFonts w:ascii="Constantia"/>
                <w:sz w:val="21"/>
              </w:rPr>
            </w:pPr>
            <w:r>
              <w:rPr>
                <w:rFonts w:ascii="Constantia"/>
                <w:sz w:val="21"/>
              </w:rPr>
              <w:t>-0.0179</w:t>
            </w:r>
          </w:p>
        </w:tc>
        <w:tc>
          <w:tcPr>
            <w:tcW w:w="916" w:type="dxa"/>
          </w:tcPr>
          <w:p>
            <w:pPr>
              <w:pStyle w:val="TableParagraph"/>
              <w:spacing w:line="253" w:lineRule="exact"/>
              <w:ind w:right="65"/>
              <w:jc w:val="right"/>
              <w:rPr>
                <w:rFonts w:ascii="Constantia"/>
                <w:sz w:val="21"/>
              </w:rPr>
            </w:pPr>
            <w:r>
              <w:rPr>
                <w:rFonts w:ascii="Constantia"/>
                <w:sz w:val="21"/>
              </w:rPr>
              <w:t>-0.0002</w:t>
            </w:r>
          </w:p>
        </w:tc>
        <w:tc>
          <w:tcPr>
            <w:tcW w:w="1177" w:type="dxa"/>
          </w:tcPr>
          <w:p>
            <w:pPr>
              <w:pStyle w:val="TableParagraph"/>
              <w:spacing w:line="253" w:lineRule="exact"/>
              <w:ind w:right="158"/>
              <w:jc w:val="right"/>
              <w:rPr>
                <w:rFonts w:ascii="Constantia"/>
                <w:sz w:val="21"/>
              </w:rPr>
            </w:pPr>
            <w:r>
              <w:rPr>
                <w:rFonts w:ascii="Constantia"/>
                <w:sz w:val="21"/>
              </w:rPr>
              <w:t>-0.0060</w:t>
            </w:r>
          </w:p>
        </w:tc>
        <w:tc>
          <w:tcPr>
            <w:tcW w:w="869" w:type="dxa"/>
          </w:tcPr>
          <w:p>
            <w:pPr>
              <w:pStyle w:val="TableParagraph"/>
              <w:spacing w:line="253" w:lineRule="exact"/>
              <w:ind w:right="29"/>
              <w:jc w:val="right"/>
              <w:rPr>
                <w:rFonts w:ascii="Constantia"/>
                <w:sz w:val="21"/>
              </w:rPr>
            </w:pPr>
            <w:r>
              <w:rPr>
                <w:rFonts w:ascii="Constantia"/>
                <w:sz w:val="21"/>
              </w:rPr>
              <w:t>-0.0125</w:t>
            </w:r>
          </w:p>
        </w:tc>
      </w:tr>
      <w:tr>
        <w:trPr>
          <w:trHeight w:val="243" w:hRule="exact"/>
        </w:trPr>
        <w:tc>
          <w:tcPr>
            <w:tcW w:w="3869" w:type="dxa"/>
          </w:tcPr>
          <w:p>
            <w:pPr/>
          </w:p>
        </w:tc>
        <w:tc>
          <w:tcPr>
            <w:tcW w:w="977" w:type="dxa"/>
          </w:tcPr>
          <w:p>
            <w:pPr>
              <w:pStyle w:val="TableParagraph"/>
              <w:spacing w:before="13"/>
              <w:ind w:right="164"/>
              <w:jc w:val="right"/>
              <w:rPr>
                <w:rFonts w:ascii="Constantia"/>
                <w:sz w:val="16"/>
              </w:rPr>
            </w:pPr>
            <w:r>
              <w:rPr>
                <w:rFonts w:ascii="Constantia"/>
                <w:sz w:val="16"/>
              </w:rPr>
              <w:t>(0.0219)</w:t>
            </w:r>
          </w:p>
        </w:tc>
        <w:tc>
          <w:tcPr>
            <w:tcW w:w="1011" w:type="dxa"/>
          </w:tcPr>
          <w:p>
            <w:pPr>
              <w:pStyle w:val="TableParagraph"/>
              <w:spacing w:before="13"/>
              <w:ind w:right="164"/>
              <w:jc w:val="right"/>
              <w:rPr>
                <w:rFonts w:ascii="Constantia"/>
                <w:sz w:val="16"/>
              </w:rPr>
            </w:pPr>
            <w:r>
              <w:rPr>
                <w:rFonts w:ascii="Constantia"/>
                <w:sz w:val="16"/>
              </w:rPr>
              <w:t>(0.0210)</w:t>
            </w:r>
          </w:p>
        </w:tc>
        <w:tc>
          <w:tcPr>
            <w:tcW w:w="916" w:type="dxa"/>
          </w:tcPr>
          <w:p>
            <w:pPr>
              <w:pStyle w:val="TableParagraph"/>
              <w:spacing w:before="13"/>
              <w:ind w:right="68"/>
              <w:jc w:val="right"/>
              <w:rPr>
                <w:rFonts w:ascii="Constantia"/>
                <w:sz w:val="16"/>
              </w:rPr>
            </w:pPr>
            <w:r>
              <w:rPr>
                <w:rFonts w:ascii="Constantia"/>
                <w:sz w:val="16"/>
              </w:rPr>
              <w:t>(0.0199)</w:t>
            </w:r>
          </w:p>
        </w:tc>
        <w:tc>
          <w:tcPr>
            <w:tcW w:w="1177" w:type="dxa"/>
          </w:tcPr>
          <w:p>
            <w:pPr>
              <w:pStyle w:val="TableParagraph"/>
              <w:spacing w:before="13"/>
              <w:ind w:right="163"/>
              <w:jc w:val="right"/>
              <w:rPr>
                <w:rFonts w:ascii="Constantia"/>
                <w:sz w:val="16"/>
              </w:rPr>
            </w:pPr>
            <w:r>
              <w:rPr>
                <w:rFonts w:ascii="Constantia"/>
                <w:sz w:val="16"/>
              </w:rPr>
              <w:t>(0.0054)</w:t>
            </w:r>
          </w:p>
        </w:tc>
        <w:tc>
          <w:tcPr>
            <w:tcW w:w="869" w:type="dxa"/>
          </w:tcPr>
          <w:p>
            <w:pPr>
              <w:pStyle w:val="TableParagraph"/>
              <w:spacing w:before="13"/>
              <w:ind w:right="32"/>
              <w:jc w:val="right"/>
              <w:rPr>
                <w:rFonts w:ascii="Constantia"/>
                <w:sz w:val="16"/>
              </w:rPr>
            </w:pPr>
            <w:r>
              <w:rPr>
                <w:rFonts w:ascii="Constantia"/>
                <w:sz w:val="16"/>
              </w:rPr>
              <w:t>(0.0100)</w:t>
            </w:r>
          </w:p>
        </w:tc>
      </w:tr>
      <w:tr>
        <w:trPr>
          <w:trHeight w:val="293" w:hRule="exact"/>
        </w:trPr>
        <w:tc>
          <w:tcPr>
            <w:tcW w:w="3869" w:type="dxa"/>
          </w:tcPr>
          <w:p>
            <w:pPr>
              <w:pStyle w:val="TableParagraph"/>
              <w:spacing w:before="15"/>
              <w:ind w:left="30"/>
              <w:jc w:val="left"/>
              <w:rPr>
                <w:rFonts w:ascii="Constantia"/>
                <w:sz w:val="19"/>
              </w:rPr>
            </w:pPr>
            <w:r>
              <w:rPr>
                <w:rFonts w:ascii="Constantia"/>
                <w:sz w:val="19"/>
              </w:rPr>
              <w:t>Choq. Estruct. Balance Primario</w:t>
            </w:r>
          </w:p>
        </w:tc>
        <w:tc>
          <w:tcPr>
            <w:tcW w:w="977" w:type="dxa"/>
          </w:tcPr>
          <w:p>
            <w:pPr>
              <w:pStyle w:val="TableParagraph"/>
              <w:spacing w:line="253" w:lineRule="exact"/>
              <w:ind w:right="157"/>
              <w:jc w:val="right"/>
              <w:rPr>
                <w:rFonts w:ascii="Constantia"/>
                <w:sz w:val="21"/>
              </w:rPr>
            </w:pPr>
            <w:r>
              <w:rPr>
                <w:rFonts w:ascii="Constantia"/>
                <w:sz w:val="21"/>
              </w:rPr>
              <w:t>-0.0579</w:t>
            </w:r>
          </w:p>
        </w:tc>
        <w:tc>
          <w:tcPr>
            <w:tcW w:w="1011" w:type="dxa"/>
          </w:tcPr>
          <w:p>
            <w:pPr>
              <w:pStyle w:val="TableParagraph"/>
              <w:spacing w:line="253" w:lineRule="exact"/>
              <w:ind w:right="159"/>
              <w:jc w:val="right"/>
              <w:rPr>
                <w:rFonts w:ascii="Constantia"/>
                <w:sz w:val="21"/>
              </w:rPr>
            </w:pPr>
            <w:r>
              <w:rPr>
                <w:rFonts w:ascii="Constantia"/>
                <w:sz w:val="21"/>
              </w:rPr>
              <w:t>0.0238</w:t>
            </w:r>
          </w:p>
        </w:tc>
        <w:tc>
          <w:tcPr>
            <w:tcW w:w="916" w:type="dxa"/>
          </w:tcPr>
          <w:p>
            <w:pPr>
              <w:pStyle w:val="TableParagraph"/>
              <w:spacing w:line="253" w:lineRule="exact"/>
              <w:ind w:right="65"/>
              <w:jc w:val="right"/>
              <w:rPr>
                <w:rFonts w:ascii="Constantia"/>
                <w:sz w:val="21"/>
              </w:rPr>
            </w:pPr>
            <w:r>
              <w:rPr>
                <w:rFonts w:ascii="Constantia"/>
                <w:sz w:val="21"/>
              </w:rPr>
              <w:t>-0.0022</w:t>
            </w:r>
          </w:p>
        </w:tc>
        <w:tc>
          <w:tcPr>
            <w:tcW w:w="1177" w:type="dxa"/>
          </w:tcPr>
          <w:p>
            <w:pPr>
              <w:pStyle w:val="TableParagraph"/>
              <w:spacing w:line="253" w:lineRule="exact"/>
              <w:ind w:right="159"/>
              <w:jc w:val="right"/>
              <w:rPr>
                <w:rFonts w:ascii="Constantia"/>
                <w:sz w:val="21"/>
              </w:rPr>
            </w:pPr>
            <w:r>
              <w:rPr>
                <w:rFonts w:ascii="Constantia"/>
                <w:sz w:val="21"/>
              </w:rPr>
              <w:t>0.0044</w:t>
            </w:r>
          </w:p>
        </w:tc>
        <w:tc>
          <w:tcPr>
            <w:tcW w:w="869" w:type="dxa"/>
          </w:tcPr>
          <w:p>
            <w:pPr>
              <w:pStyle w:val="TableParagraph"/>
              <w:spacing w:line="253" w:lineRule="exact"/>
              <w:ind w:right="33"/>
              <w:jc w:val="right"/>
              <w:rPr>
                <w:rFonts w:ascii="Constantia"/>
                <w:sz w:val="21"/>
              </w:rPr>
            </w:pPr>
            <w:r>
              <w:rPr>
                <w:rFonts w:ascii="Constantia"/>
                <w:sz w:val="21"/>
              </w:rPr>
              <w:t>-0.0093</w:t>
            </w:r>
          </w:p>
        </w:tc>
      </w:tr>
      <w:tr>
        <w:trPr>
          <w:trHeight w:val="243" w:hRule="exact"/>
        </w:trPr>
        <w:tc>
          <w:tcPr>
            <w:tcW w:w="3869" w:type="dxa"/>
          </w:tcPr>
          <w:p>
            <w:pPr/>
          </w:p>
        </w:tc>
        <w:tc>
          <w:tcPr>
            <w:tcW w:w="977" w:type="dxa"/>
          </w:tcPr>
          <w:p>
            <w:pPr>
              <w:pStyle w:val="TableParagraph"/>
              <w:spacing w:before="13"/>
              <w:ind w:right="164"/>
              <w:jc w:val="right"/>
              <w:rPr>
                <w:rFonts w:ascii="Constantia"/>
                <w:sz w:val="16"/>
              </w:rPr>
            </w:pPr>
            <w:r>
              <w:rPr>
                <w:rFonts w:ascii="Constantia"/>
                <w:sz w:val="16"/>
              </w:rPr>
              <w:t>(0.0219)</w:t>
            </w:r>
          </w:p>
        </w:tc>
        <w:tc>
          <w:tcPr>
            <w:tcW w:w="1011" w:type="dxa"/>
          </w:tcPr>
          <w:p>
            <w:pPr>
              <w:pStyle w:val="TableParagraph"/>
              <w:spacing w:before="13"/>
              <w:ind w:right="164"/>
              <w:jc w:val="right"/>
              <w:rPr>
                <w:rFonts w:ascii="Constantia"/>
                <w:sz w:val="16"/>
              </w:rPr>
            </w:pPr>
            <w:r>
              <w:rPr>
                <w:rFonts w:ascii="Constantia"/>
                <w:sz w:val="16"/>
              </w:rPr>
              <w:t>(0.0210)</w:t>
            </w:r>
          </w:p>
        </w:tc>
        <w:tc>
          <w:tcPr>
            <w:tcW w:w="916" w:type="dxa"/>
          </w:tcPr>
          <w:p>
            <w:pPr>
              <w:pStyle w:val="TableParagraph"/>
              <w:spacing w:before="13"/>
              <w:ind w:right="68"/>
              <w:jc w:val="right"/>
              <w:rPr>
                <w:rFonts w:ascii="Constantia"/>
                <w:sz w:val="16"/>
              </w:rPr>
            </w:pPr>
            <w:r>
              <w:rPr>
                <w:rFonts w:ascii="Constantia"/>
                <w:sz w:val="16"/>
              </w:rPr>
              <w:t>(0.0199)</w:t>
            </w:r>
          </w:p>
        </w:tc>
        <w:tc>
          <w:tcPr>
            <w:tcW w:w="1177" w:type="dxa"/>
          </w:tcPr>
          <w:p>
            <w:pPr>
              <w:pStyle w:val="TableParagraph"/>
              <w:spacing w:before="13"/>
              <w:ind w:right="163"/>
              <w:jc w:val="right"/>
              <w:rPr>
                <w:rFonts w:ascii="Constantia"/>
                <w:sz w:val="16"/>
              </w:rPr>
            </w:pPr>
            <w:r>
              <w:rPr>
                <w:rFonts w:ascii="Constantia"/>
                <w:sz w:val="16"/>
              </w:rPr>
              <w:t>(0.0061)</w:t>
            </w:r>
          </w:p>
        </w:tc>
        <w:tc>
          <w:tcPr>
            <w:tcW w:w="869" w:type="dxa"/>
          </w:tcPr>
          <w:p>
            <w:pPr>
              <w:pStyle w:val="TableParagraph"/>
              <w:spacing w:before="13"/>
              <w:ind w:right="30"/>
              <w:jc w:val="right"/>
              <w:rPr>
                <w:rFonts w:ascii="Constantia"/>
                <w:sz w:val="16"/>
              </w:rPr>
            </w:pPr>
            <w:r>
              <w:rPr>
                <w:rFonts w:ascii="Constantia"/>
                <w:sz w:val="16"/>
              </w:rPr>
              <w:t>(0.0081)</w:t>
            </w:r>
          </w:p>
        </w:tc>
      </w:tr>
      <w:tr>
        <w:trPr>
          <w:trHeight w:val="293" w:hRule="exact"/>
        </w:trPr>
        <w:tc>
          <w:tcPr>
            <w:tcW w:w="3869" w:type="dxa"/>
          </w:tcPr>
          <w:p>
            <w:pPr>
              <w:pStyle w:val="TableParagraph"/>
              <w:spacing w:before="15"/>
              <w:ind w:left="30"/>
              <w:jc w:val="left"/>
              <w:rPr>
                <w:rFonts w:ascii="Constantia"/>
                <w:sz w:val="19"/>
              </w:rPr>
            </w:pPr>
            <w:r>
              <w:rPr>
                <w:rFonts w:ascii="Constantia"/>
                <w:sz w:val="19"/>
              </w:rPr>
              <w:t>Choq. Estruct. De la misma variable</w:t>
            </w:r>
          </w:p>
        </w:tc>
        <w:tc>
          <w:tcPr>
            <w:tcW w:w="977" w:type="dxa"/>
          </w:tcPr>
          <w:p>
            <w:pPr>
              <w:pStyle w:val="TableParagraph"/>
              <w:spacing w:line="253" w:lineRule="exact"/>
              <w:ind w:right="166"/>
              <w:jc w:val="right"/>
              <w:rPr>
                <w:rFonts w:ascii="Constantia"/>
                <w:sz w:val="21"/>
              </w:rPr>
            </w:pPr>
            <w:r>
              <w:rPr>
                <w:rFonts w:ascii="Constantia"/>
                <w:sz w:val="21"/>
              </w:rPr>
              <w:t>-0.0601</w:t>
            </w:r>
          </w:p>
        </w:tc>
        <w:tc>
          <w:tcPr>
            <w:tcW w:w="1011" w:type="dxa"/>
          </w:tcPr>
          <w:p>
            <w:pPr>
              <w:pStyle w:val="TableParagraph"/>
              <w:spacing w:line="253" w:lineRule="exact"/>
              <w:ind w:right="161"/>
              <w:jc w:val="right"/>
              <w:rPr>
                <w:rFonts w:ascii="Constantia"/>
                <w:sz w:val="21"/>
              </w:rPr>
            </w:pPr>
            <w:r>
              <w:rPr>
                <w:rFonts w:ascii="Constantia"/>
                <w:sz w:val="21"/>
              </w:rPr>
              <w:t>0.0377</w:t>
            </w:r>
          </w:p>
        </w:tc>
        <w:tc>
          <w:tcPr>
            <w:tcW w:w="916" w:type="dxa"/>
          </w:tcPr>
          <w:p>
            <w:pPr>
              <w:pStyle w:val="TableParagraph"/>
              <w:spacing w:line="253" w:lineRule="exact"/>
              <w:ind w:right="61"/>
              <w:jc w:val="right"/>
              <w:rPr>
                <w:rFonts w:ascii="Constantia"/>
                <w:sz w:val="21"/>
              </w:rPr>
            </w:pPr>
            <w:r>
              <w:rPr>
                <w:rFonts w:ascii="Constantia"/>
                <w:sz w:val="21"/>
              </w:rPr>
              <w:t>0.0189</w:t>
            </w:r>
          </w:p>
        </w:tc>
        <w:tc>
          <w:tcPr>
            <w:tcW w:w="1177" w:type="dxa"/>
          </w:tcPr>
          <w:p>
            <w:pPr>
              <w:pStyle w:val="TableParagraph"/>
              <w:spacing w:line="253" w:lineRule="exact"/>
              <w:ind w:right="165"/>
              <w:jc w:val="right"/>
              <w:rPr>
                <w:rFonts w:ascii="Constantia"/>
                <w:sz w:val="21"/>
              </w:rPr>
            </w:pPr>
            <w:r>
              <w:rPr>
                <w:rFonts w:ascii="Constantia"/>
                <w:sz w:val="21"/>
              </w:rPr>
              <w:t>0.0003</w:t>
            </w:r>
          </w:p>
        </w:tc>
        <w:tc>
          <w:tcPr>
            <w:tcW w:w="869" w:type="dxa"/>
          </w:tcPr>
          <w:p>
            <w:pPr>
              <w:pStyle w:val="TableParagraph"/>
              <w:spacing w:line="253" w:lineRule="exact"/>
              <w:ind w:right="24"/>
              <w:jc w:val="right"/>
              <w:rPr>
                <w:rFonts w:ascii="Constantia"/>
                <w:sz w:val="21"/>
              </w:rPr>
            </w:pPr>
            <w:r>
              <w:rPr>
                <w:rFonts w:ascii="Constantia"/>
                <w:sz w:val="21"/>
              </w:rPr>
              <w:t>0.0039</w:t>
            </w:r>
          </w:p>
        </w:tc>
      </w:tr>
      <w:tr>
        <w:trPr>
          <w:trHeight w:val="232" w:hRule="exact"/>
        </w:trPr>
        <w:tc>
          <w:tcPr>
            <w:tcW w:w="3869" w:type="dxa"/>
            <w:tcBorders>
              <w:bottom w:val="double" w:sz="4" w:space="0" w:color="000000"/>
            </w:tcBorders>
          </w:tcPr>
          <w:p>
            <w:pPr/>
          </w:p>
        </w:tc>
        <w:tc>
          <w:tcPr>
            <w:tcW w:w="977" w:type="dxa"/>
            <w:tcBorders>
              <w:bottom w:val="double" w:sz="4" w:space="0" w:color="000000"/>
            </w:tcBorders>
          </w:tcPr>
          <w:p>
            <w:pPr>
              <w:pStyle w:val="TableParagraph"/>
              <w:spacing w:before="13"/>
              <w:ind w:right="164"/>
              <w:jc w:val="right"/>
              <w:rPr>
                <w:rFonts w:ascii="Constantia"/>
                <w:sz w:val="16"/>
              </w:rPr>
            </w:pPr>
            <w:r>
              <w:rPr>
                <w:rFonts w:ascii="Constantia"/>
                <w:sz w:val="16"/>
              </w:rPr>
              <w:t>(0.0219)</w:t>
            </w:r>
          </w:p>
        </w:tc>
        <w:tc>
          <w:tcPr>
            <w:tcW w:w="1011" w:type="dxa"/>
            <w:tcBorders>
              <w:bottom w:val="double" w:sz="4" w:space="0" w:color="000000"/>
            </w:tcBorders>
          </w:tcPr>
          <w:p>
            <w:pPr>
              <w:pStyle w:val="TableParagraph"/>
              <w:spacing w:before="13"/>
              <w:ind w:right="164"/>
              <w:jc w:val="right"/>
              <w:rPr>
                <w:rFonts w:ascii="Constantia"/>
                <w:sz w:val="16"/>
              </w:rPr>
            </w:pPr>
            <w:r>
              <w:rPr>
                <w:rFonts w:ascii="Constantia"/>
                <w:sz w:val="16"/>
              </w:rPr>
              <w:t>(0.0210)</w:t>
            </w:r>
          </w:p>
        </w:tc>
        <w:tc>
          <w:tcPr>
            <w:tcW w:w="916" w:type="dxa"/>
            <w:tcBorders>
              <w:bottom w:val="double" w:sz="4" w:space="0" w:color="000000"/>
            </w:tcBorders>
          </w:tcPr>
          <w:p>
            <w:pPr>
              <w:pStyle w:val="TableParagraph"/>
              <w:spacing w:before="13"/>
              <w:ind w:right="68"/>
              <w:jc w:val="right"/>
              <w:rPr>
                <w:rFonts w:ascii="Constantia"/>
                <w:sz w:val="16"/>
              </w:rPr>
            </w:pPr>
            <w:r>
              <w:rPr>
                <w:rFonts w:ascii="Constantia"/>
                <w:sz w:val="16"/>
              </w:rPr>
              <w:t>(0.0199)</w:t>
            </w:r>
          </w:p>
        </w:tc>
        <w:tc>
          <w:tcPr>
            <w:tcW w:w="1177" w:type="dxa"/>
            <w:tcBorders>
              <w:bottom w:val="double" w:sz="4" w:space="0" w:color="000000"/>
            </w:tcBorders>
          </w:tcPr>
          <w:p>
            <w:pPr>
              <w:pStyle w:val="TableParagraph"/>
              <w:spacing w:before="13"/>
              <w:ind w:right="163"/>
              <w:jc w:val="right"/>
              <w:rPr>
                <w:rFonts w:ascii="Constantia"/>
                <w:sz w:val="16"/>
              </w:rPr>
            </w:pPr>
            <w:r>
              <w:rPr>
                <w:rFonts w:ascii="Constantia"/>
                <w:sz w:val="16"/>
              </w:rPr>
              <w:t>(0.0057)</w:t>
            </w:r>
          </w:p>
        </w:tc>
        <w:tc>
          <w:tcPr>
            <w:tcW w:w="869" w:type="dxa"/>
            <w:tcBorders>
              <w:bottom w:val="double" w:sz="4" w:space="0" w:color="000000"/>
            </w:tcBorders>
          </w:tcPr>
          <w:p>
            <w:pPr>
              <w:pStyle w:val="TableParagraph"/>
              <w:spacing w:before="13"/>
              <w:ind w:right="31"/>
              <w:jc w:val="right"/>
              <w:rPr>
                <w:rFonts w:ascii="Constantia"/>
                <w:sz w:val="16"/>
              </w:rPr>
            </w:pPr>
            <w:r>
              <w:rPr>
                <w:rFonts w:ascii="Constantia"/>
                <w:sz w:val="16"/>
              </w:rPr>
              <w:t>(0.0084)</w:t>
            </w:r>
          </w:p>
        </w:tc>
      </w:tr>
      <w:tr>
        <w:trPr>
          <w:trHeight w:val="285" w:hRule="exact"/>
        </w:trPr>
        <w:tc>
          <w:tcPr>
            <w:tcW w:w="3869" w:type="dxa"/>
            <w:tcBorders>
              <w:top w:val="double" w:sz="4" w:space="0" w:color="000000"/>
            </w:tcBorders>
          </w:tcPr>
          <w:p>
            <w:pPr>
              <w:pStyle w:val="TableParagraph"/>
              <w:spacing w:before="11"/>
              <w:ind w:left="30"/>
              <w:jc w:val="left"/>
              <w:rPr>
                <w:rFonts w:ascii="Constantia" w:hAnsi="Constantia"/>
                <w:sz w:val="19"/>
              </w:rPr>
            </w:pPr>
            <w:r>
              <w:rPr>
                <w:rFonts w:ascii="Constantia" w:hAnsi="Constantia"/>
                <w:sz w:val="19"/>
              </w:rPr>
              <w:t>Nº de variables de impulso</w:t>
            </w:r>
          </w:p>
        </w:tc>
        <w:tc>
          <w:tcPr>
            <w:tcW w:w="977" w:type="dxa"/>
            <w:tcBorders>
              <w:top w:val="double" w:sz="4" w:space="0" w:color="000000"/>
            </w:tcBorders>
          </w:tcPr>
          <w:p>
            <w:pPr>
              <w:pStyle w:val="TableParagraph"/>
              <w:spacing w:before="11"/>
              <w:ind w:right="159"/>
              <w:jc w:val="right"/>
              <w:rPr>
                <w:rFonts w:ascii="Constantia"/>
                <w:sz w:val="19"/>
              </w:rPr>
            </w:pPr>
            <w:r>
              <w:rPr>
                <w:rFonts w:ascii="Constantia"/>
                <w:w w:val="101"/>
                <w:sz w:val="19"/>
              </w:rPr>
              <w:t>0</w:t>
            </w:r>
          </w:p>
        </w:tc>
        <w:tc>
          <w:tcPr>
            <w:tcW w:w="1011" w:type="dxa"/>
            <w:tcBorders>
              <w:top w:val="double" w:sz="4" w:space="0" w:color="000000"/>
            </w:tcBorders>
          </w:tcPr>
          <w:p>
            <w:pPr>
              <w:pStyle w:val="TableParagraph"/>
              <w:spacing w:before="11"/>
              <w:ind w:right="159"/>
              <w:jc w:val="right"/>
              <w:rPr>
                <w:rFonts w:ascii="Constantia"/>
                <w:sz w:val="19"/>
              </w:rPr>
            </w:pPr>
            <w:r>
              <w:rPr>
                <w:rFonts w:ascii="Constantia"/>
                <w:w w:val="101"/>
                <w:sz w:val="19"/>
              </w:rPr>
              <w:t>0</w:t>
            </w:r>
          </w:p>
        </w:tc>
        <w:tc>
          <w:tcPr>
            <w:tcW w:w="916" w:type="dxa"/>
            <w:tcBorders>
              <w:top w:val="double" w:sz="4" w:space="0" w:color="000000"/>
            </w:tcBorders>
          </w:tcPr>
          <w:p>
            <w:pPr>
              <w:pStyle w:val="TableParagraph"/>
              <w:spacing w:before="11"/>
              <w:ind w:right="63"/>
              <w:jc w:val="right"/>
              <w:rPr>
                <w:rFonts w:ascii="Constantia"/>
                <w:sz w:val="19"/>
              </w:rPr>
            </w:pPr>
            <w:r>
              <w:rPr>
                <w:rFonts w:ascii="Constantia"/>
                <w:w w:val="101"/>
                <w:sz w:val="19"/>
              </w:rPr>
              <w:t>0</w:t>
            </w:r>
          </w:p>
        </w:tc>
        <w:tc>
          <w:tcPr>
            <w:tcW w:w="1177" w:type="dxa"/>
            <w:tcBorders>
              <w:top w:val="double" w:sz="4" w:space="0" w:color="000000"/>
            </w:tcBorders>
          </w:tcPr>
          <w:p>
            <w:pPr>
              <w:pStyle w:val="TableParagraph"/>
              <w:spacing w:before="11"/>
              <w:ind w:right="159"/>
              <w:jc w:val="right"/>
              <w:rPr>
                <w:rFonts w:ascii="Constantia"/>
                <w:sz w:val="19"/>
              </w:rPr>
            </w:pPr>
            <w:r>
              <w:rPr>
                <w:rFonts w:ascii="Constantia"/>
                <w:w w:val="101"/>
                <w:sz w:val="19"/>
              </w:rPr>
              <w:t>4</w:t>
            </w:r>
          </w:p>
        </w:tc>
        <w:tc>
          <w:tcPr>
            <w:tcW w:w="869" w:type="dxa"/>
            <w:tcBorders>
              <w:top w:val="double" w:sz="4" w:space="0" w:color="000000"/>
            </w:tcBorders>
          </w:tcPr>
          <w:p>
            <w:pPr>
              <w:pStyle w:val="TableParagraph"/>
              <w:spacing w:before="11"/>
              <w:ind w:right="31"/>
              <w:jc w:val="right"/>
              <w:rPr>
                <w:rFonts w:ascii="Constantia"/>
                <w:sz w:val="19"/>
              </w:rPr>
            </w:pPr>
            <w:r>
              <w:rPr>
                <w:rFonts w:ascii="Constantia"/>
                <w:w w:val="101"/>
                <w:sz w:val="19"/>
              </w:rPr>
              <w:t>3</w:t>
            </w:r>
          </w:p>
        </w:tc>
      </w:tr>
      <w:tr>
        <w:trPr>
          <w:trHeight w:val="241" w:hRule="exact"/>
        </w:trPr>
        <w:tc>
          <w:tcPr>
            <w:tcW w:w="3869" w:type="dxa"/>
            <w:tcBorders>
              <w:bottom w:val="double" w:sz="4" w:space="0" w:color="000000"/>
            </w:tcBorders>
          </w:tcPr>
          <w:p>
            <w:pPr>
              <w:pStyle w:val="TableParagraph"/>
              <w:spacing w:line="226" w:lineRule="exact"/>
              <w:ind w:left="30"/>
              <w:jc w:val="left"/>
              <w:rPr>
                <w:rFonts w:ascii="Constantia" w:hAnsi="Constantia"/>
                <w:sz w:val="19"/>
              </w:rPr>
            </w:pPr>
            <w:r>
              <w:rPr>
                <w:rFonts w:ascii="Constantia" w:hAnsi="Constantia"/>
                <w:sz w:val="19"/>
              </w:rPr>
              <w:t>Incluye término autoregresivo</w:t>
            </w:r>
          </w:p>
        </w:tc>
        <w:tc>
          <w:tcPr>
            <w:tcW w:w="977" w:type="dxa"/>
            <w:tcBorders>
              <w:bottom w:val="double" w:sz="4" w:space="0" w:color="000000"/>
            </w:tcBorders>
          </w:tcPr>
          <w:p>
            <w:pPr>
              <w:pStyle w:val="TableParagraph"/>
              <w:spacing w:line="226" w:lineRule="exact"/>
              <w:ind w:left="499" w:right="-12"/>
              <w:jc w:val="left"/>
              <w:rPr>
                <w:rFonts w:ascii="Constantia"/>
                <w:sz w:val="19"/>
              </w:rPr>
            </w:pPr>
            <w:r>
              <w:rPr>
                <w:rFonts w:ascii="Constantia"/>
                <w:sz w:val="19"/>
              </w:rPr>
              <w:t>No</w:t>
            </w:r>
          </w:p>
        </w:tc>
        <w:tc>
          <w:tcPr>
            <w:tcW w:w="1011" w:type="dxa"/>
            <w:tcBorders>
              <w:bottom w:val="double" w:sz="4" w:space="0" w:color="000000"/>
            </w:tcBorders>
          </w:tcPr>
          <w:p>
            <w:pPr>
              <w:pStyle w:val="TableParagraph"/>
              <w:spacing w:line="226" w:lineRule="exact"/>
              <w:ind w:right="232"/>
              <w:jc w:val="right"/>
              <w:rPr>
                <w:rFonts w:ascii="Constantia"/>
                <w:sz w:val="19"/>
              </w:rPr>
            </w:pPr>
            <w:r>
              <w:rPr>
                <w:rFonts w:ascii="Constantia"/>
                <w:sz w:val="19"/>
              </w:rPr>
              <w:t>No</w:t>
            </w:r>
          </w:p>
        </w:tc>
        <w:tc>
          <w:tcPr>
            <w:tcW w:w="916" w:type="dxa"/>
            <w:tcBorders>
              <w:bottom w:val="double" w:sz="4" w:space="0" w:color="000000"/>
            </w:tcBorders>
          </w:tcPr>
          <w:p>
            <w:pPr>
              <w:pStyle w:val="TableParagraph"/>
              <w:spacing w:line="226" w:lineRule="exact"/>
              <w:ind w:right="136"/>
              <w:jc w:val="right"/>
              <w:rPr>
                <w:rFonts w:ascii="Constantia"/>
                <w:sz w:val="19"/>
              </w:rPr>
            </w:pPr>
            <w:r>
              <w:rPr>
                <w:rFonts w:ascii="Constantia"/>
                <w:sz w:val="19"/>
              </w:rPr>
              <w:t>No</w:t>
            </w:r>
          </w:p>
        </w:tc>
        <w:tc>
          <w:tcPr>
            <w:tcW w:w="1177" w:type="dxa"/>
            <w:tcBorders>
              <w:bottom w:val="double" w:sz="4" w:space="0" w:color="000000"/>
            </w:tcBorders>
          </w:tcPr>
          <w:p>
            <w:pPr>
              <w:pStyle w:val="TableParagraph"/>
              <w:spacing w:line="226" w:lineRule="exact"/>
              <w:ind w:right="225"/>
              <w:jc w:val="right"/>
              <w:rPr>
                <w:rFonts w:ascii="Constantia"/>
                <w:sz w:val="19"/>
              </w:rPr>
            </w:pPr>
            <w:r>
              <w:rPr>
                <w:rFonts w:ascii="Constantia"/>
                <w:sz w:val="19"/>
              </w:rPr>
              <w:t>Si</w:t>
            </w:r>
          </w:p>
        </w:tc>
        <w:tc>
          <w:tcPr>
            <w:tcW w:w="869" w:type="dxa"/>
            <w:tcBorders>
              <w:bottom w:val="double" w:sz="4" w:space="0" w:color="000000"/>
            </w:tcBorders>
          </w:tcPr>
          <w:p>
            <w:pPr>
              <w:pStyle w:val="TableParagraph"/>
              <w:spacing w:line="226" w:lineRule="exact"/>
              <w:ind w:right="92"/>
              <w:jc w:val="right"/>
              <w:rPr>
                <w:rFonts w:ascii="Constantia"/>
                <w:sz w:val="19"/>
              </w:rPr>
            </w:pPr>
            <w:r>
              <w:rPr>
                <w:rFonts w:ascii="Constantia"/>
                <w:sz w:val="19"/>
              </w:rPr>
              <w:t>Si</w:t>
            </w:r>
          </w:p>
        </w:tc>
      </w:tr>
      <w:tr>
        <w:trPr>
          <w:trHeight w:val="285" w:hRule="exact"/>
        </w:trPr>
        <w:tc>
          <w:tcPr>
            <w:tcW w:w="3869" w:type="dxa"/>
            <w:tcBorders>
              <w:top w:val="double" w:sz="4" w:space="0" w:color="000000"/>
            </w:tcBorders>
          </w:tcPr>
          <w:p>
            <w:pPr>
              <w:pStyle w:val="TableParagraph"/>
              <w:spacing w:before="11"/>
              <w:ind w:left="30"/>
              <w:jc w:val="left"/>
              <w:rPr>
                <w:rFonts w:ascii="Constantia"/>
                <w:sz w:val="19"/>
              </w:rPr>
            </w:pPr>
            <w:r>
              <w:rPr>
                <w:rFonts w:ascii="Constantia"/>
                <w:sz w:val="19"/>
              </w:rPr>
              <w:t>R2</w:t>
            </w:r>
          </w:p>
        </w:tc>
        <w:tc>
          <w:tcPr>
            <w:tcW w:w="977" w:type="dxa"/>
            <w:tcBorders>
              <w:top w:val="double" w:sz="4" w:space="0" w:color="000000"/>
            </w:tcBorders>
          </w:tcPr>
          <w:p>
            <w:pPr>
              <w:pStyle w:val="TableParagraph"/>
              <w:spacing w:before="11"/>
              <w:ind w:left="428" w:right="-12"/>
              <w:jc w:val="left"/>
              <w:rPr>
                <w:rFonts w:ascii="Constantia"/>
                <w:sz w:val="19"/>
              </w:rPr>
            </w:pPr>
            <w:r>
              <w:rPr>
                <w:rFonts w:ascii="Constantia"/>
                <w:sz w:val="19"/>
              </w:rPr>
              <w:t>0.41</w:t>
            </w:r>
          </w:p>
        </w:tc>
        <w:tc>
          <w:tcPr>
            <w:tcW w:w="1011" w:type="dxa"/>
            <w:tcBorders>
              <w:top w:val="double" w:sz="4" w:space="0" w:color="000000"/>
            </w:tcBorders>
          </w:tcPr>
          <w:p>
            <w:pPr>
              <w:pStyle w:val="TableParagraph"/>
              <w:spacing w:before="11"/>
              <w:ind w:right="232"/>
              <w:jc w:val="right"/>
              <w:rPr>
                <w:rFonts w:ascii="Constantia"/>
                <w:sz w:val="19"/>
              </w:rPr>
            </w:pPr>
            <w:r>
              <w:rPr>
                <w:rFonts w:ascii="Constantia"/>
                <w:sz w:val="19"/>
              </w:rPr>
              <w:t>0.34</w:t>
            </w:r>
          </w:p>
        </w:tc>
        <w:tc>
          <w:tcPr>
            <w:tcW w:w="916" w:type="dxa"/>
            <w:tcBorders>
              <w:top w:val="double" w:sz="4" w:space="0" w:color="000000"/>
            </w:tcBorders>
          </w:tcPr>
          <w:p>
            <w:pPr>
              <w:pStyle w:val="TableParagraph"/>
              <w:spacing w:before="11"/>
              <w:ind w:right="136"/>
              <w:jc w:val="right"/>
              <w:rPr>
                <w:rFonts w:ascii="Constantia"/>
                <w:sz w:val="19"/>
              </w:rPr>
            </w:pPr>
            <w:r>
              <w:rPr>
                <w:rFonts w:ascii="Constantia"/>
                <w:sz w:val="19"/>
              </w:rPr>
              <w:t>0.14</w:t>
            </w:r>
          </w:p>
        </w:tc>
        <w:tc>
          <w:tcPr>
            <w:tcW w:w="1177" w:type="dxa"/>
            <w:tcBorders>
              <w:top w:val="double" w:sz="4" w:space="0" w:color="000000"/>
            </w:tcBorders>
          </w:tcPr>
          <w:p>
            <w:pPr>
              <w:pStyle w:val="TableParagraph"/>
              <w:spacing w:before="11"/>
              <w:ind w:right="229"/>
              <w:jc w:val="right"/>
              <w:rPr>
                <w:rFonts w:ascii="Constantia"/>
                <w:sz w:val="19"/>
              </w:rPr>
            </w:pPr>
            <w:r>
              <w:rPr>
                <w:rFonts w:ascii="Constantia"/>
                <w:sz w:val="19"/>
              </w:rPr>
              <w:t>0.90</w:t>
            </w:r>
          </w:p>
        </w:tc>
        <w:tc>
          <w:tcPr>
            <w:tcW w:w="869" w:type="dxa"/>
            <w:tcBorders>
              <w:top w:val="double" w:sz="4" w:space="0" w:color="000000"/>
            </w:tcBorders>
          </w:tcPr>
          <w:p>
            <w:pPr>
              <w:pStyle w:val="TableParagraph"/>
              <w:spacing w:before="11"/>
              <w:ind w:right="97"/>
              <w:jc w:val="right"/>
              <w:rPr>
                <w:rFonts w:ascii="Constantia"/>
                <w:sz w:val="19"/>
              </w:rPr>
            </w:pPr>
            <w:r>
              <w:rPr>
                <w:rFonts w:ascii="Constantia"/>
                <w:sz w:val="19"/>
              </w:rPr>
              <w:t>0.80</w:t>
            </w:r>
          </w:p>
        </w:tc>
      </w:tr>
      <w:tr>
        <w:trPr>
          <w:trHeight w:val="253" w:hRule="exact"/>
        </w:trPr>
        <w:tc>
          <w:tcPr>
            <w:tcW w:w="3869" w:type="dxa"/>
          </w:tcPr>
          <w:p>
            <w:pPr>
              <w:pStyle w:val="TableParagraph"/>
              <w:spacing w:line="226" w:lineRule="exact"/>
              <w:ind w:left="30"/>
              <w:jc w:val="left"/>
              <w:rPr>
                <w:rFonts w:ascii="Constantia"/>
                <w:sz w:val="19"/>
              </w:rPr>
            </w:pPr>
            <w:r>
              <w:rPr>
                <w:rFonts w:ascii="Constantia"/>
                <w:sz w:val="19"/>
              </w:rPr>
              <w:t>DW</w:t>
            </w:r>
          </w:p>
        </w:tc>
        <w:tc>
          <w:tcPr>
            <w:tcW w:w="977" w:type="dxa"/>
          </w:tcPr>
          <w:p>
            <w:pPr>
              <w:pStyle w:val="TableParagraph"/>
              <w:spacing w:line="226" w:lineRule="exact"/>
              <w:ind w:left="428" w:right="-12"/>
              <w:jc w:val="left"/>
              <w:rPr>
                <w:rFonts w:ascii="Constantia"/>
                <w:sz w:val="19"/>
              </w:rPr>
            </w:pPr>
            <w:r>
              <w:rPr>
                <w:rFonts w:ascii="Constantia"/>
                <w:sz w:val="19"/>
              </w:rPr>
              <w:t>1.86</w:t>
            </w:r>
          </w:p>
        </w:tc>
        <w:tc>
          <w:tcPr>
            <w:tcW w:w="1011" w:type="dxa"/>
          </w:tcPr>
          <w:p>
            <w:pPr>
              <w:pStyle w:val="TableParagraph"/>
              <w:spacing w:line="226" w:lineRule="exact"/>
              <w:ind w:right="230"/>
              <w:jc w:val="right"/>
              <w:rPr>
                <w:rFonts w:ascii="Constantia"/>
                <w:sz w:val="19"/>
              </w:rPr>
            </w:pPr>
            <w:r>
              <w:rPr>
                <w:rFonts w:ascii="Constantia"/>
                <w:sz w:val="19"/>
              </w:rPr>
              <w:t>1.90</w:t>
            </w:r>
          </w:p>
        </w:tc>
        <w:tc>
          <w:tcPr>
            <w:tcW w:w="916" w:type="dxa"/>
          </w:tcPr>
          <w:p>
            <w:pPr>
              <w:pStyle w:val="TableParagraph"/>
              <w:spacing w:line="226" w:lineRule="exact"/>
              <w:ind w:right="133"/>
              <w:jc w:val="right"/>
              <w:rPr>
                <w:rFonts w:ascii="Constantia"/>
                <w:sz w:val="19"/>
              </w:rPr>
            </w:pPr>
            <w:r>
              <w:rPr>
                <w:rFonts w:ascii="Constantia"/>
                <w:sz w:val="19"/>
              </w:rPr>
              <w:t>1.89</w:t>
            </w:r>
          </w:p>
        </w:tc>
        <w:tc>
          <w:tcPr>
            <w:tcW w:w="1177" w:type="dxa"/>
          </w:tcPr>
          <w:p>
            <w:pPr>
              <w:pStyle w:val="TableParagraph"/>
              <w:spacing w:line="226" w:lineRule="exact"/>
              <w:ind w:right="231"/>
              <w:jc w:val="right"/>
              <w:rPr>
                <w:rFonts w:ascii="Constantia"/>
                <w:sz w:val="19"/>
              </w:rPr>
            </w:pPr>
            <w:r>
              <w:rPr>
                <w:rFonts w:ascii="Constantia"/>
                <w:sz w:val="19"/>
              </w:rPr>
              <w:t>2.34</w:t>
            </w:r>
          </w:p>
        </w:tc>
        <w:tc>
          <w:tcPr>
            <w:tcW w:w="869" w:type="dxa"/>
          </w:tcPr>
          <w:p>
            <w:pPr>
              <w:pStyle w:val="TableParagraph"/>
              <w:spacing w:line="226" w:lineRule="exact"/>
              <w:ind w:right="97"/>
              <w:jc w:val="right"/>
              <w:rPr>
                <w:rFonts w:ascii="Constantia"/>
                <w:sz w:val="19"/>
              </w:rPr>
            </w:pPr>
            <w:r>
              <w:rPr>
                <w:rFonts w:ascii="Constantia"/>
                <w:sz w:val="19"/>
              </w:rPr>
              <w:t>2.08</w:t>
            </w:r>
          </w:p>
        </w:tc>
      </w:tr>
      <w:tr>
        <w:trPr>
          <w:trHeight w:val="253" w:hRule="exact"/>
        </w:trPr>
        <w:tc>
          <w:tcPr>
            <w:tcW w:w="3869" w:type="dxa"/>
          </w:tcPr>
          <w:p>
            <w:pPr>
              <w:pStyle w:val="TableParagraph"/>
              <w:spacing w:line="226" w:lineRule="exact"/>
              <w:ind w:left="30"/>
              <w:jc w:val="left"/>
              <w:rPr>
                <w:rFonts w:ascii="Constantia"/>
                <w:sz w:val="19"/>
              </w:rPr>
            </w:pPr>
            <w:r>
              <w:rPr>
                <w:rFonts w:ascii="Constantia"/>
                <w:sz w:val="19"/>
              </w:rPr>
              <w:t>Prob. ARCH (1)</w:t>
            </w:r>
          </w:p>
        </w:tc>
        <w:tc>
          <w:tcPr>
            <w:tcW w:w="977" w:type="dxa"/>
          </w:tcPr>
          <w:p>
            <w:pPr>
              <w:pStyle w:val="TableParagraph"/>
              <w:spacing w:line="226" w:lineRule="exact"/>
              <w:ind w:left="398" w:right="-12"/>
              <w:jc w:val="left"/>
              <w:rPr>
                <w:rFonts w:ascii="Constantia"/>
                <w:sz w:val="19"/>
              </w:rPr>
            </w:pPr>
            <w:r>
              <w:rPr>
                <w:rFonts w:ascii="Constantia"/>
                <w:sz w:val="19"/>
              </w:rPr>
              <w:t>0.70</w:t>
            </w:r>
          </w:p>
        </w:tc>
        <w:tc>
          <w:tcPr>
            <w:tcW w:w="1011" w:type="dxa"/>
          </w:tcPr>
          <w:p>
            <w:pPr>
              <w:pStyle w:val="TableParagraph"/>
              <w:spacing w:line="226" w:lineRule="exact"/>
              <w:ind w:right="230"/>
              <w:jc w:val="right"/>
              <w:rPr>
                <w:rFonts w:ascii="Constantia"/>
                <w:sz w:val="19"/>
              </w:rPr>
            </w:pPr>
            <w:r>
              <w:rPr>
                <w:rFonts w:ascii="Constantia"/>
                <w:sz w:val="19"/>
              </w:rPr>
              <w:t>0.46</w:t>
            </w:r>
          </w:p>
        </w:tc>
        <w:tc>
          <w:tcPr>
            <w:tcW w:w="916" w:type="dxa"/>
          </w:tcPr>
          <w:p>
            <w:pPr>
              <w:pStyle w:val="TableParagraph"/>
              <w:spacing w:line="226" w:lineRule="exact"/>
              <w:ind w:right="140"/>
              <w:jc w:val="right"/>
              <w:rPr>
                <w:rFonts w:ascii="Constantia"/>
                <w:sz w:val="19"/>
              </w:rPr>
            </w:pPr>
            <w:r>
              <w:rPr>
                <w:rFonts w:ascii="Constantia"/>
                <w:sz w:val="19"/>
              </w:rPr>
              <w:t>0.53</w:t>
            </w:r>
          </w:p>
        </w:tc>
        <w:tc>
          <w:tcPr>
            <w:tcW w:w="1177" w:type="dxa"/>
          </w:tcPr>
          <w:p>
            <w:pPr>
              <w:pStyle w:val="TableParagraph"/>
              <w:spacing w:line="226" w:lineRule="exact"/>
              <w:ind w:right="235"/>
              <w:jc w:val="right"/>
              <w:rPr>
                <w:rFonts w:ascii="Constantia"/>
                <w:sz w:val="19"/>
              </w:rPr>
            </w:pPr>
            <w:r>
              <w:rPr>
                <w:rFonts w:ascii="Constantia"/>
                <w:sz w:val="19"/>
              </w:rPr>
              <w:t>0.93</w:t>
            </w:r>
          </w:p>
        </w:tc>
        <w:tc>
          <w:tcPr>
            <w:tcW w:w="869" w:type="dxa"/>
          </w:tcPr>
          <w:p>
            <w:pPr>
              <w:pStyle w:val="TableParagraph"/>
              <w:spacing w:line="226" w:lineRule="exact"/>
              <w:ind w:right="97"/>
              <w:jc w:val="right"/>
              <w:rPr>
                <w:rFonts w:ascii="Constantia"/>
                <w:sz w:val="19"/>
              </w:rPr>
            </w:pPr>
            <w:r>
              <w:rPr>
                <w:rFonts w:ascii="Constantia"/>
                <w:sz w:val="19"/>
              </w:rPr>
              <w:t>0.30</w:t>
            </w:r>
          </w:p>
        </w:tc>
      </w:tr>
      <w:tr>
        <w:trPr>
          <w:trHeight w:val="240" w:hRule="exact"/>
        </w:trPr>
        <w:tc>
          <w:tcPr>
            <w:tcW w:w="3869" w:type="dxa"/>
            <w:tcBorders>
              <w:bottom w:val="double" w:sz="4" w:space="0" w:color="000000"/>
            </w:tcBorders>
          </w:tcPr>
          <w:p>
            <w:pPr>
              <w:pStyle w:val="TableParagraph"/>
              <w:spacing w:line="226" w:lineRule="exact"/>
              <w:ind w:left="30"/>
              <w:jc w:val="left"/>
              <w:rPr>
                <w:rFonts w:ascii="Constantia"/>
                <w:sz w:val="19"/>
              </w:rPr>
            </w:pPr>
            <w:r>
              <w:rPr>
                <w:rFonts w:ascii="Constantia"/>
                <w:sz w:val="19"/>
              </w:rPr>
              <w:t>Prob. Jarque-Bera</w:t>
            </w:r>
          </w:p>
        </w:tc>
        <w:tc>
          <w:tcPr>
            <w:tcW w:w="977" w:type="dxa"/>
            <w:tcBorders>
              <w:bottom w:val="double" w:sz="4" w:space="0" w:color="000000"/>
            </w:tcBorders>
          </w:tcPr>
          <w:p>
            <w:pPr>
              <w:pStyle w:val="TableParagraph"/>
              <w:spacing w:line="226" w:lineRule="exact"/>
              <w:ind w:left="388" w:right="-12"/>
              <w:jc w:val="left"/>
              <w:rPr>
                <w:rFonts w:ascii="Constantia"/>
                <w:sz w:val="19"/>
              </w:rPr>
            </w:pPr>
            <w:r>
              <w:rPr>
                <w:rFonts w:ascii="Constantia"/>
                <w:sz w:val="19"/>
              </w:rPr>
              <w:t>0.86</w:t>
            </w:r>
          </w:p>
        </w:tc>
        <w:tc>
          <w:tcPr>
            <w:tcW w:w="1011" w:type="dxa"/>
            <w:tcBorders>
              <w:bottom w:val="double" w:sz="4" w:space="0" w:color="000000"/>
            </w:tcBorders>
          </w:tcPr>
          <w:p>
            <w:pPr>
              <w:pStyle w:val="TableParagraph"/>
              <w:spacing w:line="226" w:lineRule="exact"/>
              <w:ind w:right="236"/>
              <w:jc w:val="right"/>
              <w:rPr>
                <w:rFonts w:ascii="Constantia"/>
                <w:sz w:val="19"/>
              </w:rPr>
            </w:pPr>
            <w:r>
              <w:rPr>
                <w:rFonts w:ascii="Constantia"/>
                <w:sz w:val="19"/>
              </w:rPr>
              <w:t>0.23</w:t>
            </w:r>
          </w:p>
        </w:tc>
        <w:tc>
          <w:tcPr>
            <w:tcW w:w="916" w:type="dxa"/>
            <w:tcBorders>
              <w:bottom w:val="double" w:sz="4" w:space="0" w:color="000000"/>
            </w:tcBorders>
          </w:tcPr>
          <w:p>
            <w:pPr>
              <w:pStyle w:val="TableParagraph"/>
              <w:spacing w:line="226" w:lineRule="exact"/>
              <w:ind w:right="135"/>
              <w:jc w:val="right"/>
              <w:rPr>
                <w:rFonts w:ascii="Constantia"/>
                <w:sz w:val="19"/>
              </w:rPr>
            </w:pPr>
            <w:r>
              <w:rPr>
                <w:rFonts w:ascii="Constantia"/>
                <w:sz w:val="19"/>
              </w:rPr>
              <w:t>0.58</w:t>
            </w:r>
          </w:p>
        </w:tc>
        <w:tc>
          <w:tcPr>
            <w:tcW w:w="1177" w:type="dxa"/>
            <w:tcBorders>
              <w:bottom w:val="double" w:sz="4" w:space="0" w:color="000000"/>
            </w:tcBorders>
          </w:tcPr>
          <w:p>
            <w:pPr>
              <w:pStyle w:val="TableParagraph"/>
              <w:spacing w:line="226" w:lineRule="exact"/>
              <w:ind w:right="228"/>
              <w:jc w:val="right"/>
              <w:rPr>
                <w:rFonts w:ascii="Constantia"/>
                <w:sz w:val="19"/>
              </w:rPr>
            </w:pPr>
            <w:r>
              <w:rPr>
                <w:rFonts w:ascii="Constantia"/>
                <w:sz w:val="19"/>
              </w:rPr>
              <w:t>0.49</w:t>
            </w:r>
          </w:p>
        </w:tc>
        <w:tc>
          <w:tcPr>
            <w:tcW w:w="869" w:type="dxa"/>
            <w:tcBorders>
              <w:bottom w:val="double" w:sz="4" w:space="0" w:color="000000"/>
            </w:tcBorders>
          </w:tcPr>
          <w:p>
            <w:pPr>
              <w:pStyle w:val="TableParagraph"/>
              <w:spacing w:line="226" w:lineRule="exact"/>
              <w:ind w:right="100"/>
              <w:jc w:val="right"/>
              <w:rPr>
                <w:rFonts w:ascii="Constantia"/>
                <w:sz w:val="19"/>
              </w:rPr>
            </w:pPr>
            <w:r>
              <w:rPr>
                <w:rFonts w:ascii="Constantia"/>
                <w:sz w:val="19"/>
              </w:rPr>
              <w:t>0.91</w:t>
            </w:r>
          </w:p>
        </w:tc>
      </w:tr>
      <w:tr>
        <w:trPr>
          <w:trHeight w:val="317" w:hRule="exact"/>
        </w:trPr>
        <w:tc>
          <w:tcPr>
            <w:tcW w:w="3869" w:type="dxa"/>
            <w:tcBorders>
              <w:top w:val="double" w:sz="4" w:space="0" w:color="000000"/>
            </w:tcBorders>
          </w:tcPr>
          <w:p>
            <w:pPr>
              <w:pStyle w:val="TableParagraph"/>
              <w:spacing w:before="9"/>
              <w:ind w:left="30"/>
              <w:jc w:val="left"/>
              <w:rPr>
                <w:rFonts w:ascii="Constantia" w:hAnsi="Constantia"/>
                <w:sz w:val="16"/>
              </w:rPr>
            </w:pPr>
            <w:r>
              <w:rPr>
                <w:rFonts w:ascii="Constantia" w:hAnsi="Constantia"/>
                <w:sz w:val="16"/>
              </w:rPr>
              <w:t>Los errores estándares se encuentran entre paréntesis.</w:t>
            </w:r>
          </w:p>
        </w:tc>
        <w:tc>
          <w:tcPr>
            <w:tcW w:w="977" w:type="dxa"/>
            <w:tcBorders>
              <w:top w:val="double" w:sz="4" w:space="0" w:color="000000"/>
            </w:tcBorders>
          </w:tcPr>
          <w:p>
            <w:pPr/>
          </w:p>
        </w:tc>
        <w:tc>
          <w:tcPr>
            <w:tcW w:w="1011" w:type="dxa"/>
            <w:tcBorders>
              <w:top w:val="double" w:sz="4" w:space="0" w:color="000000"/>
            </w:tcBorders>
          </w:tcPr>
          <w:p>
            <w:pPr/>
          </w:p>
        </w:tc>
        <w:tc>
          <w:tcPr>
            <w:tcW w:w="916" w:type="dxa"/>
            <w:tcBorders>
              <w:top w:val="double" w:sz="4" w:space="0" w:color="000000"/>
            </w:tcBorders>
          </w:tcPr>
          <w:p>
            <w:pPr/>
          </w:p>
        </w:tc>
        <w:tc>
          <w:tcPr>
            <w:tcW w:w="1177" w:type="dxa"/>
            <w:tcBorders>
              <w:top w:val="double" w:sz="4" w:space="0" w:color="000000"/>
            </w:tcBorders>
          </w:tcPr>
          <w:p>
            <w:pPr/>
          </w:p>
        </w:tc>
        <w:tc>
          <w:tcPr>
            <w:tcW w:w="869" w:type="dxa"/>
            <w:tcBorders>
              <w:top w:val="double" w:sz="4" w:space="0" w:color="000000"/>
            </w:tcBorders>
          </w:tcPr>
          <w:p>
            <w:pPr/>
          </w:p>
        </w:tc>
      </w:tr>
    </w:tbl>
    <w:p>
      <w:pPr>
        <w:pStyle w:val="BodyText"/>
        <w:spacing w:before="8"/>
        <w:rPr>
          <w:rFonts w:ascii="Constantia"/>
          <w:sz w:val="9"/>
        </w:rPr>
      </w:pPr>
    </w:p>
    <w:p>
      <w:pPr>
        <w:spacing w:before="74"/>
        <w:ind w:left="102" w:right="139" w:firstLine="0"/>
        <w:jc w:val="both"/>
        <w:rPr>
          <w:sz w:val="18"/>
        </w:rPr>
      </w:pPr>
      <w:r>
        <w:rPr>
          <w:sz w:val="20"/>
        </w:rPr>
        <w:t>D.W se refiere al estadístico Durbin Watson para medir la autocorrelación para un rezago, un rango idóneo se encuentra en el intervalo de 1.5 a 2.5. El test ARCH contrasta la hipótesis nula de homocedasticidad de los residuos para un rezago. El test de normalidad (Jarque-Bera) contrasta la hipótesis nula de distribución normal de los residuos. </w:t>
      </w:r>
      <w:r>
        <w:rPr>
          <w:sz w:val="18"/>
        </w:rPr>
        <w:t>En todos los caso se rechaza la hipótesis nula si la probabilidad es inferior al 5%.</w:t>
      </w:r>
    </w:p>
    <w:p>
      <w:pPr>
        <w:pStyle w:val="BodyText"/>
        <w:spacing w:before="1"/>
        <w:rPr>
          <w:sz w:val="20"/>
        </w:rPr>
      </w:pPr>
    </w:p>
    <w:p>
      <w:pPr>
        <w:spacing w:before="0"/>
        <w:ind w:left="102" w:right="0" w:firstLine="0"/>
        <w:jc w:val="both"/>
        <w:rPr>
          <w:sz w:val="20"/>
        </w:rPr>
      </w:pPr>
      <w:r>
        <w:rPr>
          <w:sz w:val="20"/>
        </w:rPr>
        <w:t>Fuente: Estimaciones propias con base en información del Banco Central de Bolivia (2012).</w:t>
      </w:r>
    </w:p>
    <w:p>
      <w:pPr>
        <w:spacing w:after="0"/>
        <w:jc w:val="both"/>
        <w:rPr>
          <w:sz w:val="20"/>
        </w:rPr>
        <w:sectPr>
          <w:pgSz w:w="12250" w:h="15850"/>
          <w:pgMar w:header="0" w:footer="977" w:top="1360" w:bottom="1220" w:left="1600" w:right="1560"/>
        </w:sectPr>
      </w:pPr>
    </w:p>
    <w:p>
      <w:pPr>
        <w:spacing w:line="276" w:lineRule="auto" w:before="54"/>
        <w:ind w:left="3987" w:right="364" w:hanging="3512"/>
        <w:jc w:val="left"/>
        <w:rPr>
          <w:b/>
          <w:sz w:val="28"/>
        </w:rPr>
      </w:pPr>
      <w:bookmarkStart w:name="_bookmark190" w:id="255"/>
      <w:bookmarkEnd w:id="255"/>
      <w:r>
        <w:rPr/>
      </w:r>
      <w:r>
        <w:rPr>
          <w:b/>
          <w:sz w:val="28"/>
        </w:rPr>
        <w:t>Anexo de publicaciones (un documento aceptado y publicado y otro enviado)</w:t>
      </w:r>
    </w:p>
    <w:p>
      <w:pPr>
        <w:pStyle w:val="BodyText"/>
        <w:spacing w:before="1"/>
        <w:rPr>
          <w:b/>
          <w:sz w:val="22"/>
        </w:rPr>
      </w:pPr>
      <w:r>
        <w:rPr/>
        <w:drawing>
          <wp:anchor distT="0" distB="0" distL="0" distR="0" allowOverlap="1" layoutInCell="1" locked="0" behindDoc="0" simplePos="0" relativeHeight="18976">
            <wp:simplePos x="0" y="0"/>
            <wp:positionH relativeFrom="page">
              <wp:posOffset>1099185</wp:posOffset>
            </wp:positionH>
            <wp:positionV relativeFrom="paragraph">
              <wp:posOffset>186640</wp:posOffset>
            </wp:positionV>
            <wp:extent cx="4862231" cy="7077456"/>
            <wp:effectExtent l="0" t="0" r="0" b="0"/>
            <wp:wrapTopAndBottom/>
            <wp:docPr id="133" name="image343.jpeg" descr=""/>
            <wp:cNvGraphicFramePr>
              <a:graphicFrameLocks noChangeAspect="1"/>
            </wp:cNvGraphicFramePr>
            <a:graphic>
              <a:graphicData uri="http://schemas.openxmlformats.org/drawingml/2006/picture">
                <pic:pic>
                  <pic:nvPicPr>
                    <pic:cNvPr id="134" name="image343.jpeg"/>
                    <pic:cNvPicPr/>
                  </pic:nvPicPr>
                  <pic:blipFill>
                    <a:blip r:embed="rId369" cstate="print"/>
                    <a:stretch>
                      <a:fillRect/>
                    </a:stretch>
                  </pic:blipFill>
                  <pic:spPr>
                    <a:xfrm>
                      <a:off x="0" y="0"/>
                      <a:ext cx="4862231" cy="7077456"/>
                    </a:xfrm>
                    <a:prstGeom prst="rect">
                      <a:avLst/>
                    </a:prstGeom>
                  </pic:spPr>
                </pic:pic>
              </a:graphicData>
            </a:graphic>
          </wp:anchor>
        </w:drawing>
      </w:r>
    </w:p>
    <w:p>
      <w:pPr>
        <w:spacing w:after="0"/>
        <w:rPr>
          <w:sz w:val="22"/>
        </w:rPr>
        <w:sectPr>
          <w:pgSz w:w="12250" w:h="15850"/>
          <w:pgMar w:header="0" w:footer="977" w:top="1360" w:bottom="1220" w:left="1620" w:right="1720"/>
        </w:sectPr>
      </w:pPr>
    </w:p>
    <w:p>
      <w:pPr>
        <w:pStyle w:val="BodyText"/>
        <w:ind w:left="111"/>
        <w:rPr>
          <w:sz w:val="20"/>
        </w:rPr>
      </w:pPr>
      <w:r>
        <w:rPr>
          <w:sz w:val="20"/>
        </w:rPr>
        <w:drawing>
          <wp:inline distT="0" distB="0" distL="0" distR="0">
            <wp:extent cx="5561798" cy="7958708"/>
            <wp:effectExtent l="0" t="0" r="0" b="0"/>
            <wp:docPr id="135" name="image344.jpeg" descr=""/>
            <wp:cNvGraphicFramePr>
              <a:graphicFrameLocks noChangeAspect="1"/>
            </wp:cNvGraphicFramePr>
            <a:graphic>
              <a:graphicData uri="http://schemas.openxmlformats.org/drawingml/2006/picture">
                <pic:pic>
                  <pic:nvPicPr>
                    <pic:cNvPr id="136" name="image344.jpeg"/>
                    <pic:cNvPicPr/>
                  </pic:nvPicPr>
                  <pic:blipFill>
                    <a:blip r:embed="rId370" cstate="print"/>
                    <a:stretch>
                      <a:fillRect/>
                    </a:stretch>
                  </pic:blipFill>
                  <pic:spPr>
                    <a:xfrm>
                      <a:off x="0" y="0"/>
                      <a:ext cx="5561798" cy="7958708"/>
                    </a:xfrm>
                    <a:prstGeom prst="rect">
                      <a:avLst/>
                    </a:prstGeom>
                  </pic:spPr>
                </pic:pic>
              </a:graphicData>
            </a:graphic>
          </wp:inline>
        </w:drawing>
      </w:r>
      <w:r>
        <w:rPr>
          <w:sz w:val="20"/>
        </w:rPr>
      </w:r>
    </w:p>
    <w:p>
      <w:pPr>
        <w:spacing w:after="0"/>
        <w:rPr>
          <w:sz w:val="20"/>
        </w:rPr>
        <w:sectPr>
          <w:pgSz w:w="12250" w:h="15850"/>
          <w:pgMar w:header="0" w:footer="977" w:top="1420" w:bottom="1160" w:left="1620" w:right="1600"/>
        </w:sectPr>
      </w:pPr>
    </w:p>
    <w:p>
      <w:pPr>
        <w:pStyle w:val="BodyText"/>
        <w:ind w:left="111"/>
        <w:rPr>
          <w:sz w:val="20"/>
        </w:rPr>
      </w:pPr>
      <w:r>
        <w:rPr>
          <w:sz w:val="20"/>
        </w:rPr>
        <w:drawing>
          <wp:inline distT="0" distB="0" distL="0" distR="0">
            <wp:extent cx="5529257" cy="8007191"/>
            <wp:effectExtent l="0" t="0" r="0" b="0"/>
            <wp:docPr id="137" name="image345.jpeg" descr=""/>
            <wp:cNvGraphicFramePr>
              <a:graphicFrameLocks noChangeAspect="1"/>
            </wp:cNvGraphicFramePr>
            <a:graphic>
              <a:graphicData uri="http://schemas.openxmlformats.org/drawingml/2006/picture">
                <pic:pic>
                  <pic:nvPicPr>
                    <pic:cNvPr id="138" name="image345.jpeg"/>
                    <pic:cNvPicPr/>
                  </pic:nvPicPr>
                  <pic:blipFill>
                    <a:blip r:embed="rId371" cstate="print"/>
                    <a:stretch>
                      <a:fillRect/>
                    </a:stretch>
                  </pic:blipFill>
                  <pic:spPr>
                    <a:xfrm>
                      <a:off x="0" y="0"/>
                      <a:ext cx="5529257" cy="8007191"/>
                    </a:xfrm>
                    <a:prstGeom prst="rect">
                      <a:avLst/>
                    </a:prstGeom>
                  </pic:spPr>
                </pic:pic>
              </a:graphicData>
            </a:graphic>
          </wp:inline>
        </w:drawing>
      </w:r>
      <w:r>
        <w:rPr>
          <w:sz w:val="20"/>
        </w:rPr>
      </w:r>
    </w:p>
    <w:sectPr>
      <w:pgSz w:w="12250" w:h="15850"/>
      <w:pgMar w:header="0" w:footer="977" w:top="1420" w:bottom="1160" w:left="1620" w:right="15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Cambria Math">
    <w:altName w:val="Cambria Math"/>
    <w:charset w:val="0"/>
    <w:family w:val="roman"/>
    <w:pitch w:val="variable"/>
  </w:font>
  <w:font w:name="Constantia">
    <w:altName w:val="Constantia"/>
    <w:charset w:val="0"/>
    <w:family w:val="roman"/>
    <w:pitch w:val="variable"/>
  </w:font>
  <w:font w:name="Cambria">
    <w:altName w:val="Cambria"/>
    <w:charset w:val="0"/>
    <w:family w:val="roman"/>
    <w:pitch w:val="variable"/>
  </w:font>
  <w:font w:name="Wingdings">
    <w:altName w:val="Wingdings"/>
    <w:charset w:val="2"/>
    <w:family w:val="auto"/>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0.089996pt;margin-top:729.383911pt;width:11.95pt;height:14pt;mso-position-horizontal-relative:page;mso-position-vertical-relative:page;z-index:-571096" type="#_x0000_t202" filled="false" stroked="false">
          <v:textbox inset="0,0,0,0">
            <w:txbxContent>
              <w:p>
                <w:pPr>
                  <w:pStyle w:val="BodyText"/>
                  <w:spacing w:line="265" w:lineRule="exact"/>
                  <w:ind w:left="40" w:right="-4"/>
                </w:pPr>
                <w:r>
                  <w:rPr/>
                  <w:fldChar w:fldCharType="begin"/>
                </w:r>
                <w:r>
                  <w:rPr/>
                  <w:instrText> PAGE  \* ROMAN </w:instrText>
                </w:r>
                <w:r>
                  <w:rPr/>
                  <w:fldChar w:fldCharType="separate"/>
                </w:r>
                <w:r>
                  <w:rPr/>
                  <w:t>II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6.049988pt;margin-top:729.263916pt;width:20pt;height:14pt;mso-position-horizontal-relative:page;mso-position-vertical-relative:page;z-index:-570832" type="#_x0000_t202" filled="false" stroked="false">
          <v:textbox inset="0,0,0,0">
            <w:txbxContent>
              <w:p>
                <w:pPr>
                  <w:pStyle w:val="BodyText"/>
                  <w:spacing w:line="265" w:lineRule="exact"/>
                  <w:ind w:left="20" w:right="-9"/>
                </w:pPr>
                <w:r>
                  <w:rPr/>
                  <w:t>100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049988pt;margin-top:729.263916pt;width:22pt;height:14pt;mso-position-horizontal-relative:page;mso-position-vertical-relative:page;z-index:-570808" type="#_x0000_t202" filled="false" stroked="false">
          <v:textbox inset="0,0,0,0">
            <w:txbxContent>
              <w:p>
                <w:pPr>
                  <w:pStyle w:val="BodyText"/>
                  <w:spacing w:line="265" w:lineRule="exact"/>
                  <w:ind w:left="40" w:right="-15"/>
                </w:pPr>
                <w:r>
                  <w:rPr/>
                  <w:fldChar w:fldCharType="begin"/>
                </w:r>
                <w:r>
                  <w:rPr/>
                  <w:instrText> PAGE </w:instrText>
                </w:r>
                <w:r>
                  <w:rPr/>
                  <w:fldChar w:fldCharType="separate"/>
                </w:r>
                <w:r>
                  <w:rPr/>
                  <w:t>101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049988pt;margin-top:729.263916pt;width:22pt;height:14pt;mso-position-horizontal-relative:page;mso-position-vertical-relative:page;z-index:-570784" type="#_x0000_t202" filled="false" stroked="false">
          <v:textbox inset="0,0,0,0">
            <w:txbxContent>
              <w:p>
                <w:pPr>
                  <w:pStyle w:val="BodyText"/>
                  <w:spacing w:line="265" w:lineRule="exact"/>
                  <w:ind w:left="40" w:right="-15"/>
                </w:pPr>
                <w:r>
                  <w:rPr/>
                  <w:fldChar w:fldCharType="begin"/>
                </w:r>
                <w:r>
                  <w:rPr/>
                  <w:instrText> PAGE </w:instrText>
                </w:r>
                <w:r>
                  <w:rPr/>
                  <w:fldChar w:fldCharType="separate"/>
                </w:r>
                <w:r>
                  <w:rPr/>
                  <w:t>181</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049988pt;margin-top:729.263916pt;width:22pt;height:14pt;mso-position-horizontal-relative:page;mso-position-vertical-relative:page;z-index:-570760" type="#_x0000_t202" filled="false" stroked="false">
          <v:textbox inset="0,0,0,0">
            <w:txbxContent>
              <w:p>
                <w:pPr>
                  <w:pStyle w:val="BodyText"/>
                  <w:spacing w:line="265" w:lineRule="exact"/>
                  <w:ind w:left="40" w:right="-15"/>
                </w:pPr>
                <w:r>
                  <w:rPr/>
                  <w:fldChar w:fldCharType="begin"/>
                </w:r>
                <w:r>
                  <w:rPr/>
                  <w:instrText> PAGE </w:instrText>
                </w:r>
                <w:r>
                  <w:rPr/>
                  <w:fldChar w:fldCharType="separate"/>
                </w:r>
                <w:r>
                  <w:rPr/>
                  <w:t>190</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6.049988pt;margin-top:729.263916pt;width:20pt;height:14pt;mso-position-horizontal-relative:page;mso-position-vertical-relative:page;z-index:-570736" type="#_x0000_t202" filled="false" stroked="false">
          <v:textbox inset="0,0,0,0">
            <w:txbxContent>
              <w:p>
                <w:pPr>
                  <w:pStyle w:val="BodyText"/>
                  <w:spacing w:line="265" w:lineRule="exact"/>
                  <w:ind w:left="20" w:right="-9"/>
                </w:pPr>
                <w:r>
                  <w:rPr/>
                  <w:t>200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295.049988pt;margin-top:729.263916pt;width:22pt;height:14pt;mso-position-horizontal-relative:page;mso-position-vertical-relative:page;z-index:-570712" type="#_x0000_t202" filled="false" stroked="false">
          <v:textbox inset="0,0,0,0">
            <w:txbxContent>
              <w:p>
                <w:pPr>
                  <w:pStyle w:val="BodyText"/>
                  <w:spacing w:line="265" w:lineRule="exact"/>
                  <w:ind w:left="40" w:right="-15"/>
                </w:pPr>
                <w:r>
                  <w:rPr/>
                  <w:fldChar w:fldCharType="begin"/>
                </w:r>
                <w:r>
                  <w:rPr/>
                  <w:instrText> PAGE </w:instrText>
                </w:r>
                <w:r>
                  <w:rPr/>
                  <w:fldChar w:fldCharType="separate"/>
                </w:r>
                <w:r>
                  <w:rPr/>
                  <w:t>243</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3.730011pt;margin-top:729.383911pt;width:24.7pt;height:14pt;mso-position-horizontal-relative:page;mso-position-vertical-relative:page;z-index:-571072" type="#_x0000_t202" filled="false" stroked="false">
          <v:textbox inset="0,0,0,0">
            <w:txbxContent>
              <w:p>
                <w:pPr>
                  <w:pStyle w:val="BodyText"/>
                  <w:spacing w:line="265" w:lineRule="exact"/>
                  <w:ind w:left="40"/>
                </w:pPr>
                <w:r>
                  <w:rPr/>
                  <w:fldChar w:fldCharType="begin"/>
                </w:r>
                <w:r>
                  <w:rPr/>
                  <w:instrText> PAGE  \* ROMAN </w:instrText>
                </w:r>
                <w:r>
                  <w:rPr/>
                  <w:fldChar w:fldCharType="separate"/>
                </w:r>
                <w:r>
                  <w:rPr/>
                  <w:t>VIII</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049988pt;margin-top:729.263916pt;width:16pt;height:14pt;mso-position-horizontal-relative:page;mso-position-vertical-relative:page;z-index:-57104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71024" from="85.103996pt,703.97998pt" to="229.123996pt,703.97998pt" stroked="true" strokeweight=".60004pt" strokecolor="#000000">
          <w10:wrap type="none"/>
        </v:line>
      </w:pict>
    </w:r>
    <w:r>
      <w:rPr/>
      <w:pict>
        <v:shape style="position:absolute;margin-left:84.103996pt;margin-top:708.025696pt;width:306.4pt;height:35.25pt;mso-position-horizontal-relative:page;mso-position-vertical-relative:page;z-index:-571000" type="#_x0000_t202" filled="false" stroked="false">
          <v:textbox inset="0,0,0,0">
            <w:txbxContent>
              <w:p>
                <w:pPr>
                  <w:spacing w:before="4"/>
                  <w:ind w:left="20" w:right="0" w:firstLine="0"/>
                  <w:jc w:val="left"/>
                  <w:rPr>
                    <w:sz w:val="20"/>
                  </w:rPr>
                </w:pPr>
                <w:r>
                  <w:rPr>
                    <w:position w:val="9"/>
                    <w:sz w:val="13"/>
                  </w:rPr>
                  <w:t>30 </w:t>
                </w:r>
                <w:r>
                  <w:rPr>
                    <w:sz w:val="20"/>
                  </w:rPr>
                  <w:t>Bolivia, Colombia, Ecuador, México, Costa Rica, Guatemala y Nicaragua</w:t>
                </w:r>
              </w:p>
              <w:p>
                <w:pPr>
                  <w:pStyle w:val="BodyText"/>
                  <w:spacing w:before="155"/>
                  <w:ind w:right="1566"/>
                  <w:jc w:val="right"/>
                </w:pPr>
                <w:r>
                  <w:rPr/>
                  <w:fldChar w:fldCharType="begin"/>
                </w:r>
                <w:r>
                  <w:rPr/>
                  <w:instrText> PAGE </w:instrText>
                </w:r>
                <w:r>
                  <w:rPr/>
                  <w:fldChar w:fldCharType="separate"/>
                </w:r>
                <w:r>
                  <w:rPr/>
                  <w:t>48</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049988pt;margin-top:729.263916pt;width:16pt;height:14pt;mso-position-horizontal-relative:page;mso-position-vertical-relative:page;z-index:-57097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49</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049988pt;margin-top:729.263916pt;width:16pt;height:14pt;mso-position-horizontal-relative:page;mso-position-vertical-relative:page;z-index:-57095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77</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049988pt;margin-top:729.263916pt;width:16pt;height:14pt;mso-position-horizontal-relative:page;mso-position-vertical-relative:page;z-index:-57092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82</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70904" from="85.103996pt,692.435974pt" to="229.123996pt,692.435974pt" stroked="true" strokeweight=".60004pt" strokecolor="#000000">
          <w10:wrap type="none"/>
        </v:line>
      </w:pict>
    </w:r>
    <w:r>
      <w:rPr/>
      <w:pict>
        <v:shape style="position:absolute;margin-left:299.049988pt;margin-top:729.263916pt;width:14pt;height:14pt;mso-position-horizontal-relative:page;mso-position-vertical-relative:page;z-index:-570880" type="#_x0000_t202" filled="false" stroked="false">
          <v:textbox inset="0,0,0,0">
            <w:txbxContent>
              <w:p>
                <w:pPr>
                  <w:pStyle w:val="BodyText"/>
                  <w:spacing w:line="265" w:lineRule="exact"/>
                  <w:ind w:left="20" w:right="-15"/>
                </w:pPr>
                <w:r>
                  <w:rPr/>
                  <w:t>84</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049988pt;margin-top:729.263916pt;width:16pt;height:14pt;mso-position-horizontal-relative:page;mso-position-vertical-relative:page;z-index:-57085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85</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2">
    <w:multiLevelType w:val="hybridMultilevel"/>
    <w:lvl w:ilvl="0">
      <w:start w:val="1"/>
      <w:numFmt w:val="decimal"/>
      <w:lvlText w:val="%1)"/>
      <w:lvlJc w:val="left"/>
      <w:pPr>
        <w:ind w:left="810" w:hanging="396"/>
        <w:jc w:val="left"/>
      </w:pPr>
      <w:rPr>
        <w:rFonts w:hint="default" w:ascii="Times New Roman" w:hAnsi="Times New Roman" w:eastAsia="Times New Roman" w:cs="Times New Roman"/>
        <w:spacing w:val="-23"/>
        <w:w w:val="99"/>
        <w:sz w:val="24"/>
        <w:szCs w:val="24"/>
      </w:rPr>
    </w:lvl>
    <w:lvl w:ilvl="1">
      <w:start w:val="1"/>
      <w:numFmt w:val="bullet"/>
      <w:lvlText w:val="•"/>
      <w:lvlJc w:val="left"/>
      <w:pPr>
        <w:ind w:left="1644" w:hanging="396"/>
      </w:pPr>
      <w:rPr>
        <w:rFonts w:hint="default"/>
      </w:rPr>
    </w:lvl>
    <w:lvl w:ilvl="2">
      <w:start w:val="1"/>
      <w:numFmt w:val="bullet"/>
      <w:lvlText w:val="•"/>
      <w:lvlJc w:val="left"/>
      <w:pPr>
        <w:ind w:left="2468" w:hanging="396"/>
      </w:pPr>
      <w:rPr>
        <w:rFonts w:hint="default"/>
      </w:rPr>
    </w:lvl>
    <w:lvl w:ilvl="3">
      <w:start w:val="1"/>
      <w:numFmt w:val="bullet"/>
      <w:lvlText w:val="•"/>
      <w:lvlJc w:val="left"/>
      <w:pPr>
        <w:ind w:left="3292" w:hanging="396"/>
      </w:pPr>
      <w:rPr>
        <w:rFonts w:hint="default"/>
      </w:rPr>
    </w:lvl>
    <w:lvl w:ilvl="4">
      <w:start w:val="1"/>
      <w:numFmt w:val="bullet"/>
      <w:lvlText w:val="•"/>
      <w:lvlJc w:val="left"/>
      <w:pPr>
        <w:ind w:left="4116" w:hanging="396"/>
      </w:pPr>
      <w:rPr>
        <w:rFonts w:hint="default"/>
      </w:rPr>
    </w:lvl>
    <w:lvl w:ilvl="5">
      <w:start w:val="1"/>
      <w:numFmt w:val="bullet"/>
      <w:lvlText w:val="•"/>
      <w:lvlJc w:val="left"/>
      <w:pPr>
        <w:ind w:left="4941" w:hanging="396"/>
      </w:pPr>
      <w:rPr>
        <w:rFonts w:hint="default"/>
      </w:rPr>
    </w:lvl>
    <w:lvl w:ilvl="6">
      <w:start w:val="1"/>
      <w:numFmt w:val="bullet"/>
      <w:lvlText w:val="•"/>
      <w:lvlJc w:val="left"/>
      <w:pPr>
        <w:ind w:left="5765" w:hanging="396"/>
      </w:pPr>
      <w:rPr>
        <w:rFonts w:hint="default"/>
      </w:rPr>
    </w:lvl>
    <w:lvl w:ilvl="7">
      <w:start w:val="1"/>
      <w:numFmt w:val="bullet"/>
      <w:lvlText w:val="•"/>
      <w:lvlJc w:val="left"/>
      <w:pPr>
        <w:ind w:left="6589" w:hanging="396"/>
      </w:pPr>
      <w:rPr>
        <w:rFonts w:hint="default"/>
      </w:rPr>
    </w:lvl>
    <w:lvl w:ilvl="8">
      <w:start w:val="1"/>
      <w:numFmt w:val="bullet"/>
      <w:lvlText w:val="•"/>
      <w:lvlJc w:val="left"/>
      <w:pPr>
        <w:ind w:left="7413" w:hanging="396"/>
      </w:pPr>
      <w:rPr>
        <w:rFonts w:hint="default"/>
      </w:rPr>
    </w:lvl>
  </w:abstractNum>
  <w:abstractNum w:abstractNumId="25">
    <w:multiLevelType w:val="hybridMultilevel"/>
    <w:lvl w:ilvl="0">
      <w:start w:val="1"/>
      <w:numFmt w:val="lowerLetter"/>
      <w:lvlText w:val="%1)"/>
      <w:lvlJc w:val="left"/>
      <w:pPr>
        <w:ind w:left="462" w:hanging="360"/>
        <w:jc w:val="left"/>
      </w:pPr>
      <w:rPr>
        <w:rFonts w:hint="default" w:ascii="Times New Roman" w:hAnsi="Times New Roman" w:eastAsia="Times New Roman" w:cs="Times New Roman"/>
        <w:spacing w:val="-6"/>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1" w:hanging="360"/>
      </w:pPr>
      <w:rPr>
        <w:rFonts w:hint="default"/>
      </w:rPr>
    </w:lvl>
    <w:lvl w:ilvl="6">
      <w:start w:val="1"/>
      <w:numFmt w:val="bullet"/>
      <w:lvlText w:val="•"/>
      <w:lvlJc w:val="left"/>
      <w:pPr>
        <w:ind w:left="5621" w:hanging="360"/>
      </w:pPr>
      <w:rPr>
        <w:rFonts w:hint="default"/>
      </w:rPr>
    </w:lvl>
    <w:lvl w:ilvl="7">
      <w:start w:val="1"/>
      <w:numFmt w:val="bullet"/>
      <w:lvlText w:val="•"/>
      <w:lvlJc w:val="left"/>
      <w:pPr>
        <w:ind w:left="6481" w:hanging="360"/>
      </w:pPr>
      <w:rPr>
        <w:rFonts w:hint="default"/>
      </w:rPr>
    </w:lvl>
    <w:lvl w:ilvl="8">
      <w:start w:val="1"/>
      <w:numFmt w:val="bullet"/>
      <w:lvlText w:val="•"/>
      <w:lvlJc w:val="left"/>
      <w:pPr>
        <w:ind w:left="7341" w:hanging="360"/>
      </w:pPr>
      <w:rPr>
        <w:rFonts w:hint="default"/>
      </w:rPr>
    </w:lvl>
  </w:abstractNum>
  <w:abstractNum w:abstractNumId="24">
    <w:multiLevelType w:val="hybridMultilevel"/>
    <w:lvl w:ilvl="0">
      <w:start w:val="1"/>
      <w:numFmt w:val="bullet"/>
      <w:lvlText w:val=""/>
      <w:lvlJc w:val="left"/>
      <w:pPr>
        <w:ind w:left="887" w:hanging="360"/>
      </w:pPr>
      <w:rPr>
        <w:rFonts w:hint="default" w:ascii="Wingdings" w:hAnsi="Wingdings" w:eastAsia="Wingdings" w:cs="Wingdings"/>
        <w:w w:val="100"/>
        <w:sz w:val="24"/>
        <w:szCs w:val="24"/>
      </w:rPr>
    </w:lvl>
    <w:lvl w:ilvl="1">
      <w:start w:val="1"/>
      <w:numFmt w:val="bullet"/>
      <w:lvlText w:val="•"/>
      <w:lvlJc w:val="left"/>
      <w:pPr>
        <w:ind w:left="1700" w:hanging="360"/>
      </w:pPr>
      <w:rPr>
        <w:rFonts w:hint="default"/>
      </w:rPr>
    </w:lvl>
    <w:lvl w:ilvl="2">
      <w:start w:val="1"/>
      <w:numFmt w:val="bullet"/>
      <w:lvlText w:val="•"/>
      <w:lvlJc w:val="left"/>
      <w:pPr>
        <w:ind w:left="2520" w:hanging="360"/>
      </w:pPr>
      <w:rPr>
        <w:rFonts w:hint="default"/>
      </w:rPr>
    </w:lvl>
    <w:lvl w:ilvl="3">
      <w:start w:val="1"/>
      <w:numFmt w:val="bullet"/>
      <w:lvlText w:val="•"/>
      <w:lvlJc w:val="left"/>
      <w:pPr>
        <w:ind w:left="3340" w:hanging="360"/>
      </w:pPr>
      <w:rPr>
        <w:rFonts w:hint="default"/>
      </w:rPr>
    </w:lvl>
    <w:lvl w:ilvl="4">
      <w:start w:val="1"/>
      <w:numFmt w:val="bullet"/>
      <w:lvlText w:val="•"/>
      <w:lvlJc w:val="left"/>
      <w:pPr>
        <w:ind w:left="4160" w:hanging="360"/>
      </w:pPr>
      <w:rPr>
        <w:rFonts w:hint="default"/>
      </w:rPr>
    </w:lvl>
    <w:lvl w:ilvl="5">
      <w:start w:val="1"/>
      <w:numFmt w:val="bullet"/>
      <w:lvlText w:val="•"/>
      <w:lvlJc w:val="left"/>
      <w:pPr>
        <w:ind w:left="4981" w:hanging="360"/>
      </w:pPr>
      <w:rPr>
        <w:rFonts w:hint="default"/>
      </w:rPr>
    </w:lvl>
    <w:lvl w:ilvl="6">
      <w:start w:val="1"/>
      <w:numFmt w:val="bullet"/>
      <w:lvlText w:val="•"/>
      <w:lvlJc w:val="left"/>
      <w:pPr>
        <w:ind w:left="5801" w:hanging="360"/>
      </w:pPr>
      <w:rPr>
        <w:rFonts w:hint="default"/>
      </w:rPr>
    </w:lvl>
    <w:lvl w:ilvl="7">
      <w:start w:val="1"/>
      <w:numFmt w:val="bullet"/>
      <w:lvlText w:val="•"/>
      <w:lvlJc w:val="left"/>
      <w:pPr>
        <w:ind w:left="6621" w:hanging="360"/>
      </w:pPr>
      <w:rPr>
        <w:rFonts w:hint="default"/>
      </w:rPr>
    </w:lvl>
    <w:lvl w:ilvl="8">
      <w:start w:val="1"/>
      <w:numFmt w:val="bullet"/>
      <w:lvlText w:val="•"/>
      <w:lvlJc w:val="left"/>
      <w:pPr>
        <w:ind w:left="7441" w:hanging="360"/>
      </w:pPr>
      <w:rPr>
        <w:rFonts w:hint="default"/>
      </w:rPr>
    </w:lvl>
  </w:abstractNum>
  <w:abstractNum w:abstractNumId="23">
    <w:multiLevelType w:val="hybridMultilevel"/>
    <w:lvl w:ilvl="0">
      <w:start w:val="6"/>
      <w:numFmt w:val="lowerLetter"/>
      <w:lvlText w:val="%1"/>
      <w:lvlJc w:val="left"/>
      <w:pPr>
        <w:ind w:left="1505" w:hanging="522"/>
        <w:jc w:val="left"/>
      </w:pPr>
      <w:rPr>
        <w:rFonts w:hint="default"/>
      </w:rPr>
    </w:lvl>
    <w:lvl w:ilvl="1">
      <w:start w:val="1"/>
      <w:numFmt w:val="decimal"/>
      <w:lvlText w:val="%1.%2)"/>
      <w:lvlJc w:val="left"/>
      <w:pPr>
        <w:ind w:left="1505" w:hanging="522"/>
        <w:jc w:val="left"/>
      </w:pPr>
      <w:rPr>
        <w:rFonts w:hint="default" w:ascii="Times New Roman" w:hAnsi="Times New Roman" w:eastAsia="Times New Roman" w:cs="Times New Roman"/>
        <w:b/>
        <w:bCs/>
        <w:spacing w:val="-3"/>
        <w:w w:val="99"/>
        <w:sz w:val="24"/>
        <w:szCs w:val="24"/>
      </w:rPr>
    </w:lvl>
    <w:lvl w:ilvl="2">
      <w:start w:val="1"/>
      <w:numFmt w:val="bullet"/>
      <w:lvlText w:val="•"/>
      <w:lvlJc w:val="left"/>
      <w:pPr>
        <w:ind w:left="3016" w:hanging="522"/>
      </w:pPr>
      <w:rPr>
        <w:rFonts w:hint="default"/>
      </w:rPr>
    </w:lvl>
    <w:lvl w:ilvl="3">
      <w:start w:val="1"/>
      <w:numFmt w:val="bullet"/>
      <w:lvlText w:val="•"/>
      <w:lvlJc w:val="left"/>
      <w:pPr>
        <w:ind w:left="3774" w:hanging="522"/>
      </w:pPr>
      <w:rPr>
        <w:rFonts w:hint="default"/>
      </w:rPr>
    </w:lvl>
    <w:lvl w:ilvl="4">
      <w:start w:val="1"/>
      <w:numFmt w:val="bullet"/>
      <w:lvlText w:val="•"/>
      <w:lvlJc w:val="left"/>
      <w:pPr>
        <w:ind w:left="4532" w:hanging="522"/>
      </w:pPr>
      <w:rPr>
        <w:rFonts w:hint="default"/>
      </w:rPr>
    </w:lvl>
    <w:lvl w:ilvl="5">
      <w:start w:val="1"/>
      <w:numFmt w:val="bullet"/>
      <w:lvlText w:val="•"/>
      <w:lvlJc w:val="left"/>
      <w:pPr>
        <w:ind w:left="5291" w:hanging="522"/>
      </w:pPr>
      <w:rPr>
        <w:rFonts w:hint="default"/>
      </w:rPr>
    </w:lvl>
    <w:lvl w:ilvl="6">
      <w:start w:val="1"/>
      <w:numFmt w:val="bullet"/>
      <w:lvlText w:val="•"/>
      <w:lvlJc w:val="left"/>
      <w:pPr>
        <w:ind w:left="6049" w:hanging="522"/>
      </w:pPr>
      <w:rPr>
        <w:rFonts w:hint="default"/>
      </w:rPr>
    </w:lvl>
    <w:lvl w:ilvl="7">
      <w:start w:val="1"/>
      <w:numFmt w:val="bullet"/>
      <w:lvlText w:val="•"/>
      <w:lvlJc w:val="left"/>
      <w:pPr>
        <w:ind w:left="6807" w:hanging="522"/>
      </w:pPr>
      <w:rPr>
        <w:rFonts w:hint="default"/>
      </w:rPr>
    </w:lvl>
    <w:lvl w:ilvl="8">
      <w:start w:val="1"/>
      <w:numFmt w:val="bullet"/>
      <w:lvlText w:val="•"/>
      <w:lvlJc w:val="left"/>
      <w:pPr>
        <w:ind w:left="7565" w:hanging="522"/>
      </w:pPr>
      <w:rPr>
        <w:rFonts w:hint="default"/>
      </w:rPr>
    </w:lvl>
  </w:abstractNum>
  <w:abstractNum w:abstractNumId="21">
    <w:multiLevelType w:val="hybridMultilevel"/>
    <w:lvl w:ilvl="0">
      <w:start w:val="1"/>
      <w:numFmt w:val="bullet"/>
      <w:lvlText w:val=""/>
      <w:lvlJc w:val="left"/>
      <w:pPr>
        <w:ind w:left="462" w:hanging="360"/>
      </w:pPr>
      <w:rPr>
        <w:rFonts w:hint="default" w:ascii="Wingdings" w:hAnsi="Wingdings" w:eastAsia="Wingdings" w:cs="Wingdings"/>
        <w:w w:val="100"/>
        <w:sz w:val="24"/>
        <w:szCs w:val="24"/>
      </w:rPr>
    </w:lvl>
    <w:lvl w:ilvl="1">
      <w:start w:val="1"/>
      <w:numFmt w:val="bullet"/>
      <w:lvlText w:val=""/>
      <w:lvlJc w:val="left"/>
      <w:pPr>
        <w:ind w:left="822" w:hanging="360"/>
      </w:pPr>
      <w:rPr>
        <w:rFonts w:hint="default" w:ascii="Wingdings" w:hAnsi="Wingdings" w:eastAsia="Wingdings" w:cs="Wingdings"/>
        <w:w w:val="100"/>
        <w:sz w:val="24"/>
        <w:szCs w:val="24"/>
      </w:rPr>
    </w:lvl>
    <w:lvl w:ilvl="2">
      <w:start w:val="1"/>
      <w:numFmt w:val="bullet"/>
      <w:lvlText w:val=""/>
      <w:lvlJc w:val="left"/>
      <w:pPr>
        <w:ind w:left="1530" w:hanging="360"/>
      </w:pPr>
      <w:rPr>
        <w:rFonts w:hint="default" w:ascii="Wingdings" w:hAnsi="Wingdings" w:eastAsia="Wingdings" w:cs="Wingdings"/>
        <w:w w:val="100"/>
        <w:sz w:val="24"/>
        <w:szCs w:val="24"/>
      </w:rPr>
    </w:lvl>
    <w:lvl w:ilvl="3">
      <w:start w:val="1"/>
      <w:numFmt w:val="bullet"/>
      <w:lvlText w:val="•"/>
      <w:lvlJc w:val="left"/>
      <w:pPr>
        <w:ind w:left="2480" w:hanging="360"/>
      </w:pPr>
      <w:rPr>
        <w:rFonts w:hint="default"/>
      </w:rPr>
    </w:lvl>
    <w:lvl w:ilvl="4">
      <w:start w:val="1"/>
      <w:numFmt w:val="bullet"/>
      <w:lvlText w:val="•"/>
      <w:lvlJc w:val="left"/>
      <w:pPr>
        <w:ind w:left="3420" w:hanging="360"/>
      </w:pPr>
      <w:rPr>
        <w:rFonts w:hint="default"/>
      </w:rPr>
    </w:lvl>
    <w:lvl w:ilvl="5">
      <w:start w:val="1"/>
      <w:numFmt w:val="bullet"/>
      <w:lvlText w:val="•"/>
      <w:lvlJc w:val="left"/>
      <w:pPr>
        <w:ind w:left="4360" w:hanging="360"/>
      </w:pPr>
      <w:rPr>
        <w:rFonts w:hint="default"/>
      </w:rPr>
    </w:lvl>
    <w:lvl w:ilvl="6">
      <w:start w:val="1"/>
      <w:numFmt w:val="bullet"/>
      <w:lvlText w:val="•"/>
      <w:lvlJc w:val="left"/>
      <w:pPr>
        <w:ind w:left="5301" w:hanging="360"/>
      </w:pPr>
      <w:rPr>
        <w:rFonts w:hint="default"/>
      </w:rPr>
    </w:lvl>
    <w:lvl w:ilvl="7">
      <w:start w:val="1"/>
      <w:numFmt w:val="bullet"/>
      <w:lvlText w:val="•"/>
      <w:lvlJc w:val="left"/>
      <w:pPr>
        <w:ind w:left="6241" w:hanging="360"/>
      </w:pPr>
      <w:rPr>
        <w:rFonts w:hint="default"/>
      </w:rPr>
    </w:lvl>
    <w:lvl w:ilvl="8">
      <w:start w:val="1"/>
      <w:numFmt w:val="bullet"/>
      <w:lvlText w:val="•"/>
      <w:lvlJc w:val="left"/>
      <w:pPr>
        <w:ind w:left="7181" w:hanging="360"/>
      </w:pPr>
      <w:rPr>
        <w:rFonts w:hint="default"/>
      </w:rPr>
    </w:lvl>
  </w:abstractNum>
  <w:abstractNum w:abstractNumId="20">
    <w:multiLevelType w:val="hybridMultilevel"/>
    <w:lvl w:ilvl="0">
      <w:start w:val="1"/>
      <w:numFmt w:val="upperRoman"/>
      <w:lvlText w:val="%1."/>
      <w:lvlJc w:val="left"/>
      <w:pPr>
        <w:ind w:left="884" w:hanging="360"/>
        <w:jc w:val="left"/>
      </w:pPr>
      <w:rPr>
        <w:rFonts w:hint="default" w:ascii="Times New Roman" w:hAnsi="Times New Roman" w:eastAsia="Times New Roman" w:cs="Times New Roman"/>
        <w:spacing w:val="-21"/>
        <w:w w:val="99"/>
        <w:sz w:val="24"/>
        <w:szCs w:val="24"/>
      </w:rPr>
    </w:lvl>
    <w:lvl w:ilvl="1">
      <w:start w:val="1"/>
      <w:numFmt w:val="bullet"/>
      <w:lvlText w:val="•"/>
      <w:lvlJc w:val="left"/>
      <w:pPr>
        <w:ind w:left="1698" w:hanging="360"/>
      </w:pPr>
      <w:rPr>
        <w:rFonts w:hint="default"/>
      </w:rPr>
    </w:lvl>
    <w:lvl w:ilvl="2">
      <w:start w:val="1"/>
      <w:numFmt w:val="bullet"/>
      <w:lvlText w:val="•"/>
      <w:lvlJc w:val="left"/>
      <w:pPr>
        <w:ind w:left="2516" w:hanging="360"/>
      </w:pPr>
      <w:rPr>
        <w:rFonts w:hint="default"/>
      </w:rPr>
    </w:lvl>
    <w:lvl w:ilvl="3">
      <w:start w:val="1"/>
      <w:numFmt w:val="bullet"/>
      <w:lvlText w:val="•"/>
      <w:lvlJc w:val="left"/>
      <w:pPr>
        <w:ind w:left="3334" w:hanging="360"/>
      </w:pPr>
      <w:rPr>
        <w:rFonts w:hint="default"/>
      </w:rPr>
    </w:lvl>
    <w:lvl w:ilvl="4">
      <w:start w:val="1"/>
      <w:numFmt w:val="bullet"/>
      <w:lvlText w:val="•"/>
      <w:lvlJc w:val="left"/>
      <w:pPr>
        <w:ind w:left="4152" w:hanging="360"/>
      </w:pPr>
      <w:rPr>
        <w:rFonts w:hint="default"/>
      </w:rPr>
    </w:lvl>
    <w:lvl w:ilvl="5">
      <w:start w:val="1"/>
      <w:numFmt w:val="bullet"/>
      <w:lvlText w:val="•"/>
      <w:lvlJc w:val="left"/>
      <w:pPr>
        <w:ind w:left="4971" w:hanging="360"/>
      </w:pPr>
      <w:rPr>
        <w:rFonts w:hint="default"/>
      </w:rPr>
    </w:lvl>
    <w:lvl w:ilvl="6">
      <w:start w:val="1"/>
      <w:numFmt w:val="bullet"/>
      <w:lvlText w:val="•"/>
      <w:lvlJc w:val="left"/>
      <w:pPr>
        <w:ind w:left="5789" w:hanging="360"/>
      </w:pPr>
      <w:rPr>
        <w:rFonts w:hint="default"/>
      </w:rPr>
    </w:lvl>
    <w:lvl w:ilvl="7">
      <w:start w:val="1"/>
      <w:numFmt w:val="bullet"/>
      <w:lvlText w:val="•"/>
      <w:lvlJc w:val="left"/>
      <w:pPr>
        <w:ind w:left="6607" w:hanging="360"/>
      </w:pPr>
      <w:rPr>
        <w:rFonts w:hint="default"/>
      </w:rPr>
    </w:lvl>
    <w:lvl w:ilvl="8">
      <w:start w:val="1"/>
      <w:numFmt w:val="bullet"/>
      <w:lvlText w:val="•"/>
      <w:lvlJc w:val="left"/>
      <w:pPr>
        <w:ind w:left="7425" w:hanging="360"/>
      </w:pPr>
      <w:rPr>
        <w:rFonts w:hint="default"/>
      </w:rPr>
    </w:lvl>
  </w:abstractNum>
  <w:abstractNum w:abstractNumId="19">
    <w:multiLevelType w:val="hybridMultilevel"/>
    <w:lvl w:ilvl="0">
      <w:start w:val="1"/>
      <w:numFmt w:val="decimal"/>
      <w:lvlText w:val="%1)"/>
      <w:lvlJc w:val="left"/>
      <w:pPr>
        <w:ind w:left="102" w:hanging="307"/>
        <w:jc w:val="left"/>
      </w:pPr>
      <w:rPr>
        <w:rFonts w:hint="default"/>
        <w:spacing w:val="-18"/>
        <w:w w:val="99"/>
      </w:rPr>
    </w:lvl>
    <w:lvl w:ilvl="1">
      <w:start w:val="1"/>
      <w:numFmt w:val="decimal"/>
      <w:lvlText w:val="%2)"/>
      <w:lvlJc w:val="left"/>
      <w:pPr>
        <w:ind w:left="822" w:hanging="360"/>
        <w:jc w:val="left"/>
      </w:pPr>
      <w:rPr>
        <w:rFonts w:hint="default" w:ascii="Times New Roman" w:hAnsi="Times New Roman" w:eastAsia="Times New Roman" w:cs="Times New Roman"/>
        <w:spacing w:val="-20"/>
        <w:w w:val="99"/>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7" w:hanging="360"/>
      </w:pPr>
      <w:rPr>
        <w:rFonts w:hint="default"/>
      </w:rPr>
    </w:lvl>
    <w:lvl w:ilvl="5">
      <w:start w:val="1"/>
      <w:numFmt w:val="bullet"/>
      <w:lvlText w:val="•"/>
      <w:lvlJc w:val="left"/>
      <w:pPr>
        <w:ind w:left="4483" w:hanging="360"/>
      </w:pPr>
      <w:rPr>
        <w:rFonts w:hint="default"/>
      </w:rPr>
    </w:lvl>
    <w:lvl w:ilvl="6">
      <w:start w:val="1"/>
      <w:numFmt w:val="bullet"/>
      <w:lvlText w:val="•"/>
      <w:lvlJc w:val="left"/>
      <w:pPr>
        <w:ind w:left="5399" w:hanging="360"/>
      </w:pPr>
      <w:rPr>
        <w:rFonts w:hint="default"/>
      </w:rPr>
    </w:lvl>
    <w:lvl w:ilvl="7">
      <w:start w:val="1"/>
      <w:numFmt w:val="bullet"/>
      <w:lvlText w:val="•"/>
      <w:lvlJc w:val="left"/>
      <w:pPr>
        <w:ind w:left="6314" w:hanging="360"/>
      </w:pPr>
      <w:rPr>
        <w:rFonts w:hint="default"/>
      </w:rPr>
    </w:lvl>
    <w:lvl w:ilvl="8">
      <w:start w:val="1"/>
      <w:numFmt w:val="bullet"/>
      <w:lvlText w:val="•"/>
      <w:lvlJc w:val="left"/>
      <w:pPr>
        <w:ind w:left="7230" w:hanging="360"/>
      </w:pPr>
      <w:rPr>
        <w:rFonts w:hint="default"/>
      </w:rPr>
    </w:lvl>
  </w:abstractNum>
  <w:abstractNum w:abstractNumId="18">
    <w:multiLevelType w:val="hybridMultilevel"/>
    <w:lvl w:ilvl="0">
      <w:start w:val="1"/>
      <w:numFmt w:val="lowerLetter"/>
      <w:lvlText w:val="%1)"/>
      <w:lvlJc w:val="left"/>
      <w:pPr>
        <w:ind w:left="822" w:hanging="360"/>
        <w:jc w:val="left"/>
      </w:pPr>
      <w:rPr>
        <w:rFonts w:hint="default" w:ascii="Times New Roman" w:hAnsi="Times New Roman" w:eastAsia="Times New Roman" w:cs="Times New Roman"/>
        <w:b/>
        <w:bCs/>
        <w:spacing w:val="-20"/>
        <w:w w:val="99"/>
        <w:sz w:val="24"/>
        <w:szCs w:val="24"/>
      </w:rPr>
    </w:lvl>
    <w:lvl w:ilvl="1">
      <w:start w:val="1"/>
      <w:numFmt w:val="decimal"/>
      <w:lvlText w:val="%1.%2)"/>
      <w:lvlJc w:val="left"/>
      <w:pPr>
        <w:ind w:left="1510" w:hanging="547"/>
        <w:jc w:val="left"/>
      </w:pPr>
      <w:rPr>
        <w:rFonts w:hint="default" w:ascii="Times New Roman" w:hAnsi="Times New Roman" w:eastAsia="Times New Roman" w:cs="Times New Roman"/>
        <w:b/>
        <w:bCs/>
        <w:spacing w:val="-3"/>
        <w:w w:val="99"/>
        <w:sz w:val="24"/>
        <w:szCs w:val="24"/>
      </w:rPr>
    </w:lvl>
    <w:lvl w:ilvl="2">
      <w:start w:val="1"/>
      <w:numFmt w:val="bullet"/>
      <w:lvlText w:val="•"/>
      <w:lvlJc w:val="left"/>
      <w:pPr>
        <w:ind w:left="2358" w:hanging="547"/>
      </w:pPr>
      <w:rPr>
        <w:rFonts w:hint="default"/>
      </w:rPr>
    </w:lvl>
    <w:lvl w:ilvl="3">
      <w:start w:val="1"/>
      <w:numFmt w:val="bullet"/>
      <w:lvlText w:val="•"/>
      <w:lvlJc w:val="left"/>
      <w:pPr>
        <w:ind w:left="3196" w:hanging="547"/>
      </w:pPr>
      <w:rPr>
        <w:rFonts w:hint="default"/>
      </w:rPr>
    </w:lvl>
    <w:lvl w:ilvl="4">
      <w:start w:val="1"/>
      <w:numFmt w:val="bullet"/>
      <w:lvlText w:val="•"/>
      <w:lvlJc w:val="left"/>
      <w:pPr>
        <w:ind w:left="4034" w:hanging="547"/>
      </w:pPr>
      <w:rPr>
        <w:rFonts w:hint="default"/>
      </w:rPr>
    </w:lvl>
    <w:lvl w:ilvl="5">
      <w:start w:val="1"/>
      <w:numFmt w:val="bullet"/>
      <w:lvlText w:val="•"/>
      <w:lvlJc w:val="left"/>
      <w:pPr>
        <w:ind w:left="4872" w:hanging="547"/>
      </w:pPr>
      <w:rPr>
        <w:rFonts w:hint="default"/>
      </w:rPr>
    </w:lvl>
    <w:lvl w:ilvl="6">
      <w:start w:val="1"/>
      <w:numFmt w:val="bullet"/>
      <w:lvlText w:val="•"/>
      <w:lvlJc w:val="left"/>
      <w:pPr>
        <w:ind w:left="5710" w:hanging="547"/>
      </w:pPr>
      <w:rPr>
        <w:rFonts w:hint="default"/>
      </w:rPr>
    </w:lvl>
    <w:lvl w:ilvl="7">
      <w:start w:val="1"/>
      <w:numFmt w:val="bullet"/>
      <w:lvlText w:val="•"/>
      <w:lvlJc w:val="left"/>
      <w:pPr>
        <w:ind w:left="6548" w:hanging="547"/>
      </w:pPr>
      <w:rPr>
        <w:rFonts w:hint="default"/>
      </w:rPr>
    </w:lvl>
    <w:lvl w:ilvl="8">
      <w:start w:val="1"/>
      <w:numFmt w:val="bullet"/>
      <w:lvlText w:val="•"/>
      <w:lvlJc w:val="left"/>
      <w:pPr>
        <w:ind w:left="7386" w:hanging="547"/>
      </w:pPr>
      <w:rPr>
        <w:rFonts w:hint="default"/>
      </w:rPr>
    </w:lvl>
  </w:abstractNum>
  <w:abstractNum w:abstractNumId="17">
    <w:multiLevelType w:val="hybridMultilevel"/>
    <w:lvl w:ilvl="0">
      <w:start w:val="4"/>
      <w:numFmt w:val="decimal"/>
      <w:lvlText w:val="%1"/>
      <w:lvlJc w:val="left"/>
      <w:pPr>
        <w:ind w:left="963" w:hanging="720"/>
        <w:jc w:val="left"/>
      </w:pPr>
      <w:rPr>
        <w:rFonts w:hint="default"/>
      </w:rPr>
    </w:lvl>
    <w:lvl w:ilvl="1">
      <w:start w:val="3"/>
      <w:numFmt w:val="decimal"/>
      <w:lvlText w:val="%1.%2"/>
      <w:lvlJc w:val="left"/>
      <w:pPr>
        <w:ind w:left="963" w:hanging="720"/>
        <w:jc w:val="left"/>
      </w:pPr>
      <w:rPr>
        <w:rFonts w:hint="default"/>
      </w:rPr>
    </w:lvl>
    <w:lvl w:ilvl="2">
      <w:start w:val="1"/>
      <w:numFmt w:val="decimal"/>
      <w:lvlText w:val="%1.%2.%3"/>
      <w:lvlJc w:val="left"/>
      <w:pPr>
        <w:ind w:left="963" w:hanging="720"/>
        <w:jc w:val="left"/>
      </w:pPr>
      <w:rPr>
        <w:rFonts w:hint="default" w:ascii="Times New Roman" w:hAnsi="Times New Roman" w:eastAsia="Times New Roman" w:cs="Times New Roman"/>
        <w:b/>
        <w:bCs/>
        <w:spacing w:val="-4"/>
        <w:w w:val="99"/>
        <w:sz w:val="24"/>
        <w:szCs w:val="24"/>
      </w:rPr>
    </w:lvl>
    <w:lvl w:ilvl="3">
      <w:start w:val="1"/>
      <w:numFmt w:val="decimal"/>
      <w:lvlText w:val="%4."/>
      <w:lvlJc w:val="left"/>
      <w:pPr>
        <w:ind w:left="822" w:hanging="360"/>
        <w:jc w:val="left"/>
      </w:pPr>
      <w:rPr>
        <w:rFonts w:hint="default" w:ascii="Times New Roman" w:hAnsi="Times New Roman" w:eastAsia="Times New Roman" w:cs="Times New Roman"/>
        <w:spacing w:val="-26"/>
        <w:w w:val="99"/>
        <w:sz w:val="24"/>
        <w:szCs w:val="24"/>
      </w:rPr>
    </w:lvl>
    <w:lvl w:ilvl="4">
      <w:start w:val="1"/>
      <w:numFmt w:val="bullet"/>
      <w:lvlText w:val="•"/>
      <w:lvlJc w:val="left"/>
      <w:pPr>
        <w:ind w:left="2117" w:hanging="360"/>
      </w:pPr>
      <w:rPr>
        <w:rFonts w:hint="default"/>
      </w:rPr>
    </w:lvl>
    <w:lvl w:ilvl="5">
      <w:start w:val="1"/>
      <w:numFmt w:val="bullet"/>
      <w:lvlText w:val="•"/>
      <w:lvlJc w:val="left"/>
      <w:pPr>
        <w:ind w:left="3274" w:hanging="360"/>
      </w:pPr>
      <w:rPr>
        <w:rFonts w:hint="default"/>
      </w:rPr>
    </w:lvl>
    <w:lvl w:ilvl="6">
      <w:start w:val="1"/>
      <w:numFmt w:val="bullet"/>
      <w:lvlText w:val="•"/>
      <w:lvlJc w:val="left"/>
      <w:pPr>
        <w:ind w:left="4432" w:hanging="360"/>
      </w:pPr>
      <w:rPr>
        <w:rFonts w:hint="default"/>
      </w:rPr>
    </w:lvl>
    <w:lvl w:ilvl="7">
      <w:start w:val="1"/>
      <w:numFmt w:val="bullet"/>
      <w:lvlText w:val="•"/>
      <w:lvlJc w:val="left"/>
      <w:pPr>
        <w:ind w:left="5589" w:hanging="360"/>
      </w:pPr>
      <w:rPr>
        <w:rFonts w:hint="default"/>
      </w:rPr>
    </w:lvl>
    <w:lvl w:ilvl="8">
      <w:start w:val="1"/>
      <w:numFmt w:val="bullet"/>
      <w:lvlText w:val="•"/>
      <w:lvlJc w:val="left"/>
      <w:pPr>
        <w:ind w:left="6747" w:hanging="360"/>
      </w:pPr>
      <w:rPr>
        <w:rFonts w:hint="default"/>
      </w:rPr>
    </w:lvl>
  </w:abstractNum>
  <w:abstractNum w:abstractNumId="16">
    <w:multiLevelType w:val="hybridMultilevel"/>
    <w:lvl w:ilvl="0">
      <w:start w:val="1"/>
      <w:numFmt w:val="lowerRoman"/>
      <w:lvlText w:val="%1."/>
      <w:lvlJc w:val="left"/>
      <w:pPr>
        <w:ind w:left="1706" w:hanging="488"/>
        <w:jc w:val="right"/>
      </w:pPr>
      <w:rPr>
        <w:rFonts w:hint="default" w:ascii="Times New Roman" w:hAnsi="Times New Roman" w:eastAsia="Times New Roman" w:cs="Times New Roman"/>
        <w:i/>
        <w:spacing w:val="-2"/>
        <w:w w:val="99"/>
        <w:sz w:val="24"/>
        <w:szCs w:val="24"/>
      </w:rPr>
    </w:lvl>
    <w:lvl w:ilvl="1">
      <w:start w:val="1"/>
      <w:numFmt w:val="bullet"/>
      <w:lvlText w:val="•"/>
      <w:lvlJc w:val="left"/>
      <w:pPr>
        <w:ind w:left="2436" w:hanging="488"/>
      </w:pPr>
      <w:rPr>
        <w:rFonts w:hint="default"/>
      </w:rPr>
    </w:lvl>
    <w:lvl w:ilvl="2">
      <w:start w:val="1"/>
      <w:numFmt w:val="bullet"/>
      <w:lvlText w:val="•"/>
      <w:lvlJc w:val="left"/>
      <w:pPr>
        <w:ind w:left="3172" w:hanging="488"/>
      </w:pPr>
      <w:rPr>
        <w:rFonts w:hint="default"/>
      </w:rPr>
    </w:lvl>
    <w:lvl w:ilvl="3">
      <w:start w:val="1"/>
      <w:numFmt w:val="bullet"/>
      <w:lvlText w:val="•"/>
      <w:lvlJc w:val="left"/>
      <w:pPr>
        <w:ind w:left="3908" w:hanging="488"/>
      </w:pPr>
      <w:rPr>
        <w:rFonts w:hint="default"/>
      </w:rPr>
    </w:lvl>
    <w:lvl w:ilvl="4">
      <w:start w:val="1"/>
      <w:numFmt w:val="bullet"/>
      <w:lvlText w:val="•"/>
      <w:lvlJc w:val="left"/>
      <w:pPr>
        <w:ind w:left="4644" w:hanging="488"/>
      </w:pPr>
      <w:rPr>
        <w:rFonts w:hint="default"/>
      </w:rPr>
    </w:lvl>
    <w:lvl w:ilvl="5">
      <w:start w:val="1"/>
      <w:numFmt w:val="bullet"/>
      <w:lvlText w:val="•"/>
      <w:lvlJc w:val="left"/>
      <w:pPr>
        <w:ind w:left="5381" w:hanging="488"/>
      </w:pPr>
      <w:rPr>
        <w:rFonts w:hint="default"/>
      </w:rPr>
    </w:lvl>
    <w:lvl w:ilvl="6">
      <w:start w:val="1"/>
      <w:numFmt w:val="bullet"/>
      <w:lvlText w:val="•"/>
      <w:lvlJc w:val="left"/>
      <w:pPr>
        <w:ind w:left="6117" w:hanging="488"/>
      </w:pPr>
      <w:rPr>
        <w:rFonts w:hint="default"/>
      </w:rPr>
    </w:lvl>
    <w:lvl w:ilvl="7">
      <w:start w:val="1"/>
      <w:numFmt w:val="bullet"/>
      <w:lvlText w:val="•"/>
      <w:lvlJc w:val="left"/>
      <w:pPr>
        <w:ind w:left="6853" w:hanging="488"/>
      </w:pPr>
      <w:rPr>
        <w:rFonts w:hint="default"/>
      </w:rPr>
    </w:lvl>
    <w:lvl w:ilvl="8">
      <w:start w:val="1"/>
      <w:numFmt w:val="bullet"/>
      <w:lvlText w:val="•"/>
      <w:lvlJc w:val="left"/>
      <w:pPr>
        <w:ind w:left="7589" w:hanging="488"/>
      </w:pPr>
      <w:rPr>
        <w:rFonts w:hint="default"/>
      </w:rPr>
    </w:lvl>
  </w:abstractNum>
  <w:abstractNum w:abstractNumId="15">
    <w:multiLevelType w:val="hybridMultilevel"/>
    <w:lvl w:ilvl="0">
      <w:start w:val="1"/>
      <w:numFmt w:val="lowerLetter"/>
      <w:lvlText w:val="%1)"/>
      <w:lvlJc w:val="left"/>
      <w:pPr>
        <w:ind w:left="318" w:hanging="150"/>
        <w:jc w:val="left"/>
      </w:pPr>
      <w:rPr>
        <w:rFonts w:hint="default" w:ascii="Constantia" w:hAnsi="Constantia" w:eastAsia="Constantia" w:cs="Constantia"/>
        <w:spacing w:val="-2"/>
        <w:w w:val="84"/>
        <w:sz w:val="21"/>
        <w:szCs w:val="21"/>
      </w:rPr>
    </w:lvl>
    <w:lvl w:ilvl="1">
      <w:start w:val="1"/>
      <w:numFmt w:val="decimal"/>
      <w:lvlText w:val="%2)"/>
      <w:lvlJc w:val="left"/>
      <w:pPr>
        <w:ind w:left="168" w:hanging="168"/>
        <w:jc w:val="left"/>
      </w:pPr>
      <w:rPr>
        <w:rFonts w:hint="default" w:ascii="Constantia" w:hAnsi="Constantia" w:eastAsia="Constantia" w:cs="Constantia"/>
        <w:w w:val="84"/>
        <w:sz w:val="21"/>
        <w:szCs w:val="21"/>
      </w:rPr>
    </w:lvl>
    <w:lvl w:ilvl="2">
      <w:start w:val="1"/>
      <w:numFmt w:val="bullet"/>
      <w:lvlText w:val="•"/>
      <w:lvlJc w:val="left"/>
      <w:pPr>
        <w:ind w:left="155" w:hanging="168"/>
      </w:pPr>
      <w:rPr>
        <w:rFonts w:hint="default"/>
      </w:rPr>
    </w:lvl>
    <w:lvl w:ilvl="3">
      <w:start w:val="1"/>
      <w:numFmt w:val="bullet"/>
      <w:lvlText w:val="•"/>
      <w:lvlJc w:val="left"/>
      <w:pPr>
        <w:ind w:left="-10" w:hanging="168"/>
      </w:pPr>
      <w:rPr>
        <w:rFonts w:hint="default"/>
      </w:rPr>
    </w:lvl>
    <w:lvl w:ilvl="4">
      <w:start w:val="1"/>
      <w:numFmt w:val="bullet"/>
      <w:lvlText w:val="•"/>
      <w:lvlJc w:val="left"/>
      <w:pPr>
        <w:ind w:left="-175" w:hanging="168"/>
      </w:pPr>
      <w:rPr>
        <w:rFonts w:hint="default"/>
      </w:rPr>
    </w:lvl>
    <w:lvl w:ilvl="5">
      <w:start w:val="1"/>
      <w:numFmt w:val="bullet"/>
      <w:lvlText w:val="•"/>
      <w:lvlJc w:val="left"/>
      <w:pPr>
        <w:ind w:left="-340" w:hanging="168"/>
      </w:pPr>
      <w:rPr>
        <w:rFonts w:hint="default"/>
      </w:rPr>
    </w:lvl>
    <w:lvl w:ilvl="6">
      <w:start w:val="1"/>
      <w:numFmt w:val="bullet"/>
      <w:lvlText w:val="•"/>
      <w:lvlJc w:val="left"/>
      <w:pPr>
        <w:ind w:left="-505" w:hanging="168"/>
      </w:pPr>
      <w:rPr>
        <w:rFonts w:hint="default"/>
      </w:rPr>
    </w:lvl>
    <w:lvl w:ilvl="7">
      <w:start w:val="1"/>
      <w:numFmt w:val="bullet"/>
      <w:lvlText w:val="•"/>
      <w:lvlJc w:val="left"/>
      <w:pPr>
        <w:ind w:left="-670" w:hanging="168"/>
      </w:pPr>
      <w:rPr>
        <w:rFonts w:hint="default"/>
      </w:rPr>
    </w:lvl>
    <w:lvl w:ilvl="8">
      <w:start w:val="1"/>
      <w:numFmt w:val="bullet"/>
      <w:lvlText w:val="•"/>
      <w:lvlJc w:val="left"/>
      <w:pPr>
        <w:ind w:left="-834" w:hanging="168"/>
      </w:pPr>
      <w:rPr>
        <w:rFonts w:hint="default"/>
      </w:rPr>
    </w:lvl>
  </w:abstractNum>
  <w:abstractNum w:abstractNumId="14">
    <w:multiLevelType w:val="hybridMultilevel"/>
    <w:lvl w:ilvl="0">
      <w:start w:val="4"/>
      <w:numFmt w:val="decimal"/>
      <w:lvlText w:val="%1"/>
      <w:lvlJc w:val="left"/>
      <w:pPr>
        <w:ind w:left="738" w:hanging="636"/>
        <w:jc w:val="left"/>
      </w:pPr>
      <w:rPr>
        <w:rFonts w:hint="default"/>
      </w:rPr>
    </w:lvl>
    <w:lvl w:ilvl="1">
      <w:start w:val="1"/>
      <w:numFmt w:val="decimal"/>
      <w:lvlText w:val="%1.%2"/>
      <w:lvlJc w:val="left"/>
      <w:pPr>
        <w:ind w:left="738" w:hanging="636"/>
        <w:jc w:val="left"/>
      </w:pPr>
      <w:rPr>
        <w:rFonts w:hint="default" w:ascii="Times New Roman" w:hAnsi="Times New Roman" w:eastAsia="Times New Roman" w:cs="Times New Roman"/>
        <w:b/>
        <w:bCs/>
        <w:spacing w:val="-2"/>
        <w:w w:val="99"/>
        <w:sz w:val="24"/>
        <w:szCs w:val="24"/>
      </w:rPr>
    </w:lvl>
    <w:lvl w:ilvl="2">
      <w:start w:val="1"/>
      <w:numFmt w:val="decimal"/>
      <w:lvlText w:val="%1.%2.%3"/>
      <w:lvlJc w:val="left"/>
      <w:pPr>
        <w:ind w:left="983" w:hanging="720"/>
        <w:jc w:val="left"/>
      </w:pPr>
      <w:rPr>
        <w:rFonts w:hint="default" w:ascii="Times New Roman" w:hAnsi="Times New Roman" w:eastAsia="Times New Roman" w:cs="Times New Roman"/>
        <w:b/>
        <w:bCs/>
        <w:spacing w:val="-4"/>
        <w:w w:val="99"/>
        <w:sz w:val="24"/>
        <w:szCs w:val="24"/>
      </w:rPr>
    </w:lvl>
    <w:lvl w:ilvl="3">
      <w:start w:val="1"/>
      <w:numFmt w:val="decimal"/>
      <w:lvlText w:val="%4)"/>
      <w:lvlJc w:val="left"/>
      <w:pPr>
        <w:ind w:left="822" w:hanging="360"/>
        <w:jc w:val="left"/>
      </w:pPr>
      <w:rPr>
        <w:rFonts w:hint="default" w:ascii="Times New Roman" w:hAnsi="Times New Roman" w:eastAsia="Times New Roman" w:cs="Times New Roman"/>
        <w:spacing w:val="-20"/>
        <w:w w:val="99"/>
        <w:sz w:val="24"/>
        <w:szCs w:val="24"/>
      </w:rPr>
    </w:lvl>
    <w:lvl w:ilvl="4">
      <w:start w:val="1"/>
      <w:numFmt w:val="lowerLetter"/>
      <w:lvlText w:val="%5)"/>
      <w:lvlJc w:val="left"/>
      <w:pPr>
        <w:ind w:left="1530" w:hanging="360"/>
        <w:jc w:val="left"/>
      </w:pPr>
      <w:rPr>
        <w:rFonts w:hint="default" w:ascii="Times New Roman" w:hAnsi="Times New Roman" w:eastAsia="Times New Roman" w:cs="Times New Roman"/>
        <w:i/>
        <w:spacing w:val="-20"/>
        <w:w w:val="99"/>
        <w:sz w:val="24"/>
        <w:szCs w:val="24"/>
      </w:rPr>
    </w:lvl>
    <w:lvl w:ilvl="5">
      <w:start w:val="1"/>
      <w:numFmt w:val="bullet"/>
      <w:lvlText w:val="•"/>
      <w:lvlJc w:val="left"/>
      <w:pPr>
        <w:ind w:left="3689" w:hanging="360"/>
      </w:pPr>
      <w:rPr>
        <w:rFonts w:hint="default"/>
      </w:rPr>
    </w:lvl>
    <w:lvl w:ilvl="6">
      <w:start w:val="1"/>
      <w:numFmt w:val="bullet"/>
      <w:lvlText w:val="•"/>
      <w:lvlJc w:val="left"/>
      <w:pPr>
        <w:ind w:left="4763" w:hanging="360"/>
      </w:pPr>
      <w:rPr>
        <w:rFonts w:hint="default"/>
      </w:rPr>
    </w:lvl>
    <w:lvl w:ilvl="7">
      <w:start w:val="1"/>
      <w:numFmt w:val="bullet"/>
      <w:lvlText w:val="•"/>
      <w:lvlJc w:val="left"/>
      <w:pPr>
        <w:ind w:left="5838" w:hanging="360"/>
      </w:pPr>
      <w:rPr>
        <w:rFonts w:hint="default"/>
      </w:rPr>
    </w:lvl>
    <w:lvl w:ilvl="8">
      <w:start w:val="1"/>
      <w:numFmt w:val="bullet"/>
      <w:lvlText w:val="•"/>
      <w:lvlJc w:val="left"/>
      <w:pPr>
        <w:ind w:left="6913" w:hanging="360"/>
      </w:pPr>
      <w:rPr>
        <w:rFonts w:hint="default"/>
      </w:rPr>
    </w:lvl>
  </w:abstractNum>
  <w:abstractNum w:abstractNumId="13">
    <w:multiLevelType w:val="hybridMultilevel"/>
    <w:lvl w:ilvl="0">
      <w:start w:val="1"/>
      <w:numFmt w:val="bullet"/>
      <w:lvlText w:val=""/>
      <w:lvlJc w:val="left"/>
      <w:pPr>
        <w:ind w:left="1542" w:hanging="360"/>
      </w:pPr>
      <w:rPr>
        <w:rFonts w:hint="default" w:ascii="Wingdings" w:hAnsi="Wingdings" w:eastAsia="Wingdings" w:cs="Wingdings"/>
        <w:w w:val="100"/>
        <w:sz w:val="24"/>
        <w:szCs w:val="24"/>
      </w:rPr>
    </w:lvl>
    <w:lvl w:ilvl="1">
      <w:start w:val="1"/>
      <w:numFmt w:val="bullet"/>
      <w:lvlText w:val="•"/>
      <w:lvlJc w:val="left"/>
      <w:pPr>
        <w:ind w:left="2292" w:hanging="360"/>
      </w:pPr>
      <w:rPr>
        <w:rFonts w:hint="default"/>
      </w:rPr>
    </w:lvl>
    <w:lvl w:ilvl="2">
      <w:start w:val="1"/>
      <w:numFmt w:val="bullet"/>
      <w:lvlText w:val="•"/>
      <w:lvlJc w:val="left"/>
      <w:pPr>
        <w:ind w:left="3044" w:hanging="360"/>
      </w:pPr>
      <w:rPr>
        <w:rFonts w:hint="default"/>
      </w:rPr>
    </w:lvl>
    <w:lvl w:ilvl="3">
      <w:start w:val="1"/>
      <w:numFmt w:val="bullet"/>
      <w:lvlText w:val="•"/>
      <w:lvlJc w:val="left"/>
      <w:pPr>
        <w:ind w:left="3796" w:hanging="360"/>
      </w:pPr>
      <w:rPr>
        <w:rFonts w:hint="default"/>
      </w:rPr>
    </w:lvl>
    <w:lvl w:ilvl="4">
      <w:start w:val="1"/>
      <w:numFmt w:val="bullet"/>
      <w:lvlText w:val="•"/>
      <w:lvlJc w:val="left"/>
      <w:pPr>
        <w:ind w:left="4548" w:hanging="360"/>
      </w:pPr>
      <w:rPr>
        <w:rFonts w:hint="default"/>
      </w:rPr>
    </w:lvl>
    <w:lvl w:ilvl="5">
      <w:start w:val="1"/>
      <w:numFmt w:val="bullet"/>
      <w:lvlText w:val="•"/>
      <w:lvlJc w:val="left"/>
      <w:pPr>
        <w:ind w:left="5301" w:hanging="360"/>
      </w:pPr>
      <w:rPr>
        <w:rFonts w:hint="default"/>
      </w:rPr>
    </w:lvl>
    <w:lvl w:ilvl="6">
      <w:start w:val="1"/>
      <w:numFmt w:val="bullet"/>
      <w:lvlText w:val="•"/>
      <w:lvlJc w:val="left"/>
      <w:pPr>
        <w:ind w:left="6053" w:hanging="360"/>
      </w:pPr>
      <w:rPr>
        <w:rFonts w:hint="default"/>
      </w:rPr>
    </w:lvl>
    <w:lvl w:ilvl="7">
      <w:start w:val="1"/>
      <w:numFmt w:val="bullet"/>
      <w:lvlText w:val="•"/>
      <w:lvlJc w:val="left"/>
      <w:pPr>
        <w:ind w:left="6805" w:hanging="360"/>
      </w:pPr>
      <w:rPr>
        <w:rFonts w:hint="default"/>
      </w:rPr>
    </w:lvl>
    <w:lvl w:ilvl="8">
      <w:start w:val="1"/>
      <w:numFmt w:val="bullet"/>
      <w:lvlText w:val="•"/>
      <w:lvlJc w:val="left"/>
      <w:pPr>
        <w:ind w:left="7557" w:hanging="360"/>
      </w:pPr>
      <w:rPr>
        <w:rFonts w:hint="default"/>
      </w:rPr>
    </w:lvl>
  </w:abstractNum>
  <w:abstractNum w:abstractNumId="12">
    <w:multiLevelType w:val="hybridMultilevel"/>
    <w:lvl w:ilvl="0">
      <w:start w:val="3"/>
      <w:numFmt w:val="decimal"/>
      <w:lvlText w:val="%1"/>
      <w:lvlJc w:val="left"/>
      <w:pPr>
        <w:ind w:left="678" w:hanging="576"/>
        <w:jc w:val="left"/>
      </w:pPr>
      <w:rPr>
        <w:rFonts w:hint="default"/>
      </w:rPr>
    </w:lvl>
    <w:lvl w:ilvl="1">
      <w:start w:val="1"/>
      <w:numFmt w:val="decimal"/>
      <w:lvlText w:val="%1.%2"/>
      <w:lvlJc w:val="left"/>
      <w:pPr>
        <w:ind w:left="678" w:hanging="576"/>
        <w:jc w:val="right"/>
      </w:pPr>
      <w:rPr>
        <w:rFonts w:hint="default" w:ascii="Times New Roman" w:hAnsi="Times New Roman" w:eastAsia="Times New Roman" w:cs="Times New Roman"/>
        <w:b/>
        <w:bCs/>
        <w:spacing w:val="-3"/>
        <w:w w:val="99"/>
        <w:sz w:val="24"/>
        <w:szCs w:val="24"/>
      </w:rPr>
    </w:lvl>
    <w:lvl w:ilvl="2">
      <w:start w:val="1"/>
      <w:numFmt w:val="decimal"/>
      <w:lvlText w:val="%1.%2.%3"/>
      <w:lvlJc w:val="left"/>
      <w:pPr>
        <w:ind w:left="1526" w:hanging="720"/>
        <w:jc w:val="left"/>
      </w:pPr>
      <w:rPr>
        <w:rFonts w:hint="default" w:ascii="Times New Roman" w:hAnsi="Times New Roman" w:eastAsia="Times New Roman" w:cs="Times New Roman"/>
        <w:b/>
        <w:bCs/>
        <w:spacing w:val="-4"/>
        <w:w w:val="99"/>
        <w:sz w:val="24"/>
        <w:szCs w:val="24"/>
      </w:rPr>
    </w:lvl>
    <w:lvl w:ilvl="3">
      <w:start w:val="1"/>
      <w:numFmt w:val="lowerLetter"/>
      <w:lvlText w:val="%4)"/>
      <w:lvlJc w:val="left"/>
      <w:pPr>
        <w:ind w:left="1530" w:hanging="360"/>
        <w:jc w:val="left"/>
      </w:pPr>
      <w:rPr>
        <w:rFonts w:hint="default"/>
        <w:i/>
        <w:spacing w:val="-20"/>
        <w:w w:val="99"/>
      </w:rPr>
    </w:lvl>
    <w:lvl w:ilvl="4">
      <w:start w:val="1"/>
      <w:numFmt w:val="bullet"/>
      <w:lvlText w:val="•"/>
      <w:lvlJc w:val="left"/>
      <w:pPr>
        <w:ind w:left="2611" w:hanging="360"/>
      </w:pPr>
      <w:rPr>
        <w:rFonts w:hint="default"/>
      </w:rPr>
    </w:lvl>
    <w:lvl w:ilvl="5">
      <w:start w:val="1"/>
      <w:numFmt w:val="bullet"/>
      <w:lvlText w:val="•"/>
      <w:lvlJc w:val="left"/>
      <w:pPr>
        <w:ind w:left="3683" w:hanging="360"/>
      </w:pPr>
      <w:rPr>
        <w:rFonts w:hint="default"/>
      </w:rPr>
    </w:lvl>
    <w:lvl w:ilvl="6">
      <w:start w:val="1"/>
      <w:numFmt w:val="bullet"/>
      <w:lvlText w:val="•"/>
      <w:lvlJc w:val="left"/>
      <w:pPr>
        <w:ind w:left="4755" w:hanging="360"/>
      </w:pPr>
      <w:rPr>
        <w:rFonts w:hint="default"/>
      </w:rPr>
    </w:lvl>
    <w:lvl w:ilvl="7">
      <w:start w:val="1"/>
      <w:numFmt w:val="bullet"/>
      <w:lvlText w:val="•"/>
      <w:lvlJc w:val="left"/>
      <w:pPr>
        <w:ind w:left="5827" w:hanging="360"/>
      </w:pPr>
      <w:rPr>
        <w:rFonts w:hint="default"/>
      </w:rPr>
    </w:lvl>
    <w:lvl w:ilvl="8">
      <w:start w:val="1"/>
      <w:numFmt w:val="bullet"/>
      <w:lvlText w:val="•"/>
      <w:lvlJc w:val="left"/>
      <w:pPr>
        <w:ind w:left="6898" w:hanging="360"/>
      </w:pPr>
      <w:rPr>
        <w:rFonts w:hint="default"/>
      </w:rPr>
    </w:lvl>
  </w:abstractNum>
  <w:abstractNum w:abstractNumId="11">
    <w:multiLevelType w:val="hybridMultilevel"/>
    <w:lvl w:ilvl="0">
      <w:start w:val="1"/>
      <w:numFmt w:val="lowerLetter"/>
      <w:lvlText w:val="%1)"/>
      <w:lvlJc w:val="left"/>
      <w:pPr>
        <w:ind w:left="406" w:hanging="305"/>
        <w:jc w:val="left"/>
      </w:pPr>
      <w:rPr>
        <w:rFonts w:hint="default"/>
        <w:spacing w:val="-3"/>
        <w:w w:val="99"/>
      </w:rPr>
    </w:lvl>
    <w:lvl w:ilvl="1">
      <w:start w:val="1"/>
      <w:numFmt w:val="bullet"/>
      <w:lvlText w:val="•"/>
      <w:lvlJc w:val="left"/>
      <w:pPr>
        <w:ind w:left="1266" w:hanging="305"/>
      </w:pPr>
      <w:rPr>
        <w:rFonts w:hint="default"/>
      </w:rPr>
    </w:lvl>
    <w:lvl w:ilvl="2">
      <w:start w:val="1"/>
      <w:numFmt w:val="bullet"/>
      <w:lvlText w:val="•"/>
      <w:lvlJc w:val="left"/>
      <w:pPr>
        <w:ind w:left="2132" w:hanging="305"/>
      </w:pPr>
      <w:rPr>
        <w:rFonts w:hint="default"/>
      </w:rPr>
    </w:lvl>
    <w:lvl w:ilvl="3">
      <w:start w:val="1"/>
      <w:numFmt w:val="bullet"/>
      <w:lvlText w:val="•"/>
      <w:lvlJc w:val="left"/>
      <w:pPr>
        <w:ind w:left="2998" w:hanging="305"/>
      </w:pPr>
      <w:rPr>
        <w:rFonts w:hint="default"/>
      </w:rPr>
    </w:lvl>
    <w:lvl w:ilvl="4">
      <w:start w:val="1"/>
      <w:numFmt w:val="bullet"/>
      <w:lvlText w:val="•"/>
      <w:lvlJc w:val="left"/>
      <w:pPr>
        <w:ind w:left="3864" w:hanging="305"/>
      </w:pPr>
      <w:rPr>
        <w:rFonts w:hint="default"/>
      </w:rPr>
    </w:lvl>
    <w:lvl w:ilvl="5">
      <w:start w:val="1"/>
      <w:numFmt w:val="bullet"/>
      <w:lvlText w:val="•"/>
      <w:lvlJc w:val="left"/>
      <w:pPr>
        <w:ind w:left="4731" w:hanging="305"/>
      </w:pPr>
      <w:rPr>
        <w:rFonts w:hint="default"/>
      </w:rPr>
    </w:lvl>
    <w:lvl w:ilvl="6">
      <w:start w:val="1"/>
      <w:numFmt w:val="bullet"/>
      <w:lvlText w:val="•"/>
      <w:lvlJc w:val="left"/>
      <w:pPr>
        <w:ind w:left="5597" w:hanging="305"/>
      </w:pPr>
      <w:rPr>
        <w:rFonts w:hint="default"/>
      </w:rPr>
    </w:lvl>
    <w:lvl w:ilvl="7">
      <w:start w:val="1"/>
      <w:numFmt w:val="bullet"/>
      <w:lvlText w:val="•"/>
      <w:lvlJc w:val="left"/>
      <w:pPr>
        <w:ind w:left="6463" w:hanging="305"/>
      </w:pPr>
      <w:rPr>
        <w:rFonts w:hint="default"/>
      </w:rPr>
    </w:lvl>
    <w:lvl w:ilvl="8">
      <w:start w:val="1"/>
      <w:numFmt w:val="bullet"/>
      <w:lvlText w:val="•"/>
      <w:lvlJc w:val="left"/>
      <w:pPr>
        <w:ind w:left="7329" w:hanging="305"/>
      </w:pPr>
      <w:rPr>
        <w:rFonts w:hint="default"/>
      </w:rPr>
    </w:lvl>
  </w:abstractNum>
  <w:abstractNum w:abstractNumId="10">
    <w:multiLevelType w:val="hybridMultilevel"/>
    <w:lvl w:ilvl="0">
      <w:start w:val="1"/>
      <w:numFmt w:val="decimal"/>
      <w:lvlText w:val="%1)"/>
      <w:lvlJc w:val="left"/>
      <w:pPr>
        <w:ind w:left="102" w:hanging="317"/>
        <w:jc w:val="left"/>
      </w:pPr>
      <w:rPr>
        <w:rFonts w:hint="default" w:ascii="Times New Roman" w:hAnsi="Times New Roman" w:eastAsia="Times New Roman" w:cs="Times New Roman"/>
        <w:i/>
        <w:spacing w:val="-8"/>
        <w:w w:val="99"/>
        <w:sz w:val="24"/>
        <w:szCs w:val="24"/>
      </w:rPr>
    </w:lvl>
    <w:lvl w:ilvl="1">
      <w:start w:val="1"/>
      <w:numFmt w:val="bullet"/>
      <w:lvlText w:val="•"/>
      <w:lvlJc w:val="left"/>
      <w:pPr>
        <w:ind w:left="120" w:hanging="317"/>
      </w:pPr>
      <w:rPr>
        <w:rFonts w:hint="default"/>
      </w:rPr>
    </w:lvl>
    <w:lvl w:ilvl="2">
      <w:start w:val="1"/>
      <w:numFmt w:val="bullet"/>
      <w:lvlText w:val="•"/>
      <w:lvlJc w:val="left"/>
      <w:pPr>
        <w:ind w:left="1113" w:hanging="317"/>
      </w:pPr>
      <w:rPr>
        <w:rFonts w:hint="default"/>
      </w:rPr>
    </w:lvl>
    <w:lvl w:ilvl="3">
      <w:start w:val="1"/>
      <w:numFmt w:val="bullet"/>
      <w:lvlText w:val="•"/>
      <w:lvlJc w:val="left"/>
      <w:pPr>
        <w:ind w:left="2107" w:hanging="317"/>
      </w:pPr>
      <w:rPr>
        <w:rFonts w:hint="default"/>
      </w:rPr>
    </w:lvl>
    <w:lvl w:ilvl="4">
      <w:start w:val="1"/>
      <w:numFmt w:val="bullet"/>
      <w:lvlText w:val="•"/>
      <w:lvlJc w:val="left"/>
      <w:pPr>
        <w:ind w:left="3100" w:hanging="317"/>
      </w:pPr>
      <w:rPr>
        <w:rFonts w:hint="default"/>
      </w:rPr>
    </w:lvl>
    <w:lvl w:ilvl="5">
      <w:start w:val="1"/>
      <w:numFmt w:val="bullet"/>
      <w:lvlText w:val="•"/>
      <w:lvlJc w:val="left"/>
      <w:pPr>
        <w:ind w:left="4094" w:hanging="317"/>
      </w:pPr>
      <w:rPr>
        <w:rFonts w:hint="default"/>
      </w:rPr>
    </w:lvl>
    <w:lvl w:ilvl="6">
      <w:start w:val="1"/>
      <w:numFmt w:val="bullet"/>
      <w:lvlText w:val="•"/>
      <w:lvlJc w:val="left"/>
      <w:pPr>
        <w:ind w:left="5088" w:hanging="317"/>
      </w:pPr>
      <w:rPr>
        <w:rFonts w:hint="default"/>
      </w:rPr>
    </w:lvl>
    <w:lvl w:ilvl="7">
      <w:start w:val="1"/>
      <w:numFmt w:val="bullet"/>
      <w:lvlText w:val="•"/>
      <w:lvlJc w:val="left"/>
      <w:pPr>
        <w:ind w:left="6081" w:hanging="317"/>
      </w:pPr>
      <w:rPr>
        <w:rFonts w:hint="default"/>
      </w:rPr>
    </w:lvl>
    <w:lvl w:ilvl="8">
      <w:start w:val="1"/>
      <w:numFmt w:val="bullet"/>
      <w:lvlText w:val="•"/>
      <w:lvlJc w:val="left"/>
      <w:pPr>
        <w:ind w:left="7075" w:hanging="317"/>
      </w:pPr>
      <w:rPr>
        <w:rFonts w:hint="default"/>
      </w:rPr>
    </w:lvl>
  </w:abstractNum>
  <w:abstractNum w:abstractNumId="9">
    <w:multiLevelType w:val="hybridMultilevel"/>
    <w:lvl w:ilvl="0">
      <w:start w:val="2"/>
      <w:numFmt w:val="decimal"/>
      <w:lvlText w:val="%1"/>
      <w:lvlJc w:val="left"/>
      <w:pPr>
        <w:ind w:left="678" w:hanging="576"/>
        <w:jc w:val="left"/>
      </w:pPr>
      <w:rPr>
        <w:rFonts w:hint="default"/>
      </w:rPr>
    </w:lvl>
    <w:lvl w:ilvl="1">
      <w:start w:val="1"/>
      <w:numFmt w:val="decimal"/>
      <w:lvlText w:val="%1.%2"/>
      <w:lvlJc w:val="left"/>
      <w:pPr>
        <w:ind w:left="678" w:hanging="576"/>
        <w:jc w:val="left"/>
      </w:pPr>
      <w:rPr>
        <w:rFonts w:hint="default" w:ascii="Times New Roman" w:hAnsi="Times New Roman" w:eastAsia="Times New Roman" w:cs="Times New Roman"/>
        <w:b/>
        <w:bCs/>
        <w:spacing w:val="-4"/>
        <w:w w:val="99"/>
        <w:sz w:val="24"/>
        <w:szCs w:val="24"/>
      </w:rPr>
    </w:lvl>
    <w:lvl w:ilvl="2">
      <w:start w:val="1"/>
      <w:numFmt w:val="decimal"/>
      <w:lvlText w:val="%1.%2.%3"/>
      <w:lvlJc w:val="left"/>
      <w:pPr>
        <w:ind w:left="963" w:hanging="720"/>
        <w:jc w:val="left"/>
      </w:pPr>
      <w:rPr>
        <w:rFonts w:hint="default" w:ascii="Times New Roman" w:hAnsi="Times New Roman" w:eastAsia="Times New Roman" w:cs="Times New Roman"/>
        <w:b/>
        <w:bCs/>
        <w:spacing w:val="-3"/>
        <w:w w:val="99"/>
        <w:sz w:val="24"/>
        <w:szCs w:val="24"/>
      </w:rPr>
    </w:lvl>
    <w:lvl w:ilvl="3">
      <w:start w:val="1"/>
      <w:numFmt w:val="lowerLetter"/>
      <w:lvlText w:val="%4)"/>
      <w:lvlJc w:val="left"/>
      <w:pPr>
        <w:ind w:left="1401" w:hanging="260"/>
        <w:jc w:val="left"/>
      </w:pPr>
      <w:rPr>
        <w:rFonts w:hint="default" w:ascii="Times New Roman" w:hAnsi="Times New Roman" w:eastAsia="Times New Roman" w:cs="Times New Roman"/>
        <w:i/>
        <w:spacing w:val="-2"/>
        <w:w w:val="99"/>
        <w:sz w:val="24"/>
        <w:szCs w:val="24"/>
      </w:rPr>
    </w:lvl>
    <w:lvl w:ilvl="4">
      <w:start w:val="1"/>
      <w:numFmt w:val="bullet"/>
      <w:lvlText w:val="•"/>
      <w:lvlJc w:val="left"/>
      <w:pPr>
        <w:ind w:left="1400" w:hanging="260"/>
      </w:pPr>
      <w:rPr>
        <w:rFonts w:hint="default"/>
      </w:rPr>
    </w:lvl>
    <w:lvl w:ilvl="5">
      <w:start w:val="1"/>
      <w:numFmt w:val="bullet"/>
      <w:lvlText w:val="•"/>
      <w:lvlJc w:val="left"/>
      <w:pPr>
        <w:ind w:left="2100" w:hanging="260"/>
      </w:pPr>
      <w:rPr>
        <w:rFonts w:hint="default"/>
      </w:rPr>
    </w:lvl>
    <w:lvl w:ilvl="6">
      <w:start w:val="1"/>
      <w:numFmt w:val="bullet"/>
      <w:lvlText w:val="•"/>
      <w:lvlJc w:val="left"/>
      <w:pPr>
        <w:ind w:left="3492" w:hanging="260"/>
      </w:pPr>
      <w:rPr>
        <w:rFonts w:hint="default"/>
      </w:rPr>
    </w:lvl>
    <w:lvl w:ilvl="7">
      <w:start w:val="1"/>
      <w:numFmt w:val="bullet"/>
      <w:lvlText w:val="•"/>
      <w:lvlJc w:val="left"/>
      <w:pPr>
        <w:ind w:left="4884" w:hanging="260"/>
      </w:pPr>
      <w:rPr>
        <w:rFonts w:hint="default"/>
      </w:rPr>
    </w:lvl>
    <w:lvl w:ilvl="8">
      <w:start w:val="1"/>
      <w:numFmt w:val="bullet"/>
      <w:lvlText w:val="•"/>
      <w:lvlJc w:val="left"/>
      <w:pPr>
        <w:ind w:left="6277" w:hanging="260"/>
      </w:pPr>
      <w:rPr>
        <w:rFonts w:hint="default"/>
      </w:rPr>
    </w:lvl>
  </w:abstractNum>
  <w:abstractNum w:abstractNumId="8">
    <w:multiLevelType w:val="hybridMultilevel"/>
    <w:lvl w:ilvl="0">
      <w:start w:val="1"/>
      <w:numFmt w:val="lowerRoman"/>
      <w:lvlText w:val="(%1)"/>
      <w:lvlJc w:val="left"/>
      <w:pPr>
        <w:ind w:left="122" w:hanging="286"/>
        <w:jc w:val="left"/>
      </w:pPr>
      <w:rPr>
        <w:rFonts w:hint="default" w:ascii="Times New Roman" w:hAnsi="Times New Roman" w:eastAsia="Times New Roman" w:cs="Times New Roman"/>
        <w:w w:val="99"/>
        <w:sz w:val="24"/>
        <w:szCs w:val="24"/>
      </w:rPr>
    </w:lvl>
    <w:lvl w:ilvl="1">
      <w:start w:val="1"/>
      <w:numFmt w:val="bullet"/>
      <w:lvlText w:val="•"/>
      <w:lvlJc w:val="left"/>
      <w:pPr>
        <w:ind w:left="1014" w:hanging="286"/>
      </w:pPr>
      <w:rPr>
        <w:rFonts w:hint="default"/>
      </w:rPr>
    </w:lvl>
    <w:lvl w:ilvl="2">
      <w:start w:val="1"/>
      <w:numFmt w:val="bullet"/>
      <w:lvlText w:val="•"/>
      <w:lvlJc w:val="left"/>
      <w:pPr>
        <w:ind w:left="1908" w:hanging="286"/>
      </w:pPr>
      <w:rPr>
        <w:rFonts w:hint="default"/>
      </w:rPr>
    </w:lvl>
    <w:lvl w:ilvl="3">
      <w:start w:val="1"/>
      <w:numFmt w:val="bullet"/>
      <w:lvlText w:val="•"/>
      <w:lvlJc w:val="left"/>
      <w:pPr>
        <w:ind w:left="2802" w:hanging="286"/>
      </w:pPr>
      <w:rPr>
        <w:rFonts w:hint="default"/>
      </w:rPr>
    </w:lvl>
    <w:lvl w:ilvl="4">
      <w:start w:val="1"/>
      <w:numFmt w:val="bullet"/>
      <w:lvlText w:val="•"/>
      <w:lvlJc w:val="left"/>
      <w:pPr>
        <w:ind w:left="3696" w:hanging="286"/>
      </w:pPr>
      <w:rPr>
        <w:rFonts w:hint="default"/>
      </w:rPr>
    </w:lvl>
    <w:lvl w:ilvl="5">
      <w:start w:val="1"/>
      <w:numFmt w:val="bullet"/>
      <w:lvlText w:val="•"/>
      <w:lvlJc w:val="left"/>
      <w:pPr>
        <w:ind w:left="4591" w:hanging="286"/>
      </w:pPr>
      <w:rPr>
        <w:rFonts w:hint="default"/>
      </w:rPr>
    </w:lvl>
    <w:lvl w:ilvl="6">
      <w:start w:val="1"/>
      <w:numFmt w:val="bullet"/>
      <w:lvlText w:val="•"/>
      <w:lvlJc w:val="left"/>
      <w:pPr>
        <w:ind w:left="5485" w:hanging="286"/>
      </w:pPr>
      <w:rPr>
        <w:rFonts w:hint="default"/>
      </w:rPr>
    </w:lvl>
    <w:lvl w:ilvl="7">
      <w:start w:val="1"/>
      <w:numFmt w:val="bullet"/>
      <w:lvlText w:val="•"/>
      <w:lvlJc w:val="left"/>
      <w:pPr>
        <w:ind w:left="6379" w:hanging="286"/>
      </w:pPr>
      <w:rPr>
        <w:rFonts w:hint="default"/>
      </w:rPr>
    </w:lvl>
    <w:lvl w:ilvl="8">
      <w:start w:val="1"/>
      <w:numFmt w:val="bullet"/>
      <w:lvlText w:val="•"/>
      <w:lvlJc w:val="left"/>
      <w:pPr>
        <w:ind w:left="7273" w:hanging="286"/>
      </w:pPr>
      <w:rPr>
        <w:rFonts w:hint="default"/>
      </w:rPr>
    </w:lvl>
  </w:abstractNum>
  <w:abstractNum w:abstractNumId="7">
    <w:multiLevelType w:val="hybridMultilevel"/>
    <w:lvl w:ilvl="0">
      <w:start w:val="1"/>
      <w:numFmt w:val="decimal"/>
      <w:lvlText w:val="%1"/>
      <w:lvlJc w:val="left"/>
      <w:pPr>
        <w:ind w:left="698" w:hanging="576"/>
        <w:jc w:val="left"/>
      </w:pPr>
      <w:rPr>
        <w:rFonts w:hint="default"/>
      </w:rPr>
    </w:lvl>
    <w:lvl w:ilvl="1">
      <w:start w:val="1"/>
      <w:numFmt w:val="decimal"/>
      <w:lvlText w:val="%1.%2"/>
      <w:lvlJc w:val="left"/>
      <w:pPr>
        <w:ind w:left="698" w:hanging="576"/>
        <w:jc w:val="left"/>
      </w:pPr>
      <w:rPr>
        <w:rFonts w:hint="default" w:ascii="Times New Roman" w:hAnsi="Times New Roman" w:eastAsia="Times New Roman" w:cs="Times New Roman"/>
        <w:b/>
        <w:bCs/>
        <w:spacing w:val="-25"/>
        <w:w w:val="99"/>
        <w:sz w:val="24"/>
        <w:szCs w:val="24"/>
      </w:rPr>
    </w:lvl>
    <w:lvl w:ilvl="2">
      <w:start w:val="1"/>
      <w:numFmt w:val="decimal"/>
      <w:lvlText w:val="%1.%2.%3"/>
      <w:lvlJc w:val="left"/>
      <w:pPr>
        <w:ind w:left="963" w:hanging="720"/>
        <w:jc w:val="left"/>
      </w:pPr>
      <w:rPr>
        <w:rFonts w:hint="default" w:ascii="Times New Roman" w:hAnsi="Times New Roman" w:eastAsia="Times New Roman" w:cs="Times New Roman"/>
        <w:b/>
        <w:bCs/>
        <w:spacing w:val="-3"/>
        <w:w w:val="99"/>
        <w:sz w:val="24"/>
        <w:szCs w:val="24"/>
      </w:rPr>
    </w:lvl>
    <w:lvl w:ilvl="3">
      <w:start w:val="1"/>
      <w:numFmt w:val="lowerRoman"/>
      <w:lvlText w:val="%4."/>
      <w:lvlJc w:val="left"/>
      <w:pPr>
        <w:ind w:left="822" w:hanging="488"/>
        <w:jc w:val="right"/>
      </w:pPr>
      <w:rPr>
        <w:rFonts w:hint="default"/>
        <w:i/>
        <w:spacing w:val="-2"/>
        <w:w w:val="99"/>
      </w:rPr>
    </w:lvl>
    <w:lvl w:ilvl="4">
      <w:start w:val="1"/>
      <w:numFmt w:val="bullet"/>
      <w:lvlText w:val="•"/>
      <w:lvlJc w:val="left"/>
      <w:pPr>
        <w:ind w:left="1500" w:hanging="488"/>
      </w:pPr>
      <w:rPr>
        <w:rFonts w:hint="default"/>
      </w:rPr>
    </w:lvl>
    <w:lvl w:ilvl="5">
      <w:start w:val="1"/>
      <w:numFmt w:val="bullet"/>
      <w:lvlText w:val="•"/>
      <w:lvlJc w:val="left"/>
      <w:pPr>
        <w:ind w:left="2757" w:hanging="488"/>
      </w:pPr>
      <w:rPr>
        <w:rFonts w:hint="default"/>
      </w:rPr>
    </w:lvl>
    <w:lvl w:ilvl="6">
      <w:start w:val="1"/>
      <w:numFmt w:val="bullet"/>
      <w:lvlText w:val="•"/>
      <w:lvlJc w:val="left"/>
      <w:pPr>
        <w:ind w:left="4014" w:hanging="488"/>
      </w:pPr>
      <w:rPr>
        <w:rFonts w:hint="default"/>
      </w:rPr>
    </w:lvl>
    <w:lvl w:ilvl="7">
      <w:start w:val="1"/>
      <w:numFmt w:val="bullet"/>
      <w:lvlText w:val="•"/>
      <w:lvlJc w:val="left"/>
      <w:pPr>
        <w:ind w:left="5271" w:hanging="488"/>
      </w:pPr>
      <w:rPr>
        <w:rFonts w:hint="default"/>
      </w:rPr>
    </w:lvl>
    <w:lvl w:ilvl="8">
      <w:start w:val="1"/>
      <w:numFmt w:val="bullet"/>
      <w:lvlText w:val="•"/>
      <w:lvlJc w:val="left"/>
      <w:pPr>
        <w:ind w:left="6528" w:hanging="488"/>
      </w:pPr>
      <w:rPr>
        <w:rFonts w:hint="default"/>
      </w:rPr>
    </w:lvl>
  </w:abstractNum>
  <w:abstractNum w:abstractNumId="6">
    <w:multiLevelType w:val="hybridMultilevel"/>
    <w:lvl w:ilvl="0">
      <w:start w:val="6"/>
      <w:numFmt w:val="lowerLetter"/>
      <w:lvlText w:val="%1"/>
      <w:lvlJc w:val="left"/>
      <w:pPr>
        <w:ind w:left="1102" w:hanging="521"/>
        <w:jc w:val="left"/>
      </w:pPr>
      <w:rPr>
        <w:rFonts w:hint="default"/>
      </w:rPr>
    </w:lvl>
    <w:lvl w:ilvl="1">
      <w:start w:val="1"/>
      <w:numFmt w:val="decimal"/>
      <w:lvlText w:val="%1.%2)"/>
      <w:lvlJc w:val="left"/>
      <w:pPr>
        <w:ind w:left="1102" w:hanging="521"/>
        <w:jc w:val="left"/>
      </w:pPr>
      <w:rPr>
        <w:rFonts w:hint="default" w:ascii="Times New Roman" w:hAnsi="Times New Roman" w:eastAsia="Times New Roman" w:cs="Times New Roman"/>
        <w:spacing w:val="-5"/>
        <w:w w:val="99"/>
        <w:sz w:val="24"/>
        <w:szCs w:val="24"/>
      </w:rPr>
    </w:lvl>
    <w:lvl w:ilvl="2">
      <w:start w:val="1"/>
      <w:numFmt w:val="bullet"/>
      <w:lvlText w:val="•"/>
      <w:lvlJc w:val="left"/>
      <w:pPr>
        <w:ind w:left="2692" w:hanging="521"/>
      </w:pPr>
      <w:rPr>
        <w:rFonts w:hint="default"/>
      </w:rPr>
    </w:lvl>
    <w:lvl w:ilvl="3">
      <w:start w:val="1"/>
      <w:numFmt w:val="bullet"/>
      <w:lvlText w:val="•"/>
      <w:lvlJc w:val="left"/>
      <w:pPr>
        <w:ind w:left="3488" w:hanging="521"/>
      </w:pPr>
      <w:rPr>
        <w:rFonts w:hint="default"/>
      </w:rPr>
    </w:lvl>
    <w:lvl w:ilvl="4">
      <w:start w:val="1"/>
      <w:numFmt w:val="bullet"/>
      <w:lvlText w:val="•"/>
      <w:lvlJc w:val="left"/>
      <w:pPr>
        <w:ind w:left="4284" w:hanging="521"/>
      </w:pPr>
      <w:rPr>
        <w:rFonts w:hint="default"/>
      </w:rPr>
    </w:lvl>
    <w:lvl w:ilvl="5">
      <w:start w:val="1"/>
      <w:numFmt w:val="bullet"/>
      <w:lvlText w:val="•"/>
      <w:lvlJc w:val="left"/>
      <w:pPr>
        <w:ind w:left="5081" w:hanging="521"/>
      </w:pPr>
      <w:rPr>
        <w:rFonts w:hint="default"/>
      </w:rPr>
    </w:lvl>
    <w:lvl w:ilvl="6">
      <w:start w:val="1"/>
      <w:numFmt w:val="bullet"/>
      <w:lvlText w:val="•"/>
      <w:lvlJc w:val="left"/>
      <w:pPr>
        <w:ind w:left="5877" w:hanging="521"/>
      </w:pPr>
      <w:rPr>
        <w:rFonts w:hint="default"/>
      </w:rPr>
    </w:lvl>
    <w:lvl w:ilvl="7">
      <w:start w:val="1"/>
      <w:numFmt w:val="bullet"/>
      <w:lvlText w:val="•"/>
      <w:lvlJc w:val="left"/>
      <w:pPr>
        <w:ind w:left="6673" w:hanging="521"/>
      </w:pPr>
      <w:rPr>
        <w:rFonts w:hint="default"/>
      </w:rPr>
    </w:lvl>
    <w:lvl w:ilvl="8">
      <w:start w:val="1"/>
      <w:numFmt w:val="bullet"/>
      <w:lvlText w:val="•"/>
      <w:lvlJc w:val="left"/>
      <w:pPr>
        <w:ind w:left="7469" w:hanging="521"/>
      </w:pPr>
      <w:rPr>
        <w:rFonts w:hint="default"/>
      </w:rPr>
    </w:lvl>
  </w:abstractNum>
  <w:abstractNum w:abstractNumId="5">
    <w:multiLevelType w:val="hybridMultilevel"/>
    <w:lvl w:ilvl="0">
      <w:start w:val="5"/>
      <w:numFmt w:val="lowerLetter"/>
      <w:lvlText w:val="%1"/>
      <w:lvlJc w:val="left"/>
      <w:pPr>
        <w:ind w:left="1127" w:hanging="546"/>
        <w:jc w:val="left"/>
      </w:pPr>
      <w:rPr>
        <w:rFonts w:hint="default"/>
      </w:rPr>
    </w:lvl>
    <w:lvl w:ilvl="1">
      <w:start w:val="1"/>
      <w:numFmt w:val="decimal"/>
      <w:lvlText w:val="%1.%2)"/>
      <w:lvlJc w:val="left"/>
      <w:pPr>
        <w:ind w:left="1127" w:hanging="546"/>
        <w:jc w:val="left"/>
      </w:pPr>
      <w:rPr>
        <w:rFonts w:hint="default" w:ascii="Times New Roman" w:hAnsi="Times New Roman" w:eastAsia="Times New Roman" w:cs="Times New Roman"/>
        <w:spacing w:val="-2"/>
        <w:w w:val="99"/>
        <w:sz w:val="24"/>
        <w:szCs w:val="24"/>
      </w:rPr>
    </w:lvl>
    <w:lvl w:ilvl="2">
      <w:start w:val="1"/>
      <w:numFmt w:val="bullet"/>
      <w:lvlText w:val="•"/>
      <w:lvlJc w:val="left"/>
      <w:pPr>
        <w:ind w:left="2708" w:hanging="546"/>
      </w:pPr>
      <w:rPr>
        <w:rFonts w:hint="default"/>
      </w:rPr>
    </w:lvl>
    <w:lvl w:ilvl="3">
      <w:start w:val="1"/>
      <w:numFmt w:val="bullet"/>
      <w:lvlText w:val="•"/>
      <w:lvlJc w:val="left"/>
      <w:pPr>
        <w:ind w:left="3502" w:hanging="546"/>
      </w:pPr>
      <w:rPr>
        <w:rFonts w:hint="default"/>
      </w:rPr>
    </w:lvl>
    <w:lvl w:ilvl="4">
      <w:start w:val="1"/>
      <w:numFmt w:val="bullet"/>
      <w:lvlText w:val="•"/>
      <w:lvlJc w:val="left"/>
      <w:pPr>
        <w:ind w:left="4296" w:hanging="546"/>
      </w:pPr>
      <w:rPr>
        <w:rFonts w:hint="default"/>
      </w:rPr>
    </w:lvl>
    <w:lvl w:ilvl="5">
      <w:start w:val="1"/>
      <w:numFmt w:val="bullet"/>
      <w:lvlText w:val="•"/>
      <w:lvlJc w:val="left"/>
      <w:pPr>
        <w:ind w:left="5091" w:hanging="546"/>
      </w:pPr>
      <w:rPr>
        <w:rFonts w:hint="default"/>
      </w:rPr>
    </w:lvl>
    <w:lvl w:ilvl="6">
      <w:start w:val="1"/>
      <w:numFmt w:val="bullet"/>
      <w:lvlText w:val="•"/>
      <w:lvlJc w:val="left"/>
      <w:pPr>
        <w:ind w:left="5885" w:hanging="546"/>
      </w:pPr>
      <w:rPr>
        <w:rFonts w:hint="default"/>
      </w:rPr>
    </w:lvl>
    <w:lvl w:ilvl="7">
      <w:start w:val="1"/>
      <w:numFmt w:val="bullet"/>
      <w:lvlText w:val="•"/>
      <w:lvlJc w:val="left"/>
      <w:pPr>
        <w:ind w:left="6679" w:hanging="546"/>
      </w:pPr>
      <w:rPr>
        <w:rFonts w:hint="default"/>
      </w:rPr>
    </w:lvl>
    <w:lvl w:ilvl="8">
      <w:start w:val="1"/>
      <w:numFmt w:val="bullet"/>
      <w:lvlText w:val="•"/>
      <w:lvlJc w:val="left"/>
      <w:pPr>
        <w:ind w:left="7473" w:hanging="546"/>
      </w:pPr>
      <w:rPr>
        <w:rFonts w:hint="default"/>
      </w:rPr>
    </w:lvl>
  </w:abstractNum>
  <w:abstractNum w:abstractNumId="4">
    <w:multiLevelType w:val="hybridMultilevel"/>
    <w:lvl w:ilvl="0">
      <w:start w:val="1"/>
      <w:numFmt w:val="upperLetter"/>
      <w:lvlText w:val="%1)"/>
      <w:lvlJc w:val="left"/>
      <w:pPr>
        <w:ind w:left="342" w:hanging="720"/>
        <w:jc w:val="left"/>
      </w:pPr>
      <w:rPr>
        <w:rFonts w:hint="default" w:ascii="Times New Roman" w:hAnsi="Times New Roman" w:eastAsia="Times New Roman" w:cs="Times New Roman"/>
        <w:spacing w:val="-4"/>
        <w:w w:val="99"/>
        <w:sz w:val="19"/>
        <w:szCs w:val="19"/>
      </w:rPr>
    </w:lvl>
    <w:lvl w:ilvl="1">
      <w:start w:val="1"/>
      <w:numFmt w:val="decimal"/>
      <w:lvlText w:val="%2."/>
      <w:lvlJc w:val="left"/>
      <w:pPr>
        <w:ind w:left="842" w:hanging="360"/>
        <w:jc w:val="left"/>
      </w:pPr>
      <w:rPr>
        <w:rFonts w:hint="default" w:ascii="Times New Roman" w:hAnsi="Times New Roman" w:eastAsia="Times New Roman" w:cs="Times New Roman"/>
        <w:spacing w:val="-5"/>
        <w:w w:val="99"/>
        <w:sz w:val="24"/>
        <w:szCs w:val="24"/>
      </w:rPr>
    </w:lvl>
    <w:lvl w:ilvl="2">
      <w:start w:val="1"/>
      <w:numFmt w:val="bullet"/>
      <w:lvlText w:val="•"/>
      <w:lvlJc w:val="left"/>
      <w:pPr>
        <w:ind w:left="1753" w:hanging="360"/>
      </w:pPr>
      <w:rPr>
        <w:rFonts w:hint="default"/>
      </w:rPr>
    </w:lvl>
    <w:lvl w:ilvl="3">
      <w:start w:val="1"/>
      <w:numFmt w:val="bullet"/>
      <w:lvlText w:val="•"/>
      <w:lvlJc w:val="left"/>
      <w:pPr>
        <w:ind w:left="2667" w:hanging="360"/>
      </w:pPr>
      <w:rPr>
        <w:rFonts w:hint="default"/>
      </w:rPr>
    </w:lvl>
    <w:lvl w:ilvl="4">
      <w:start w:val="1"/>
      <w:numFmt w:val="bullet"/>
      <w:lvlText w:val="•"/>
      <w:lvlJc w:val="left"/>
      <w:pPr>
        <w:ind w:left="3580" w:hanging="360"/>
      </w:pPr>
      <w:rPr>
        <w:rFonts w:hint="default"/>
      </w:rPr>
    </w:lvl>
    <w:lvl w:ilvl="5">
      <w:start w:val="1"/>
      <w:numFmt w:val="bullet"/>
      <w:lvlText w:val="•"/>
      <w:lvlJc w:val="left"/>
      <w:pPr>
        <w:ind w:left="4494" w:hanging="360"/>
      </w:pPr>
      <w:rPr>
        <w:rFonts w:hint="default"/>
      </w:rPr>
    </w:lvl>
    <w:lvl w:ilvl="6">
      <w:start w:val="1"/>
      <w:numFmt w:val="bullet"/>
      <w:lvlText w:val="•"/>
      <w:lvlJc w:val="left"/>
      <w:pPr>
        <w:ind w:left="5408" w:hanging="360"/>
      </w:pPr>
      <w:rPr>
        <w:rFonts w:hint="default"/>
      </w:rPr>
    </w:lvl>
    <w:lvl w:ilvl="7">
      <w:start w:val="1"/>
      <w:numFmt w:val="bullet"/>
      <w:lvlText w:val="•"/>
      <w:lvlJc w:val="left"/>
      <w:pPr>
        <w:ind w:left="6321" w:hanging="360"/>
      </w:pPr>
      <w:rPr>
        <w:rFonts w:hint="default"/>
      </w:rPr>
    </w:lvl>
    <w:lvl w:ilvl="8">
      <w:start w:val="1"/>
      <w:numFmt w:val="bullet"/>
      <w:lvlText w:val="•"/>
      <w:lvlJc w:val="left"/>
      <w:pPr>
        <w:ind w:left="7235" w:hanging="360"/>
      </w:pPr>
      <w:rPr>
        <w:rFonts w:hint="default"/>
      </w:rPr>
    </w:lvl>
  </w:abstractNum>
  <w:abstractNum w:abstractNumId="3">
    <w:multiLevelType w:val="hybridMultilevel"/>
    <w:lvl w:ilvl="0">
      <w:start w:val="4"/>
      <w:numFmt w:val="decimal"/>
      <w:lvlText w:val="%1"/>
      <w:lvlJc w:val="left"/>
      <w:pPr>
        <w:ind w:left="1062" w:hanging="720"/>
        <w:jc w:val="left"/>
      </w:pPr>
      <w:rPr>
        <w:rFonts w:hint="default"/>
      </w:rPr>
    </w:lvl>
    <w:lvl w:ilvl="1">
      <w:start w:val="1"/>
      <w:numFmt w:val="decimal"/>
      <w:lvlText w:val="%1.%2"/>
      <w:lvlJc w:val="left"/>
      <w:pPr>
        <w:ind w:left="1062" w:hanging="720"/>
        <w:jc w:val="left"/>
      </w:pPr>
      <w:rPr>
        <w:rFonts w:hint="default" w:ascii="Times New Roman" w:hAnsi="Times New Roman" w:eastAsia="Times New Roman" w:cs="Times New Roman"/>
        <w:spacing w:val="-4"/>
        <w:w w:val="99"/>
        <w:sz w:val="24"/>
        <w:szCs w:val="24"/>
      </w:rPr>
    </w:lvl>
    <w:lvl w:ilvl="2">
      <w:start w:val="1"/>
      <w:numFmt w:val="decimal"/>
      <w:lvlText w:val="%1.%2.%3"/>
      <w:lvlJc w:val="left"/>
      <w:pPr>
        <w:ind w:left="1302" w:hanging="720"/>
        <w:jc w:val="left"/>
      </w:pPr>
      <w:rPr>
        <w:rFonts w:hint="default" w:ascii="Times New Roman" w:hAnsi="Times New Roman" w:eastAsia="Times New Roman" w:cs="Times New Roman"/>
        <w:spacing w:val="-2"/>
        <w:w w:val="99"/>
        <w:sz w:val="24"/>
        <w:szCs w:val="24"/>
      </w:rPr>
    </w:lvl>
    <w:lvl w:ilvl="3">
      <w:start w:val="1"/>
      <w:numFmt w:val="bullet"/>
      <w:lvlText w:val="•"/>
      <w:lvlJc w:val="left"/>
      <w:pPr>
        <w:ind w:left="2267" w:hanging="720"/>
      </w:pPr>
      <w:rPr>
        <w:rFonts w:hint="default"/>
      </w:rPr>
    </w:lvl>
    <w:lvl w:ilvl="4">
      <w:start w:val="1"/>
      <w:numFmt w:val="bullet"/>
      <w:lvlText w:val="•"/>
      <w:lvlJc w:val="left"/>
      <w:pPr>
        <w:ind w:left="3235" w:hanging="720"/>
      </w:pPr>
      <w:rPr>
        <w:rFonts w:hint="default"/>
      </w:rPr>
    </w:lvl>
    <w:lvl w:ilvl="5">
      <w:start w:val="1"/>
      <w:numFmt w:val="bullet"/>
      <w:lvlText w:val="•"/>
      <w:lvlJc w:val="left"/>
      <w:pPr>
        <w:ind w:left="4203" w:hanging="720"/>
      </w:pPr>
      <w:rPr>
        <w:rFonts w:hint="default"/>
      </w:rPr>
    </w:lvl>
    <w:lvl w:ilvl="6">
      <w:start w:val="1"/>
      <w:numFmt w:val="bullet"/>
      <w:lvlText w:val="•"/>
      <w:lvlJc w:val="left"/>
      <w:pPr>
        <w:ind w:left="5171" w:hanging="720"/>
      </w:pPr>
      <w:rPr>
        <w:rFonts w:hint="default"/>
      </w:rPr>
    </w:lvl>
    <w:lvl w:ilvl="7">
      <w:start w:val="1"/>
      <w:numFmt w:val="bullet"/>
      <w:lvlText w:val="•"/>
      <w:lvlJc w:val="left"/>
      <w:pPr>
        <w:ind w:left="6139" w:hanging="720"/>
      </w:pPr>
      <w:rPr>
        <w:rFonts w:hint="default"/>
      </w:rPr>
    </w:lvl>
    <w:lvl w:ilvl="8">
      <w:start w:val="1"/>
      <w:numFmt w:val="bullet"/>
      <w:lvlText w:val="•"/>
      <w:lvlJc w:val="left"/>
      <w:pPr>
        <w:ind w:left="7106" w:hanging="720"/>
      </w:pPr>
      <w:rPr>
        <w:rFonts w:hint="default"/>
      </w:rPr>
    </w:lvl>
  </w:abstractNum>
  <w:abstractNum w:abstractNumId="2">
    <w:multiLevelType w:val="hybridMultilevel"/>
    <w:lvl w:ilvl="0">
      <w:start w:val="3"/>
      <w:numFmt w:val="decimal"/>
      <w:lvlText w:val="%1"/>
      <w:lvlJc w:val="left"/>
      <w:pPr>
        <w:ind w:left="1062" w:hanging="720"/>
        <w:jc w:val="left"/>
      </w:pPr>
      <w:rPr>
        <w:rFonts w:hint="default"/>
      </w:rPr>
    </w:lvl>
    <w:lvl w:ilvl="1">
      <w:start w:val="1"/>
      <w:numFmt w:val="decimal"/>
      <w:lvlText w:val="%1.%2"/>
      <w:lvlJc w:val="left"/>
      <w:pPr>
        <w:ind w:left="1062" w:hanging="720"/>
        <w:jc w:val="left"/>
      </w:pPr>
      <w:rPr>
        <w:rFonts w:hint="default" w:ascii="Times New Roman" w:hAnsi="Times New Roman" w:eastAsia="Times New Roman" w:cs="Times New Roman"/>
        <w:spacing w:val="-4"/>
        <w:w w:val="99"/>
        <w:sz w:val="24"/>
        <w:szCs w:val="24"/>
      </w:rPr>
    </w:lvl>
    <w:lvl w:ilvl="2">
      <w:start w:val="1"/>
      <w:numFmt w:val="decimal"/>
      <w:lvlText w:val="%1.%2.%3"/>
      <w:lvlJc w:val="left"/>
      <w:pPr>
        <w:ind w:left="1302" w:hanging="720"/>
        <w:jc w:val="left"/>
      </w:pPr>
      <w:rPr>
        <w:rFonts w:hint="default" w:ascii="Times New Roman" w:hAnsi="Times New Roman" w:eastAsia="Times New Roman" w:cs="Times New Roman"/>
        <w:spacing w:val="-2"/>
        <w:w w:val="99"/>
        <w:sz w:val="24"/>
        <w:szCs w:val="24"/>
      </w:rPr>
    </w:lvl>
    <w:lvl w:ilvl="3">
      <w:start w:val="1"/>
      <w:numFmt w:val="bullet"/>
      <w:lvlText w:val="•"/>
      <w:lvlJc w:val="left"/>
      <w:pPr>
        <w:ind w:left="3020" w:hanging="720"/>
      </w:pPr>
      <w:rPr>
        <w:rFonts w:hint="default"/>
      </w:rPr>
    </w:lvl>
    <w:lvl w:ilvl="4">
      <w:start w:val="1"/>
      <w:numFmt w:val="bullet"/>
      <w:lvlText w:val="•"/>
      <w:lvlJc w:val="left"/>
      <w:pPr>
        <w:ind w:left="3880" w:hanging="720"/>
      </w:pPr>
      <w:rPr>
        <w:rFonts w:hint="default"/>
      </w:rPr>
    </w:lvl>
    <w:lvl w:ilvl="5">
      <w:start w:val="1"/>
      <w:numFmt w:val="bullet"/>
      <w:lvlText w:val="•"/>
      <w:lvlJc w:val="left"/>
      <w:pPr>
        <w:ind w:left="4741" w:hanging="720"/>
      </w:pPr>
      <w:rPr>
        <w:rFonts w:hint="default"/>
      </w:rPr>
    </w:lvl>
    <w:lvl w:ilvl="6">
      <w:start w:val="1"/>
      <w:numFmt w:val="bullet"/>
      <w:lvlText w:val="•"/>
      <w:lvlJc w:val="left"/>
      <w:pPr>
        <w:ind w:left="5601" w:hanging="720"/>
      </w:pPr>
      <w:rPr>
        <w:rFonts w:hint="default"/>
      </w:rPr>
    </w:lvl>
    <w:lvl w:ilvl="7">
      <w:start w:val="1"/>
      <w:numFmt w:val="bullet"/>
      <w:lvlText w:val="•"/>
      <w:lvlJc w:val="left"/>
      <w:pPr>
        <w:ind w:left="6461" w:hanging="720"/>
      </w:pPr>
      <w:rPr>
        <w:rFonts w:hint="default"/>
      </w:rPr>
    </w:lvl>
    <w:lvl w:ilvl="8">
      <w:start w:val="1"/>
      <w:numFmt w:val="bullet"/>
      <w:lvlText w:val="•"/>
      <w:lvlJc w:val="left"/>
      <w:pPr>
        <w:ind w:left="7321" w:hanging="720"/>
      </w:pPr>
      <w:rPr>
        <w:rFonts w:hint="default"/>
      </w:rPr>
    </w:lvl>
  </w:abstractNum>
  <w:abstractNum w:abstractNumId="1">
    <w:multiLevelType w:val="hybridMultilevel"/>
    <w:lvl w:ilvl="0">
      <w:start w:val="2"/>
      <w:numFmt w:val="decimal"/>
      <w:lvlText w:val="%1"/>
      <w:lvlJc w:val="left"/>
      <w:pPr>
        <w:ind w:left="1062" w:hanging="720"/>
        <w:jc w:val="left"/>
      </w:pPr>
      <w:rPr>
        <w:rFonts w:hint="default"/>
      </w:rPr>
    </w:lvl>
    <w:lvl w:ilvl="1">
      <w:start w:val="1"/>
      <w:numFmt w:val="decimal"/>
      <w:lvlText w:val="%1.%2"/>
      <w:lvlJc w:val="left"/>
      <w:pPr>
        <w:ind w:left="342" w:hanging="720"/>
        <w:jc w:val="left"/>
      </w:pPr>
      <w:rPr>
        <w:rFonts w:hint="default" w:ascii="Times New Roman" w:hAnsi="Times New Roman" w:eastAsia="Times New Roman" w:cs="Times New Roman"/>
        <w:spacing w:val="-4"/>
        <w:w w:val="99"/>
        <w:sz w:val="24"/>
        <w:szCs w:val="24"/>
      </w:rPr>
    </w:lvl>
    <w:lvl w:ilvl="2">
      <w:start w:val="1"/>
      <w:numFmt w:val="decimal"/>
      <w:lvlText w:val="%1.%2.%3"/>
      <w:lvlJc w:val="left"/>
      <w:pPr>
        <w:ind w:left="582" w:hanging="720"/>
        <w:jc w:val="left"/>
      </w:pPr>
      <w:rPr>
        <w:rFonts w:hint="default" w:ascii="Times New Roman" w:hAnsi="Times New Roman" w:eastAsia="Times New Roman" w:cs="Times New Roman"/>
        <w:spacing w:val="-5"/>
        <w:w w:val="99"/>
        <w:sz w:val="24"/>
        <w:szCs w:val="24"/>
      </w:rPr>
    </w:lvl>
    <w:lvl w:ilvl="3">
      <w:start w:val="1"/>
      <w:numFmt w:val="bullet"/>
      <w:lvlText w:val="•"/>
      <w:lvlJc w:val="left"/>
      <w:pPr>
        <w:ind w:left="2060" w:hanging="720"/>
      </w:pPr>
      <w:rPr>
        <w:rFonts w:hint="default"/>
      </w:rPr>
    </w:lvl>
    <w:lvl w:ilvl="4">
      <w:start w:val="1"/>
      <w:numFmt w:val="bullet"/>
      <w:lvlText w:val="•"/>
      <w:lvlJc w:val="left"/>
      <w:pPr>
        <w:ind w:left="3060" w:hanging="720"/>
      </w:pPr>
      <w:rPr>
        <w:rFonts w:hint="default"/>
      </w:rPr>
    </w:lvl>
    <w:lvl w:ilvl="5">
      <w:start w:val="1"/>
      <w:numFmt w:val="bullet"/>
      <w:lvlText w:val="•"/>
      <w:lvlJc w:val="left"/>
      <w:pPr>
        <w:ind w:left="4060" w:hanging="720"/>
      </w:pPr>
      <w:rPr>
        <w:rFonts w:hint="default"/>
      </w:rPr>
    </w:lvl>
    <w:lvl w:ilvl="6">
      <w:start w:val="1"/>
      <w:numFmt w:val="bullet"/>
      <w:lvlText w:val="•"/>
      <w:lvlJc w:val="left"/>
      <w:pPr>
        <w:ind w:left="5061" w:hanging="720"/>
      </w:pPr>
      <w:rPr>
        <w:rFonts w:hint="default"/>
      </w:rPr>
    </w:lvl>
    <w:lvl w:ilvl="7">
      <w:start w:val="1"/>
      <w:numFmt w:val="bullet"/>
      <w:lvlText w:val="•"/>
      <w:lvlJc w:val="left"/>
      <w:pPr>
        <w:ind w:left="6061" w:hanging="720"/>
      </w:pPr>
      <w:rPr>
        <w:rFonts w:hint="default"/>
      </w:rPr>
    </w:lvl>
    <w:lvl w:ilvl="8">
      <w:start w:val="1"/>
      <w:numFmt w:val="bullet"/>
      <w:lvlText w:val="•"/>
      <w:lvlJc w:val="left"/>
      <w:pPr>
        <w:ind w:left="7061" w:hanging="720"/>
      </w:pPr>
      <w:rPr>
        <w:rFonts w:hint="default"/>
      </w:rPr>
    </w:lvl>
  </w:abstractNum>
  <w:abstractNum w:abstractNumId="0">
    <w:multiLevelType w:val="hybridMultilevel"/>
    <w:lvl w:ilvl="0">
      <w:start w:val="1"/>
      <w:numFmt w:val="decimal"/>
      <w:lvlText w:val="%1"/>
      <w:lvlJc w:val="left"/>
      <w:pPr>
        <w:ind w:left="1062" w:hanging="720"/>
        <w:jc w:val="left"/>
      </w:pPr>
      <w:rPr>
        <w:rFonts w:hint="default"/>
      </w:rPr>
    </w:lvl>
    <w:lvl w:ilvl="1">
      <w:start w:val="1"/>
      <w:numFmt w:val="decimal"/>
      <w:lvlText w:val="%1.%2"/>
      <w:lvlJc w:val="left"/>
      <w:pPr>
        <w:ind w:left="342" w:hanging="720"/>
        <w:jc w:val="left"/>
      </w:pPr>
      <w:rPr>
        <w:rFonts w:hint="default" w:ascii="Times New Roman" w:hAnsi="Times New Roman" w:eastAsia="Times New Roman" w:cs="Times New Roman"/>
        <w:spacing w:val="-4"/>
        <w:w w:val="99"/>
        <w:sz w:val="24"/>
        <w:szCs w:val="24"/>
      </w:rPr>
    </w:lvl>
    <w:lvl w:ilvl="2">
      <w:start w:val="1"/>
      <w:numFmt w:val="decimal"/>
      <w:lvlText w:val="%1.%2.%3"/>
      <w:lvlJc w:val="left"/>
      <w:pPr>
        <w:ind w:left="1302" w:hanging="720"/>
        <w:jc w:val="left"/>
      </w:pPr>
      <w:rPr>
        <w:rFonts w:hint="default" w:ascii="Times New Roman" w:hAnsi="Times New Roman" w:eastAsia="Times New Roman" w:cs="Times New Roman"/>
        <w:spacing w:val="-5"/>
        <w:w w:val="99"/>
        <w:sz w:val="24"/>
        <w:szCs w:val="24"/>
      </w:rPr>
    </w:lvl>
    <w:lvl w:ilvl="3">
      <w:start w:val="1"/>
      <w:numFmt w:val="bullet"/>
      <w:lvlText w:val="•"/>
      <w:lvlJc w:val="left"/>
      <w:pPr>
        <w:ind w:left="1300" w:hanging="720"/>
      </w:pPr>
      <w:rPr>
        <w:rFonts w:hint="default"/>
      </w:rPr>
    </w:lvl>
    <w:lvl w:ilvl="4">
      <w:start w:val="1"/>
      <w:numFmt w:val="bullet"/>
      <w:lvlText w:val="•"/>
      <w:lvlJc w:val="left"/>
      <w:pPr>
        <w:ind w:left="2408" w:hanging="720"/>
      </w:pPr>
      <w:rPr>
        <w:rFonts w:hint="default"/>
      </w:rPr>
    </w:lvl>
    <w:lvl w:ilvl="5">
      <w:start w:val="1"/>
      <w:numFmt w:val="bullet"/>
      <w:lvlText w:val="•"/>
      <w:lvlJc w:val="left"/>
      <w:pPr>
        <w:ind w:left="3517" w:hanging="720"/>
      </w:pPr>
      <w:rPr>
        <w:rFonts w:hint="default"/>
      </w:rPr>
    </w:lvl>
    <w:lvl w:ilvl="6">
      <w:start w:val="1"/>
      <w:numFmt w:val="bullet"/>
      <w:lvlText w:val="•"/>
      <w:lvlJc w:val="left"/>
      <w:pPr>
        <w:ind w:left="4626" w:hanging="720"/>
      </w:pPr>
      <w:rPr>
        <w:rFonts w:hint="default"/>
      </w:rPr>
    </w:lvl>
    <w:lvl w:ilvl="7">
      <w:start w:val="1"/>
      <w:numFmt w:val="bullet"/>
      <w:lvlText w:val="•"/>
      <w:lvlJc w:val="left"/>
      <w:pPr>
        <w:ind w:left="5735" w:hanging="720"/>
      </w:pPr>
      <w:rPr>
        <w:rFonts w:hint="default"/>
      </w:rPr>
    </w:lvl>
    <w:lvl w:ilvl="8">
      <w:start w:val="1"/>
      <w:numFmt w:val="bullet"/>
      <w:lvlText w:val="•"/>
      <w:lvlJc w:val="left"/>
      <w:pPr>
        <w:ind w:left="6844" w:hanging="720"/>
      </w:pPr>
      <w:rPr>
        <w:rFonts w:hint="default"/>
      </w:rPr>
    </w:lvl>
  </w:abstractNum>
  <w:num w:numId="23">
    <w:abstractNumId w:val="22"/>
  </w:num>
  <w:num w:numId="26">
    <w:abstractNumId w:val="25"/>
  </w:num>
  <w:num w:numId="25">
    <w:abstractNumId w:val="24"/>
  </w:num>
  <w:num w:numId="24">
    <w:abstractNumId w:val="23"/>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93"/>
      <w:outlineLvl w:val="1"/>
    </w:pPr>
    <w:rPr>
      <w:rFonts w:ascii="Cambria Math" w:hAnsi="Cambria Math" w:eastAsia="Cambria Math" w:cs="Cambria Math"/>
      <w:sz w:val="28"/>
      <w:szCs w:val="28"/>
    </w:rPr>
  </w:style>
  <w:style w:styleId="Heading2" w:type="paragraph">
    <w:name w:val="Heading 2"/>
    <w:basedOn w:val="Normal"/>
    <w:uiPriority w:val="1"/>
    <w:qFormat/>
    <w:pPr>
      <w:ind w:right="1021"/>
      <w:outlineLvl w:val="2"/>
    </w:pPr>
    <w:rPr>
      <w:rFonts w:ascii="Cambria" w:hAnsi="Cambria" w:eastAsia="Cambria" w:cs="Cambria"/>
      <w:sz w:val="26"/>
      <w:szCs w:val="26"/>
    </w:rPr>
  </w:style>
  <w:style w:styleId="Heading3" w:type="paragraph">
    <w:name w:val="Heading 3"/>
    <w:basedOn w:val="Normal"/>
    <w:uiPriority w:val="1"/>
    <w:qFormat/>
    <w:pPr>
      <w:ind w:left="113"/>
      <w:outlineLvl w:val="3"/>
    </w:pPr>
    <w:rPr>
      <w:rFonts w:ascii="Constantia" w:hAnsi="Constantia" w:eastAsia="Constantia" w:cs="Constantia"/>
      <w:sz w:val="25"/>
      <w:szCs w:val="25"/>
      <w:u w:val="single" w:color="000000"/>
    </w:rPr>
  </w:style>
  <w:style w:styleId="Heading4" w:type="paragraph">
    <w:name w:val="Heading 4"/>
    <w:basedOn w:val="Normal"/>
    <w:uiPriority w:val="1"/>
    <w:qFormat/>
    <w:pPr>
      <w:ind w:left="963" w:hanging="720"/>
      <w:outlineLvl w:val="4"/>
    </w:pPr>
    <w:rPr>
      <w:rFonts w:ascii="Times New Roman" w:hAnsi="Times New Roman" w:eastAsia="Times New Roman" w:cs="Times New Roman"/>
      <w:b/>
      <w:bCs/>
      <w:sz w:val="24"/>
      <w:szCs w:val="24"/>
    </w:rPr>
  </w:style>
  <w:style w:styleId="Heading5" w:type="paragraph">
    <w:name w:val="Heading 5"/>
    <w:basedOn w:val="Normal"/>
    <w:uiPriority w:val="1"/>
    <w:qFormat/>
    <w:pPr>
      <w:spacing w:before="1"/>
      <w:ind w:left="102" w:right="127"/>
      <w:outlineLvl w:val="5"/>
    </w:pPr>
    <w:rPr>
      <w:rFonts w:ascii="Times New Roman" w:hAnsi="Times New Roman" w:eastAsia="Times New Roman" w:cs="Times New Roman"/>
      <w:b/>
      <w:bCs/>
      <w:i/>
      <w:sz w:val="24"/>
      <w:szCs w:val="24"/>
    </w:rPr>
  </w:style>
  <w:style w:styleId="ListParagraph" w:type="paragraph">
    <w:name w:val="List Paragraph"/>
    <w:basedOn w:val="Normal"/>
    <w:uiPriority w:val="1"/>
    <w:qFormat/>
    <w:pPr>
      <w:ind w:left="1302" w:hanging="720"/>
    </w:pPr>
    <w:rPr>
      <w:rFonts w:ascii="Times New Roman" w:hAnsi="Times New Roman" w:eastAsia="Times New Roman" w:cs="Times New Roman"/>
    </w:rPr>
  </w:style>
  <w:style w:styleId="TableParagraph" w:type="paragraph">
    <w:name w:val="Table Paragraph"/>
    <w:basedOn w:val="Normal"/>
    <w:uiPriority w:val="1"/>
    <w:qFormat/>
    <w:pPr>
      <w:jc w:val="center"/>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footer" Target="footer1.xml"/><Relationship Id="rId11" Type="http://schemas.openxmlformats.org/officeDocument/2006/relationships/footer" Target="footer2.xml"/><Relationship Id="rId12" Type="http://schemas.openxmlformats.org/officeDocument/2006/relationships/footer" Target="footer3.xml"/><Relationship Id="rId13" Type="http://schemas.openxmlformats.org/officeDocument/2006/relationships/image" Target="media/image6.png"/><Relationship Id="rId14" Type="http://schemas.openxmlformats.org/officeDocument/2006/relationships/image" Target="media/image7.png"/><Relationship Id="rId15" Type="http://schemas.openxmlformats.org/officeDocument/2006/relationships/image" Target="media/image8.png"/><Relationship Id="rId16" Type="http://schemas.openxmlformats.org/officeDocument/2006/relationships/image" Target="media/image9.png"/><Relationship Id="rId17" Type="http://schemas.openxmlformats.org/officeDocument/2006/relationships/image" Target="media/image10.png"/><Relationship Id="rId18" Type="http://schemas.openxmlformats.org/officeDocument/2006/relationships/image" Target="media/image11.png"/><Relationship Id="rId19" Type="http://schemas.openxmlformats.org/officeDocument/2006/relationships/image" Target="media/image12.png"/><Relationship Id="rId20" Type="http://schemas.openxmlformats.org/officeDocument/2006/relationships/image" Target="media/image13.png"/><Relationship Id="rId21" Type="http://schemas.openxmlformats.org/officeDocument/2006/relationships/image" Target="media/image14.png"/><Relationship Id="rId22" Type="http://schemas.openxmlformats.org/officeDocument/2006/relationships/image" Target="media/image15.png"/><Relationship Id="rId23" Type="http://schemas.openxmlformats.org/officeDocument/2006/relationships/image" Target="media/image16.png"/><Relationship Id="rId24" Type="http://schemas.openxmlformats.org/officeDocument/2006/relationships/image" Target="media/image17.png"/><Relationship Id="rId25" Type="http://schemas.openxmlformats.org/officeDocument/2006/relationships/image" Target="media/image18.png"/><Relationship Id="rId26" Type="http://schemas.openxmlformats.org/officeDocument/2006/relationships/image" Target="media/image19.png"/><Relationship Id="rId27" Type="http://schemas.openxmlformats.org/officeDocument/2006/relationships/image" Target="media/image20.png"/><Relationship Id="rId28" Type="http://schemas.openxmlformats.org/officeDocument/2006/relationships/image" Target="media/image21.png"/><Relationship Id="rId29" Type="http://schemas.openxmlformats.org/officeDocument/2006/relationships/image" Target="media/image22.png"/><Relationship Id="rId30" Type="http://schemas.openxmlformats.org/officeDocument/2006/relationships/image" Target="media/image23.png"/><Relationship Id="rId31" Type="http://schemas.openxmlformats.org/officeDocument/2006/relationships/footer" Target="footer4.xml"/><Relationship Id="rId32" Type="http://schemas.openxmlformats.org/officeDocument/2006/relationships/footer" Target="footer5.xml"/><Relationship Id="rId33" Type="http://schemas.openxmlformats.org/officeDocument/2006/relationships/image" Target="media/image24.png"/><Relationship Id="rId34" Type="http://schemas.openxmlformats.org/officeDocument/2006/relationships/image" Target="media/image25.png"/><Relationship Id="rId35" Type="http://schemas.openxmlformats.org/officeDocument/2006/relationships/image" Target="media/image26.png"/><Relationship Id="rId36" Type="http://schemas.openxmlformats.org/officeDocument/2006/relationships/image" Target="media/image27.png"/><Relationship Id="rId37" Type="http://schemas.openxmlformats.org/officeDocument/2006/relationships/image" Target="media/image28.png"/><Relationship Id="rId38" Type="http://schemas.openxmlformats.org/officeDocument/2006/relationships/image" Target="media/image29.png"/><Relationship Id="rId39" Type="http://schemas.openxmlformats.org/officeDocument/2006/relationships/image" Target="media/image30.png"/><Relationship Id="rId40" Type="http://schemas.openxmlformats.org/officeDocument/2006/relationships/image" Target="media/image31.png"/><Relationship Id="rId41" Type="http://schemas.openxmlformats.org/officeDocument/2006/relationships/image" Target="media/image32.png"/><Relationship Id="rId42" Type="http://schemas.openxmlformats.org/officeDocument/2006/relationships/image" Target="media/image33.png"/><Relationship Id="rId43" Type="http://schemas.openxmlformats.org/officeDocument/2006/relationships/image" Target="media/image34.png"/><Relationship Id="rId44" Type="http://schemas.openxmlformats.org/officeDocument/2006/relationships/image" Target="media/image35.png"/><Relationship Id="rId45" Type="http://schemas.openxmlformats.org/officeDocument/2006/relationships/image" Target="media/image36.png"/><Relationship Id="rId46" Type="http://schemas.openxmlformats.org/officeDocument/2006/relationships/image" Target="media/image37.png"/><Relationship Id="rId47" Type="http://schemas.openxmlformats.org/officeDocument/2006/relationships/image" Target="media/image38.png"/><Relationship Id="rId48" Type="http://schemas.openxmlformats.org/officeDocument/2006/relationships/image" Target="media/image39.png"/><Relationship Id="rId49" Type="http://schemas.openxmlformats.org/officeDocument/2006/relationships/image" Target="media/image40.png"/><Relationship Id="rId50" Type="http://schemas.openxmlformats.org/officeDocument/2006/relationships/image" Target="media/image41.png"/><Relationship Id="rId51" Type="http://schemas.openxmlformats.org/officeDocument/2006/relationships/image" Target="media/image42.png"/><Relationship Id="rId52" Type="http://schemas.openxmlformats.org/officeDocument/2006/relationships/image" Target="media/image43.png"/><Relationship Id="rId53" Type="http://schemas.openxmlformats.org/officeDocument/2006/relationships/image" Target="media/image44.png"/><Relationship Id="rId54" Type="http://schemas.openxmlformats.org/officeDocument/2006/relationships/image" Target="media/image45.png"/><Relationship Id="rId55" Type="http://schemas.openxmlformats.org/officeDocument/2006/relationships/image" Target="media/image46.png"/><Relationship Id="rId56" Type="http://schemas.openxmlformats.org/officeDocument/2006/relationships/image" Target="media/image47.png"/><Relationship Id="rId57" Type="http://schemas.openxmlformats.org/officeDocument/2006/relationships/image" Target="media/image48.png"/><Relationship Id="rId58" Type="http://schemas.openxmlformats.org/officeDocument/2006/relationships/image" Target="media/image49.png"/><Relationship Id="rId59" Type="http://schemas.openxmlformats.org/officeDocument/2006/relationships/image" Target="media/image50.png"/><Relationship Id="rId60" Type="http://schemas.openxmlformats.org/officeDocument/2006/relationships/image" Target="media/image51.png"/><Relationship Id="rId61" Type="http://schemas.openxmlformats.org/officeDocument/2006/relationships/image" Target="media/image52.png"/><Relationship Id="rId62" Type="http://schemas.openxmlformats.org/officeDocument/2006/relationships/image" Target="media/image53.png"/><Relationship Id="rId63" Type="http://schemas.openxmlformats.org/officeDocument/2006/relationships/image" Target="media/image54.png"/><Relationship Id="rId64" Type="http://schemas.openxmlformats.org/officeDocument/2006/relationships/image" Target="media/image55.png"/><Relationship Id="rId65" Type="http://schemas.openxmlformats.org/officeDocument/2006/relationships/image" Target="media/image56.png"/><Relationship Id="rId66" Type="http://schemas.openxmlformats.org/officeDocument/2006/relationships/image" Target="media/image57.png"/><Relationship Id="rId67" Type="http://schemas.openxmlformats.org/officeDocument/2006/relationships/image" Target="media/image58.png"/><Relationship Id="rId68" Type="http://schemas.openxmlformats.org/officeDocument/2006/relationships/image" Target="media/image59.png"/><Relationship Id="rId69" Type="http://schemas.openxmlformats.org/officeDocument/2006/relationships/image" Target="media/image60.png"/><Relationship Id="rId70" Type="http://schemas.openxmlformats.org/officeDocument/2006/relationships/image" Target="media/image61.png"/><Relationship Id="rId71" Type="http://schemas.openxmlformats.org/officeDocument/2006/relationships/image" Target="media/image62.png"/><Relationship Id="rId72" Type="http://schemas.openxmlformats.org/officeDocument/2006/relationships/image" Target="media/image63.png"/><Relationship Id="rId73" Type="http://schemas.openxmlformats.org/officeDocument/2006/relationships/image" Target="media/image64.png"/><Relationship Id="rId74" Type="http://schemas.openxmlformats.org/officeDocument/2006/relationships/image" Target="media/image65.png"/><Relationship Id="rId75" Type="http://schemas.openxmlformats.org/officeDocument/2006/relationships/image" Target="media/image66.png"/><Relationship Id="rId76" Type="http://schemas.openxmlformats.org/officeDocument/2006/relationships/image" Target="media/image67.png"/><Relationship Id="rId77" Type="http://schemas.openxmlformats.org/officeDocument/2006/relationships/image" Target="media/image68.png"/><Relationship Id="rId78" Type="http://schemas.openxmlformats.org/officeDocument/2006/relationships/image" Target="media/image69.png"/><Relationship Id="rId79" Type="http://schemas.openxmlformats.org/officeDocument/2006/relationships/image" Target="media/image70.png"/><Relationship Id="rId80" Type="http://schemas.openxmlformats.org/officeDocument/2006/relationships/image" Target="media/image71.png"/><Relationship Id="rId81" Type="http://schemas.openxmlformats.org/officeDocument/2006/relationships/image" Target="media/image72.png"/><Relationship Id="rId82" Type="http://schemas.openxmlformats.org/officeDocument/2006/relationships/image" Target="media/image73.png"/><Relationship Id="rId83" Type="http://schemas.openxmlformats.org/officeDocument/2006/relationships/image" Target="media/image74.png"/><Relationship Id="rId84" Type="http://schemas.openxmlformats.org/officeDocument/2006/relationships/image" Target="media/image75.png"/><Relationship Id="rId85" Type="http://schemas.openxmlformats.org/officeDocument/2006/relationships/image" Target="media/image76.png"/><Relationship Id="rId86" Type="http://schemas.openxmlformats.org/officeDocument/2006/relationships/image" Target="media/image77.png"/><Relationship Id="rId87" Type="http://schemas.openxmlformats.org/officeDocument/2006/relationships/image" Target="media/image78.png"/><Relationship Id="rId88" Type="http://schemas.openxmlformats.org/officeDocument/2006/relationships/image" Target="media/image79.png"/><Relationship Id="rId89" Type="http://schemas.openxmlformats.org/officeDocument/2006/relationships/image" Target="media/image80.png"/><Relationship Id="rId90" Type="http://schemas.openxmlformats.org/officeDocument/2006/relationships/image" Target="media/image81.png"/><Relationship Id="rId91" Type="http://schemas.openxmlformats.org/officeDocument/2006/relationships/image" Target="media/image82.png"/><Relationship Id="rId92" Type="http://schemas.openxmlformats.org/officeDocument/2006/relationships/image" Target="media/image83.png"/><Relationship Id="rId93" Type="http://schemas.openxmlformats.org/officeDocument/2006/relationships/footer" Target="footer6.xml"/><Relationship Id="rId94" Type="http://schemas.openxmlformats.org/officeDocument/2006/relationships/image" Target="media/image84.png"/><Relationship Id="rId95" Type="http://schemas.openxmlformats.org/officeDocument/2006/relationships/image" Target="media/image85.png"/><Relationship Id="rId96" Type="http://schemas.openxmlformats.org/officeDocument/2006/relationships/image" Target="media/image86.png"/><Relationship Id="rId97" Type="http://schemas.openxmlformats.org/officeDocument/2006/relationships/image" Target="media/image87.png"/><Relationship Id="rId98" Type="http://schemas.openxmlformats.org/officeDocument/2006/relationships/image" Target="media/image88.png"/><Relationship Id="rId99" Type="http://schemas.openxmlformats.org/officeDocument/2006/relationships/image" Target="media/image89.png"/><Relationship Id="rId100" Type="http://schemas.openxmlformats.org/officeDocument/2006/relationships/image" Target="media/image90.png"/><Relationship Id="rId101" Type="http://schemas.openxmlformats.org/officeDocument/2006/relationships/image" Target="media/image91.png"/><Relationship Id="rId102" Type="http://schemas.openxmlformats.org/officeDocument/2006/relationships/footer" Target="footer7.xml"/><Relationship Id="rId103" Type="http://schemas.openxmlformats.org/officeDocument/2006/relationships/footer" Target="footer8.xml"/><Relationship Id="rId104" Type="http://schemas.openxmlformats.org/officeDocument/2006/relationships/image" Target="media/image92.png"/><Relationship Id="rId105" Type="http://schemas.openxmlformats.org/officeDocument/2006/relationships/image" Target="media/image93.png"/><Relationship Id="rId106" Type="http://schemas.openxmlformats.org/officeDocument/2006/relationships/image" Target="media/image94.png"/><Relationship Id="rId107" Type="http://schemas.openxmlformats.org/officeDocument/2006/relationships/image" Target="media/image95.png"/><Relationship Id="rId108" Type="http://schemas.openxmlformats.org/officeDocument/2006/relationships/image" Target="media/image96.png"/><Relationship Id="rId109" Type="http://schemas.openxmlformats.org/officeDocument/2006/relationships/image" Target="media/image97.png"/><Relationship Id="rId110" Type="http://schemas.openxmlformats.org/officeDocument/2006/relationships/image" Target="media/image98.png"/><Relationship Id="rId111" Type="http://schemas.openxmlformats.org/officeDocument/2006/relationships/image" Target="media/image99.png"/><Relationship Id="rId112" Type="http://schemas.openxmlformats.org/officeDocument/2006/relationships/image" Target="media/image100.png"/><Relationship Id="rId113" Type="http://schemas.openxmlformats.org/officeDocument/2006/relationships/image" Target="media/image101.png"/><Relationship Id="rId114" Type="http://schemas.openxmlformats.org/officeDocument/2006/relationships/image" Target="media/image102.png"/><Relationship Id="rId115" Type="http://schemas.openxmlformats.org/officeDocument/2006/relationships/image" Target="media/image103.png"/><Relationship Id="rId116" Type="http://schemas.openxmlformats.org/officeDocument/2006/relationships/image" Target="media/image104.png"/><Relationship Id="rId117" Type="http://schemas.openxmlformats.org/officeDocument/2006/relationships/image" Target="media/image105.png"/><Relationship Id="rId118" Type="http://schemas.openxmlformats.org/officeDocument/2006/relationships/footer" Target="footer9.xml"/><Relationship Id="rId119" Type="http://schemas.openxmlformats.org/officeDocument/2006/relationships/image" Target="media/image106.jpeg"/><Relationship Id="rId120" Type="http://schemas.openxmlformats.org/officeDocument/2006/relationships/image" Target="media/image107.jpeg"/><Relationship Id="rId121" Type="http://schemas.openxmlformats.org/officeDocument/2006/relationships/image" Target="media/image108.jpeg"/><Relationship Id="rId122" Type="http://schemas.openxmlformats.org/officeDocument/2006/relationships/image" Target="media/image109.jpeg"/><Relationship Id="rId123" Type="http://schemas.openxmlformats.org/officeDocument/2006/relationships/image" Target="media/image110.jpeg"/><Relationship Id="rId124" Type="http://schemas.openxmlformats.org/officeDocument/2006/relationships/image" Target="media/image111.png"/><Relationship Id="rId125" Type="http://schemas.openxmlformats.org/officeDocument/2006/relationships/image" Target="media/image112.png"/><Relationship Id="rId126" Type="http://schemas.openxmlformats.org/officeDocument/2006/relationships/image" Target="media/image113.png"/><Relationship Id="rId127" Type="http://schemas.openxmlformats.org/officeDocument/2006/relationships/image" Target="media/image114.png"/><Relationship Id="rId128" Type="http://schemas.openxmlformats.org/officeDocument/2006/relationships/image" Target="media/image115.png"/><Relationship Id="rId129" Type="http://schemas.openxmlformats.org/officeDocument/2006/relationships/image" Target="media/image116.png"/><Relationship Id="rId130" Type="http://schemas.openxmlformats.org/officeDocument/2006/relationships/image" Target="media/image117.png"/><Relationship Id="rId131" Type="http://schemas.openxmlformats.org/officeDocument/2006/relationships/image" Target="media/image118.png"/><Relationship Id="rId132" Type="http://schemas.openxmlformats.org/officeDocument/2006/relationships/image" Target="media/image119.png"/><Relationship Id="rId133" Type="http://schemas.openxmlformats.org/officeDocument/2006/relationships/image" Target="media/image120.png"/><Relationship Id="rId134" Type="http://schemas.openxmlformats.org/officeDocument/2006/relationships/image" Target="media/image121.jpeg"/><Relationship Id="rId135" Type="http://schemas.openxmlformats.org/officeDocument/2006/relationships/image" Target="media/image122.png"/><Relationship Id="rId136" Type="http://schemas.openxmlformats.org/officeDocument/2006/relationships/image" Target="media/image123.png"/><Relationship Id="rId137" Type="http://schemas.openxmlformats.org/officeDocument/2006/relationships/image" Target="media/image124.png"/><Relationship Id="rId138" Type="http://schemas.openxmlformats.org/officeDocument/2006/relationships/hyperlink" Target="http://www.eia.gov/countries/analysisbriefs/Bolivia/images/Bolivia%20Natural%20Gas%20Pipelines%20-%20Large.gif" TargetMode="External"/><Relationship Id="rId139" Type="http://schemas.openxmlformats.org/officeDocument/2006/relationships/image" Target="media/image125.jpeg"/><Relationship Id="rId140" Type="http://schemas.openxmlformats.org/officeDocument/2006/relationships/image" Target="media/image126.jpeg"/><Relationship Id="rId141" Type="http://schemas.openxmlformats.org/officeDocument/2006/relationships/image" Target="media/image127.jpeg"/><Relationship Id="rId142" Type="http://schemas.openxmlformats.org/officeDocument/2006/relationships/image" Target="media/image128.jpeg"/><Relationship Id="rId143" Type="http://schemas.openxmlformats.org/officeDocument/2006/relationships/image" Target="media/image129.jpeg"/><Relationship Id="rId144" Type="http://schemas.openxmlformats.org/officeDocument/2006/relationships/image" Target="media/image130.jpeg"/><Relationship Id="rId145" Type="http://schemas.openxmlformats.org/officeDocument/2006/relationships/footer" Target="footer10.xml"/><Relationship Id="rId146" Type="http://schemas.openxmlformats.org/officeDocument/2006/relationships/image" Target="media/image131.png"/><Relationship Id="rId147" Type="http://schemas.openxmlformats.org/officeDocument/2006/relationships/image" Target="media/image132.png"/><Relationship Id="rId148" Type="http://schemas.openxmlformats.org/officeDocument/2006/relationships/image" Target="media/image133.png"/><Relationship Id="rId149" Type="http://schemas.openxmlformats.org/officeDocument/2006/relationships/footer" Target="footer11.xml"/><Relationship Id="rId150" Type="http://schemas.openxmlformats.org/officeDocument/2006/relationships/image" Target="media/image134.png"/><Relationship Id="rId151" Type="http://schemas.openxmlformats.org/officeDocument/2006/relationships/image" Target="media/image135.png"/><Relationship Id="rId152" Type="http://schemas.openxmlformats.org/officeDocument/2006/relationships/image" Target="media/image136.png"/><Relationship Id="rId153" Type="http://schemas.openxmlformats.org/officeDocument/2006/relationships/image" Target="media/image137.png"/><Relationship Id="rId154" Type="http://schemas.openxmlformats.org/officeDocument/2006/relationships/image" Target="media/image138.png"/><Relationship Id="rId155" Type="http://schemas.openxmlformats.org/officeDocument/2006/relationships/image" Target="media/image139.png"/><Relationship Id="rId156" Type="http://schemas.openxmlformats.org/officeDocument/2006/relationships/image" Target="media/image140.png"/><Relationship Id="rId157" Type="http://schemas.openxmlformats.org/officeDocument/2006/relationships/image" Target="media/image141.png"/><Relationship Id="rId158" Type="http://schemas.openxmlformats.org/officeDocument/2006/relationships/image" Target="media/image142.png"/><Relationship Id="rId159" Type="http://schemas.openxmlformats.org/officeDocument/2006/relationships/image" Target="media/image143.png"/><Relationship Id="rId160" Type="http://schemas.openxmlformats.org/officeDocument/2006/relationships/image" Target="media/image144.png"/><Relationship Id="rId161" Type="http://schemas.openxmlformats.org/officeDocument/2006/relationships/image" Target="media/image145.png"/><Relationship Id="rId162" Type="http://schemas.openxmlformats.org/officeDocument/2006/relationships/image" Target="media/image146.png"/><Relationship Id="rId163" Type="http://schemas.openxmlformats.org/officeDocument/2006/relationships/image" Target="media/image147.png"/><Relationship Id="rId164" Type="http://schemas.openxmlformats.org/officeDocument/2006/relationships/image" Target="media/image148.png"/><Relationship Id="rId165" Type="http://schemas.openxmlformats.org/officeDocument/2006/relationships/image" Target="media/image149.png"/><Relationship Id="rId166" Type="http://schemas.openxmlformats.org/officeDocument/2006/relationships/image" Target="media/image150.png"/><Relationship Id="rId167" Type="http://schemas.openxmlformats.org/officeDocument/2006/relationships/image" Target="media/image151.png"/><Relationship Id="rId168" Type="http://schemas.openxmlformats.org/officeDocument/2006/relationships/image" Target="media/image152.png"/><Relationship Id="rId169" Type="http://schemas.openxmlformats.org/officeDocument/2006/relationships/image" Target="media/image153.png"/><Relationship Id="rId170" Type="http://schemas.openxmlformats.org/officeDocument/2006/relationships/image" Target="media/image154.jpeg"/><Relationship Id="rId171" Type="http://schemas.openxmlformats.org/officeDocument/2006/relationships/image" Target="media/image155.jpeg"/><Relationship Id="rId172" Type="http://schemas.openxmlformats.org/officeDocument/2006/relationships/image" Target="media/image156.jpeg"/><Relationship Id="rId173" Type="http://schemas.openxmlformats.org/officeDocument/2006/relationships/image" Target="media/image157.png"/><Relationship Id="rId174" Type="http://schemas.openxmlformats.org/officeDocument/2006/relationships/image" Target="media/image158.png"/><Relationship Id="rId175" Type="http://schemas.openxmlformats.org/officeDocument/2006/relationships/image" Target="media/image159.png"/><Relationship Id="rId176" Type="http://schemas.openxmlformats.org/officeDocument/2006/relationships/image" Target="media/image160.png"/><Relationship Id="rId177" Type="http://schemas.openxmlformats.org/officeDocument/2006/relationships/image" Target="media/image161.png"/><Relationship Id="rId178" Type="http://schemas.openxmlformats.org/officeDocument/2006/relationships/image" Target="media/image162.png"/><Relationship Id="rId179" Type="http://schemas.openxmlformats.org/officeDocument/2006/relationships/image" Target="media/image163.png"/><Relationship Id="rId180" Type="http://schemas.openxmlformats.org/officeDocument/2006/relationships/image" Target="media/image164.png"/><Relationship Id="rId181" Type="http://schemas.openxmlformats.org/officeDocument/2006/relationships/image" Target="media/image165.png"/><Relationship Id="rId182" Type="http://schemas.openxmlformats.org/officeDocument/2006/relationships/image" Target="media/image166.png"/><Relationship Id="rId183" Type="http://schemas.openxmlformats.org/officeDocument/2006/relationships/image" Target="media/image167.jpeg"/><Relationship Id="rId184" Type="http://schemas.openxmlformats.org/officeDocument/2006/relationships/image" Target="media/image168.jpeg"/><Relationship Id="rId185" Type="http://schemas.openxmlformats.org/officeDocument/2006/relationships/image" Target="media/image169.jpeg"/><Relationship Id="rId186" Type="http://schemas.openxmlformats.org/officeDocument/2006/relationships/image" Target="media/image170.png"/><Relationship Id="rId187" Type="http://schemas.openxmlformats.org/officeDocument/2006/relationships/image" Target="media/image171.png"/><Relationship Id="rId188" Type="http://schemas.openxmlformats.org/officeDocument/2006/relationships/image" Target="media/image172.png"/><Relationship Id="rId189" Type="http://schemas.openxmlformats.org/officeDocument/2006/relationships/image" Target="media/image173.png"/><Relationship Id="rId190" Type="http://schemas.openxmlformats.org/officeDocument/2006/relationships/image" Target="media/image174.png"/><Relationship Id="rId191" Type="http://schemas.openxmlformats.org/officeDocument/2006/relationships/image" Target="media/image175.png"/><Relationship Id="rId192" Type="http://schemas.openxmlformats.org/officeDocument/2006/relationships/image" Target="media/image176.png"/><Relationship Id="rId193" Type="http://schemas.openxmlformats.org/officeDocument/2006/relationships/image" Target="media/image177.png"/><Relationship Id="rId194" Type="http://schemas.openxmlformats.org/officeDocument/2006/relationships/image" Target="media/image178.png"/><Relationship Id="rId195" Type="http://schemas.openxmlformats.org/officeDocument/2006/relationships/image" Target="media/image179.png"/><Relationship Id="rId196" Type="http://schemas.openxmlformats.org/officeDocument/2006/relationships/image" Target="media/image180.png"/><Relationship Id="rId197" Type="http://schemas.openxmlformats.org/officeDocument/2006/relationships/image" Target="media/image181.png"/><Relationship Id="rId198" Type="http://schemas.openxmlformats.org/officeDocument/2006/relationships/image" Target="media/image182.png"/><Relationship Id="rId199" Type="http://schemas.openxmlformats.org/officeDocument/2006/relationships/image" Target="media/image183.png"/><Relationship Id="rId200" Type="http://schemas.openxmlformats.org/officeDocument/2006/relationships/image" Target="media/image184.png"/><Relationship Id="rId201" Type="http://schemas.openxmlformats.org/officeDocument/2006/relationships/image" Target="media/image185.png"/><Relationship Id="rId202" Type="http://schemas.openxmlformats.org/officeDocument/2006/relationships/image" Target="media/image186.png"/><Relationship Id="rId203" Type="http://schemas.openxmlformats.org/officeDocument/2006/relationships/image" Target="media/image187.png"/><Relationship Id="rId204" Type="http://schemas.openxmlformats.org/officeDocument/2006/relationships/image" Target="media/image188.png"/><Relationship Id="rId205" Type="http://schemas.openxmlformats.org/officeDocument/2006/relationships/image" Target="media/image189.png"/><Relationship Id="rId206" Type="http://schemas.openxmlformats.org/officeDocument/2006/relationships/image" Target="media/image190.png"/><Relationship Id="rId207" Type="http://schemas.openxmlformats.org/officeDocument/2006/relationships/image" Target="media/image191.png"/><Relationship Id="rId208" Type="http://schemas.openxmlformats.org/officeDocument/2006/relationships/image" Target="media/image192.png"/><Relationship Id="rId209" Type="http://schemas.openxmlformats.org/officeDocument/2006/relationships/image" Target="media/image193.png"/><Relationship Id="rId210" Type="http://schemas.openxmlformats.org/officeDocument/2006/relationships/image" Target="media/image194.png"/><Relationship Id="rId211" Type="http://schemas.openxmlformats.org/officeDocument/2006/relationships/image" Target="media/image195.png"/><Relationship Id="rId212" Type="http://schemas.openxmlformats.org/officeDocument/2006/relationships/image" Target="media/image196.png"/><Relationship Id="rId213" Type="http://schemas.openxmlformats.org/officeDocument/2006/relationships/image" Target="media/image197.png"/><Relationship Id="rId214" Type="http://schemas.openxmlformats.org/officeDocument/2006/relationships/image" Target="media/image198.png"/><Relationship Id="rId215" Type="http://schemas.openxmlformats.org/officeDocument/2006/relationships/image" Target="media/image199.png"/><Relationship Id="rId216" Type="http://schemas.openxmlformats.org/officeDocument/2006/relationships/image" Target="media/image200.png"/><Relationship Id="rId217" Type="http://schemas.openxmlformats.org/officeDocument/2006/relationships/image" Target="media/image201.png"/><Relationship Id="rId218" Type="http://schemas.openxmlformats.org/officeDocument/2006/relationships/image" Target="media/image202.png"/><Relationship Id="rId219" Type="http://schemas.openxmlformats.org/officeDocument/2006/relationships/image" Target="media/image203.png"/><Relationship Id="rId220" Type="http://schemas.openxmlformats.org/officeDocument/2006/relationships/image" Target="media/image204.png"/><Relationship Id="rId221" Type="http://schemas.openxmlformats.org/officeDocument/2006/relationships/image" Target="media/image205.png"/><Relationship Id="rId222" Type="http://schemas.openxmlformats.org/officeDocument/2006/relationships/image" Target="media/image206.png"/><Relationship Id="rId223" Type="http://schemas.openxmlformats.org/officeDocument/2006/relationships/image" Target="media/image207.png"/><Relationship Id="rId224" Type="http://schemas.openxmlformats.org/officeDocument/2006/relationships/image" Target="media/image208.png"/><Relationship Id="rId225" Type="http://schemas.openxmlformats.org/officeDocument/2006/relationships/image" Target="media/image209.png"/><Relationship Id="rId226" Type="http://schemas.openxmlformats.org/officeDocument/2006/relationships/image" Target="media/image210.png"/><Relationship Id="rId227" Type="http://schemas.openxmlformats.org/officeDocument/2006/relationships/image" Target="media/image211.png"/><Relationship Id="rId228" Type="http://schemas.openxmlformats.org/officeDocument/2006/relationships/image" Target="media/image212.png"/><Relationship Id="rId229" Type="http://schemas.openxmlformats.org/officeDocument/2006/relationships/image" Target="media/image213.png"/><Relationship Id="rId230" Type="http://schemas.openxmlformats.org/officeDocument/2006/relationships/image" Target="media/image214.png"/><Relationship Id="rId231" Type="http://schemas.openxmlformats.org/officeDocument/2006/relationships/image" Target="media/image215.png"/><Relationship Id="rId232" Type="http://schemas.openxmlformats.org/officeDocument/2006/relationships/image" Target="media/image216.png"/><Relationship Id="rId233" Type="http://schemas.openxmlformats.org/officeDocument/2006/relationships/image" Target="media/image217.png"/><Relationship Id="rId234" Type="http://schemas.openxmlformats.org/officeDocument/2006/relationships/image" Target="media/image218.png"/><Relationship Id="rId235" Type="http://schemas.openxmlformats.org/officeDocument/2006/relationships/image" Target="media/image219.png"/><Relationship Id="rId236" Type="http://schemas.openxmlformats.org/officeDocument/2006/relationships/image" Target="media/image220.png"/><Relationship Id="rId237" Type="http://schemas.openxmlformats.org/officeDocument/2006/relationships/image" Target="media/image221.png"/><Relationship Id="rId238" Type="http://schemas.openxmlformats.org/officeDocument/2006/relationships/image" Target="media/image222.png"/><Relationship Id="rId239" Type="http://schemas.openxmlformats.org/officeDocument/2006/relationships/image" Target="media/image223.png"/><Relationship Id="rId240" Type="http://schemas.openxmlformats.org/officeDocument/2006/relationships/image" Target="media/image224.png"/><Relationship Id="rId241" Type="http://schemas.openxmlformats.org/officeDocument/2006/relationships/image" Target="media/image225.png"/><Relationship Id="rId242" Type="http://schemas.openxmlformats.org/officeDocument/2006/relationships/image" Target="media/image226.png"/><Relationship Id="rId243" Type="http://schemas.openxmlformats.org/officeDocument/2006/relationships/image" Target="media/image227.png"/><Relationship Id="rId244" Type="http://schemas.openxmlformats.org/officeDocument/2006/relationships/image" Target="media/image228.png"/><Relationship Id="rId245" Type="http://schemas.openxmlformats.org/officeDocument/2006/relationships/image" Target="media/image229.png"/><Relationship Id="rId246" Type="http://schemas.openxmlformats.org/officeDocument/2006/relationships/image" Target="media/image230.png"/><Relationship Id="rId247" Type="http://schemas.openxmlformats.org/officeDocument/2006/relationships/image" Target="media/image231.png"/><Relationship Id="rId248" Type="http://schemas.openxmlformats.org/officeDocument/2006/relationships/image" Target="media/image232.png"/><Relationship Id="rId249" Type="http://schemas.openxmlformats.org/officeDocument/2006/relationships/image" Target="media/image233.png"/><Relationship Id="rId250" Type="http://schemas.openxmlformats.org/officeDocument/2006/relationships/image" Target="media/image234.png"/><Relationship Id="rId251" Type="http://schemas.openxmlformats.org/officeDocument/2006/relationships/image" Target="media/image235.png"/><Relationship Id="rId252" Type="http://schemas.openxmlformats.org/officeDocument/2006/relationships/image" Target="media/image236.png"/><Relationship Id="rId253" Type="http://schemas.openxmlformats.org/officeDocument/2006/relationships/image" Target="media/image237.png"/><Relationship Id="rId254" Type="http://schemas.openxmlformats.org/officeDocument/2006/relationships/image" Target="media/image238.png"/><Relationship Id="rId255" Type="http://schemas.openxmlformats.org/officeDocument/2006/relationships/image" Target="media/image239.png"/><Relationship Id="rId256" Type="http://schemas.openxmlformats.org/officeDocument/2006/relationships/image" Target="media/image240.png"/><Relationship Id="rId257" Type="http://schemas.openxmlformats.org/officeDocument/2006/relationships/image" Target="media/image241.png"/><Relationship Id="rId258" Type="http://schemas.openxmlformats.org/officeDocument/2006/relationships/image" Target="media/image242.png"/><Relationship Id="rId259" Type="http://schemas.openxmlformats.org/officeDocument/2006/relationships/image" Target="media/image243.png"/><Relationship Id="rId260" Type="http://schemas.openxmlformats.org/officeDocument/2006/relationships/image" Target="media/image244.png"/><Relationship Id="rId261" Type="http://schemas.openxmlformats.org/officeDocument/2006/relationships/image" Target="media/image245.png"/><Relationship Id="rId262" Type="http://schemas.openxmlformats.org/officeDocument/2006/relationships/image" Target="media/image246.png"/><Relationship Id="rId263" Type="http://schemas.openxmlformats.org/officeDocument/2006/relationships/image" Target="media/image247.png"/><Relationship Id="rId264" Type="http://schemas.openxmlformats.org/officeDocument/2006/relationships/image" Target="media/image248.png"/><Relationship Id="rId265" Type="http://schemas.openxmlformats.org/officeDocument/2006/relationships/image" Target="media/image249.png"/><Relationship Id="rId266" Type="http://schemas.openxmlformats.org/officeDocument/2006/relationships/image" Target="media/image250.png"/><Relationship Id="rId267" Type="http://schemas.openxmlformats.org/officeDocument/2006/relationships/image" Target="media/image251.png"/><Relationship Id="rId268" Type="http://schemas.openxmlformats.org/officeDocument/2006/relationships/image" Target="media/image252.png"/><Relationship Id="rId269" Type="http://schemas.openxmlformats.org/officeDocument/2006/relationships/image" Target="media/image253.png"/><Relationship Id="rId270" Type="http://schemas.openxmlformats.org/officeDocument/2006/relationships/image" Target="media/image254.png"/><Relationship Id="rId271" Type="http://schemas.openxmlformats.org/officeDocument/2006/relationships/image" Target="media/image255.png"/><Relationship Id="rId272" Type="http://schemas.openxmlformats.org/officeDocument/2006/relationships/image" Target="media/image256.png"/><Relationship Id="rId273" Type="http://schemas.openxmlformats.org/officeDocument/2006/relationships/image" Target="media/image257.png"/><Relationship Id="rId274" Type="http://schemas.openxmlformats.org/officeDocument/2006/relationships/image" Target="media/image258.png"/><Relationship Id="rId275" Type="http://schemas.openxmlformats.org/officeDocument/2006/relationships/image" Target="media/image259.png"/><Relationship Id="rId276" Type="http://schemas.openxmlformats.org/officeDocument/2006/relationships/image" Target="media/image260.png"/><Relationship Id="rId277" Type="http://schemas.openxmlformats.org/officeDocument/2006/relationships/image" Target="media/image261.png"/><Relationship Id="rId278" Type="http://schemas.openxmlformats.org/officeDocument/2006/relationships/image" Target="media/image262.png"/><Relationship Id="rId279" Type="http://schemas.openxmlformats.org/officeDocument/2006/relationships/image" Target="media/image263.png"/><Relationship Id="rId280" Type="http://schemas.openxmlformats.org/officeDocument/2006/relationships/image" Target="media/image264.png"/><Relationship Id="rId281" Type="http://schemas.openxmlformats.org/officeDocument/2006/relationships/image" Target="media/image265.png"/><Relationship Id="rId282" Type="http://schemas.openxmlformats.org/officeDocument/2006/relationships/image" Target="media/image266.png"/><Relationship Id="rId283" Type="http://schemas.openxmlformats.org/officeDocument/2006/relationships/image" Target="media/image267.png"/><Relationship Id="rId284" Type="http://schemas.openxmlformats.org/officeDocument/2006/relationships/image" Target="media/image268.png"/><Relationship Id="rId285" Type="http://schemas.openxmlformats.org/officeDocument/2006/relationships/image" Target="media/image269.png"/><Relationship Id="rId286" Type="http://schemas.openxmlformats.org/officeDocument/2006/relationships/image" Target="media/image270.png"/><Relationship Id="rId287" Type="http://schemas.openxmlformats.org/officeDocument/2006/relationships/image" Target="media/image271.png"/><Relationship Id="rId288" Type="http://schemas.openxmlformats.org/officeDocument/2006/relationships/image" Target="media/image272.png"/><Relationship Id="rId289" Type="http://schemas.openxmlformats.org/officeDocument/2006/relationships/image" Target="media/image273.png"/><Relationship Id="rId290" Type="http://schemas.openxmlformats.org/officeDocument/2006/relationships/image" Target="media/image274.png"/><Relationship Id="rId291" Type="http://schemas.openxmlformats.org/officeDocument/2006/relationships/image" Target="media/image275.png"/><Relationship Id="rId292" Type="http://schemas.openxmlformats.org/officeDocument/2006/relationships/image" Target="media/image276.png"/><Relationship Id="rId293" Type="http://schemas.openxmlformats.org/officeDocument/2006/relationships/image" Target="media/image277.png"/><Relationship Id="rId294" Type="http://schemas.openxmlformats.org/officeDocument/2006/relationships/image" Target="media/image278.png"/><Relationship Id="rId295" Type="http://schemas.openxmlformats.org/officeDocument/2006/relationships/image" Target="media/image279.png"/><Relationship Id="rId296" Type="http://schemas.openxmlformats.org/officeDocument/2006/relationships/image" Target="media/image280.png"/><Relationship Id="rId297" Type="http://schemas.openxmlformats.org/officeDocument/2006/relationships/image" Target="media/image281.png"/><Relationship Id="rId298" Type="http://schemas.openxmlformats.org/officeDocument/2006/relationships/image" Target="media/image282.png"/><Relationship Id="rId299" Type="http://schemas.openxmlformats.org/officeDocument/2006/relationships/image" Target="media/image283.png"/><Relationship Id="rId300" Type="http://schemas.openxmlformats.org/officeDocument/2006/relationships/image" Target="media/image284.png"/><Relationship Id="rId301" Type="http://schemas.openxmlformats.org/officeDocument/2006/relationships/image" Target="media/image285.png"/><Relationship Id="rId302" Type="http://schemas.openxmlformats.org/officeDocument/2006/relationships/image" Target="media/image286.png"/><Relationship Id="rId303" Type="http://schemas.openxmlformats.org/officeDocument/2006/relationships/image" Target="media/image287.png"/><Relationship Id="rId304" Type="http://schemas.openxmlformats.org/officeDocument/2006/relationships/image" Target="media/image288.png"/><Relationship Id="rId305" Type="http://schemas.openxmlformats.org/officeDocument/2006/relationships/image" Target="media/image289.png"/><Relationship Id="rId306" Type="http://schemas.openxmlformats.org/officeDocument/2006/relationships/image" Target="media/image290.png"/><Relationship Id="rId307" Type="http://schemas.openxmlformats.org/officeDocument/2006/relationships/image" Target="media/image291.png"/><Relationship Id="rId308" Type="http://schemas.openxmlformats.org/officeDocument/2006/relationships/image" Target="media/image292.png"/><Relationship Id="rId309" Type="http://schemas.openxmlformats.org/officeDocument/2006/relationships/image" Target="media/image293.png"/><Relationship Id="rId310" Type="http://schemas.openxmlformats.org/officeDocument/2006/relationships/image" Target="media/image294.jpeg"/><Relationship Id="rId311" Type="http://schemas.openxmlformats.org/officeDocument/2006/relationships/image" Target="media/image295.jpeg"/><Relationship Id="rId312" Type="http://schemas.openxmlformats.org/officeDocument/2006/relationships/image" Target="media/image296.png"/><Relationship Id="rId313" Type="http://schemas.openxmlformats.org/officeDocument/2006/relationships/image" Target="media/image297.png"/><Relationship Id="rId314" Type="http://schemas.openxmlformats.org/officeDocument/2006/relationships/image" Target="media/image298.png"/><Relationship Id="rId315" Type="http://schemas.openxmlformats.org/officeDocument/2006/relationships/image" Target="media/image299.png"/><Relationship Id="rId316" Type="http://schemas.openxmlformats.org/officeDocument/2006/relationships/footer" Target="footer12.xml"/><Relationship Id="rId317" Type="http://schemas.openxmlformats.org/officeDocument/2006/relationships/image" Target="media/image300.jpeg"/><Relationship Id="rId318" Type="http://schemas.openxmlformats.org/officeDocument/2006/relationships/image" Target="media/image301.jpeg"/><Relationship Id="rId319" Type="http://schemas.openxmlformats.org/officeDocument/2006/relationships/image" Target="media/image302.jpeg"/><Relationship Id="rId320" Type="http://schemas.openxmlformats.org/officeDocument/2006/relationships/image" Target="media/image303.jpeg"/><Relationship Id="rId321" Type="http://schemas.openxmlformats.org/officeDocument/2006/relationships/image" Target="media/image304.png"/><Relationship Id="rId322" Type="http://schemas.openxmlformats.org/officeDocument/2006/relationships/image" Target="media/image305.png"/><Relationship Id="rId323" Type="http://schemas.openxmlformats.org/officeDocument/2006/relationships/image" Target="media/image306.png"/><Relationship Id="rId324" Type="http://schemas.openxmlformats.org/officeDocument/2006/relationships/image" Target="media/image307.png"/><Relationship Id="rId325" Type="http://schemas.openxmlformats.org/officeDocument/2006/relationships/image" Target="media/image308.png"/><Relationship Id="rId326" Type="http://schemas.openxmlformats.org/officeDocument/2006/relationships/image" Target="media/image309.png"/><Relationship Id="rId327" Type="http://schemas.openxmlformats.org/officeDocument/2006/relationships/image" Target="media/image310.png"/><Relationship Id="rId328" Type="http://schemas.openxmlformats.org/officeDocument/2006/relationships/image" Target="media/image311.png"/><Relationship Id="rId329" Type="http://schemas.openxmlformats.org/officeDocument/2006/relationships/image" Target="media/image312.png"/><Relationship Id="rId330" Type="http://schemas.openxmlformats.org/officeDocument/2006/relationships/image" Target="media/image313.png"/><Relationship Id="rId331" Type="http://schemas.openxmlformats.org/officeDocument/2006/relationships/image" Target="media/image314.png"/><Relationship Id="rId332" Type="http://schemas.openxmlformats.org/officeDocument/2006/relationships/image" Target="media/image315.png"/><Relationship Id="rId333" Type="http://schemas.openxmlformats.org/officeDocument/2006/relationships/image" Target="media/image316.png"/><Relationship Id="rId334" Type="http://schemas.openxmlformats.org/officeDocument/2006/relationships/image" Target="media/image317.png"/><Relationship Id="rId335" Type="http://schemas.openxmlformats.org/officeDocument/2006/relationships/footer" Target="footer13.xml"/><Relationship Id="rId336" Type="http://schemas.openxmlformats.org/officeDocument/2006/relationships/image" Target="media/image318.png"/><Relationship Id="rId337" Type="http://schemas.openxmlformats.org/officeDocument/2006/relationships/image" Target="media/image319.png"/><Relationship Id="rId338" Type="http://schemas.openxmlformats.org/officeDocument/2006/relationships/image" Target="media/image320.png"/><Relationship Id="rId339" Type="http://schemas.openxmlformats.org/officeDocument/2006/relationships/footer" Target="footer14.xml"/><Relationship Id="rId340" Type="http://schemas.openxmlformats.org/officeDocument/2006/relationships/footer" Target="footer15.xml"/><Relationship Id="rId341" Type="http://schemas.openxmlformats.org/officeDocument/2006/relationships/footer" Target="footer16.xml"/><Relationship Id="rId342" Type="http://schemas.openxmlformats.org/officeDocument/2006/relationships/hyperlink" Target="http://www.eia.gov/" TargetMode="External"/><Relationship Id="rId343" Type="http://schemas.openxmlformats.org/officeDocument/2006/relationships/hyperlink" Target="http://www.imf.org/" TargetMode="External"/><Relationship Id="rId344" Type="http://schemas.openxmlformats.org/officeDocument/2006/relationships/hyperlink" Target="http://www.imf.org/external/np/res/commod/index.aspx" TargetMode="External"/><Relationship Id="rId345" Type="http://schemas.openxmlformats.org/officeDocument/2006/relationships/hyperlink" Target="http://www.ine.gob.bo/" TargetMode="External"/><Relationship Id="rId346" Type="http://schemas.openxmlformats.org/officeDocument/2006/relationships/hyperlink" Target="http://www.economiayfinanzas.gob.bo/" TargetMode="External"/><Relationship Id="rId347" Type="http://schemas.openxmlformats.org/officeDocument/2006/relationships/image" Target="media/image321.png"/><Relationship Id="rId348" Type="http://schemas.openxmlformats.org/officeDocument/2006/relationships/image" Target="media/image322.png"/><Relationship Id="rId349" Type="http://schemas.openxmlformats.org/officeDocument/2006/relationships/image" Target="media/image323.png"/><Relationship Id="rId350" Type="http://schemas.openxmlformats.org/officeDocument/2006/relationships/image" Target="media/image324.png"/><Relationship Id="rId351" Type="http://schemas.openxmlformats.org/officeDocument/2006/relationships/image" Target="media/image325.png"/><Relationship Id="rId352" Type="http://schemas.openxmlformats.org/officeDocument/2006/relationships/image" Target="media/image326.png"/><Relationship Id="rId353" Type="http://schemas.openxmlformats.org/officeDocument/2006/relationships/image" Target="media/image327.png"/><Relationship Id="rId354" Type="http://schemas.openxmlformats.org/officeDocument/2006/relationships/image" Target="media/image328.png"/><Relationship Id="rId355" Type="http://schemas.openxmlformats.org/officeDocument/2006/relationships/image" Target="media/image329.png"/><Relationship Id="rId356" Type="http://schemas.openxmlformats.org/officeDocument/2006/relationships/image" Target="media/image330.png"/><Relationship Id="rId357" Type="http://schemas.openxmlformats.org/officeDocument/2006/relationships/image" Target="media/image331.png"/><Relationship Id="rId358" Type="http://schemas.openxmlformats.org/officeDocument/2006/relationships/image" Target="media/image332.png"/><Relationship Id="rId359" Type="http://schemas.openxmlformats.org/officeDocument/2006/relationships/image" Target="media/image333.png"/><Relationship Id="rId360" Type="http://schemas.openxmlformats.org/officeDocument/2006/relationships/image" Target="media/image334.png"/><Relationship Id="rId361" Type="http://schemas.openxmlformats.org/officeDocument/2006/relationships/image" Target="media/image335.png"/><Relationship Id="rId362" Type="http://schemas.openxmlformats.org/officeDocument/2006/relationships/image" Target="media/image336.png"/><Relationship Id="rId363" Type="http://schemas.openxmlformats.org/officeDocument/2006/relationships/image" Target="media/image337.png"/><Relationship Id="rId364" Type="http://schemas.openxmlformats.org/officeDocument/2006/relationships/image" Target="media/image338.png"/><Relationship Id="rId365" Type="http://schemas.openxmlformats.org/officeDocument/2006/relationships/image" Target="media/image339.png"/><Relationship Id="rId366" Type="http://schemas.openxmlformats.org/officeDocument/2006/relationships/image" Target="media/image340.png"/><Relationship Id="rId367" Type="http://schemas.openxmlformats.org/officeDocument/2006/relationships/image" Target="media/image341.png"/><Relationship Id="rId368" Type="http://schemas.openxmlformats.org/officeDocument/2006/relationships/image" Target="media/image342.png"/><Relationship Id="rId369" Type="http://schemas.openxmlformats.org/officeDocument/2006/relationships/image" Target="media/image343.jpeg"/><Relationship Id="rId370" Type="http://schemas.openxmlformats.org/officeDocument/2006/relationships/image" Target="media/image344.jpeg"/><Relationship Id="rId371" Type="http://schemas.openxmlformats.org/officeDocument/2006/relationships/image" Target="media/image345.jpeg"/><Relationship Id="rId37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2017-05-22T20:45:03Z</dcterms:created>
  <dcterms:modified xsi:type="dcterms:W3CDTF">2017-05-22T20:45:03Z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2017-05-22T00:00:00Z</vt:filetime>
  </property>
</Properties>
</file>